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C71F4" w14:textId="77777777" w:rsidR="003F26B9" w:rsidRPr="003F26B9" w:rsidRDefault="003F26B9" w:rsidP="003F26B9">
      <w:pPr>
        <w:jc w:val="center"/>
        <w:rPr>
          <w:rFonts w:ascii="Times New Roman" w:hAnsi="Times New Roman" w:cs="Times New Roman"/>
          <w:b/>
          <w:bCs/>
          <w:i/>
          <w:iCs/>
          <w:sz w:val="32"/>
          <w:szCs w:val="32"/>
          <w:u w:val="single"/>
          <w:lang w:val="en-US"/>
        </w:rPr>
      </w:pPr>
      <w:r w:rsidRPr="003F26B9">
        <w:rPr>
          <w:rFonts w:ascii="Times New Roman" w:hAnsi="Times New Roman" w:cs="Times New Roman"/>
          <w:b/>
          <w:bCs/>
          <w:i/>
          <w:iCs/>
          <w:sz w:val="32"/>
          <w:szCs w:val="32"/>
          <w:u w:val="single"/>
          <w:lang w:val="en-US"/>
        </w:rPr>
        <w:t>Review Article</w:t>
      </w:r>
    </w:p>
    <w:p w14:paraId="5442CE24" w14:textId="77777777" w:rsidR="003F26B9" w:rsidRDefault="003F26B9" w:rsidP="00733709">
      <w:pPr>
        <w:jc w:val="center"/>
        <w:rPr>
          <w:rFonts w:ascii="Times New Roman" w:hAnsi="Times New Roman" w:cs="Times New Roman"/>
          <w:b/>
          <w:bCs/>
          <w:sz w:val="32"/>
          <w:szCs w:val="32"/>
        </w:rPr>
      </w:pPr>
    </w:p>
    <w:p w14:paraId="707C7366" w14:textId="51F2375D" w:rsidR="00733709" w:rsidRDefault="00733709" w:rsidP="00733709">
      <w:pPr>
        <w:jc w:val="center"/>
        <w:rPr>
          <w:rFonts w:ascii="Times New Roman" w:hAnsi="Times New Roman" w:cs="Times New Roman"/>
          <w:b/>
          <w:bCs/>
          <w:sz w:val="32"/>
          <w:szCs w:val="32"/>
        </w:rPr>
      </w:pPr>
      <w:r w:rsidRPr="00733709">
        <w:rPr>
          <w:rFonts w:ascii="Times New Roman" w:hAnsi="Times New Roman" w:cs="Times New Roman"/>
          <w:b/>
          <w:bCs/>
          <w:sz w:val="32"/>
          <w:szCs w:val="32"/>
        </w:rPr>
        <w:t xml:space="preserve">Next-Generation Probiotics, Postbiotics, and </w:t>
      </w:r>
      <w:proofErr w:type="spellStart"/>
      <w:r w:rsidRPr="00733709">
        <w:rPr>
          <w:rFonts w:ascii="Times New Roman" w:hAnsi="Times New Roman" w:cs="Times New Roman"/>
          <w:b/>
          <w:bCs/>
          <w:sz w:val="32"/>
          <w:szCs w:val="32"/>
        </w:rPr>
        <w:t>Paraprobiotics</w:t>
      </w:r>
      <w:proofErr w:type="spellEnd"/>
      <w:r w:rsidRPr="00733709">
        <w:rPr>
          <w:rFonts w:ascii="Times New Roman" w:hAnsi="Times New Roman" w:cs="Times New Roman"/>
          <w:b/>
          <w:bCs/>
          <w:sz w:val="32"/>
          <w:szCs w:val="32"/>
        </w:rPr>
        <w:t>: Food Technology Approaches to Control Foodborne Pathogens and Promote Human Health</w:t>
      </w:r>
    </w:p>
    <w:p w14:paraId="16CC3068" w14:textId="77777777" w:rsidR="00EE68D9" w:rsidRDefault="00EE68D9" w:rsidP="00733709">
      <w:pPr>
        <w:jc w:val="both"/>
        <w:rPr>
          <w:rFonts w:ascii="Times New Roman" w:hAnsi="Times New Roman" w:cs="Times New Roman"/>
          <w:b/>
          <w:bCs/>
          <w:sz w:val="28"/>
          <w:szCs w:val="28"/>
        </w:rPr>
      </w:pPr>
    </w:p>
    <w:p w14:paraId="1FE608C4" w14:textId="77777777" w:rsidR="00EE68D9" w:rsidRDefault="00EE68D9" w:rsidP="00733709">
      <w:pPr>
        <w:jc w:val="both"/>
        <w:rPr>
          <w:rFonts w:ascii="Times New Roman" w:hAnsi="Times New Roman" w:cs="Times New Roman"/>
          <w:b/>
          <w:bCs/>
          <w:sz w:val="28"/>
          <w:szCs w:val="28"/>
        </w:rPr>
      </w:pPr>
    </w:p>
    <w:p w14:paraId="14797F04" w14:textId="77777777" w:rsidR="00EE68D9" w:rsidRDefault="00EE68D9" w:rsidP="00733709">
      <w:pPr>
        <w:jc w:val="both"/>
        <w:rPr>
          <w:rFonts w:ascii="Times New Roman" w:hAnsi="Times New Roman" w:cs="Times New Roman"/>
          <w:b/>
          <w:bCs/>
          <w:sz w:val="28"/>
          <w:szCs w:val="28"/>
        </w:rPr>
      </w:pPr>
    </w:p>
    <w:p w14:paraId="72CD6897" w14:textId="77777777" w:rsidR="00EE68D9" w:rsidRDefault="00EE68D9" w:rsidP="00733709">
      <w:pPr>
        <w:jc w:val="both"/>
        <w:rPr>
          <w:rFonts w:ascii="Times New Roman" w:hAnsi="Times New Roman" w:cs="Times New Roman"/>
          <w:b/>
          <w:bCs/>
          <w:sz w:val="28"/>
          <w:szCs w:val="28"/>
        </w:rPr>
      </w:pPr>
    </w:p>
    <w:p w14:paraId="7163F428" w14:textId="140A8643"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Abstract</w:t>
      </w:r>
    </w:p>
    <w:p w14:paraId="229A962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evolution of probiotic science has ushered in a new era of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offering innovative solutions for foodborne pathogen control and human health promotion. This comprehensive review examines the current state of these bioactive compounds and their applications in food technology. Next-generation probiotics, including genetically engineered strains and novel species beyond traditional Lactobacillus and Bifidobacterium, demonstrate enhanced therapeutic potential and targeted functionality. Postbiotics, comprising metabolites and cellular components from probiotic fermentation, provide stable, safe alternatives with proven antimicrobial and immunomodulatory properties.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or inactivated probiotic cells, retain beneficial effects while eliminating viability concerns. Food technology applications include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functional food development, and pathogen inhibition systems. Mechanisms of action involve competitive exclusion, antimicrobial compound production, immune system modulation, and gut barrier enhancement. Current challenges include regulatory frameworks, standardization, and scalability for industrial applications. Emerging trends focus on personalized nutrition, microbiome-targeted therapies, and sustainable production methods. This review synthesizes recent advances, identifies research gaps, and provides insights into future directions for these promising biotechnological tools in food safety and human health applications.</w:t>
      </w:r>
    </w:p>
    <w:p w14:paraId="1F7EEDC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b/>
          <w:bCs/>
          <w:sz w:val="28"/>
          <w:szCs w:val="28"/>
        </w:rPr>
        <w:t>Keywords:</w:t>
      </w:r>
      <w:r w:rsidRPr="00733709">
        <w:rPr>
          <w:rFonts w:ascii="Times New Roman" w:hAnsi="Times New Roman" w:cs="Times New Roman"/>
          <w:sz w:val="28"/>
          <w:szCs w:val="28"/>
        </w:rPr>
        <w:t xml:space="preserve"> probiotics, postbiotics,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food technology, foodborne pathogens, human health, </w:t>
      </w:r>
      <w:proofErr w:type="spellStart"/>
      <w:r w:rsidRPr="00733709">
        <w:rPr>
          <w:rFonts w:ascii="Times New Roman" w:hAnsi="Times New Roman" w:cs="Times New Roman"/>
          <w:sz w:val="28"/>
          <w:szCs w:val="28"/>
        </w:rPr>
        <w:t>biopreservation</w:t>
      </w:r>
      <w:proofErr w:type="spellEnd"/>
    </w:p>
    <w:p w14:paraId="637480B8"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lastRenderedPageBreak/>
        <w:t>1. Introduction</w:t>
      </w:r>
    </w:p>
    <w:p w14:paraId="077B111A"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The global food industry faces increasing challenges in ensuring food safety while meeting consumer demands for natural, minimally processed products that promote health and wellness. Traditional food preservation methods, while effective, often compromise nutritional quality and sensory attributes, leading to growing interest in biological preservation strategies. The emergence of probiotics as "live microorganisms that confer health benefits to the host when administered in adequate amounts" has revolutionized approaches to food safety and human health promotion (Hill et al., 2014).</w:t>
      </w:r>
    </w:p>
    <w:p w14:paraId="174BC86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probiotic landscape has evolved significantly beyond conventional Lactobacillus and Bifidobacterium strains, giving rise to next-generation probiotics that offer enhanced functionality and targeted therapeutic applications. Simultaneously, the development of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has expanded the toolkit available to food technologists and health professionals, providing alternatives that address limitations associated with live probiotic cultures, including stability, safety concerns, and regulatory challenges (Salminen et al., 2021).</w:t>
      </w:r>
    </w:p>
    <w:p w14:paraId="51539C2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Next-generation probiotics encompass genetically engineered strains, novel bacterial species, and innovative delivery systems designed to optimize therapeutic outcomes and industrial applications. These advanced formulations demonstrate superior resilience to environmental stresses, enhanced colonization capabilities, and targeted bioactive compound production (O'Toole et al., 2017). Postbiotics, defined as "a preparation of inanimate microorganisms and/or their components that confers a health benefit on the host," offer stability advantages and eliminate concerns related to bacterial translocation and infection risk (Salminen et al., 2021).</w:t>
      </w:r>
    </w:p>
    <w:p w14:paraId="0F99D591" w14:textId="77777777" w:rsidR="00733709" w:rsidRPr="00733709" w:rsidRDefault="00733709" w:rsidP="00733709">
      <w:pPr>
        <w:jc w:val="both"/>
        <w:rPr>
          <w:rFonts w:ascii="Times New Roman" w:hAnsi="Times New Roman" w:cs="Times New Roman"/>
          <w:sz w:val="28"/>
          <w:szCs w:val="28"/>
        </w:rPr>
      </w:pP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also known as ghost probiotics or inactivated probiotics, represent non-viable microbial cells that retain immunomodulatory and health-promoting properties while addressing safety concerns associated with live cultures in immunocompromised populations (</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 These innovative approaches provide food manufacturers with versatile tools for developing functional foods that combine safety, efficacy, and consumer appeal.</w:t>
      </w:r>
    </w:p>
    <w:p w14:paraId="1BA2CFE7"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food technology applications of these bioactive compounds extend beyond traditional fermented products to include fresh produce preservation, meat and dairy product enhancement, and novel functional food formulations. Their </w:t>
      </w:r>
      <w:r w:rsidRPr="00733709">
        <w:rPr>
          <w:rFonts w:ascii="Times New Roman" w:hAnsi="Times New Roman" w:cs="Times New Roman"/>
          <w:sz w:val="28"/>
          <w:szCs w:val="28"/>
        </w:rPr>
        <w:lastRenderedPageBreak/>
        <w:t>mechanisms of action involve complex interactions with foodborne pathogens, food matrices, and host physiological systems, creating multi-layered benefits that address both food safety and human health objectives (Piqué et al., 2019).</w:t>
      </w:r>
    </w:p>
    <w:p w14:paraId="500E9B8C"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This comprehensive review examines the current state of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focusing on their applications in food technology for foodborne pathogen control and human health promotion. We </w:t>
      </w:r>
      <w:proofErr w:type="spellStart"/>
      <w:r w:rsidRPr="00733709">
        <w:rPr>
          <w:rFonts w:ascii="Times New Roman" w:hAnsi="Times New Roman" w:cs="Times New Roman"/>
          <w:sz w:val="28"/>
          <w:szCs w:val="28"/>
        </w:rPr>
        <w:t>analyze</w:t>
      </w:r>
      <w:proofErr w:type="spellEnd"/>
      <w:r w:rsidRPr="00733709">
        <w:rPr>
          <w:rFonts w:ascii="Times New Roman" w:hAnsi="Times New Roman" w:cs="Times New Roman"/>
          <w:sz w:val="28"/>
          <w:szCs w:val="28"/>
        </w:rPr>
        <w:t xml:space="preserve"> recent advances in understanding their mechanisms of action, evaluate current industrial applications, and identify future research directions that will shape the development of these promising biotechnological tools.</w:t>
      </w:r>
    </w:p>
    <w:p w14:paraId="5B722066"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 Next-Generation Probiotics: Beyond Traditional Strains</w:t>
      </w:r>
    </w:p>
    <w:p w14:paraId="4451E164"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2.1 Definition and Characteristics</w:t>
      </w:r>
    </w:p>
    <w:p w14:paraId="1440883B"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Next-generation probiotics represent an evolution from traditional probiotic strains, incorporating advanced biotechnological approaches to enhance functionality, stability, and therapeutic potential. These innovative formulations include genetically modified organisms (GMOs), novel bacterial species, engineered delivery systems, and multi-strain consortia designed for specific applications (Kristensen et al., 2016). Unlike conventional probiotics that rely primarily on Lactobacillus and Bifidobacterium species, next-generation probiotics explore diverse microbial communities and employ cutting-edge technologies to optimize performance.</w:t>
      </w:r>
    </w:p>
    <w:p w14:paraId="0AB6FD2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The development of next-generation probiotics addresses limitations of traditional strains, including poor survival under harsh conditions, limited colonization capabilities, variable therapeutic outcomes, and narrow spectrum of bioactive compound production. Advanced engineering approaches enable the creation of strains with enhanced acid and bile tolerance, improved adherence properties, targeted metabolite production, and specialized functionality for specific health conditions (Sanders et al., 2018).</w:t>
      </w:r>
    </w:p>
    <w:p w14:paraId="291B749A" w14:textId="4A68EE92" w:rsidR="00733709" w:rsidRDefault="0066166C" w:rsidP="00733709">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6952C4F" wp14:editId="052D7991">
                <wp:simplePos x="0" y="0"/>
                <wp:positionH relativeFrom="column">
                  <wp:posOffset>1200150</wp:posOffset>
                </wp:positionH>
                <wp:positionV relativeFrom="paragraph">
                  <wp:posOffset>1746885</wp:posOffset>
                </wp:positionV>
                <wp:extent cx="2962275" cy="1943100"/>
                <wp:effectExtent l="0" t="0" r="28575" b="19050"/>
                <wp:wrapNone/>
                <wp:docPr id="1768015323" name="Text Box 1"/>
                <wp:cNvGraphicFramePr/>
                <a:graphic xmlns:a="http://schemas.openxmlformats.org/drawingml/2006/main">
                  <a:graphicData uri="http://schemas.microsoft.com/office/word/2010/wordprocessingShape">
                    <wps:wsp>
                      <wps:cNvSpPr txBox="1"/>
                      <wps:spPr>
                        <a:xfrm>
                          <a:off x="0" y="0"/>
                          <a:ext cx="2962275" cy="1943100"/>
                        </a:xfrm>
                        <a:prstGeom prst="rect">
                          <a:avLst/>
                        </a:prstGeom>
                        <a:solidFill>
                          <a:schemeClr val="lt1"/>
                        </a:solidFill>
                        <a:ln w="6350">
                          <a:solidFill>
                            <a:schemeClr val="bg1"/>
                          </a:solidFill>
                        </a:ln>
                      </wps:spPr>
                      <wps:txbx>
                        <w:txbxContent>
                          <w:p w14:paraId="47186BF5" w14:textId="7A1C9445" w:rsidR="0066166C" w:rsidRDefault="0066166C">
                            <w:bookmarkStart w:id="0" w:name="_Hlk208670493"/>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52C4F" id="_x0000_t202" coordsize="21600,21600" o:spt="202" path="m,l,21600r21600,l21600,xe">
                <v:stroke joinstyle="miter"/>
                <v:path gradientshapeok="t" o:connecttype="rect"/>
              </v:shapetype>
              <v:shape id="Text Box 1" o:spid="_x0000_s1026" type="#_x0000_t202" style="position:absolute;left:0;text-align:left;margin-left:94.5pt;margin-top:137.55pt;width:233.2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RzUgIAAKsEAAAOAAAAZHJzL2Uyb0RvYy54bWysVNtOGzEQfa/Uf7D8XvaSCxCxQSmIqhIC&#10;JEA8O15vspLX49pOdunX99hJuJWnqi/eufl45szMnp0PnWZb5XxLpuLFUc6ZMpLq1qwq/vhw9e2E&#10;Mx+EqYUmoyr+rDw/n3/9ctbbmSppTbpWjgHE+FlvK74Owc6yzMu16oQ/IqsMnA25TgSobpXVTvRA&#10;73RW5vk068nV1pFU3sN6uXPyecJvGiXDbdN4FZiuOHIL6XTpXMYzm5+J2coJu27lPg3xD1l0ojV4&#10;9AXqUgTBNq79C6prpSNPTTiS1GXUNK1UqQZUU+QfqrlfC6tSLSDH2xea/P+DlTfbO8faGr07np7k&#10;xWRUjjgzokOvHtQQ2HcaWBFp6q2fIfreIj4MMOPKwe5hjNUPjeviF3Ux+EH48wvJEUzCWJ5Oy/J4&#10;wpmErzgdj4o8tSF7vW6dDz8UdSwKFXfoYiJXbK99QCoIPYTE1zzptr5qtU5KnBx1oR3bCvRch5Qk&#10;bryL0ob1FZ+OJnkCfudLs/eKsFx9ggA8bZBIJGVXfJTCsBz2TC2pfgZRjnYT5628alHMtfDhTjiM&#10;GLjB2oRbHI0mJEN7ibM1ud+f2WM8Og8vZz1GtuL+10Y4xZn+aTATp8V4HGc8KePJcQnFvfUs33rM&#10;prsgMFRgQa1MYowP+iA2jronbNcivgqXMBJvVzwcxIuwWyRsp1SLRQrCVFsRrs29lRE6diS26mF4&#10;Es7u+xkwCjd0GG4x+9DWXWy8aWixCdS0qeeR4B2re96xEWkU9tsbV+6tnqJe/zHzPwAAAP//AwBQ&#10;SwMEFAAGAAgAAAAhACV2nDvhAAAACwEAAA8AAABkcnMvZG93bnJldi54bWxMj0FLw0AUhO+C/2F5&#10;gje7Se22MWZTgiKCFcTWi7fX7DMJZt+G7LZN/73rSY/DDDPfFOvJ9uJIo+8ca0hnCQji2pmOGw0f&#10;u6ebDIQPyAZ7x6ThTB7W5eVFgblxJ36n4zY0Ipawz1FDG8KQS+nrliz6mRuIo/flRoshyrGRZsRT&#10;LLe9nCfJUlrsOC60ONBDS/X39mA1vCw+8fE2bOgceHqrqudsWPhXra+vpuoeRKAp/IXhFz+iQxmZ&#10;9u7Axos+6uwufgka5iuVgoiJpVIKxF6DytIUZFnI/x/KHwAAAP//AwBQSwECLQAUAAYACAAAACEA&#10;toM4kv4AAADhAQAAEwAAAAAAAAAAAAAAAAAAAAAAW0NvbnRlbnRfVHlwZXNdLnhtbFBLAQItABQA&#10;BgAIAAAAIQA4/SH/1gAAAJQBAAALAAAAAAAAAAAAAAAAAC8BAABfcmVscy8ucmVsc1BLAQItABQA&#10;BgAIAAAAIQAnfrRzUgIAAKsEAAAOAAAAAAAAAAAAAAAAAC4CAABkcnMvZTJvRG9jLnhtbFBLAQIt&#10;ABQABgAIAAAAIQAldpw74QAAAAsBAAAPAAAAAAAAAAAAAAAAAKwEAABkcnMvZG93bnJldi54bWxQ&#10;SwUGAAAAAAQABADzAAAAugUAAAAA&#10;" fillcolor="white [3201]" strokecolor="white [3212]" strokeweight=".5pt">
                <v:textbox>
                  <w:txbxContent>
                    <w:p w14:paraId="47186BF5" w14:textId="7A1C9445" w:rsidR="0066166C" w:rsidRDefault="0066166C">
                      <w:bookmarkStart w:id="1" w:name="_Hlk208670493"/>
                      <w:bookmarkEnd w:id="1"/>
                    </w:p>
                  </w:txbxContent>
                </v:textbox>
              </v:shape>
            </w:pict>
          </mc:Fallback>
        </mc:AlternateContent>
      </w:r>
      <w:r w:rsidR="00733709" w:rsidRPr="00733709">
        <w:rPr>
          <w:rFonts w:ascii="Times New Roman" w:hAnsi="Times New Roman" w:cs="Times New Roman"/>
          <w:sz w:val="28"/>
          <w:szCs w:val="28"/>
        </w:rPr>
        <w:t>Genetic modification techniques allow for the incorporation of specific traits that enhance probiotic efficacy, such as increased production of antimicrobial compounds, improved stress resistance, enhanced immune system interaction, and targeted delivery of therapeutic molecules. These modifications can include the introduction of genes encoding antimicrobial peptides, immune-modulating proteins, or enzymes that degrade harmful compounds in the gastrointestinal tract (Araya-Cloutier et al., 2018).</w:t>
      </w:r>
    </w:p>
    <w:p w14:paraId="5875AF60" w14:textId="77777777" w:rsidR="00733709" w:rsidRPr="00733709" w:rsidRDefault="00733709" w:rsidP="00733709">
      <w:pPr>
        <w:jc w:val="both"/>
        <w:rPr>
          <w:rFonts w:ascii="Times New Roman" w:hAnsi="Times New Roman" w:cs="Times New Roman"/>
          <w:sz w:val="28"/>
          <w:szCs w:val="28"/>
        </w:rPr>
      </w:pPr>
    </w:p>
    <w:p w14:paraId="7C557249" w14:textId="35710B76" w:rsidR="0066166C" w:rsidRDefault="007E31C0" w:rsidP="00733709">
      <w:pPr>
        <w:jc w:val="both"/>
        <w:rPr>
          <w:rFonts w:ascii="Times New Roman" w:hAnsi="Times New Roman" w:cs="Times New Roman"/>
          <w:b/>
          <w:bCs/>
          <w:sz w:val="28"/>
          <w:szCs w:val="28"/>
        </w:rPr>
      </w:pPr>
      <w:r>
        <w:rPr>
          <w:noProof/>
        </w:rPr>
        <w:drawing>
          <wp:inline distT="0" distB="0" distL="0" distR="0" wp14:anchorId="4CD17307" wp14:editId="7F9A11D2">
            <wp:extent cx="2809875" cy="1819275"/>
            <wp:effectExtent l="0" t="0" r="9525" b="9525"/>
            <wp:docPr id="1626907681" name="Picture 2" descr="Probiotics and Paraprobiotics—New Proposal for Functional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biotics and Paraprobiotics—New Proposal for Functional Foo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9875" cy="1819275"/>
                    </a:xfrm>
                    <a:prstGeom prst="rect">
                      <a:avLst/>
                    </a:prstGeom>
                    <a:noFill/>
                    <a:ln>
                      <a:noFill/>
                    </a:ln>
                  </pic:spPr>
                </pic:pic>
              </a:graphicData>
            </a:graphic>
          </wp:inline>
        </w:drawing>
      </w:r>
    </w:p>
    <w:p w14:paraId="43A14989" w14:textId="2E975B66" w:rsidR="0066166C" w:rsidRDefault="007E31C0" w:rsidP="00733709">
      <w:pPr>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E99E168" wp14:editId="3F02EF49">
                <wp:simplePos x="0" y="0"/>
                <wp:positionH relativeFrom="column">
                  <wp:posOffset>423781</wp:posOffset>
                </wp:positionH>
                <wp:positionV relativeFrom="paragraph">
                  <wp:posOffset>92769</wp:posOffset>
                </wp:positionV>
                <wp:extent cx="2657475" cy="314325"/>
                <wp:effectExtent l="0" t="0" r="28575" b="28575"/>
                <wp:wrapNone/>
                <wp:docPr id="605193007" name="Text Box 3"/>
                <wp:cNvGraphicFramePr/>
                <a:graphic xmlns:a="http://schemas.openxmlformats.org/drawingml/2006/main">
                  <a:graphicData uri="http://schemas.microsoft.com/office/word/2010/wordprocessingShape">
                    <wps:wsp>
                      <wps:cNvSpPr txBox="1"/>
                      <wps:spPr>
                        <a:xfrm>
                          <a:off x="0" y="0"/>
                          <a:ext cx="2657475" cy="314325"/>
                        </a:xfrm>
                        <a:prstGeom prst="rect">
                          <a:avLst/>
                        </a:prstGeom>
                        <a:solidFill>
                          <a:schemeClr val="lt1"/>
                        </a:solidFill>
                        <a:ln w="6350">
                          <a:solidFill>
                            <a:schemeClr val="bg1"/>
                          </a:solidFill>
                        </a:ln>
                      </wps:spPr>
                      <wps:txbx>
                        <w:txbxContent>
                          <w:p w14:paraId="2CC72AE5" w14:textId="77777777" w:rsidR="0066166C" w:rsidRPr="0066166C" w:rsidRDefault="0066166C" w:rsidP="0066166C">
                            <w:pPr>
                              <w:rPr>
                                <w:rFonts w:ascii="Times New Roman" w:hAnsi="Times New Roman" w:cs="Times New Roman"/>
                                <w:sz w:val="20"/>
                                <w:szCs w:val="20"/>
                              </w:rPr>
                            </w:pPr>
                            <w:r w:rsidRPr="0066166C">
                              <w:rPr>
                                <w:rFonts w:ascii="Times New Roman" w:hAnsi="Times New Roman" w:cs="Times New Roman"/>
                                <w:sz w:val="20"/>
                                <w:szCs w:val="20"/>
                              </w:rPr>
                              <w:t xml:space="preserve">Fig – 1 : Probiotics and </w:t>
                            </w:r>
                            <w:proofErr w:type="spellStart"/>
                            <w:r w:rsidRPr="0066166C">
                              <w:rPr>
                                <w:rFonts w:ascii="Times New Roman" w:hAnsi="Times New Roman" w:cs="Times New Roman"/>
                                <w:sz w:val="20"/>
                                <w:szCs w:val="20"/>
                              </w:rPr>
                              <w:t>Paraprobiotics</w:t>
                            </w:r>
                            <w:proofErr w:type="spellEnd"/>
                          </w:p>
                          <w:p w14:paraId="29DFAE46" w14:textId="6FC5561A" w:rsidR="0066166C" w:rsidRDefault="006616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E168" id="Text Box 3" o:spid="_x0000_s1027" type="#_x0000_t202" style="position:absolute;left:0;text-align:left;margin-left:33.35pt;margin-top:7.3pt;width:209.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rQUgIAALAEAAAOAAAAZHJzL2Uyb0RvYy54bWysVE1v2zAMvQ/YfxB0X2wncbIacYosRYYB&#10;RVsgGXpWZDk2IIuapMTOfv0oOV/tehp2USiSfiIfHzO77xpJDsLYGlROk0FMiVAcilrtcvpzs/ry&#10;lRLrmCqYBCVyehSW3s8/f5q1OhNDqEAWwhAEUTZrdU4r53QWRZZXomF2AFooDJZgGubwanZRYViL&#10;6I2MhnE8iVowhTbAhbXofeiDdB7wy1Jw91yWVjgic4q1uXCacG79Gc1nLNsZpquan8pg/1BFw2qF&#10;j16gHphjZG/qv6CamhuwULoBhyaCsqy5CD1gN0n8rpt1xbQIvSA5Vl9osv8Plj8dXgypi5xO4jS5&#10;G8XxlBLFGhzVRnSOfIOOjDxLrbYZJq81prsO3Tjts9+i0zfflabxv9gWwTjyfbxw7ME4OoeTdDqe&#10;ppRwjI2S8WiYepjo+rU21n0X0BBv5NTgDAO17PBoXZ96TvGPWZB1saqlDBevG7GUhhwYTly6UCOC&#10;v8mSirTY8CiNA/CbWFDeFWG7+wAB8aTCmj0nfe/ect22C0xeeNlCcUS6DPSys5qvauzpkVn3wgzq&#10;DBnC3XHPeJQSsCY4WZRUYH5/5Pf5OH6MUtKibnNqf+2ZEZTIHwqFcZeMx17o4TJOp0O8mNvI9jai&#10;9s0SkKgEt1TzYPp8J89maaB5xRVb+FcxxBTHt3PqzubS9duEK8rFYhGSUNqauUe11txD+8H4iW26&#10;V2b0aawOBfEEZ4Wz7N10+1z/pYLF3kFZh9F7nntWT/TjWgTxnFbY793tPWRd/2jmfwAAAP//AwBQ&#10;SwMEFAAGAAgAAAAhANFuEaTdAAAACAEAAA8AAABkcnMvZG93bnJldi54bWxMj8FKw0AQhu+C77CM&#10;4M1uWtcYYjYlKCJoQaxevE2TMQlmZ0N226Zv73jS48z38883xXp2gzrQFHrPFpaLBBRx7ZueWwsf&#10;749XGagQkRscPJOFEwVYl+dnBeaNP/IbHbaxVVLCIUcLXYxjrnWoO3IYFn4kFvblJ4dRxqnVzYRH&#10;KXeDXiVJqh32LBc6HOm+o/p7u3cWns0nPlzHFzpFnl+r6ikbTdhYe3kxV3egIs3xLwy/+qIOpTjt&#10;/J6boAYLaXorSdmbFJRwk92sQO0EmCXostD/Hyh/AAAA//8DAFBLAQItABQABgAIAAAAIQC2gziS&#10;/gAAAOEBAAATAAAAAAAAAAAAAAAAAAAAAABbQ29udGVudF9UeXBlc10ueG1sUEsBAi0AFAAGAAgA&#10;AAAhADj9If/WAAAAlAEAAAsAAAAAAAAAAAAAAAAALwEAAF9yZWxzLy5yZWxzUEsBAi0AFAAGAAgA&#10;AAAhAKg+OtBSAgAAsAQAAA4AAAAAAAAAAAAAAAAALgIAAGRycy9lMm9Eb2MueG1sUEsBAi0AFAAG&#10;AAgAAAAhANFuEaTdAAAACAEAAA8AAAAAAAAAAAAAAAAArAQAAGRycy9kb3ducmV2LnhtbFBLBQYA&#10;AAAABAAEAPMAAAC2BQAAAAA=&#10;" fillcolor="white [3201]" strokecolor="white [3212]" strokeweight=".5pt">
                <v:textbox>
                  <w:txbxContent>
                    <w:p w14:paraId="2CC72AE5" w14:textId="77777777" w:rsidR="0066166C" w:rsidRPr="0066166C" w:rsidRDefault="0066166C" w:rsidP="0066166C">
                      <w:pPr>
                        <w:rPr>
                          <w:rFonts w:ascii="Times New Roman" w:hAnsi="Times New Roman" w:cs="Times New Roman"/>
                          <w:sz w:val="20"/>
                          <w:szCs w:val="20"/>
                        </w:rPr>
                      </w:pPr>
                      <w:r w:rsidRPr="0066166C">
                        <w:rPr>
                          <w:rFonts w:ascii="Times New Roman" w:hAnsi="Times New Roman" w:cs="Times New Roman"/>
                          <w:sz w:val="20"/>
                          <w:szCs w:val="20"/>
                        </w:rPr>
                        <w:t xml:space="preserve">Fig – 1 : Probiotics and </w:t>
                      </w:r>
                      <w:proofErr w:type="spellStart"/>
                      <w:r w:rsidRPr="0066166C">
                        <w:rPr>
                          <w:rFonts w:ascii="Times New Roman" w:hAnsi="Times New Roman" w:cs="Times New Roman"/>
                          <w:sz w:val="20"/>
                          <w:szCs w:val="20"/>
                        </w:rPr>
                        <w:t>Paraprobiotics</w:t>
                      </w:r>
                      <w:proofErr w:type="spellEnd"/>
                    </w:p>
                    <w:p w14:paraId="29DFAE46" w14:textId="6FC5561A" w:rsidR="0066166C" w:rsidRDefault="0066166C"/>
                  </w:txbxContent>
                </v:textbox>
              </v:shape>
            </w:pict>
          </mc:Fallback>
        </mc:AlternateContent>
      </w:r>
    </w:p>
    <w:p w14:paraId="0F1D75BE" w14:textId="32A08134" w:rsidR="0066166C" w:rsidRDefault="0066166C" w:rsidP="00733709">
      <w:pPr>
        <w:jc w:val="both"/>
        <w:rPr>
          <w:rFonts w:ascii="Times New Roman" w:hAnsi="Times New Roman" w:cs="Times New Roman"/>
          <w:b/>
          <w:bCs/>
          <w:sz w:val="28"/>
          <w:szCs w:val="28"/>
        </w:rPr>
      </w:pPr>
    </w:p>
    <w:p w14:paraId="423510B8" w14:textId="2FD23711" w:rsidR="0066166C" w:rsidRDefault="0066166C" w:rsidP="00733709">
      <w:pPr>
        <w:jc w:val="both"/>
        <w:rPr>
          <w:rFonts w:ascii="Times New Roman" w:hAnsi="Times New Roman" w:cs="Times New Roman"/>
          <w:b/>
          <w:bCs/>
          <w:sz w:val="28"/>
          <w:szCs w:val="28"/>
        </w:rPr>
      </w:pPr>
    </w:p>
    <w:p w14:paraId="1D54F5D7" w14:textId="5E88D3E0"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2.2 Novel Bacterial Species and Strains</w:t>
      </w:r>
    </w:p>
    <w:p w14:paraId="5F67EDE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Recent microbiome research has identified numerous bacterial species with probiotic potential beyond traditional genera. </w:t>
      </w:r>
      <w:proofErr w:type="spellStart"/>
      <w:r w:rsidRPr="00733709">
        <w:rPr>
          <w:rFonts w:ascii="Times New Roman" w:hAnsi="Times New Roman" w:cs="Times New Roman"/>
          <w:sz w:val="28"/>
          <w:szCs w:val="28"/>
        </w:rPr>
        <w:t>Akkermansia</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muciniphila</w:t>
      </w:r>
      <w:proofErr w:type="spellEnd"/>
      <w:r w:rsidRPr="00733709">
        <w:rPr>
          <w:rFonts w:ascii="Times New Roman" w:hAnsi="Times New Roman" w:cs="Times New Roman"/>
          <w:sz w:val="28"/>
          <w:szCs w:val="28"/>
        </w:rPr>
        <w:t xml:space="preserve"> has emerged as a promising next-generation probiotic due to its association with metabolic health and its ability to strengthen the intestinal barrier (Everard et al., 2013). This mucin-degrading bacterium demonstrates unique properties in maintaining gut homeostasis and has shown therapeutic potential in metabolic disorders and inflammatory conditions.</w:t>
      </w:r>
    </w:p>
    <w:p w14:paraId="311F9F79" w14:textId="77777777" w:rsidR="00733709" w:rsidRPr="00733709" w:rsidRDefault="00733709" w:rsidP="00733709">
      <w:pPr>
        <w:jc w:val="both"/>
        <w:rPr>
          <w:rFonts w:ascii="Times New Roman" w:hAnsi="Times New Roman" w:cs="Times New Roman"/>
          <w:sz w:val="28"/>
          <w:szCs w:val="28"/>
        </w:rPr>
      </w:pPr>
      <w:proofErr w:type="spellStart"/>
      <w:r w:rsidRPr="00733709">
        <w:rPr>
          <w:rFonts w:ascii="Times New Roman" w:hAnsi="Times New Roman" w:cs="Times New Roman"/>
          <w:sz w:val="28"/>
          <w:szCs w:val="28"/>
        </w:rPr>
        <w:t>Faecalibacterium</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prausnitzii</w:t>
      </w:r>
      <w:proofErr w:type="spellEnd"/>
      <w:r w:rsidRPr="00733709">
        <w:rPr>
          <w:rFonts w:ascii="Times New Roman" w:hAnsi="Times New Roman" w:cs="Times New Roman"/>
          <w:sz w:val="28"/>
          <w:szCs w:val="28"/>
        </w:rPr>
        <w:t>, a major butyrate producer in the human gut, represents another promising candidate for next-generation probiotic development. This strict anaerobe plays crucial roles in maintaining gut barrier function and immune homeostasis, though its cultivation and formulation present technical challenges that require innovative solutions (Martín et al., 2023). Advanced encapsulation and delivery systems are being developed to maintain viability and functionality of oxygen-sensitive strains.</w:t>
      </w:r>
    </w:p>
    <w:p w14:paraId="2535C0E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Bacteroides species, traditionally considered commensals, are being investigated for their potential as next-generation probiotics due to their ability to modulate immune responses and compete with pathogenic bacteria. Engineered Bacteroides strains have been developed to deliver therapeutic compounds directly to the gut, taking advantage of their natural colonization capabilities and established presence in the human microbiome (Isabella et al., 2018).</w:t>
      </w:r>
    </w:p>
    <w:p w14:paraId="1A35E62A"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 xml:space="preserve">Bacillus species, particularly spore-forming strains, offer advantages in stability and survival that make them attractive candidates for next-generation probiotic applications. Bacillus </w:t>
      </w:r>
      <w:proofErr w:type="spellStart"/>
      <w:r w:rsidRPr="00733709">
        <w:rPr>
          <w:rFonts w:ascii="Times New Roman" w:hAnsi="Times New Roman" w:cs="Times New Roman"/>
          <w:sz w:val="28"/>
          <w:szCs w:val="28"/>
        </w:rPr>
        <w:t>coagulans</w:t>
      </w:r>
      <w:proofErr w:type="spellEnd"/>
      <w:r w:rsidRPr="00733709">
        <w:rPr>
          <w:rFonts w:ascii="Times New Roman" w:hAnsi="Times New Roman" w:cs="Times New Roman"/>
          <w:sz w:val="28"/>
          <w:szCs w:val="28"/>
        </w:rPr>
        <w:t xml:space="preserve">, Bacillus subtilis, and Bacillus </w:t>
      </w:r>
      <w:proofErr w:type="spellStart"/>
      <w:r w:rsidRPr="00733709">
        <w:rPr>
          <w:rFonts w:ascii="Times New Roman" w:hAnsi="Times New Roman" w:cs="Times New Roman"/>
          <w:sz w:val="28"/>
          <w:szCs w:val="28"/>
        </w:rPr>
        <w:t>clausii</w:t>
      </w:r>
      <w:proofErr w:type="spellEnd"/>
      <w:r w:rsidRPr="00733709">
        <w:rPr>
          <w:rFonts w:ascii="Times New Roman" w:hAnsi="Times New Roman" w:cs="Times New Roman"/>
          <w:sz w:val="28"/>
          <w:szCs w:val="28"/>
        </w:rPr>
        <w:t xml:space="preserve"> demonstrate resistance to heat, acid, and antibiotics while maintaining beneficial properties including antimicrobial activity and immune modulation (</w:t>
      </w:r>
      <w:proofErr w:type="spellStart"/>
      <w:r w:rsidRPr="00733709">
        <w:rPr>
          <w:rFonts w:ascii="Times New Roman" w:hAnsi="Times New Roman" w:cs="Times New Roman"/>
          <w:sz w:val="28"/>
          <w:szCs w:val="28"/>
        </w:rPr>
        <w:t>Elshaghabee</w:t>
      </w:r>
      <w:proofErr w:type="spellEnd"/>
      <w:r w:rsidRPr="00733709">
        <w:rPr>
          <w:rFonts w:ascii="Times New Roman" w:hAnsi="Times New Roman" w:cs="Times New Roman"/>
          <w:sz w:val="28"/>
          <w:szCs w:val="28"/>
        </w:rPr>
        <w:t xml:space="preserve"> et al., 2017).</w:t>
      </w:r>
    </w:p>
    <w:p w14:paraId="20CB8BFD"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2.3 Genetic Engineering and Bioengineering Approaches</w:t>
      </w:r>
    </w:p>
    <w:p w14:paraId="3BC61B4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Genetic engineering techniques enable the development of probiotic strains with enhanced or novel functionalities tailored for specific applications. CRISPR-Cas systems have revolutionized the ability to precisely modify probiotic bacteria, allowing for the introduction of beneficial traits while maintaining strain identity and safety profiles (Torres-Barceló, 2018). These modifications can include enhanced production of bioactive compounds, improved stress tolerance, and targeted delivery capabilities.</w:t>
      </w:r>
    </w:p>
    <w:p w14:paraId="3A10B594"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Synthetic biology approaches allow for the design of entirely new biological systems within probiotic bacteria, creating "designer probiotics" that can perform specific functions such as sensing and responding to disease biomarkers, producing therapeutic compounds on demand, or delivering vaccines and other biologics (Torres et al., 2016). These engineered systems can be designed with built-in safety mechanisms to prevent uncontrolled growth or gene transfer.</w:t>
      </w:r>
    </w:p>
    <w:p w14:paraId="2E12B93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Metabolic engineering techniques enable the optimization of probiotic metabolism to enhance the production of beneficial compounds such as short-chain fatty acids, vitamins, antimicrobial peptides, and other bioactive molecules. These modifications can improve the therapeutic potential of probiotic strains while maintaining their safety and stability profiles (Rodríguez-Nogales et al., 2018).</w:t>
      </w:r>
    </w:p>
    <w:p w14:paraId="1F596E7F"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2.4 Advanced Delivery Systems and Formulations</w:t>
      </w:r>
    </w:p>
    <w:p w14:paraId="44F0B1F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Next-generation probiotics incorporate advanced delivery systems designed to protect bacterial viability, enhance colonization, and target specific sites of action within the host. Microencapsulation technologies using various materials such as alginate, chitosan, and resistant starches provide protection against environmental stresses while enabling controlled release in the gastrointestinal tract (Cook et al., 2012).</w:t>
      </w:r>
    </w:p>
    <w:p w14:paraId="60E9050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Nanoencapsulation systems offer enhanced protection and targeted delivery capabilities, utilizing materials such as liposomes, solid lipid nanoparticles, and polymeric nanoparticles to encapsulate probiotic cells or their bioactive compounds. These systems can be designed to respond to specific environmental conditions, such as pH or enzymatic activity, enabling site-specific release and action (Yao et al., 2020).</w:t>
      </w:r>
    </w:p>
    <w:p w14:paraId="6673FB98"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Freeze-drying and spray-drying technologies have been optimized to maintain probiotic viability during processing and storage while enabling easy incorporation into various food matrices. Advanced formulation approaches include the use of protective agents, controlled atmosphere processing, and optimized rehydration protocols to maximize bacterial survival and functionality (</w:t>
      </w:r>
      <w:proofErr w:type="spellStart"/>
      <w:r w:rsidRPr="00733709">
        <w:rPr>
          <w:rFonts w:ascii="Times New Roman" w:hAnsi="Times New Roman" w:cs="Times New Roman"/>
          <w:sz w:val="28"/>
          <w:szCs w:val="28"/>
        </w:rPr>
        <w:t>Broeckx</w:t>
      </w:r>
      <w:proofErr w:type="spellEnd"/>
      <w:r w:rsidRPr="00733709">
        <w:rPr>
          <w:rFonts w:ascii="Times New Roman" w:hAnsi="Times New Roman" w:cs="Times New Roman"/>
          <w:sz w:val="28"/>
          <w:szCs w:val="28"/>
        </w:rPr>
        <w:t xml:space="preserve"> et al., 2016).</w:t>
      </w:r>
    </w:p>
    <w:p w14:paraId="0A87ECAF"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 Postbiotics: Metabolites and Bioactive Compounds</w:t>
      </w:r>
    </w:p>
    <w:p w14:paraId="1B8FAFB9"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3.1 Definition and Classification</w:t>
      </w:r>
    </w:p>
    <w:p w14:paraId="7254FDE2"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Postbiotics represent a paradigm shift in probiotic science, focusing on the bioactive compounds produced by beneficial bacteria rather than the living organisms themselves. The International Scientific Association for Probiotics and Prebiotics (ISAPP) defines postbiotics as "a preparation of inanimate microorganisms and/or their components that confers a health benefit on the host" (Salminen et al., 2021). This definition encompasses a broad range of compounds including metabolites, cell wall components, proteins, peptides, and other bioactive molecules derived from probiotic fermentation.</w:t>
      </w:r>
    </w:p>
    <w:p w14:paraId="419CB15A"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Postbiotics can be classified into several categories based on their origin and composition. Primary metabolites include organic acids such as lactic acid, acetic acid, and propionic acid, which contribute to pathogen inhibition and pH modulation. Secondary metabolites encompass a diverse array of compounds including bacteriocins, antimicrobial peptides, exopolysaccharides, and bioactive proteins that provide specific biological functions (Aguilar-</w:t>
      </w:r>
      <w:proofErr w:type="spellStart"/>
      <w:r w:rsidRPr="00733709">
        <w:rPr>
          <w:rFonts w:ascii="Times New Roman" w:hAnsi="Times New Roman" w:cs="Times New Roman"/>
          <w:sz w:val="28"/>
          <w:szCs w:val="28"/>
        </w:rPr>
        <w:t>Toalá</w:t>
      </w:r>
      <w:proofErr w:type="spellEnd"/>
      <w:r w:rsidRPr="00733709">
        <w:rPr>
          <w:rFonts w:ascii="Times New Roman" w:hAnsi="Times New Roman" w:cs="Times New Roman"/>
          <w:sz w:val="28"/>
          <w:szCs w:val="28"/>
        </w:rPr>
        <w:t xml:space="preserve"> et al., 2018).</w:t>
      </w:r>
    </w:p>
    <w:p w14:paraId="334C930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Cell envelope components, including peptidoglycans, lipoteichoic acids, and surface proteins, retain immunomodulatory properties even after bacterial inactivation. These components can interact with host immune receptors and provide beneficial effects without requiring viable bacteria. Extracellular vesicles produced by probiotic bacteria contain complex mixtures of proteins, lipids, and </w:t>
      </w:r>
      <w:r w:rsidRPr="00733709">
        <w:rPr>
          <w:rFonts w:ascii="Times New Roman" w:hAnsi="Times New Roman" w:cs="Times New Roman"/>
          <w:sz w:val="28"/>
          <w:szCs w:val="28"/>
        </w:rPr>
        <w:lastRenderedPageBreak/>
        <w:t>nucleic acids that mediate intercellular communication and biological effects (Molina-Tijeras et al., 2019).</w:t>
      </w:r>
    </w:p>
    <w:p w14:paraId="1BB22CE5"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3.2 Production and Isolation Methods</w:t>
      </w:r>
    </w:p>
    <w:p w14:paraId="1D71187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The production of postbiotics involves controlled fermentation of probiotic bacteria under optimized conditions to maximize the production of desired bioactive compounds. Fermentation parameters such as temperature, pH, oxygen availability, and nutrient composition significantly influence the profile and concentration of postbiotic compounds produced (</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et al., 2020). Advanced fermentation technologies, including fed-batch and continuous culture systems, enable precise control over production conditions and consistent product quality.</w:t>
      </w:r>
    </w:p>
    <w:p w14:paraId="16C588AC"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Isolation and purification of postbiotic compounds require sophisticated separation techniques tailored to the specific characteristics of target molecules. Membrane filtration, chromatographic separation, and precipitation methods are commonly employed to isolate and concentrate bioactive compounds while removing unwanted materials (Rad et al., 2020). High-performance liquid chromatography (HPLC), mass spectrometry, and other analytical techniques are essential for characterizing and quantifying postbiotic components.</w:t>
      </w:r>
    </w:p>
    <w:p w14:paraId="3318DB5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Standardization of postbiotic production presents challenges due to the complex and variable nature of fermentation-derived compounds. Quality control measures must address batch-to-batch variation, stability during storage, and maintenance of biological activity. Advanced analytical methods and standardized protocols are being developed to ensure consistent quality and potency of postbiotic preparations (</w:t>
      </w:r>
      <w:proofErr w:type="spellStart"/>
      <w:r w:rsidRPr="00733709">
        <w:rPr>
          <w:rFonts w:ascii="Times New Roman" w:hAnsi="Times New Roman" w:cs="Times New Roman"/>
          <w:sz w:val="28"/>
          <w:szCs w:val="28"/>
        </w:rPr>
        <w:t>Żółkiewicz</w:t>
      </w:r>
      <w:proofErr w:type="spellEnd"/>
      <w:r w:rsidRPr="00733709">
        <w:rPr>
          <w:rFonts w:ascii="Times New Roman" w:hAnsi="Times New Roman" w:cs="Times New Roman"/>
          <w:sz w:val="28"/>
          <w:szCs w:val="28"/>
        </w:rPr>
        <w:t xml:space="preserve"> et al., 2020).</w:t>
      </w:r>
    </w:p>
    <w:p w14:paraId="5BA4776B"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3.3 Bioactive Properties and Mechanisms of Action</w:t>
      </w:r>
    </w:p>
    <w:p w14:paraId="4F862EA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Postbiotic compounds exhibit diverse bioactive properties that contribute to their potential applications in food technology and human health. Antimicrobial activity is one of the most studied properties, with organic acids, bacteriocins, and other metabolites demonstrating broad-spectrum activity against foodborne pathogens including Salmonella, Escherichia coli, Listeria monocytogenes, and Staphylococcus aureus (</w:t>
      </w:r>
      <w:proofErr w:type="spellStart"/>
      <w:r w:rsidRPr="00733709">
        <w:rPr>
          <w:rFonts w:ascii="Times New Roman" w:hAnsi="Times New Roman" w:cs="Times New Roman"/>
          <w:sz w:val="28"/>
          <w:szCs w:val="28"/>
        </w:rPr>
        <w:t>Żółkiewicz</w:t>
      </w:r>
      <w:proofErr w:type="spellEnd"/>
      <w:r w:rsidRPr="00733709">
        <w:rPr>
          <w:rFonts w:ascii="Times New Roman" w:hAnsi="Times New Roman" w:cs="Times New Roman"/>
          <w:sz w:val="28"/>
          <w:szCs w:val="28"/>
        </w:rPr>
        <w:t xml:space="preserve"> et al., 2020).</w:t>
      </w:r>
    </w:p>
    <w:p w14:paraId="69B8438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antimicrobial mechanisms of postbiotic compounds include cell membrane disruption, interference with cellular metabolism, inhibition of biofilm formation, and disruption of quorum sensing systems. These multiple mechanisms of action </w:t>
      </w:r>
      <w:r w:rsidRPr="00733709">
        <w:rPr>
          <w:rFonts w:ascii="Times New Roman" w:hAnsi="Times New Roman" w:cs="Times New Roman"/>
          <w:sz w:val="28"/>
          <w:szCs w:val="28"/>
        </w:rPr>
        <w:lastRenderedPageBreak/>
        <w:t>reduce the likelihood of pathogen resistance development compared to single-target antimicrobial agents (Aguilar-</w:t>
      </w:r>
      <w:proofErr w:type="spellStart"/>
      <w:r w:rsidRPr="00733709">
        <w:rPr>
          <w:rFonts w:ascii="Times New Roman" w:hAnsi="Times New Roman" w:cs="Times New Roman"/>
          <w:sz w:val="28"/>
          <w:szCs w:val="28"/>
        </w:rPr>
        <w:t>Toalá</w:t>
      </w:r>
      <w:proofErr w:type="spellEnd"/>
      <w:r w:rsidRPr="00733709">
        <w:rPr>
          <w:rFonts w:ascii="Times New Roman" w:hAnsi="Times New Roman" w:cs="Times New Roman"/>
          <w:sz w:val="28"/>
          <w:szCs w:val="28"/>
        </w:rPr>
        <w:t xml:space="preserve"> et al., 2018).</w:t>
      </w:r>
    </w:p>
    <w:p w14:paraId="5D04BA10"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Immunomodulatory properties of postbiotics involve interactions with host immune cells and </w:t>
      </w:r>
      <w:proofErr w:type="spellStart"/>
      <w:r w:rsidRPr="00733709">
        <w:rPr>
          <w:rFonts w:ascii="Times New Roman" w:hAnsi="Times New Roman" w:cs="Times New Roman"/>
          <w:sz w:val="28"/>
          <w:szCs w:val="28"/>
        </w:rPr>
        <w:t>signaling</w:t>
      </w:r>
      <w:proofErr w:type="spellEnd"/>
      <w:r w:rsidRPr="00733709">
        <w:rPr>
          <w:rFonts w:ascii="Times New Roman" w:hAnsi="Times New Roman" w:cs="Times New Roman"/>
          <w:sz w:val="28"/>
          <w:szCs w:val="28"/>
        </w:rPr>
        <w:t xml:space="preserve"> pathways. Cell wall components such as peptidoglycans and lipoteichoic acids can stimulate beneficial immune responses while promoting immune tolerance and reducing inflammatory reactions. These effects contribute to enhanced resistance to infections and improved overall immune function (</w:t>
      </w: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et al., 2020).</w:t>
      </w:r>
    </w:p>
    <w:p w14:paraId="1962CDFC"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Antioxidant activity is another important property of many postbiotic compounds, contributing to cellular protection against oxidative stress and age-related damage. Peptides, proteins, and other bioactive molecules can scavenge free radicals and support cellular antioxidant </w:t>
      </w:r>
      <w:proofErr w:type="spellStart"/>
      <w:r w:rsidRPr="00733709">
        <w:rPr>
          <w:rFonts w:ascii="Times New Roman" w:hAnsi="Times New Roman" w:cs="Times New Roman"/>
          <w:sz w:val="28"/>
          <w:szCs w:val="28"/>
        </w:rPr>
        <w:t>defense</w:t>
      </w:r>
      <w:proofErr w:type="spellEnd"/>
      <w:r w:rsidRPr="00733709">
        <w:rPr>
          <w:rFonts w:ascii="Times New Roman" w:hAnsi="Times New Roman" w:cs="Times New Roman"/>
          <w:sz w:val="28"/>
          <w:szCs w:val="28"/>
        </w:rPr>
        <w:t xml:space="preserve"> systems (Aguilar-</w:t>
      </w:r>
      <w:proofErr w:type="spellStart"/>
      <w:r w:rsidRPr="00733709">
        <w:rPr>
          <w:rFonts w:ascii="Times New Roman" w:hAnsi="Times New Roman" w:cs="Times New Roman"/>
          <w:sz w:val="28"/>
          <w:szCs w:val="28"/>
        </w:rPr>
        <w:t>Toalá</w:t>
      </w:r>
      <w:proofErr w:type="spellEnd"/>
      <w:r w:rsidRPr="00733709">
        <w:rPr>
          <w:rFonts w:ascii="Times New Roman" w:hAnsi="Times New Roman" w:cs="Times New Roman"/>
          <w:sz w:val="28"/>
          <w:szCs w:val="28"/>
        </w:rPr>
        <w:t xml:space="preserve"> et al., 2018).</w:t>
      </w:r>
    </w:p>
    <w:p w14:paraId="7E84EBAC"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3.4 Stability and Storage Considerations</w:t>
      </w:r>
    </w:p>
    <w:p w14:paraId="4C522F5A"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One of the primary advantages of postbiotics over live probiotics is their enhanced stability during processing and storage. The absence of viable cells eliminates concerns related to bacterial viability, growth, and potential contamination during storage. However, the bioactive compounds in postbiotic preparations may still be subject to degradation under certain conditions (</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et al., 2020).</w:t>
      </w:r>
    </w:p>
    <w:p w14:paraId="07EF71E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Temperature stability varies among different postbiotic compounds, with some metabolites and proteins being sensitive to heat treatment while others remain stable under pasteurization conditions. This variability allows for the development of postbiotic preparations suitable for different food processing applications, from fresh products to heat-treated formulations (Rad et al., 2020).</w:t>
      </w:r>
    </w:p>
    <w:p w14:paraId="07F26FF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pH stability is generally better for postbiotics compared to live probiotics, as many bioactive compounds remain functional across a broader pH range. This property enables their incorporation into acidic food products and environments where live probiotics might not survive or function optimally (Molina-Tijeras et al., 2019).</w:t>
      </w:r>
    </w:p>
    <w:p w14:paraId="7ABDE231"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Storage conditions, including temperature, humidity, and packaging atmosphere, significantly influence the long-term stability of postbiotic preparations. Optimization of storage conditions and packaging technologies is essential for maintaining bioactivity and extending shelf life. Freeze-drying, spray-drying, and </w:t>
      </w:r>
      <w:r w:rsidRPr="00733709">
        <w:rPr>
          <w:rFonts w:ascii="Times New Roman" w:hAnsi="Times New Roman" w:cs="Times New Roman"/>
          <w:sz w:val="28"/>
          <w:szCs w:val="28"/>
        </w:rPr>
        <w:lastRenderedPageBreak/>
        <w:t>other stabilization techniques can be employed to enhance storage stability (</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et al., 2020).</w:t>
      </w:r>
    </w:p>
    <w:p w14:paraId="619B69FC"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 xml:space="preserve">4. </w:t>
      </w:r>
      <w:proofErr w:type="spellStart"/>
      <w:r w:rsidRPr="00733709">
        <w:rPr>
          <w:rFonts w:ascii="Times New Roman" w:hAnsi="Times New Roman" w:cs="Times New Roman"/>
          <w:b/>
          <w:bCs/>
          <w:sz w:val="28"/>
          <w:szCs w:val="28"/>
        </w:rPr>
        <w:t>Paraprobiotics</w:t>
      </w:r>
      <w:proofErr w:type="spellEnd"/>
      <w:r w:rsidRPr="00733709">
        <w:rPr>
          <w:rFonts w:ascii="Times New Roman" w:hAnsi="Times New Roman" w:cs="Times New Roman"/>
          <w:b/>
          <w:bCs/>
          <w:sz w:val="28"/>
          <w:szCs w:val="28"/>
        </w:rPr>
        <w:t>: Inactivated Beneficial Microorganisms</w:t>
      </w:r>
    </w:p>
    <w:p w14:paraId="223DCFE0"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4.1 Concept and Development</w:t>
      </w:r>
    </w:p>
    <w:p w14:paraId="385C8A5C" w14:textId="77777777" w:rsidR="00733709" w:rsidRPr="00733709" w:rsidRDefault="00733709" w:rsidP="00733709">
      <w:pPr>
        <w:jc w:val="both"/>
        <w:rPr>
          <w:rFonts w:ascii="Times New Roman" w:hAnsi="Times New Roman" w:cs="Times New Roman"/>
          <w:sz w:val="28"/>
          <w:szCs w:val="28"/>
        </w:rPr>
      </w:pP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also referred to as ghost probiotics, heat-killed probiotics, or inactivated probiotics, represent non-viable microbial cells that retain beneficial properties associated with their living counterparts. The concept emerged from observations that certain health benefits attributed to probiotics could be maintained even after bacterial inactivation, suggesting that viability is not always essential for therapeutic effects (</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p>
    <w:p w14:paraId="5134B7EC"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development of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addresses several limitations associated with live probiotic cultures, including safety concerns in immunocompromised individuals, regulatory challenges in certain applications, stability issues during processing and storage, and the need for cold chain maintenance. By eliminating bacterial viability while preserving beneficial cellular components and structures,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offer a safer alternative that maintains therapeutic potential (Patel &amp; Prajapati, 2013).</w:t>
      </w:r>
    </w:p>
    <w:p w14:paraId="6E80C407"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Inactivation methods used to produce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must be carefully selected to preserve the structural integrity of cellular components responsible for beneficial effects while ensuring complete loss of viability. Heat treatment, UV irradiation, sonication, and chemical inactivation are among the methods employed, each with specific advantages and limitations depending on the intended application and target bacterial strain (Adams, 2010).</w:t>
      </w:r>
    </w:p>
    <w:p w14:paraId="5CED44F1"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4.2 Inactivation Methods and Quality Control</w:t>
      </w:r>
    </w:p>
    <w:p w14:paraId="157AA9E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Heat inactivation is the most commonly employed method for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production due to its effectiveness, simplicity, and regulatory acceptance. Controlled heating at specific temperatures and durations can achieve complete bacterial inactivation while preserving important cellular structures such as cell walls, surface proteins, and immunologically active components. Optimization of heating parameters is crucial to balance complete inactivation with preservation of beneficial properties (De Almada et al., 2016).</w:t>
      </w:r>
    </w:p>
    <w:p w14:paraId="1DD46F97"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UV irradiation offers an alternative inactivation method that can preserve heat-sensitive components while achieving bacterial death through DNA damage. This method is particularly useful for producing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from strains that </w:t>
      </w:r>
      <w:r w:rsidRPr="00733709">
        <w:rPr>
          <w:rFonts w:ascii="Times New Roman" w:hAnsi="Times New Roman" w:cs="Times New Roman"/>
          <w:sz w:val="28"/>
          <w:szCs w:val="28"/>
        </w:rPr>
        <w:lastRenderedPageBreak/>
        <w:t>contain heat-labile bioactive compounds or when heat treatment might compromise product quality (Piqué et al., 2019).</w:t>
      </w:r>
    </w:p>
    <w:p w14:paraId="79C9AC9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Sonication and high-pressure processing represent physical inactivation methods that can disrupt bacterial cells while potentially releasing intracellular bioactive compounds. These methods may be combined with other inactivation approaches to achieve complete bacterial death while optimizing the bioactive profile of the resulting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preparation (</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Guglielmetti, 2011).</w:t>
      </w:r>
    </w:p>
    <w:p w14:paraId="48EE707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Quality control for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production requires verification of complete bacterial inactivation through appropriate viability testing methods. Culture-based methods, viable staining techniques, and molecular approaches such as propidium </w:t>
      </w:r>
      <w:proofErr w:type="spellStart"/>
      <w:r w:rsidRPr="00733709">
        <w:rPr>
          <w:rFonts w:ascii="Times New Roman" w:hAnsi="Times New Roman" w:cs="Times New Roman"/>
          <w:sz w:val="28"/>
          <w:szCs w:val="28"/>
        </w:rPr>
        <w:t>monoazide</w:t>
      </w:r>
      <w:proofErr w:type="spellEnd"/>
      <w:r w:rsidRPr="00733709">
        <w:rPr>
          <w:rFonts w:ascii="Times New Roman" w:hAnsi="Times New Roman" w:cs="Times New Roman"/>
          <w:sz w:val="28"/>
          <w:szCs w:val="28"/>
        </w:rPr>
        <w:t>-PCR can be employed to confirm the absence of viable bacteria while maintaining analytical capability to detect and quantify the inactivated bacterial cells (Patel &amp; Prajapati, 2013).</w:t>
      </w:r>
    </w:p>
    <w:p w14:paraId="7E5EA3F4"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4.3 Retained Bioactive Properties</w:t>
      </w:r>
    </w:p>
    <w:p w14:paraId="0FC4D67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Despite inactivation,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retain many of the beneficial properties associated with live probiotic bacteria. Immunomodulatory effects are among the most well-documented benefits, with inactivated bacterial cells maintaining their ability to interact with host immune receptors and stimulate beneficial immune responses. Cell wall components such as peptidoglycans, lipoteichoic acids, and surface proteins continue to function as pathogen-associated molecular patterns (PAMPs) that can modulate immune function (Piqué et al., 2019).</w:t>
      </w:r>
    </w:p>
    <w:p w14:paraId="0D64021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Adhesion properties may be partially retained in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preparations, allowing for interaction with intestinal epithelial cells and competition with pathogenic bacteria for binding sites. While the absence of growth and metabolic activity limits the duration and extent of colonization, temporary adhesion can still provide beneficial effects including pathogen exclusion and immune system stimulation (</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p>
    <w:p w14:paraId="50B055E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Antioxidant activity in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may originate from cellular components such as proteins, peptides, and other bioactive molecules that remain functional after inactivation. These antioxidant properties can contribute to cellular protection and may provide health benefits related to oxidative stress reduction (De Almada et al., 2016).</w:t>
      </w:r>
    </w:p>
    <w:p w14:paraId="17DBCE24"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Anti-inflammatory effects of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have been demonstrated in various experimental models, suggesting that bacterial inactivation does not eliminate the </w:t>
      </w:r>
      <w:r w:rsidRPr="00733709">
        <w:rPr>
          <w:rFonts w:ascii="Times New Roman" w:hAnsi="Times New Roman" w:cs="Times New Roman"/>
          <w:sz w:val="28"/>
          <w:szCs w:val="28"/>
        </w:rPr>
        <w:lastRenderedPageBreak/>
        <w:t>ability to modulate inflammatory responses. These effects may involve interactions with immune cells, cytokine production modulation, and other mechanisms that do not require bacterial viability (Piqué et al., 2019).</w:t>
      </w:r>
    </w:p>
    <w:p w14:paraId="66800B66"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4.4 Applications and Advantages</w:t>
      </w:r>
    </w:p>
    <w:p w14:paraId="59423D77" w14:textId="77777777" w:rsidR="00733709" w:rsidRPr="00733709" w:rsidRDefault="00733709" w:rsidP="00733709">
      <w:pPr>
        <w:jc w:val="both"/>
        <w:rPr>
          <w:rFonts w:ascii="Times New Roman" w:hAnsi="Times New Roman" w:cs="Times New Roman"/>
          <w:sz w:val="28"/>
          <w:szCs w:val="28"/>
        </w:rPr>
      </w:pP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offer several advantages over live probiotics in specific applications, particularly in terms of safety, stability, and regulatory compliance. The elimination of bacterial viability addresses safety concerns related to bacterial translocation, overgrowth, and infection risk in vulnerable populations, including immunocompromised individuals, critically ill patients, and infants (Adams, 2010).</w:t>
      </w:r>
    </w:p>
    <w:p w14:paraId="5D3CF04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Stability advantages of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include resistance to environmental stresses such as heat, acid, and oxygen exposure that typically compromise live probiotic viability. This enhanced stability enables incorporation into a broader range of food products and processing conditions, including heat-treated products, acidic formulations, and ambient storage applications (Patel &amp; Prajapati, 2013).</w:t>
      </w:r>
    </w:p>
    <w:p w14:paraId="05DA7271"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Regulatory advantages may exist for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in certain jurisdictions where live bacterial cultures face restrictions or additional safety requirements. The inactivated nature of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may simplify regulatory approval processes and enable applications in contexts where live probiotics are not permitted (</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p>
    <w:p w14:paraId="286517B1"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Manufacturing advantages include simplified production, quality control, and storage requirements compared to live probiotics. The absence of viable bacteria eliminates concerns related to bacterial growth, contamination, and maintaining cold chain integrity throughout distribution and storage (De Almada et al., 2016).</w:t>
      </w:r>
    </w:p>
    <w:p w14:paraId="494AB572"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5. Food Technology Applications</w:t>
      </w:r>
    </w:p>
    <w:p w14:paraId="521FAF94"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 xml:space="preserve">5.1 </w:t>
      </w:r>
      <w:proofErr w:type="spellStart"/>
      <w:r w:rsidRPr="00733709">
        <w:rPr>
          <w:rFonts w:ascii="Times New Roman" w:hAnsi="Times New Roman" w:cs="Times New Roman"/>
          <w:b/>
          <w:bCs/>
          <w:sz w:val="28"/>
          <w:szCs w:val="28"/>
        </w:rPr>
        <w:t>Biopreservation</w:t>
      </w:r>
      <w:proofErr w:type="spellEnd"/>
      <w:r w:rsidRPr="00733709">
        <w:rPr>
          <w:rFonts w:ascii="Times New Roman" w:hAnsi="Times New Roman" w:cs="Times New Roman"/>
          <w:b/>
          <w:bCs/>
          <w:sz w:val="28"/>
          <w:szCs w:val="28"/>
        </w:rPr>
        <w:t xml:space="preserve"> and Food Safety</w:t>
      </w:r>
    </w:p>
    <w:p w14:paraId="249FA07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application of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in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xml:space="preserve"> represents a significant advancement in natural food preservation strategies. These biological agents offer environmentally friendly alternatives to chemical preservatives while providing additional health benefits to consumers (Settanni &amp; Corsetti, 2008).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xml:space="preserve"> systems utilizing these agents can extend shelf life, maintain food quality, and reduce the risk of foodborne illness through multiple mechanisms of action.</w:t>
      </w:r>
    </w:p>
    <w:p w14:paraId="1ADB33E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Competitive exclusion is a primary mechanism by which these biological agents prevent pathogen growth in food systems. Next-generation probiotics can be engineered to produce enhanced levels of organic acids, bacteriocins, and other antimicrobial compounds that create hostile environments for pathogenic bacteria. The rapid colonization of food surfaces by beneficial bacteria prevents pathogen attachment and establishment, effectively reducing contamination risk (Rodríguez-Nogales et al., 2018).</w:t>
      </w:r>
    </w:p>
    <w:p w14:paraId="6662A30B"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Postbiotic preparations containing concentrated antimicrobial metabolites provide direct pathogen inhibition without requiring bacterial growth or metabolism in the food matrix. These preparations can be standardized for consistent antimicrobial activity and incorporated into various food formulations without concerns related to bacterial viability or potential spoilage. The broad-spectrum activity of many postbiotic compounds makes them effective against multiple pathogen types commonly associated with foodborne illness (</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et al., 2020).</w:t>
      </w:r>
    </w:p>
    <w:p w14:paraId="7115C871" w14:textId="77777777" w:rsidR="00733709" w:rsidRPr="00733709" w:rsidRDefault="00733709" w:rsidP="00733709">
      <w:pPr>
        <w:jc w:val="both"/>
        <w:rPr>
          <w:rFonts w:ascii="Times New Roman" w:hAnsi="Times New Roman" w:cs="Times New Roman"/>
          <w:sz w:val="28"/>
          <w:szCs w:val="28"/>
        </w:rPr>
      </w:pP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offer unique advantages in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xml:space="preserve"> applications where live bacterial cultures may interfere with food quality or sensory properties. Inactivated bacterial cells can provide pathogen inhibition through competitive binding and immune system stimulation in consumers while avoiding potential issues related to bacterial growth, gas production, or </w:t>
      </w:r>
      <w:proofErr w:type="spellStart"/>
      <w:r w:rsidRPr="00733709">
        <w:rPr>
          <w:rFonts w:ascii="Times New Roman" w:hAnsi="Times New Roman" w:cs="Times New Roman"/>
          <w:sz w:val="28"/>
          <w:szCs w:val="28"/>
        </w:rPr>
        <w:t>flavor</w:t>
      </w:r>
      <w:proofErr w:type="spellEnd"/>
      <w:r w:rsidRPr="00733709">
        <w:rPr>
          <w:rFonts w:ascii="Times New Roman" w:hAnsi="Times New Roman" w:cs="Times New Roman"/>
          <w:sz w:val="28"/>
          <w:szCs w:val="28"/>
        </w:rPr>
        <w:t xml:space="preserve"> development in the food product (</w:t>
      </w: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&amp; </w:t>
      </w:r>
      <w:proofErr w:type="spellStart"/>
      <w:r w:rsidRPr="00733709">
        <w:rPr>
          <w:rFonts w:ascii="Times New Roman" w:hAnsi="Times New Roman" w:cs="Times New Roman"/>
          <w:sz w:val="28"/>
          <w:szCs w:val="28"/>
        </w:rPr>
        <w:t>Guglielmetti</w:t>
      </w:r>
      <w:proofErr w:type="spellEnd"/>
      <w:r w:rsidRPr="00733709">
        <w:rPr>
          <w:rFonts w:ascii="Times New Roman" w:hAnsi="Times New Roman" w:cs="Times New Roman"/>
          <w:sz w:val="28"/>
          <w:szCs w:val="28"/>
        </w:rPr>
        <w:t>, 2011).</w:t>
      </w:r>
    </w:p>
    <w:p w14:paraId="6BB78305"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5.2 Functional Food Development</w:t>
      </w:r>
    </w:p>
    <w:p w14:paraId="7A2A4D4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development of functional foods incorporating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represents a rapidly growing segment of the food industry. These bioactive agents can be formulated into diverse food products to provide specific health benefits beyond basic nutrition, meeting consumer demands for foods that promote wellness and disease prevention (Granato et al., 2010).</w:t>
      </w:r>
    </w:p>
    <w:p w14:paraId="43E37D60"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Dairy products remain the primary vehicle for probiotic delivery, but next-generation approaches are expanding application possibilities. Advanced encapsulation technologies enable the incorporation of sensitive strains and bioactive compounds into cheese, yogurt, and other fermented dairy products while maintaining viability and functionality. Novel dairy formulations can be designed to deliver targeted therapeutic benefits such as cholesterol reduction, immune system enhancement, or digestive health support (Cook et al., 2012).</w:t>
      </w:r>
    </w:p>
    <w:p w14:paraId="094DAAF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Non-dairy applications are increasingly important as consumer preferences diversify and plant-based alternatives gain popularity. Next-generation probiotics can be formulated into plant-based beverages, cereals, snack foods, and other products using advanced delivery systems that protect bacterial viability and bioactive compound stability. These applications require careful consideration of food matrix interactions, processing conditions, and storage requirements (</w:t>
      </w:r>
      <w:proofErr w:type="spellStart"/>
      <w:r w:rsidRPr="00733709">
        <w:rPr>
          <w:rFonts w:ascii="Times New Roman" w:hAnsi="Times New Roman" w:cs="Times New Roman"/>
          <w:sz w:val="28"/>
          <w:szCs w:val="28"/>
        </w:rPr>
        <w:t>Ranadheera</w:t>
      </w:r>
      <w:proofErr w:type="spellEnd"/>
      <w:r w:rsidRPr="00733709">
        <w:rPr>
          <w:rFonts w:ascii="Times New Roman" w:hAnsi="Times New Roman" w:cs="Times New Roman"/>
          <w:sz w:val="28"/>
          <w:szCs w:val="28"/>
        </w:rPr>
        <w:t xml:space="preserve"> et al., 2010).</w:t>
      </w:r>
    </w:p>
    <w:p w14:paraId="03A4661A"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Personalized nutrition approaches utilizing next-generation probiotics offer the potential for customized functional foods tailored to individual microbiome profiles, genetic factors, and health status. Advanced diagnostic tools and predictive models can guide the selection of specific probiotic strains or bioactive compounds most likely to benefit individual consumers (Kristensen et al., 2016).</w:t>
      </w:r>
    </w:p>
    <w:p w14:paraId="54EDB8E7"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5.3 Fresh Produce and Minimally Processed Foods</w:t>
      </w:r>
    </w:p>
    <w:p w14:paraId="3EDB5E5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The application of biological preservation agents to fresh produce and minimally processed foods presents unique challenges and opportunities. These food categories are particularly susceptible to pathogen contamination and spoilage due to minimal processing and the absence of traditional preservation methods. Next-generation probiotics and their derivatives can provide natural preservation solutions while maintaining the fresh, minimally processed character that consumers desire (Alegre et al., 2011).</w:t>
      </w:r>
    </w:p>
    <w:p w14:paraId="00C01DE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Wash solutions containing probiotic bacteria or postbiotic compounds can reduce pathogen loads on fresh produce surfaces during processing. These biological treatments can be more effective than traditional sanitizers against biofilm-forming pathogens while leaving beneficial residues that continue to provide protection during storage and distribution. The safety profile of probiotic-based wash systems makes them attractive alternatives to chemical sanitizers (Zhao et al., 2017).</w:t>
      </w:r>
    </w:p>
    <w:p w14:paraId="65490ED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Edible coatings and films incorporating bioactive agents represent innovative approaches to fresh produce preservation. These biodegradable coatings can deliver probiotic bacteria, postbiotic compounds, or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directly to product surfaces while providing barrier properties that extend shelf life and maintain quality. Advanced formulation techniques enable controlled release of bioactive agents throughout the storage period (Campos et al., 2011).</w:t>
      </w:r>
    </w:p>
    <w:p w14:paraId="3ECC71E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 xml:space="preserve">Ready-to-eat and minimally processed foods can benefit from the incorporation of stable postbiotic or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preparations that provide pathogen protection without compromising food safety through the introduction of live bacterial cultures. These applications are particularly important for products consumed by vulnerable populations where additional safety measures are essential (Piqué et al., 2019).</w:t>
      </w:r>
    </w:p>
    <w:p w14:paraId="443B9280"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5.4 Meat and Poultry Products</w:t>
      </w:r>
    </w:p>
    <w:p w14:paraId="3C70069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The meat and poultry industry faces significant challenges related to pathogen control, particularly with respect to Salmonella, Escherichia coli, Campylobacter, and Listeria monocytogenes. Next-generation probiotics and their derivatives offer innovative solutions for pathogen reduction while potentially providing additional benefits such as improved product quality and extended shelf life (Hugas et al., 2003).</w:t>
      </w:r>
    </w:p>
    <w:p w14:paraId="30B9199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In-plant applications during processing can reduce pathogen loads and prevent cross-contamination. Probiotic treatments applied during carcass washing, evisceration, or chilling can establish beneficial bacterial populations that compete with pathogens for nutrients and attachment sites. These treatments must be carefully designed to ensure food safety while providing effective pathogen control (Zhao et al., 2017).</w:t>
      </w:r>
    </w:p>
    <w:p w14:paraId="48173D59"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Product formulation applications include the incorporation of probiotic bacteria or bioactive compounds directly into ground meat products, sausages, and other processed meats. These applications can improve food safety while potentially providing health benefits to consumers. Advanced encapsulation technologies protect probiotic viability during processing and storage while ensuring controlled release during consumption (</w:t>
      </w:r>
      <w:proofErr w:type="spellStart"/>
      <w:r w:rsidRPr="00733709">
        <w:rPr>
          <w:rFonts w:ascii="Times New Roman" w:hAnsi="Times New Roman" w:cs="Times New Roman"/>
          <w:sz w:val="28"/>
          <w:szCs w:val="28"/>
        </w:rPr>
        <w:t>Klaenhammer</w:t>
      </w:r>
      <w:proofErr w:type="spellEnd"/>
      <w:r w:rsidRPr="00733709">
        <w:rPr>
          <w:rFonts w:ascii="Times New Roman" w:hAnsi="Times New Roman" w:cs="Times New Roman"/>
          <w:sz w:val="28"/>
          <w:szCs w:val="28"/>
        </w:rPr>
        <w:t xml:space="preserve"> et al., 2012).</w:t>
      </w:r>
    </w:p>
    <w:p w14:paraId="3E995F77"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Packaging applications utilizing active packaging systems can deliver probiotic compounds or antimicrobial metabolites to meat surfaces during storage. These systems can provide continuous pathogen protection while maintaining product quality and extending shelf life. Controlled release mechanisms ensure optimal delivery of bioactive compounds throughout the storage period (Yao et al., 2020).</w:t>
      </w:r>
    </w:p>
    <w:p w14:paraId="1CF033CC"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 Mechanisms of Action Against Foodborne Pathogens</w:t>
      </w:r>
    </w:p>
    <w:p w14:paraId="45FFCB3D"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6.1 Competitive Exclusion and Colonization Resistance</w:t>
      </w:r>
    </w:p>
    <w:p w14:paraId="0124AA7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Competitive exclusion represents a fundamental mechanism by which beneficial bacteria prevent pathogen establishment and growth in food systems and the </w:t>
      </w:r>
      <w:r w:rsidRPr="00733709">
        <w:rPr>
          <w:rFonts w:ascii="Times New Roman" w:hAnsi="Times New Roman" w:cs="Times New Roman"/>
          <w:sz w:val="28"/>
          <w:szCs w:val="28"/>
        </w:rPr>
        <w:lastRenderedPageBreak/>
        <w:t>human gastrointestinal tract. This mechanism involves competition for nutrients, attachment sites, and ecological niches that are essential for pathogen survival and proliferation (Bron et al., 2017). Next-generation probiotics can be engineered to enhance competitive exclusion capabilities through improved adhesion properties, enhanced nutrient utilization efficiency, and optimized growth characteristics.</w:t>
      </w:r>
    </w:p>
    <w:p w14:paraId="76AD7A9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Nutrient competition occurs when beneficial bacteria consume essential nutrients required by pathogenic organisms, creating nutrient-limiting conditions that prevent pathogen growth. This competition is particularly effective when beneficial bacteria have metabolic advantages or can utilize nutrients more efficiently than pathogens. Advanced metabolic engineering approaches can enhance the competitive capabilities of probiotic strains by optimizing metabolic pathways and substrate utilization (Sanders et al., 2018).</w:t>
      </w:r>
    </w:p>
    <w:p w14:paraId="7845C6E1"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Attachment site competition involves the occupation of binding sites on food surfaces or intestinal epithelium by beneficial bacteria, preventing pathogen adhesion and colonization. Surface proteins, adhesins, and other cellular components mediate this competitive </w:t>
      </w:r>
      <w:proofErr w:type="spellStart"/>
      <w:r w:rsidRPr="00733709">
        <w:rPr>
          <w:rFonts w:ascii="Times New Roman" w:hAnsi="Times New Roman" w:cs="Times New Roman"/>
          <w:sz w:val="28"/>
          <w:szCs w:val="28"/>
        </w:rPr>
        <w:t>binding</w:t>
      </w:r>
      <w:proofErr w:type="spellEnd"/>
      <w:r w:rsidRPr="00733709">
        <w:rPr>
          <w:rFonts w:ascii="Times New Roman" w:hAnsi="Times New Roman" w:cs="Times New Roman"/>
          <w:sz w:val="28"/>
          <w:szCs w:val="28"/>
        </w:rPr>
        <w:t xml:space="preserve"> process. Genetic engineering approaches can enhance adhesion properties of probiotic strains by modifying surface protein expression or introducing novel adhesion factors (O'Toole et al., 2017).</w:t>
      </w:r>
    </w:p>
    <w:p w14:paraId="27EB960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Colonization resistance mechanisms extend beyond simple competition to include active inhibition of pathogen growth through the production of inhibitory compounds and the modification of environmental conditions. These mechanisms create hostile environments for pathogens while supporting the growth of beneficial bacteria, establishing stable microbial communities that resist pathogen invasion (Bron et al., 2017).</w:t>
      </w:r>
    </w:p>
    <w:p w14:paraId="13E87BB8"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6.2 Antimicrobial Compound Production</w:t>
      </w:r>
    </w:p>
    <w:p w14:paraId="58DEF32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The production of antimicrobial compounds by beneficial bacteria represents a direct mechanism for pathogen control that can be enhanced through biotechnological approaches. These compounds include organic acids, bacteriocins, hydrogen peroxide, antimicrobial peptides, and other bioactive molecules that demonstrate broad-spectrum activity against foodborne pathogens (Cotter et al., 2013).</w:t>
      </w:r>
    </w:p>
    <w:p w14:paraId="7C22C03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 xml:space="preserve">Organic acid production, particularly lactic acid and acetic acid, creates acidic conditions that inhibit the growth of acid-sensitive pathogens while </w:t>
      </w:r>
      <w:proofErr w:type="spellStart"/>
      <w:r w:rsidRPr="00733709">
        <w:rPr>
          <w:rFonts w:ascii="Times New Roman" w:hAnsi="Times New Roman" w:cs="Times New Roman"/>
          <w:sz w:val="28"/>
          <w:szCs w:val="28"/>
        </w:rPr>
        <w:t>favoring</w:t>
      </w:r>
      <w:proofErr w:type="spellEnd"/>
      <w:r w:rsidRPr="00733709">
        <w:rPr>
          <w:rFonts w:ascii="Times New Roman" w:hAnsi="Times New Roman" w:cs="Times New Roman"/>
          <w:sz w:val="28"/>
          <w:szCs w:val="28"/>
        </w:rPr>
        <w:t xml:space="preserve"> the growth of acid-tolerant beneficial bacteria. The effectiveness of organic acid inhibition depends on factors such as pH, buffering capacity, and the specific sensitivity of target pathogens. Advanced fermentation control and genetic engineering approaches can optimize organic acid production for enhanced antimicrobial activity (Rodríguez-Nogales et al., 2018).</w:t>
      </w:r>
    </w:p>
    <w:p w14:paraId="5C34B56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Bacteriocin production represents a highly specific antimicrobial mechanism that can be targeted against particular pathogen groups. These proteinaceous antimicrobial compounds demonstrate potent activity against closely related bacterial species and can be engineered for enhanced activity, stability, and spectrum of action. Advanced biotechnology approaches enable the production of novel bacteriocins with improved properties for food preservation applications (Cotter et al., 2013).</w:t>
      </w:r>
    </w:p>
    <w:p w14:paraId="6D210052"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Hydrogen peroxide and other reactive oxygen species produced by certain beneficial bacteria can provide broad-spectrum antimicrobial activity through oxidative damage to pathogen cells. This mechanism is particularly effective in aerobic environments and can be enhanced through metabolic engineering approaches that optimize the production of antimicrobial oxidizing agents (Torres-Barceló, 2018).</w:t>
      </w:r>
    </w:p>
    <w:p w14:paraId="26162EF2"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6.3 Biofilm Disruption and Prevention</w:t>
      </w:r>
    </w:p>
    <w:p w14:paraId="3C13B5C8"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Biofilm formation by foodborne pathogens represents a significant challenge for food safety, as biofilms provide protection against sanitizers, antimicrobial treatments, and environmental stresses. Next-generation probiotics and their derivatives can interfere with biofilm formation and disrupt established biofilms through multiple mechanisms, providing enhanced pathogen control in food processing environments (Rodríguez-Nogales et al., 2018).</w:t>
      </w:r>
    </w:p>
    <w:p w14:paraId="5B319884"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Quorum sensing interference involves the disruption of bacterial communication systems that regulate biofilm formation and maturation. Beneficial bacteria can produce compounds that interfere with quorum sensing signals or compete for receptor binding, preventing the coordinated </w:t>
      </w:r>
      <w:proofErr w:type="spellStart"/>
      <w:r w:rsidRPr="00733709">
        <w:rPr>
          <w:rFonts w:ascii="Times New Roman" w:hAnsi="Times New Roman" w:cs="Times New Roman"/>
          <w:sz w:val="28"/>
          <w:szCs w:val="28"/>
        </w:rPr>
        <w:t>behavior</w:t>
      </w:r>
      <w:proofErr w:type="spellEnd"/>
      <w:r w:rsidRPr="00733709">
        <w:rPr>
          <w:rFonts w:ascii="Times New Roman" w:hAnsi="Times New Roman" w:cs="Times New Roman"/>
          <w:sz w:val="28"/>
          <w:szCs w:val="28"/>
        </w:rPr>
        <w:t xml:space="preserve"> necessary for biofilm development. Advanced genetic engineering approaches can enhance quorum sensing interference capabilities in probiotic strains (Torres et al., 2016).</w:t>
      </w:r>
    </w:p>
    <w:p w14:paraId="18B4D82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Physical displacement mechanisms involve the competition for surface binding sites and the physical disruption of developing biofilms by beneficial bacteria. Rapidly growing probiotic strains can outcompete pathogens for surface colonization and mechanically disrupt biofilm structures through their growth and movement. Enhanced adhesion properties and optimized growth characteristics can improve the effectiveness of physical displacement mechanisms (O'Toole et al., 2017).</w:t>
      </w:r>
    </w:p>
    <w:p w14:paraId="6CD4D54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Enzymatic biofilm disruption involves the production of enzymes that degrade biofilm matrix components such as extracellular polysaccharides, proteins, and DNA. These enzymes can weaken biofilm structures and make pathogen cells more susceptible to other antimicrobial treatments. Genetic engineering approaches can introduce or enhance the production of biofilm-degrading enzymes in probiotic strains (Araya-Cloutier et al., 2018).</w:t>
      </w:r>
    </w:p>
    <w:p w14:paraId="3C0652AB"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6.4 Immune System Modulation</w:t>
      </w:r>
    </w:p>
    <w:p w14:paraId="599E302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modulation of host immune responses represents an indirect but important mechanism by which beneficial bacteria contribute to pathogen resistance and overall health promotion. This mechanism involves complex interactions with immune cells, </w:t>
      </w:r>
      <w:proofErr w:type="spellStart"/>
      <w:r w:rsidRPr="00733709">
        <w:rPr>
          <w:rFonts w:ascii="Times New Roman" w:hAnsi="Times New Roman" w:cs="Times New Roman"/>
          <w:sz w:val="28"/>
          <w:szCs w:val="28"/>
        </w:rPr>
        <w:t>signaling</w:t>
      </w:r>
      <w:proofErr w:type="spellEnd"/>
      <w:r w:rsidRPr="00733709">
        <w:rPr>
          <w:rFonts w:ascii="Times New Roman" w:hAnsi="Times New Roman" w:cs="Times New Roman"/>
          <w:sz w:val="28"/>
          <w:szCs w:val="28"/>
        </w:rPr>
        <w:t xml:space="preserve"> pathways, and inflammatory responses that can be optimized through advanced biotechnological approaches (</w:t>
      </w: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et al., 2020).</w:t>
      </w:r>
    </w:p>
    <w:p w14:paraId="24AB282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Pathogen-associated molecular pattern (PAMP) recognition involves the interaction of beneficial bacterial components with host pattern recognition receptors, stimulating innate immune responses that enhance pathogen resistance. Cell wall components, surface proteins, and metabolic products can serve as PAMPs that activate beneficial immune responses while avoiding excessive inflammatory reactions (Molina-Tijeras et al., 2019).</w:t>
      </w:r>
    </w:p>
    <w:p w14:paraId="553153E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Cytokine modulation by beneficial bacteria involves the regulation of inflammatory and anti-inflammatory </w:t>
      </w:r>
      <w:proofErr w:type="spellStart"/>
      <w:r w:rsidRPr="00733709">
        <w:rPr>
          <w:rFonts w:ascii="Times New Roman" w:hAnsi="Times New Roman" w:cs="Times New Roman"/>
          <w:sz w:val="28"/>
          <w:szCs w:val="28"/>
        </w:rPr>
        <w:t>signaling</w:t>
      </w:r>
      <w:proofErr w:type="spellEnd"/>
      <w:r w:rsidRPr="00733709">
        <w:rPr>
          <w:rFonts w:ascii="Times New Roman" w:hAnsi="Times New Roman" w:cs="Times New Roman"/>
          <w:sz w:val="28"/>
          <w:szCs w:val="28"/>
        </w:rPr>
        <w:t xml:space="preserve"> molecules that control immune responses. Probiotic strains can promote the production of beneficial cytokines while suppressing harmful inflammatory responses, creating immune environments that </w:t>
      </w:r>
      <w:proofErr w:type="spellStart"/>
      <w:r w:rsidRPr="00733709">
        <w:rPr>
          <w:rFonts w:ascii="Times New Roman" w:hAnsi="Times New Roman" w:cs="Times New Roman"/>
          <w:sz w:val="28"/>
          <w:szCs w:val="28"/>
        </w:rPr>
        <w:t>favor</w:t>
      </w:r>
      <w:proofErr w:type="spellEnd"/>
      <w:r w:rsidRPr="00733709">
        <w:rPr>
          <w:rFonts w:ascii="Times New Roman" w:hAnsi="Times New Roman" w:cs="Times New Roman"/>
          <w:sz w:val="28"/>
          <w:szCs w:val="28"/>
        </w:rPr>
        <w:t xml:space="preserve"> pathogen clearance and tissue health. Advanced engineering approaches can enhance cytokine modulation capabilities through the targeted delivery of immunomodulatory compounds (Piqué et al., 2019).</w:t>
      </w:r>
    </w:p>
    <w:p w14:paraId="606C09D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Gut barrier enhancement involves the strengthening of intestinal epithelial barriers that prevent pathogen translocation and systemic infection. Beneficial </w:t>
      </w:r>
      <w:r w:rsidRPr="00733709">
        <w:rPr>
          <w:rFonts w:ascii="Times New Roman" w:hAnsi="Times New Roman" w:cs="Times New Roman"/>
          <w:sz w:val="28"/>
          <w:szCs w:val="28"/>
        </w:rPr>
        <w:lastRenderedPageBreak/>
        <w:t>bacteria can promote tight junction integrity, mucus production, and epithelial cell renewal, creating physical barriers that enhance resistance to pathogen invasion. These effects can be enhanced through the targeted production of barrier-supporting compounds such as short-chain fatty acids and growth factors (</w:t>
      </w: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et al., 2020).</w:t>
      </w:r>
    </w:p>
    <w:p w14:paraId="2BC3AB1F"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 Current Challenges and Limitations</w:t>
      </w:r>
    </w:p>
    <w:p w14:paraId="0C888873"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7.1 Regulatory and Safety Considerations</w:t>
      </w:r>
    </w:p>
    <w:p w14:paraId="6CE7627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regulatory landscape for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presents complex challenges that vary significantly across jurisdictions and application areas. Traditional regulatory frameworks designed for conventional probiotics may not adequately address the unique characteristics and potential risks associated with genetically modified organisms, novel bacterial species, and innovative delivery systems (Kristensen et al., 2016).</w:t>
      </w:r>
    </w:p>
    <w:p w14:paraId="03BA56E4"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Safety assessment requirements for genetically engineered probiotics involve comprehensive evaluation of potential risks including gene transfer, unintended effects, allergenicity, and environmental impact. Regulatory agencies require extensive documentation of genetic modifications, safety testing data, and risk assessment analyses before approving genetically modified probiotic products for commercial use. These requirements can significantly extend development timelines and increase costs for innovative products (Sanders et al., 2018).</w:t>
      </w:r>
    </w:p>
    <w:p w14:paraId="1EA4178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Novel bacterial species used in next-generation probiotics may lack the extensive safety history associated with traditional probiotic strains, requiring additional safety studies and risk assessments. The qualified presumption of safety (QPS) status established for traditional probiotic genera may not apply to novel species, necessitating comprehensive safety evaluations including toxicological studies, antimicrobial resistance assessment, and clinical safety trials (O'Toole et al., 2017).</w:t>
      </w:r>
    </w:p>
    <w:p w14:paraId="1826B64A"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Postbiotic and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regulations present unique challenges as these products fall into </w:t>
      </w:r>
      <w:proofErr w:type="spellStart"/>
      <w:r w:rsidRPr="00733709">
        <w:rPr>
          <w:rFonts w:ascii="Times New Roman" w:hAnsi="Times New Roman" w:cs="Times New Roman"/>
          <w:sz w:val="28"/>
          <w:szCs w:val="28"/>
        </w:rPr>
        <w:t>gray</w:t>
      </w:r>
      <w:proofErr w:type="spellEnd"/>
      <w:r w:rsidRPr="00733709">
        <w:rPr>
          <w:rFonts w:ascii="Times New Roman" w:hAnsi="Times New Roman" w:cs="Times New Roman"/>
          <w:sz w:val="28"/>
          <w:szCs w:val="28"/>
        </w:rPr>
        <w:t xml:space="preserve"> areas between traditional probiotics, food additives, and functional ingredients. The absence of viable bacteria complicates classification and may require novel regulatory approaches that address the specific characteristics and safety profiles of these products. Standardization of production methods, quality control procedures, and potency assessment remains a significant challenge for regulatory approval (Salminen et al., 2021).</w:t>
      </w:r>
    </w:p>
    <w:p w14:paraId="202BE31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International harmonization of regulations represents a significant challenge for companies seeking to commercialize innovative probiotic products across multiple markets. Differences in regulatory requirements, safety standards, and approval processes can create barriers to global product development and commercialization. Efforts to harmonize international standards and create mutual recognition agreements are ongoing but progress remains limited (</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et al., 2020).</w:t>
      </w:r>
    </w:p>
    <w:p w14:paraId="4EB4AC25"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7.2 Standardization and Quality Control</w:t>
      </w:r>
    </w:p>
    <w:p w14:paraId="043CF4C4"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Standardization challenges for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stem from their complex and variable nature compared to traditional probiotic products. The diversity of bacterial species, genetic modifications, production methods, and bioactive compounds creates difficulties in establishing uniform standards for identity, potency, purity, and stability (Rad et al., 2020).</w:t>
      </w:r>
    </w:p>
    <w:p w14:paraId="3186B734"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Analytical method development requires sophisticated techniques capable of characterizing complex mixtures of bioactive compounds, assessing genetic modifications, and quantifying biological activity. Traditional culture-based methods may be inadequate for novel bacterial species or genetically modified strains, necessitating the development of molecular and biochemical assays that can accurately assess product characteristics (</w:t>
      </w:r>
      <w:proofErr w:type="spellStart"/>
      <w:r w:rsidRPr="00733709">
        <w:rPr>
          <w:rFonts w:ascii="Times New Roman" w:hAnsi="Times New Roman" w:cs="Times New Roman"/>
          <w:sz w:val="28"/>
          <w:szCs w:val="28"/>
        </w:rPr>
        <w:t>Żółkiewicz</w:t>
      </w:r>
      <w:proofErr w:type="spellEnd"/>
      <w:r w:rsidRPr="00733709">
        <w:rPr>
          <w:rFonts w:ascii="Times New Roman" w:hAnsi="Times New Roman" w:cs="Times New Roman"/>
          <w:sz w:val="28"/>
          <w:szCs w:val="28"/>
        </w:rPr>
        <w:t xml:space="preserve"> et al., 2020).</w:t>
      </w:r>
    </w:p>
    <w:p w14:paraId="182F21FB"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Batch-to-batch variation represents a significant challenge in the production of postbiotics and complex probiotic formulations. Fermentation-derived products are inherently variable due to the influence of multiple factors on microbial metabolism and compound production. Advanced process control, standardized production protocols, and comprehensive quality testing are essential for maintaining consistent product quality (</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et al., 2020).</w:t>
      </w:r>
    </w:p>
    <w:p w14:paraId="633756B9"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Stability testing requirements for innovative probiotic products must address the unique characteristics of each product type. Next-generation probiotics may have different stability profiles than traditional strains, while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may require novel approaches to assess bioactivity retention during storage. Long-term stability studies and accelerated testing protocols must be developed and validated for each product category (Molina-Tijeras et al., 2019).</w:t>
      </w:r>
    </w:p>
    <w:p w14:paraId="5D06EE6B"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7.3 Scalability and Manufacturing</w:t>
      </w:r>
    </w:p>
    <w:p w14:paraId="6DF5585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Manufacturing scalability represents a critical challenge for translating laboratory-scale innovations into commercial products. Many advanced biotechnological approaches used in next-generation probiotic development may not be easily scalable using existing industrial fermentation and processing equipment. Specialized production facilities and equipment may be required for certain products, increasing capital investment requirements and production costs (</w:t>
      </w:r>
      <w:proofErr w:type="spellStart"/>
      <w:r w:rsidRPr="00733709">
        <w:rPr>
          <w:rFonts w:ascii="Times New Roman" w:hAnsi="Times New Roman" w:cs="Times New Roman"/>
          <w:sz w:val="28"/>
          <w:szCs w:val="28"/>
        </w:rPr>
        <w:t>Broeckx</w:t>
      </w:r>
      <w:proofErr w:type="spellEnd"/>
      <w:r w:rsidRPr="00733709">
        <w:rPr>
          <w:rFonts w:ascii="Times New Roman" w:hAnsi="Times New Roman" w:cs="Times New Roman"/>
          <w:sz w:val="28"/>
          <w:szCs w:val="28"/>
        </w:rPr>
        <w:t xml:space="preserve"> et al., 2016).</w:t>
      </w:r>
    </w:p>
    <w:p w14:paraId="784AB06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Fermentation optimization for novel bacterial species and genetically modified strains requires extensive process development and validation. Traditional fermentation protocols developed for conventional probiotic strains may not be suitable for next-generation probiotics, necessitating the development of specialized media formulations, environmental controls, and harvesting procedures. These requirements can significantly complicate manufacturing operations and increase production costs (Cook et al., 2012).</w:t>
      </w:r>
    </w:p>
    <w:p w14:paraId="645F8064"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Cost-effectiveness considerations become particularly important as production complexity increases. Advanced biotechnological approaches, specialized equipment, and extensive quality control requirements can significantly increase manufacturing costs compared to traditional probiotic products. Market acceptance and pricing strategies must balance innovation benefits with economic viability to ensure commercial success (Kristensen et al., 2016).</w:t>
      </w:r>
    </w:p>
    <w:p w14:paraId="3ECD761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Supply chain complexity increases with the introduction of specialized raw materials, advanced processing equipment, and stringent storage requirements. Cold chain maintenance, specialized packaging, and controlled distribution may be required for certain products, adding complexity and cost to supply chain operations. Integration with existing distribution networks may require significant modifications and investments (Yao et al., 2020).</w:t>
      </w:r>
    </w:p>
    <w:p w14:paraId="6B380A33"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7.4 Consumer Acceptance and Market Adoption</w:t>
      </w:r>
    </w:p>
    <w:p w14:paraId="5FEC290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Consumer acceptance of genetically modified probiotics presents a significant challenge in markets where GMO products face public resistance. Despite potential benefits, consumer concerns about genetic modification may limit market acceptance and require extensive education and communication efforts to build consumer confidence. Transparent </w:t>
      </w:r>
      <w:proofErr w:type="spellStart"/>
      <w:r w:rsidRPr="00733709">
        <w:rPr>
          <w:rFonts w:ascii="Times New Roman" w:hAnsi="Times New Roman" w:cs="Times New Roman"/>
          <w:sz w:val="28"/>
          <w:szCs w:val="28"/>
        </w:rPr>
        <w:t>labeling</w:t>
      </w:r>
      <w:proofErr w:type="spellEnd"/>
      <w:r w:rsidRPr="00733709">
        <w:rPr>
          <w:rFonts w:ascii="Times New Roman" w:hAnsi="Times New Roman" w:cs="Times New Roman"/>
          <w:sz w:val="28"/>
          <w:szCs w:val="28"/>
        </w:rPr>
        <w:t xml:space="preserve"> and clear communication about safety and benefits are essential for market success (Sanders et al., 2018).</w:t>
      </w:r>
    </w:p>
    <w:p w14:paraId="01EFF8E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lastRenderedPageBreak/>
        <w:t xml:space="preserve">Scientific evidence requirements for health claims related to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may be more stringent than those for traditional probiotics. Regulatory agencies and consumers increasingly demand robust clinical evidence supporting health benefit claims, requiring significant investment in clinical research and development. The complexity of these products may necessitate more extensive and sophisticated clinical studies (Salminen et al., 2021).</w:t>
      </w:r>
    </w:p>
    <w:p w14:paraId="6E2C37D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Healthcare professional acceptance and recommendation represent important factors in market adoption, particularly for products targeting therapeutic applications. Healthcare providers require comprehensive education about the science, safety, and appropriate use of innovative probiotic products. Professional organizations and medical societies may need to develop guidelines and recommendations for the use of next-generation probiotic products (</w:t>
      </w: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et al., 2020).</w:t>
      </w:r>
    </w:p>
    <w:p w14:paraId="31680EDA"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Market differentiation challenges arise as the probiotic market becomes increasingly crowded with innovative products making similar claims. Companies must clearly communicate the unique benefits and advantages of their products while providing compelling evidence of superiority over existing alternatives. Brand building and marketing strategies must effectively convey complex scientific concepts to target audiences (Granato et al., 2010).</w:t>
      </w:r>
    </w:p>
    <w:p w14:paraId="000E8B74"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 Future Directions and Research Opportunities</w:t>
      </w:r>
    </w:p>
    <w:p w14:paraId="490894D7"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8.1 Personalized Probiotic Therapy</w:t>
      </w:r>
    </w:p>
    <w:p w14:paraId="6942E2A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future of probiotic science is increasingly moving toward personalized approaches that tailor probiotic interventions to individual microbiome profiles, genetic factors, and health status. Advances in microbiome analysis, artificial intelligence, and predictive </w:t>
      </w:r>
      <w:proofErr w:type="spellStart"/>
      <w:r w:rsidRPr="00733709">
        <w:rPr>
          <w:rFonts w:ascii="Times New Roman" w:hAnsi="Times New Roman" w:cs="Times New Roman"/>
          <w:sz w:val="28"/>
          <w:szCs w:val="28"/>
        </w:rPr>
        <w:t>modeling</w:t>
      </w:r>
      <w:proofErr w:type="spellEnd"/>
      <w:r w:rsidRPr="00733709">
        <w:rPr>
          <w:rFonts w:ascii="Times New Roman" w:hAnsi="Times New Roman" w:cs="Times New Roman"/>
          <w:sz w:val="28"/>
          <w:szCs w:val="28"/>
        </w:rPr>
        <w:t xml:space="preserve"> are enabling the development of precision probiotic therapies that optimize therapeutic outcomes for individual patients (</w:t>
      </w:r>
      <w:proofErr w:type="spellStart"/>
      <w:r w:rsidRPr="00733709">
        <w:rPr>
          <w:rFonts w:ascii="Times New Roman" w:hAnsi="Times New Roman" w:cs="Times New Roman"/>
          <w:sz w:val="28"/>
          <w:szCs w:val="28"/>
        </w:rPr>
        <w:t>Zmora</w:t>
      </w:r>
      <w:proofErr w:type="spellEnd"/>
      <w:r w:rsidRPr="00733709">
        <w:rPr>
          <w:rFonts w:ascii="Times New Roman" w:hAnsi="Times New Roman" w:cs="Times New Roman"/>
          <w:sz w:val="28"/>
          <w:szCs w:val="28"/>
        </w:rPr>
        <w:t xml:space="preserve"> et al., 2018).</w:t>
      </w:r>
    </w:p>
    <w:p w14:paraId="45FF2E3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Microbiome profiling technologies, including next-generation sequencing and metabolomic analysis, provide detailed insights into individual microbiome composition and functional capacity. These technologies enable the identification of specific microbial imbalances, metabolic deficiencies, and therapeutic targets that can guide the selection of appropriate probiotic interventions. Advanced bioinformatics tools and machine learning algorithms can </w:t>
      </w:r>
      <w:proofErr w:type="spellStart"/>
      <w:r w:rsidRPr="00733709">
        <w:rPr>
          <w:rFonts w:ascii="Times New Roman" w:hAnsi="Times New Roman" w:cs="Times New Roman"/>
          <w:sz w:val="28"/>
          <w:szCs w:val="28"/>
        </w:rPr>
        <w:t>analyze</w:t>
      </w:r>
      <w:proofErr w:type="spellEnd"/>
      <w:r w:rsidRPr="00733709">
        <w:rPr>
          <w:rFonts w:ascii="Times New Roman" w:hAnsi="Times New Roman" w:cs="Times New Roman"/>
          <w:sz w:val="28"/>
          <w:szCs w:val="28"/>
        </w:rPr>
        <w:t xml:space="preserve"> complex </w:t>
      </w:r>
      <w:r w:rsidRPr="00733709">
        <w:rPr>
          <w:rFonts w:ascii="Times New Roman" w:hAnsi="Times New Roman" w:cs="Times New Roman"/>
          <w:sz w:val="28"/>
          <w:szCs w:val="28"/>
        </w:rPr>
        <w:lastRenderedPageBreak/>
        <w:t>microbiome data to predict responses to specific probiotic treatments (Valdes et al., 2018).</w:t>
      </w:r>
    </w:p>
    <w:p w14:paraId="699DABC1"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Genetic factors influencing probiotic efficacy, including host immune response genes, metabolic enzyme polymorphisms, and microbiome-related genetic variants, can be incorporated into personalized treatment algorithms. Pharmacogenomic approaches adapted for probiotics can identify individuals most likely to benefit from specific treatments while avoiding potential adverse effects (Kristensen et al., 2016).</w:t>
      </w:r>
    </w:p>
    <w:p w14:paraId="60D303E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Biomarker development for monitoring probiotic treatment responses enables real-time assessment of therapeutic efficacy and optimization of treatment protocols. Metabolic biomarkers, immune response indicators, and microbiome composition changes can provide objective measures of treatment success and guide adjustments to probiotic therapy regimens (</w:t>
      </w:r>
      <w:proofErr w:type="spellStart"/>
      <w:r w:rsidRPr="00733709">
        <w:rPr>
          <w:rFonts w:ascii="Times New Roman" w:hAnsi="Times New Roman" w:cs="Times New Roman"/>
          <w:sz w:val="28"/>
          <w:szCs w:val="28"/>
        </w:rPr>
        <w:t>Zmora</w:t>
      </w:r>
      <w:proofErr w:type="spellEnd"/>
      <w:r w:rsidRPr="00733709">
        <w:rPr>
          <w:rFonts w:ascii="Times New Roman" w:hAnsi="Times New Roman" w:cs="Times New Roman"/>
          <w:sz w:val="28"/>
          <w:szCs w:val="28"/>
        </w:rPr>
        <w:t xml:space="preserve"> et al., 2018).</w:t>
      </w:r>
    </w:p>
    <w:p w14:paraId="1A4960E7"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8.2 Advanced Biotechnology Applications</w:t>
      </w:r>
    </w:p>
    <w:p w14:paraId="0C17494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Synthetic biology approaches are revolutionizing probiotic development by enabling the design and construction of entirely novel biological systems within bacterial cells. These approaches allow for the creation of programmable probiotics that can sense environmental conditions, produce therapeutic compounds on demand, and respond to specific disease states with targeted interventions (Torres et al., 2016).</w:t>
      </w:r>
    </w:p>
    <w:p w14:paraId="7463B81B"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Biosensor integration into probiotic bacteria enables real-time monitoring of host health status and environmental conditions. These living sensors can detect disease biomarkers, inflammatory signals, or pathogenic bacteria and respond with appropriate therapeutic interventions. Advanced genetic circuits can be designed to provide precise control over sensor sensitivity and response characteristics (Isabella et al., 2018).</w:t>
      </w:r>
    </w:p>
    <w:p w14:paraId="309AD94C"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Controlled drug delivery systems utilizing engineered probiotics offer targeted therapeutic approaches that bypass traditional pharmaceutical limitations. These living drug delivery vehicles can produce and release therapeutic compounds directly at disease sites while avoiding systemic side effects. Advanced control mechanisms can regulate drug production and release timing to optimize therapeutic outcomes (Torres-Barceló, 2018).</w:t>
      </w:r>
    </w:p>
    <w:p w14:paraId="3F8F0B41"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Metabolic engineering approaches enable the optimization of probiotic metabolism to enhance the production of beneficial compounds while minimizing </w:t>
      </w:r>
      <w:r w:rsidRPr="00733709">
        <w:rPr>
          <w:rFonts w:ascii="Times New Roman" w:hAnsi="Times New Roman" w:cs="Times New Roman"/>
          <w:sz w:val="28"/>
          <w:szCs w:val="28"/>
        </w:rPr>
        <w:lastRenderedPageBreak/>
        <w:t>the production of unwanted metabolites. These modifications can improve therapeutic efficacy, reduce side effects, and enable the production of novel bioactive compounds not found in natural bacterial strains (Rodríguez-Nogales et al., 2018).</w:t>
      </w:r>
    </w:p>
    <w:p w14:paraId="6DAFA3DD"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8.3 Novel Delivery Systems and Formulations</w:t>
      </w:r>
    </w:p>
    <w:p w14:paraId="062E3AAB"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Nanotechnology applications in probiotic delivery are advancing rapidly, offering enhanced protection, targeted delivery, and controlled release capabilities. Nanoencapsulation systems can protect probiotic bacteria and bioactive compounds from environmental stresses while enabling site-specific delivery and sustained release over extended periods (Yao et al., 2020).</w:t>
      </w:r>
    </w:p>
    <w:p w14:paraId="368D5C75"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Smart delivery systems that respond to specific environmental triggers such as pH, temperature, or enzymatic activity enable precise control over probiotic release and activation. These systems can be designed to deliver probiotics to specific sites within the gastrointestinal tract or to release therapeutic compounds in response to disease-related biomarkers (Cook et al., 2012).</w:t>
      </w:r>
    </w:p>
    <w:p w14:paraId="6820C008"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Biomaterial innovations are creating new possibilities for probiotic encapsulation and delivery. Advanced biomaterials such as biodegradable polymers, hydrogels, and composite materials can be tailored to provide optimal protection and release characteristics for specific applications. These materials can be designed to degrade at controlled rates, releasing probiotics and bioactive compounds according to predetermined schedules (</w:t>
      </w:r>
      <w:proofErr w:type="spellStart"/>
      <w:r w:rsidRPr="00733709">
        <w:rPr>
          <w:rFonts w:ascii="Times New Roman" w:hAnsi="Times New Roman" w:cs="Times New Roman"/>
          <w:sz w:val="28"/>
          <w:szCs w:val="28"/>
        </w:rPr>
        <w:t>Broeckx</w:t>
      </w:r>
      <w:proofErr w:type="spellEnd"/>
      <w:r w:rsidRPr="00733709">
        <w:rPr>
          <w:rFonts w:ascii="Times New Roman" w:hAnsi="Times New Roman" w:cs="Times New Roman"/>
          <w:sz w:val="28"/>
          <w:szCs w:val="28"/>
        </w:rPr>
        <w:t xml:space="preserve"> et al., 2016).</w:t>
      </w:r>
    </w:p>
    <w:p w14:paraId="4B73D057"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Multi-functional delivery systems that combine probiotics with other therapeutic agents such as prebiotics, pharmaceuticals, or vaccines are being developed to provide synergistic therapeutic effects. These combination systems can address multiple aspects of disease simultaneously while potentially reducing treatment complexity and improving patient compliance (</w:t>
      </w:r>
      <w:proofErr w:type="spellStart"/>
      <w:r w:rsidRPr="00733709">
        <w:rPr>
          <w:rFonts w:ascii="Times New Roman" w:hAnsi="Times New Roman" w:cs="Times New Roman"/>
          <w:sz w:val="28"/>
          <w:szCs w:val="28"/>
        </w:rPr>
        <w:t>Ranadheera</w:t>
      </w:r>
      <w:proofErr w:type="spellEnd"/>
      <w:r w:rsidRPr="00733709">
        <w:rPr>
          <w:rFonts w:ascii="Times New Roman" w:hAnsi="Times New Roman" w:cs="Times New Roman"/>
          <w:sz w:val="28"/>
          <w:szCs w:val="28"/>
        </w:rPr>
        <w:t xml:space="preserve"> et al., 2010).</w:t>
      </w:r>
    </w:p>
    <w:p w14:paraId="350C86DA"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8.4 Emerging Applications in Food Technology</w:t>
      </w:r>
    </w:p>
    <w:p w14:paraId="3C9E2C97"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Plant-based probiotic applications are expanding rapidly as consumer demand for plant-based foods continues to grow. Advanced fermentation technologies and novel bacterial strains are being developed specifically for plant-based substrates, enabling the creation of functional plant-based foods with probiotic benefits comparable to traditional dairy products (Granato et al., 2010).</w:t>
      </w:r>
    </w:p>
    <w:p w14:paraId="1B217D11"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Sustainable production methods utilizing waste biomass and agricultural byproducts are being developed to reduce the environmental impact of probiotic </w:t>
      </w:r>
      <w:r w:rsidRPr="00733709">
        <w:rPr>
          <w:rFonts w:ascii="Times New Roman" w:hAnsi="Times New Roman" w:cs="Times New Roman"/>
          <w:sz w:val="28"/>
          <w:szCs w:val="28"/>
        </w:rPr>
        <w:lastRenderedPageBreak/>
        <w:t>production while creating value-added products from waste materials. These approaches can reduce production costs while supporting circular economy principles and environmental sustainability goals (Settanni &amp; Corsetti, 2008).</w:t>
      </w:r>
    </w:p>
    <w:p w14:paraId="6EC7B157"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Food packaging innovations incorporating probiotic bacteria or bioactive compounds are creating new opportunities for delivering health benefits through food packaging materials. Active packaging systems can release probiotic compounds onto food surfaces or into the headspace, providing continuous health benefits throughout the storage period while maintaining food quality and safety (Campos et al., 2011).</w:t>
      </w:r>
    </w:p>
    <w:p w14:paraId="7DEB5156"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Precision fermentation technologies are enabling the production of specific bioactive compounds and probiotic bacteria with enhanced control over product characteristics and quality. These advanced fermentation systems can optimize production conditions in real-time, ensuring consistent product quality while maximizing yield and minimizing production costs (</w:t>
      </w:r>
      <w:proofErr w:type="spellStart"/>
      <w:r w:rsidRPr="00733709">
        <w:rPr>
          <w:rFonts w:ascii="Times New Roman" w:hAnsi="Times New Roman" w:cs="Times New Roman"/>
          <w:sz w:val="28"/>
          <w:szCs w:val="28"/>
        </w:rPr>
        <w:t>Zółkiewicz</w:t>
      </w:r>
      <w:proofErr w:type="spellEnd"/>
      <w:r w:rsidRPr="00733709">
        <w:rPr>
          <w:rFonts w:ascii="Times New Roman" w:hAnsi="Times New Roman" w:cs="Times New Roman"/>
          <w:sz w:val="28"/>
          <w:szCs w:val="28"/>
        </w:rPr>
        <w:t xml:space="preserve"> et al., 2020).</w:t>
      </w:r>
    </w:p>
    <w:p w14:paraId="479C3E76" w14:textId="77777777" w:rsidR="00733709" w:rsidRPr="00733709" w:rsidRDefault="00733709" w:rsidP="00733709">
      <w:pPr>
        <w:jc w:val="both"/>
        <w:rPr>
          <w:rFonts w:ascii="Times New Roman" w:hAnsi="Times New Roman" w:cs="Times New Roman"/>
          <w:b/>
          <w:bCs/>
          <w:sz w:val="28"/>
          <w:szCs w:val="28"/>
        </w:rPr>
      </w:pPr>
      <w:r w:rsidRPr="00733709">
        <w:rPr>
          <w:rFonts w:ascii="Times New Roman" w:hAnsi="Times New Roman" w:cs="Times New Roman"/>
          <w:b/>
          <w:bCs/>
          <w:sz w:val="28"/>
          <w:szCs w:val="28"/>
        </w:rPr>
        <w:t>9. Conclusion</w:t>
      </w:r>
    </w:p>
    <w:p w14:paraId="50151633"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emergence of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represents a significant evolution in the application of beneficial microorganisms for food technology and human health promotion. These innovative approaches address many limitations of traditional probiotic applications while opening new possibilities for targeted therapeutic interventions and enhanced food safety measures.</w:t>
      </w:r>
    </w:p>
    <w:p w14:paraId="54017A7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Next-generation probiotics, incorporating genetic engineering, novel bacterial species, and advanced delivery systems, demonstrate enhanced functionality and therapeutic potential compared to conventional strains. The ability to engineer specific characteristics such as improved stability, targeted bioactive compound production, and enhanced colonization capabilities provides unprecedented opportunities for developing tailored solutions to specific health challenges and food safety concerns.</w:t>
      </w:r>
    </w:p>
    <w:p w14:paraId="57C5170D"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Postbiotics offer stable, safe alternatives to live probiotic cultures while maintaining many beneficial properties associated with probiotic bacteria. The elimination of viability concerns enables broader applications in food technology, including heat-treated products and applications where live bacterial cultures may be inappropriate or unwanted. The standardization and quality control advantages </w:t>
      </w:r>
      <w:r w:rsidRPr="00733709">
        <w:rPr>
          <w:rFonts w:ascii="Times New Roman" w:hAnsi="Times New Roman" w:cs="Times New Roman"/>
          <w:sz w:val="28"/>
          <w:szCs w:val="28"/>
        </w:rPr>
        <w:lastRenderedPageBreak/>
        <w:t>of postbiotic preparations facilitate industrial-scale production and consistent product quality.</w:t>
      </w:r>
    </w:p>
    <w:p w14:paraId="3F12416A" w14:textId="77777777" w:rsidR="00733709" w:rsidRPr="00733709" w:rsidRDefault="00733709" w:rsidP="00733709">
      <w:pPr>
        <w:jc w:val="both"/>
        <w:rPr>
          <w:rFonts w:ascii="Times New Roman" w:hAnsi="Times New Roman" w:cs="Times New Roman"/>
          <w:sz w:val="28"/>
          <w:szCs w:val="28"/>
        </w:rPr>
      </w:pP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provide unique solutions for applications where bacterial viability presents safety concerns or regulatory challenges. The retention of beneficial cellular components and immunomodulatory properties while eliminating infection risk makes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attractive options for vulnerable populations and specialized applications.</w:t>
      </w:r>
    </w:p>
    <w:p w14:paraId="3A64445E"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Food technology applications of these bioactive agents continue to expand, encompassing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functional food development, and novel preservation systems for diverse food categories. The mechanisms of action against foodborne pathogens involve complex interactions that provide multi-layered protection while potentially offering additional health benefits to consumers.</w:t>
      </w:r>
    </w:p>
    <w:p w14:paraId="339FA137"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Current challenges related to regulatory approval, standardization, manufacturing scalability, and consumer acceptance require continued research and development efforts. Collaborative approaches involving researchers, industry, and regulatory agencies are essential for addressing these challenges and facilitating the translation of innovative research into commercially viable products.</w:t>
      </w:r>
    </w:p>
    <w:p w14:paraId="0DF8975F"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Future directions emphasize personalized approaches, advanced biotechnology applications, novel delivery systems, and emerging food technology applications. The integration of artificial intelligence, synthetic biology, and precision medicine approaches promises to revolutionize probiotic applications and create new paradigms for health promotion and disease prevention.</w:t>
      </w:r>
    </w:p>
    <w:p w14:paraId="14D3C991" w14:textId="77777777" w:rsidR="00733709" w:rsidRP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The continued development of next-generation probiotics, postbiotics, and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requires sustained investment in research and development, collaborative partnerships between academia and industry, and supportive regulatory frameworks that balance innovation with safety. Success in this field will depend on the ability to translate scientific advances into practical applications that provide tangible benefits to consumers and society.</w:t>
      </w:r>
    </w:p>
    <w:p w14:paraId="1BE8800B" w14:textId="77777777" w:rsidR="00733709" w:rsidRDefault="00733709" w:rsidP="00733709">
      <w:pPr>
        <w:jc w:val="both"/>
        <w:rPr>
          <w:rFonts w:ascii="Times New Roman" w:hAnsi="Times New Roman" w:cs="Times New Roman"/>
          <w:sz w:val="28"/>
          <w:szCs w:val="28"/>
        </w:rPr>
      </w:pPr>
      <w:r w:rsidRPr="00733709">
        <w:rPr>
          <w:rFonts w:ascii="Times New Roman" w:hAnsi="Times New Roman" w:cs="Times New Roman"/>
          <w:sz w:val="28"/>
          <w:szCs w:val="28"/>
        </w:rPr>
        <w:t xml:space="preserve">As the field continues to evolve, the potential for these innovative biotechnological tools to address global challenges related to food security, antibiotic resistance, and chronic disease prevention becomes increasingly apparent. The integration of advanced technologies with traditional knowledge of beneficial microorganisms creates opportunities for developing sustainable, </w:t>
      </w:r>
      <w:r w:rsidRPr="00733709">
        <w:rPr>
          <w:rFonts w:ascii="Times New Roman" w:hAnsi="Times New Roman" w:cs="Times New Roman"/>
          <w:sz w:val="28"/>
          <w:szCs w:val="28"/>
        </w:rPr>
        <w:lastRenderedPageBreak/>
        <w:t>effective solutions that improve human health and well-being while supporting environmental sustainability goals.</w:t>
      </w:r>
    </w:p>
    <w:p w14:paraId="3DBE90E0" w14:textId="77777777" w:rsidR="00614F26" w:rsidRPr="00733709" w:rsidRDefault="00614F26" w:rsidP="00614F26">
      <w:pPr>
        <w:jc w:val="both"/>
        <w:rPr>
          <w:rFonts w:ascii="Times New Roman" w:hAnsi="Times New Roman" w:cs="Times New Roman"/>
          <w:b/>
          <w:bCs/>
          <w:sz w:val="28"/>
          <w:szCs w:val="28"/>
        </w:rPr>
      </w:pPr>
      <w:r w:rsidRPr="00733709">
        <w:rPr>
          <w:rFonts w:ascii="Times New Roman" w:hAnsi="Times New Roman" w:cs="Times New Roman"/>
          <w:b/>
          <w:bCs/>
          <w:sz w:val="28"/>
          <w:szCs w:val="28"/>
        </w:rPr>
        <w:t>References</w:t>
      </w:r>
    </w:p>
    <w:p w14:paraId="52C8B7B1"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Adams, C. A. (2010). The probiotic paradox: Live and dead cells are biological response modifiers. </w:t>
      </w:r>
      <w:r w:rsidRPr="00733709">
        <w:rPr>
          <w:rFonts w:ascii="Times New Roman" w:hAnsi="Times New Roman" w:cs="Times New Roman"/>
          <w:i/>
          <w:iCs/>
          <w:sz w:val="28"/>
          <w:szCs w:val="28"/>
        </w:rPr>
        <w:t>Nutrition Research Reviews</w:t>
      </w:r>
      <w:r w:rsidRPr="00733709">
        <w:rPr>
          <w:rFonts w:ascii="Times New Roman" w:hAnsi="Times New Roman" w:cs="Times New Roman"/>
          <w:sz w:val="28"/>
          <w:szCs w:val="28"/>
        </w:rPr>
        <w:t xml:space="preserve">, 23(1), 37-46. </w:t>
      </w:r>
      <w:hyperlink r:id="rId8" w:history="1">
        <w:r w:rsidRPr="00733709">
          <w:rPr>
            <w:rStyle w:val="Hyperlink"/>
            <w:rFonts w:ascii="Times New Roman" w:hAnsi="Times New Roman" w:cs="Times New Roman"/>
            <w:sz w:val="28"/>
            <w:szCs w:val="28"/>
          </w:rPr>
          <w:t>https://doi.org/10.1017/S0954422410000090</w:t>
        </w:r>
      </w:hyperlink>
    </w:p>
    <w:p w14:paraId="793BE4BA"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lang w:val="it-IT"/>
        </w:rPr>
        <w:t xml:space="preserve">Aguilar-Toalá, J. E., Garcia-Varela, R., Garcia, H. S., Mata-Haro, V., González-Córdova, A. F., Vallejo-Cordoba, B., &amp; Hernández-Mendoza, A. (2018). </w:t>
      </w:r>
      <w:r w:rsidRPr="00733709">
        <w:rPr>
          <w:rFonts w:ascii="Times New Roman" w:hAnsi="Times New Roman" w:cs="Times New Roman"/>
          <w:sz w:val="28"/>
          <w:szCs w:val="28"/>
        </w:rPr>
        <w:t xml:space="preserve">Postbiotics: An evolving term within the functional foods field. </w:t>
      </w:r>
      <w:r w:rsidRPr="00733709">
        <w:rPr>
          <w:rFonts w:ascii="Times New Roman" w:hAnsi="Times New Roman" w:cs="Times New Roman"/>
          <w:i/>
          <w:iCs/>
          <w:sz w:val="28"/>
          <w:szCs w:val="28"/>
        </w:rPr>
        <w:t>Trends in Food Science &amp; Technology</w:t>
      </w:r>
      <w:r w:rsidRPr="00733709">
        <w:rPr>
          <w:rFonts w:ascii="Times New Roman" w:hAnsi="Times New Roman" w:cs="Times New Roman"/>
          <w:sz w:val="28"/>
          <w:szCs w:val="28"/>
        </w:rPr>
        <w:t xml:space="preserve">, 75, 105-114. </w:t>
      </w:r>
      <w:hyperlink r:id="rId9" w:history="1">
        <w:r w:rsidRPr="00733709">
          <w:rPr>
            <w:rStyle w:val="Hyperlink"/>
            <w:rFonts w:ascii="Times New Roman" w:hAnsi="Times New Roman" w:cs="Times New Roman"/>
            <w:sz w:val="28"/>
            <w:szCs w:val="28"/>
          </w:rPr>
          <w:t>https://doi.org/10.1016/j.tifs.2018.03.009</w:t>
        </w:r>
      </w:hyperlink>
    </w:p>
    <w:p w14:paraId="09C2B533"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DD3F9E">
        <w:rPr>
          <w:rFonts w:ascii="Times New Roman" w:hAnsi="Times New Roman" w:cs="Times New Roman"/>
          <w:sz w:val="28"/>
          <w:szCs w:val="28"/>
          <w:lang w:val="it-IT"/>
        </w:rPr>
        <w:t xml:space="preserve">Alegre, I., Viñas, I., Usall, J., Anguera, M., &amp; Abadias, M. (2011). </w:t>
      </w:r>
      <w:r w:rsidRPr="00733709">
        <w:rPr>
          <w:rFonts w:ascii="Times New Roman" w:hAnsi="Times New Roman" w:cs="Times New Roman"/>
          <w:sz w:val="28"/>
          <w:szCs w:val="28"/>
        </w:rPr>
        <w:t xml:space="preserve">Microbiological and physicochemical quality of fresh-cut apple enriched with the probiotic strain Lactobacillus </w:t>
      </w:r>
      <w:proofErr w:type="spellStart"/>
      <w:r w:rsidRPr="00733709">
        <w:rPr>
          <w:rFonts w:ascii="Times New Roman" w:hAnsi="Times New Roman" w:cs="Times New Roman"/>
          <w:sz w:val="28"/>
          <w:szCs w:val="28"/>
        </w:rPr>
        <w:t>rhamnosus</w:t>
      </w:r>
      <w:proofErr w:type="spellEnd"/>
      <w:r w:rsidRPr="00733709">
        <w:rPr>
          <w:rFonts w:ascii="Times New Roman" w:hAnsi="Times New Roman" w:cs="Times New Roman"/>
          <w:sz w:val="28"/>
          <w:szCs w:val="28"/>
        </w:rPr>
        <w:t xml:space="preserve"> GG. </w:t>
      </w:r>
      <w:r w:rsidRPr="00733709">
        <w:rPr>
          <w:rFonts w:ascii="Times New Roman" w:hAnsi="Times New Roman" w:cs="Times New Roman"/>
          <w:i/>
          <w:iCs/>
          <w:sz w:val="28"/>
          <w:szCs w:val="28"/>
        </w:rPr>
        <w:t>Food Microbiology</w:t>
      </w:r>
      <w:r w:rsidRPr="00733709">
        <w:rPr>
          <w:rFonts w:ascii="Times New Roman" w:hAnsi="Times New Roman" w:cs="Times New Roman"/>
          <w:sz w:val="28"/>
          <w:szCs w:val="28"/>
        </w:rPr>
        <w:t xml:space="preserve">, 28(1), 59-66. </w:t>
      </w:r>
      <w:hyperlink r:id="rId10" w:history="1">
        <w:r w:rsidRPr="00733709">
          <w:rPr>
            <w:rStyle w:val="Hyperlink"/>
            <w:rFonts w:ascii="Times New Roman" w:hAnsi="Times New Roman" w:cs="Times New Roman"/>
            <w:sz w:val="28"/>
            <w:szCs w:val="28"/>
          </w:rPr>
          <w:t>https://doi.org/10.1016/j.fm.2010.08.006</w:t>
        </w:r>
      </w:hyperlink>
    </w:p>
    <w:p w14:paraId="0DAE224C"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Araya-Cloutier, C., </w:t>
      </w:r>
      <w:proofErr w:type="spellStart"/>
      <w:r w:rsidRPr="00733709">
        <w:rPr>
          <w:rFonts w:ascii="Times New Roman" w:hAnsi="Times New Roman" w:cs="Times New Roman"/>
          <w:sz w:val="28"/>
          <w:szCs w:val="28"/>
        </w:rPr>
        <w:t>Vincken</w:t>
      </w:r>
      <w:proofErr w:type="spellEnd"/>
      <w:r w:rsidRPr="00733709">
        <w:rPr>
          <w:rFonts w:ascii="Times New Roman" w:hAnsi="Times New Roman" w:cs="Times New Roman"/>
          <w:sz w:val="28"/>
          <w:szCs w:val="28"/>
        </w:rPr>
        <w:t xml:space="preserve">, J. P., van </w:t>
      </w:r>
      <w:proofErr w:type="spellStart"/>
      <w:r w:rsidRPr="00733709">
        <w:rPr>
          <w:rFonts w:ascii="Times New Roman" w:hAnsi="Times New Roman" w:cs="Times New Roman"/>
          <w:sz w:val="28"/>
          <w:szCs w:val="28"/>
        </w:rPr>
        <w:t>Ederen</w:t>
      </w:r>
      <w:proofErr w:type="spellEnd"/>
      <w:r w:rsidRPr="00733709">
        <w:rPr>
          <w:rFonts w:ascii="Times New Roman" w:hAnsi="Times New Roman" w:cs="Times New Roman"/>
          <w:sz w:val="28"/>
          <w:szCs w:val="28"/>
        </w:rPr>
        <w:t xml:space="preserve">, R., den </w:t>
      </w:r>
      <w:proofErr w:type="spellStart"/>
      <w:r w:rsidRPr="00733709">
        <w:rPr>
          <w:rFonts w:ascii="Times New Roman" w:hAnsi="Times New Roman" w:cs="Times New Roman"/>
          <w:sz w:val="28"/>
          <w:szCs w:val="28"/>
        </w:rPr>
        <w:t>Besten</w:t>
      </w:r>
      <w:proofErr w:type="spellEnd"/>
      <w:r w:rsidRPr="00733709">
        <w:rPr>
          <w:rFonts w:ascii="Times New Roman" w:hAnsi="Times New Roman" w:cs="Times New Roman"/>
          <w:sz w:val="28"/>
          <w:szCs w:val="28"/>
        </w:rPr>
        <w:t xml:space="preserve">, H. M., &amp; Gruppen, H. (2018). Rapid membrane permeabilization of Listeria monocytogenes and Escherichia coli induced by antibacterial prenylated phenolic compounds from legumes. </w:t>
      </w:r>
      <w:r w:rsidRPr="00733709">
        <w:rPr>
          <w:rFonts w:ascii="Times New Roman" w:hAnsi="Times New Roman" w:cs="Times New Roman"/>
          <w:i/>
          <w:iCs/>
          <w:sz w:val="28"/>
          <w:szCs w:val="28"/>
        </w:rPr>
        <w:t>Food Chemistry</w:t>
      </w:r>
      <w:r w:rsidRPr="00733709">
        <w:rPr>
          <w:rFonts w:ascii="Times New Roman" w:hAnsi="Times New Roman" w:cs="Times New Roman"/>
          <w:sz w:val="28"/>
          <w:szCs w:val="28"/>
        </w:rPr>
        <w:t xml:space="preserve">, 240, 345-353. </w:t>
      </w:r>
      <w:hyperlink r:id="rId11" w:history="1">
        <w:r w:rsidRPr="00733709">
          <w:rPr>
            <w:rStyle w:val="Hyperlink"/>
            <w:rFonts w:ascii="Times New Roman" w:hAnsi="Times New Roman" w:cs="Times New Roman"/>
            <w:sz w:val="28"/>
            <w:szCs w:val="28"/>
          </w:rPr>
          <w:t>https://doi.org/10.1016/j.foodchem.2017.07.074</w:t>
        </w:r>
      </w:hyperlink>
    </w:p>
    <w:p w14:paraId="6C667CF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Broeckx, G., </w:t>
      </w:r>
      <w:proofErr w:type="spellStart"/>
      <w:r w:rsidRPr="00733709">
        <w:rPr>
          <w:rFonts w:ascii="Times New Roman" w:hAnsi="Times New Roman" w:cs="Times New Roman"/>
          <w:sz w:val="28"/>
          <w:szCs w:val="28"/>
        </w:rPr>
        <w:t>Vandenheuvel</w:t>
      </w:r>
      <w:proofErr w:type="spellEnd"/>
      <w:r w:rsidRPr="00733709">
        <w:rPr>
          <w:rFonts w:ascii="Times New Roman" w:hAnsi="Times New Roman" w:cs="Times New Roman"/>
          <w:sz w:val="28"/>
          <w:szCs w:val="28"/>
        </w:rPr>
        <w:t xml:space="preserve">, D., Claes, I. J., </w:t>
      </w:r>
      <w:proofErr w:type="spellStart"/>
      <w:r w:rsidRPr="00733709">
        <w:rPr>
          <w:rFonts w:ascii="Times New Roman" w:hAnsi="Times New Roman" w:cs="Times New Roman"/>
          <w:sz w:val="28"/>
          <w:szCs w:val="28"/>
        </w:rPr>
        <w:t>Lebeer</w:t>
      </w:r>
      <w:proofErr w:type="spellEnd"/>
      <w:r w:rsidRPr="00733709">
        <w:rPr>
          <w:rFonts w:ascii="Times New Roman" w:hAnsi="Times New Roman" w:cs="Times New Roman"/>
          <w:sz w:val="28"/>
          <w:szCs w:val="28"/>
        </w:rPr>
        <w:t xml:space="preserve">, S., &amp; </w:t>
      </w:r>
      <w:proofErr w:type="spellStart"/>
      <w:r w:rsidRPr="00733709">
        <w:rPr>
          <w:rFonts w:ascii="Times New Roman" w:hAnsi="Times New Roman" w:cs="Times New Roman"/>
          <w:sz w:val="28"/>
          <w:szCs w:val="28"/>
        </w:rPr>
        <w:t>Kiekens</w:t>
      </w:r>
      <w:proofErr w:type="spellEnd"/>
      <w:r w:rsidRPr="00733709">
        <w:rPr>
          <w:rFonts w:ascii="Times New Roman" w:hAnsi="Times New Roman" w:cs="Times New Roman"/>
          <w:sz w:val="28"/>
          <w:szCs w:val="28"/>
        </w:rPr>
        <w:t xml:space="preserve">, F. (2016). Drying techniques for probiotic bacteria as an important step towards the development of novel pharmabiotics. </w:t>
      </w:r>
      <w:r w:rsidRPr="00733709">
        <w:rPr>
          <w:rFonts w:ascii="Times New Roman" w:hAnsi="Times New Roman" w:cs="Times New Roman"/>
          <w:i/>
          <w:iCs/>
          <w:sz w:val="28"/>
          <w:szCs w:val="28"/>
        </w:rPr>
        <w:t>International Journal of Pharmaceutics</w:t>
      </w:r>
      <w:r w:rsidRPr="00733709">
        <w:rPr>
          <w:rFonts w:ascii="Times New Roman" w:hAnsi="Times New Roman" w:cs="Times New Roman"/>
          <w:sz w:val="28"/>
          <w:szCs w:val="28"/>
        </w:rPr>
        <w:t xml:space="preserve">, 505(1-2), 303-318. </w:t>
      </w:r>
      <w:hyperlink r:id="rId12" w:history="1">
        <w:r w:rsidRPr="00733709">
          <w:rPr>
            <w:rStyle w:val="Hyperlink"/>
            <w:rFonts w:ascii="Times New Roman" w:hAnsi="Times New Roman" w:cs="Times New Roman"/>
            <w:sz w:val="28"/>
            <w:szCs w:val="28"/>
          </w:rPr>
          <w:t>https://doi.org/10.1016/j.ijpharm.2016.04.002</w:t>
        </w:r>
      </w:hyperlink>
    </w:p>
    <w:p w14:paraId="32D6361A"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Bron, P. A., </w:t>
      </w:r>
      <w:proofErr w:type="spellStart"/>
      <w:r w:rsidRPr="00733709">
        <w:rPr>
          <w:rFonts w:ascii="Times New Roman" w:hAnsi="Times New Roman" w:cs="Times New Roman"/>
          <w:sz w:val="28"/>
          <w:szCs w:val="28"/>
        </w:rPr>
        <w:t>Kleerebezem</w:t>
      </w:r>
      <w:proofErr w:type="spellEnd"/>
      <w:r w:rsidRPr="00733709">
        <w:rPr>
          <w:rFonts w:ascii="Times New Roman" w:hAnsi="Times New Roman" w:cs="Times New Roman"/>
          <w:sz w:val="28"/>
          <w:szCs w:val="28"/>
        </w:rPr>
        <w:t xml:space="preserve">, M., Brummer, R. J., Cani, P. D., </w:t>
      </w:r>
      <w:proofErr w:type="spellStart"/>
      <w:r w:rsidRPr="00733709">
        <w:rPr>
          <w:rFonts w:ascii="Times New Roman" w:hAnsi="Times New Roman" w:cs="Times New Roman"/>
          <w:sz w:val="28"/>
          <w:szCs w:val="28"/>
        </w:rPr>
        <w:t>Mercenier</w:t>
      </w:r>
      <w:proofErr w:type="spellEnd"/>
      <w:r w:rsidRPr="00733709">
        <w:rPr>
          <w:rFonts w:ascii="Times New Roman" w:hAnsi="Times New Roman" w:cs="Times New Roman"/>
          <w:sz w:val="28"/>
          <w:szCs w:val="28"/>
        </w:rPr>
        <w:t xml:space="preserve">, A., MacDonald, T. T., Garcia-Ródenas, C. L., &amp; Wells, J. M. (2017). Can probiotics modulate human disease by impacting intestinal barrier function? </w:t>
      </w:r>
      <w:r w:rsidRPr="00733709">
        <w:rPr>
          <w:rFonts w:ascii="Times New Roman" w:hAnsi="Times New Roman" w:cs="Times New Roman"/>
          <w:i/>
          <w:iCs/>
          <w:sz w:val="28"/>
          <w:szCs w:val="28"/>
        </w:rPr>
        <w:t>British Journal of Pharmacology</w:t>
      </w:r>
      <w:r w:rsidRPr="00733709">
        <w:rPr>
          <w:rFonts w:ascii="Times New Roman" w:hAnsi="Times New Roman" w:cs="Times New Roman"/>
          <w:sz w:val="28"/>
          <w:szCs w:val="28"/>
        </w:rPr>
        <w:t xml:space="preserve">, 174(11), 1339-1351. </w:t>
      </w:r>
      <w:hyperlink r:id="rId13" w:history="1">
        <w:r w:rsidRPr="00733709">
          <w:rPr>
            <w:rStyle w:val="Hyperlink"/>
            <w:rFonts w:ascii="Times New Roman" w:hAnsi="Times New Roman" w:cs="Times New Roman"/>
            <w:sz w:val="28"/>
            <w:szCs w:val="28"/>
          </w:rPr>
          <w:t>https://doi.org/10.1111/bph.13729</w:t>
        </w:r>
      </w:hyperlink>
    </w:p>
    <w:p w14:paraId="5EE659D6"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Campos, C. A., </w:t>
      </w:r>
      <w:proofErr w:type="spellStart"/>
      <w:r w:rsidRPr="00733709">
        <w:rPr>
          <w:rFonts w:ascii="Times New Roman" w:hAnsi="Times New Roman" w:cs="Times New Roman"/>
          <w:sz w:val="28"/>
          <w:szCs w:val="28"/>
        </w:rPr>
        <w:t>Gerschenson</w:t>
      </w:r>
      <w:proofErr w:type="spellEnd"/>
      <w:r w:rsidRPr="00733709">
        <w:rPr>
          <w:rFonts w:ascii="Times New Roman" w:hAnsi="Times New Roman" w:cs="Times New Roman"/>
          <w:sz w:val="28"/>
          <w:szCs w:val="28"/>
        </w:rPr>
        <w:t xml:space="preserve">, L. N., &amp; Flores, S. K. (2011). Development of edible films and coatings with antimicrobial activity. </w:t>
      </w:r>
      <w:r w:rsidRPr="00733709">
        <w:rPr>
          <w:rFonts w:ascii="Times New Roman" w:hAnsi="Times New Roman" w:cs="Times New Roman"/>
          <w:i/>
          <w:iCs/>
          <w:sz w:val="28"/>
          <w:szCs w:val="28"/>
        </w:rPr>
        <w:t>Food and Bioprocess Technology</w:t>
      </w:r>
      <w:r w:rsidRPr="00733709">
        <w:rPr>
          <w:rFonts w:ascii="Times New Roman" w:hAnsi="Times New Roman" w:cs="Times New Roman"/>
          <w:sz w:val="28"/>
          <w:szCs w:val="28"/>
        </w:rPr>
        <w:t xml:space="preserve">, 4(6), 849-875. </w:t>
      </w:r>
      <w:hyperlink r:id="rId14" w:history="1">
        <w:r w:rsidRPr="00733709">
          <w:rPr>
            <w:rStyle w:val="Hyperlink"/>
            <w:rFonts w:ascii="Times New Roman" w:hAnsi="Times New Roman" w:cs="Times New Roman"/>
            <w:sz w:val="28"/>
            <w:szCs w:val="28"/>
          </w:rPr>
          <w:t>https://doi.org/10.1007/s11947-010-0434-1</w:t>
        </w:r>
      </w:hyperlink>
    </w:p>
    <w:p w14:paraId="4611512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Cook, M. T., Tzortzis, G., Charalampopoulos, D., &amp; </w:t>
      </w:r>
      <w:proofErr w:type="spellStart"/>
      <w:r w:rsidRPr="00733709">
        <w:rPr>
          <w:rFonts w:ascii="Times New Roman" w:hAnsi="Times New Roman" w:cs="Times New Roman"/>
          <w:sz w:val="28"/>
          <w:szCs w:val="28"/>
        </w:rPr>
        <w:t>Khutoryanskiy</w:t>
      </w:r>
      <w:proofErr w:type="spellEnd"/>
      <w:r w:rsidRPr="00733709">
        <w:rPr>
          <w:rFonts w:ascii="Times New Roman" w:hAnsi="Times New Roman" w:cs="Times New Roman"/>
          <w:sz w:val="28"/>
          <w:szCs w:val="28"/>
        </w:rPr>
        <w:t xml:space="preserve">, V. V. (2012). Microencapsulation of probiotics for gastrointestinal delivery. </w:t>
      </w:r>
      <w:r w:rsidRPr="00733709">
        <w:rPr>
          <w:rFonts w:ascii="Times New Roman" w:hAnsi="Times New Roman" w:cs="Times New Roman"/>
          <w:i/>
          <w:iCs/>
          <w:sz w:val="28"/>
          <w:szCs w:val="28"/>
        </w:rPr>
        <w:lastRenderedPageBreak/>
        <w:t>Journal of Controlled Release</w:t>
      </w:r>
      <w:r w:rsidRPr="00733709">
        <w:rPr>
          <w:rFonts w:ascii="Times New Roman" w:hAnsi="Times New Roman" w:cs="Times New Roman"/>
          <w:sz w:val="28"/>
          <w:szCs w:val="28"/>
        </w:rPr>
        <w:t xml:space="preserve">, 162(1), 56-67. </w:t>
      </w:r>
      <w:hyperlink r:id="rId15" w:history="1">
        <w:r w:rsidRPr="00733709">
          <w:rPr>
            <w:rStyle w:val="Hyperlink"/>
            <w:rFonts w:ascii="Times New Roman" w:hAnsi="Times New Roman" w:cs="Times New Roman"/>
            <w:sz w:val="28"/>
            <w:szCs w:val="28"/>
          </w:rPr>
          <w:t>https://doi.org/10.1016/j.jconrel.2012.06.003</w:t>
        </w:r>
      </w:hyperlink>
    </w:p>
    <w:p w14:paraId="2162A939"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Cotter, P. D., Ross, R. P., &amp; Hill, C. (2013). Bacteriocins - a viable alternative to antibiotics? </w:t>
      </w:r>
      <w:r w:rsidRPr="00733709">
        <w:rPr>
          <w:rFonts w:ascii="Times New Roman" w:hAnsi="Times New Roman" w:cs="Times New Roman"/>
          <w:i/>
          <w:iCs/>
          <w:sz w:val="28"/>
          <w:szCs w:val="28"/>
        </w:rPr>
        <w:t>Nature Reviews Microbiology</w:t>
      </w:r>
      <w:r w:rsidRPr="00733709">
        <w:rPr>
          <w:rFonts w:ascii="Times New Roman" w:hAnsi="Times New Roman" w:cs="Times New Roman"/>
          <w:sz w:val="28"/>
          <w:szCs w:val="28"/>
        </w:rPr>
        <w:t xml:space="preserve">, 11(2), 95-105. </w:t>
      </w:r>
      <w:hyperlink r:id="rId16" w:history="1">
        <w:r w:rsidRPr="00733709">
          <w:rPr>
            <w:rStyle w:val="Hyperlink"/>
            <w:rFonts w:ascii="Times New Roman" w:hAnsi="Times New Roman" w:cs="Times New Roman"/>
            <w:sz w:val="28"/>
            <w:szCs w:val="28"/>
          </w:rPr>
          <w:t>https://doi.org/10.1038/nrmicro2937</w:t>
        </w:r>
      </w:hyperlink>
    </w:p>
    <w:p w14:paraId="6102ACB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lang w:val="it-IT"/>
        </w:rPr>
        <w:t xml:space="preserve">De Almada, C. N., Almada, C. N., Martinez, R. C., &amp; Sant'Ana, A. S. (2016).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Evidences on their ability to modify biological responses, inactivation methods and perspectives on their application in foods. </w:t>
      </w:r>
      <w:r w:rsidRPr="00733709">
        <w:rPr>
          <w:rFonts w:ascii="Times New Roman" w:hAnsi="Times New Roman" w:cs="Times New Roman"/>
          <w:i/>
          <w:iCs/>
          <w:sz w:val="28"/>
          <w:szCs w:val="28"/>
        </w:rPr>
        <w:t>Trends in Food Science &amp; Technology</w:t>
      </w:r>
      <w:r w:rsidRPr="00733709">
        <w:rPr>
          <w:rFonts w:ascii="Times New Roman" w:hAnsi="Times New Roman" w:cs="Times New Roman"/>
          <w:sz w:val="28"/>
          <w:szCs w:val="28"/>
        </w:rPr>
        <w:t xml:space="preserve">, 58, 96-114. </w:t>
      </w:r>
      <w:hyperlink r:id="rId17" w:history="1">
        <w:r w:rsidRPr="00733709">
          <w:rPr>
            <w:rStyle w:val="Hyperlink"/>
            <w:rFonts w:ascii="Times New Roman" w:hAnsi="Times New Roman" w:cs="Times New Roman"/>
            <w:sz w:val="28"/>
            <w:szCs w:val="28"/>
          </w:rPr>
          <w:t>https://doi.org/10.1016/j.tifs.2016.09.011</w:t>
        </w:r>
      </w:hyperlink>
    </w:p>
    <w:p w14:paraId="3EA8235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Elshaghabee</w:t>
      </w:r>
      <w:proofErr w:type="spellEnd"/>
      <w:r w:rsidRPr="00733709">
        <w:rPr>
          <w:rFonts w:ascii="Times New Roman" w:hAnsi="Times New Roman" w:cs="Times New Roman"/>
          <w:sz w:val="28"/>
          <w:szCs w:val="28"/>
        </w:rPr>
        <w:t xml:space="preserve">, F. M., Rokana, N., </w:t>
      </w:r>
      <w:proofErr w:type="spellStart"/>
      <w:r w:rsidRPr="00733709">
        <w:rPr>
          <w:rFonts w:ascii="Times New Roman" w:hAnsi="Times New Roman" w:cs="Times New Roman"/>
          <w:sz w:val="28"/>
          <w:szCs w:val="28"/>
        </w:rPr>
        <w:t>Gulhane</w:t>
      </w:r>
      <w:proofErr w:type="spellEnd"/>
      <w:r w:rsidRPr="00733709">
        <w:rPr>
          <w:rFonts w:ascii="Times New Roman" w:hAnsi="Times New Roman" w:cs="Times New Roman"/>
          <w:sz w:val="28"/>
          <w:szCs w:val="28"/>
        </w:rPr>
        <w:t xml:space="preserve">, R. D., Sharma, C., &amp; Panwar, H. (2017). Bacillus as potential probiotics: Status, concerns, and future perspectives. </w:t>
      </w:r>
      <w:r w:rsidRPr="00733709">
        <w:rPr>
          <w:rFonts w:ascii="Times New Roman" w:hAnsi="Times New Roman" w:cs="Times New Roman"/>
          <w:i/>
          <w:iCs/>
          <w:sz w:val="28"/>
          <w:szCs w:val="28"/>
        </w:rPr>
        <w:t>Frontiers in Microbiology</w:t>
      </w:r>
      <w:r w:rsidRPr="00733709">
        <w:rPr>
          <w:rFonts w:ascii="Times New Roman" w:hAnsi="Times New Roman" w:cs="Times New Roman"/>
          <w:sz w:val="28"/>
          <w:szCs w:val="28"/>
        </w:rPr>
        <w:t xml:space="preserve">, 8, 1490. </w:t>
      </w:r>
      <w:hyperlink r:id="rId18" w:history="1">
        <w:r w:rsidRPr="00733709">
          <w:rPr>
            <w:rStyle w:val="Hyperlink"/>
            <w:rFonts w:ascii="Times New Roman" w:hAnsi="Times New Roman" w:cs="Times New Roman"/>
            <w:sz w:val="28"/>
            <w:szCs w:val="28"/>
          </w:rPr>
          <w:t>https://doi.org/10.3389/fmicb.2017.01490</w:t>
        </w:r>
      </w:hyperlink>
    </w:p>
    <w:p w14:paraId="535FE7E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Everard, A., Belzer, C., Geurts, L., Ouwerkerk, J. P., </w:t>
      </w:r>
      <w:proofErr w:type="spellStart"/>
      <w:r w:rsidRPr="00733709">
        <w:rPr>
          <w:rFonts w:ascii="Times New Roman" w:hAnsi="Times New Roman" w:cs="Times New Roman"/>
          <w:sz w:val="28"/>
          <w:szCs w:val="28"/>
        </w:rPr>
        <w:t>Druart</w:t>
      </w:r>
      <w:proofErr w:type="spellEnd"/>
      <w:r w:rsidRPr="00733709">
        <w:rPr>
          <w:rFonts w:ascii="Times New Roman" w:hAnsi="Times New Roman" w:cs="Times New Roman"/>
          <w:sz w:val="28"/>
          <w:szCs w:val="28"/>
        </w:rPr>
        <w:t xml:space="preserve">, C., </w:t>
      </w:r>
      <w:proofErr w:type="spellStart"/>
      <w:r w:rsidRPr="00733709">
        <w:rPr>
          <w:rFonts w:ascii="Times New Roman" w:hAnsi="Times New Roman" w:cs="Times New Roman"/>
          <w:sz w:val="28"/>
          <w:szCs w:val="28"/>
        </w:rPr>
        <w:t>Bindels</w:t>
      </w:r>
      <w:proofErr w:type="spellEnd"/>
      <w:r w:rsidRPr="00733709">
        <w:rPr>
          <w:rFonts w:ascii="Times New Roman" w:hAnsi="Times New Roman" w:cs="Times New Roman"/>
          <w:sz w:val="28"/>
          <w:szCs w:val="28"/>
        </w:rPr>
        <w:t xml:space="preserve">, L. B., Guiot, Y., Derrien, M., Muccioli, G. G., </w:t>
      </w:r>
      <w:proofErr w:type="spellStart"/>
      <w:r w:rsidRPr="00733709">
        <w:rPr>
          <w:rFonts w:ascii="Times New Roman" w:hAnsi="Times New Roman" w:cs="Times New Roman"/>
          <w:sz w:val="28"/>
          <w:szCs w:val="28"/>
        </w:rPr>
        <w:t>Delzenne</w:t>
      </w:r>
      <w:proofErr w:type="spellEnd"/>
      <w:r w:rsidRPr="00733709">
        <w:rPr>
          <w:rFonts w:ascii="Times New Roman" w:hAnsi="Times New Roman" w:cs="Times New Roman"/>
          <w:sz w:val="28"/>
          <w:szCs w:val="28"/>
        </w:rPr>
        <w:t xml:space="preserve">, N. M., de Vos, W. M., &amp; Cani, P. D. (2013). Cross-talk between </w:t>
      </w:r>
      <w:proofErr w:type="spellStart"/>
      <w:r w:rsidRPr="00733709">
        <w:rPr>
          <w:rFonts w:ascii="Times New Roman" w:hAnsi="Times New Roman" w:cs="Times New Roman"/>
          <w:sz w:val="28"/>
          <w:szCs w:val="28"/>
        </w:rPr>
        <w:t>Akkermansia</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muciniphila</w:t>
      </w:r>
      <w:proofErr w:type="spellEnd"/>
      <w:r w:rsidRPr="00733709">
        <w:rPr>
          <w:rFonts w:ascii="Times New Roman" w:hAnsi="Times New Roman" w:cs="Times New Roman"/>
          <w:sz w:val="28"/>
          <w:szCs w:val="28"/>
        </w:rPr>
        <w:t xml:space="preserve"> and intestinal epithelium controls diet-induced obesity. </w:t>
      </w:r>
      <w:r w:rsidRPr="00733709">
        <w:rPr>
          <w:rFonts w:ascii="Times New Roman" w:hAnsi="Times New Roman" w:cs="Times New Roman"/>
          <w:i/>
          <w:iCs/>
          <w:sz w:val="28"/>
          <w:szCs w:val="28"/>
        </w:rPr>
        <w:t>Proceedings of the National Academy of Sciences</w:t>
      </w:r>
      <w:r w:rsidRPr="00733709">
        <w:rPr>
          <w:rFonts w:ascii="Times New Roman" w:hAnsi="Times New Roman" w:cs="Times New Roman"/>
          <w:sz w:val="28"/>
          <w:szCs w:val="28"/>
        </w:rPr>
        <w:t xml:space="preserve">, 110(22), 9066-9071. </w:t>
      </w:r>
      <w:hyperlink r:id="rId19" w:history="1">
        <w:r w:rsidRPr="00733709">
          <w:rPr>
            <w:rStyle w:val="Hyperlink"/>
            <w:rFonts w:ascii="Times New Roman" w:hAnsi="Times New Roman" w:cs="Times New Roman"/>
            <w:sz w:val="28"/>
            <w:szCs w:val="28"/>
          </w:rPr>
          <w:t>https://doi.org/10.1073/pnas.1219451110</w:t>
        </w:r>
      </w:hyperlink>
    </w:p>
    <w:p w14:paraId="214FED46"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lang w:val="it-IT"/>
        </w:rPr>
        <w:t xml:space="preserve">Granato, D., Branco, G. F., Nazzaro, F., Cruz, A. G., &amp; Faria, J. A. (2010). </w:t>
      </w:r>
      <w:r w:rsidRPr="00733709">
        <w:rPr>
          <w:rFonts w:ascii="Times New Roman" w:hAnsi="Times New Roman" w:cs="Times New Roman"/>
          <w:sz w:val="28"/>
          <w:szCs w:val="28"/>
        </w:rPr>
        <w:t xml:space="preserve">Functional foods and </w:t>
      </w:r>
      <w:proofErr w:type="spellStart"/>
      <w:r w:rsidRPr="00733709">
        <w:rPr>
          <w:rFonts w:ascii="Times New Roman" w:hAnsi="Times New Roman" w:cs="Times New Roman"/>
          <w:sz w:val="28"/>
          <w:szCs w:val="28"/>
        </w:rPr>
        <w:t>nondairy</w:t>
      </w:r>
      <w:proofErr w:type="spellEnd"/>
      <w:r w:rsidRPr="00733709">
        <w:rPr>
          <w:rFonts w:ascii="Times New Roman" w:hAnsi="Times New Roman" w:cs="Times New Roman"/>
          <w:sz w:val="28"/>
          <w:szCs w:val="28"/>
        </w:rPr>
        <w:t xml:space="preserve"> probiotic food development: Trends, concepts, and products. </w:t>
      </w:r>
      <w:r w:rsidRPr="00733709">
        <w:rPr>
          <w:rFonts w:ascii="Times New Roman" w:hAnsi="Times New Roman" w:cs="Times New Roman"/>
          <w:i/>
          <w:iCs/>
          <w:sz w:val="28"/>
          <w:szCs w:val="28"/>
        </w:rPr>
        <w:t>Comprehensive Reviews in Food Science and Food Safety</w:t>
      </w:r>
      <w:r w:rsidRPr="00733709">
        <w:rPr>
          <w:rFonts w:ascii="Times New Roman" w:hAnsi="Times New Roman" w:cs="Times New Roman"/>
          <w:sz w:val="28"/>
          <w:szCs w:val="28"/>
        </w:rPr>
        <w:t xml:space="preserve">, 9(3), 292-302. </w:t>
      </w:r>
      <w:hyperlink r:id="rId20" w:history="1">
        <w:r w:rsidRPr="00733709">
          <w:rPr>
            <w:rStyle w:val="Hyperlink"/>
            <w:rFonts w:ascii="Times New Roman" w:hAnsi="Times New Roman" w:cs="Times New Roman"/>
            <w:sz w:val="28"/>
            <w:szCs w:val="28"/>
          </w:rPr>
          <w:t>https://doi.org/10.1111/j.1541-4337.2010.00110.x</w:t>
        </w:r>
      </w:hyperlink>
    </w:p>
    <w:p w14:paraId="124E48E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Hill, C., </w:t>
      </w:r>
      <w:proofErr w:type="spellStart"/>
      <w:r w:rsidRPr="00733709">
        <w:rPr>
          <w:rFonts w:ascii="Times New Roman" w:hAnsi="Times New Roman" w:cs="Times New Roman"/>
          <w:sz w:val="28"/>
          <w:szCs w:val="28"/>
        </w:rPr>
        <w:t>Guarner</w:t>
      </w:r>
      <w:proofErr w:type="spellEnd"/>
      <w:r w:rsidRPr="00733709">
        <w:rPr>
          <w:rFonts w:ascii="Times New Roman" w:hAnsi="Times New Roman" w:cs="Times New Roman"/>
          <w:sz w:val="28"/>
          <w:szCs w:val="28"/>
        </w:rPr>
        <w:t xml:space="preserve">, F., Reid, G., Gibson, G. R., Merenstein, D. J., Pot, B., Morelli, L., </w:t>
      </w:r>
      <w:proofErr w:type="spellStart"/>
      <w:r w:rsidRPr="00733709">
        <w:rPr>
          <w:rFonts w:ascii="Times New Roman" w:hAnsi="Times New Roman" w:cs="Times New Roman"/>
          <w:sz w:val="28"/>
          <w:szCs w:val="28"/>
        </w:rPr>
        <w:t>Canani</w:t>
      </w:r>
      <w:proofErr w:type="spellEnd"/>
      <w:r w:rsidRPr="00733709">
        <w:rPr>
          <w:rFonts w:ascii="Times New Roman" w:hAnsi="Times New Roman" w:cs="Times New Roman"/>
          <w:sz w:val="28"/>
          <w:szCs w:val="28"/>
        </w:rPr>
        <w:t xml:space="preserve">, R. B., Flint, H. J., Salminen, S., Calder, P. C., &amp; Sanders, M. E. (2014). Expert consensus document: The International Scientific Association for Probiotics and Prebiotics consensus statement on the scope and appropriate use of the term probiotic. </w:t>
      </w:r>
      <w:r w:rsidRPr="00733709">
        <w:rPr>
          <w:rFonts w:ascii="Times New Roman" w:hAnsi="Times New Roman" w:cs="Times New Roman"/>
          <w:i/>
          <w:iCs/>
          <w:sz w:val="28"/>
          <w:szCs w:val="28"/>
        </w:rPr>
        <w:t>Nature Reviews Gastroenterology &amp; Hepatology</w:t>
      </w:r>
      <w:r w:rsidRPr="00733709">
        <w:rPr>
          <w:rFonts w:ascii="Times New Roman" w:hAnsi="Times New Roman" w:cs="Times New Roman"/>
          <w:sz w:val="28"/>
          <w:szCs w:val="28"/>
        </w:rPr>
        <w:t xml:space="preserve">, 11(8), 506-514. </w:t>
      </w:r>
      <w:hyperlink r:id="rId21" w:history="1">
        <w:r w:rsidRPr="00733709">
          <w:rPr>
            <w:rStyle w:val="Hyperlink"/>
            <w:rFonts w:ascii="Times New Roman" w:hAnsi="Times New Roman" w:cs="Times New Roman"/>
            <w:sz w:val="28"/>
            <w:szCs w:val="28"/>
          </w:rPr>
          <w:t>https://doi.org/10.1038/nrgastro.2014.66</w:t>
        </w:r>
      </w:hyperlink>
    </w:p>
    <w:p w14:paraId="6050BCA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Hugas, M., Garriga, M., &amp; Aymerich, T. (2003). Functionality of enterococci in meat products. </w:t>
      </w:r>
      <w:r w:rsidRPr="00733709">
        <w:rPr>
          <w:rFonts w:ascii="Times New Roman" w:hAnsi="Times New Roman" w:cs="Times New Roman"/>
          <w:i/>
          <w:iCs/>
          <w:sz w:val="28"/>
          <w:szCs w:val="28"/>
        </w:rPr>
        <w:t>International Journal of Food Microbiology</w:t>
      </w:r>
      <w:r w:rsidRPr="00733709">
        <w:rPr>
          <w:rFonts w:ascii="Times New Roman" w:hAnsi="Times New Roman" w:cs="Times New Roman"/>
          <w:sz w:val="28"/>
          <w:szCs w:val="28"/>
        </w:rPr>
        <w:t xml:space="preserve">, 88(2-3), 223-233. </w:t>
      </w:r>
      <w:hyperlink r:id="rId22" w:history="1">
        <w:r w:rsidRPr="00733709">
          <w:rPr>
            <w:rStyle w:val="Hyperlink"/>
            <w:rFonts w:ascii="Times New Roman" w:hAnsi="Times New Roman" w:cs="Times New Roman"/>
            <w:sz w:val="28"/>
            <w:szCs w:val="28"/>
          </w:rPr>
          <w:t>https://doi.org/10.1016/S0168-1605(03)00184-1</w:t>
        </w:r>
      </w:hyperlink>
    </w:p>
    <w:p w14:paraId="14617B7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Isabella, V. M., Ha, B. N., Castillo, M. J., </w:t>
      </w:r>
      <w:proofErr w:type="spellStart"/>
      <w:r w:rsidRPr="00733709">
        <w:rPr>
          <w:rFonts w:ascii="Times New Roman" w:hAnsi="Times New Roman" w:cs="Times New Roman"/>
          <w:sz w:val="28"/>
          <w:szCs w:val="28"/>
        </w:rPr>
        <w:t>Lubkowicz</w:t>
      </w:r>
      <w:proofErr w:type="spellEnd"/>
      <w:r w:rsidRPr="00733709">
        <w:rPr>
          <w:rFonts w:ascii="Times New Roman" w:hAnsi="Times New Roman" w:cs="Times New Roman"/>
          <w:sz w:val="28"/>
          <w:szCs w:val="28"/>
        </w:rPr>
        <w:t xml:space="preserve">, D. J., Rowe, S. E., Millet, Y. A., Anderson, C. L., Li, N., Fisher, A. B., West, K. A., Reeder, P. J., Momin, M. M., Bergeron, C. G., Guilmain, S. E., Miller, P. F., Kurtz, C. </w:t>
      </w:r>
      <w:r w:rsidRPr="00733709">
        <w:rPr>
          <w:rFonts w:ascii="Times New Roman" w:hAnsi="Times New Roman" w:cs="Times New Roman"/>
          <w:sz w:val="28"/>
          <w:szCs w:val="28"/>
        </w:rPr>
        <w:lastRenderedPageBreak/>
        <w:t xml:space="preserve">B., &amp; Falb, D. (2018). Development of a synthetic live bacterial therapeutic for the human metabolic disease phenylketonuria. </w:t>
      </w:r>
      <w:r w:rsidRPr="00733709">
        <w:rPr>
          <w:rFonts w:ascii="Times New Roman" w:hAnsi="Times New Roman" w:cs="Times New Roman"/>
          <w:i/>
          <w:iCs/>
          <w:sz w:val="28"/>
          <w:szCs w:val="28"/>
        </w:rPr>
        <w:t>Nature Biotechnology</w:t>
      </w:r>
      <w:r w:rsidRPr="00733709">
        <w:rPr>
          <w:rFonts w:ascii="Times New Roman" w:hAnsi="Times New Roman" w:cs="Times New Roman"/>
          <w:sz w:val="28"/>
          <w:szCs w:val="28"/>
        </w:rPr>
        <w:t xml:space="preserve">, 36(9), 857-864. </w:t>
      </w:r>
      <w:hyperlink r:id="rId23" w:history="1">
        <w:r w:rsidRPr="00733709">
          <w:rPr>
            <w:rStyle w:val="Hyperlink"/>
            <w:rFonts w:ascii="Times New Roman" w:hAnsi="Times New Roman" w:cs="Times New Roman"/>
            <w:sz w:val="28"/>
            <w:szCs w:val="28"/>
          </w:rPr>
          <w:t>https://doi.org/10.1038/nbt.4222</w:t>
        </w:r>
      </w:hyperlink>
    </w:p>
    <w:p w14:paraId="7AC9DA7E"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Klaenhammer</w:t>
      </w:r>
      <w:proofErr w:type="spellEnd"/>
      <w:r w:rsidRPr="00733709">
        <w:rPr>
          <w:rFonts w:ascii="Times New Roman" w:hAnsi="Times New Roman" w:cs="Times New Roman"/>
          <w:sz w:val="28"/>
          <w:szCs w:val="28"/>
        </w:rPr>
        <w:t xml:space="preserve">, T. R., </w:t>
      </w:r>
      <w:proofErr w:type="spellStart"/>
      <w:r w:rsidRPr="00733709">
        <w:rPr>
          <w:rFonts w:ascii="Times New Roman" w:hAnsi="Times New Roman" w:cs="Times New Roman"/>
          <w:sz w:val="28"/>
          <w:szCs w:val="28"/>
        </w:rPr>
        <w:t>Kleerebezem</w:t>
      </w:r>
      <w:proofErr w:type="spellEnd"/>
      <w:r w:rsidRPr="00733709">
        <w:rPr>
          <w:rFonts w:ascii="Times New Roman" w:hAnsi="Times New Roman" w:cs="Times New Roman"/>
          <w:sz w:val="28"/>
          <w:szCs w:val="28"/>
        </w:rPr>
        <w:t xml:space="preserve">, M., Kopp, M. V., &amp; Rescigno, M. (2012). The impact of probiotics and prebiotics on the immune system. </w:t>
      </w:r>
      <w:r w:rsidRPr="00733709">
        <w:rPr>
          <w:rFonts w:ascii="Times New Roman" w:hAnsi="Times New Roman" w:cs="Times New Roman"/>
          <w:i/>
          <w:iCs/>
          <w:sz w:val="28"/>
          <w:szCs w:val="28"/>
        </w:rPr>
        <w:t>Nature Reviews Immunology</w:t>
      </w:r>
      <w:r w:rsidRPr="00733709">
        <w:rPr>
          <w:rFonts w:ascii="Times New Roman" w:hAnsi="Times New Roman" w:cs="Times New Roman"/>
          <w:sz w:val="28"/>
          <w:szCs w:val="28"/>
        </w:rPr>
        <w:t xml:space="preserve">, 12(10), 728-734. </w:t>
      </w:r>
      <w:hyperlink r:id="rId24" w:history="1">
        <w:r w:rsidRPr="00733709">
          <w:rPr>
            <w:rStyle w:val="Hyperlink"/>
            <w:rFonts w:ascii="Times New Roman" w:hAnsi="Times New Roman" w:cs="Times New Roman"/>
            <w:sz w:val="28"/>
            <w:szCs w:val="28"/>
          </w:rPr>
          <w:t>https://doi.org/10.1038/nri3312</w:t>
        </w:r>
      </w:hyperlink>
    </w:p>
    <w:p w14:paraId="2CD00D4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Kristensen, N. B., Bryrup, T., Allin, K. H., Nielsen, T., Hansen, T. H., &amp; Pedersen, O. (2016). Alterations in </w:t>
      </w:r>
      <w:proofErr w:type="spellStart"/>
      <w:r w:rsidRPr="00733709">
        <w:rPr>
          <w:rFonts w:ascii="Times New Roman" w:hAnsi="Times New Roman" w:cs="Times New Roman"/>
          <w:sz w:val="28"/>
          <w:szCs w:val="28"/>
        </w:rPr>
        <w:t>fecal</w:t>
      </w:r>
      <w:proofErr w:type="spellEnd"/>
      <w:r w:rsidRPr="00733709">
        <w:rPr>
          <w:rFonts w:ascii="Times New Roman" w:hAnsi="Times New Roman" w:cs="Times New Roman"/>
          <w:sz w:val="28"/>
          <w:szCs w:val="28"/>
        </w:rPr>
        <w:t xml:space="preserve"> microbiota composition by probiotic supplementation in healthy adults: A systematic review of randomized controlled trials. </w:t>
      </w:r>
      <w:r w:rsidRPr="00733709">
        <w:rPr>
          <w:rFonts w:ascii="Times New Roman" w:hAnsi="Times New Roman" w:cs="Times New Roman"/>
          <w:i/>
          <w:iCs/>
          <w:sz w:val="28"/>
          <w:szCs w:val="28"/>
        </w:rPr>
        <w:t>Genome Medicine</w:t>
      </w:r>
      <w:r w:rsidRPr="00733709">
        <w:rPr>
          <w:rFonts w:ascii="Times New Roman" w:hAnsi="Times New Roman" w:cs="Times New Roman"/>
          <w:sz w:val="28"/>
          <w:szCs w:val="28"/>
        </w:rPr>
        <w:t xml:space="preserve">, 8(1), 52. </w:t>
      </w:r>
      <w:hyperlink r:id="rId25" w:history="1">
        <w:r w:rsidRPr="00733709">
          <w:rPr>
            <w:rStyle w:val="Hyperlink"/>
            <w:rFonts w:ascii="Times New Roman" w:hAnsi="Times New Roman" w:cs="Times New Roman"/>
            <w:sz w:val="28"/>
            <w:szCs w:val="28"/>
          </w:rPr>
          <w:t>https://doi.org/10.1186/s13073-016-0300-5</w:t>
        </w:r>
      </w:hyperlink>
    </w:p>
    <w:p w14:paraId="449B5B27"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Martín, R., Miquel, S., Benevides, L., </w:t>
      </w:r>
      <w:proofErr w:type="spellStart"/>
      <w:r w:rsidRPr="00733709">
        <w:rPr>
          <w:rFonts w:ascii="Times New Roman" w:hAnsi="Times New Roman" w:cs="Times New Roman"/>
          <w:sz w:val="28"/>
          <w:szCs w:val="28"/>
        </w:rPr>
        <w:t>Bridonneau</w:t>
      </w:r>
      <w:proofErr w:type="spellEnd"/>
      <w:r w:rsidRPr="00733709">
        <w:rPr>
          <w:rFonts w:ascii="Times New Roman" w:hAnsi="Times New Roman" w:cs="Times New Roman"/>
          <w:sz w:val="28"/>
          <w:szCs w:val="28"/>
        </w:rPr>
        <w:t xml:space="preserve">, C., Robert, V., Hudault, S., Chain, F., Berteau, O., Azevedo, V., Chatel, J. M., Sokol, H., </w:t>
      </w:r>
      <w:proofErr w:type="spellStart"/>
      <w:r w:rsidRPr="00733709">
        <w:rPr>
          <w:rFonts w:ascii="Times New Roman" w:hAnsi="Times New Roman" w:cs="Times New Roman"/>
          <w:sz w:val="28"/>
          <w:szCs w:val="28"/>
        </w:rPr>
        <w:t>Bermúdez-Humarán</w:t>
      </w:r>
      <w:proofErr w:type="spellEnd"/>
      <w:r w:rsidRPr="00733709">
        <w:rPr>
          <w:rFonts w:ascii="Times New Roman" w:hAnsi="Times New Roman" w:cs="Times New Roman"/>
          <w:sz w:val="28"/>
          <w:szCs w:val="28"/>
        </w:rPr>
        <w:t xml:space="preserve">, L. G., Thomas, M., &amp; Langella, P. (2023). Functional characterization of novel </w:t>
      </w:r>
      <w:proofErr w:type="spellStart"/>
      <w:r w:rsidRPr="00733709">
        <w:rPr>
          <w:rFonts w:ascii="Times New Roman" w:hAnsi="Times New Roman" w:cs="Times New Roman"/>
          <w:sz w:val="28"/>
          <w:szCs w:val="28"/>
        </w:rPr>
        <w:t>Faecalibacterium</w:t>
      </w:r>
      <w:proofErr w:type="spellEnd"/>
      <w:r w:rsidRPr="00733709">
        <w:rPr>
          <w:rFonts w:ascii="Times New Roman" w:hAnsi="Times New Roman" w:cs="Times New Roman"/>
          <w:sz w:val="28"/>
          <w:szCs w:val="28"/>
        </w:rPr>
        <w:t xml:space="preserve"> </w:t>
      </w:r>
      <w:proofErr w:type="spellStart"/>
      <w:r w:rsidRPr="00733709">
        <w:rPr>
          <w:rFonts w:ascii="Times New Roman" w:hAnsi="Times New Roman" w:cs="Times New Roman"/>
          <w:sz w:val="28"/>
          <w:szCs w:val="28"/>
        </w:rPr>
        <w:t>prausnitzii</w:t>
      </w:r>
      <w:proofErr w:type="spellEnd"/>
      <w:r w:rsidRPr="00733709">
        <w:rPr>
          <w:rFonts w:ascii="Times New Roman" w:hAnsi="Times New Roman" w:cs="Times New Roman"/>
          <w:sz w:val="28"/>
          <w:szCs w:val="28"/>
        </w:rPr>
        <w:t xml:space="preserve"> strains isolated from healthy volunteers: A step forward in the use of F. </w:t>
      </w:r>
      <w:proofErr w:type="spellStart"/>
      <w:r w:rsidRPr="00733709">
        <w:rPr>
          <w:rFonts w:ascii="Times New Roman" w:hAnsi="Times New Roman" w:cs="Times New Roman"/>
          <w:sz w:val="28"/>
          <w:szCs w:val="28"/>
        </w:rPr>
        <w:t>prausnitzii</w:t>
      </w:r>
      <w:proofErr w:type="spellEnd"/>
      <w:r w:rsidRPr="00733709">
        <w:rPr>
          <w:rFonts w:ascii="Times New Roman" w:hAnsi="Times New Roman" w:cs="Times New Roman"/>
          <w:sz w:val="28"/>
          <w:szCs w:val="28"/>
        </w:rPr>
        <w:t xml:space="preserve"> as a next-generation probiotic. </w:t>
      </w:r>
      <w:r w:rsidRPr="00733709">
        <w:rPr>
          <w:rFonts w:ascii="Times New Roman" w:hAnsi="Times New Roman" w:cs="Times New Roman"/>
          <w:i/>
          <w:iCs/>
          <w:sz w:val="28"/>
          <w:szCs w:val="28"/>
        </w:rPr>
        <w:t>Frontiers in Microbiology</w:t>
      </w:r>
      <w:r w:rsidRPr="00733709">
        <w:rPr>
          <w:rFonts w:ascii="Times New Roman" w:hAnsi="Times New Roman" w:cs="Times New Roman"/>
          <w:sz w:val="28"/>
          <w:szCs w:val="28"/>
        </w:rPr>
        <w:t xml:space="preserve">, 8, 1226. </w:t>
      </w:r>
      <w:hyperlink r:id="rId26" w:history="1">
        <w:r w:rsidRPr="00733709">
          <w:rPr>
            <w:rStyle w:val="Hyperlink"/>
            <w:rFonts w:ascii="Times New Roman" w:hAnsi="Times New Roman" w:cs="Times New Roman"/>
            <w:sz w:val="28"/>
            <w:szCs w:val="28"/>
          </w:rPr>
          <w:t>https://doi.org/10.3389/fmicb.2017.01226</w:t>
        </w:r>
      </w:hyperlink>
    </w:p>
    <w:p w14:paraId="1704BDA3"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Molina-Tijeras, J. A., Gálvez, J., &amp; Rodríguez-Cabezas, M. E. (2019). The immunomodulatory properties of extracellular vesicles derived from probiotics: A novel approach for inflammatory bowel disease therapy. </w:t>
      </w:r>
      <w:r w:rsidRPr="00733709">
        <w:rPr>
          <w:rFonts w:ascii="Times New Roman" w:hAnsi="Times New Roman" w:cs="Times New Roman"/>
          <w:i/>
          <w:iCs/>
          <w:sz w:val="28"/>
          <w:szCs w:val="28"/>
        </w:rPr>
        <w:t>Nutrients</w:t>
      </w:r>
      <w:r w:rsidRPr="00733709">
        <w:rPr>
          <w:rFonts w:ascii="Times New Roman" w:hAnsi="Times New Roman" w:cs="Times New Roman"/>
          <w:sz w:val="28"/>
          <w:szCs w:val="28"/>
        </w:rPr>
        <w:t xml:space="preserve">, 11(5), 1038. </w:t>
      </w:r>
      <w:hyperlink r:id="rId27" w:history="1">
        <w:r w:rsidRPr="00733709">
          <w:rPr>
            <w:rStyle w:val="Hyperlink"/>
            <w:rFonts w:ascii="Times New Roman" w:hAnsi="Times New Roman" w:cs="Times New Roman"/>
            <w:sz w:val="28"/>
            <w:szCs w:val="28"/>
          </w:rPr>
          <w:t>https://doi.org/10.3390/nu11051038</w:t>
        </w:r>
      </w:hyperlink>
    </w:p>
    <w:p w14:paraId="2BEBE138"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O'Toole, P. W., Marchesi, J. R., &amp; Hill, C. (2017). Next-generation probiotics: The spectrum from probiotics to live biotherapeutics. </w:t>
      </w:r>
      <w:r w:rsidRPr="00733709">
        <w:rPr>
          <w:rFonts w:ascii="Times New Roman" w:hAnsi="Times New Roman" w:cs="Times New Roman"/>
          <w:i/>
          <w:iCs/>
          <w:sz w:val="28"/>
          <w:szCs w:val="28"/>
        </w:rPr>
        <w:t>Nature Microbiology</w:t>
      </w:r>
      <w:r w:rsidRPr="00733709">
        <w:rPr>
          <w:rFonts w:ascii="Times New Roman" w:hAnsi="Times New Roman" w:cs="Times New Roman"/>
          <w:sz w:val="28"/>
          <w:szCs w:val="28"/>
        </w:rPr>
        <w:t xml:space="preserve">, 2(5), 17057. </w:t>
      </w:r>
      <w:hyperlink r:id="rId28" w:history="1">
        <w:r w:rsidRPr="00733709">
          <w:rPr>
            <w:rStyle w:val="Hyperlink"/>
            <w:rFonts w:ascii="Times New Roman" w:hAnsi="Times New Roman" w:cs="Times New Roman"/>
            <w:sz w:val="28"/>
            <w:szCs w:val="28"/>
          </w:rPr>
          <w:t>https://doi.org/10.1038/nmicrobiol.2017.57</w:t>
        </w:r>
      </w:hyperlink>
    </w:p>
    <w:p w14:paraId="132BF45E"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40173">
        <w:rPr>
          <w:rFonts w:ascii="Times New Roman" w:hAnsi="Times New Roman" w:cs="Times New Roman"/>
          <w:sz w:val="28"/>
          <w:szCs w:val="28"/>
          <w:lang w:val="it-IT"/>
        </w:rPr>
        <w:t xml:space="preserve">Patel, R. M., &amp; Prajapati, J. B. (2013). </w:t>
      </w:r>
      <w:r w:rsidRPr="00733709">
        <w:rPr>
          <w:rFonts w:ascii="Times New Roman" w:hAnsi="Times New Roman" w:cs="Times New Roman"/>
          <w:sz w:val="28"/>
          <w:szCs w:val="28"/>
        </w:rPr>
        <w:t xml:space="preserve">Food and health applications of exopolysaccharides produced by lactic acid bacteria. </w:t>
      </w:r>
      <w:r w:rsidRPr="00733709">
        <w:rPr>
          <w:rFonts w:ascii="Times New Roman" w:hAnsi="Times New Roman" w:cs="Times New Roman"/>
          <w:i/>
          <w:iCs/>
          <w:sz w:val="28"/>
          <w:szCs w:val="28"/>
        </w:rPr>
        <w:t>Advances in Dairy Research</w:t>
      </w:r>
      <w:r w:rsidRPr="00733709">
        <w:rPr>
          <w:rFonts w:ascii="Times New Roman" w:hAnsi="Times New Roman" w:cs="Times New Roman"/>
          <w:sz w:val="28"/>
          <w:szCs w:val="28"/>
        </w:rPr>
        <w:t xml:space="preserve">, 1, 107. </w:t>
      </w:r>
      <w:hyperlink r:id="rId29" w:history="1">
        <w:r w:rsidRPr="00733709">
          <w:rPr>
            <w:rStyle w:val="Hyperlink"/>
            <w:rFonts w:ascii="Times New Roman" w:hAnsi="Times New Roman" w:cs="Times New Roman"/>
            <w:sz w:val="28"/>
            <w:szCs w:val="28"/>
          </w:rPr>
          <w:t>https://doi.org/10.4172/2329-888X.1000107</w:t>
        </w:r>
      </w:hyperlink>
    </w:p>
    <w:p w14:paraId="184A778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40173">
        <w:rPr>
          <w:rFonts w:ascii="Times New Roman" w:hAnsi="Times New Roman" w:cs="Times New Roman"/>
          <w:sz w:val="28"/>
          <w:szCs w:val="28"/>
          <w:lang w:val="it-IT"/>
        </w:rPr>
        <w:t xml:space="preserve">Piqué, N., Berlanga, M., &amp; Miñana-Galbis, D. (2019). </w:t>
      </w:r>
      <w:r w:rsidRPr="00733709">
        <w:rPr>
          <w:rFonts w:ascii="Times New Roman" w:hAnsi="Times New Roman" w:cs="Times New Roman"/>
          <w:sz w:val="28"/>
          <w:szCs w:val="28"/>
        </w:rPr>
        <w:t>Health benefits of heat-killed (</w:t>
      </w:r>
      <w:proofErr w:type="spellStart"/>
      <w:r w:rsidRPr="00733709">
        <w:rPr>
          <w:rFonts w:ascii="Times New Roman" w:hAnsi="Times New Roman" w:cs="Times New Roman"/>
          <w:sz w:val="28"/>
          <w:szCs w:val="28"/>
        </w:rPr>
        <w:t>Tyndallized</w:t>
      </w:r>
      <w:proofErr w:type="spellEnd"/>
      <w:r w:rsidRPr="00733709">
        <w:rPr>
          <w:rFonts w:ascii="Times New Roman" w:hAnsi="Times New Roman" w:cs="Times New Roman"/>
          <w:sz w:val="28"/>
          <w:szCs w:val="28"/>
        </w:rPr>
        <w:t xml:space="preserve">) probiotics: An overview. </w:t>
      </w:r>
      <w:r w:rsidRPr="00733709">
        <w:rPr>
          <w:rFonts w:ascii="Times New Roman" w:hAnsi="Times New Roman" w:cs="Times New Roman"/>
          <w:i/>
          <w:iCs/>
          <w:sz w:val="28"/>
          <w:szCs w:val="28"/>
        </w:rPr>
        <w:t>International Journal of Molecular Sciences</w:t>
      </w:r>
      <w:r w:rsidRPr="00733709">
        <w:rPr>
          <w:rFonts w:ascii="Times New Roman" w:hAnsi="Times New Roman" w:cs="Times New Roman"/>
          <w:sz w:val="28"/>
          <w:szCs w:val="28"/>
        </w:rPr>
        <w:t xml:space="preserve">, 20(10), 2534. </w:t>
      </w:r>
      <w:hyperlink r:id="rId30" w:history="1">
        <w:r w:rsidRPr="00733709">
          <w:rPr>
            <w:rStyle w:val="Hyperlink"/>
            <w:rFonts w:ascii="Times New Roman" w:hAnsi="Times New Roman" w:cs="Times New Roman"/>
            <w:sz w:val="28"/>
            <w:szCs w:val="28"/>
          </w:rPr>
          <w:t>https://doi.org/10.3390/ijms20102534</w:t>
        </w:r>
      </w:hyperlink>
    </w:p>
    <w:p w14:paraId="7BD7D3B9"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Rad, A. H., </w:t>
      </w:r>
      <w:proofErr w:type="spellStart"/>
      <w:r w:rsidRPr="00733709">
        <w:rPr>
          <w:rFonts w:ascii="Times New Roman" w:hAnsi="Times New Roman" w:cs="Times New Roman"/>
          <w:sz w:val="28"/>
          <w:szCs w:val="28"/>
        </w:rPr>
        <w:t>Pirouzian</w:t>
      </w:r>
      <w:proofErr w:type="spellEnd"/>
      <w:r w:rsidRPr="00733709">
        <w:rPr>
          <w:rFonts w:ascii="Times New Roman" w:hAnsi="Times New Roman" w:cs="Times New Roman"/>
          <w:sz w:val="28"/>
          <w:szCs w:val="28"/>
        </w:rPr>
        <w:t xml:space="preserve">, H. R., </w:t>
      </w:r>
      <w:proofErr w:type="spellStart"/>
      <w:r w:rsidRPr="00733709">
        <w:rPr>
          <w:rFonts w:ascii="Times New Roman" w:hAnsi="Times New Roman" w:cs="Times New Roman"/>
          <w:sz w:val="28"/>
          <w:szCs w:val="28"/>
        </w:rPr>
        <w:t>Torab</w:t>
      </w:r>
      <w:proofErr w:type="spellEnd"/>
      <w:r w:rsidRPr="00733709">
        <w:rPr>
          <w:rFonts w:ascii="Times New Roman" w:hAnsi="Times New Roman" w:cs="Times New Roman"/>
          <w:sz w:val="28"/>
          <w:szCs w:val="28"/>
        </w:rPr>
        <w:t xml:space="preserve">, R., Ginsburg, I., Kochan, J., Kohen, R., &amp; Pollak, Y. (2020). Probiotic fermentation of polyphenol-rich Jerusalem artichoke and chicory extracts by Lactobacillus fermentum, L. </w:t>
      </w:r>
      <w:proofErr w:type="spellStart"/>
      <w:r w:rsidRPr="00733709">
        <w:rPr>
          <w:rFonts w:ascii="Times New Roman" w:hAnsi="Times New Roman" w:cs="Times New Roman"/>
          <w:sz w:val="28"/>
          <w:szCs w:val="28"/>
        </w:rPr>
        <w:t>paracasei</w:t>
      </w:r>
      <w:proofErr w:type="spellEnd"/>
      <w:r w:rsidRPr="00733709">
        <w:rPr>
          <w:rFonts w:ascii="Times New Roman" w:hAnsi="Times New Roman" w:cs="Times New Roman"/>
          <w:sz w:val="28"/>
          <w:szCs w:val="28"/>
        </w:rPr>
        <w:t xml:space="preserve"> and Bifidobacterium </w:t>
      </w:r>
      <w:proofErr w:type="spellStart"/>
      <w:r w:rsidRPr="00733709">
        <w:rPr>
          <w:rFonts w:ascii="Times New Roman" w:hAnsi="Times New Roman" w:cs="Times New Roman"/>
          <w:sz w:val="28"/>
          <w:szCs w:val="28"/>
        </w:rPr>
        <w:t>animalis</w:t>
      </w:r>
      <w:proofErr w:type="spellEnd"/>
      <w:r w:rsidRPr="00733709">
        <w:rPr>
          <w:rFonts w:ascii="Times New Roman" w:hAnsi="Times New Roman" w:cs="Times New Roman"/>
          <w:sz w:val="28"/>
          <w:szCs w:val="28"/>
        </w:rPr>
        <w:t xml:space="preserve">. </w:t>
      </w:r>
      <w:r w:rsidRPr="00733709">
        <w:rPr>
          <w:rFonts w:ascii="Times New Roman" w:hAnsi="Times New Roman" w:cs="Times New Roman"/>
          <w:i/>
          <w:iCs/>
          <w:sz w:val="28"/>
          <w:szCs w:val="28"/>
        </w:rPr>
        <w:t>Food Chemistry</w:t>
      </w:r>
      <w:r w:rsidRPr="00733709">
        <w:rPr>
          <w:rFonts w:ascii="Times New Roman" w:hAnsi="Times New Roman" w:cs="Times New Roman"/>
          <w:sz w:val="28"/>
          <w:szCs w:val="28"/>
        </w:rPr>
        <w:t xml:space="preserve">, 302, 125364. </w:t>
      </w:r>
      <w:hyperlink r:id="rId31" w:history="1">
        <w:r w:rsidRPr="00733709">
          <w:rPr>
            <w:rStyle w:val="Hyperlink"/>
            <w:rFonts w:ascii="Times New Roman" w:hAnsi="Times New Roman" w:cs="Times New Roman"/>
            <w:sz w:val="28"/>
            <w:szCs w:val="28"/>
          </w:rPr>
          <w:t>https://doi.org/10.1016/j.foodchem.2019.125364</w:t>
        </w:r>
      </w:hyperlink>
    </w:p>
    <w:p w14:paraId="21E2591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lastRenderedPageBreak/>
        <w:t>Ranadheera</w:t>
      </w:r>
      <w:proofErr w:type="spellEnd"/>
      <w:r w:rsidRPr="00733709">
        <w:rPr>
          <w:rFonts w:ascii="Times New Roman" w:hAnsi="Times New Roman" w:cs="Times New Roman"/>
          <w:sz w:val="28"/>
          <w:szCs w:val="28"/>
        </w:rPr>
        <w:t xml:space="preserve">, R. D. C. S., Baines, S. K., &amp; Adams, M. C. (2010). Importance of food in probiotic efficacy. </w:t>
      </w:r>
      <w:r w:rsidRPr="00733709">
        <w:rPr>
          <w:rFonts w:ascii="Times New Roman" w:hAnsi="Times New Roman" w:cs="Times New Roman"/>
          <w:i/>
          <w:iCs/>
          <w:sz w:val="28"/>
          <w:szCs w:val="28"/>
        </w:rPr>
        <w:t>Food Research International</w:t>
      </w:r>
      <w:r w:rsidRPr="00733709">
        <w:rPr>
          <w:rFonts w:ascii="Times New Roman" w:hAnsi="Times New Roman" w:cs="Times New Roman"/>
          <w:sz w:val="28"/>
          <w:szCs w:val="28"/>
        </w:rPr>
        <w:t xml:space="preserve">, 43(1), 1-7. </w:t>
      </w:r>
      <w:hyperlink r:id="rId32" w:history="1">
        <w:r w:rsidRPr="00733709">
          <w:rPr>
            <w:rStyle w:val="Hyperlink"/>
            <w:rFonts w:ascii="Times New Roman" w:hAnsi="Times New Roman" w:cs="Times New Roman"/>
            <w:sz w:val="28"/>
            <w:szCs w:val="28"/>
          </w:rPr>
          <w:t>https://doi.org/10.1016/j.foodres.2009.09.009</w:t>
        </w:r>
      </w:hyperlink>
    </w:p>
    <w:p w14:paraId="037FBA92"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Rodríguez-Nogales, A., Algieri, F., Garrido-Mesa, J., Vezza, T., Utrilla, M. P., </w:t>
      </w:r>
      <w:proofErr w:type="spellStart"/>
      <w:r w:rsidRPr="00733709">
        <w:rPr>
          <w:rFonts w:ascii="Times New Roman" w:hAnsi="Times New Roman" w:cs="Times New Roman"/>
          <w:sz w:val="28"/>
          <w:szCs w:val="28"/>
        </w:rPr>
        <w:t>Chueca</w:t>
      </w:r>
      <w:proofErr w:type="spellEnd"/>
      <w:r w:rsidRPr="00733709">
        <w:rPr>
          <w:rFonts w:ascii="Times New Roman" w:hAnsi="Times New Roman" w:cs="Times New Roman"/>
          <w:sz w:val="28"/>
          <w:szCs w:val="28"/>
        </w:rPr>
        <w:t xml:space="preserve">, N., García, F., Olivares, M., Rodríguez-Cabezas, M. E., &amp; Gálvez, J. (2018). The administration of miR-146a-5p nanocomplexes restores the diabetic immune microenvironment and delays the progression of autoimmune diabetes through the modulation of gut microbiota. </w:t>
      </w:r>
      <w:r w:rsidRPr="00733709">
        <w:rPr>
          <w:rFonts w:ascii="Times New Roman" w:hAnsi="Times New Roman" w:cs="Times New Roman"/>
          <w:i/>
          <w:iCs/>
          <w:sz w:val="28"/>
          <w:szCs w:val="28"/>
        </w:rPr>
        <w:t>Biomaterials</w:t>
      </w:r>
      <w:r w:rsidRPr="00733709">
        <w:rPr>
          <w:rFonts w:ascii="Times New Roman" w:hAnsi="Times New Roman" w:cs="Times New Roman"/>
          <w:sz w:val="28"/>
          <w:szCs w:val="28"/>
        </w:rPr>
        <w:t xml:space="preserve">, 186, 93-102. </w:t>
      </w:r>
      <w:hyperlink r:id="rId33" w:history="1">
        <w:r w:rsidRPr="00733709">
          <w:rPr>
            <w:rStyle w:val="Hyperlink"/>
            <w:rFonts w:ascii="Times New Roman" w:hAnsi="Times New Roman" w:cs="Times New Roman"/>
            <w:sz w:val="28"/>
            <w:szCs w:val="28"/>
          </w:rPr>
          <w:t>https://doi.org/10.1016/j.biomaterials.2018.09.024</w:t>
        </w:r>
      </w:hyperlink>
    </w:p>
    <w:p w14:paraId="56251AE6"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Salminen, S., Collado, M. C., Endo, A., Hill, C., </w:t>
      </w:r>
      <w:proofErr w:type="spellStart"/>
      <w:r w:rsidRPr="00733709">
        <w:rPr>
          <w:rFonts w:ascii="Times New Roman" w:hAnsi="Times New Roman" w:cs="Times New Roman"/>
          <w:sz w:val="28"/>
          <w:szCs w:val="28"/>
        </w:rPr>
        <w:t>Lebeer</w:t>
      </w:r>
      <w:proofErr w:type="spellEnd"/>
      <w:r w:rsidRPr="00733709">
        <w:rPr>
          <w:rFonts w:ascii="Times New Roman" w:hAnsi="Times New Roman" w:cs="Times New Roman"/>
          <w:sz w:val="28"/>
          <w:szCs w:val="28"/>
        </w:rPr>
        <w:t xml:space="preserve">, S., Quigley, E. M., Sanders, M. E., Shamir, R., Swann, J. R., </w:t>
      </w:r>
      <w:proofErr w:type="spellStart"/>
      <w:r w:rsidRPr="00733709">
        <w:rPr>
          <w:rFonts w:ascii="Times New Roman" w:hAnsi="Times New Roman" w:cs="Times New Roman"/>
          <w:sz w:val="28"/>
          <w:szCs w:val="28"/>
        </w:rPr>
        <w:t>Szajewska</w:t>
      </w:r>
      <w:proofErr w:type="spellEnd"/>
      <w:r w:rsidRPr="00733709">
        <w:rPr>
          <w:rFonts w:ascii="Times New Roman" w:hAnsi="Times New Roman" w:cs="Times New Roman"/>
          <w:sz w:val="28"/>
          <w:szCs w:val="28"/>
        </w:rPr>
        <w:t xml:space="preserve">, H., &amp; </w:t>
      </w:r>
      <w:proofErr w:type="spellStart"/>
      <w:r w:rsidRPr="00733709">
        <w:rPr>
          <w:rFonts w:ascii="Times New Roman" w:hAnsi="Times New Roman" w:cs="Times New Roman"/>
          <w:sz w:val="28"/>
          <w:szCs w:val="28"/>
        </w:rPr>
        <w:t>Vinderola</w:t>
      </w:r>
      <w:proofErr w:type="spellEnd"/>
      <w:r w:rsidRPr="00733709">
        <w:rPr>
          <w:rFonts w:ascii="Times New Roman" w:hAnsi="Times New Roman" w:cs="Times New Roman"/>
          <w:sz w:val="28"/>
          <w:szCs w:val="28"/>
        </w:rPr>
        <w:t xml:space="preserve">, G. (2021). The International Scientific Association of Probiotics and Prebiotics (ISAPP) consensus statement on the definition and scope of postbiotics. </w:t>
      </w:r>
      <w:r w:rsidRPr="00733709">
        <w:rPr>
          <w:rFonts w:ascii="Times New Roman" w:hAnsi="Times New Roman" w:cs="Times New Roman"/>
          <w:i/>
          <w:iCs/>
          <w:sz w:val="28"/>
          <w:szCs w:val="28"/>
        </w:rPr>
        <w:t>Nature Reviews Gastroenterology &amp; Hepatology</w:t>
      </w:r>
      <w:r w:rsidRPr="00733709">
        <w:rPr>
          <w:rFonts w:ascii="Times New Roman" w:hAnsi="Times New Roman" w:cs="Times New Roman"/>
          <w:sz w:val="28"/>
          <w:szCs w:val="28"/>
        </w:rPr>
        <w:t xml:space="preserve">, 18(9), 649-667. </w:t>
      </w:r>
      <w:hyperlink r:id="rId34" w:history="1">
        <w:r w:rsidRPr="00733709">
          <w:rPr>
            <w:rStyle w:val="Hyperlink"/>
            <w:rFonts w:ascii="Times New Roman" w:hAnsi="Times New Roman" w:cs="Times New Roman"/>
            <w:sz w:val="28"/>
            <w:szCs w:val="28"/>
          </w:rPr>
          <w:t>https://doi.org/10.1038/s41575-021-00440-6</w:t>
        </w:r>
      </w:hyperlink>
    </w:p>
    <w:p w14:paraId="6885DBAB"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Sanders, M. E., Merenstein, D. J., Reid, G., Gibson, G. R., &amp; Rastall, R. A. (2019). Probiotics and prebiotics in intestinal health and disease: From biology to the clinic. </w:t>
      </w:r>
      <w:r w:rsidRPr="00733709">
        <w:rPr>
          <w:rFonts w:ascii="Times New Roman" w:hAnsi="Times New Roman" w:cs="Times New Roman"/>
          <w:i/>
          <w:iCs/>
          <w:sz w:val="28"/>
          <w:szCs w:val="28"/>
        </w:rPr>
        <w:t>Nature Reviews Gastroenterology &amp; Hepatology</w:t>
      </w:r>
      <w:r w:rsidRPr="00733709">
        <w:rPr>
          <w:rFonts w:ascii="Times New Roman" w:hAnsi="Times New Roman" w:cs="Times New Roman"/>
          <w:sz w:val="28"/>
          <w:szCs w:val="28"/>
        </w:rPr>
        <w:t xml:space="preserve">, 16(10), 605-616. </w:t>
      </w:r>
      <w:hyperlink r:id="rId35" w:history="1">
        <w:r w:rsidRPr="00733709">
          <w:rPr>
            <w:rStyle w:val="Hyperlink"/>
            <w:rFonts w:ascii="Times New Roman" w:hAnsi="Times New Roman" w:cs="Times New Roman"/>
            <w:sz w:val="28"/>
            <w:szCs w:val="28"/>
          </w:rPr>
          <w:t>https://doi.org/10.1038/s41575-019-0173-3</w:t>
        </w:r>
      </w:hyperlink>
    </w:p>
    <w:p w14:paraId="72492175"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Sanders, M. E., Akkermans, L. M., Haller, D., Hammerman, C., Heimbach, J., </w:t>
      </w:r>
      <w:proofErr w:type="spellStart"/>
      <w:r w:rsidRPr="00733709">
        <w:rPr>
          <w:rFonts w:ascii="Times New Roman" w:hAnsi="Times New Roman" w:cs="Times New Roman"/>
          <w:sz w:val="28"/>
          <w:szCs w:val="28"/>
        </w:rPr>
        <w:t>Hörmannsperger</w:t>
      </w:r>
      <w:proofErr w:type="spellEnd"/>
      <w:r w:rsidRPr="00733709">
        <w:rPr>
          <w:rFonts w:ascii="Times New Roman" w:hAnsi="Times New Roman" w:cs="Times New Roman"/>
          <w:sz w:val="28"/>
          <w:szCs w:val="28"/>
        </w:rPr>
        <w:t xml:space="preserve">, G., &amp; Huys, G. (2010). Safety assessment of probiotics for human use. </w:t>
      </w:r>
      <w:r w:rsidRPr="00733709">
        <w:rPr>
          <w:rFonts w:ascii="Times New Roman" w:hAnsi="Times New Roman" w:cs="Times New Roman"/>
          <w:i/>
          <w:iCs/>
          <w:sz w:val="28"/>
          <w:szCs w:val="28"/>
        </w:rPr>
        <w:t>Gut Microbes</w:t>
      </w:r>
      <w:r w:rsidRPr="00733709">
        <w:rPr>
          <w:rFonts w:ascii="Times New Roman" w:hAnsi="Times New Roman" w:cs="Times New Roman"/>
          <w:sz w:val="28"/>
          <w:szCs w:val="28"/>
        </w:rPr>
        <w:t xml:space="preserve">, 1(3), 164-185. </w:t>
      </w:r>
      <w:hyperlink r:id="rId36" w:history="1">
        <w:r w:rsidRPr="00733709">
          <w:rPr>
            <w:rStyle w:val="Hyperlink"/>
            <w:rFonts w:ascii="Times New Roman" w:hAnsi="Times New Roman" w:cs="Times New Roman"/>
            <w:sz w:val="28"/>
            <w:szCs w:val="28"/>
          </w:rPr>
          <w:t>https://doi.org/10.4161/gmic.1.3.12127</w:t>
        </w:r>
      </w:hyperlink>
    </w:p>
    <w:p w14:paraId="7A958CB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Settanni, L., &amp; Corsetti, A. (2008). Application of bacteriocins in vegetable food </w:t>
      </w:r>
      <w:proofErr w:type="spellStart"/>
      <w:r w:rsidRPr="00733709">
        <w:rPr>
          <w:rFonts w:ascii="Times New Roman" w:hAnsi="Times New Roman" w:cs="Times New Roman"/>
          <w:sz w:val="28"/>
          <w:szCs w:val="28"/>
        </w:rPr>
        <w:t>biopreservation</w:t>
      </w:r>
      <w:proofErr w:type="spellEnd"/>
      <w:r w:rsidRPr="00733709">
        <w:rPr>
          <w:rFonts w:ascii="Times New Roman" w:hAnsi="Times New Roman" w:cs="Times New Roman"/>
          <w:sz w:val="28"/>
          <w:szCs w:val="28"/>
        </w:rPr>
        <w:t xml:space="preserve">. </w:t>
      </w:r>
      <w:r w:rsidRPr="00733709">
        <w:rPr>
          <w:rFonts w:ascii="Times New Roman" w:hAnsi="Times New Roman" w:cs="Times New Roman"/>
          <w:i/>
          <w:iCs/>
          <w:sz w:val="28"/>
          <w:szCs w:val="28"/>
        </w:rPr>
        <w:t>International Journal of Food Microbiology</w:t>
      </w:r>
      <w:r w:rsidRPr="00733709">
        <w:rPr>
          <w:rFonts w:ascii="Times New Roman" w:hAnsi="Times New Roman" w:cs="Times New Roman"/>
          <w:sz w:val="28"/>
          <w:szCs w:val="28"/>
        </w:rPr>
        <w:t xml:space="preserve">, 121(2), 123-138. </w:t>
      </w:r>
      <w:hyperlink r:id="rId37" w:history="1">
        <w:r w:rsidRPr="00733709">
          <w:rPr>
            <w:rStyle w:val="Hyperlink"/>
            <w:rFonts w:ascii="Times New Roman" w:hAnsi="Times New Roman" w:cs="Times New Roman"/>
            <w:sz w:val="28"/>
            <w:szCs w:val="28"/>
          </w:rPr>
          <w:t>https://doi.org/10.1016/j.ijfoodmicro.2007.09.001</w:t>
        </w:r>
      </w:hyperlink>
    </w:p>
    <w:p w14:paraId="56457658"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Taverniti</w:t>
      </w:r>
      <w:proofErr w:type="spellEnd"/>
      <w:r w:rsidRPr="00733709">
        <w:rPr>
          <w:rFonts w:ascii="Times New Roman" w:hAnsi="Times New Roman" w:cs="Times New Roman"/>
          <w:sz w:val="28"/>
          <w:szCs w:val="28"/>
        </w:rPr>
        <w:t xml:space="preserve">, V., &amp; Guglielmetti, S. (2011). The immunomodulatory properties of probiotic microorganisms beyond their viability (ghost probiotics: Proposal of </w:t>
      </w:r>
      <w:proofErr w:type="spellStart"/>
      <w:r w:rsidRPr="00733709">
        <w:rPr>
          <w:rFonts w:ascii="Times New Roman" w:hAnsi="Times New Roman" w:cs="Times New Roman"/>
          <w:sz w:val="28"/>
          <w:szCs w:val="28"/>
        </w:rPr>
        <w:t>paraprobiotic</w:t>
      </w:r>
      <w:proofErr w:type="spellEnd"/>
      <w:r w:rsidRPr="00733709">
        <w:rPr>
          <w:rFonts w:ascii="Times New Roman" w:hAnsi="Times New Roman" w:cs="Times New Roman"/>
          <w:sz w:val="28"/>
          <w:szCs w:val="28"/>
        </w:rPr>
        <w:t xml:space="preserve"> concept). </w:t>
      </w:r>
      <w:r w:rsidRPr="00733709">
        <w:rPr>
          <w:rFonts w:ascii="Times New Roman" w:hAnsi="Times New Roman" w:cs="Times New Roman"/>
          <w:i/>
          <w:iCs/>
          <w:sz w:val="28"/>
          <w:szCs w:val="28"/>
        </w:rPr>
        <w:t>Genes &amp; Nutrition</w:t>
      </w:r>
      <w:r w:rsidRPr="00733709">
        <w:rPr>
          <w:rFonts w:ascii="Times New Roman" w:hAnsi="Times New Roman" w:cs="Times New Roman"/>
          <w:sz w:val="28"/>
          <w:szCs w:val="28"/>
        </w:rPr>
        <w:t xml:space="preserve">, 6(3), 261-274. </w:t>
      </w:r>
      <w:hyperlink r:id="rId38" w:history="1">
        <w:r w:rsidRPr="00733709">
          <w:rPr>
            <w:rStyle w:val="Hyperlink"/>
            <w:rFonts w:ascii="Times New Roman" w:hAnsi="Times New Roman" w:cs="Times New Roman"/>
            <w:sz w:val="28"/>
            <w:szCs w:val="28"/>
          </w:rPr>
          <w:t>https://doi.org/10.1007/s12263-011-0218-x</w:t>
        </w:r>
      </w:hyperlink>
    </w:p>
    <w:p w14:paraId="41D9EAA8"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Teame</w:t>
      </w:r>
      <w:proofErr w:type="spellEnd"/>
      <w:r w:rsidRPr="00733709">
        <w:rPr>
          <w:rFonts w:ascii="Times New Roman" w:hAnsi="Times New Roman" w:cs="Times New Roman"/>
          <w:sz w:val="28"/>
          <w:szCs w:val="28"/>
        </w:rPr>
        <w:t xml:space="preserve">, T., Wang, A., Xie, M., Zhang, Z., Yang, Y., Ding, Q., Gao, C., Olsen, R. E., Ran, C., &amp; Zhou, Z. (2020). </w:t>
      </w:r>
      <w:proofErr w:type="spellStart"/>
      <w:r w:rsidRPr="00733709">
        <w:rPr>
          <w:rFonts w:ascii="Times New Roman" w:hAnsi="Times New Roman" w:cs="Times New Roman"/>
          <w:sz w:val="28"/>
          <w:szCs w:val="28"/>
        </w:rPr>
        <w:t>Paraprobiotics</w:t>
      </w:r>
      <w:proofErr w:type="spellEnd"/>
      <w:r w:rsidRPr="00733709">
        <w:rPr>
          <w:rFonts w:ascii="Times New Roman" w:hAnsi="Times New Roman" w:cs="Times New Roman"/>
          <w:sz w:val="28"/>
          <w:szCs w:val="28"/>
        </w:rPr>
        <w:t xml:space="preserve"> and postbiotics of probiotics: Physical functional and biological properties, applications and practical aspects. </w:t>
      </w:r>
      <w:r w:rsidRPr="00733709">
        <w:rPr>
          <w:rFonts w:ascii="Times New Roman" w:hAnsi="Times New Roman" w:cs="Times New Roman"/>
          <w:i/>
          <w:iCs/>
          <w:sz w:val="28"/>
          <w:szCs w:val="28"/>
        </w:rPr>
        <w:t>Trends in Food Science &amp; Technology</w:t>
      </w:r>
      <w:r w:rsidRPr="00733709">
        <w:rPr>
          <w:rFonts w:ascii="Times New Roman" w:hAnsi="Times New Roman" w:cs="Times New Roman"/>
          <w:sz w:val="28"/>
          <w:szCs w:val="28"/>
        </w:rPr>
        <w:t xml:space="preserve">, 96, 85-93. </w:t>
      </w:r>
      <w:hyperlink r:id="rId39" w:history="1">
        <w:r w:rsidRPr="00733709">
          <w:rPr>
            <w:rStyle w:val="Hyperlink"/>
            <w:rFonts w:ascii="Times New Roman" w:hAnsi="Times New Roman" w:cs="Times New Roman"/>
            <w:sz w:val="28"/>
            <w:szCs w:val="28"/>
          </w:rPr>
          <w:t>https://doi.org/10.1016/j.tifs.2019.12.005</w:t>
        </w:r>
      </w:hyperlink>
    </w:p>
    <w:p w14:paraId="600BFCF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lang w:val="it-IT"/>
        </w:rPr>
        <w:lastRenderedPageBreak/>
        <w:t xml:space="preserve">Torres, L., Krüger, A., Csibra, E., Gianni, E., &amp; Pinheiro, V. B. (2016). </w:t>
      </w:r>
      <w:r w:rsidRPr="00733709">
        <w:rPr>
          <w:rFonts w:ascii="Times New Roman" w:hAnsi="Times New Roman" w:cs="Times New Roman"/>
          <w:sz w:val="28"/>
          <w:szCs w:val="28"/>
        </w:rPr>
        <w:t xml:space="preserve">Synthetic biology approaches to biological containment: Pre-emptively tackling potential risks. </w:t>
      </w:r>
      <w:r w:rsidRPr="00733709">
        <w:rPr>
          <w:rFonts w:ascii="Times New Roman" w:hAnsi="Times New Roman" w:cs="Times New Roman"/>
          <w:i/>
          <w:iCs/>
          <w:sz w:val="28"/>
          <w:szCs w:val="28"/>
        </w:rPr>
        <w:t>Essays in Biochemistry</w:t>
      </w:r>
      <w:r w:rsidRPr="00733709">
        <w:rPr>
          <w:rFonts w:ascii="Times New Roman" w:hAnsi="Times New Roman" w:cs="Times New Roman"/>
          <w:sz w:val="28"/>
          <w:szCs w:val="28"/>
        </w:rPr>
        <w:t xml:space="preserve">, 60(4), 393-410. </w:t>
      </w:r>
      <w:hyperlink r:id="rId40" w:history="1">
        <w:r w:rsidRPr="00733709">
          <w:rPr>
            <w:rStyle w:val="Hyperlink"/>
            <w:rFonts w:ascii="Times New Roman" w:hAnsi="Times New Roman" w:cs="Times New Roman"/>
            <w:sz w:val="28"/>
            <w:szCs w:val="28"/>
          </w:rPr>
          <w:t>https://doi.org/10.1042/EBC20160013</w:t>
        </w:r>
      </w:hyperlink>
    </w:p>
    <w:p w14:paraId="46F4193F"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Torres-Barceló, C. (2018). The disparate effects of bacteriophages on antibiotic-resistant bacteria. </w:t>
      </w:r>
      <w:r w:rsidRPr="00733709">
        <w:rPr>
          <w:rFonts w:ascii="Times New Roman" w:hAnsi="Times New Roman" w:cs="Times New Roman"/>
          <w:i/>
          <w:iCs/>
          <w:sz w:val="28"/>
          <w:szCs w:val="28"/>
        </w:rPr>
        <w:t>Emerging Microbes &amp; Infections</w:t>
      </w:r>
      <w:r w:rsidRPr="00733709">
        <w:rPr>
          <w:rFonts w:ascii="Times New Roman" w:hAnsi="Times New Roman" w:cs="Times New Roman"/>
          <w:sz w:val="28"/>
          <w:szCs w:val="28"/>
        </w:rPr>
        <w:t xml:space="preserve">, 7(1), 168. </w:t>
      </w:r>
      <w:hyperlink r:id="rId41" w:history="1">
        <w:r w:rsidRPr="00733709">
          <w:rPr>
            <w:rStyle w:val="Hyperlink"/>
            <w:rFonts w:ascii="Times New Roman" w:hAnsi="Times New Roman" w:cs="Times New Roman"/>
            <w:sz w:val="28"/>
            <w:szCs w:val="28"/>
          </w:rPr>
          <w:t>https://doi.org/10.1038/s41426-018-0169-z</w:t>
        </w:r>
      </w:hyperlink>
    </w:p>
    <w:p w14:paraId="1D79625A"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Valdes, A. M., Walter, J., Segal, E., &amp; Spector, T. D. (2018). Role of the gut microbiota in nutrition and health. </w:t>
      </w:r>
      <w:r w:rsidRPr="00733709">
        <w:rPr>
          <w:rFonts w:ascii="Times New Roman" w:hAnsi="Times New Roman" w:cs="Times New Roman"/>
          <w:i/>
          <w:iCs/>
          <w:sz w:val="28"/>
          <w:szCs w:val="28"/>
        </w:rPr>
        <w:t>BMJ</w:t>
      </w:r>
      <w:r w:rsidRPr="00733709">
        <w:rPr>
          <w:rFonts w:ascii="Times New Roman" w:hAnsi="Times New Roman" w:cs="Times New Roman"/>
          <w:sz w:val="28"/>
          <w:szCs w:val="28"/>
        </w:rPr>
        <w:t xml:space="preserve">, 361, k2179. </w:t>
      </w:r>
      <w:hyperlink r:id="rId42" w:history="1">
        <w:r w:rsidRPr="00733709">
          <w:rPr>
            <w:rStyle w:val="Hyperlink"/>
            <w:rFonts w:ascii="Times New Roman" w:hAnsi="Times New Roman" w:cs="Times New Roman"/>
            <w:sz w:val="28"/>
            <w:szCs w:val="28"/>
          </w:rPr>
          <w:t>https://doi.org/10.1136/bmj.k2179</w:t>
        </w:r>
      </w:hyperlink>
    </w:p>
    <w:p w14:paraId="54BECFB7"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Yao, M., Xie, J., Du, H., McClements, D. J., Xiao, H., &amp; Li, L. (2020). Progress in microencapsulation of probiotics: A review. </w:t>
      </w:r>
      <w:r w:rsidRPr="00733709">
        <w:rPr>
          <w:rFonts w:ascii="Times New Roman" w:hAnsi="Times New Roman" w:cs="Times New Roman"/>
          <w:i/>
          <w:iCs/>
          <w:sz w:val="28"/>
          <w:szCs w:val="28"/>
        </w:rPr>
        <w:t>Comprehensive Reviews in Food Science and Food Safety</w:t>
      </w:r>
      <w:r w:rsidRPr="00733709">
        <w:rPr>
          <w:rFonts w:ascii="Times New Roman" w:hAnsi="Times New Roman" w:cs="Times New Roman"/>
          <w:sz w:val="28"/>
          <w:szCs w:val="28"/>
        </w:rPr>
        <w:t xml:space="preserve">, 19(2), 857-874. </w:t>
      </w:r>
      <w:hyperlink r:id="rId43" w:history="1">
        <w:r w:rsidRPr="00733709">
          <w:rPr>
            <w:rStyle w:val="Hyperlink"/>
            <w:rFonts w:ascii="Times New Roman" w:hAnsi="Times New Roman" w:cs="Times New Roman"/>
            <w:sz w:val="28"/>
            <w:szCs w:val="28"/>
          </w:rPr>
          <w:t>https://doi.org/10.1111/1541-4337.12532</w:t>
        </w:r>
      </w:hyperlink>
    </w:p>
    <w:p w14:paraId="37338216"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Zhao, Y., Wang, C., Li, X., Liu, L., Han, J., Wang, Y., Zhong, Q., &amp; Zhang, L. (2017). A novel strategy to combat bacterial biofilm formation using surface-immobilized antimicrobial peptides. </w:t>
      </w:r>
      <w:r w:rsidRPr="00733709">
        <w:rPr>
          <w:rFonts w:ascii="Times New Roman" w:hAnsi="Times New Roman" w:cs="Times New Roman"/>
          <w:i/>
          <w:iCs/>
          <w:sz w:val="28"/>
          <w:szCs w:val="28"/>
        </w:rPr>
        <w:t>Applied Surface Science</w:t>
      </w:r>
      <w:r w:rsidRPr="00733709">
        <w:rPr>
          <w:rFonts w:ascii="Times New Roman" w:hAnsi="Times New Roman" w:cs="Times New Roman"/>
          <w:sz w:val="28"/>
          <w:szCs w:val="28"/>
        </w:rPr>
        <w:t xml:space="preserve">, 417, 294-301. </w:t>
      </w:r>
      <w:hyperlink r:id="rId44" w:history="1">
        <w:r w:rsidRPr="00733709">
          <w:rPr>
            <w:rStyle w:val="Hyperlink"/>
            <w:rFonts w:ascii="Times New Roman" w:hAnsi="Times New Roman" w:cs="Times New Roman"/>
            <w:sz w:val="28"/>
            <w:szCs w:val="28"/>
          </w:rPr>
          <w:t>https://doi.org/10.1016/j.apsusc.2017.01.220</w:t>
        </w:r>
      </w:hyperlink>
    </w:p>
    <w:p w14:paraId="4E126154"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proofErr w:type="spellStart"/>
      <w:r w:rsidRPr="00733709">
        <w:rPr>
          <w:rFonts w:ascii="Times New Roman" w:hAnsi="Times New Roman" w:cs="Times New Roman"/>
          <w:sz w:val="28"/>
          <w:szCs w:val="28"/>
        </w:rPr>
        <w:t>Zmora</w:t>
      </w:r>
      <w:proofErr w:type="spellEnd"/>
      <w:r w:rsidRPr="00733709">
        <w:rPr>
          <w:rFonts w:ascii="Times New Roman" w:hAnsi="Times New Roman" w:cs="Times New Roman"/>
          <w:sz w:val="28"/>
          <w:szCs w:val="28"/>
        </w:rPr>
        <w:t>, N., Zilberman-Schapira, G., Suez, J., Mor, U., Dori-</w:t>
      </w:r>
      <w:proofErr w:type="spellStart"/>
      <w:r w:rsidRPr="00733709">
        <w:rPr>
          <w:rFonts w:ascii="Times New Roman" w:hAnsi="Times New Roman" w:cs="Times New Roman"/>
          <w:sz w:val="28"/>
          <w:szCs w:val="28"/>
        </w:rPr>
        <w:t>Bachash</w:t>
      </w:r>
      <w:proofErr w:type="spellEnd"/>
      <w:r w:rsidRPr="00733709">
        <w:rPr>
          <w:rFonts w:ascii="Times New Roman" w:hAnsi="Times New Roman" w:cs="Times New Roman"/>
          <w:sz w:val="28"/>
          <w:szCs w:val="28"/>
        </w:rPr>
        <w:t xml:space="preserve">, M., </w:t>
      </w:r>
      <w:proofErr w:type="spellStart"/>
      <w:r w:rsidRPr="00733709">
        <w:rPr>
          <w:rFonts w:ascii="Times New Roman" w:hAnsi="Times New Roman" w:cs="Times New Roman"/>
          <w:sz w:val="28"/>
          <w:szCs w:val="28"/>
        </w:rPr>
        <w:t>Bashiardes</w:t>
      </w:r>
      <w:proofErr w:type="spellEnd"/>
      <w:r w:rsidRPr="00733709">
        <w:rPr>
          <w:rFonts w:ascii="Times New Roman" w:hAnsi="Times New Roman" w:cs="Times New Roman"/>
          <w:sz w:val="28"/>
          <w:szCs w:val="28"/>
        </w:rPr>
        <w:t xml:space="preserve">, S., Kotler, E., Zur, M., Regev-Lehavi, D., Brik, R. B., Federici, S., Horn, M., Cohen, Y., Moor, A. E., Zeevi, D., </w:t>
      </w:r>
      <w:proofErr w:type="spellStart"/>
      <w:r w:rsidRPr="00733709">
        <w:rPr>
          <w:rFonts w:ascii="Times New Roman" w:hAnsi="Times New Roman" w:cs="Times New Roman"/>
          <w:sz w:val="28"/>
          <w:szCs w:val="28"/>
        </w:rPr>
        <w:t>Korem</w:t>
      </w:r>
      <w:proofErr w:type="spellEnd"/>
      <w:r w:rsidRPr="00733709">
        <w:rPr>
          <w:rFonts w:ascii="Times New Roman" w:hAnsi="Times New Roman" w:cs="Times New Roman"/>
          <w:sz w:val="28"/>
          <w:szCs w:val="28"/>
        </w:rPr>
        <w:t xml:space="preserve">, T., Kotler, E., Harmelin, A., Itzkovitz, S., </w:t>
      </w:r>
      <w:proofErr w:type="spellStart"/>
      <w:r w:rsidRPr="00733709">
        <w:rPr>
          <w:rFonts w:ascii="Times New Roman" w:hAnsi="Times New Roman" w:cs="Times New Roman"/>
          <w:sz w:val="28"/>
          <w:szCs w:val="28"/>
        </w:rPr>
        <w:t>Maharshak</w:t>
      </w:r>
      <w:proofErr w:type="spellEnd"/>
      <w:r w:rsidRPr="00733709">
        <w:rPr>
          <w:rFonts w:ascii="Times New Roman" w:hAnsi="Times New Roman" w:cs="Times New Roman"/>
          <w:sz w:val="28"/>
          <w:szCs w:val="28"/>
        </w:rPr>
        <w:t xml:space="preserve">, N., </w:t>
      </w:r>
      <w:proofErr w:type="spellStart"/>
      <w:r w:rsidRPr="00733709">
        <w:rPr>
          <w:rFonts w:ascii="Times New Roman" w:hAnsi="Times New Roman" w:cs="Times New Roman"/>
          <w:sz w:val="28"/>
          <w:szCs w:val="28"/>
        </w:rPr>
        <w:t>Shibolet</w:t>
      </w:r>
      <w:proofErr w:type="spellEnd"/>
      <w:r w:rsidRPr="00733709">
        <w:rPr>
          <w:rFonts w:ascii="Times New Roman" w:hAnsi="Times New Roman" w:cs="Times New Roman"/>
          <w:sz w:val="28"/>
          <w:szCs w:val="28"/>
        </w:rPr>
        <w:t xml:space="preserve">, O., Pevsner-Fischer, M., Shapiro, H., Sharon, I., Halpern, Z., Segal, E., &amp; </w:t>
      </w:r>
      <w:proofErr w:type="spellStart"/>
      <w:r w:rsidRPr="00733709">
        <w:rPr>
          <w:rFonts w:ascii="Times New Roman" w:hAnsi="Times New Roman" w:cs="Times New Roman"/>
          <w:sz w:val="28"/>
          <w:szCs w:val="28"/>
        </w:rPr>
        <w:t>Elinav</w:t>
      </w:r>
      <w:proofErr w:type="spellEnd"/>
      <w:r w:rsidRPr="00733709">
        <w:rPr>
          <w:rFonts w:ascii="Times New Roman" w:hAnsi="Times New Roman" w:cs="Times New Roman"/>
          <w:sz w:val="28"/>
          <w:szCs w:val="28"/>
        </w:rPr>
        <w:t xml:space="preserve">, E. (2018). Personalized gut mucosal colonization resistance to empiric probiotics is associated with unique host and microbiome features. </w:t>
      </w:r>
      <w:r w:rsidRPr="00733709">
        <w:rPr>
          <w:rFonts w:ascii="Times New Roman" w:hAnsi="Times New Roman" w:cs="Times New Roman"/>
          <w:i/>
          <w:iCs/>
          <w:sz w:val="28"/>
          <w:szCs w:val="28"/>
        </w:rPr>
        <w:t>Cell</w:t>
      </w:r>
      <w:r w:rsidRPr="00733709">
        <w:rPr>
          <w:rFonts w:ascii="Times New Roman" w:hAnsi="Times New Roman" w:cs="Times New Roman"/>
          <w:sz w:val="28"/>
          <w:szCs w:val="28"/>
        </w:rPr>
        <w:t xml:space="preserve">, 174(6), 1388-1405. </w:t>
      </w:r>
      <w:hyperlink r:id="rId45" w:history="1">
        <w:r w:rsidRPr="00733709">
          <w:rPr>
            <w:rStyle w:val="Hyperlink"/>
            <w:rFonts w:ascii="Times New Roman" w:hAnsi="Times New Roman" w:cs="Times New Roman"/>
            <w:sz w:val="28"/>
            <w:szCs w:val="28"/>
          </w:rPr>
          <w:t>https://doi.org/10.1016/j.cell.2018.08.041</w:t>
        </w:r>
      </w:hyperlink>
    </w:p>
    <w:p w14:paraId="322CBD77"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Zółkiewicz, J., Marzec, A., </w:t>
      </w:r>
      <w:proofErr w:type="spellStart"/>
      <w:r w:rsidRPr="00733709">
        <w:rPr>
          <w:rFonts w:ascii="Times New Roman" w:hAnsi="Times New Roman" w:cs="Times New Roman"/>
          <w:sz w:val="28"/>
          <w:szCs w:val="28"/>
        </w:rPr>
        <w:t>Ruszczyński</w:t>
      </w:r>
      <w:proofErr w:type="spellEnd"/>
      <w:r w:rsidRPr="00733709">
        <w:rPr>
          <w:rFonts w:ascii="Times New Roman" w:hAnsi="Times New Roman" w:cs="Times New Roman"/>
          <w:sz w:val="28"/>
          <w:szCs w:val="28"/>
        </w:rPr>
        <w:t xml:space="preserve">, M., &amp; Feleszko, W. (2020). Postbiotics—A step beyond pre-and probiotics. </w:t>
      </w:r>
      <w:r w:rsidRPr="00733709">
        <w:rPr>
          <w:rFonts w:ascii="Times New Roman" w:hAnsi="Times New Roman" w:cs="Times New Roman"/>
          <w:i/>
          <w:iCs/>
          <w:sz w:val="28"/>
          <w:szCs w:val="28"/>
        </w:rPr>
        <w:t>Nutrients</w:t>
      </w:r>
      <w:r w:rsidRPr="00733709">
        <w:rPr>
          <w:rFonts w:ascii="Times New Roman" w:hAnsi="Times New Roman" w:cs="Times New Roman"/>
          <w:sz w:val="28"/>
          <w:szCs w:val="28"/>
        </w:rPr>
        <w:t xml:space="preserve">, 12(8), 2189. </w:t>
      </w:r>
      <w:hyperlink r:id="rId46" w:history="1">
        <w:r w:rsidRPr="00733709">
          <w:rPr>
            <w:rStyle w:val="Hyperlink"/>
            <w:rFonts w:ascii="Times New Roman" w:hAnsi="Times New Roman" w:cs="Times New Roman"/>
            <w:sz w:val="28"/>
            <w:szCs w:val="28"/>
          </w:rPr>
          <w:t>https://doi.org/10.3390/nu12082189</w:t>
        </w:r>
      </w:hyperlink>
    </w:p>
    <w:p w14:paraId="796D51EC" w14:textId="77777777" w:rsidR="00614F26" w:rsidRPr="00733709" w:rsidRDefault="00614F26" w:rsidP="00614F26">
      <w:pPr>
        <w:pStyle w:val="ListParagraph"/>
        <w:numPr>
          <w:ilvl w:val="0"/>
          <w:numId w:val="1"/>
        </w:numPr>
        <w:jc w:val="both"/>
        <w:rPr>
          <w:rFonts w:ascii="Times New Roman" w:hAnsi="Times New Roman" w:cs="Times New Roman"/>
          <w:sz w:val="28"/>
          <w:szCs w:val="28"/>
        </w:rPr>
      </w:pPr>
      <w:r w:rsidRPr="00733709">
        <w:rPr>
          <w:rFonts w:ascii="Times New Roman" w:hAnsi="Times New Roman" w:cs="Times New Roman"/>
          <w:sz w:val="28"/>
          <w:szCs w:val="28"/>
        </w:rPr>
        <w:t xml:space="preserve">Żółkiewicz, J., Marzec, A., </w:t>
      </w:r>
      <w:proofErr w:type="spellStart"/>
      <w:r w:rsidRPr="00733709">
        <w:rPr>
          <w:rFonts w:ascii="Times New Roman" w:hAnsi="Times New Roman" w:cs="Times New Roman"/>
          <w:sz w:val="28"/>
          <w:szCs w:val="28"/>
        </w:rPr>
        <w:t>Ruszczyński</w:t>
      </w:r>
      <w:proofErr w:type="spellEnd"/>
      <w:r w:rsidRPr="00733709">
        <w:rPr>
          <w:rFonts w:ascii="Times New Roman" w:hAnsi="Times New Roman" w:cs="Times New Roman"/>
          <w:sz w:val="28"/>
          <w:szCs w:val="28"/>
        </w:rPr>
        <w:t xml:space="preserve">, M., &amp; Feleszko, W. (2020). Postbiotics—A step beyond pre-and probiotics. </w:t>
      </w:r>
      <w:r w:rsidRPr="00733709">
        <w:rPr>
          <w:rFonts w:ascii="Times New Roman" w:hAnsi="Times New Roman" w:cs="Times New Roman"/>
          <w:i/>
          <w:iCs/>
          <w:sz w:val="28"/>
          <w:szCs w:val="28"/>
        </w:rPr>
        <w:t>Nutrients</w:t>
      </w:r>
      <w:r w:rsidRPr="00733709">
        <w:rPr>
          <w:rFonts w:ascii="Times New Roman" w:hAnsi="Times New Roman" w:cs="Times New Roman"/>
          <w:sz w:val="28"/>
          <w:szCs w:val="28"/>
        </w:rPr>
        <w:t xml:space="preserve">, 12(8), 2189. </w:t>
      </w:r>
      <w:hyperlink r:id="rId47" w:history="1">
        <w:r w:rsidRPr="00733709">
          <w:rPr>
            <w:rStyle w:val="Hyperlink"/>
            <w:rFonts w:ascii="Times New Roman" w:hAnsi="Times New Roman" w:cs="Times New Roman"/>
            <w:sz w:val="28"/>
            <w:szCs w:val="28"/>
          </w:rPr>
          <w:t>https://doi.org/10.3390/nu12082189</w:t>
        </w:r>
      </w:hyperlink>
    </w:p>
    <w:p w14:paraId="71ECC6D0" w14:textId="77777777" w:rsidR="00614F26" w:rsidRPr="00733709" w:rsidRDefault="00614F26" w:rsidP="00614F26">
      <w:pPr>
        <w:jc w:val="both"/>
        <w:rPr>
          <w:rFonts w:ascii="Times New Roman" w:hAnsi="Times New Roman" w:cs="Times New Roman"/>
          <w:sz w:val="28"/>
          <w:szCs w:val="28"/>
        </w:rPr>
      </w:pPr>
    </w:p>
    <w:p w14:paraId="239411F9" w14:textId="77777777" w:rsidR="00614F26" w:rsidRPr="00AE58EF" w:rsidRDefault="00614F26" w:rsidP="00614F26">
      <w:pPr>
        <w:pStyle w:val="ListParagraph"/>
        <w:spacing w:line="360" w:lineRule="auto"/>
        <w:ind w:left="502"/>
        <w:rPr>
          <w:rFonts w:ascii="Times New Roman" w:hAnsi="Times New Roman" w:cs="Times New Roman"/>
        </w:rPr>
      </w:pPr>
    </w:p>
    <w:p w14:paraId="5B935206" w14:textId="77777777" w:rsidR="00614F26" w:rsidRPr="00733709" w:rsidRDefault="00614F26" w:rsidP="00733709">
      <w:pPr>
        <w:jc w:val="both"/>
        <w:rPr>
          <w:rFonts w:ascii="Times New Roman" w:hAnsi="Times New Roman" w:cs="Times New Roman"/>
          <w:sz w:val="28"/>
          <w:szCs w:val="28"/>
        </w:rPr>
      </w:pPr>
      <w:bookmarkStart w:id="2" w:name="_GoBack"/>
      <w:bookmarkEnd w:id="2"/>
    </w:p>
    <w:sectPr w:rsidR="00614F26" w:rsidRPr="00733709">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B8AF9" w14:textId="77777777" w:rsidR="006A423A" w:rsidRDefault="006A423A" w:rsidP="00EE68D9">
      <w:pPr>
        <w:spacing w:after="0" w:line="240" w:lineRule="auto"/>
      </w:pPr>
      <w:r>
        <w:separator/>
      </w:r>
    </w:p>
  </w:endnote>
  <w:endnote w:type="continuationSeparator" w:id="0">
    <w:p w14:paraId="7895646B" w14:textId="77777777" w:rsidR="006A423A" w:rsidRDefault="006A423A" w:rsidP="00EE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3ACA" w14:textId="77777777" w:rsidR="00EE68D9" w:rsidRDefault="00EE6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435B" w14:textId="77777777" w:rsidR="00EE68D9" w:rsidRDefault="00EE6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53945" w14:textId="77777777" w:rsidR="00EE68D9" w:rsidRDefault="00EE6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EE5E" w14:textId="77777777" w:rsidR="006A423A" w:rsidRDefault="006A423A" w:rsidP="00EE68D9">
      <w:pPr>
        <w:spacing w:after="0" w:line="240" w:lineRule="auto"/>
      </w:pPr>
      <w:r>
        <w:separator/>
      </w:r>
    </w:p>
  </w:footnote>
  <w:footnote w:type="continuationSeparator" w:id="0">
    <w:p w14:paraId="4A40040C" w14:textId="77777777" w:rsidR="006A423A" w:rsidRDefault="006A423A" w:rsidP="00EE6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4A25B" w14:textId="0EF97869" w:rsidR="00EE68D9" w:rsidRDefault="00EE68D9">
    <w:pPr>
      <w:pStyle w:val="Header"/>
    </w:pPr>
    <w:r>
      <w:rPr>
        <w:noProof/>
      </w:rPr>
      <w:pict w14:anchorId="5188F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71964" w14:textId="3466BF12" w:rsidR="00EE68D9" w:rsidRDefault="00EE68D9">
    <w:pPr>
      <w:pStyle w:val="Header"/>
    </w:pPr>
    <w:r>
      <w:rPr>
        <w:noProof/>
      </w:rPr>
      <w:pict w14:anchorId="3CA8D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D555" w14:textId="398C3796" w:rsidR="00EE68D9" w:rsidRDefault="00EE68D9">
    <w:pPr>
      <w:pStyle w:val="Header"/>
    </w:pPr>
    <w:r>
      <w:rPr>
        <w:noProof/>
      </w:rPr>
      <w:pict w14:anchorId="67AED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C2493"/>
    <w:multiLevelType w:val="hybridMultilevel"/>
    <w:tmpl w:val="B7C23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09"/>
    <w:rsid w:val="00240EF8"/>
    <w:rsid w:val="003F26B9"/>
    <w:rsid w:val="004C3DBC"/>
    <w:rsid w:val="005D3AB1"/>
    <w:rsid w:val="00614F26"/>
    <w:rsid w:val="0066166C"/>
    <w:rsid w:val="006A423A"/>
    <w:rsid w:val="00733709"/>
    <w:rsid w:val="007E31C0"/>
    <w:rsid w:val="00A86A08"/>
    <w:rsid w:val="00CB116E"/>
    <w:rsid w:val="00ED5289"/>
    <w:rsid w:val="00EE68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ABC2C"/>
  <w15:chartTrackingRefBased/>
  <w15:docId w15:val="{47FFBC49-4B57-45A0-BD7D-0C61BE3A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709"/>
    <w:rPr>
      <w:rFonts w:eastAsiaTheme="majorEastAsia" w:cstheme="majorBidi"/>
      <w:color w:val="272727" w:themeColor="text1" w:themeTint="D8"/>
    </w:rPr>
  </w:style>
  <w:style w:type="paragraph" w:styleId="Title">
    <w:name w:val="Title"/>
    <w:basedOn w:val="Normal"/>
    <w:next w:val="Normal"/>
    <w:link w:val="TitleChar"/>
    <w:uiPriority w:val="10"/>
    <w:qFormat/>
    <w:rsid w:val="0073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709"/>
    <w:pPr>
      <w:spacing w:before="160"/>
      <w:jc w:val="center"/>
    </w:pPr>
    <w:rPr>
      <w:i/>
      <w:iCs/>
      <w:color w:val="404040" w:themeColor="text1" w:themeTint="BF"/>
    </w:rPr>
  </w:style>
  <w:style w:type="character" w:customStyle="1" w:styleId="QuoteChar">
    <w:name w:val="Quote Char"/>
    <w:basedOn w:val="DefaultParagraphFont"/>
    <w:link w:val="Quote"/>
    <w:uiPriority w:val="29"/>
    <w:rsid w:val="00733709"/>
    <w:rPr>
      <w:i/>
      <w:iCs/>
      <w:color w:val="404040" w:themeColor="text1" w:themeTint="BF"/>
    </w:rPr>
  </w:style>
  <w:style w:type="paragraph" w:styleId="ListParagraph">
    <w:name w:val="List Paragraph"/>
    <w:basedOn w:val="Normal"/>
    <w:uiPriority w:val="34"/>
    <w:qFormat/>
    <w:rsid w:val="00733709"/>
    <w:pPr>
      <w:ind w:left="720"/>
      <w:contextualSpacing/>
    </w:pPr>
  </w:style>
  <w:style w:type="character" w:styleId="IntenseEmphasis">
    <w:name w:val="Intense Emphasis"/>
    <w:basedOn w:val="DefaultParagraphFont"/>
    <w:uiPriority w:val="21"/>
    <w:qFormat/>
    <w:rsid w:val="00733709"/>
    <w:rPr>
      <w:i/>
      <w:iCs/>
      <w:color w:val="2F5496" w:themeColor="accent1" w:themeShade="BF"/>
    </w:rPr>
  </w:style>
  <w:style w:type="paragraph" w:styleId="IntenseQuote">
    <w:name w:val="Intense Quote"/>
    <w:basedOn w:val="Normal"/>
    <w:next w:val="Normal"/>
    <w:link w:val="IntenseQuoteChar"/>
    <w:uiPriority w:val="30"/>
    <w:qFormat/>
    <w:rsid w:val="00733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709"/>
    <w:rPr>
      <w:i/>
      <w:iCs/>
      <w:color w:val="2F5496" w:themeColor="accent1" w:themeShade="BF"/>
    </w:rPr>
  </w:style>
  <w:style w:type="character" w:styleId="IntenseReference">
    <w:name w:val="Intense Reference"/>
    <w:basedOn w:val="DefaultParagraphFont"/>
    <w:uiPriority w:val="32"/>
    <w:qFormat/>
    <w:rsid w:val="00733709"/>
    <w:rPr>
      <w:b/>
      <w:bCs/>
      <w:smallCaps/>
      <w:color w:val="2F5496" w:themeColor="accent1" w:themeShade="BF"/>
      <w:spacing w:val="5"/>
    </w:rPr>
  </w:style>
  <w:style w:type="character" w:styleId="Hyperlink">
    <w:name w:val="Hyperlink"/>
    <w:basedOn w:val="DefaultParagraphFont"/>
    <w:uiPriority w:val="99"/>
    <w:unhideWhenUsed/>
    <w:rsid w:val="00733709"/>
    <w:rPr>
      <w:color w:val="0563C1" w:themeColor="hyperlink"/>
      <w:u w:val="single"/>
    </w:rPr>
  </w:style>
  <w:style w:type="character" w:styleId="UnresolvedMention">
    <w:name w:val="Unresolved Mention"/>
    <w:basedOn w:val="DefaultParagraphFont"/>
    <w:uiPriority w:val="99"/>
    <w:semiHidden/>
    <w:unhideWhenUsed/>
    <w:rsid w:val="00733709"/>
    <w:rPr>
      <w:color w:val="605E5C"/>
      <w:shd w:val="clear" w:color="auto" w:fill="E1DFDD"/>
    </w:rPr>
  </w:style>
  <w:style w:type="paragraph" w:styleId="Header">
    <w:name w:val="header"/>
    <w:basedOn w:val="Normal"/>
    <w:link w:val="HeaderChar"/>
    <w:uiPriority w:val="99"/>
    <w:unhideWhenUsed/>
    <w:rsid w:val="00EE6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D9"/>
  </w:style>
  <w:style w:type="paragraph" w:styleId="Footer">
    <w:name w:val="footer"/>
    <w:basedOn w:val="Normal"/>
    <w:link w:val="FooterChar"/>
    <w:uiPriority w:val="99"/>
    <w:unhideWhenUsed/>
    <w:rsid w:val="00EE6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bph.13729" TargetMode="External"/><Relationship Id="rId18" Type="http://schemas.openxmlformats.org/officeDocument/2006/relationships/hyperlink" Target="https://doi.org/10.3389/fmicb.2017.01490" TargetMode="External"/><Relationship Id="rId26" Type="http://schemas.openxmlformats.org/officeDocument/2006/relationships/hyperlink" Target="https://doi.org/10.3389/fmicb.2017.01226" TargetMode="External"/><Relationship Id="rId39" Type="http://schemas.openxmlformats.org/officeDocument/2006/relationships/hyperlink" Target="https://doi.org/10.1016/j.tifs.2019.12.005" TargetMode="External"/><Relationship Id="rId21" Type="http://schemas.openxmlformats.org/officeDocument/2006/relationships/hyperlink" Target="https://doi.org/10.1038/nrgastro.2014.66" TargetMode="External"/><Relationship Id="rId34" Type="http://schemas.openxmlformats.org/officeDocument/2006/relationships/hyperlink" Target="https://doi.org/10.1038/s41575-021-00440-6" TargetMode="External"/><Relationship Id="rId42" Type="http://schemas.openxmlformats.org/officeDocument/2006/relationships/hyperlink" Target="https://doi.org/10.1136/bmj.k2179" TargetMode="External"/><Relationship Id="rId47" Type="http://schemas.openxmlformats.org/officeDocument/2006/relationships/hyperlink" Target="https://doi.org/10.3390/nu12082189"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38/nrmicro2937" TargetMode="External"/><Relationship Id="rId29" Type="http://schemas.openxmlformats.org/officeDocument/2006/relationships/hyperlink" Target="https://doi.org/10.4172/2329-888X.1000107" TargetMode="External"/><Relationship Id="rId11" Type="http://schemas.openxmlformats.org/officeDocument/2006/relationships/hyperlink" Target="https://doi.org/10.1016/j.foodchem.2017.07.074" TargetMode="External"/><Relationship Id="rId24" Type="http://schemas.openxmlformats.org/officeDocument/2006/relationships/hyperlink" Target="https://doi.org/10.1038/nri3312" TargetMode="External"/><Relationship Id="rId32" Type="http://schemas.openxmlformats.org/officeDocument/2006/relationships/hyperlink" Target="https://doi.org/10.1016/j.foodres.2009.09.009" TargetMode="External"/><Relationship Id="rId37" Type="http://schemas.openxmlformats.org/officeDocument/2006/relationships/hyperlink" Target="https://doi.org/10.1016/j.ijfoodmicro.2007.09.001" TargetMode="External"/><Relationship Id="rId40" Type="http://schemas.openxmlformats.org/officeDocument/2006/relationships/hyperlink" Target="https://doi.org/10.1042/EBC20160013" TargetMode="External"/><Relationship Id="rId45" Type="http://schemas.openxmlformats.org/officeDocument/2006/relationships/hyperlink" Target="https://doi.org/10.1016/j.cell.2018.08.041"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16/j.fm.2010.08.006" TargetMode="External"/><Relationship Id="rId19" Type="http://schemas.openxmlformats.org/officeDocument/2006/relationships/hyperlink" Target="https://doi.org/10.1073/pnas.1219451110" TargetMode="External"/><Relationship Id="rId31" Type="http://schemas.openxmlformats.org/officeDocument/2006/relationships/hyperlink" Target="https://doi.org/10.1016/j.foodchem.2019.125364" TargetMode="External"/><Relationship Id="rId44" Type="http://schemas.openxmlformats.org/officeDocument/2006/relationships/hyperlink" Target="https://doi.org/10.1016/j.apsusc.2017.01.220"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tifs.2018.03.009" TargetMode="External"/><Relationship Id="rId14" Type="http://schemas.openxmlformats.org/officeDocument/2006/relationships/hyperlink" Target="https://doi.org/10.1007/s11947-010-0434-1" TargetMode="External"/><Relationship Id="rId22" Type="http://schemas.openxmlformats.org/officeDocument/2006/relationships/hyperlink" Target="https://doi.org/10.1016/S0168-1605(03)00184-1" TargetMode="External"/><Relationship Id="rId27" Type="http://schemas.openxmlformats.org/officeDocument/2006/relationships/hyperlink" Target="https://doi.org/10.3390/nu11051038" TargetMode="External"/><Relationship Id="rId30" Type="http://schemas.openxmlformats.org/officeDocument/2006/relationships/hyperlink" Target="https://doi.org/10.3390/ijms20102534" TargetMode="External"/><Relationship Id="rId35" Type="http://schemas.openxmlformats.org/officeDocument/2006/relationships/hyperlink" Target="https://doi.org/10.1038/s41575-019-0173-3" TargetMode="External"/><Relationship Id="rId43" Type="http://schemas.openxmlformats.org/officeDocument/2006/relationships/hyperlink" Target="https://doi.org/10.1111/1541-4337.12532" TargetMode="External"/><Relationship Id="rId48" Type="http://schemas.openxmlformats.org/officeDocument/2006/relationships/header" Target="header1.xml"/><Relationship Id="rId8" Type="http://schemas.openxmlformats.org/officeDocument/2006/relationships/hyperlink" Target="https://doi.org/10.1017/S0954422410000090"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j.ijpharm.2016.04.002" TargetMode="External"/><Relationship Id="rId17" Type="http://schemas.openxmlformats.org/officeDocument/2006/relationships/hyperlink" Target="https://doi.org/10.1016/j.tifs.2016.09.011" TargetMode="External"/><Relationship Id="rId25" Type="http://schemas.openxmlformats.org/officeDocument/2006/relationships/hyperlink" Target="https://doi.org/10.1186/s13073-016-0300-5" TargetMode="External"/><Relationship Id="rId33" Type="http://schemas.openxmlformats.org/officeDocument/2006/relationships/hyperlink" Target="https://doi.org/10.1016/j.biomaterials.2018.09.024" TargetMode="External"/><Relationship Id="rId38" Type="http://schemas.openxmlformats.org/officeDocument/2006/relationships/hyperlink" Target="https://doi.org/10.1007/s12263-011-0218-x" TargetMode="External"/><Relationship Id="rId46" Type="http://schemas.openxmlformats.org/officeDocument/2006/relationships/hyperlink" Target="https://doi.org/10.3390/nu12082189" TargetMode="External"/><Relationship Id="rId20" Type="http://schemas.openxmlformats.org/officeDocument/2006/relationships/hyperlink" Target="https://doi.org/10.1111/j.1541-4337.2010.00110.x" TargetMode="External"/><Relationship Id="rId41" Type="http://schemas.openxmlformats.org/officeDocument/2006/relationships/hyperlink" Target="https://doi.org/10.1038/s41426-018-0169-z"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conrel.2012.06.003" TargetMode="External"/><Relationship Id="rId23" Type="http://schemas.openxmlformats.org/officeDocument/2006/relationships/hyperlink" Target="https://doi.org/10.1038/nbt.4222" TargetMode="External"/><Relationship Id="rId28" Type="http://schemas.openxmlformats.org/officeDocument/2006/relationships/hyperlink" Target="https://doi.org/10.1038/nmicrobiol.2017.57" TargetMode="External"/><Relationship Id="rId36" Type="http://schemas.openxmlformats.org/officeDocument/2006/relationships/hyperlink" Target="https://doi.org/10.4161/gmic.1.3.12127"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30</Pages>
  <Words>10733</Words>
  <Characters>61183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Rabinarayan Sahoo</dc:creator>
  <cp:keywords/>
  <dc:description/>
  <cp:lastModifiedBy>SDI 1180</cp:lastModifiedBy>
  <cp:revision>6</cp:revision>
  <dcterms:created xsi:type="dcterms:W3CDTF">2025-08-19T18:29:00Z</dcterms:created>
  <dcterms:modified xsi:type="dcterms:W3CDTF">2025-09-13T11:21:00Z</dcterms:modified>
</cp:coreProperties>
</file>