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716946" w14:textId="11701514" w:rsidR="008903B9" w:rsidRDefault="008903B9" w:rsidP="00C82927">
      <w:pPr>
        <w:jc w:val="right"/>
        <w:rPr>
          <w:rFonts w:asciiTheme="minorBidi" w:eastAsia="Times New Roman" w:hAnsiTheme="minorBidi" w:cstheme="minorBidi"/>
          <w:b/>
          <w:bCs/>
          <w:i/>
          <w:iCs/>
          <w:sz w:val="36"/>
          <w:szCs w:val="36"/>
          <w:u w:val="single"/>
          <w:shd w:val="clear" w:color="auto" w:fill="FFFFFF"/>
          <w:lang w:val="en-US" w:eastAsia="en-GB"/>
        </w:rPr>
      </w:pPr>
      <w:r w:rsidRPr="008903B9">
        <w:rPr>
          <w:rFonts w:asciiTheme="minorBidi" w:eastAsia="Times New Roman" w:hAnsiTheme="minorBidi" w:cstheme="minorBidi"/>
          <w:b/>
          <w:bCs/>
          <w:i/>
          <w:iCs/>
          <w:sz w:val="36"/>
          <w:szCs w:val="36"/>
          <w:u w:val="single"/>
          <w:shd w:val="clear" w:color="auto" w:fill="FFFFFF"/>
          <w:lang w:val="en-US" w:eastAsia="en-GB"/>
        </w:rPr>
        <w:t>Original Research Article</w:t>
      </w:r>
    </w:p>
    <w:p w14:paraId="26940D0A" w14:textId="77777777" w:rsidR="008903B9" w:rsidRDefault="008903B9" w:rsidP="00C82927">
      <w:pPr>
        <w:jc w:val="right"/>
        <w:rPr>
          <w:rFonts w:asciiTheme="minorBidi" w:eastAsia="Times New Roman" w:hAnsiTheme="minorBidi" w:cstheme="minorBidi"/>
          <w:b/>
          <w:bCs/>
          <w:sz w:val="36"/>
          <w:szCs w:val="36"/>
          <w:shd w:val="clear" w:color="auto" w:fill="FFFFFF"/>
          <w:lang w:eastAsia="en-GB"/>
        </w:rPr>
      </w:pPr>
    </w:p>
    <w:p w14:paraId="7E048018" w14:textId="3E2C52CD" w:rsidR="00485C55" w:rsidRPr="004125FF" w:rsidRDefault="00485C55" w:rsidP="00C82927">
      <w:pPr>
        <w:jc w:val="right"/>
        <w:rPr>
          <w:rFonts w:asciiTheme="minorBidi" w:eastAsia="Times New Roman" w:hAnsiTheme="minorBidi" w:cstheme="minorBidi"/>
          <w:b/>
          <w:bCs/>
          <w:sz w:val="36"/>
          <w:szCs w:val="36"/>
          <w:shd w:val="clear" w:color="auto" w:fill="FFFFFF"/>
          <w:lang w:eastAsia="en-GB"/>
        </w:rPr>
      </w:pPr>
      <w:r w:rsidRPr="004125FF">
        <w:rPr>
          <w:rFonts w:asciiTheme="minorBidi" w:eastAsia="Times New Roman" w:hAnsiTheme="minorBidi" w:cstheme="minorBidi"/>
          <w:b/>
          <w:bCs/>
          <w:sz w:val="36"/>
          <w:szCs w:val="36"/>
          <w:shd w:val="clear" w:color="auto" w:fill="FFFFFF"/>
          <w:lang w:eastAsia="en-GB"/>
        </w:rPr>
        <w:t xml:space="preserve">The Maturity Levels of the Digital Technology Competence in </w:t>
      </w:r>
      <w:r w:rsidR="00B90543">
        <w:rPr>
          <w:rFonts w:asciiTheme="minorBidi" w:eastAsia="Times New Roman" w:hAnsiTheme="minorBidi" w:cstheme="minorBidi"/>
          <w:b/>
          <w:bCs/>
          <w:sz w:val="36"/>
          <w:szCs w:val="36"/>
          <w:shd w:val="clear" w:color="auto" w:fill="FFFFFF"/>
          <w:lang w:eastAsia="en-GB"/>
        </w:rPr>
        <w:t xml:space="preserve">the </w:t>
      </w:r>
      <w:r w:rsidRPr="004125FF">
        <w:rPr>
          <w:rFonts w:asciiTheme="minorBidi" w:eastAsia="Times New Roman" w:hAnsiTheme="minorBidi" w:cstheme="minorBidi"/>
          <w:b/>
          <w:bCs/>
          <w:sz w:val="36"/>
          <w:szCs w:val="36"/>
          <w:shd w:val="clear" w:color="auto" w:fill="FFFFFF"/>
          <w:lang w:eastAsia="en-GB"/>
        </w:rPr>
        <w:t>Libyan Telecommunications Sector</w:t>
      </w:r>
    </w:p>
    <w:p w14:paraId="3F44A461" w14:textId="77777777" w:rsidR="004125FF" w:rsidRDefault="004125FF" w:rsidP="004125FF">
      <w:pPr>
        <w:pStyle w:val="Default"/>
      </w:pPr>
    </w:p>
    <w:p w14:paraId="41408813" w14:textId="77777777" w:rsidR="00C82927" w:rsidRDefault="00C82927" w:rsidP="004125FF">
      <w:pPr>
        <w:pStyle w:val="Default"/>
        <w:jc w:val="right"/>
        <w:rPr>
          <w:rFonts w:ascii="Arial" w:hAnsi="Arial" w:cs="Arial"/>
          <w:i/>
          <w:iCs/>
          <w:sz w:val="20"/>
          <w:szCs w:val="20"/>
        </w:rPr>
      </w:pPr>
    </w:p>
    <w:p w14:paraId="48C656F7" w14:textId="77777777" w:rsidR="004125FF" w:rsidRDefault="004125FF" w:rsidP="004125FF">
      <w:pPr>
        <w:jc w:val="left"/>
        <w:rPr>
          <w:rFonts w:ascii="Arial" w:hAnsi="Arial" w:cs="Arial"/>
          <w:b/>
          <w:bCs/>
          <w:sz w:val="22"/>
          <w:szCs w:val="22"/>
        </w:rPr>
      </w:pPr>
    </w:p>
    <w:p w14:paraId="66A9A155" w14:textId="2734D8F5" w:rsidR="006C784D" w:rsidRDefault="004125FF" w:rsidP="004125FF">
      <w:pPr>
        <w:jc w:val="left"/>
        <w:rPr>
          <w:rFonts w:ascii="Arial" w:hAnsi="Arial" w:cs="Arial"/>
          <w:b/>
          <w:bCs/>
          <w:sz w:val="22"/>
          <w:szCs w:val="22"/>
        </w:rPr>
      </w:pPr>
      <w:r w:rsidRPr="004125FF">
        <w:rPr>
          <w:rFonts w:ascii="Arial" w:hAnsi="Arial" w:cs="Arial"/>
          <w:b/>
          <w:bCs/>
          <w:sz w:val="22"/>
          <w:szCs w:val="22"/>
        </w:rPr>
        <w:t>ABSTRACT</w:t>
      </w:r>
    </w:p>
    <w:p w14:paraId="3173E9D3" w14:textId="77777777" w:rsidR="00317F82" w:rsidRPr="004125FF" w:rsidRDefault="00317F82" w:rsidP="004125FF">
      <w:pPr>
        <w:jc w:val="left"/>
        <w:rPr>
          <w:rFonts w:asciiTheme="minorBidi" w:eastAsiaTheme="minorHAnsi" w:hAnsiTheme="minorBidi" w:cstheme="minorBidi"/>
          <w:b/>
          <w:bC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C82927" w:rsidRPr="001E44FE" w14:paraId="41A641A9" w14:textId="77777777" w:rsidTr="009F58E1">
        <w:tc>
          <w:tcPr>
            <w:tcW w:w="9576" w:type="dxa"/>
            <w:shd w:val="clear" w:color="auto" w:fill="F2F2F2"/>
          </w:tcPr>
          <w:p w14:paraId="390FAA84" w14:textId="6C5FF899" w:rsidR="00CC7AF4" w:rsidRDefault="00CC7AF4" w:rsidP="0054063A">
            <w:pPr>
              <w:pStyle w:val="Body"/>
              <w:spacing w:after="0"/>
              <w:rPr>
                <w:rFonts w:ascii="Arial" w:eastAsia="Calibri" w:hAnsi="Arial" w:cs="Arial"/>
                <w:b/>
                <w:szCs w:val="22"/>
              </w:rPr>
            </w:pPr>
            <w:r w:rsidRPr="00CC7AF4">
              <w:rPr>
                <w:rFonts w:ascii="Arial" w:eastAsia="Calibri" w:hAnsi="Arial" w:cs="Arial"/>
                <w:b/>
                <w:szCs w:val="22"/>
              </w:rPr>
              <w:t xml:space="preserve">Aims: </w:t>
            </w:r>
            <w:r w:rsidRPr="00CC7AF4">
              <w:rPr>
                <w:rFonts w:ascii="Arial" w:eastAsia="Calibri" w:hAnsi="Arial" w:cs="Arial"/>
                <w:bCs/>
                <w:szCs w:val="22"/>
              </w:rPr>
              <w:t xml:space="preserve">This paper </w:t>
            </w:r>
            <w:r w:rsidR="00B90543">
              <w:rPr>
                <w:rFonts w:ascii="Arial" w:eastAsia="Calibri" w:hAnsi="Arial" w:cs="Arial"/>
                <w:bCs/>
                <w:szCs w:val="22"/>
              </w:rPr>
              <w:t>proposes a Digital Maturity Index (DMI) to evaluate the current condition of Libyan telecommunications firms, focus</w:t>
            </w:r>
            <w:r w:rsidRPr="00CC7AF4">
              <w:rPr>
                <w:rFonts w:ascii="Arial" w:eastAsia="Calibri" w:hAnsi="Arial" w:cs="Arial"/>
                <w:bCs/>
                <w:szCs w:val="22"/>
              </w:rPr>
              <w:t>ing on five essential dimensions: client, strategy, technology, organization, and culture</w:t>
            </w:r>
            <w:r w:rsidR="0054063A">
              <w:rPr>
                <w:rFonts w:ascii="Arial" w:eastAsia="Calibri" w:hAnsi="Arial" w:cs="Arial"/>
                <w:bCs/>
                <w:szCs w:val="22"/>
              </w:rPr>
              <w:t>.</w:t>
            </w:r>
            <w:r w:rsidRPr="00CC7AF4">
              <w:rPr>
                <w:rFonts w:ascii="Arial" w:eastAsia="Calibri" w:hAnsi="Arial" w:cs="Arial"/>
                <w:b/>
                <w:szCs w:val="22"/>
              </w:rPr>
              <w:t xml:space="preserve"> </w:t>
            </w:r>
          </w:p>
          <w:p w14:paraId="42BD9ECF" w14:textId="4ECC350A" w:rsidR="00C82927" w:rsidRPr="00BA1B01" w:rsidRDefault="00C82927" w:rsidP="009F58E1">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736206" w:rsidRPr="00736206">
              <w:rPr>
                <w:rFonts w:ascii="Arial" w:eastAsia="Calibri" w:hAnsi="Arial" w:cs="Arial"/>
                <w:szCs w:val="22"/>
              </w:rPr>
              <w:t>A quantitative methodology was employed</w:t>
            </w:r>
            <w:r w:rsidR="00B90543">
              <w:rPr>
                <w:rFonts w:ascii="Arial" w:eastAsia="Calibri" w:hAnsi="Arial" w:cs="Arial"/>
                <w:szCs w:val="22"/>
              </w:rPr>
              <w:t>, utilizing a weighted average that attributed</w:t>
            </w:r>
            <w:r w:rsidR="00736206" w:rsidRPr="00736206">
              <w:rPr>
                <w:rFonts w:ascii="Arial" w:eastAsia="Calibri" w:hAnsi="Arial" w:cs="Arial"/>
                <w:szCs w:val="22"/>
              </w:rPr>
              <w:t xml:space="preserve"> relative weights to each dimension and its sub-dimensions.</w:t>
            </w:r>
            <w:r w:rsidR="007D571D">
              <w:rPr>
                <w:rFonts w:ascii="Arial" w:eastAsia="Calibri" w:hAnsi="Arial" w:cs="Arial"/>
                <w:szCs w:val="22"/>
              </w:rPr>
              <w:t xml:space="preserve"> The sample included 170 </w:t>
            </w:r>
            <w:r w:rsidR="007D571D">
              <w:rPr>
                <w:rFonts w:ascii="Arial" w:eastAsia="Calibri" w:hAnsi="Arial" w:cs="Arial"/>
                <w:szCs w:val="22"/>
                <w:lang w:val="en-GB"/>
              </w:rPr>
              <w:t>telecommunication customer</w:t>
            </w:r>
            <w:r w:rsidR="00B90543">
              <w:rPr>
                <w:rFonts w:ascii="Arial" w:eastAsia="Calibri" w:hAnsi="Arial" w:cs="Arial"/>
                <w:szCs w:val="22"/>
                <w:lang w:val="en-GB"/>
              </w:rPr>
              <w:t>s</w:t>
            </w:r>
            <w:r w:rsidR="007D571D">
              <w:rPr>
                <w:rFonts w:ascii="Arial" w:eastAsia="Calibri" w:hAnsi="Arial" w:cs="Arial"/>
                <w:szCs w:val="22"/>
                <w:lang w:val="en-GB"/>
              </w:rPr>
              <w:t xml:space="preserve"> from various cities, 42 employees, and </w:t>
            </w:r>
            <w:r w:rsidR="00B90543">
              <w:rPr>
                <w:rFonts w:ascii="Arial" w:eastAsia="Calibri" w:hAnsi="Arial" w:cs="Arial"/>
                <w:szCs w:val="22"/>
                <w:lang w:val="en-GB"/>
              </w:rPr>
              <w:t>five</w:t>
            </w:r>
            <w:r w:rsidR="007D571D">
              <w:rPr>
                <w:rFonts w:ascii="Arial" w:eastAsia="Calibri" w:hAnsi="Arial" w:cs="Arial"/>
                <w:szCs w:val="22"/>
                <w:lang w:val="en-GB"/>
              </w:rPr>
              <w:t xml:space="preserve"> </w:t>
            </w:r>
            <w:r w:rsidR="00C27D25">
              <w:rPr>
                <w:rFonts w:ascii="Arial" w:eastAsia="Calibri" w:hAnsi="Arial" w:cs="Arial"/>
                <w:szCs w:val="22"/>
                <w:lang w:val="en-GB"/>
              </w:rPr>
              <w:t>decision-makers within these companies.</w:t>
            </w:r>
          </w:p>
          <w:p w14:paraId="66A1AA2C" w14:textId="3FBC6634" w:rsidR="00A63A4D" w:rsidRDefault="00C82927" w:rsidP="00A63A4D">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736206" w:rsidRPr="00736206">
              <w:rPr>
                <w:rFonts w:ascii="Arial" w:eastAsia="Calibri" w:hAnsi="Arial" w:cs="Arial"/>
                <w:szCs w:val="22"/>
              </w:rPr>
              <w:t xml:space="preserve">The findings </w:t>
            </w:r>
            <w:r w:rsidR="00B90543">
              <w:rPr>
                <w:rFonts w:ascii="Arial" w:eastAsia="Calibri" w:hAnsi="Arial" w:cs="Arial"/>
                <w:szCs w:val="22"/>
              </w:rPr>
              <w:t>revealed a distinct disparity in maturity levels, with the organization achieving an overall score of 2.88, demonstrating strong performance in the culture and organiz</w:t>
            </w:r>
            <w:bookmarkStart w:id="0" w:name="_GoBack"/>
            <w:bookmarkEnd w:id="0"/>
            <w:r w:rsidR="00B90543">
              <w:rPr>
                <w:rFonts w:ascii="Arial" w:eastAsia="Calibri" w:hAnsi="Arial" w:cs="Arial"/>
                <w:szCs w:val="22"/>
              </w:rPr>
              <w:t>ation aspects, while exhibi</w:t>
            </w:r>
            <w:r w:rsidR="00736206" w:rsidRPr="00736206">
              <w:rPr>
                <w:rFonts w:ascii="Arial" w:eastAsia="Calibri" w:hAnsi="Arial" w:cs="Arial"/>
                <w:szCs w:val="22"/>
              </w:rPr>
              <w:t xml:space="preserve">ting significant deficiencies in the strategy and technology dimensions. </w:t>
            </w:r>
          </w:p>
          <w:p w14:paraId="3D3BFEAF" w14:textId="5BAA554A" w:rsidR="00A63A4D" w:rsidRPr="00A63A4D" w:rsidRDefault="00A63A4D" w:rsidP="00A63A4D">
            <w:pPr>
              <w:pStyle w:val="Body"/>
              <w:spacing w:after="0"/>
              <w:rPr>
                <w:rFonts w:ascii="Arial" w:eastAsia="Calibri" w:hAnsi="Arial" w:cs="Arial"/>
                <w:szCs w:val="22"/>
              </w:rPr>
            </w:pPr>
            <w:r w:rsidRPr="00BA1B01">
              <w:rPr>
                <w:rFonts w:ascii="Arial" w:eastAsia="Calibri" w:hAnsi="Arial" w:cs="Arial"/>
                <w:b/>
                <w:bCs/>
                <w:szCs w:val="22"/>
              </w:rPr>
              <w:t>Conclusion:</w:t>
            </w:r>
            <w:r>
              <w:rPr>
                <w:rFonts w:ascii="Arial" w:eastAsia="Calibri" w:hAnsi="Arial" w:cs="Arial"/>
                <w:b/>
                <w:bCs/>
                <w:szCs w:val="22"/>
              </w:rPr>
              <w:t xml:space="preserve"> </w:t>
            </w:r>
            <w:r w:rsidRPr="00736206">
              <w:rPr>
                <w:rFonts w:ascii="Arial" w:eastAsia="Calibri" w:hAnsi="Arial" w:cs="Arial"/>
                <w:szCs w:val="22"/>
              </w:rPr>
              <w:t xml:space="preserve">The results indicate that </w:t>
            </w:r>
            <w:r w:rsidR="00B90543">
              <w:rPr>
                <w:rFonts w:ascii="Arial" w:eastAsia="Calibri" w:hAnsi="Arial" w:cs="Arial"/>
                <w:szCs w:val="22"/>
              </w:rPr>
              <w:t>an average level of digitalization characterizes the digital maturity of the Libyan telecommunications sector</w:t>
            </w:r>
            <w:r w:rsidRPr="00736206">
              <w:rPr>
                <w:rFonts w:ascii="Arial" w:eastAsia="Calibri" w:hAnsi="Arial" w:cs="Arial"/>
                <w:szCs w:val="22"/>
              </w:rPr>
              <w:t>, requiring more attention to strategic coherence and vision unification</w:t>
            </w:r>
            <w:r w:rsidR="00B90543">
              <w:rPr>
                <w:rFonts w:ascii="Arial" w:eastAsia="Calibri" w:hAnsi="Arial" w:cs="Arial"/>
                <w:szCs w:val="22"/>
              </w:rPr>
              <w:t>. Additionally, there is a need to improve the adoption of new technologies, prepare employees,</w:t>
            </w:r>
            <w:r w:rsidRPr="00736206">
              <w:rPr>
                <w:rFonts w:ascii="Arial" w:eastAsia="Calibri" w:hAnsi="Arial" w:cs="Arial"/>
                <w:szCs w:val="22"/>
              </w:rPr>
              <w:t xml:space="preserve"> and incorporate them into digital transformation initiatives.</w:t>
            </w:r>
          </w:p>
        </w:tc>
      </w:tr>
    </w:tbl>
    <w:p w14:paraId="3D44350C" w14:textId="6393EFD8" w:rsidR="00AD060B" w:rsidRPr="004125FF" w:rsidRDefault="00AD060B" w:rsidP="00AA731C">
      <w:pPr>
        <w:jc w:val="both"/>
        <w:rPr>
          <w:rFonts w:asciiTheme="minorBidi" w:eastAsiaTheme="minorHAnsi" w:hAnsiTheme="minorBidi" w:cstheme="minorBidi"/>
          <w:b/>
          <w:bCs/>
          <w:sz w:val="28"/>
          <w:szCs w:val="28"/>
        </w:rPr>
      </w:pPr>
    </w:p>
    <w:p w14:paraId="53A43FA1" w14:textId="26D65944" w:rsidR="007C5128" w:rsidRPr="004125FF" w:rsidRDefault="00AD060B" w:rsidP="00F2746E">
      <w:pPr>
        <w:autoSpaceDE w:val="0"/>
        <w:autoSpaceDN w:val="0"/>
        <w:adjustRightInd w:val="0"/>
        <w:jc w:val="left"/>
        <w:rPr>
          <w:rFonts w:asciiTheme="minorBidi" w:eastAsiaTheme="minorHAnsi" w:hAnsiTheme="minorBidi" w:cstheme="minorBidi"/>
          <w:color w:val="000000"/>
        </w:rPr>
      </w:pPr>
      <w:r w:rsidRPr="004125FF">
        <w:rPr>
          <w:rFonts w:asciiTheme="minorBidi" w:eastAsiaTheme="minorHAnsi" w:hAnsiTheme="minorBidi" w:cstheme="minorBidi"/>
          <w:i/>
          <w:iCs/>
          <w:color w:val="000000"/>
        </w:rPr>
        <w:t>Keywords:</w:t>
      </w:r>
      <w:r w:rsidRPr="004125FF">
        <w:rPr>
          <w:rFonts w:asciiTheme="minorBidi" w:eastAsiaTheme="minorHAnsi" w:hAnsiTheme="minorBidi" w:cstheme="minorBidi"/>
          <w:b/>
          <w:bCs/>
          <w:i/>
          <w:iCs/>
          <w:color w:val="000000"/>
        </w:rPr>
        <w:t xml:space="preserve"> </w:t>
      </w:r>
      <w:r w:rsidRPr="004125FF">
        <w:rPr>
          <w:rFonts w:asciiTheme="minorBidi" w:eastAsiaTheme="minorHAnsi" w:hAnsiTheme="minorBidi" w:cstheme="minorBidi"/>
          <w:i/>
          <w:iCs/>
          <w:color w:val="000000"/>
        </w:rPr>
        <w:t xml:space="preserve">Digital maturity; </w:t>
      </w:r>
      <w:r w:rsidR="00F2746E" w:rsidRPr="004125FF">
        <w:rPr>
          <w:rFonts w:asciiTheme="minorBidi" w:hAnsiTheme="minorBidi" w:cstheme="minorBidi"/>
          <w:i/>
          <w:iCs/>
        </w:rPr>
        <w:t>Digital transformation;</w:t>
      </w:r>
      <w:r w:rsidR="00F2746E" w:rsidRPr="004125FF">
        <w:rPr>
          <w:rFonts w:asciiTheme="minorBidi" w:hAnsiTheme="minorBidi" w:cstheme="minorBidi"/>
        </w:rPr>
        <w:t xml:space="preserve"> </w:t>
      </w:r>
      <w:r w:rsidRPr="004125FF">
        <w:rPr>
          <w:rFonts w:asciiTheme="minorBidi" w:hAnsiTheme="minorBidi" w:cstheme="minorBidi"/>
          <w:i/>
          <w:iCs/>
        </w:rPr>
        <w:t>Libyan telecommunication sector</w:t>
      </w:r>
      <w:r w:rsidR="00F2746E" w:rsidRPr="004125FF">
        <w:rPr>
          <w:rFonts w:asciiTheme="minorBidi" w:hAnsiTheme="minorBidi" w:cstheme="minorBidi"/>
          <w:i/>
          <w:iCs/>
        </w:rPr>
        <w:t>; qualitative research;</w:t>
      </w:r>
    </w:p>
    <w:p w14:paraId="07D86F3A" w14:textId="77777777" w:rsidR="00AD060B" w:rsidRPr="004125FF" w:rsidRDefault="00AD060B" w:rsidP="00485C55">
      <w:pPr>
        <w:rPr>
          <w:rFonts w:asciiTheme="minorBidi" w:hAnsiTheme="minorBidi" w:cstheme="minorBidi"/>
          <w:sz w:val="28"/>
          <w:szCs w:val="28"/>
        </w:rPr>
      </w:pPr>
    </w:p>
    <w:p w14:paraId="79453371" w14:textId="1A21E6E7" w:rsidR="00317F82" w:rsidRPr="00317F82" w:rsidRDefault="004125FF" w:rsidP="00317F82">
      <w:pPr>
        <w:pStyle w:val="ListParagraph"/>
        <w:numPr>
          <w:ilvl w:val="0"/>
          <w:numId w:val="48"/>
        </w:numPr>
        <w:ind w:left="357" w:hanging="357"/>
        <w:jc w:val="both"/>
        <w:rPr>
          <w:rFonts w:ascii="Arial" w:hAnsi="Arial" w:cs="Arial"/>
          <w:b/>
          <w:bCs/>
        </w:rPr>
      </w:pPr>
      <w:r w:rsidRPr="00317F82">
        <w:rPr>
          <w:rFonts w:ascii="Arial" w:hAnsi="Arial" w:cs="Arial"/>
          <w:b/>
          <w:bCs/>
        </w:rPr>
        <w:t xml:space="preserve">INTRODUCTION </w:t>
      </w:r>
    </w:p>
    <w:p w14:paraId="2F4B0BD4" w14:textId="1E428D4A" w:rsidR="000D4D4C" w:rsidRPr="004125FF" w:rsidRDefault="004816D5" w:rsidP="00FA55C8">
      <w:pPr>
        <w:jc w:val="both"/>
        <w:rPr>
          <w:rFonts w:asciiTheme="minorBidi" w:eastAsia="Times New Roman" w:hAnsiTheme="minorBidi" w:cstheme="minorBidi"/>
          <w:lang w:eastAsia="en-GB"/>
        </w:rPr>
      </w:pPr>
      <w:r w:rsidRPr="004125FF">
        <w:rPr>
          <w:rFonts w:asciiTheme="minorBidi" w:eastAsia="Times New Roman" w:hAnsiTheme="minorBidi" w:cstheme="minorBidi"/>
          <w:lang w:eastAsia="en-GB"/>
        </w:rPr>
        <w:t xml:space="preserve">Success in the telecommunications sector is no longer limited to offering basic services like </w:t>
      </w:r>
      <w:r w:rsidR="00B90543">
        <w:rPr>
          <w:rFonts w:asciiTheme="minorBidi" w:eastAsia="Times New Roman" w:hAnsiTheme="minorBidi" w:cstheme="minorBidi"/>
          <w:lang w:eastAsia="en-GB"/>
        </w:rPr>
        <w:t>i</w:t>
      </w:r>
      <w:r w:rsidRPr="004125FF">
        <w:rPr>
          <w:rFonts w:asciiTheme="minorBidi" w:eastAsia="Times New Roman" w:hAnsiTheme="minorBidi" w:cstheme="minorBidi"/>
          <w:lang w:eastAsia="en-GB"/>
        </w:rPr>
        <w:t>nternet and voice calls in a swiftly changing environment</w:t>
      </w:r>
      <w:r w:rsidR="000D4D4C" w:rsidRPr="004125FF">
        <w:rPr>
          <w:rFonts w:asciiTheme="minorBidi" w:eastAsia="Times New Roman" w:hAnsiTheme="minorBidi" w:cstheme="minorBidi"/>
          <w:lang w:eastAsia="en-GB"/>
        </w:rPr>
        <w:t>. It now primarily relies on organisations' ability to adopt digital technologies and integrate them into all aspects of their operations, enhancing operational efficiency and delivering additional value to customers. Therefore, assessing digital maturity as a vital strategic instrument becomes essential</w:t>
      </w:r>
      <w:r w:rsidR="0024453A" w:rsidRPr="004125FF">
        <w:rPr>
          <w:rFonts w:asciiTheme="minorBidi" w:eastAsia="Times New Roman" w:hAnsiTheme="minorBidi" w:cstheme="minorBidi"/>
          <w:lang w:eastAsia="en-GB"/>
        </w:rPr>
        <w:t xml:space="preserve"> </w:t>
      </w:r>
      <w:r w:rsidR="0024453A" w:rsidRPr="004125FF">
        <w:rPr>
          <w:rFonts w:asciiTheme="minorBidi" w:eastAsia="Times New Roman" w:hAnsiTheme="minorBidi" w:cstheme="minorBidi"/>
          <w:lang w:eastAsia="en-GB"/>
        </w:rPr>
        <w:fldChar w:fldCharType="begin" w:fldLock="1"/>
      </w:r>
      <w:r w:rsidR="004D74B5">
        <w:rPr>
          <w:rFonts w:asciiTheme="minorBidi" w:eastAsia="Times New Roman" w:hAnsiTheme="minorBidi" w:cstheme="minorBidi"/>
          <w:lang w:eastAsia="en-GB"/>
        </w:rPr>
        <w:instrText>ADDIN CSL_CITATION {"citationItems":[{"id":"ITEM-1","itemData":{"author":[{"dropping-particle":"","family":"Arkhipova","given":"L I","non-dropping-particle":"","parse-names":false,"suffix":""}],"id":"ITEM-1","issued":{"date-parts":[["2025"]]},"page":"23-24","title":"Udc 330.33:004 digital maturity categories in business: integrating and assessment","type":"article-journal"},"uris":["http://www.mendeley.com/documents/?uuid=5b9fdacd-9853-489e-b8fe-becee92fb71a"]}],"mendeley":{"formattedCitation":"(Arkhipova, 2025)","plainTextFormattedCitation":"(Arkhipova, 2025)","previouslyFormattedCitation":"(Arkhipova, 2025)"},"properties":{"noteIndex":0},"schema":"https://github.com/citation-style-language/schema/raw/master/csl-citation.json"}</w:instrText>
      </w:r>
      <w:r w:rsidR="0024453A" w:rsidRPr="004125FF">
        <w:rPr>
          <w:rFonts w:asciiTheme="minorBidi" w:eastAsia="Times New Roman" w:hAnsiTheme="minorBidi" w:cstheme="minorBidi"/>
          <w:lang w:eastAsia="en-GB"/>
        </w:rPr>
        <w:fldChar w:fldCharType="separate"/>
      </w:r>
      <w:r w:rsidR="00FA55C8" w:rsidRPr="00FA55C8">
        <w:rPr>
          <w:rFonts w:asciiTheme="minorBidi" w:eastAsia="Times New Roman" w:hAnsiTheme="minorBidi" w:cstheme="minorBidi"/>
          <w:noProof/>
          <w:lang w:eastAsia="en-GB"/>
        </w:rPr>
        <w:t>(Arkhipova, 2025)</w:t>
      </w:r>
      <w:r w:rsidR="0024453A" w:rsidRPr="004125FF">
        <w:rPr>
          <w:rFonts w:asciiTheme="minorBidi" w:eastAsia="Times New Roman" w:hAnsiTheme="minorBidi" w:cstheme="minorBidi"/>
          <w:lang w:eastAsia="en-GB"/>
        </w:rPr>
        <w:fldChar w:fldCharType="end"/>
      </w:r>
      <w:r w:rsidR="000D4D4C" w:rsidRPr="004125FF">
        <w:rPr>
          <w:rFonts w:asciiTheme="minorBidi" w:eastAsia="Times New Roman" w:hAnsiTheme="minorBidi" w:cstheme="minorBidi"/>
          <w:lang w:eastAsia="en-GB"/>
        </w:rPr>
        <w:t>. The organisational environment is rapidly altering in the digital age, becoming increasingly complex, unexpected, and uncertain compared to previous eras. Due to rapid fluctuations in demand, technology, competition, and legislation, it is increasingly imperative for organisations to respond and adapt to their envir</w:t>
      </w:r>
      <w:r w:rsidR="0024453A" w:rsidRPr="004125FF">
        <w:rPr>
          <w:rFonts w:asciiTheme="minorBidi" w:eastAsia="Times New Roman" w:hAnsiTheme="minorBidi" w:cstheme="minorBidi"/>
          <w:lang w:eastAsia="en-GB"/>
        </w:rPr>
        <w:t xml:space="preserve">onment </w:t>
      </w:r>
      <w:r w:rsidR="0024453A" w:rsidRPr="004125FF">
        <w:rPr>
          <w:rFonts w:asciiTheme="minorBidi" w:eastAsia="Times New Roman" w:hAnsiTheme="minorBidi" w:cstheme="minorBidi"/>
          <w:lang w:eastAsia="en-GB"/>
        </w:rPr>
        <w:fldChar w:fldCharType="begin" w:fldLock="1"/>
      </w:r>
      <w:r w:rsidR="004D74B5">
        <w:rPr>
          <w:rFonts w:asciiTheme="minorBidi" w:eastAsia="Times New Roman" w:hAnsiTheme="minorBidi" w:cstheme="minorBidi"/>
          <w:lang w:eastAsia="en-GB"/>
        </w:rPr>
        <w:instrText>ADDIN CSL_CITATION {"citationItems":[{"id":"ITEM-1","itemData":{"DOI":"10.1016/j.emj.2022.09.007","ISSN":"02632373","abstract":"The ongoing and ubiquitous digital transformation challenges the raison d'être of firms and forces managers to rethink business strategies and operations and academics to reconsider related theories. To aid these efforts, we conduct a systematic review of research on firms' digital transformation, generating a database of 537 peer-reviewed academic articles and analyzing it using a novel multi-layered framework. The framework separates three layers: an organization's core activities, its peripheral activities, and its external environment. We find that firms that have come far in their transformations are more embedded in platform ecosystems with unclear business boundaries. Relatedly, we identify a tension between decentralizing versus centralizing power across organizational layers during a firm's digital transformation and how this dynamic affects corporate strategies and firms' internal and external boundaries.","author":[{"dropping-particle":"","family":"Plekhanov","given":"Dmitry","non-dropping-particle":"","parse-names":false,"suffix":""},{"dropping-particle":"","family":"Franke","given":"Henrik","non-dropping-particle":"","parse-names":false,"suffix":""},{"dropping-particle":"","family":"Netland","given":"Torbjørn H.","non-dropping-particle":"","parse-names":false,"suffix":""}],"container-title":"European Management Journal","id":"ITEM-1","issue":"6","issued":{"date-parts":[["2023"]]},"page":"821-844","title":"Digital transformation: A review and research agenda","type":"article-journal","volume":"41"},"uris":["http://www.mendeley.com/documents/?uuid=7fec60f0-c985-42ec-b841-cddff550d56c"]}],"mendeley":{"formattedCitation":"(Plekhanov et al., 2023)","plainTextFormattedCitation":"(Plekhanov et al., 2023)","previouslyFormattedCitation":"(Plekhanov et al., 2023)"},"properties":{"noteIndex":0},"schema":"https://github.com/citation-style-language/schema/raw/master/csl-citation.json"}</w:instrText>
      </w:r>
      <w:r w:rsidR="0024453A" w:rsidRPr="004125FF">
        <w:rPr>
          <w:rFonts w:asciiTheme="minorBidi" w:eastAsia="Times New Roman" w:hAnsiTheme="minorBidi" w:cstheme="minorBidi"/>
          <w:lang w:eastAsia="en-GB"/>
        </w:rPr>
        <w:fldChar w:fldCharType="separate"/>
      </w:r>
      <w:r w:rsidR="00FA55C8" w:rsidRPr="00FA55C8">
        <w:rPr>
          <w:rFonts w:asciiTheme="minorBidi" w:eastAsia="Times New Roman" w:hAnsiTheme="minorBidi" w:cstheme="minorBidi"/>
          <w:noProof/>
          <w:lang w:eastAsia="en-GB"/>
        </w:rPr>
        <w:t>(Plekhanov et al., 2023)</w:t>
      </w:r>
      <w:r w:rsidR="0024453A" w:rsidRPr="004125FF">
        <w:rPr>
          <w:rFonts w:asciiTheme="minorBidi" w:eastAsia="Times New Roman" w:hAnsiTheme="minorBidi" w:cstheme="minorBidi"/>
          <w:lang w:eastAsia="en-GB"/>
        </w:rPr>
        <w:fldChar w:fldCharType="end"/>
      </w:r>
      <w:r w:rsidR="000D4D4C" w:rsidRPr="004125FF">
        <w:rPr>
          <w:rFonts w:asciiTheme="minorBidi" w:eastAsia="Times New Roman" w:hAnsiTheme="minorBidi" w:cstheme="minorBidi"/>
          <w:lang w:eastAsia="en-GB"/>
        </w:rPr>
        <w:t>. The phrase "digital maturity," although lacking a definitive definition, can be characterized as an organization's ability to utilize digital technology effectively and efficiently</w:t>
      </w:r>
      <w:r w:rsidR="0024453A" w:rsidRPr="004125FF">
        <w:rPr>
          <w:rFonts w:asciiTheme="minorBidi" w:eastAsia="Times New Roman" w:hAnsiTheme="minorBidi" w:cstheme="minorBidi"/>
          <w:lang w:eastAsia="en-GB"/>
        </w:rPr>
        <w:t xml:space="preserve"> to achieve its strategic goals</w:t>
      </w:r>
      <w:r w:rsidR="000D4D4C" w:rsidRPr="004125FF">
        <w:rPr>
          <w:rFonts w:asciiTheme="minorBidi" w:eastAsia="Times New Roman" w:hAnsiTheme="minorBidi" w:cstheme="minorBidi"/>
          <w:lang w:eastAsia="en-GB"/>
        </w:rPr>
        <w:t xml:space="preserve"> </w:t>
      </w:r>
      <w:r w:rsidR="0024453A" w:rsidRPr="004125FF">
        <w:rPr>
          <w:rFonts w:asciiTheme="minorBidi" w:eastAsia="Times New Roman" w:hAnsiTheme="minorBidi" w:cstheme="minorBidi"/>
          <w:lang w:eastAsia="en-GB"/>
        </w:rPr>
        <w:fldChar w:fldCharType="begin" w:fldLock="1"/>
      </w:r>
      <w:r w:rsidR="004D74B5">
        <w:rPr>
          <w:rFonts w:asciiTheme="minorBidi" w:eastAsia="Times New Roman" w:hAnsiTheme="minorBidi" w:cstheme="minorBidi"/>
          <w:lang w:eastAsia="en-GB"/>
        </w:rPr>
        <w:instrText>ADDIN CSL_CITATION {"citationItems":[{"id":"ITEM-1","itemData":{"author":[{"dropping-particle":"","family":"Rossmann","given":"Alexander","non-dropping-particle":"","parse-names":false,"suffix":""}],"id":"ITEM-1","issue":"November","issued":{"date-parts":[["2020"]]},"title":"Digital Maturity : Conceptualization and Measurement Model Digital Maturity : Conceptualization and Measurement Model","type":"article-journal"},"uris":["http://www.mendeley.com/documents/?uuid=dd6ff7c2-5e4f-40c8-a694-c878439e3e91"]}],"mendeley":{"formattedCitation":"(Rossmann, 2020)","plainTextFormattedCitation":"(Rossmann, 2020)","previouslyFormattedCitation":"(Rossmann, 2020)"},"properties":{"noteIndex":0},"schema":"https://github.com/citation-style-language/schema/raw/master/csl-citation.json"}</w:instrText>
      </w:r>
      <w:r w:rsidR="0024453A" w:rsidRPr="004125FF">
        <w:rPr>
          <w:rFonts w:asciiTheme="minorBidi" w:eastAsia="Times New Roman" w:hAnsiTheme="minorBidi" w:cstheme="minorBidi"/>
          <w:lang w:eastAsia="en-GB"/>
        </w:rPr>
        <w:fldChar w:fldCharType="separate"/>
      </w:r>
      <w:r w:rsidR="00FA55C8" w:rsidRPr="00FA55C8">
        <w:rPr>
          <w:rFonts w:asciiTheme="minorBidi" w:eastAsia="Times New Roman" w:hAnsiTheme="minorBidi" w:cstheme="minorBidi"/>
          <w:noProof/>
          <w:lang w:eastAsia="en-GB"/>
        </w:rPr>
        <w:t>(Rossmann, 2020)</w:t>
      </w:r>
      <w:r w:rsidR="0024453A" w:rsidRPr="004125FF">
        <w:rPr>
          <w:rFonts w:asciiTheme="minorBidi" w:eastAsia="Times New Roman" w:hAnsiTheme="minorBidi" w:cstheme="minorBidi"/>
          <w:lang w:eastAsia="en-GB"/>
        </w:rPr>
        <w:fldChar w:fldCharType="end"/>
      </w:r>
      <w:r w:rsidR="000D4D4C" w:rsidRPr="004125FF">
        <w:rPr>
          <w:rFonts w:asciiTheme="minorBidi" w:eastAsia="Times New Roman" w:hAnsiTheme="minorBidi" w:cstheme="minorBidi"/>
          <w:lang w:eastAsia="en-GB"/>
        </w:rPr>
        <w:t>. Digital maturity measurement is a systematic and comprehensive assessment of a telecommunications company's ability to leverage data, technology, and digital culture to achieve its objectives. Although the latest software and technology are undeniably significant, digital maturity also relies on integrating these tools into a business's strategy, enhancing customer satisfaction, optimizing operations, and cultivating an innovative culture</w:t>
      </w:r>
      <w:r w:rsidR="00885488" w:rsidRPr="004125FF">
        <w:rPr>
          <w:rFonts w:asciiTheme="minorBidi" w:eastAsia="Times New Roman" w:hAnsiTheme="minorBidi" w:cstheme="minorBidi"/>
          <w:lang w:eastAsia="en-GB"/>
        </w:rPr>
        <w:t xml:space="preserve"> </w:t>
      </w:r>
      <w:r w:rsidR="00885488" w:rsidRPr="004125FF">
        <w:rPr>
          <w:rFonts w:asciiTheme="minorBidi" w:eastAsia="Times New Roman" w:hAnsiTheme="minorBidi" w:cstheme="minorBidi"/>
          <w:lang w:eastAsia="en-GB"/>
        </w:rPr>
        <w:fldChar w:fldCharType="begin" w:fldLock="1"/>
      </w:r>
      <w:r w:rsidR="004D74B5">
        <w:rPr>
          <w:rFonts w:asciiTheme="minorBidi" w:eastAsia="Times New Roman" w:hAnsiTheme="minorBidi" w:cstheme="minorBidi"/>
          <w:lang w:eastAsia="en-GB"/>
        </w:rPr>
        <w:instrText>ADDIN CSL_CITATION {"citationItems":[{"id":"ITEM-1","itemData":{"author":[{"dropping-particle":"","family":"Aagaard","given":"Annabeth","non-dropping-particle":"","parse-names":false,"suffix":""},{"dropping-particle":"","family":"Presser","given":"Mirko","non-dropping-particle":"","parse-names":false,"suffix":""},{"dropping-particle":"","family":"Collins","given":"Tom","non-dropping-particle":"","parse-names":false,"suffix":""},{"dropping-particle":"","family":"Beliatis","given":"Michail","non-dropping-particle":"","parse-names":false,"suffix":""},{"dropping-particle":"","family":"Jakobsen","given":"Emilie Mathilde","non-dropping-particle":"","parse-names":false,"suffix":""},{"dropping-particle":"","family":"Skou","given":"Anita Krogsøe","non-dropping-particle":"","parse-names":false,"suffix":""}],"id":"ITEM-1","issued":{"date-parts":[["2021"]]},"title":"The Role of Digital Maturity Assessment in Technology Interventions with Industrial Internet Playground","type":"article-journal"},"uris":["http://www.mendeley.com/documents/?uuid=c13387b4-0a69-4418-8b46-2f44158af7a2"]}],"mendeley":{"formattedCitation":"(Aagaard et al., 2021)","plainTextFormattedCitation":"(Aagaard et al., 2021)","previouslyFormattedCitation":"(Aagaard et al., 2021)"},"properties":{"noteIndex":0},"schema":"https://github.com/citation-style-language/schema/raw/master/csl-citation.json"}</w:instrText>
      </w:r>
      <w:r w:rsidR="00885488" w:rsidRPr="004125FF">
        <w:rPr>
          <w:rFonts w:asciiTheme="minorBidi" w:eastAsia="Times New Roman" w:hAnsiTheme="minorBidi" w:cstheme="minorBidi"/>
          <w:lang w:eastAsia="en-GB"/>
        </w:rPr>
        <w:fldChar w:fldCharType="separate"/>
      </w:r>
      <w:r w:rsidR="00FA55C8" w:rsidRPr="00FA55C8">
        <w:rPr>
          <w:rFonts w:asciiTheme="minorBidi" w:eastAsia="Times New Roman" w:hAnsiTheme="minorBidi" w:cstheme="minorBidi"/>
          <w:noProof/>
          <w:lang w:eastAsia="en-GB"/>
        </w:rPr>
        <w:t>(Aagaard et al., 2021)</w:t>
      </w:r>
      <w:r w:rsidR="00885488" w:rsidRPr="004125FF">
        <w:rPr>
          <w:rFonts w:asciiTheme="minorBidi" w:eastAsia="Times New Roman" w:hAnsiTheme="minorBidi" w:cstheme="minorBidi"/>
          <w:lang w:eastAsia="en-GB"/>
        </w:rPr>
        <w:fldChar w:fldCharType="end"/>
      </w:r>
      <w:r w:rsidR="000D4D4C" w:rsidRPr="004125FF">
        <w:rPr>
          <w:rFonts w:asciiTheme="minorBidi" w:eastAsia="Times New Roman" w:hAnsiTheme="minorBidi" w:cstheme="minorBidi"/>
          <w:lang w:eastAsia="en-GB"/>
        </w:rPr>
        <w:t>. The emergence and growing importance of new digital technologies, such as social media, cloud computing, big data and analytics, the Internet of Things, and artificial intelligence, have significantly intensified the pressure on businesses to modify their strategies in response to technological advancements in the environment. They are substantially influencing the strategic framework of organisations by modifying the competitive environment, consu</w:t>
      </w:r>
      <w:r w:rsidR="00885488" w:rsidRPr="004125FF">
        <w:rPr>
          <w:rFonts w:asciiTheme="minorBidi" w:eastAsia="Times New Roman" w:hAnsiTheme="minorBidi" w:cstheme="minorBidi"/>
          <w:lang w:eastAsia="en-GB"/>
        </w:rPr>
        <w:t xml:space="preserve">mer behaviour, and expectations </w:t>
      </w:r>
      <w:r w:rsidR="00885488" w:rsidRPr="004125FF">
        <w:rPr>
          <w:rFonts w:asciiTheme="minorBidi" w:eastAsia="Times New Roman" w:hAnsiTheme="minorBidi" w:cstheme="minorBidi"/>
          <w:lang w:eastAsia="en-GB"/>
        </w:rPr>
        <w:fldChar w:fldCharType="begin" w:fldLock="1"/>
      </w:r>
      <w:r w:rsidR="004D74B5">
        <w:rPr>
          <w:rFonts w:asciiTheme="minorBidi" w:eastAsia="Times New Roman" w:hAnsiTheme="minorBidi" w:cstheme="minorBidi"/>
          <w:lang w:eastAsia="en-GB"/>
        </w:rPr>
        <w:instrText>ADDIN CSL_CITATION {"citationItems":[{"id":"ITEM-1","itemData":{"author":[{"dropping-particle":"","family":"Sacavém","given":"António","non-dropping-particle":"","parse-names":false,"suffix":""},{"dropping-particle":"","family":"Machado","given":"Andreia De Bem","non-dropping-particle":"","parse-names":false,"suffix":""},{"dropping-particle":"","family":"Palma-moreira","given":"Ana","non-dropping-particle":"","parse-names":false,"suffix":""}],"id":"ITEM-1","issued":{"date-parts":[["2025"]]},"page":"1-21","title":"Leading in the Digital Age : The Role of Leadership in Organizational Digital Transformation","type":"article-journal"},"uris":["http://www.mendeley.com/documents/?uuid=89631891-6568-4fd2-8fd8-f9e1c446d785"]}],"mendeley":{"formattedCitation":"(Sacavém et al., 2025)","plainTextFormattedCitation":"(Sacavém et al., 2025)","previouslyFormattedCitation":"(Sacavém et al., 2025)"},"properties":{"noteIndex":0},"schema":"https://github.com/citation-style-language/schema/raw/master/csl-citation.json"}</w:instrText>
      </w:r>
      <w:r w:rsidR="00885488" w:rsidRPr="004125FF">
        <w:rPr>
          <w:rFonts w:asciiTheme="minorBidi" w:eastAsia="Times New Roman" w:hAnsiTheme="minorBidi" w:cstheme="minorBidi"/>
          <w:lang w:eastAsia="en-GB"/>
        </w:rPr>
        <w:fldChar w:fldCharType="separate"/>
      </w:r>
      <w:r w:rsidR="00FA55C8" w:rsidRPr="00FA55C8">
        <w:rPr>
          <w:rFonts w:asciiTheme="minorBidi" w:eastAsia="Times New Roman" w:hAnsiTheme="minorBidi" w:cstheme="minorBidi"/>
          <w:noProof/>
          <w:lang w:eastAsia="en-GB"/>
        </w:rPr>
        <w:t>(Sacavém et al., 2025)</w:t>
      </w:r>
      <w:r w:rsidR="00885488" w:rsidRPr="004125FF">
        <w:rPr>
          <w:rFonts w:asciiTheme="minorBidi" w:eastAsia="Times New Roman" w:hAnsiTheme="minorBidi" w:cstheme="minorBidi"/>
          <w:lang w:eastAsia="en-GB"/>
        </w:rPr>
        <w:fldChar w:fldCharType="end"/>
      </w:r>
      <w:r w:rsidR="000D4D4C" w:rsidRPr="004125FF">
        <w:rPr>
          <w:rFonts w:asciiTheme="minorBidi" w:eastAsia="Times New Roman" w:hAnsiTheme="minorBidi" w:cstheme="minorBidi"/>
          <w:lang w:eastAsia="en-GB"/>
        </w:rPr>
        <w:t>. The Digital Maturity Indicator is typically used as a primary instrument to evaluate an organization's ability to incorporate and leverage digital technologies to achieve business objectives. The DMI provides an in-depth assessment of the organization's digital preparedness, enabling the identification of strengths and weaknesses while facilitating the development of a strategic plan for enhancement across all dimensions. It assesses a company's ability and preparedness to implement digital projects effectively. To optimise operations and sustain competitiveness in an evolving digital landscape, firms must assess their digital maturity to identify strengths and areas for enhancement. By consistently evaluating their Digital Maturity Index, firms can ensure they are well-positioned to leverage digital innovatio</w:t>
      </w:r>
      <w:r w:rsidR="00885488" w:rsidRPr="004125FF">
        <w:rPr>
          <w:rFonts w:asciiTheme="minorBidi" w:eastAsia="Times New Roman" w:hAnsiTheme="minorBidi" w:cstheme="minorBidi"/>
          <w:lang w:eastAsia="en-GB"/>
        </w:rPr>
        <w:t xml:space="preserve">ns and foster sustained success </w:t>
      </w:r>
      <w:r w:rsidR="00885488" w:rsidRPr="004125FF">
        <w:rPr>
          <w:rFonts w:asciiTheme="minorBidi" w:eastAsia="Times New Roman" w:hAnsiTheme="minorBidi" w:cstheme="minorBidi"/>
          <w:lang w:eastAsia="en-GB"/>
        </w:rPr>
        <w:fldChar w:fldCharType="begin" w:fldLock="1"/>
      </w:r>
      <w:r w:rsidR="004D74B5">
        <w:rPr>
          <w:rFonts w:asciiTheme="minorBidi" w:eastAsia="Times New Roman" w:hAnsiTheme="minorBidi" w:cstheme="minorBidi"/>
          <w:lang w:eastAsia="en-GB"/>
        </w:rPr>
        <w:instrText>ADDIN CSL_CITATION {"citationItems":[{"id":"ITEM-1","itemData":{"author":[{"dropping-particle":"","family":"Tubis","given":"Agnieszka A","non-dropping-particle":"","parse-names":false,"suffix":""}],"id":"ITEM-1","issued":{"date-parts":[["2023"]]},"title":"Digital Maturity Assessment Model for the Organizational and Process Dimensions","type":"article-journal"},"uris":["http://www.mendeley.com/documents/?uuid=7200b360-48da-475c-a1dd-6a892c132890"]}],"mendeley":{"formattedCitation":"(Tubis, 2023)","plainTextFormattedCitation":"(Tubis, 2023)","previouslyFormattedCitation":"(Tubis, 2023)"},"properties":{"noteIndex":0},"schema":"https://github.com/citation-style-language/schema/raw/master/csl-citation.json"}</w:instrText>
      </w:r>
      <w:r w:rsidR="00885488" w:rsidRPr="004125FF">
        <w:rPr>
          <w:rFonts w:asciiTheme="minorBidi" w:eastAsia="Times New Roman" w:hAnsiTheme="minorBidi" w:cstheme="minorBidi"/>
          <w:lang w:eastAsia="en-GB"/>
        </w:rPr>
        <w:fldChar w:fldCharType="separate"/>
      </w:r>
      <w:r w:rsidR="00FA55C8" w:rsidRPr="00FA55C8">
        <w:rPr>
          <w:rFonts w:asciiTheme="minorBidi" w:eastAsia="Times New Roman" w:hAnsiTheme="minorBidi" w:cstheme="minorBidi"/>
          <w:noProof/>
          <w:lang w:eastAsia="en-GB"/>
        </w:rPr>
        <w:t>(Tubis, 2023)</w:t>
      </w:r>
      <w:r w:rsidR="00885488" w:rsidRPr="004125FF">
        <w:rPr>
          <w:rFonts w:asciiTheme="minorBidi" w:eastAsia="Times New Roman" w:hAnsiTheme="minorBidi" w:cstheme="minorBidi"/>
          <w:lang w:eastAsia="en-GB"/>
        </w:rPr>
        <w:fldChar w:fldCharType="end"/>
      </w:r>
      <w:r w:rsidR="000D4D4C" w:rsidRPr="004125FF">
        <w:rPr>
          <w:rFonts w:asciiTheme="minorBidi" w:eastAsia="Times New Roman" w:hAnsiTheme="minorBidi" w:cstheme="minorBidi"/>
          <w:lang w:eastAsia="en-GB"/>
        </w:rPr>
        <w:t>.</w:t>
      </w:r>
      <w:r w:rsidR="000D4D4C" w:rsidRPr="004125FF">
        <w:rPr>
          <w:rFonts w:asciiTheme="minorBidi" w:hAnsiTheme="minorBidi" w:cstheme="minorBidi"/>
        </w:rPr>
        <w:t xml:space="preserve"> </w:t>
      </w:r>
      <w:r w:rsidR="000D4D4C" w:rsidRPr="004125FF">
        <w:rPr>
          <w:rFonts w:asciiTheme="minorBidi" w:eastAsia="Times New Roman" w:hAnsiTheme="minorBidi" w:cstheme="minorBidi"/>
          <w:lang w:eastAsia="en-GB"/>
        </w:rPr>
        <w:t xml:space="preserve">To remain competitive and sustainable in today's </w:t>
      </w:r>
      <w:r w:rsidR="000D4D4C" w:rsidRPr="004125FF">
        <w:rPr>
          <w:rFonts w:asciiTheme="minorBidi" w:eastAsia="Times New Roman" w:hAnsiTheme="minorBidi" w:cstheme="minorBidi"/>
          <w:lang w:eastAsia="en-GB"/>
        </w:rPr>
        <w:lastRenderedPageBreak/>
        <w:t>technologically advanced and globally networked world, digital maturity has become a crucial criterion for the competitiveness and sustainability of any industry. The concept of digital maturity is particularly relevant for Libya's telecommunications sector, which presents a unique opportunity to drive digital transformation across social and economic domains. Despite Libya's high mobile adoption rates, issues persist due to unreliable infrastructure, limited broadband access, and a fragmented regulatory framework. This setting renders the pursuit of digital maturity not only an operational objective but a strategic requirement.</w:t>
      </w:r>
    </w:p>
    <w:p w14:paraId="6D119B74" w14:textId="6C657278" w:rsidR="000D4D4C" w:rsidRPr="004125FF" w:rsidRDefault="000D4D4C" w:rsidP="000D4D4C">
      <w:pPr>
        <w:jc w:val="both"/>
        <w:rPr>
          <w:rFonts w:asciiTheme="minorBidi" w:eastAsia="Times New Roman" w:hAnsiTheme="minorBidi" w:cstheme="minorBidi"/>
          <w:lang w:eastAsia="en-GB"/>
        </w:rPr>
      </w:pPr>
      <w:r w:rsidRPr="004125FF">
        <w:rPr>
          <w:rFonts w:asciiTheme="minorBidi" w:eastAsia="Times New Roman" w:hAnsiTheme="minorBidi" w:cstheme="minorBidi"/>
          <w:lang w:eastAsia="en-GB"/>
        </w:rPr>
        <w:t>This research aims to assess the digital maturity within the telecommunications sector in Libya. Libyan telecommunications companies face several challenges, including the need to modernize aging infrastructure, adapt to rapid technological advancements, and meet consumers' growing expectations for more advanced and efficient digital services. Therefore, this study aims to provide a comprehensive and objective assessment of the current level of digital maturity among these companies. By analysing key dimensions of digital maturity, such as customer experience, digital strategy, technology, organization, and culture, this paper seeks to identify strengths and weaknesses and provide valuable insights to help formulate effective improvement plans.</w:t>
      </w:r>
    </w:p>
    <w:p w14:paraId="5785B05E" w14:textId="77777777" w:rsidR="000D4D4C" w:rsidRPr="004125FF" w:rsidRDefault="000D4D4C" w:rsidP="000D4D4C">
      <w:pPr>
        <w:jc w:val="both"/>
        <w:rPr>
          <w:rFonts w:asciiTheme="minorBidi" w:eastAsia="Times New Roman" w:hAnsiTheme="minorBidi" w:cstheme="minorBidi"/>
          <w:lang w:eastAsia="en-GB"/>
        </w:rPr>
      </w:pPr>
      <w:r w:rsidRPr="004125FF">
        <w:rPr>
          <w:rFonts w:asciiTheme="minorBidi" w:eastAsia="Times New Roman" w:hAnsiTheme="minorBidi" w:cstheme="minorBidi"/>
          <w:lang w:eastAsia="en-GB"/>
        </w:rPr>
        <w:t>In addition, this research will focus on the following aspects to address the research question: Is the telecommunication sector in Libya prepared for digital transformation?</w:t>
      </w:r>
    </w:p>
    <w:p w14:paraId="3ECBF079" w14:textId="77777777" w:rsidR="000D4D4C" w:rsidRPr="004125FF" w:rsidRDefault="000D4D4C" w:rsidP="000D4D4C">
      <w:pPr>
        <w:pStyle w:val="ListParagraph"/>
        <w:numPr>
          <w:ilvl w:val="0"/>
          <w:numId w:val="23"/>
        </w:numPr>
        <w:spacing w:after="160" w:line="256" w:lineRule="auto"/>
        <w:jc w:val="both"/>
        <w:rPr>
          <w:rFonts w:asciiTheme="minorBidi" w:eastAsia="Times New Roman" w:hAnsiTheme="minorBidi"/>
          <w:sz w:val="20"/>
          <w:szCs w:val="20"/>
          <w:lang w:eastAsia="en-GB"/>
        </w:rPr>
      </w:pPr>
      <w:r w:rsidRPr="004125FF">
        <w:rPr>
          <w:rFonts w:asciiTheme="minorBidi" w:eastAsia="Times New Roman" w:hAnsiTheme="minorBidi"/>
          <w:sz w:val="20"/>
          <w:szCs w:val="20"/>
          <w:lang w:eastAsia="en-GB"/>
        </w:rPr>
        <w:t>Current Situation Assessment: Identify the current level of digital maturity in the Libyan telecommunications sector.</w:t>
      </w:r>
    </w:p>
    <w:p w14:paraId="30D52222" w14:textId="1DEF2FE4" w:rsidR="000D4D4C" w:rsidRPr="004125FF" w:rsidRDefault="000D4D4C" w:rsidP="0054063A">
      <w:pPr>
        <w:pStyle w:val="ListParagraph"/>
        <w:numPr>
          <w:ilvl w:val="0"/>
          <w:numId w:val="23"/>
        </w:numPr>
        <w:spacing w:after="160" w:line="256" w:lineRule="auto"/>
        <w:jc w:val="both"/>
        <w:rPr>
          <w:rFonts w:asciiTheme="minorBidi" w:eastAsia="Times New Roman" w:hAnsiTheme="minorBidi"/>
          <w:sz w:val="20"/>
          <w:szCs w:val="20"/>
          <w:lang w:eastAsia="en-GB"/>
        </w:rPr>
      </w:pPr>
      <w:r w:rsidRPr="004125FF">
        <w:rPr>
          <w:rFonts w:asciiTheme="minorBidi" w:eastAsia="Times New Roman" w:hAnsiTheme="minorBidi"/>
          <w:sz w:val="20"/>
          <w:szCs w:val="20"/>
          <w:lang w:eastAsia="en-GB"/>
        </w:rPr>
        <w:t xml:space="preserve">Identifying gaps: Identifying </w:t>
      </w:r>
      <w:r w:rsidR="00B90543">
        <w:rPr>
          <w:rFonts w:asciiTheme="minorBidi" w:eastAsia="Times New Roman" w:hAnsiTheme="minorBidi"/>
          <w:sz w:val="20"/>
          <w:szCs w:val="20"/>
          <w:lang w:eastAsia="en-GB"/>
        </w:rPr>
        <w:t>the differences between the current status and the ideal standards of digital maturity</w:t>
      </w:r>
      <w:r w:rsidRPr="004125FF">
        <w:rPr>
          <w:rFonts w:asciiTheme="minorBidi" w:eastAsia="Times New Roman" w:hAnsiTheme="minorBidi"/>
          <w:sz w:val="20"/>
          <w:szCs w:val="20"/>
          <w:lang w:eastAsia="en-GB"/>
        </w:rPr>
        <w:t>.</w:t>
      </w:r>
    </w:p>
    <w:p w14:paraId="7B8B3376" w14:textId="77777777" w:rsidR="000D4D4C" w:rsidRPr="004125FF" w:rsidRDefault="000D4D4C" w:rsidP="000D4D4C">
      <w:pPr>
        <w:pStyle w:val="ListParagraph"/>
        <w:numPr>
          <w:ilvl w:val="0"/>
          <w:numId w:val="23"/>
        </w:numPr>
        <w:spacing w:after="160" w:line="256" w:lineRule="auto"/>
        <w:jc w:val="both"/>
        <w:rPr>
          <w:rFonts w:asciiTheme="minorBidi" w:eastAsia="Times New Roman" w:hAnsiTheme="minorBidi"/>
          <w:sz w:val="20"/>
          <w:szCs w:val="20"/>
          <w:lang w:eastAsia="en-GB"/>
        </w:rPr>
      </w:pPr>
      <w:r w:rsidRPr="004125FF">
        <w:rPr>
          <w:rFonts w:asciiTheme="minorBidi" w:eastAsia="Times New Roman" w:hAnsiTheme="minorBidi"/>
          <w:sz w:val="20"/>
          <w:szCs w:val="20"/>
          <w:lang w:eastAsia="en-GB"/>
        </w:rPr>
        <w:t>Providing recommendations: Formulating practical and targeted recommendations to improve digital maturity and increase the sector's competitiveness.</w:t>
      </w:r>
    </w:p>
    <w:p w14:paraId="26423027" w14:textId="28659DAB" w:rsidR="000D4D4C" w:rsidRPr="004125FF" w:rsidRDefault="000D4D4C" w:rsidP="000D4D4C">
      <w:pPr>
        <w:rPr>
          <w:rFonts w:asciiTheme="minorBidi" w:eastAsia="Times New Roman" w:hAnsiTheme="minorBidi" w:cstheme="minorBidi"/>
          <w:lang w:eastAsia="en-GB"/>
        </w:rPr>
      </w:pPr>
      <w:r w:rsidRPr="004125FF">
        <w:rPr>
          <w:rFonts w:asciiTheme="minorBidi" w:eastAsia="Times New Roman" w:hAnsiTheme="minorBidi" w:cstheme="minorBidi"/>
          <w:lang w:eastAsia="en-GB"/>
        </w:rPr>
        <w:t>However, this research is important to the telecommunication sector in Libya for several reasons, including:</w:t>
      </w:r>
    </w:p>
    <w:p w14:paraId="543E0C6D" w14:textId="77777777" w:rsidR="000D4D4C" w:rsidRPr="004125FF" w:rsidRDefault="000D4D4C" w:rsidP="000D4D4C">
      <w:pPr>
        <w:pStyle w:val="ListParagraph"/>
        <w:numPr>
          <w:ilvl w:val="0"/>
          <w:numId w:val="24"/>
        </w:numPr>
        <w:spacing w:after="160" w:line="256" w:lineRule="auto"/>
        <w:jc w:val="both"/>
        <w:rPr>
          <w:rFonts w:asciiTheme="minorBidi" w:eastAsia="Times New Roman" w:hAnsiTheme="minorBidi"/>
          <w:sz w:val="20"/>
          <w:szCs w:val="20"/>
          <w:lang w:eastAsia="en-GB"/>
        </w:rPr>
      </w:pPr>
      <w:r w:rsidRPr="004125FF">
        <w:rPr>
          <w:rFonts w:asciiTheme="minorBidi" w:eastAsia="Times New Roman" w:hAnsiTheme="minorBidi"/>
          <w:sz w:val="20"/>
          <w:szCs w:val="20"/>
          <w:lang w:eastAsia="en-GB"/>
        </w:rPr>
        <w:t>It contributes to enriching the scientific literature, especially in the area of digital maturity within the telecommunications sector.</w:t>
      </w:r>
    </w:p>
    <w:p w14:paraId="6B6F9DA4" w14:textId="77777777" w:rsidR="000D4D4C" w:rsidRPr="004125FF" w:rsidRDefault="000D4D4C" w:rsidP="000D4D4C">
      <w:pPr>
        <w:pStyle w:val="ListParagraph"/>
        <w:numPr>
          <w:ilvl w:val="0"/>
          <w:numId w:val="24"/>
        </w:numPr>
        <w:spacing w:after="160" w:line="256" w:lineRule="auto"/>
        <w:jc w:val="both"/>
        <w:rPr>
          <w:rFonts w:asciiTheme="minorBidi" w:eastAsia="Times New Roman" w:hAnsiTheme="minorBidi"/>
          <w:sz w:val="20"/>
          <w:szCs w:val="20"/>
          <w:lang w:eastAsia="en-GB"/>
        </w:rPr>
      </w:pPr>
      <w:r w:rsidRPr="004125FF">
        <w:rPr>
          <w:rFonts w:asciiTheme="minorBidi" w:eastAsia="Times New Roman" w:hAnsiTheme="minorBidi"/>
          <w:sz w:val="20"/>
          <w:szCs w:val="20"/>
          <w:lang w:eastAsia="en-GB"/>
        </w:rPr>
        <w:t>It provides sector stakeholders, including companies and regulators, with a reliable assessment tool and a reference point for strategic decision-making.</w:t>
      </w:r>
    </w:p>
    <w:p w14:paraId="1DA21616" w14:textId="25C02E7C" w:rsidR="000418E4" w:rsidRPr="004125FF" w:rsidRDefault="000D4D4C" w:rsidP="006C784D">
      <w:pPr>
        <w:pStyle w:val="ListParagraph"/>
        <w:numPr>
          <w:ilvl w:val="0"/>
          <w:numId w:val="24"/>
        </w:numPr>
        <w:spacing w:after="160" w:line="256" w:lineRule="auto"/>
        <w:jc w:val="both"/>
        <w:rPr>
          <w:rFonts w:asciiTheme="minorBidi" w:eastAsia="Times New Roman" w:hAnsiTheme="minorBidi"/>
          <w:sz w:val="20"/>
          <w:szCs w:val="20"/>
          <w:lang w:eastAsia="en-GB"/>
        </w:rPr>
      </w:pPr>
      <w:r w:rsidRPr="004125FF">
        <w:rPr>
          <w:rFonts w:asciiTheme="minorBidi" w:eastAsia="Times New Roman" w:hAnsiTheme="minorBidi"/>
          <w:sz w:val="20"/>
          <w:szCs w:val="20"/>
          <w:lang w:eastAsia="en-GB"/>
        </w:rPr>
        <w:t>By enhancing digital maturity, telecommunications companies can further contribute to driving economic growth in Libya.</w:t>
      </w:r>
    </w:p>
    <w:p w14:paraId="58C4147A" w14:textId="77777777" w:rsidR="006C784D" w:rsidRPr="004125FF" w:rsidRDefault="006C784D" w:rsidP="006C784D">
      <w:pPr>
        <w:pStyle w:val="ListParagraph"/>
        <w:spacing w:after="160" w:line="256" w:lineRule="auto"/>
        <w:jc w:val="both"/>
        <w:rPr>
          <w:rFonts w:asciiTheme="minorBidi" w:eastAsia="Times New Roman" w:hAnsiTheme="minorBidi"/>
          <w:sz w:val="20"/>
          <w:szCs w:val="20"/>
          <w:lang w:eastAsia="en-GB"/>
        </w:rPr>
      </w:pPr>
    </w:p>
    <w:p w14:paraId="22009F64" w14:textId="285B2615" w:rsidR="000418E4" w:rsidRPr="00317F82" w:rsidRDefault="00317F82" w:rsidP="00317F82">
      <w:pPr>
        <w:pStyle w:val="ListParagraph"/>
        <w:numPr>
          <w:ilvl w:val="0"/>
          <w:numId w:val="48"/>
        </w:numPr>
        <w:spacing w:after="160" w:line="257" w:lineRule="auto"/>
        <w:ind w:left="357" w:hanging="357"/>
        <w:jc w:val="both"/>
        <w:rPr>
          <w:rFonts w:asciiTheme="minorBidi" w:hAnsiTheme="minorBidi"/>
          <w:b/>
          <w:bCs/>
          <w:shd w:val="clear" w:color="auto" w:fill="FFFFFF"/>
        </w:rPr>
      </w:pPr>
      <w:r w:rsidRPr="00317F82">
        <w:rPr>
          <w:rFonts w:asciiTheme="minorBidi" w:hAnsiTheme="minorBidi"/>
          <w:b/>
          <w:bCs/>
        </w:rPr>
        <w:t xml:space="preserve">BACKGROUND </w:t>
      </w:r>
    </w:p>
    <w:p w14:paraId="09FCBFE3" w14:textId="06E8EF4C" w:rsidR="000418E4" w:rsidRPr="004125FF" w:rsidRDefault="000D4D4C" w:rsidP="006C784D">
      <w:pPr>
        <w:spacing w:after="160" w:line="257" w:lineRule="auto"/>
        <w:jc w:val="both"/>
        <w:rPr>
          <w:rFonts w:asciiTheme="minorBidi" w:hAnsiTheme="minorBidi" w:cstheme="minorBidi"/>
          <w:sz w:val="28"/>
          <w:szCs w:val="28"/>
          <w:shd w:val="clear" w:color="auto" w:fill="FFFFFF"/>
        </w:rPr>
      </w:pPr>
      <w:r w:rsidRPr="004125FF">
        <w:rPr>
          <w:rFonts w:asciiTheme="minorBidi" w:hAnsiTheme="minorBidi" w:cstheme="minorBidi"/>
        </w:rPr>
        <w:t>This section discusses the concepts related to digital maturity, its levels, assessment methods, and the digital maturity models utilised for evaluating the digital maturity of organisations. It is essential to recognize that digital maturity models have a significant impact on the successful management of digital transformation.</w:t>
      </w:r>
    </w:p>
    <w:p w14:paraId="3E4685B1" w14:textId="088979A8" w:rsidR="006C784D" w:rsidRPr="001C7FEF" w:rsidRDefault="000D4D4C" w:rsidP="00317F82">
      <w:pPr>
        <w:pStyle w:val="ListParagraph"/>
        <w:numPr>
          <w:ilvl w:val="1"/>
          <w:numId w:val="49"/>
        </w:numPr>
        <w:spacing w:line="240" w:lineRule="auto"/>
        <w:ind w:left="357" w:hanging="357"/>
        <w:jc w:val="both"/>
        <w:rPr>
          <w:rFonts w:ascii="Arial" w:hAnsi="Arial" w:cs="Arial"/>
          <w:b/>
          <w:bCs/>
          <w:shd w:val="clear" w:color="auto" w:fill="FFFFFF"/>
        </w:rPr>
      </w:pPr>
      <w:r w:rsidRPr="001C7FEF">
        <w:rPr>
          <w:rFonts w:ascii="Arial" w:hAnsi="Arial" w:cs="Arial"/>
          <w:b/>
          <w:bCs/>
          <w:shd w:val="clear" w:color="auto" w:fill="FFFFFF"/>
        </w:rPr>
        <w:t xml:space="preserve">Digital Maturity </w:t>
      </w:r>
    </w:p>
    <w:p w14:paraId="30841E29" w14:textId="0259E2C6" w:rsidR="000D4D4C" w:rsidRDefault="000D4D4C" w:rsidP="00FA55C8">
      <w:pPr>
        <w:jc w:val="both"/>
        <w:rPr>
          <w:rFonts w:asciiTheme="minorBidi" w:hAnsiTheme="minorBidi" w:cstheme="minorBidi"/>
          <w:shd w:val="clear" w:color="auto" w:fill="FFFFFF"/>
        </w:rPr>
      </w:pPr>
      <w:r w:rsidRPr="004125FF">
        <w:rPr>
          <w:rFonts w:asciiTheme="minorBidi" w:hAnsiTheme="minorBidi" w:cstheme="minorBidi"/>
          <w:shd w:val="clear" w:color="auto" w:fill="FFFFFF"/>
        </w:rPr>
        <w:t>Digital maturity does not possess a fixed definition; however, it is characterised by the transformation of an organization's operations, skill engagement, and business frameworks through digital technology</w:t>
      </w:r>
      <w:r w:rsidR="00885488" w:rsidRPr="004125FF">
        <w:rPr>
          <w:rFonts w:asciiTheme="minorBidi" w:hAnsiTheme="minorBidi" w:cstheme="minorBidi"/>
          <w:shd w:val="clear" w:color="auto" w:fill="FFFFFF"/>
        </w:rPr>
        <w:t xml:space="preserve"> </w:t>
      </w:r>
      <w:r w:rsidR="00885488" w:rsidRPr="004125FF">
        <w:rPr>
          <w:rFonts w:asciiTheme="minorBidi" w:hAnsiTheme="minorBidi" w:cstheme="minorBidi"/>
          <w:shd w:val="clear" w:color="auto" w:fill="FFFFFF"/>
        </w:rPr>
        <w:fldChar w:fldCharType="begin" w:fldLock="1"/>
      </w:r>
      <w:r w:rsidR="004D74B5">
        <w:rPr>
          <w:rFonts w:asciiTheme="minorBidi" w:hAnsiTheme="minorBidi" w:cstheme="minorBidi"/>
          <w:shd w:val="clear" w:color="auto" w:fill="FFFFFF"/>
        </w:rPr>
        <w:instrText>ADDIN CSL_CITATION {"citationItems":[{"id":"ITEM-1","itemData":{"DOI":"10.5539/ijbm.v19n6p71","author":[{"dropping-particle":"","family":"Schilirò","given":"Daniele","non-dropping-particle":"","parse-names":false,"suffix":""}],"id":"ITEM-1","issue":"6","issued":{"date-parts":[["2024"]]},"page":"71-81","title":"Digital Transformation and its Impact on Organizations","type":"article-journal","volume":"19"},"uris":["http://www.mendeley.com/documents/?uuid=0558c291-07b7-4ea1-b8f8-52c475f9f80f"]}],"mendeley":{"formattedCitation":"(Schilirò, 2024)","plainTextFormattedCitation":"(Schilirò, 2024)","previouslyFormattedCitation":"(Schilirò, 2024)"},"properties":{"noteIndex":0},"schema":"https://github.com/citation-style-language/schema/raw/master/csl-citation.json"}</w:instrText>
      </w:r>
      <w:r w:rsidR="00885488" w:rsidRPr="004125FF">
        <w:rPr>
          <w:rFonts w:asciiTheme="minorBidi" w:hAnsiTheme="minorBidi" w:cstheme="minorBidi"/>
          <w:shd w:val="clear" w:color="auto" w:fill="FFFFFF"/>
        </w:rPr>
        <w:fldChar w:fldCharType="separate"/>
      </w:r>
      <w:r w:rsidR="00FA55C8" w:rsidRPr="00FA55C8">
        <w:rPr>
          <w:rFonts w:asciiTheme="minorBidi" w:hAnsiTheme="minorBidi" w:cstheme="minorBidi"/>
          <w:noProof/>
          <w:shd w:val="clear" w:color="auto" w:fill="FFFFFF"/>
        </w:rPr>
        <w:t>(Schilirò, 2024)</w:t>
      </w:r>
      <w:r w:rsidR="00885488" w:rsidRPr="004125FF">
        <w:rPr>
          <w:rFonts w:asciiTheme="minorBidi" w:hAnsiTheme="minorBidi" w:cstheme="minorBidi"/>
          <w:shd w:val="clear" w:color="auto" w:fill="FFFFFF"/>
        </w:rPr>
        <w:fldChar w:fldCharType="end"/>
      </w:r>
      <w:r w:rsidRPr="004125FF">
        <w:rPr>
          <w:rFonts w:asciiTheme="minorBidi" w:hAnsiTheme="minorBidi" w:cstheme="minorBidi"/>
          <w:shd w:val="clear" w:color="auto" w:fill="FFFFFF"/>
        </w:rPr>
        <w:t>. The maturity model provides comprehensive insights into the company's current state and the necessary trajectory for implementing relevant initiatives. Maturity is employed as an assessment factor and articulated in detail. It is also beneficial in advancing the foundational level to a more sophisticated final step</w:t>
      </w:r>
      <w:r w:rsidR="00885488" w:rsidRPr="004125FF">
        <w:rPr>
          <w:rFonts w:asciiTheme="minorBidi" w:hAnsiTheme="minorBidi" w:cstheme="minorBidi"/>
          <w:shd w:val="clear" w:color="auto" w:fill="FFFFFF"/>
        </w:rPr>
        <w:t xml:space="preserve"> </w:t>
      </w:r>
      <w:r w:rsidR="00885488" w:rsidRPr="004125FF">
        <w:rPr>
          <w:rFonts w:asciiTheme="minorBidi" w:hAnsiTheme="minorBidi" w:cstheme="minorBidi"/>
          <w:shd w:val="clear" w:color="auto" w:fill="FFFFFF"/>
        </w:rPr>
        <w:fldChar w:fldCharType="begin" w:fldLock="1"/>
      </w:r>
      <w:r w:rsidR="004D74B5">
        <w:rPr>
          <w:rFonts w:asciiTheme="minorBidi" w:hAnsiTheme="minorBidi" w:cstheme="minorBidi"/>
          <w:shd w:val="clear" w:color="auto" w:fill="FFFFFF"/>
        </w:rPr>
        <w:instrText>ADDIN CSL_CITATION {"citationItems":[{"id":"ITEM-1","itemData":{"author":[{"dropping-particle":"","family":"Haryanti","given":"Tining","non-dropping-particle":"","parse-names":false,"suffix":""},{"dropping-particle":"","family":"Rakhmawati","given":"Nur Aini","non-dropping-particle":"","parse-names":false,"suffix":""},{"dropping-particle":"","family":"Subriadi","given":"Apol Pribadi","non-dropping-particle":"","parse-names":false,"suffix":""}],"id":"ITEM-1","issued":{"date-parts":[["2023"]]},"page":"1-24","title":"The Extended Digital Maturity Model","type":"article-journal"},"uris":["http://www.mendeley.com/documents/?uuid=ac976c3c-864f-46e8-94d3-4b9bd30a2b07"]}],"mendeley":{"formattedCitation":"(Haryanti et al., 2023)","plainTextFormattedCitation":"(Haryanti et al., 2023)","previouslyFormattedCitation":"(Haryanti et al., 2023)"},"properties":{"noteIndex":0},"schema":"https://github.com/citation-style-language/schema/raw/master/csl-citation.json"}</w:instrText>
      </w:r>
      <w:r w:rsidR="00885488" w:rsidRPr="004125FF">
        <w:rPr>
          <w:rFonts w:asciiTheme="minorBidi" w:hAnsiTheme="minorBidi" w:cstheme="minorBidi"/>
          <w:shd w:val="clear" w:color="auto" w:fill="FFFFFF"/>
        </w:rPr>
        <w:fldChar w:fldCharType="separate"/>
      </w:r>
      <w:r w:rsidR="00FA55C8" w:rsidRPr="00FA55C8">
        <w:rPr>
          <w:rFonts w:asciiTheme="minorBidi" w:hAnsiTheme="minorBidi" w:cstheme="minorBidi"/>
          <w:noProof/>
          <w:shd w:val="clear" w:color="auto" w:fill="FFFFFF"/>
        </w:rPr>
        <w:t>(Haryanti et al., 2023)</w:t>
      </w:r>
      <w:r w:rsidR="00885488" w:rsidRPr="004125FF">
        <w:rPr>
          <w:rFonts w:asciiTheme="minorBidi" w:hAnsiTheme="minorBidi" w:cstheme="minorBidi"/>
          <w:shd w:val="clear" w:color="auto" w:fill="FFFFFF"/>
        </w:rPr>
        <w:fldChar w:fldCharType="end"/>
      </w:r>
      <w:r w:rsidRPr="004125FF">
        <w:rPr>
          <w:rFonts w:asciiTheme="minorBidi" w:hAnsiTheme="minorBidi" w:cstheme="minorBidi"/>
          <w:shd w:val="clear" w:color="auto" w:fill="FFFFFF"/>
        </w:rPr>
        <w:t>.</w:t>
      </w:r>
      <w:r w:rsidRPr="004125FF">
        <w:rPr>
          <w:rFonts w:asciiTheme="minorBidi" w:hAnsiTheme="minorBidi" w:cstheme="minorBidi"/>
        </w:rPr>
        <w:t xml:space="preserve"> </w:t>
      </w:r>
      <w:r w:rsidRPr="004125FF">
        <w:rPr>
          <w:rFonts w:asciiTheme="minorBidi" w:hAnsiTheme="minorBidi" w:cstheme="minorBidi"/>
          <w:shd w:val="clear" w:color="auto" w:fill="FFFFFF"/>
        </w:rPr>
        <w:t>Digital maturity assessment is a process that evaluates an organization's level of digital maturity by examining its capabilities, readiness, and progress in implementing digital technologies to transform business operations and maintain competitiveness in the digital age</w:t>
      </w:r>
      <w:r w:rsidR="00EE3EC4" w:rsidRPr="004125FF">
        <w:rPr>
          <w:rFonts w:asciiTheme="minorBidi" w:hAnsiTheme="minorBidi" w:cstheme="minorBidi"/>
          <w:shd w:val="clear" w:color="auto" w:fill="FFFFFF"/>
        </w:rPr>
        <w:t xml:space="preserve"> </w:t>
      </w:r>
      <w:r w:rsidR="00EE3EC4" w:rsidRPr="004125FF">
        <w:rPr>
          <w:rFonts w:asciiTheme="minorBidi" w:hAnsiTheme="minorBidi" w:cstheme="minorBidi"/>
          <w:shd w:val="clear" w:color="auto" w:fill="FFFFFF"/>
        </w:rPr>
        <w:fldChar w:fldCharType="begin" w:fldLock="1"/>
      </w:r>
      <w:r w:rsidR="004D74B5">
        <w:rPr>
          <w:rFonts w:asciiTheme="minorBidi" w:hAnsiTheme="minorBidi" w:cstheme="minorBidi"/>
          <w:shd w:val="clear" w:color="auto" w:fill="FFFFFF"/>
        </w:rPr>
        <w:instrText>ADDIN CSL_CITATION {"citationItems":[{"id":"ITEM-1","itemData":{"author":[{"dropping-particle":"","family":"Aras","given":"Arzu","non-dropping-particle":"","parse-names":false,"suffix":""},{"dropping-particle":"","family":"Büyüközkan","given":"Gülçin","non-dropping-particle":"","parse-names":false,"suffix":""}],"id":"ITEM-1","issued":{"date-parts":[["2023"]]},"page":"1-31","title":"Digital Transformation Journey Guidance : A Holistic Digital","type":"article-journal"},"uris":["http://www.mendeley.com/documents/?uuid=aa5923af-b3ae-4e4d-955c-9077f9b2f442"]}],"mendeley":{"formattedCitation":"(Aras &amp; Büyüközkan, 2023)","plainTextFormattedCitation":"(Aras &amp; Büyüközkan, 2023)","previouslyFormattedCitation":"(Aras &amp; Büyüközkan, 2023)"},"properties":{"noteIndex":0},"schema":"https://github.com/citation-style-language/schema/raw/master/csl-citation.json"}</w:instrText>
      </w:r>
      <w:r w:rsidR="00EE3EC4" w:rsidRPr="004125FF">
        <w:rPr>
          <w:rFonts w:asciiTheme="minorBidi" w:hAnsiTheme="minorBidi" w:cstheme="minorBidi"/>
          <w:shd w:val="clear" w:color="auto" w:fill="FFFFFF"/>
        </w:rPr>
        <w:fldChar w:fldCharType="separate"/>
      </w:r>
      <w:r w:rsidR="00FA55C8" w:rsidRPr="00FA55C8">
        <w:rPr>
          <w:rFonts w:asciiTheme="minorBidi" w:hAnsiTheme="minorBidi" w:cstheme="minorBidi"/>
          <w:noProof/>
          <w:shd w:val="clear" w:color="auto" w:fill="FFFFFF"/>
        </w:rPr>
        <w:t>(Aras &amp; Büyüközkan, 2023)</w:t>
      </w:r>
      <w:r w:rsidR="00EE3EC4" w:rsidRPr="004125FF">
        <w:rPr>
          <w:rFonts w:asciiTheme="minorBidi" w:hAnsiTheme="minorBidi" w:cstheme="minorBidi"/>
          <w:shd w:val="clear" w:color="auto" w:fill="FFFFFF"/>
        </w:rPr>
        <w:fldChar w:fldCharType="end"/>
      </w:r>
      <w:r w:rsidRPr="004125FF">
        <w:rPr>
          <w:rFonts w:asciiTheme="minorBidi" w:hAnsiTheme="minorBidi" w:cstheme="minorBidi"/>
          <w:shd w:val="clear" w:color="auto" w:fill="FFFFFF"/>
        </w:rPr>
        <w:t>.</w:t>
      </w:r>
      <w:r w:rsidRPr="004125FF">
        <w:rPr>
          <w:rFonts w:asciiTheme="minorBidi" w:hAnsiTheme="minorBidi" w:cstheme="minorBidi"/>
        </w:rPr>
        <w:t xml:space="preserve"> </w:t>
      </w:r>
      <w:r w:rsidRPr="004125FF">
        <w:rPr>
          <w:rFonts w:asciiTheme="minorBidi" w:hAnsiTheme="minorBidi" w:cstheme="minorBidi"/>
          <w:shd w:val="clear" w:color="auto" w:fill="FFFFFF"/>
        </w:rPr>
        <w:t>The maturity model framework becomes essential for assessing organisations</w:t>
      </w:r>
      <w:r w:rsidR="00EE3EC4" w:rsidRPr="004125FF">
        <w:rPr>
          <w:rFonts w:asciiTheme="minorBidi" w:hAnsiTheme="minorBidi" w:cstheme="minorBidi"/>
          <w:shd w:val="clear" w:color="auto" w:fill="FFFFFF"/>
        </w:rPr>
        <w:t xml:space="preserve"> </w:t>
      </w:r>
      <w:r w:rsidR="00EE3EC4" w:rsidRPr="004125FF">
        <w:rPr>
          <w:rFonts w:asciiTheme="minorBidi" w:hAnsiTheme="minorBidi" w:cstheme="minorBidi"/>
          <w:shd w:val="clear" w:color="auto" w:fill="FFFFFF"/>
        </w:rPr>
        <w:fldChar w:fldCharType="begin" w:fldLock="1"/>
      </w:r>
      <w:r w:rsidR="004D74B5">
        <w:rPr>
          <w:rFonts w:asciiTheme="minorBidi" w:hAnsiTheme="minorBidi" w:cstheme="minorBidi"/>
          <w:shd w:val="clear" w:color="auto" w:fill="FFFFFF"/>
        </w:rPr>
        <w:instrText>ADDIN CSL_CITATION {"citationItems":[{"id":"ITEM-1","itemData":{"DOI":"10.1016/j.sbspro.2014.03.094","ISBN":"0000000000","ISSN":"1877-0428","author":[{"dropping-particle":"","family":"Backlund","given":"F","non-dropping-particle":"","parse-names":false,"suffix":""},{"dropping-particle":"","family":"Chronéer","given":"D","non-dropping-particle":"","parse-names":false,"suffix":""},{"dropping-particle":"","family":"Sundqvist","given":"E","non-dropping-particle":"","parse-names":false,"suffix":""}],"container-title":"Procedia - Social and Behavioral Sciences","id":"ITEM-1","issued":{"date-parts":[["2014"]]},"page":"837-846","publisher":"Elsevier B.V.","title":"Project Management Maturity Models – A Critical Review A case study within Swedish engineering and construction organizations","type":"article-journal","volume":"119"},"uris":["http://www.mendeley.com/documents/?uuid=481d675d-88c4-461b-85d0-23e4d6db5cd3"]}],"mendeley":{"formattedCitation":"(Backlund et al., 2014)","plainTextFormattedCitation":"(Backlund et al., 2014)","previouslyFormattedCitation":"(Backlund et al., 2014)"},"properties":{"noteIndex":0},"schema":"https://github.com/citation-style-language/schema/raw/master/csl-citation.json"}</w:instrText>
      </w:r>
      <w:r w:rsidR="00EE3EC4" w:rsidRPr="004125FF">
        <w:rPr>
          <w:rFonts w:asciiTheme="minorBidi" w:hAnsiTheme="minorBidi" w:cstheme="minorBidi"/>
          <w:shd w:val="clear" w:color="auto" w:fill="FFFFFF"/>
        </w:rPr>
        <w:fldChar w:fldCharType="separate"/>
      </w:r>
      <w:r w:rsidR="00FA55C8" w:rsidRPr="00FA55C8">
        <w:rPr>
          <w:rFonts w:asciiTheme="minorBidi" w:hAnsiTheme="minorBidi" w:cstheme="minorBidi"/>
          <w:noProof/>
          <w:shd w:val="clear" w:color="auto" w:fill="FFFFFF"/>
        </w:rPr>
        <w:t>(Backlund et al., 2014)</w:t>
      </w:r>
      <w:r w:rsidR="00EE3EC4" w:rsidRPr="004125FF">
        <w:rPr>
          <w:rFonts w:asciiTheme="minorBidi" w:hAnsiTheme="minorBidi" w:cstheme="minorBidi"/>
          <w:shd w:val="clear" w:color="auto" w:fill="FFFFFF"/>
        </w:rPr>
        <w:fldChar w:fldCharType="end"/>
      </w:r>
      <w:r w:rsidR="00E2548E">
        <w:rPr>
          <w:rFonts w:asciiTheme="minorBidi" w:hAnsiTheme="minorBidi" w:cstheme="minorBidi"/>
          <w:shd w:val="clear" w:color="auto" w:fill="FFFFFF"/>
        </w:rPr>
        <w:t xml:space="preserve">. </w:t>
      </w:r>
      <w:r w:rsidRPr="004125FF">
        <w:rPr>
          <w:rFonts w:asciiTheme="minorBidi" w:hAnsiTheme="minorBidi" w:cstheme="minorBidi"/>
          <w:shd w:val="clear" w:color="auto" w:fill="FFFFFF"/>
        </w:rPr>
        <w:t>A distinction exists between readiness</w:t>
      </w:r>
      <w:r w:rsidR="00EE3EC4" w:rsidRPr="004125FF">
        <w:rPr>
          <w:rFonts w:asciiTheme="minorBidi" w:hAnsiTheme="minorBidi" w:cstheme="minorBidi"/>
          <w:shd w:val="clear" w:color="auto" w:fill="FFFFFF"/>
        </w:rPr>
        <w:t xml:space="preserve"> and maturity in assessment.</w:t>
      </w:r>
      <w:r w:rsidRPr="004125FF">
        <w:rPr>
          <w:rFonts w:asciiTheme="minorBidi" w:hAnsiTheme="minorBidi" w:cstheme="minorBidi"/>
          <w:shd w:val="clear" w:color="auto" w:fill="FFFFFF"/>
        </w:rPr>
        <w:t xml:space="preserve"> Readiness precedes the maturation phase and indicates if the organisation is prepared to initiate development</w:t>
      </w:r>
      <w:r w:rsidR="00EE3EC4" w:rsidRPr="004125FF">
        <w:rPr>
          <w:rFonts w:asciiTheme="minorBidi" w:hAnsiTheme="minorBidi" w:cstheme="minorBidi"/>
          <w:shd w:val="clear" w:color="auto" w:fill="FFFFFF"/>
        </w:rPr>
        <w:t xml:space="preserve"> </w:t>
      </w:r>
      <w:r w:rsidR="00EE3EC4" w:rsidRPr="004125FF">
        <w:rPr>
          <w:rFonts w:asciiTheme="minorBidi" w:hAnsiTheme="minorBidi" w:cstheme="minorBidi"/>
          <w:shd w:val="clear" w:color="auto" w:fill="FFFFFF"/>
        </w:rPr>
        <w:fldChar w:fldCharType="begin" w:fldLock="1"/>
      </w:r>
      <w:r w:rsidR="004D74B5">
        <w:rPr>
          <w:rFonts w:asciiTheme="minorBidi" w:hAnsiTheme="minorBidi" w:cstheme="minorBidi"/>
          <w:shd w:val="clear" w:color="auto" w:fill="FFFFFF"/>
        </w:rPr>
        <w:instrText>ADDIN CSL_CITATION {"citationItems":[{"id":"ITEM-1","itemData":{"ISBN":"9783319578699","author":[{"dropping-particle":"","family":"Ustundag","given":"Alp","non-dropping-particle":"","parse-names":false,"suffix":""}],"id":"ITEM-1","issued":{"date-parts":[["0"]]},"title":"Managing The Digital Transformation","type":"book"},"uris":["http://www.mendeley.com/documents/?uuid=ddecb862-e1a0-4c02-9ada-36e074139dc6"]}],"mendeley":{"formattedCitation":"(Ustundag, n.d.)","plainTextFormattedCitation":"(Ustundag, n.d.)","previouslyFormattedCitation":"(Ustundag, n.d.)"},"properties":{"noteIndex":0},"schema":"https://github.com/citation-style-language/schema/raw/master/csl-citation.json"}</w:instrText>
      </w:r>
      <w:r w:rsidR="00EE3EC4" w:rsidRPr="004125FF">
        <w:rPr>
          <w:rFonts w:asciiTheme="minorBidi" w:hAnsiTheme="minorBidi" w:cstheme="minorBidi"/>
          <w:shd w:val="clear" w:color="auto" w:fill="FFFFFF"/>
        </w:rPr>
        <w:fldChar w:fldCharType="separate"/>
      </w:r>
      <w:r w:rsidR="00FA55C8" w:rsidRPr="00FA55C8">
        <w:rPr>
          <w:rFonts w:asciiTheme="minorBidi" w:hAnsiTheme="minorBidi" w:cstheme="minorBidi"/>
          <w:noProof/>
          <w:shd w:val="clear" w:color="auto" w:fill="FFFFFF"/>
        </w:rPr>
        <w:t>(Ustundag, n.d.)</w:t>
      </w:r>
      <w:r w:rsidR="00EE3EC4" w:rsidRPr="004125FF">
        <w:rPr>
          <w:rFonts w:asciiTheme="minorBidi" w:hAnsiTheme="minorBidi" w:cstheme="minorBidi"/>
          <w:shd w:val="clear" w:color="auto" w:fill="FFFFFF"/>
        </w:rPr>
        <w:fldChar w:fldCharType="end"/>
      </w:r>
      <w:r w:rsidRPr="004125FF">
        <w:rPr>
          <w:rFonts w:asciiTheme="minorBidi" w:hAnsiTheme="minorBidi" w:cstheme="minorBidi"/>
          <w:shd w:val="clear" w:color="auto" w:fill="FFFFFF"/>
        </w:rPr>
        <w:t>. The maturity assessment seeks to document the current situation to illustrate the organization's level of maturity. Organisations require insights derived from maturity models to evaluate their current status against industry best practices. Consequently, the maturity model assists organisations in determining when and why they must act to progress and evaluate the requisite steps to attain a higher level of maturity. Digital maturity extends beyond basic technological interpretation, encompassing the company's operational execution and information management through IT, as well as its achievements in digital transformation initiatives</w:t>
      </w:r>
      <w:r w:rsidR="001C7FEF">
        <w:rPr>
          <w:rFonts w:asciiTheme="minorBidi" w:hAnsiTheme="minorBidi" w:cstheme="minorBidi"/>
          <w:shd w:val="clear" w:color="auto" w:fill="FFFFFF"/>
        </w:rPr>
        <w:t xml:space="preserve"> </w:t>
      </w:r>
      <w:r w:rsidR="001C7FEF">
        <w:rPr>
          <w:rFonts w:asciiTheme="minorBidi" w:hAnsiTheme="minorBidi" w:cstheme="minorBidi"/>
          <w:shd w:val="clear" w:color="auto" w:fill="FFFFFF"/>
        </w:rPr>
        <w:fldChar w:fldCharType="begin" w:fldLock="1"/>
      </w:r>
      <w:r w:rsidR="004D74B5">
        <w:rPr>
          <w:rFonts w:asciiTheme="minorBidi" w:hAnsiTheme="minorBidi" w:cstheme="minorBidi"/>
          <w:shd w:val="clear" w:color="auto" w:fill="FFFFFF"/>
        </w:rPr>
        <w:instrText>ADDIN CSL_CITATION {"citationItems":[{"id":"ITEM-1","itemData":{"DOI":"10.1016/j.promfg.2020.10.154","ISSN":"2351-9789","author":[{"dropping-particle":"","family":"Felipe","given":"Luiz","non-dropping-particle":"","parse-names":false,"suffix":""},{"dropping-particle":"","family":"Ramos","given":"Pierin","non-dropping-particle":"","parse-names":false,"suffix":""},{"dropping-particle":"De","family":"Freitas","given":"Eduardo","non-dropping-particle":"","parse-names":false,"suffix":""},{"dropping-particle":"","family":"Loures","given":"Rocha","non-dropping-particle":"","parse-names":false,"suffix":""},{"dropping-particle":"","family":"Deschamps","given":"Fernando","non-dropping-particle":"","parse-names":false,"suffix":""},{"dropping-particle":"","family":"Felipe","given":"Luiz","non-dropping-particle":"","parse-names":false,"suffix":""},{"dropping-particle":"","family":"Deschamps","given":"Fernando","non-dropping-particle":"","parse-names":false,"suffix":""}],"container-title":"Procedia Manufacturing","id":"ITEM-1","issued":{"date-parts":[["2020"]]},"page":"1098-1105","publisher":"Elsevier B.V.","title":"ScienceDirect ScienceDirect ScienceDirect An Analysis of Maturity Models and Current State Assessment of An Analysis of Maturity Models and Current State Assessment of Organizations for Industry 4 . 0 Implementation Organizations for Industry 4 . 0 Implementation","type":"article-journal","volume":"51"},"uris":["http://www.mendeley.com/documents/?uuid=cbaf9404-fcee-4367-b008-d031cf9f27fd"]}],"mendeley":{"formattedCitation":"(Felipe et al., 2020)","plainTextFormattedCitation":"(Felipe et al., 2020)","previouslyFormattedCitation":"(Felipe et al., 2020)"},"properties":{"noteIndex":0},"schema":"https://github.com/citation-style-language/schema/raw/master/csl-citation.json"}</w:instrText>
      </w:r>
      <w:r w:rsidR="001C7FEF">
        <w:rPr>
          <w:rFonts w:asciiTheme="minorBidi" w:hAnsiTheme="minorBidi" w:cstheme="minorBidi"/>
          <w:shd w:val="clear" w:color="auto" w:fill="FFFFFF"/>
        </w:rPr>
        <w:fldChar w:fldCharType="separate"/>
      </w:r>
      <w:r w:rsidR="00FA55C8" w:rsidRPr="00FA55C8">
        <w:rPr>
          <w:rFonts w:asciiTheme="minorBidi" w:hAnsiTheme="minorBidi" w:cstheme="minorBidi"/>
          <w:noProof/>
          <w:shd w:val="clear" w:color="auto" w:fill="FFFFFF"/>
        </w:rPr>
        <w:t>(Felipe et al., 2020)</w:t>
      </w:r>
      <w:r w:rsidR="001C7FEF">
        <w:rPr>
          <w:rFonts w:asciiTheme="minorBidi" w:hAnsiTheme="minorBidi" w:cstheme="minorBidi"/>
          <w:shd w:val="clear" w:color="auto" w:fill="FFFFFF"/>
        </w:rPr>
        <w:fldChar w:fldCharType="end"/>
      </w:r>
      <w:r w:rsidRPr="004125FF">
        <w:rPr>
          <w:rFonts w:asciiTheme="minorBidi" w:hAnsiTheme="minorBidi" w:cstheme="minorBidi"/>
          <w:shd w:val="clear" w:color="auto" w:fill="FFFFFF"/>
        </w:rPr>
        <w:t xml:space="preserve">. This process encompasses improvements in items, services, procedures, competencies, culture, and capabilities related to mastering the change process. Consequently, digital maturity can be regarded as a comprehensive term. Digital maturity is a dynamic concept, as it is </w:t>
      </w:r>
      <w:r w:rsidRPr="004125FF">
        <w:rPr>
          <w:rFonts w:asciiTheme="minorBidi" w:hAnsiTheme="minorBidi" w:cstheme="minorBidi"/>
          <w:shd w:val="clear" w:color="auto" w:fill="FFFFFF"/>
        </w:rPr>
        <w:lastRenderedPageBreak/>
        <w:t>continually evolving in response to the ever-changing digital ecosystem. Consequently, an organisation must evaluate its maturity progressively</w:t>
      </w:r>
      <w:r w:rsidR="009F58E1">
        <w:rPr>
          <w:rFonts w:asciiTheme="minorBidi" w:hAnsiTheme="minorBidi" w:cstheme="minorBidi"/>
          <w:shd w:val="clear" w:color="auto" w:fill="FFFFFF"/>
        </w:rPr>
        <w:t xml:space="preserve"> </w:t>
      </w:r>
      <w:r w:rsidR="009F58E1">
        <w:rPr>
          <w:rFonts w:asciiTheme="minorBidi" w:hAnsiTheme="minorBidi" w:cstheme="minorBidi"/>
          <w:shd w:val="clear" w:color="auto" w:fill="FFFFFF"/>
        </w:rPr>
        <w:fldChar w:fldCharType="begin" w:fldLock="1"/>
      </w:r>
      <w:r w:rsidR="004D74B5">
        <w:rPr>
          <w:rFonts w:asciiTheme="minorBidi" w:hAnsiTheme="minorBidi" w:cstheme="minorBidi"/>
          <w:shd w:val="clear" w:color="auto" w:fill="FFFFFF"/>
        </w:rPr>
        <w:instrText>ADDIN CSL_CITATION {"citationItems":[{"id":"ITEM-1","itemData":{"author":[{"dropping-particle":"","family":"Teichert","given":"Roman","non-dropping-particle":"","parse-names":false,"suffix":""}],"id":"ITEM-1","issue":"6","issued":{"date-parts":[["2019"]]},"page":"1673-1687","title":"DIGITAL TRANSFORMATION MATURITY : A SYSTEMATIC REVIEW OF LITERATURE","type":"article-journal","volume":"67"},"uris":["http://www.mendeley.com/documents/?uuid=8d9b2813-6a94-4181-a5e0-c09930d66c2c"]}],"mendeley":{"formattedCitation":"(Teichert, 2019)","plainTextFormattedCitation":"(Teichert, 2019)","previouslyFormattedCitation":"(Teichert, 2019)"},"properties":{"noteIndex":0},"schema":"https://github.com/citation-style-language/schema/raw/master/csl-citation.json"}</w:instrText>
      </w:r>
      <w:r w:rsidR="009F58E1">
        <w:rPr>
          <w:rFonts w:asciiTheme="minorBidi" w:hAnsiTheme="minorBidi" w:cstheme="minorBidi"/>
          <w:shd w:val="clear" w:color="auto" w:fill="FFFFFF"/>
        </w:rPr>
        <w:fldChar w:fldCharType="separate"/>
      </w:r>
      <w:r w:rsidR="00FA55C8" w:rsidRPr="00FA55C8">
        <w:rPr>
          <w:rFonts w:asciiTheme="minorBidi" w:hAnsiTheme="minorBidi" w:cstheme="minorBidi"/>
          <w:noProof/>
          <w:shd w:val="clear" w:color="auto" w:fill="FFFFFF"/>
        </w:rPr>
        <w:t>(Teichert, 2019)</w:t>
      </w:r>
      <w:r w:rsidR="009F58E1">
        <w:rPr>
          <w:rFonts w:asciiTheme="minorBidi" w:hAnsiTheme="minorBidi" w:cstheme="minorBidi"/>
          <w:shd w:val="clear" w:color="auto" w:fill="FFFFFF"/>
        </w:rPr>
        <w:fldChar w:fldCharType="end"/>
      </w:r>
      <w:r w:rsidRPr="004125FF">
        <w:rPr>
          <w:rFonts w:asciiTheme="minorBidi" w:hAnsiTheme="minorBidi" w:cstheme="minorBidi"/>
          <w:shd w:val="clear" w:color="auto" w:fill="FFFFFF"/>
        </w:rPr>
        <w:t xml:space="preserve">. </w:t>
      </w:r>
    </w:p>
    <w:p w14:paraId="106C75D1" w14:textId="77777777" w:rsidR="00317F82" w:rsidRPr="004125FF" w:rsidRDefault="00317F82" w:rsidP="00885488">
      <w:pPr>
        <w:jc w:val="both"/>
        <w:rPr>
          <w:rFonts w:asciiTheme="minorBidi" w:hAnsiTheme="minorBidi" w:cstheme="minorBidi"/>
          <w:shd w:val="clear" w:color="auto" w:fill="FFFFFF"/>
        </w:rPr>
      </w:pPr>
    </w:p>
    <w:p w14:paraId="5F71E7FB" w14:textId="77777777" w:rsidR="0000536A" w:rsidRPr="004125FF" w:rsidRDefault="0000536A" w:rsidP="006C784D">
      <w:pPr>
        <w:jc w:val="both"/>
        <w:rPr>
          <w:rFonts w:asciiTheme="minorBidi" w:hAnsiTheme="minorBidi" w:cstheme="minorBidi"/>
          <w:b/>
          <w:bCs/>
          <w:sz w:val="24"/>
          <w:szCs w:val="24"/>
          <w:shd w:val="clear" w:color="auto" w:fill="FFFFFF"/>
        </w:rPr>
      </w:pPr>
    </w:p>
    <w:p w14:paraId="1E7C0E64" w14:textId="54921122" w:rsidR="00317F82" w:rsidRDefault="000D4D4C" w:rsidP="00317F82">
      <w:pPr>
        <w:pStyle w:val="Heading4"/>
        <w:numPr>
          <w:ilvl w:val="1"/>
          <w:numId w:val="45"/>
        </w:numPr>
        <w:rPr>
          <w:rFonts w:asciiTheme="minorBidi" w:hAnsiTheme="minorBidi" w:cstheme="minorBidi"/>
          <w:b/>
          <w:bCs/>
          <w:i w:val="0"/>
          <w:iCs w:val="0"/>
          <w:sz w:val="22"/>
          <w:szCs w:val="22"/>
        </w:rPr>
      </w:pPr>
      <w:r w:rsidRPr="00317F82">
        <w:rPr>
          <w:rFonts w:asciiTheme="minorBidi" w:hAnsiTheme="minorBidi" w:cstheme="minorBidi"/>
          <w:b/>
          <w:bCs/>
          <w:i w:val="0"/>
          <w:iCs w:val="0"/>
          <w:sz w:val="22"/>
          <w:szCs w:val="22"/>
        </w:rPr>
        <w:t>Digital Transformation Maturity Model</w:t>
      </w:r>
    </w:p>
    <w:p w14:paraId="02A81980" w14:textId="77777777" w:rsidR="00317F82" w:rsidRPr="00317F82" w:rsidRDefault="00317F82" w:rsidP="00317F82"/>
    <w:p w14:paraId="466594D0" w14:textId="1880A447" w:rsidR="000D4D4C" w:rsidRPr="004125FF" w:rsidRDefault="000D4D4C" w:rsidP="00FA55C8">
      <w:pPr>
        <w:pStyle w:val="Heading4"/>
        <w:numPr>
          <w:ilvl w:val="0"/>
          <w:numId w:val="0"/>
        </w:numPr>
        <w:rPr>
          <w:rFonts w:asciiTheme="minorBidi" w:hAnsiTheme="minorBidi" w:cstheme="minorBidi"/>
          <w:i w:val="0"/>
          <w:iCs w:val="0"/>
        </w:rPr>
      </w:pPr>
      <w:r w:rsidRPr="004125FF">
        <w:rPr>
          <w:rFonts w:asciiTheme="minorBidi" w:hAnsiTheme="minorBidi" w:cstheme="minorBidi"/>
          <w:i w:val="0"/>
          <w:iCs w:val="0"/>
        </w:rPr>
        <w:t xml:space="preserve">Organisations across all sectors face the challenge of leveraging technology-driven opportunities while mitigating technology-related risks in the realm of digital maturity. Consequently, </w:t>
      </w:r>
      <w:r w:rsidR="00B90543">
        <w:rPr>
          <w:rFonts w:asciiTheme="minorBidi" w:hAnsiTheme="minorBidi" w:cstheme="minorBidi"/>
          <w:i w:val="0"/>
          <w:iCs w:val="0"/>
        </w:rPr>
        <w:t>inquiries regarding an organization's overall position in relation to its digital transition, specifical</w:t>
      </w:r>
      <w:r w:rsidRPr="004125FF">
        <w:rPr>
          <w:rFonts w:asciiTheme="minorBidi" w:hAnsiTheme="minorBidi" w:cstheme="minorBidi"/>
          <w:i w:val="0"/>
          <w:iCs w:val="0"/>
        </w:rPr>
        <w:t>ly its digital maturity, become increasingly relevant</w:t>
      </w:r>
      <w:r w:rsidR="009F58E1">
        <w:rPr>
          <w:rFonts w:asciiTheme="minorBidi" w:hAnsiTheme="minorBidi" w:cstheme="minorBidi"/>
          <w:i w:val="0"/>
          <w:iCs w:val="0"/>
        </w:rPr>
        <w:t xml:space="preserve"> </w:t>
      </w:r>
      <w:r w:rsidR="009F58E1">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{"citationItems":[{"id":"ITEM-1","itemData":{"DOI":"10.62127/aijmr.2024.v02i05.1097","author":[{"dropping-particle":"","family":"Nikita","given":"Nabila Ahmed","non-dropping-particle":"","parse-names":false,"suffix":""},{"dropping-particle":"","family":"Azim","given":"Kazi Sanwarul","non-dropping-particle":"","parse-names":false,"suffix":""},{"dropping-particle":"","family":"Jafor","given":"A H M","non-dropping-particle":"","parse-names":false,"suffix":""},{"dropping-particle":"","family":"Shayed","given":"Azher Uddin","non-dropping-particle":"","parse-names":false,"suffix":""},{"dropping-particle":"","family":"Hossain","given":"Mir Abrar","non-dropping-particle":"","parse-names":false,"suffix":""},{"dropping-particle":"","family":"Khan","given":"Obyed Ullah","non-dropping-particle":"","parse-names":false,"suffix":""}],"id":"ITEM-1","issue":"5","issued":{"date-parts":[["2024"]]},"page":"1-21","title":"Digital Transformation in Non-Profit Organizations : Strategies , Challenges , and Successes","type":"article-journal","volume":"2"},"uris":["http://www.mendeley.com/documents/?uuid=5dc8fd69-c360-4e4a-a0c2-0e8b0b1d5a01"]}],"mendeley":{"formattedCitation":"(Nikita et al., 2024)","plainTextFormattedCitation":"(Nikita et al., 2024)","previouslyFormattedCitation":"(Nikita et al., 2024)"},"properties":{"noteIndex":0},"schema":"https://github.com/citation-style-language/schema/raw/master/csl-citation.json"}</w:instrText>
      </w:r>
      <w:r w:rsidR="009F58E1">
        <w:rPr>
          <w:rFonts w:asciiTheme="minorBidi" w:hAnsiTheme="minorBidi" w:cstheme="minorBidi"/>
          <w:i w:val="0"/>
          <w:iCs w:val="0"/>
        </w:rPr>
        <w:fldChar w:fldCharType="separate"/>
      </w:r>
      <w:r w:rsidR="00FA55C8" w:rsidRPr="00FA55C8">
        <w:rPr>
          <w:rFonts w:asciiTheme="minorBidi" w:hAnsiTheme="minorBidi" w:cstheme="minorBidi"/>
          <w:i w:val="0"/>
          <w:iCs w:val="0"/>
        </w:rPr>
        <w:t>(Nikita et al., 2024)</w:t>
      </w:r>
      <w:r w:rsidR="009F58E1">
        <w:rPr>
          <w:rFonts w:asciiTheme="minorBidi" w:hAnsiTheme="minorBidi" w:cstheme="minorBidi"/>
          <w:i w:val="0"/>
          <w:iCs w:val="0"/>
        </w:rPr>
        <w:fldChar w:fldCharType="end"/>
      </w:r>
      <w:r w:rsidRPr="004125FF">
        <w:rPr>
          <w:rFonts w:asciiTheme="minorBidi" w:hAnsiTheme="minorBidi" w:cstheme="minorBidi"/>
          <w:i w:val="0"/>
          <w:iCs w:val="0"/>
        </w:rPr>
        <w:t>. The term "digital maturity" refers to a company's current level of digital transformation implementation. These efforts could include changes achieved from an operational perspective, such as modifications to products or processes, as well as skills acquired in mastering the change process</w:t>
      </w:r>
      <w:r w:rsidR="009F58E1">
        <w:rPr>
          <w:rFonts w:asciiTheme="minorBidi" w:hAnsiTheme="minorBidi" w:cstheme="minorBidi"/>
          <w:i w:val="0"/>
          <w:iCs w:val="0"/>
        </w:rPr>
        <w:t xml:space="preserve"> </w:t>
      </w:r>
      <w:r w:rsidR="009F58E1">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DOI":"10.24857/rgsa.v18n11-256","ISBN":"0000000338660","author":[{"dropping-particle":"","family":"Andres","given":"Oscar","non-dropping-particle":"","parse-names":false,"suffix":""},{"dropping-particle":"","family":"Rodriguez","given":"Galindo","non-dropping-particle":"","parse-names":false,"suffix":""},{"dropping-particle":"","family":"Yolima","given":"Darlyn","non-dropping-particle":"","parse-names":false,"suffix":""},{"dropping-particle":"","family":"Balbin","given":"Castrillón","non-dropping-particle":"","parse-names":false,"suffix":""}],"id":"ITEM-1","issue":"November 2024","issued":{"date-parts":[["2025"]]},"title":"Digital Maturity Level , a Roadmap for Digital Transformation : Case Study DIGITAL MATURITY LEVEL , A ROADMAP FOR DIGITAL TRANSFORMATION : CASE STUDY","type":"article-journal"},"uris":["http://www.mendeley.com/documents/?uuid=0991af98-862e-41be-95a6-c43ff2f5a882"]}],"mendeley":{"formattedCitation":"(Andres et al., 2025)","plainTextFormattedCitation":"(Andres et al., 2025)","previouslyFormattedCitation":"(Andres et al., 2025)"},"properties":{"noteIndex":0},"schema":"https://github.com/citation-style-language/schema/raw/master/csl-citation.json"}</w:instrText>
      </w:r>
      <w:r w:rsidR="009F58E1">
        <w:rPr>
          <w:rFonts w:asciiTheme="minorBidi" w:hAnsiTheme="minorBidi" w:cstheme="minorBidi"/>
          <w:i w:val="0"/>
          <w:iCs w:val="0"/>
        </w:rPr>
        <w:fldChar w:fldCharType="separate"/>
      </w:r>
      <w:r w:rsidR="00FA55C8" w:rsidRPr="00FA55C8">
        <w:rPr>
          <w:rFonts w:asciiTheme="minorBidi" w:hAnsiTheme="minorBidi" w:cstheme="minorBidi"/>
          <w:i w:val="0"/>
          <w:iCs w:val="0"/>
        </w:rPr>
        <w:t>(Andres et al., 2025)</w:t>
      </w:r>
      <w:r w:rsidR="009F58E1">
        <w:rPr>
          <w:rFonts w:asciiTheme="minorBidi" w:hAnsiTheme="minorBidi" w:cstheme="minorBidi"/>
          <w:i w:val="0"/>
          <w:iCs w:val="0"/>
        </w:rPr>
        <w:fldChar w:fldCharType="end"/>
      </w:r>
      <w:r w:rsidRPr="004125FF">
        <w:rPr>
          <w:rFonts w:asciiTheme="minorBidi" w:hAnsiTheme="minorBidi" w:cstheme="minorBidi"/>
          <w:i w:val="0"/>
          <w:iCs w:val="0"/>
        </w:rPr>
        <w:t>. The maturity model offers direction for organisations in their transformation efforts and delineates the process for executing those transformations. Digital maturity models often have dimensions and criteria that delineate actions or measures signifying progression towards maturity</w:t>
      </w:r>
      <w:r w:rsidR="009F58E1">
        <w:rPr>
          <w:rFonts w:asciiTheme="minorBidi" w:hAnsiTheme="minorBidi" w:cstheme="minorBidi"/>
          <w:i w:val="0"/>
          <w:iCs w:val="0"/>
        </w:rPr>
        <w:t xml:space="preserve"> </w:t>
      </w:r>
      <w:r w:rsidR="009F58E1">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{"citationItems":[{"id":"ITEM-1","itemData":{"author":[{"dropping-particle":"","family":"Haryanti","given":"Tining","non-dropping-particle":"","parse-names":false,"suffix":""},{"dropping-particle":"","family":"Rakhmawati","given":"Nur Aini","non-dropping-particle":"","parse-names":false,"suffix":""},{"dropping-particle":"","family":"Subriadi","given":"Apol Pribadi","non-dropping-particle":"","parse-names":false,"suffix":""}],"id":"ITEM-1","issued":{"date-parts":[["2023"]]},"page":"1-24","title":"The Extended Digital Maturity Model","type":"article-journal"},"uris":["http://www.mendeley.com/documents/?uuid=ac976c3c-864f-46e8-94d3-4b9bd30a2b07"]}],"mendeley":{"formattedCitation":"(Haryanti et al., 2023)","plainTextFormattedCitation":"(Haryanti et al., 2023)","previouslyFormattedCitation":"(Haryanti et al., 2023)"},"properties":{"noteIndex":0},"schema":"https://github.com/citation-style-language/schema/raw/master/csl-citation.json"}</w:instrText>
      </w:r>
      <w:r w:rsidR="009F58E1">
        <w:rPr>
          <w:rFonts w:asciiTheme="minorBidi" w:hAnsiTheme="minorBidi" w:cstheme="minorBidi"/>
          <w:i w:val="0"/>
          <w:iCs w:val="0"/>
        </w:rPr>
        <w:fldChar w:fldCharType="separate"/>
      </w:r>
      <w:r w:rsidR="00FA55C8" w:rsidRPr="00FA55C8">
        <w:rPr>
          <w:rFonts w:asciiTheme="minorBidi" w:hAnsiTheme="minorBidi" w:cstheme="minorBidi"/>
          <w:i w:val="0"/>
          <w:iCs w:val="0"/>
        </w:rPr>
        <w:t>(Haryanti et al., 2023)</w:t>
      </w:r>
      <w:r w:rsidR="009F58E1">
        <w:rPr>
          <w:rFonts w:asciiTheme="minorBidi" w:hAnsiTheme="minorBidi" w:cstheme="minorBidi"/>
          <w:i w:val="0"/>
          <w:iCs w:val="0"/>
        </w:rPr>
        <w:fldChar w:fldCharType="end"/>
      </w:r>
      <w:r w:rsidRPr="004125FF">
        <w:rPr>
          <w:rFonts w:asciiTheme="minorBidi" w:hAnsiTheme="minorBidi" w:cstheme="minorBidi"/>
          <w:i w:val="0"/>
          <w:iCs w:val="0"/>
        </w:rPr>
        <w:t xml:space="preserve">. The maturity model offers direction for organisations in their transformation efforts and delineates the process for executing those transformations. Digital maturity models often have dimensions and criteria that delineate actions or measures signifying </w:t>
      </w:r>
      <w:r w:rsidR="002B4013" w:rsidRPr="004125FF">
        <w:rPr>
          <w:rFonts w:asciiTheme="minorBidi" w:hAnsiTheme="minorBidi" w:cstheme="minorBidi"/>
          <w:i w:val="0"/>
          <w:iCs w:val="0"/>
        </w:rPr>
        <w:t xml:space="preserve">progression towards maturity </w:t>
      </w:r>
      <w:r w:rsidR="009F58E1">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author":[{"dropping-particle":"","family":"Aagaard","given":"Annabeth","non-dropping-particle":"","parse-names":false,"suffix":""},{"dropping-particle":"","family":"Presser","given":"Mirko","non-dropping-particle":"","parse-names":false,"suffix":""},{"dropping-particle":"","family":"Collins","given":"Tom","non-dropping-particle":"","parse-names":false,"suffix":""},{"dropping-particle":"","family":"Beliatis","given":"Michail","non-dropping-particle":"","parse-names":false,"suffix":""},{"dropping-particle":"","family":"Jakobsen","given":"Emilie Mathilde","non-dropping-particle":"","parse-names":false,"suffix":""},{"dropping-particle":"","family":"Skou","given":"Anita Krogsøe","non-dropping-particle":"","parse-names":false,"suffix":""}],"id":"ITEM-1","issued":{"date-parts":[["2021"]]},"title":"The Role of Digital Maturity Assessment in Technology Interventions with Industrial Internet Playground","type":"article-journal"},"uris":["http://www.mendeley.com/documents/?uuid=c13387b4-0a69-4418-8b46-2f44158af7a2"]}],"mendeley":{"formattedCitation":"(Aagaard et al., 2021)","plainTextFormattedCitation":"(Aagaard et al., 2021)","previouslyFormattedCitation":"(Aagaard et al., 2021)"},"properties":{"noteIndex":0},"schema":"https://github.com/citation-style-language/schema/raw/master/csl-citation.json"}</w:instrText>
      </w:r>
      <w:r w:rsidR="009F58E1">
        <w:rPr>
          <w:rFonts w:asciiTheme="minorBidi" w:hAnsiTheme="minorBidi" w:cstheme="minorBidi"/>
          <w:i w:val="0"/>
          <w:iCs w:val="0"/>
        </w:rPr>
        <w:fldChar w:fldCharType="separate"/>
      </w:r>
      <w:r w:rsidR="00FA55C8" w:rsidRPr="00FA55C8">
        <w:rPr>
          <w:rFonts w:asciiTheme="minorBidi" w:hAnsiTheme="minorBidi" w:cstheme="minorBidi"/>
          <w:i w:val="0"/>
          <w:iCs w:val="0"/>
        </w:rPr>
        <w:t>(Aagaard et al., 2021)</w:t>
      </w:r>
      <w:r w:rsidR="009F58E1">
        <w:rPr>
          <w:rFonts w:asciiTheme="minorBidi" w:hAnsiTheme="minorBidi" w:cstheme="minorBidi"/>
          <w:i w:val="0"/>
          <w:iCs w:val="0"/>
        </w:rPr>
        <w:fldChar w:fldCharType="end"/>
      </w:r>
      <w:r w:rsidRPr="004125FF">
        <w:rPr>
          <w:rFonts w:asciiTheme="minorBidi" w:hAnsiTheme="minorBidi" w:cstheme="minorBidi"/>
          <w:i w:val="0"/>
          <w:iCs w:val="0"/>
        </w:rPr>
        <w:t>. The element that delineates the main characteristics of an action fiel</w:t>
      </w:r>
      <w:r w:rsidR="009F58E1">
        <w:rPr>
          <w:rFonts w:asciiTheme="minorBidi" w:hAnsiTheme="minorBidi" w:cstheme="minorBidi"/>
          <w:i w:val="0"/>
          <w:iCs w:val="0"/>
        </w:rPr>
        <w:t xml:space="preserve">d is referred to as a dimension </w:t>
      </w:r>
      <w:r w:rsidR="009F58E1">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{"citationItems":[{"id":"ITEM-1","itemData":{"author":[{"dropping-particle":"","family":"Haryanti","given":"Tining","non-dropping-particle":"","parse-names":false,"suffix":""},{"dropping-particle":"","family":"Rakhmawati","given":"Nur Aini","non-dropping-particle":"","parse-names":false,"suffix":""},{"dropping-particle":"","family":"Subriadi","given":"Apol Pribadi","non-dropping-particle":"","parse-names":false,"suffix":""}],"id":"ITEM-1","issued":{"date-parts":[["2023"]]},"page":"1-24","title":"The Extended Digital Maturity Model","type":"article-journal"},"uris":["http://www.mendeley.com/documents/?uuid=ac976c3c-864f-46e8-94d3-4b9bd30a2b07"]}],"mendeley":{"formattedCitation":"(Haryanti et al., 2023)","plainTextFormattedCitation":"(Haryanti et al., 2023)","previouslyFormattedCitation":"(Haryanti et al., 2023)"},"properties":{"noteIndex":0},"schema":"https://github.com/citation-style-language/schema/raw/master/csl-citation.json"}</w:instrText>
      </w:r>
      <w:r w:rsidR="009F58E1">
        <w:rPr>
          <w:rFonts w:asciiTheme="minorBidi" w:hAnsiTheme="minorBidi" w:cstheme="minorBidi"/>
          <w:i w:val="0"/>
          <w:iCs w:val="0"/>
        </w:rPr>
        <w:fldChar w:fldCharType="separate"/>
      </w:r>
      <w:r w:rsidR="00FA55C8" w:rsidRPr="00FA55C8">
        <w:rPr>
          <w:rFonts w:asciiTheme="minorBidi" w:hAnsiTheme="minorBidi" w:cstheme="minorBidi"/>
          <w:i w:val="0"/>
          <w:iCs w:val="0"/>
        </w:rPr>
        <w:t>(Haryanti et al., 2023)</w:t>
      </w:r>
      <w:r w:rsidR="009F58E1">
        <w:rPr>
          <w:rFonts w:asciiTheme="minorBidi" w:hAnsiTheme="minorBidi" w:cstheme="minorBidi"/>
          <w:i w:val="0"/>
          <w:iCs w:val="0"/>
        </w:rPr>
        <w:fldChar w:fldCharType="end"/>
      </w:r>
      <w:r w:rsidRPr="004125FF">
        <w:rPr>
          <w:rFonts w:asciiTheme="minorBidi" w:hAnsiTheme="minorBidi" w:cstheme="minorBidi"/>
          <w:i w:val="0"/>
          <w:iCs w:val="0"/>
        </w:rPr>
        <w:t>. This action is assessed according to maturity levels that encompass both specific and general practices related to various maturity dimensions. Despite the existence of several maturity models, various issues contribute to the ineffectiveness of evaluating a company's transformation capabilities, including limited domain-specific discourse and the substantial expense of maturity assessment, which necessitates third-party involvement. The maturity model requires a holistic approach. Conversely, assessing digital maturity is essential at all times, facilitating organisations in understanding their existing transformation stage while delineating the specific steps required to enhance digital maturity</w:t>
      </w:r>
      <w:r w:rsidR="009F58E1">
        <w:rPr>
          <w:rFonts w:asciiTheme="minorBidi" w:hAnsiTheme="minorBidi" w:cstheme="minorBidi"/>
          <w:i w:val="0"/>
          <w:iCs w:val="0"/>
        </w:rPr>
        <w:t xml:space="preserve"> </w:t>
      </w:r>
      <w:r w:rsidR="009F58E1">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author":[{"dropping-particle":"","family":"Lee","given":"Keeeun","non-dropping-particle":"","parse-names":false,"suffix":""},{"dropping-particle":"","family":"Song","given":"Youngchul","non-dropping-particle":"","parse-names":false,"suffix":""},{"dropping-particle":"","family":"Park","given":"Minyoung","non-dropping-particle":"","parse-names":false,"suffix":""},{"dropping-particle":"","family":"Yoon","given":"Byungun","non-dropping-particle":"","parse-names":false,"suffix":""}],"id":"ITEM-1","issued":{"date-parts":[["2024"]]},"title":"Development of Digital Transformation Maturity Assessment Model for Collaborative Factory Involving Multiple Companies","type":"article-journal"},"uris":["http://www.mendeley.com/documents/?uuid=8bed2cee-e6af-4ae2-bbda-d8f301144573"]}],"mendeley":{"formattedCitation":"(Lee et al., 2024)","plainTextFormattedCitation":"(Lee et al., 2024)","previouslyFormattedCitation":"(Lee et al., 2024)"},"properties":{"noteIndex":0},"schema":"https://github.com/citation-style-language/schema/raw/master/csl-citation.json"}</w:instrText>
      </w:r>
      <w:r w:rsidR="009F58E1">
        <w:rPr>
          <w:rFonts w:asciiTheme="minorBidi" w:hAnsiTheme="minorBidi" w:cstheme="minorBidi"/>
          <w:i w:val="0"/>
          <w:iCs w:val="0"/>
        </w:rPr>
        <w:fldChar w:fldCharType="separate"/>
      </w:r>
      <w:r w:rsidR="00FA55C8" w:rsidRPr="00FA55C8">
        <w:rPr>
          <w:rFonts w:asciiTheme="minorBidi" w:hAnsiTheme="minorBidi" w:cstheme="minorBidi"/>
          <w:i w:val="0"/>
          <w:iCs w:val="0"/>
        </w:rPr>
        <w:t>(Lee et al., 2024)</w:t>
      </w:r>
      <w:r w:rsidR="009F58E1">
        <w:rPr>
          <w:rFonts w:asciiTheme="minorBidi" w:hAnsiTheme="minorBidi" w:cstheme="minorBidi"/>
          <w:i w:val="0"/>
          <w:iCs w:val="0"/>
        </w:rPr>
        <w:fldChar w:fldCharType="end"/>
      </w:r>
      <w:r w:rsidRPr="004125FF">
        <w:rPr>
          <w:rFonts w:asciiTheme="minorBidi" w:hAnsiTheme="minorBidi" w:cstheme="minorBidi"/>
          <w:i w:val="0"/>
          <w:iCs w:val="0"/>
        </w:rPr>
        <w:t>.</w:t>
      </w:r>
    </w:p>
    <w:p w14:paraId="4587C558" w14:textId="77777777" w:rsidR="000D4D4C" w:rsidRPr="004125FF" w:rsidRDefault="000D4D4C" w:rsidP="000D4D4C">
      <w:pPr>
        <w:rPr>
          <w:rFonts w:asciiTheme="minorBidi" w:hAnsiTheme="minorBidi" w:cstheme="minorBidi"/>
        </w:rPr>
      </w:pPr>
    </w:p>
    <w:p w14:paraId="420AD6E4" w14:textId="3B0610BE" w:rsidR="000D4D4C" w:rsidRPr="00317F82" w:rsidRDefault="000D4D4C" w:rsidP="0033741A">
      <w:pPr>
        <w:pStyle w:val="ListParagraph"/>
        <w:numPr>
          <w:ilvl w:val="1"/>
          <w:numId w:val="45"/>
        </w:numPr>
        <w:rPr>
          <w:rFonts w:asciiTheme="minorBidi" w:hAnsiTheme="minorBidi"/>
          <w:b/>
          <w:bCs/>
          <w:shd w:val="clear" w:color="auto" w:fill="FFFFFF"/>
        </w:rPr>
      </w:pPr>
      <w:r w:rsidRPr="00317F82">
        <w:rPr>
          <w:rFonts w:asciiTheme="minorBidi" w:hAnsiTheme="minorBidi"/>
          <w:b/>
          <w:bCs/>
          <w:shd w:val="clear" w:color="auto" w:fill="FFFFFF"/>
        </w:rPr>
        <w:t>Digital Maturity Level</w:t>
      </w:r>
    </w:p>
    <w:p w14:paraId="34E2AED0" w14:textId="264C7BC1" w:rsidR="000D4D4C" w:rsidRPr="004125FF" w:rsidRDefault="000D4D4C" w:rsidP="00FA55C8">
      <w:pPr>
        <w:jc w:val="both"/>
        <w:rPr>
          <w:rFonts w:asciiTheme="minorBidi" w:hAnsiTheme="minorBidi" w:cstheme="minorBidi"/>
        </w:rPr>
      </w:pPr>
      <w:r w:rsidRPr="004125FF">
        <w:rPr>
          <w:rFonts w:asciiTheme="minorBidi" w:hAnsiTheme="minorBidi" w:cstheme="minorBidi"/>
        </w:rPr>
        <w:t>Researchers and practitioners utilise many different maturity level model</w:t>
      </w:r>
      <w:r w:rsidR="00395FAE">
        <w:rPr>
          <w:rFonts w:asciiTheme="minorBidi" w:hAnsiTheme="minorBidi" w:cstheme="minorBidi"/>
        </w:rPr>
        <w:t xml:space="preserve">s </w:t>
      </w:r>
      <w:r w:rsidR="00395FAE">
        <w:rPr>
          <w:rFonts w:asciiTheme="minorBidi" w:hAnsiTheme="minorBidi" w:cstheme="minorBidi"/>
        </w:rPr>
        <w:fldChar w:fldCharType="begin" w:fldLock="1"/>
      </w:r>
      <w:r w:rsidR="004D74B5">
        <w:rPr>
          <w:rFonts w:asciiTheme="minorBidi" w:hAnsiTheme="minorBidi" w:cstheme="minorBidi"/>
        </w:rPr>
        <w:instrText>ADDIN CSL_CITATION {"citationItems":[{"id":"ITEM-1","itemData":{"author":[{"dropping-particle":"","family":"Haryanti","given":"Tining","non-dropping-particle":"","parse-names":false,"suffix":""},{"dropping-particle":"","family":"Rakhmawati","given":"Nur Aini","non-dropping-particle":"","parse-names":false,"suffix":""},{"dropping-particle":"","family":"Subriadi","given":"Apol Pribadi","non-dropping-particle":"","parse-names":false,"suffix":""}],"id":"ITEM-1","issued":{"date-parts":[["2023"]]},"page":"1-24","title":"The Extended Digital Maturity Model","type":"article-journal"},"uris":["http://www.mendeley.com/documents/?uuid=ac976c3c-864f-46e8-94d3-4b9bd30a2b07"]}],"mendeley":{"formattedCitation":"(Haryanti et al., 2023)","plainTextFormattedCitation":"(Haryanti et al., 2023)","previouslyFormattedCitation":"(Haryanti et al., 2023)"},"properties":{"noteIndex":0},"schema":"https://github.com/citation-style-language/schema/raw/master/csl-citation.json"}</w:instrText>
      </w:r>
      <w:r w:rsidR="00395FAE">
        <w:rPr>
          <w:rFonts w:asciiTheme="minorBidi" w:hAnsiTheme="minorBidi" w:cstheme="minorBidi"/>
        </w:rPr>
        <w:fldChar w:fldCharType="separate"/>
      </w:r>
      <w:r w:rsidR="00FA55C8" w:rsidRPr="00FA55C8">
        <w:rPr>
          <w:rFonts w:asciiTheme="minorBidi" w:hAnsiTheme="minorBidi" w:cstheme="minorBidi"/>
          <w:noProof/>
        </w:rPr>
        <w:t>(Haryanti et al., 2023)</w:t>
      </w:r>
      <w:r w:rsidR="00395FAE">
        <w:rPr>
          <w:rFonts w:asciiTheme="minorBidi" w:hAnsiTheme="minorBidi" w:cstheme="minorBidi"/>
        </w:rPr>
        <w:fldChar w:fldCharType="end"/>
      </w:r>
      <w:r w:rsidRPr="004125FF">
        <w:rPr>
          <w:rFonts w:asciiTheme="minorBidi" w:hAnsiTheme="minorBidi" w:cstheme="minorBidi"/>
        </w:rPr>
        <w:t>. A Digital Maturity Level describes an organization's current capacity to adapt and succeed in a digital environment, evaluated across several key dimensions, including technology, customer experience, organizational structure, culture, and strategy</w:t>
      </w:r>
      <w:r w:rsidR="00395FAE">
        <w:rPr>
          <w:rFonts w:asciiTheme="minorBidi" w:hAnsiTheme="minorBidi" w:cstheme="minorBidi"/>
        </w:rPr>
        <w:t xml:space="preserve"> </w:t>
      </w:r>
      <w:r w:rsidR="00395FAE">
        <w:rPr>
          <w:rFonts w:asciiTheme="minorBidi" w:hAnsiTheme="minorBidi" w:cstheme="minorBidi"/>
        </w:rPr>
        <w:fldChar w:fldCharType="begin" w:fldLock="1"/>
      </w:r>
      <w:r w:rsidR="004D74B5">
        <w:rPr>
          <w:rFonts w:asciiTheme="minorBidi" w:hAnsiTheme="minorBidi" w:cstheme="minorBidi"/>
        </w:rPr>
        <w:instrText>ADDIN CSL_CITATION {"citationItems":[{"id":"ITEM-1","itemData":{"DOI":"10.1080/00207543.2021.1991020","author":[{"dropping-particle":"","family":"Gökalp","given":"Ebru","non-dropping-particle":"","parse-names":false,"suffix":""},{"dropping-particle":"","family":"Martinez","given":"Veronica","non-dropping-particle":"","parse-names":false,"suffix":""}],"id":"ITEM-1","issue":"May","issued":{"date-parts":[["2025"]]},"title":"Digital transformation maturity assessment : development of the digital transformation capability maturity model","type":"article-journal"},"uris":["http://www.mendeley.com/documents/?uuid=f91d2dce-f11b-476e-80b9-557612067137"]}],"mendeley":{"formattedCitation":"(Gökalp &amp; Martinez, 2025)","plainTextFormattedCitation":"(Gökalp &amp; Martinez, 2025)","previouslyFormattedCitation":"(Gökalp &amp; Martinez, 2025)"},"properties":{"noteIndex":0},"schema":"https://github.com/citation-style-language/schema/raw/master/csl-citation.json"}</w:instrText>
      </w:r>
      <w:r w:rsidR="00395FAE">
        <w:rPr>
          <w:rFonts w:asciiTheme="minorBidi" w:hAnsiTheme="minorBidi" w:cstheme="minorBidi"/>
        </w:rPr>
        <w:fldChar w:fldCharType="separate"/>
      </w:r>
      <w:r w:rsidR="00FA55C8" w:rsidRPr="00FA55C8">
        <w:rPr>
          <w:rFonts w:asciiTheme="minorBidi" w:hAnsiTheme="minorBidi" w:cstheme="minorBidi"/>
          <w:noProof/>
        </w:rPr>
        <w:t>(Gökalp &amp; Martinez, 2025)</w:t>
      </w:r>
      <w:r w:rsidR="00395FAE">
        <w:rPr>
          <w:rFonts w:asciiTheme="minorBidi" w:hAnsiTheme="minorBidi" w:cstheme="minorBidi"/>
        </w:rPr>
        <w:fldChar w:fldCharType="end"/>
      </w:r>
      <w:r w:rsidRPr="004125FF">
        <w:rPr>
          <w:rFonts w:asciiTheme="minorBidi" w:hAnsiTheme="minorBidi" w:cstheme="minorBidi"/>
        </w:rPr>
        <w:t>. Organisations are generally evaluated using a framework that indicates stages of development, from "Initial" to "Advanced". An elevated level of digital maturity signifies enhanced efficiency, adaptability, and potential for innovation and growth through the proficient use of digital tools and strategies. Maturity models are designed to provide a framework for assessing critical corporate acti</w:t>
      </w:r>
      <w:r w:rsidR="00395FAE">
        <w:rPr>
          <w:rFonts w:asciiTheme="minorBidi" w:hAnsiTheme="minorBidi" w:cstheme="minorBidi"/>
        </w:rPr>
        <w:t xml:space="preserve">vities </w:t>
      </w:r>
      <w:r w:rsidR="00395FAE">
        <w:rPr>
          <w:rFonts w:asciiTheme="minorBidi" w:hAnsiTheme="minorBidi" w:cstheme="minorBidi"/>
        </w:rPr>
        <w:fldChar w:fldCharType="begin" w:fldLock="1"/>
      </w:r>
      <w:r w:rsidR="004D74B5">
        <w:rPr>
          <w:rFonts w:asciiTheme="minorBidi" w:hAnsiTheme="minorBidi" w:cstheme="minorBidi"/>
        </w:rPr>
        <w:instrText>ADDIN CSL_CITATION {"citationItems":[{"id":"ITEM-1","itemData":{"author":[{"dropping-particle":"","family":"Mettler","given":"Tobias","non-dropping-particle":"","parse-names":false,"suffix":""},{"dropping-particle":"","family":"Ballester","given":"Omar","non-dropping-particle":"","parse-names":false,"suffix":""}],"id":"ITEM-1","issue":"2017","issued":{"date-parts":[["2021"]]},"page":"1-16","title":"Maturity Models in Information Systems : A Review and Extension of Existing Guidelines","type":"article-journal"},"uris":["http://www.mendeley.com/documents/?uuid=92934bf5-80d1-4030-80d5-d4bd99091e45"]}],"mendeley":{"formattedCitation":"(Mettler &amp; Ballester, 2021)","plainTextFormattedCitation":"(Mettler &amp; Ballester, 2021)","previouslyFormattedCitation":"(Mettler &amp; Ballester, 2021)"},"properties":{"noteIndex":0},"schema":"https://github.com/citation-style-language/schema/raw/master/csl-citation.json"}</w:instrText>
      </w:r>
      <w:r w:rsidR="00395FAE">
        <w:rPr>
          <w:rFonts w:asciiTheme="minorBidi" w:hAnsiTheme="minorBidi" w:cstheme="minorBidi"/>
        </w:rPr>
        <w:fldChar w:fldCharType="separate"/>
      </w:r>
      <w:r w:rsidR="00FA55C8" w:rsidRPr="00FA55C8">
        <w:rPr>
          <w:rFonts w:asciiTheme="minorBidi" w:hAnsiTheme="minorBidi" w:cstheme="minorBidi"/>
          <w:noProof/>
        </w:rPr>
        <w:t>(Mettler &amp; Ballester, 2021)</w:t>
      </w:r>
      <w:r w:rsidR="00395FAE">
        <w:rPr>
          <w:rFonts w:asciiTheme="minorBidi" w:hAnsiTheme="minorBidi" w:cstheme="minorBidi"/>
        </w:rPr>
        <w:fldChar w:fldCharType="end"/>
      </w:r>
      <w:r w:rsidRPr="004125FF">
        <w:rPr>
          <w:rFonts w:asciiTheme="minorBidi" w:hAnsiTheme="minorBidi" w:cstheme="minorBidi"/>
        </w:rPr>
        <w:t>. Generally, diverse methodological frameworks are employed to evaluate digital maturity, each aiming to delineate the critical aspects and elements of transition. The approach from the MIT Centre, created in partnership with Capgemini, emphasises three primary dimensions: digital customer experience, operational efficiencies, and the business model</w:t>
      </w:r>
      <w:r w:rsidR="00395FAE">
        <w:rPr>
          <w:rFonts w:asciiTheme="minorBidi" w:hAnsiTheme="minorBidi" w:cstheme="minorBidi"/>
        </w:rPr>
        <w:t xml:space="preserve"> </w:t>
      </w:r>
      <w:r w:rsidR="00395FAE">
        <w:rPr>
          <w:rFonts w:asciiTheme="minorBidi" w:hAnsiTheme="minorBidi" w:cstheme="minorBidi"/>
        </w:rPr>
        <w:fldChar w:fldCharType="begin" w:fldLock="1"/>
      </w:r>
      <w:r w:rsidR="004D74B5">
        <w:rPr>
          <w:rFonts w:asciiTheme="minorBidi" w:hAnsiTheme="minorBidi" w:cstheme="minorBidi"/>
        </w:rPr>
        <w:instrText>ADDIN CSL_CITATION {"citationItems":[{"id":"ITEM-1","itemData":{"author":[{"dropping-particle":"","family":"Röper","given":"Jonas","non-dropping-particle":"","parse-names":false,"suffix":""},{"dropping-particle":"","family":"Röper","given":"Jonas","non-dropping-particle":"","parse-names":false,"suffix":""}],"id":"ITEM-1","issued":{"date-parts":[["2023"]]},"title":"Boosting Outcome-Based Business Models – The Role of the Consulting Industry A case study at Capgemini Invent","type":"article-journal"},"uris":["http://www.mendeley.com/documents/?uuid=d090ba2f-6d21-4e0a-be8b-28e7e5b3b0dd"]}],"mendeley":{"formattedCitation":"(Röper &amp; Röper, 2023)","plainTextFormattedCitation":"(Röper &amp; Röper, 2023)","previouslyFormattedCitation":"(Röper &amp; Röper, 2023)"},"properties":{"noteIndex":0},"schema":"https://github.com/citation-style-language/schema/raw/master/csl-citation.json"}</w:instrText>
      </w:r>
      <w:r w:rsidR="00395FAE">
        <w:rPr>
          <w:rFonts w:asciiTheme="minorBidi" w:hAnsiTheme="minorBidi" w:cstheme="minorBidi"/>
        </w:rPr>
        <w:fldChar w:fldCharType="separate"/>
      </w:r>
      <w:r w:rsidR="00FA55C8" w:rsidRPr="00FA55C8">
        <w:rPr>
          <w:rFonts w:asciiTheme="minorBidi" w:hAnsiTheme="minorBidi" w:cstheme="minorBidi"/>
          <w:noProof/>
        </w:rPr>
        <w:t>(Röper &amp; Röper, 2023)</w:t>
      </w:r>
      <w:r w:rsidR="00395FAE">
        <w:rPr>
          <w:rFonts w:asciiTheme="minorBidi" w:hAnsiTheme="minorBidi" w:cstheme="minorBidi"/>
        </w:rPr>
        <w:fldChar w:fldCharType="end"/>
      </w:r>
      <w:r w:rsidRPr="004125FF">
        <w:rPr>
          <w:rFonts w:asciiTheme="minorBidi" w:hAnsiTheme="minorBidi" w:cstheme="minorBidi"/>
        </w:rPr>
        <w:t>. Deloitte's Digital Maturity Model provides a comprehensive framework comprising five interrelated dimensions: strategy, customers, technology, data, and organisational processes</w:t>
      </w:r>
      <w:r w:rsidR="00395FAE">
        <w:rPr>
          <w:rFonts w:asciiTheme="minorBidi" w:hAnsiTheme="minorBidi" w:cstheme="minorBidi"/>
        </w:rPr>
        <w:t xml:space="preserve"> </w:t>
      </w:r>
      <w:r w:rsidR="00395FAE">
        <w:rPr>
          <w:rFonts w:asciiTheme="minorBidi" w:hAnsiTheme="minorBidi" w:cstheme="minorBidi"/>
        </w:rPr>
        <w:fldChar w:fldCharType="begin" w:fldLock="1"/>
      </w:r>
      <w:r w:rsidR="004D74B5">
        <w:rPr>
          <w:rFonts w:asciiTheme="minorBidi" w:hAnsiTheme="minorBidi" w:cstheme="minorBidi"/>
        </w:rPr>
        <w:instrText>ADDIN CSL_CITATION {"citationItems":[{"id":"ITEM-1","itemData":{"DOI":"10.22054/dcm.2022.66880.1070","author":[{"dropping-particle":"","family":"Ciruskabiri","given":"Sepideh","non-dropping-particle":"","parse-names":false,"suffix":""}],"id":"ITEM-1","issue":"7","issued":{"date-parts":[["2023"]]},"title":"Digital Transformation Planning and Frameworks","type":"article-journal","volume":"4"},"uris":["http://www.mendeley.com/documents/?uuid=6a4dab70-b105-45bb-9430-51e5d81e947f"]}],"mendeley":{"formattedCitation":"(Ciruskabiri, 2023)","plainTextFormattedCitation":"(Ciruskabiri, 2023)","previouslyFormattedCitation":"(Ciruskabiri, 2023)"},"properties":{"noteIndex":0},"schema":"https://github.com/citation-style-language/schema/raw/master/csl-citation.json"}</w:instrText>
      </w:r>
      <w:r w:rsidR="00395FAE">
        <w:rPr>
          <w:rFonts w:asciiTheme="minorBidi" w:hAnsiTheme="minorBidi" w:cstheme="minorBidi"/>
        </w:rPr>
        <w:fldChar w:fldCharType="separate"/>
      </w:r>
      <w:r w:rsidR="00FA55C8" w:rsidRPr="00FA55C8">
        <w:rPr>
          <w:rFonts w:asciiTheme="minorBidi" w:hAnsiTheme="minorBidi" w:cstheme="minorBidi"/>
          <w:noProof/>
        </w:rPr>
        <w:t>(Ciruskabiri, 2023)</w:t>
      </w:r>
      <w:r w:rsidR="00395FAE">
        <w:rPr>
          <w:rFonts w:asciiTheme="minorBidi" w:hAnsiTheme="minorBidi" w:cstheme="minorBidi"/>
        </w:rPr>
        <w:fldChar w:fldCharType="end"/>
      </w:r>
      <w:r w:rsidRPr="004125FF">
        <w:rPr>
          <w:rFonts w:asciiTheme="minorBidi" w:hAnsiTheme="minorBidi" w:cstheme="minorBidi"/>
        </w:rPr>
        <w:t>. These academic models indicate that organisational evaluations extend beyond technology, occurring within a framework that delineates progre</w:t>
      </w:r>
      <w:r w:rsidR="008C7E5E">
        <w:rPr>
          <w:rFonts w:asciiTheme="minorBidi" w:hAnsiTheme="minorBidi" w:cstheme="minorBidi"/>
        </w:rPr>
        <w:t>ssive development stages from "</w:t>
      </w:r>
      <w:r w:rsidR="008C7E5E" w:rsidRPr="004125FF">
        <w:rPr>
          <w:rFonts w:asciiTheme="minorBidi" w:hAnsiTheme="minorBidi" w:cstheme="minorBidi"/>
        </w:rPr>
        <w:t xml:space="preserve">Initial </w:t>
      </w:r>
      <w:r w:rsidR="008C7E5E">
        <w:rPr>
          <w:rFonts w:asciiTheme="minorBidi" w:hAnsiTheme="minorBidi" w:cstheme="minorBidi"/>
        </w:rPr>
        <w:t>" to "</w:t>
      </w:r>
      <w:r w:rsidR="008C7E5E" w:rsidRPr="008C7E5E">
        <w:rPr>
          <w:rFonts w:asciiTheme="minorBidi" w:hAnsiTheme="minorBidi" w:cstheme="minorBidi"/>
        </w:rPr>
        <w:t xml:space="preserve"> </w:t>
      </w:r>
      <w:r w:rsidR="008C7E5E" w:rsidRPr="004125FF">
        <w:rPr>
          <w:rFonts w:asciiTheme="minorBidi" w:hAnsiTheme="minorBidi" w:cstheme="minorBidi"/>
        </w:rPr>
        <w:t>Optimized</w:t>
      </w:r>
      <w:r w:rsidRPr="004125FF">
        <w:rPr>
          <w:rFonts w:asciiTheme="minorBidi" w:hAnsiTheme="minorBidi" w:cstheme="minorBidi"/>
        </w:rPr>
        <w:t>"</w:t>
      </w:r>
      <w:r w:rsidR="008C7E5E">
        <w:rPr>
          <w:rFonts w:asciiTheme="minorBidi" w:hAnsiTheme="minorBidi" w:cstheme="minorBidi"/>
        </w:rPr>
        <w:t>.</w:t>
      </w:r>
    </w:p>
    <w:p w14:paraId="6DA7AF10" w14:textId="77777777" w:rsidR="006C784D" w:rsidRPr="004125FF" w:rsidRDefault="006C784D" w:rsidP="000D4D4C">
      <w:pPr>
        <w:jc w:val="both"/>
        <w:rPr>
          <w:rFonts w:asciiTheme="minorBidi" w:hAnsiTheme="minorBidi" w:cstheme="minorBidi"/>
        </w:rPr>
      </w:pPr>
    </w:p>
    <w:p w14:paraId="487B16AA" w14:textId="203F465F" w:rsidR="00317F82" w:rsidRPr="003D1D02" w:rsidRDefault="003D1D02" w:rsidP="003D1D02">
      <w:pPr>
        <w:pStyle w:val="ListParagraph"/>
        <w:numPr>
          <w:ilvl w:val="0"/>
          <w:numId w:val="48"/>
        </w:numPr>
        <w:spacing w:after="160" w:line="257" w:lineRule="auto"/>
        <w:ind w:left="357" w:hanging="357"/>
        <w:rPr>
          <w:rFonts w:asciiTheme="minorBidi" w:hAnsiTheme="minorBidi"/>
          <w:b/>
          <w:bCs/>
        </w:rPr>
      </w:pPr>
      <w:r>
        <w:rPr>
          <w:rFonts w:asciiTheme="minorBidi" w:hAnsiTheme="minorBidi"/>
          <w:b/>
          <w:bCs/>
          <w:lang w:val="en-GB"/>
        </w:rPr>
        <w:t xml:space="preserve">DIGITAL MATURITY </w:t>
      </w:r>
      <w:r>
        <w:rPr>
          <w:rFonts w:asciiTheme="minorBidi" w:hAnsiTheme="minorBidi"/>
          <w:b/>
          <w:bCs/>
        </w:rPr>
        <w:t xml:space="preserve">METHODOLOGY FOR THE LIBYAN </w:t>
      </w:r>
      <w:r>
        <w:rPr>
          <w:rFonts w:asciiTheme="minorBidi" w:hAnsiTheme="minorBidi"/>
          <w:b/>
          <w:bCs/>
          <w:lang w:val="en-GB"/>
        </w:rPr>
        <w:t xml:space="preserve">TELECOMMUNICATIONS SECTOR </w:t>
      </w:r>
    </w:p>
    <w:p w14:paraId="3349071C" w14:textId="77777777" w:rsidR="000D4D4C" w:rsidRPr="004125FF" w:rsidRDefault="000D4D4C" w:rsidP="000D4D4C">
      <w:pPr>
        <w:pStyle w:val="BodyText"/>
        <w:spacing w:line="240" w:lineRule="auto"/>
        <w:ind w:firstLine="0"/>
        <w:rPr>
          <w:rFonts w:asciiTheme="minorBidi" w:hAnsiTheme="minorBidi" w:cstheme="minorBidi"/>
        </w:rPr>
      </w:pPr>
      <w:r w:rsidRPr="004125FF">
        <w:rPr>
          <w:rFonts w:asciiTheme="minorBidi" w:hAnsiTheme="minorBidi" w:cstheme="minorBidi"/>
        </w:rPr>
        <w:t xml:space="preserve">This research aims to assess and analyse the levels of digital maturity in Libyan telecommunications companies. To achieve this goal, a mixed-methods approach was adopted, combining quantitative and qualitative methods. This approach allows for the collection of measurable and generalizable digital data. This research was designed as a case study, focusing on specific telecommunications companies in Libya to analyse their journey toward digital maturity in depth. This approach enables the exploration of both internal and external factors that influence the digital transformation process, as well as an understanding of the dynamics within the telecommunications sector. A quantitative questionnaire was designed for employees and customers at various levels within the targeted companies. Semi-structured interviews were conducted with a carefully selected sample of decision-makers and leaders from the companies, including department managers and team leaders. These interviews aimed to explore the qualitative aspects of digital maturity, understand strategic visions and challenges, cultural drivers, and barriers that the survey may not have covered. The survey consists of closed-ended questions using a Likert scale to measure digital maturity across five key dimensions: digital strategy, customer experience, technology, organizations, and culture. Each question was linked to one of these </w:t>
      </w:r>
      <w:r w:rsidRPr="004125FF">
        <w:rPr>
          <w:rFonts w:asciiTheme="minorBidi" w:hAnsiTheme="minorBidi" w:cstheme="minorBidi"/>
        </w:rPr>
        <w:lastRenderedPageBreak/>
        <w:t>dimensions, and a numerical value was assigned to each response (from 1 = Agree to 4 = Disagree). Figure 1 illustrates the proposed methodology applied in this research.</w:t>
      </w:r>
    </w:p>
    <w:p w14:paraId="71EF9020" w14:textId="77777777" w:rsidR="000D4D4C" w:rsidRPr="004125FF" w:rsidRDefault="000D4D4C" w:rsidP="000D4D4C">
      <w:pPr>
        <w:rPr>
          <w:rFonts w:asciiTheme="minorBidi" w:hAnsiTheme="minorBidi" w:cstheme="minorBidi"/>
        </w:rPr>
      </w:pPr>
      <w:r w:rsidRPr="004125FF">
        <w:rPr>
          <w:rFonts w:asciiTheme="minorBidi" w:hAnsiTheme="minorBidi" w:cstheme="minorBidi"/>
          <w:noProof/>
          <w:lang w:eastAsia="en-GB"/>
        </w:rPr>
        <w:drawing>
          <wp:inline distT="0" distB="0" distL="0" distR="0" wp14:anchorId="615F6E06" wp14:editId="62F1470D">
            <wp:extent cx="5729605" cy="3724275"/>
            <wp:effectExtent l="0" t="0" r="4445" b="9525"/>
            <wp:docPr id="543910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10665" name="Picture 543910665"/>
                    <pic:cNvPicPr/>
                  </pic:nvPicPr>
                  <pic:blipFill>
                    <a:blip r:embed="rId8">
                      <a:extLst>
                        <a:ext uri="{28A0092B-C50C-407E-A947-70E740481C1C}">
                          <a14:useLocalDpi xmlns:a14="http://schemas.microsoft.com/office/drawing/2010/main" val="0"/>
                        </a:ext>
                      </a:extLst>
                    </a:blip>
                    <a:stretch>
                      <a:fillRect/>
                    </a:stretch>
                  </pic:blipFill>
                  <pic:spPr>
                    <a:xfrm>
                      <a:off x="0" y="0"/>
                      <a:ext cx="5729605" cy="3724275"/>
                    </a:xfrm>
                    <a:prstGeom prst="rect">
                      <a:avLst/>
                    </a:prstGeom>
                  </pic:spPr>
                </pic:pic>
              </a:graphicData>
            </a:graphic>
          </wp:inline>
        </w:drawing>
      </w:r>
    </w:p>
    <w:p w14:paraId="13A29B36" w14:textId="6ED1B13D" w:rsidR="000D4D4C" w:rsidRPr="004125FF" w:rsidRDefault="00C40962" w:rsidP="000D4D4C">
      <w:pPr>
        <w:rPr>
          <w:rFonts w:asciiTheme="minorBidi" w:hAnsiTheme="minorBidi" w:cstheme="minorBidi"/>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000D4D4C" w:rsidRPr="00C40962">
        <w:rPr>
          <w:rFonts w:asciiTheme="minorBidi" w:hAnsiTheme="minorBidi" w:cstheme="minorBidi"/>
          <w:b/>
          <w:bCs/>
        </w:rPr>
        <w:t>The Proposed Digital Maturity Methodology</w:t>
      </w:r>
    </w:p>
    <w:p w14:paraId="60291885" w14:textId="128DF317" w:rsidR="000D4D4C" w:rsidRDefault="000D4D4C" w:rsidP="000D4D4C">
      <w:pPr>
        <w:pStyle w:val="Heading2"/>
        <w:numPr>
          <w:ilvl w:val="1"/>
          <w:numId w:val="20"/>
        </w:numPr>
        <w:rPr>
          <w:rFonts w:asciiTheme="minorBidi" w:hAnsiTheme="minorBidi" w:cstheme="minorBidi"/>
          <w:b/>
          <w:bCs/>
          <w:i w:val="0"/>
          <w:iCs w:val="0"/>
          <w:sz w:val="22"/>
          <w:szCs w:val="22"/>
        </w:rPr>
      </w:pPr>
      <w:r w:rsidRPr="00317F82">
        <w:rPr>
          <w:rFonts w:asciiTheme="minorBidi" w:hAnsiTheme="minorBidi" w:cstheme="minorBidi"/>
          <w:b/>
          <w:bCs/>
          <w:i w:val="0"/>
          <w:iCs w:val="0"/>
          <w:sz w:val="22"/>
          <w:szCs w:val="22"/>
        </w:rPr>
        <w:t xml:space="preserve">Data Collection </w:t>
      </w:r>
    </w:p>
    <w:p w14:paraId="6AB372F9" w14:textId="77777777" w:rsidR="00C40962" w:rsidRPr="00C40962" w:rsidRDefault="00C40962" w:rsidP="00C40962"/>
    <w:p w14:paraId="239E7F1C" w14:textId="2D8B53E6" w:rsidR="000D4D4C" w:rsidRPr="004125FF" w:rsidRDefault="000D4D4C" w:rsidP="000D4D4C">
      <w:pPr>
        <w:pStyle w:val="BodyText"/>
        <w:spacing w:line="240" w:lineRule="auto"/>
        <w:ind w:firstLine="0"/>
        <w:rPr>
          <w:rFonts w:asciiTheme="minorBidi" w:hAnsiTheme="minorBidi" w:cstheme="minorBidi"/>
        </w:rPr>
      </w:pPr>
      <w:r w:rsidRPr="004125FF">
        <w:rPr>
          <w:rFonts w:asciiTheme="minorBidi" w:hAnsiTheme="minorBidi" w:cstheme="minorBidi"/>
        </w:rPr>
        <w:t>This research examines a set of surveys related to digital maturity in Libya, focusing on the role of local telecommunications companies in providing services and keeping pace with modern technologies. The scope of this research is limited to examining the impact of change management on digital transformation in the Libyan telecom sector. The listed Libyan government telecom companies are the following:</w:t>
      </w:r>
    </w:p>
    <w:p w14:paraId="127F1204" w14:textId="77777777" w:rsidR="000D4D4C" w:rsidRPr="004125FF" w:rsidRDefault="000D4D4C" w:rsidP="000D4D4C">
      <w:pPr>
        <w:pStyle w:val="BodyText"/>
        <w:spacing w:line="240" w:lineRule="auto"/>
        <w:rPr>
          <w:rFonts w:asciiTheme="minorBidi" w:hAnsiTheme="minorBidi" w:cstheme="minorBidi"/>
        </w:rPr>
      </w:pPr>
      <w:r w:rsidRPr="004125FF">
        <w:rPr>
          <w:rFonts w:asciiTheme="minorBidi" w:hAnsiTheme="minorBidi" w:cstheme="minorBidi"/>
        </w:rPr>
        <w:t>•</w:t>
      </w:r>
      <w:r w:rsidRPr="004125FF">
        <w:rPr>
          <w:rFonts w:asciiTheme="minorBidi" w:hAnsiTheme="minorBidi" w:cstheme="minorBidi"/>
        </w:rPr>
        <w:tab/>
      </w:r>
      <w:proofErr w:type="spellStart"/>
      <w:r w:rsidRPr="004125FF">
        <w:rPr>
          <w:rFonts w:asciiTheme="minorBidi" w:hAnsiTheme="minorBidi" w:cstheme="minorBidi"/>
        </w:rPr>
        <w:t>Hatif</w:t>
      </w:r>
      <w:proofErr w:type="spellEnd"/>
      <w:r w:rsidRPr="004125FF">
        <w:rPr>
          <w:rFonts w:asciiTheme="minorBidi" w:hAnsiTheme="minorBidi" w:cstheme="minorBidi"/>
        </w:rPr>
        <w:t xml:space="preserve"> Libya Company </w:t>
      </w:r>
    </w:p>
    <w:p w14:paraId="2FE2E9D0" w14:textId="77777777" w:rsidR="000D4D4C" w:rsidRPr="004125FF" w:rsidRDefault="000D4D4C" w:rsidP="000D4D4C">
      <w:pPr>
        <w:pStyle w:val="BodyText"/>
        <w:spacing w:line="240" w:lineRule="auto"/>
        <w:rPr>
          <w:rFonts w:asciiTheme="minorBidi" w:hAnsiTheme="minorBidi" w:cstheme="minorBidi"/>
        </w:rPr>
      </w:pPr>
      <w:r w:rsidRPr="004125FF">
        <w:rPr>
          <w:rFonts w:asciiTheme="minorBidi" w:hAnsiTheme="minorBidi" w:cstheme="minorBidi"/>
        </w:rPr>
        <w:t>•</w:t>
      </w:r>
      <w:r w:rsidRPr="004125FF">
        <w:rPr>
          <w:rFonts w:asciiTheme="minorBidi" w:hAnsiTheme="minorBidi" w:cstheme="minorBidi"/>
        </w:rPr>
        <w:tab/>
      </w:r>
      <w:proofErr w:type="spellStart"/>
      <w:r w:rsidRPr="004125FF">
        <w:rPr>
          <w:rFonts w:asciiTheme="minorBidi" w:hAnsiTheme="minorBidi" w:cstheme="minorBidi"/>
        </w:rPr>
        <w:t>Almadar</w:t>
      </w:r>
      <w:proofErr w:type="spellEnd"/>
      <w:r w:rsidRPr="004125FF">
        <w:rPr>
          <w:rFonts w:asciiTheme="minorBidi" w:hAnsiTheme="minorBidi" w:cstheme="minorBidi"/>
        </w:rPr>
        <w:t xml:space="preserve"> Company</w:t>
      </w:r>
    </w:p>
    <w:p w14:paraId="2F30998B" w14:textId="77777777" w:rsidR="000D4D4C" w:rsidRPr="004125FF" w:rsidRDefault="000D4D4C" w:rsidP="000D4D4C">
      <w:pPr>
        <w:pStyle w:val="BodyText"/>
        <w:spacing w:line="240" w:lineRule="auto"/>
        <w:rPr>
          <w:rFonts w:asciiTheme="minorBidi" w:hAnsiTheme="minorBidi" w:cstheme="minorBidi"/>
        </w:rPr>
      </w:pPr>
      <w:r w:rsidRPr="004125FF">
        <w:rPr>
          <w:rFonts w:asciiTheme="minorBidi" w:hAnsiTheme="minorBidi" w:cstheme="minorBidi"/>
        </w:rPr>
        <w:t>•</w:t>
      </w:r>
      <w:r w:rsidRPr="004125FF">
        <w:rPr>
          <w:rFonts w:asciiTheme="minorBidi" w:hAnsiTheme="minorBidi" w:cstheme="minorBidi"/>
        </w:rPr>
        <w:tab/>
      </w:r>
      <w:proofErr w:type="spellStart"/>
      <w:r w:rsidRPr="004125FF">
        <w:rPr>
          <w:rFonts w:asciiTheme="minorBidi" w:hAnsiTheme="minorBidi" w:cstheme="minorBidi"/>
        </w:rPr>
        <w:t>Libyana</w:t>
      </w:r>
      <w:proofErr w:type="spellEnd"/>
      <w:r w:rsidRPr="004125FF">
        <w:rPr>
          <w:rFonts w:asciiTheme="minorBidi" w:hAnsiTheme="minorBidi" w:cstheme="minorBidi"/>
        </w:rPr>
        <w:t xml:space="preserve"> Company</w:t>
      </w:r>
    </w:p>
    <w:p w14:paraId="767F402F" w14:textId="77777777" w:rsidR="000D4D4C" w:rsidRPr="004125FF" w:rsidRDefault="000D4D4C" w:rsidP="000D4D4C">
      <w:pPr>
        <w:pStyle w:val="BodyText"/>
        <w:spacing w:line="240" w:lineRule="auto"/>
        <w:rPr>
          <w:rFonts w:asciiTheme="minorBidi" w:hAnsiTheme="minorBidi" w:cstheme="minorBidi"/>
        </w:rPr>
      </w:pPr>
      <w:r w:rsidRPr="004125FF">
        <w:rPr>
          <w:rFonts w:asciiTheme="minorBidi" w:hAnsiTheme="minorBidi" w:cstheme="minorBidi"/>
        </w:rPr>
        <w:t>•</w:t>
      </w:r>
      <w:r w:rsidRPr="004125FF">
        <w:rPr>
          <w:rFonts w:asciiTheme="minorBidi" w:hAnsiTheme="minorBidi" w:cstheme="minorBidi"/>
        </w:rPr>
        <w:tab/>
        <w:t>Libya Telecom and Technology Company.</w:t>
      </w:r>
    </w:p>
    <w:p w14:paraId="0ACE5159" w14:textId="77777777" w:rsidR="000D4D4C" w:rsidRPr="004125FF" w:rsidRDefault="000D4D4C" w:rsidP="000D4D4C">
      <w:pPr>
        <w:pStyle w:val="BodyText"/>
        <w:spacing w:line="240" w:lineRule="auto"/>
        <w:rPr>
          <w:rFonts w:asciiTheme="minorBidi" w:hAnsiTheme="minorBidi" w:cstheme="minorBidi"/>
        </w:rPr>
      </w:pPr>
      <w:r w:rsidRPr="004125FF">
        <w:rPr>
          <w:rFonts w:asciiTheme="minorBidi" w:hAnsiTheme="minorBidi" w:cstheme="minorBidi"/>
        </w:rPr>
        <w:t>The intended responders comprised leaders, decision-makers, and employees within these organisations. The data collection strategy is outlined as follows: The strategy entails interacting with telecom clients through an electronic survey, conducting interviews, and engaging in direct telephone connections. The enquiries from customers encompassed the following:</w:t>
      </w:r>
    </w:p>
    <w:p w14:paraId="281389FE" w14:textId="77777777" w:rsidR="000D4D4C" w:rsidRPr="004125FF" w:rsidRDefault="000D4D4C" w:rsidP="000D4D4C">
      <w:pPr>
        <w:pStyle w:val="BodyText"/>
        <w:spacing w:line="240" w:lineRule="auto"/>
        <w:rPr>
          <w:rFonts w:asciiTheme="minorBidi" w:hAnsiTheme="minorBidi" w:cstheme="minorBidi"/>
        </w:rPr>
      </w:pPr>
      <w:r w:rsidRPr="004125FF">
        <w:rPr>
          <w:rFonts w:asciiTheme="minorBidi" w:hAnsiTheme="minorBidi" w:cstheme="minorBidi"/>
        </w:rPr>
        <w:t xml:space="preserve"> • The address of the customer.</w:t>
      </w:r>
    </w:p>
    <w:p w14:paraId="10A193C4" w14:textId="77777777" w:rsidR="000D4D4C" w:rsidRPr="004125FF" w:rsidRDefault="000D4D4C" w:rsidP="000D4D4C">
      <w:pPr>
        <w:pStyle w:val="BodyText"/>
        <w:spacing w:line="240" w:lineRule="auto"/>
        <w:rPr>
          <w:rFonts w:asciiTheme="minorBidi" w:hAnsiTheme="minorBidi" w:cstheme="minorBidi"/>
        </w:rPr>
      </w:pPr>
      <w:r w:rsidRPr="004125FF">
        <w:rPr>
          <w:rFonts w:asciiTheme="minorBidi" w:hAnsiTheme="minorBidi" w:cstheme="minorBidi"/>
        </w:rPr>
        <w:t xml:space="preserve"> The name of the company that offers services. </w:t>
      </w:r>
    </w:p>
    <w:p w14:paraId="21AE8C6A" w14:textId="11CCD554" w:rsidR="000D4D4C" w:rsidRPr="004125FF" w:rsidRDefault="000D4D4C" w:rsidP="000D4D4C">
      <w:pPr>
        <w:pStyle w:val="BodyText"/>
        <w:spacing w:line="240" w:lineRule="auto"/>
        <w:rPr>
          <w:rFonts w:asciiTheme="minorBidi" w:hAnsiTheme="minorBidi" w:cstheme="minorBidi"/>
        </w:rPr>
      </w:pPr>
      <w:r w:rsidRPr="004125FF">
        <w:rPr>
          <w:rFonts w:asciiTheme="minorBidi" w:hAnsiTheme="minorBidi" w:cstheme="minorBidi"/>
        </w:rPr>
        <w:t xml:space="preserve"> The </w:t>
      </w:r>
      <w:r w:rsidR="00B90543">
        <w:rPr>
          <w:rFonts w:asciiTheme="minorBidi" w:hAnsiTheme="minorBidi" w:cstheme="minorBidi"/>
        </w:rPr>
        <w:t>i</w:t>
      </w:r>
      <w:r w:rsidRPr="004125FF">
        <w:rPr>
          <w:rFonts w:asciiTheme="minorBidi" w:hAnsiTheme="minorBidi" w:cstheme="minorBidi"/>
        </w:rPr>
        <w:t>nternet can be categorised as wired, wireless, or other.</w:t>
      </w:r>
    </w:p>
    <w:p w14:paraId="404D798D" w14:textId="77777777" w:rsidR="000D4D4C" w:rsidRPr="004125FF" w:rsidRDefault="000D4D4C" w:rsidP="000D4D4C">
      <w:pPr>
        <w:pStyle w:val="BodyText"/>
        <w:spacing w:line="240" w:lineRule="auto"/>
        <w:rPr>
          <w:rFonts w:asciiTheme="minorBidi" w:hAnsiTheme="minorBidi" w:cstheme="minorBidi"/>
        </w:rPr>
      </w:pPr>
      <w:r w:rsidRPr="004125FF">
        <w:rPr>
          <w:rFonts w:asciiTheme="minorBidi" w:hAnsiTheme="minorBidi" w:cstheme="minorBidi"/>
        </w:rPr>
        <w:t xml:space="preserve"> • Assessing the quality of digital services.</w:t>
      </w:r>
    </w:p>
    <w:p w14:paraId="773CF527" w14:textId="77777777" w:rsidR="000D4D4C" w:rsidRPr="004125FF" w:rsidRDefault="000D4D4C" w:rsidP="000D4D4C">
      <w:pPr>
        <w:pStyle w:val="BodyText"/>
        <w:spacing w:line="240" w:lineRule="auto"/>
        <w:rPr>
          <w:rFonts w:asciiTheme="minorBidi" w:hAnsiTheme="minorBidi" w:cstheme="minorBidi"/>
        </w:rPr>
      </w:pPr>
      <w:r w:rsidRPr="004125FF">
        <w:rPr>
          <w:rFonts w:asciiTheme="minorBidi" w:hAnsiTheme="minorBidi" w:cstheme="minorBidi"/>
        </w:rPr>
        <w:t xml:space="preserve"> • Application service.</w:t>
      </w:r>
    </w:p>
    <w:p w14:paraId="7895DEB0" w14:textId="77777777" w:rsidR="000D4D4C" w:rsidRPr="004125FF" w:rsidRDefault="000D4D4C" w:rsidP="000D4D4C">
      <w:pPr>
        <w:pStyle w:val="BodyText"/>
        <w:spacing w:line="240" w:lineRule="auto"/>
        <w:ind w:firstLine="0"/>
        <w:rPr>
          <w:rFonts w:asciiTheme="minorBidi" w:hAnsiTheme="minorBidi" w:cstheme="minorBidi"/>
        </w:rPr>
      </w:pPr>
      <w:r w:rsidRPr="004125FF">
        <w:rPr>
          <w:rFonts w:asciiTheme="minorBidi" w:hAnsiTheme="minorBidi" w:cstheme="minorBidi"/>
        </w:rPr>
        <w:t xml:space="preserve"> • Assess the expenses in relation to the quality of services provided.</w:t>
      </w:r>
    </w:p>
    <w:p w14:paraId="288CFA27" w14:textId="77777777" w:rsidR="000D4D4C" w:rsidRPr="004125FF" w:rsidRDefault="000D4D4C" w:rsidP="000D4D4C">
      <w:pPr>
        <w:pStyle w:val="BodyText"/>
        <w:ind w:firstLine="0"/>
        <w:rPr>
          <w:rFonts w:asciiTheme="minorBidi" w:hAnsiTheme="minorBidi" w:cstheme="minorBidi"/>
        </w:rPr>
      </w:pPr>
      <w:r w:rsidRPr="004125FF">
        <w:rPr>
          <w:rStyle w:val="y2iqfc"/>
          <w:rFonts w:asciiTheme="minorBidi" w:hAnsiTheme="minorBidi" w:cstheme="minorBidi"/>
          <w:lang w:val="en"/>
        </w:rPr>
        <w:lastRenderedPageBreak/>
        <w:t>Data were gathered from various Libyan cities, including Tripoli, Misurata, and Benghazi, as well as several mountainous regions such as Gharyan, Al-</w:t>
      </w:r>
      <w:proofErr w:type="spellStart"/>
      <w:r w:rsidRPr="004125FF">
        <w:rPr>
          <w:rStyle w:val="y2iqfc"/>
          <w:rFonts w:asciiTheme="minorBidi" w:hAnsiTheme="minorBidi" w:cstheme="minorBidi"/>
          <w:lang w:val="en"/>
        </w:rPr>
        <w:t>Asaba</w:t>
      </w:r>
      <w:proofErr w:type="spellEnd"/>
      <w:r w:rsidRPr="004125FF">
        <w:rPr>
          <w:rStyle w:val="y2iqfc"/>
          <w:rFonts w:asciiTheme="minorBidi" w:hAnsiTheme="minorBidi" w:cstheme="minorBidi"/>
          <w:lang w:val="en"/>
        </w:rPr>
        <w:t xml:space="preserve">, Zintan, </w:t>
      </w:r>
      <w:proofErr w:type="spellStart"/>
      <w:r w:rsidRPr="004125FF">
        <w:rPr>
          <w:rStyle w:val="y2iqfc"/>
          <w:rFonts w:asciiTheme="minorBidi" w:hAnsiTheme="minorBidi" w:cstheme="minorBidi"/>
          <w:lang w:val="en"/>
        </w:rPr>
        <w:t>Derna</w:t>
      </w:r>
      <w:proofErr w:type="spellEnd"/>
      <w:r w:rsidRPr="004125FF">
        <w:rPr>
          <w:rStyle w:val="y2iqfc"/>
          <w:rFonts w:asciiTheme="minorBidi" w:hAnsiTheme="minorBidi" w:cstheme="minorBidi"/>
          <w:lang w:val="en"/>
        </w:rPr>
        <w:t xml:space="preserve">, </w:t>
      </w:r>
      <w:proofErr w:type="spellStart"/>
      <w:r w:rsidRPr="004125FF">
        <w:rPr>
          <w:rStyle w:val="y2iqfc"/>
          <w:rFonts w:asciiTheme="minorBidi" w:hAnsiTheme="minorBidi" w:cstheme="minorBidi"/>
          <w:lang w:val="en"/>
        </w:rPr>
        <w:t>Msallata</w:t>
      </w:r>
      <w:proofErr w:type="spellEnd"/>
      <w:r w:rsidRPr="004125FF">
        <w:rPr>
          <w:rStyle w:val="y2iqfc"/>
          <w:rFonts w:asciiTheme="minorBidi" w:hAnsiTheme="minorBidi" w:cstheme="minorBidi"/>
          <w:lang w:val="en"/>
        </w:rPr>
        <w:t xml:space="preserve">, and </w:t>
      </w:r>
      <w:proofErr w:type="spellStart"/>
      <w:r w:rsidRPr="004125FF">
        <w:rPr>
          <w:rStyle w:val="y2iqfc"/>
          <w:rFonts w:asciiTheme="minorBidi" w:hAnsiTheme="minorBidi" w:cstheme="minorBidi"/>
          <w:lang w:val="en"/>
        </w:rPr>
        <w:t>Tarhuna</w:t>
      </w:r>
      <w:proofErr w:type="spellEnd"/>
      <w:r w:rsidRPr="004125FF">
        <w:rPr>
          <w:rStyle w:val="y2iqfc"/>
          <w:rFonts w:asciiTheme="minorBidi" w:hAnsiTheme="minorBidi" w:cstheme="minorBidi"/>
          <w:lang w:val="en"/>
        </w:rPr>
        <w:t xml:space="preserve">. Additionally, data were collected from towns located in arid landscapes, including </w:t>
      </w:r>
      <w:proofErr w:type="spellStart"/>
      <w:r w:rsidRPr="004125FF">
        <w:rPr>
          <w:rStyle w:val="y2iqfc"/>
          <w:rFonts w:asciiTheme="minorBidi" w:hAnsiTheme="minorBidi" w:cstheme="minorBidi"/>
          <w:lang w:val="en"/>
        </w:rPr>
        <w:t>Sebha</w:t>
      </w:r>
      <w:proofErr w:type="spellEnd"/>
      <w:r w:rsidRPr="004125FF">
        <w:rPr>
          <w:rStyle w:val="y2iqfc"/>
          <w:rFonts w:asciiTheme="minorBidi" w:hAnsiTheme="minorBidi" w:cstheme="minorBidi"/>
          <w:lang w:val="en"/>
        </w:rPr>
        <w:t xml:space="preserve">, </w:t>
      </w:r>
      <w:proofErr w:type="spellStart"/>
      <w:r w:rsidRPr="004125FF">
        <w:rPr>
          <w:rStyle w:val="y2iqfc"/>
          <w:rFonts w:asciiTheme="minorBidi" w:hAnsiTheme="minorBidi" w:cstheme="minorBidi"/>
          <w:lang w:val="en"/>
        </w:rPr>
        <w:t>Zwelah</w:t>
      </w:r>
      <w:proofErr w:type="spellEnd"/>
      <w:r w:rsidRPr="004125FF">
        <w:rPr>
          <w:rStyle w:val="y2iqfc"/>
          <w:rFonts w:asciiTheme="minorBidi" w:hAnsiTheme="minorBidi" w:cstheme="minorBidi"/>
          <w:lang w:val="en"/>
        </w:rPr>
        <w:t xml:space="preserve">, </w:t>
      </w:r>
      <w:proofErr w:type="spellStart"/>
      <w:r w:rsidRPr="004125FF">
        <w:rPr>
          <w:rStyle w:val="y2iqfc"/>
          <w:rFonts w:asciiTheme="minorBidi" w:hAnsiTheme="minorBidi" w:cstheme="minorBidi"/>
          <w:lang w:val="en"/>
        </w:rPr>
        <w:t>Ubari</w:t>
      </w:r>
      <w:proofErr w:type="spellEnd"/>
      <w:r w:rsidRPr="004125FF">
        <w:rPr>
          <w:rStyle w:val="y2iqfc"/>
          <w:rFonts w:asciiTheme="minorBidi" w:hAnsiTheme="minorBidi" w:cstheme="minorBidi"/>
          <w:lang w:val="en"/>
        </w:rPr>
        <w:t xml:space="preserve">, </w:t>
      </w:r>
      <w:proofErr w:type="spellStart"/>
      <w:r w:rsidRPr="004125FF">
        <w:rPr>
          <w:rStyle w:val="y2iqfc"/>
          <w:rFonts w:asciiTheme="minorBidi" w:hAnsiTheme="minorBidi" w:cstheme="minorBidi"/>
          <w:lang w:val="en"/>
        </w:rPr>
        <w:t>Awjila</w:t>
      </w:r>
      <w:proofErr w:type="spellEnd"/>
      <w:r w:rsidRPr="004125FF">
        <w:rPr>
          <w:rStyle w:val="y2iqfc"/>
          <w:rFonts w:asciiTheme="minorBidi" w:hAnsiTheme="minorBidi" w:cstheme="minorBidi"/>
          <w:lang w:val="en"/>
        </w:rPr>
        <w:t xml:space="preserve">, </w:t>
      </w:r>
      <w:proofErr w:type="spellStart"/>
      <w:r w:rsidRPr="004125FF">
        <w:rPr>
          <w:rStyle w:val="y2iqfc"/>
          <w:rFonts w:asciiTheme="minorBidi" w:hAnsiTheme="minorBidi" w:cstheme="minorBidi"/>
          <w:lang w:val="en"/>
        </w:rPr>
        <w:t>Ghat</w:t>
      </w:r>
      <w:proofErr w:type="spellEnd"/>
      <w:r w:rsidRPr="004125FF">
        <w:rPr>
          <w:rStyle w:val="y2iqfc"/>
          <w:rFonts w:asciiTheme="minorBidi" w:hAnsiTheme="minorBidi" w:cstheme="minorBidi"/>
          <w:lang w:val="en"/>
        </w:rPr>
        <w:t xml:space="preserve">, </w:t>
      </w:r>
      <w:proofErr w:type="spellStart"/>
      <w:r w:rsidRPr="004125FF">
        <w:rPr>
          <w:rStyle w:val="y2iqfc"/>
          <w:rFonts w:asciiTheme="minorBidi" w:hAnsiTheme="minorBidi" w:cstheme="minorBidi"/>
          <w:lang w:val="en"/>
        </w:rPr>
        <w:t>Kufra</w:t>
      </w:r>
      <w:proofErr w:type="spellEnd"/>
      <w:r w:rsidRPr="004125FF">
        <w:rPr>
          <w:rStyle w:val="y2iqfc"/>
          <w:rFonts w:asciiTheme="minorBidi" w:hAnsiTheme="minorBidi" w:cstheme="minorBidi"/>
          <w:lang w:val="en"/>
        </w:rPr>
        <w:t xml:space="preserve">, and </w:t>
      </w:r>
      <w:proofErr w:type="spellStart"/>
      <w:r w:rsidRPr="004125FF">
        <w:rPr>
          <w:rStyle w:val="y2iqfc"/>
          <w:rFonts w:asciiTheme="minorBidi" w:hAnsiTheme="minorBidi" w:cstheme="minorBidi"/>
          <w:lang w:val="en"/>
        </w:rPr>
        <w:t>Ubari</w:t>
      </w:r>
      <w:proofErr w:type="spellEnd"/>
      <w:r w:rsidRPr="004125FF">
        <w:rPr>
          <w:rStyle w:val="y2iqfc"/>
          <w:rFonts w:asciiTheme="minorBidi" w:hAnsiTheme="minorBidi" w:cstheme="minorBidi"/>
          <w:lang w:val="en"/>
        </w:rPr>
        <w:t xml:space="preserve">, in the southernmost region of Libya, as well as other cities such as Sabratha, </w:t>
      </w:r>
      <w:proofErr w:type="spellStart"/>
      <w:r w:rsidRPr="004125FF">
        <w:rPr>
          <w:rStyle w:val="y2iqfc"/>
          <w:rFonts w:asciiTheme="minorBidi" w:hAnsiTheme="minorBidi" w:cstheme="minorBidi"/>
          <w:lang w:val="en"/>
        </w:rPr>
        <w:t>Sorman</w:t>
      </w:r>
      <w:proofErr w:type="spellEnd"/>
      <w:r w:rsidRPr="004125FF">
        <w:rPr>
          <w:rStyle w:val="y2iqfc"/>
          <w:rFonts w:asciiTheme="minorBidi" w:hAnsiTheme="minorBidi" w:cstheme="minorBidi"/>
          <w:lang w:val="en"/>
        </w:rPr>
        <w:t xml:space="preserve">, Al-Zawiya, </w:t>
      </w:r>
      <w:proofErr w:type="spellStart"/>
      <w:r w:rsidRPr="004125FF">
        <w:rPr>
          <w:rStyle w:val="y2iqfc"/>
          <w:rFonts w:asciiTheme="minorBidi" w:hAnsiTheme="minorBidi" w:cstheme="minorBidi"/>
          <w:lang w:val="en"/>
        </w:rPr>
        <w:t>Zuwara</w:t>
      </w:r>
      <w:proofErr w:type="spellEnd"/>
      <w:r w:rsidRPr="004125FF">
        <w:rPr>
          <w:rStyle w:val="y2iqfc"/>
          <w:rFonts w:asciiTheme="minorBidi" w:hAnsiTheme="minorBidi" w:cstheme="minorBidi"/>
          <w:lang w:val="en"/>
        </w:rPr>
        <w:t xml:space="preserve">, </w:t>
      </w:r>
      <w:proofErr w:type="spellStart"/>
      <w:r w:rsidRPr="004125FF">
        <w:rPr>
          <w:rStyle w:val="y2iqfc"/>
          <w:rFonts w:asciiTheme="minorBidi" w:hAnsiTheme="minorBidi" w:cstheme="minorBidi"/>
          <w:lang w:val="en"/>
        </w:rPr>
        <w:t>Zliten</w:t>
      </w:r>
      <w:proofErr w:type="spellEnd"/>
      <w:r w:rsidRPr="004125FF">
        <w:rPr>
          <w:rStyle w:val="y2iqfc"/>
          <w:rFonts w:asciiTheme="minorBidi" w:hAnsiTheme="minorBidi" w:cstheme="minorBidi"/>
          <w:lang w:val="en"/>
        </w:rPr>
        <w:t>, Al-</w:t>
      </w:r>
      <w:proofErr w:type="spellStart"/>
      <w:r w:rsidRPr="004125FF">
        <w:rPr>
          <w:rStyle w:val="y2iqfc"/>
          <w:rFonts w:asciiTheme="minorBidi" w:hAnsiTheme="minorBidi" w:cstheme="minorBidi"/>
          <w:lang w:val="en"/>
        </w:rPr>
        <w:t>Khoms</w:t>
      </w:r>
      <w:proofErr w:type="spellEnd"/>
      <w:r w:rsidRPr="004125FF">
        <w:rPr>
          <w:rStyle w:val="y2iqfc"/>
          <w:rFonts w:asciiTheme="minorBidi" w:hAnsiTheme="minorBidi" w:cstheme="minorBidi"/>
          <w:lang w:val="en"/>
        </w:rPr>
        <w:t xml:space="preserve">, </w:t>
      </w:r>
      <w:proofErr w:type="spellStart"/>
      <w:r w:rsidRPr="004125FF">
        <w:rPr>
          <w:rStyle w:val="y2iqfc"/>
          <w:rFonts w:asciiTheme="minorBidi" w:hAnsiTheme="minorBidi" w:cstheme="minorBidi"/>
          <w:lang w:val="en"/>
        </w:rPr>
        <w:t>Janzour</w:t>
      </w:r>
      <w:proofErr w:type="spellEnd"/>
      <w:r w:rsidRPr="004125FF">
        <w:rPr>
          <w:rStyle w:val="y2iqfc"/>
          <w:rFonts w:asciiTheme="minorBidi" w:hAnsiTheme="minorBidi" w:cstheme="minorBidi"/>
          <w:lang w:val="en"/>
        </w:rPr>
        <w:t xml:space="preserve">, and Al-Aziziyah. In the second phase of data collection, information was obtained from employees of telecommunications companies via direct communication with various departments and decision-makers managing digital transformation projects in the sector. </w:t>
      </w:r>
      <w:r w:rsidRPr="004125FF">
        <w:rPr>
          <w:rFonts w:asciiTheme="minorBidi" w:hAnsiTheme="minorBidi" w:cstheme="minorBidi"/>
        </w:rPr>
        <w:t>In contrast, the questionnaire for telecom employees focused more on the use of digital projects and technologies. The content of the questions of employees is as follows:</w:t>
      </w:r>
    </w:p>
    <w:p w14:paraId="43657984" w14:textId="77777777" w:rsidR="000D4D4C" w:rsidRPr="004125FF" w:rsidRDefault="000D4D4C" w:rsidP="000D4D4C">
      <w:pPr>
        <w:pStyle w:val="BodyText"/>
        <w:numPr>
          <w:ilvl w:val="0"/>
          <w:numId w:val="27"/>
        </w:numPr>
        <w:rPr>
          <w:rFonts w:asciiTheme="minorBidi" w:hAnsiTheme="minorBidi" w:cstheme="minorBidi"/>
        </w:rPr>
      </w:pPr>
      <w:r w:rsidRPr="004125FF">
        <w:rPr>
          <w:rFonts w:asciiTheme="minorBidi" w:hAnsiTheme="minorBidi" w:cstheme="minorBidi"/>
        </w:rPr>
        <w:t>Initiatives for digital transformation.</w:t>
      </w:r>
    </w:p>
    <w:p w14:paraId="26F3A482" w14:textId="77777777" w:rsidR="000D4D4C" w:rsidRPr="004125FF" w:rsidRDefault="000D4D4C" w:rsidP="000D4D4C">
      <w:pPr>
        <w:pStyle w:val="BodyText"/>
        <w:numPr>
          <w:ilvl w:val="0"/>
          <w:numId w:val="27"/>
        </w:numPr>
        <w:rPr>
          <w:rFonts w:asciiTheme="minorBidi" w:hAnsiTheme="minorBidi" w:cstheme="minorBidi"/>
        </w:rPr>
      </w:pPr>
      <w:r w:rsidRPr="004125FF">
        <w:rPr>
          <w:rFonts w:asciiTheme="minorBidi" w:hAnsiTheme="minorBidi" w:cstheme="minorBidi"/>
        </w:rPr>
        <w:t>Digital strategy aligned with company strategy.</w:t>
      </w:r>
    </w:p>
    <w:p w14:paraId="6BFAC3C0" w14:textId="77777777" w:rsidR="000D4D4C" w:rsidRPr="004125FF" w:rsidRDefault="000D4D4C" w:rsidP="000D4D4C">
      <w:pPr>
        <w:pStyle w:val="BodyText"/>
        <w:numPr>
          <w:ilvl w:val="0"/>
          <w:numId w:val="27"/>
        </w:numPr>
        <w:rPr>
          <w:rFonts w:asciiTheme="minorBidi" w:hAnsiTheme="minorBidi" w:cstheme="minorBidi"/>
        </w:rPr>
      </w:pPr>
      <w:r w:rsidRPr="004125FF">
        <w:rPr>
          <w:rFonts w:asciiTheme="minorBidi" w:hAnsiTheme="minorBidi" w:cstheme="minorBidi"/>
        </w:rPr>
        <w:t>What issues impede digital transformation within your organisation? Legacy systems, inadequate funding, cybersecurity and privacy mandates, conflicting business strategies, communication infrastructure, and legal regulations.</w:t>
      </w:r>
    </w:p>
    <w:p w14:paraId="0E348341" w14:textId="77777777" w:rsidR="000D4D4C" w:rsidRPr="004125FF" w:rsidRDefault="000D4D4C" w:rsidP="000D4D4C">
      <w:pPr>
        <w:pStyle w:val="BodyText"/>
        <w:numPr>
          <w:ilvl w:val="0"/>
          <w:numId w:val="27"/>
        </w:numPr>
        <w:rPr>
          <w:rFonts w:asciiTheme="minorBidi" w:hAnsiTheme="minorBidi" w:cstheme="minorBidi"/>
        </w:rPr>
      </w:pPr>
      <w:r w:rsidRPr="004125FF">
        <w:rPr>
          <w:rFonts w:asciiTheme="minorBidi" w:hAnsiTheme="minorBidi" w:cstheme="minorBidi"/>
        </w:rPr>
        <w:t>What do you consider to be the most critical aspects for achieving successful digital transformation? Robust leadership in advancing digitalisation, a comprehensive cybersecurity strategy/program, and adequate budget. Effective collaboration between IT and business divisions. Establishing a perpetual culture of transformation.</w:t>
      </w:r>
    </w:p>
    <w:p w14:paraId="0F9C1AAD" w14:textId="77777777" w:rsidR="000D4D4C" w:rsidRPr="004125FF" w:rsidRDefault="000D4D4C" w:rsidP="000D4D4C">
      <w:pPr>
        <w:pStyle w:val="BodyText"/>
        <w:numPr>
          <w:ilvl w:val="0"/>
          <w:numId w:val="27"/>
        </w:numPr>
        <w:rPr>
          <w:rFonts w:asciiTheme="minorBidi" w:hAnsiTheme="minorBidi" w:cstheme="minorBidi"/>
        </w:rPr>
      </w:pPr>
      <w:r w:rsidRPr="004125FF">
        <w:rPr>
          <w:rFonts w:asciiTheme="minorBidi" w:hAnsiTheme="minorBidi" w:cstheme="minorBidi"/>
        </w:rPr>
        <w:t xml:space="preserve">What is your most significant deficiency in digitalisation? Insufficient hardware, inadequate software, and limited data availability. </w:t>
      </w:r>
    </w:p>
    <w:p w14:paraId="72B80BF4" w14:textId="77777777" w:rsidR="000D4D4C" w:rsidRPr="004125FF" w:rsidRDefault="000D4D4C" w:rsidP="000D4D4C">
      <w:pPr>
        <w:pStyle w:val="BodyText"/>
        <w:numPr>
          <w:ilvl w:val="0"/>
          <w:numId w:val="27"/>
        </w:numPr>
        <w:rPr>
          <w:rFonts w:asciiTheme="minorBidi" w:hAnsiTheme="minorBidi" w:cstheme="minorBidi"/>
        </w:rPr>
      </w:pPr>
      <w:r w:rsidRPr="004125FF">
        <w:rPr>
          <w:rFonts w:asciiTheme="minorBidi" w:hAnsiTheme="minorBidi" w:cstheme="minorBidi"/>
        </w:rPr>
        <w:t>The degree of automation in processes at your site/company is significant.</w:t>
      </w:r>
    </w:p>
    <w:p w14:paraId="19AF76D2" w14:textId="77777777" w:rsidR="000D4D4C" w:rsidRPr="004125FF" w:rsidRDefault="000D4D4C" w:rsidP="000D4D4C">
      <w:pPr>
        <w:pStyle w:val="BodyText"/>
        <w:numPr>
          <w:ilvl w:val="0"/>
          <w:numId w:val="27"/>
        </w:numPr>
        <w:rPr>
          <w:rFonts w:asciiTheme="minorBidi" w:hAnsiTheme="minorBidi" w:cstheme="minorBidi"/>
        </w:rPr>
      </w:pPr>
      <w:r w:rsidRPr="004125FF">
        <w:rPr>
          <w:rFonts w:asciiTheme="minorBidi" w:hAnsiTheme="minorBidi" w:cstheme="minorBidi"/>
        </w:rPr>
        <w:t>Do you believe the existing telecommunications infrastructure is sufficient to facilitate digital transformation in Libya?</w:t>
      </w:r>
    </w:p>
    <w:p w14:paraId="7B6E0E68" w14:textId="77777777" w:rsidR="000D4D4C" w:rsidRPr="004125FF" w:rsidRDefault="000D4D4C" w:rsidP="000D4D4C">
      <w:pPr>
        <w:pStyle w:val="01PaperTitle"/>
        <w:jc w:val="both"/>
        <w:rPr>
          <w:rFonts w:asciiTheme="minorBidi" w:eastAsia="SimSun" w:hAnsiTheme="minorBidi" w:cstheme="minorBidi"/>
          <w:noProof w:val="0"/>
          <w:sz w:val="20"/>
          <w:szCs w:val="20"/>
        </w:rPr>
      </w:pPr>
      <w:r w:rsidRPr="004125FF">
        <w:rPr>
          <w:rFonts w:asciiTheme="minorBidi" w:eastAsia="SimSun" w:hAnsiTheme="minorBidi" w:cstheme="minorBidi"/>
          <w:noProof w:val="0"/>
          <w:spacing w:val="-1"/>
          <w:sz w:val="20"/>
          <w:szCs w:val="20"/>
          <w:lang w:val="en-GB"/>
        </w:rPr>
        <w:t>This section comprises enquiries gathered from interviews with directors in telecommunications companies, as they are responsible for the decisions of digital development in Libya. The main point of the enquiries is as follows:</w:t>
      </w:r>
    </w:p>
    <w:p w14:paraId="482BADDB" w14:textId="77777777" w:rsidR="000D4D4C" w:rsidRPr="004125FF" w:rsidRDefault="000D4D4C" w:rsidP="000D4D4C">
      <w:pPr>
        <w:pStyle w:val="01PaperTitle"/>
        <w:numPr>
          <w:ilvl w:val="0"/>
          <w:numId w:val="28"/>
        </w:numPr>
        <w:jc w:val="both"/>
        <w:rPr>
          <w:rFonts w:asciiTheme="minorBidi" w:eastAsia="SimSun" w:hAnsiTheme="minorBidi" w:cstheme="minorBidi"/>
          <w:noProof w:val="0"/>
          <w:sz w:val="20"/>
          <w:szCs w:val="20"/>
          <w:lang w:val="en-GB"/>
        </w:rPr>
      </w:pPr>
      <w:r w:rsidRPr="004125FF">
        <w:rPr>
          <w:rFonts w:asciiTheme="minorBidi" w:eastAsia="SimSun" w:hAnsiTheme="minorBidi" w:cstheme="minorBidi"/>
          <w:noProof w:val="0"/>
          <w:sz w:val="20"/>
          <w:szCs w:val="20"/>
        </w:rPr>
        <w:t>The strategy for the next three to five years concerning the growth of digital development.</w:t>
      </w:r>
    </w:p>
    <w:p w14:paraId="4EB990FC" w14:textId="77777777" w:rsidR="000D4D4C" w:rsidRPr="004125FF" w:rsidRDefault="000D4D4C" w:rsidP="000D4D4C">
      <w:pPr>
        <w:pStyle w:val="01PaperTitle"/>
        <w:numPr>
          <w:ilvl w:val="0"/>
          <w:numId w:val="28"/>
        </w:numPr>
        <w:jc w:val="both"/>
        <w:rPr>
          <w:rFonts w:asciiTheme="minorBidi" w:eastAsia="SimSun" w:hAnsiTheme="minorBidi" w:cstheme="minorBidi"/>
          <w:noProof w:val="0"/>
          <w:sz w:val="20"/>
          <w:szCs w:val="20"/>
          <w:lang w:val="en-GB"/>
        </w:rPr>
      </w:pPr>
      <w:r w:rsidRPr="004125FF">
        <w:rPr>
          <w:rFonts w:asciiTheme="minorBidi" w:eastAsia="SimSun" w:hAnsiTheme="minorBidi" w:cstheme="minorBidi"/>
          <w:noProof w:val="0"/>
          <w:sz w:val="20"/>
          <w:szCs w:val="20"/>
          <w:lang w:val="en-GB"/>
        </w:rPr>
        <w:t>The efficiency of existing infrastructure.</w:t>
      </w:r>
    </w:p>
    <w:p w14:paraId="3FFBF900" w14:textId="77777777" w:rsidR="000D4D4C" w:rsidRPr="004125FF" w:rsidRDefault="000D4D4C" w:rsidP="000D4D4C">
      <w:pPr>
        <w:pStyle w:val="01PaperTitle"/>
        <w:numPr>
          <w:ilvl w:val="0"/>
          <w:numId w:val="28"/>
        </w:numPr>
        <w:jc w:val="both"/>
        <w:rPr>
          <w:rFonts w:asciiTheme="minorBidi" w:eastAsia="SimSun" w:hAnsiTheme="minorBidi" w:cstheme="minorBidi"/>
          <w:noProof w:val="0"/>
          <w:sz w:val="20"/>
          <w:szCs w:val="20"/>
        </w:rPr>
      </w:pPr>
      <w:r w:rsidRPr="004125FF">
        <w:rPr>
          <w:rFonts w:asciiTheme="minorBidi" w:eastAsia="SimSun" w:hAnsiTheme="minorBidi" w:cstheme="minorBidi"/>
          <w:noProof w:val="0"/>
          <w:sz w:val="20"/>
          <w:szCs w:val="20"/>
        </w:rPr>
        <w:t>Employee competence and readiness to implement digital transformation projects.</w:t>
      </w:r>
    </w:p>
    <w:p w14:paraId="408C4C97" w14:textId="77777777" w:rsidR="000D4D4C" w:rsidRPr="004125FF" w:rsidRDefault="000D4D4C" w:rsidP="000D4D4C">
      <w:pPr>
        <w:pStyle w:val="01PaperTitle"/>
        <w:numPr>
          <w:ilvl w:val="0"/>
          <w:numId w:val="28"/>
        </w:numPr>
        <w:jc w:val="both"/>
        <w:rPr>
          <w:rFonts w:asciiTheme="minorBidi" w:eastAsia="SimSun" w:hAnsiTheme="minorBidi" w:cstheme="minorBidi"/>
          <w:noProof w:val="0"/>
          <w:sz w:val="20"/>
          <w:szCs w:val="20"/>
        </w:rPr>
      </w:pPr>
      <w:r w:rsidRPr="004125FF">
        <w:rPr>
          <w:rFonts w:asciiTheme="minorBidi" w:hAnsiTheme="minorBidi" w:cstheme="minorBidi"/>
          <w:sz w:val="20"/>
          <w:szCs w:val="20"/>
          <w:shd w:val="clear" w:color="auto" w:fill="FFFFFF"/>
        </w:rPr>
        <w:t>Which contemporary technology, including artificial intelligence, cloud computing, virtual reality, augmented reality, and the Internet of Things, do you expect will exert the most beneficial effects on your business? Does your organisation allocate resources to these technologies?</w:t>
      </w:r>
    </w:p>
    <w:p w14:paraId="42656DCD" w14:textId="0DD5C3BA" w:rsidR="006C784D" w:rsidRPr="004125FF" w:rsidRDefault="000D4D4C" w:rsidP="006C784D">
      <w:pPr>
        <w:pStyle w:val="01PaperTitle"/>
        <w:numPr>
          <w:ilvl w:val="0"/>
          <w:numId w:val="28"/>
        </w:numPr>
        <w:jc w:val="both"/>
        <w:rPr>
          <w:rFonts w:asciiTheme="minorBidi" w:eastAsia="SimSun" w:hAnsiTheme="minorBidi" w:cstheme="minorBidi"/>
          <w:noProof w:val="0"/>
          <w:sz w:val="20"/>
          <w:szCs w:val="20"/>
        </w:rPr>
      </w:pPr>
      <w:r w:rsidRPr="004125FF">
        <w:rPr>
          <w:rFonts w:asciiTheme="minorBidi" w:hAnsiTheme="minorBidi" w:cstheme="minorBidi"/>
          <w:sz w:val="20"/>
          <w:szCs w:val="20"/>
          <w:shd w:val="clear" w:color="auto" w:fill="FFFFFF"/>
        </w:rPr>
        <w:t>The flexibility and capacity of Libyan laws to support digital transformation..</w:t>
      </w:r>
    </w:p>
    <w:p w14:paraId="335BC5F7" w14:textId="4CB2FF30" w:rsidR="000D4D4C" w:rsidRPr="00317F82" w:rsidRDefault="000D4D4C" w:rsidP="000D4D4C">
      <w:pPr>
        <w:pStyle w:val="Heading2"/>
        <w:numPr>
          <w:ilvl w:val="1"/>
          <w:numId w:val="20"/>
        </w:numPr>
        <w:rPr>
          <w:rFonts w:asciiTheme="minorBidi" w:hAnsiTheme="minorBidi" w:cstheme="minorBidi"/>
          <w:b/>
          <w:bCs/>
          <w:i w:val="0"/>
          <w:iCs w:val="0"/>
          <w:sz w:val="22"/>
          <w:szCs w:val="22"/>
        </w:rPr>
      </w:pPr>
      <w:r w:rsidRPr="00317F82">
        <w:rPr>
          <w:rFonts w:asciiTheme="minorBidi" w:hAnsiTheme="minorBidi" w:cstheme="minorBidi"/>
          <w:b/>
          <w:bCs/>
          <w:i w:val="0"/>
          <w:iCs w:val="0"/>
          <w:sz w:val="22"/>
          <w:szCs w:val="22"/>
        </w:rPr>
        <w:t>Data Cleaning</w:t>
      </w:r>
    </w:p>
    <w:p w14:paraId="09F4B39A" w14:textId="77777777" w:rsidR="00317F82" w:rsidRPr="00317F82" w:rsidRDefault="00317F82" w:rsidP="00317F82"/>
    <w:p w14:paraId="4952AA27" w14:textId="4911C845" w:rsidR="006C784D" w:rsidRPr="004125FF" w:rsidRDefault="000D4D4C" w:rsidP="00FA55C8">
      <w:pPr>
        <w:jc w:val="both"/>
        <w:rPr>
          <w:rFonts w:asciiTheme="minorBidi" w:hAnsiTheme="minorBidi" w:cstheme="minorBidi"/>
          <w:lang w:eastAsia="en-GB"/>
        </w:rPr>
      </w:pPr>
      <w:r w:rsidRPr="004125FF">
        <w:rPr>
          <w:rFonts w:asciiTheme="minorBidi" w:hAnsiTheme="minorBidi" w:cstheme="minorBidi"/>
          <w:lang w:eastAsia="en-GB"/>
        </w:rPr>
        <w:t>Data quality is often characterised by attributes such as integrity, completeness, validity, and consistency. Evaluating the integrity of web-based survey data and executing a data cleaning procedure before analysis are essential tasks frequently neglected by researchers. To obtain coherent and valid responses from telecom consumers, the same question was presented in multiple formats to detect any inconsistencies in the individual's answers. All extraneous and irrational responses were subsequently rectified. This strategy aimed to assess the customer's understanding and awareness of technology usage. We examined the open-ended responses to identify any unclear or illogical patterns, as well as any repeating answers. The data cleaning process entails identifying and rectifying missing values, removing duplicate entries, standardising formats, detecting outliers, and verifying the quality of responses</w:t>
      </w:r>
      <w:r w:rsidR="008C7E5E">
        <w:rPr>
          <w:rFonts w:asciiTheme="minorBidi" w:hAnsiTheme="minorBidi" w:cstheme="minorBidi"/>
          <w:lang w:eastAsia="en-GB"/>
        </w:rPr>
        <w:t xml:space="preserve"> </w:t>
      </w:r>
      <w:r w:rsidR="008C7E5E">
        <w:rPr>
          <w:rFonts w:asciiTheme="minorBidi" w:hAnsiTheme="minorBidi" w:cstheme="minorBidi"/>
          <w:lang w:eastAsia="en-GB"/>
        </w:rPr>
        <w:fldChar w:fldCharType="begin" w:fldLock="1"/>
      </w:r>
      <w:r w:rsidR="004D74B5">
        <w:rPr>
          <w:rFonts w:asciiTheme="minorBidi" w:hAnsiTheme="minorBidi" w:cstheme="minorBidi"/>
          <w:lang w:eastAsia="en-GB"/>
        </w:rPr>
        <w:instrText>ADDIN CSL_CITATION {"citationItems":[{"id":"ITEM-1","itemData":{"DOI":"10.3390/encyclopedia2010032","abstract":"Data Quality is, in essence, understood as the degree to which the data of interest satisfies the requirements, is free of flaws, and is suited for the intended purpose. Data Quality is usually measured utilizing several criteria, which may differ in terms of assigned importance, depending on, e.g., the data at hand, stakeholders, or the intended use.","author":[{"dropping-particle":"","family":"Hassenstein","given":"Max J.","non-dropping-particle":"","parse-names":false,"suffix":""},{"dropping-particle":"","family":"Vanella","given":"Patrizio","non-dropping-particle":"","parse-names":false,"suffix":""}],"container-title":"Encyclopedia","id":"ITEM-1","issue":"1","issued":{"date-parts":[["2022"]]},"page":"498-510","title":"Data Quality—Concepts and Problems","type":"article-journal","volume":"2"},"uris":["http://www.mendeley.com/documents/?uuid=ccd81503-583b-4ea2-a55f-088812849e4d"]}],"mendeley":{"formattedCitation":"(Hassenstein &amp; Vanella, 2022)","plainTextFormattedCitation":"(Hassenstein &amp; Vanella, 2022)","previouslyFormattedCitation":"(Hassenstein &amp; Vanella, 2022)"},"properties":{"noteIndex":0},"schema":"https://github.com/citation-style-language/schema/raw/master/csl-citation.json"}</w:instrText>
      </w:r>
      <w:r w:rsidR="008C7E5E">
        <w:rPr>
          <w:rFonts w:asciiTheme="minorBidi" w:hAnsiTheme="minorBidi" w:cstheme="minorBidi"/>
          <w:lang w:eastAsia="en-GB"/>
        </w:rPr>
        <w:fldChar w:fldCharType="separate"/>
      </w:r>
      <w:r w:rsidR="00FA55C8" w:rsidRPr="00FA55C8">
        <w:rPr>
          <w:rFonts w:asciiTheme="minorBidi" w:hAnsiTheme="minorBidi" w:cstheme="minorBidi"/>
          <w:noProof/>
          <w:lang w:eastAsia="en-GB"/>
        </w:rPr>
        <w:t>(Hassenstein &amp; Vanella, 2022)</w:t>
      </w:r>
      <w:r w:rsidR="008C7E5E">
        <w:rPr>
          <w:rFonts w:asciiTheme="minorBidi" w:hAnsiTheme="minorBidi" w:cstheme="minorBidi"/>
          <w:lang w:eastAsia="en-GB"/>
        </w:rPr>
        <w:fldChar w:fldCharType="end"/>
      </w:r>
      <w:r w:rsidRPr="004125FF">
        <w:rPr>
          <w:rFonts w:asciiTheme="minorBidi" w:hAnsiTheme="minorBidi" w:cstheme="minorBidi"/>
          <w:lang w:eastAsia="en-GB"/>
        </w:rPr>
        <w:t>.</w:t>
      </w:r>
    </w:p>
    <w:p w14:paraId="3384477D" w14:textId="0D8B07FD" w:rsidR="00317F82" w:rsidRDefault="000D4D4C" w:rsidP="00317F82">
      <w:pPr>
        <w:pStyle w:val="Heading2"/>
        <w:numPr>
          <w:ilvl w:val="1"/>
          <w:numId w:val="20"/>
        </w:numPr>
        <w:jc w:val="both"/>
        <w:rPr>
          <w:rFonts w:asciiTheme="minorBidi" w:hAnsiTheme="minorBidi" w:cstheme="minorBidi"/>
          <w:b/>
          <w:bCs/>
          <w:i w:val="0"/>
          <w:iCs w:val="0"/>
          <w:sz w:val="22"/>
          <w:szCs w:val="22"/>
        </w:rPr>
      </w:pPr>
      <w:r w:rsidRPr="00317F82">
        <w:rPr>
          <w:rFonts w:asciiTheme="minorBidi" w:hAnsiTheme="minorBidi" w:cstheme="minorBidi"/>
          <w:b/>
          <w:bCs/>
          <w:i w:val="0"/>
          <w:iCs w:val="0"/>
          <w:sz w:val="22"/>
          <w:szCs w:val="22"/>
        </w:rPr>
        <w:t>Data Description</w:t>
      </w:r>
    </w:p>
    <w:p w14:paraId="29BE210B" w14:textId="77777777" w:rsidR="00317F82" w:rsidRPr="00317F82" w:rsidRDefault="00317F82" w:rsidP="00317F82"/>
    <w:p w14:paraId="5A4CFEDA" w14:textId="2EDA2D9B" w:rsidR="000D4D4C" w:rsidRPr="004125FF" w:rsidRDefault="000D4D4C" w:rsidP="000D4D4C">
      <w:pPr>
        <w:pStyle w:val="BodyText"/>
        <w:ind w:firstLine="0"/>
        <w:rPr>
          <w:rFonts w:asciiTheme="minorBidi" w:hAnsiTheme="minorBidi" w:cstheme="minorBidi"/>
        </w:rPr>
      </w:pPr>
      <w:r w:rsidRPr="004125FF">
        <w:rPr>
          <w:rFonts w:asciiTheme="minorBidi" w:hAnsiTheme="minorBidi" w:cstheme="minorBidi"/>
        </w:rPr>
        <w:t xml:space="preserve">Data obtained via Google Forms surveys and interviews offered significant insights that immediately aided in evaluating the organization's digital maturity. As mentioned earlier, separate questionnaires are available for customers and workers of telecommunications companies, as well as interviews with decision-makers at these companies. The sample comprised customers from 24 cities located in the eastern, western, and southern regions of Libya. Their replies were almost indistinguishable in terms of quality and expense. The majority of telecom customers perceive that their daily usage predominantly centres on entertainment, with a minimal fraction allocated to academic pursuits. Feedback </w:t>
      </w:r>
      <w:r w:rsidRPr="004125FF">
        <w:rPr>
          <w:rFonts w:asciiTheme="minorBidi" w:hAnsiTheme="minorBidi" w:cstheme="minorBidi"/>
        </w:rPr>
        <w:lastRenderedPageBreak/>
        <w:t>regarding speed was assessed as average to good. Survey respondents reported that they do not utilize technological methods for governmental operations and that paper-based systems continue to be the dominant method. Moreover, although electronic resources are occasionally accessible, they often experience interruptions or require a substantial amount of time to execute operations. Responses indicate that some customers lack the requisite expertise to utilize digital services effectively and often seek assistance in doing so. Numerous individuals reported recurrent internet disruptions during standard phone calls, underscoring deficiencies in the telecommunications infrastructure.</w:t>
      </w:r>
    </w:p>
    <w:p w14:paraId="56D9E69B" w14:textId="77777777" w:rsidR="000D4D4C" w:rsidRPr="004125FF" w:rsidRDefault="000D4D4C" w:rsidP="000D4D4C">
      <w:pPr>
        <w:pStyle w:val="BodyText"/>
        <w:ind w:firstLine="0"/>
        <w:rPr>
          <w:rFonts w:asciiTheme="minorBidi" w:hAnsiTheme="minorBidi" w:cstheme="minorBidi"/>
          <w:shd w:val="clear" w:color="auto" w:fill="FFFFFF"/>
          <w:lang w:val="tr-TR"/>
        </w:rPr>
      </w:pPr>
      <w:r w:rsidRPr="004125FF">
        <w:rPr>
          <w:rFonts w:asciiTheme="minorBidi" w:hAnsiTheme="minorBidi" w:cstheme="minorBidi"/>
          <w:shd w:val="clear" w:color="auto" w:fill="FFFFFF"/>
        </w:rPr>
        <w:t>The second section of the study concentrated on questions directed to employees of telecommunications companies. The survey examined employees' preparedness to execute digital transformation efforts. It also examined the principal barriers that may impede service enhancement, along with technologies that are presently inaccessible but could propel digital projects forward. Upon examining the responses, it became apparent that a conclusive implementation strategy is lacking and that the digital infrastructure is insufficient, despite continuous development efforts. The comments indicate a distinct enthusiasm for developing digital projects; however, the absence of a clear vision and strategic plan represents a considerable barrier to implementing digital transformation.</w:t>
      </w:r>
      <w:r w:rsidRPr="004125FF">
        <w:rPr>
          <w:rFonts w:asciiTheme="minorBidi" w:hAnsiTheme="minorBidi" w:cstheme="minorBidi"/>
          <w:shd w:val="clear" w:color="auto" w:fill="FFFFFF"/>
          <w:lang w:val="tr-TR"/>
        </w:rPr>
        <w:t xml:space="preserve"> </w:t>
      </w:r>
    </w:p>
    <w:p w14:paraId="0070BA5B" w14:textId="77777777" w:rsidR="000D4D4C" w:rsidRPr="004125FF" w:rsidRDefault="000D4D4C" w:rsidP="000D4D4C">
      <w:pPr>
        <w:jc w:val="both"/>
        <w:rPr>
          <w:rFonts w:asciiTheme="minorBidi" w:hAnsiTheme="minorBidi" w:cstheme="minorBidi"/>
          <w:spacing w:val="-1"/>
          <w:shd w:val="clear" w:color="auto" w:fill="FFFFFF"/>
          <w:lang w:val="tr-TR"/>
        </w:rPr>
      </w:pPr>
      <w:r w:rsidRPr="004125FF">
        <w:rPr>
          <w:rFonts w:asciiTheme="minorBidi" w:hAnsiTheme="minorBidi" w:cstheme="minorBidi"/>
          <w:spacing w:val="-1"/>
          <w:shd w:val="clear" w:color="auto" w:fill="FFFFFF"/>
          <w:lang w:val="tr-TR"/>
        </w:rPr>
        <w:t>The last section of the survey includes direct interviews with several officials from telecommunications firms, including Hatif Libya, Al-Madar, Libyana, and Libya Telecom and Technology. All leaders emphasized the need to advance the telecommunications sector. A top management official announced that they are currently upgrading the telecommunications infrastructure through the Fibre to the Home (FTTH) initiative. He highlighted the financial challenges facing this project, noting that its practical implementation would have a positive impact on the progress of the telecom sector. In a different context, another official underscored the importance of fostering a suitable environment, which entails enforcing Libyan laws to prosecute cyber crimes, imposing penalties on those hindering digital project progress, augmenting cybersecurity measures, and legislating to streamline daily digital transactions. In response to inquiries about methods for the digital transformation initiative, another official indicated that the strategy requires joint efforts among Libyan telecom providers. He underscored the necessity of augmenting digital awareness among administrative and technical staff via specialised training initiatives. In conclusion, digital transformation necessitates ongoing commitment from all stakeholders and the development of strategic plans to advance in alignment with the global telecom sector.</w:t>
      </w:r>
    </w:p>
    <w:p w14:paraId="7FA9D3B3" w14:textId="77777777" w:rsidR="000D4D4C" w:rsidRPr="00317F82" w:rsidRDefault="000D4D4C" w:rsidP="000D4D4C">
      <w:pPr>
        <w:jc w:val="both"/>
        <w:rPr>
          <w:rFonts w:asciiTheme="minorBidi" w:hAnsiTheme="minorBidi" w:cstheme="minorBidi"/>
          <w:sz w:val="22"/>
          <w:szCs w:val="22"/>
          <w:lang w:val="tr-TR" w:eastAsia="en-GB"/>
        </w:rPr>
      </w:pPr>
    </w:p>
    <w:p w14:paraId="312B8565" w14:textId="77777777" w:rsidR="000D4D4C" w:rsidRPr="00317F82" w:rsidRDefault="000D4D4C" w:rsidP="000D4D4C">
      <w:pPr>
        <w:jc w:val="both"/>
        <w:rPr>
          <w:rFonts w:asciiTheme="minorBidi" w:eastAsia="Times New Roman" w:hAnsiTheme="minorBidi" w:cstheme="minorBidi"/>
          <w:b/>
          <w:bCs/>
          <w:sz w:val="22"/>
          <w:szCs w:val="22"/>
          <w:lang w:eastAsia="en-GB"/>
        </w:rPr>
      </w:pPr>
      <w:r w:rsidRPr="00317F82">
        <w:rPr>
          <w:rFonts w:asciiTheme="minorBidi" w:eastAsia="Times New Roman" w:hAnsiTheme="minorBidi" w:cstheme="minorBidi"/>
          <w:b/>
          <w:bCs/>
          <w:sz w:val="22"/>
          <w:szCs w:val="22"/>
          <w:lang w:eastAsia="en-GB"/>
        </w:rPr>
        <w:t>3.4 The Composite Index for Mixed-method Qualitative Survey (CIMAS)</w:t>
      </w:r>
    </w:p>
    <w:p w14:paraId="5A83D01D" w14:textId="77777777" w:rsidR="006C784D" w:rsidRPr="004125FF" w:rsidRDefault="006C784D" w:rsidP="000D4D4C">
      <w:pPr>
        <w:jc w:val="both"/>
        <w:rPr>
          <w:rFonts w:asciiTheme="minorBidi" w:eastAsia="Times New Roman" w:hAnsiTheme="minorBidi" w:cstheme="minorBidi"/>
          <w:lang w:eastAsia="en-GB"/>
        </w:rPr>
      </w:pPr>
    </w:p>
    <w:p w14:paraId="6DA9535F" w14:textId="59682E78" w:rsidR="000D4D4C" w:rsidRPr="004125FF" w:rsidRDefault="000D4D4C" w:rsidP="000D4D4C">
      <w:pPr>
        <w:jc w:val="both"/>
        <w:rPr>
          <w:rFonts w:asciiTheme="minorBidi" w:eastAsia="Times New Roman" w:hAnsiTheme="minorBidi" w:cstheme="minorBidi"/>
          <w:lang w:eastAsia="en-GB"/>
        </w:rPr>
      </w:pPr>
      <w:r w:rsidRPr="004125FF">
        <w:rPr>
          <w:rFonts w:asciiTheme="minorBidi" w:eastAsia="Times New Roman" w:hAnsiTheme="minorBidi" w:cstheme="minorBidi"/>
          <w:lang w:eastAsia="en-GB"/>
        </w:rPr>
        <w:t xml:space="preserve">In this phase, a specific dynamic model is used to </w:t>
      </w:r>
      <w:r w:rsidR="008C7E5E" w:rsidRPr="004125FF">
        <w:rPr>
          <w:rFonts w:asciiTheme="minorBidi" w:eastAsia="Times New Roman" w:hAnsiTheme="minorBidi" w:cstheme="minorBidi"/>
          <w:lang w:eastAsia="en-GB"/>
        </w:rPr>
        <w:t>analyse</w:t>
      </w:r>
      <w:r w:rsidRPr="004125FF">
        <w:rPr>
          <w:rFonts w:asciiTheme="minorBidi" w:eastAsia="Times New Roman" w:hAnsiTheme="minorBidi" w:cstheme="minorBidi"/>
          <w:lang w:eastAsia="en-GB"/>
        </w:rPr>
        <w:t xml:space="preserve"> the data gathered for the study. The primary reason for using this method is to gain a comprehensive view that enables companies to determine how to enhance their services through digital transformation, focusing on the most critical aspects. This picture represents the numerical value of each question and its corresponding weight within a thematic axis. There are three main steps of computation in the process:</w:t>
      </w:r>
    </w:p>
    <w:p w14:paraId="0955C192" w14:textId="77777777" w:rsidR="000D4D4C" w:rsidRPr="004125FF" w:rsidRDefault="000D4D4C" w:rsidP="000D4D4C">
      <w:pPr>
        <w:jc w:val="both"/>
        <w:rPr>
          <w:rFonts w:asciiTheme="minorBidi" w:eastAsia="Times New Roman" w:hAnsiTheme="minorBidi" w:cstheme="minorBidi"/>
          <w:lang w:eastAsia="en-GB"/>
        </w:rPr>
      </w:pPr>
    </w:p>
    <w:p w14:paraId="26560173" w14:textId="5A492238" w:rsidR="000D4D4C" w:rsidRPr="004125FF" w:rsidRDefault="000D4D4C" w:rsidP="000D4D4C">
      <w:pPr>
        <w:pStyle w:val="ListParagraph"/>
        <w:numPr>
          <w:ilvl w:val="0"/>
          <w:numId w:val="29"/>
        </w:numPr>
        <w:spacing w:after="160" w:line="259" w:lineRule="auto"/>
        <w:jc w:val="both"/>
        <w:rPr>
          <w:rFonts w:asciiTheme="minorBidi" w:eastAsia="Times New Roman" w:hAnsiTheme="minorBidi"/>
          <w:sz w:val="20"/>
          <w:szCs w:val="20"/>
          <w:lang w:eastAsia="en-GB"/>
        </w:rPr>
      </w:pPr>
      <w:r w:rsidRPr="004125FF">
        <w:rPr>
          <w:rFonts w:asciiTheme="minorBidi" w:eastAsia="Times New Roman" w:hAnsiTheme="minorBidi"/>
          <w:sz w:val="20"/>
          <w:szCs w:val="20"/>
          <w:lang w:eastAsia="en-GB"/>
        </w:rPr>
        <w:t xml:space="preserve">Indicator Value Computation per Question </w:t>
      </w:r>
    </w:p>
    <w:p w14:paraId="07EC1821" w14:textId="695D2425" w:rsidR="000D4D4C" w:rsidRPr="004125FF" w:rsidRDefault="000D4D4C" w:rsidP="000D4D4C">
      <w:pPr>
        <w:jc w:val="both"/>
        <w:rPr>
          <w:rFonts w:asciiTheme="minorBidi" w:eastAsia="Times New Roman" w:hAnsiTheme="minorBidi" w:cstheme="minorBidi"/>
          <w:lang w:eastAsia="en-GB"/>
        </w:rPr>
      </w:pPr>
      <w:r w:rsidRPr="004125FF">
        <w:rPr>
          <w:rFonts w:asciiTheme="minorBidi" w:eastAsia="Times New Roman" w:hAnsiTheme="minorBidi" w:cstheme="minorBidi"/>
          <w:lang w:eastAsia="en-GB"/>
        </w:rPr>
        <w:t>The standardized Equation (1) was utilized for two primary categories of survey items: agreement-based questions employing ordinal response scales (e.g., "Disagree" to "Strongly Agree") and single-choice questions aimed at capturing participants' preferences or perceptions. Each option in these questions received a numeric value indicating its rank or intensity. The final indicator value for each question was computed using a formula that aggregates the weighted frequencies of participant selections. This process enabled the measurement of the significance of individual items based on participant engagement.</w:t>
      </w:r>
    </w:p>
    <w:p w14:paraId="3540983A" w14:textId="77777777" w:rsidR="000D4D4C" w:rsidRPr="004125FF" w:rsidRDefault="000D4D4C" w:rsidP="000D4D4C">
      <w:pPr>
        <w:jc w:val="both"/>
        <w:rPr>
          <w:rFonts w:asciiTheme="minorBidi" w:eastAsia="Times New Roman" w:hAnsiTheme="minorBidi" w:cstheme="minorBidi"/>
          <w:lang w:eastAsia="en-GB"/>
        </w:rPr>
      </w:pPr>
    </w:p>
    <w:p w14:paraId="07666F13" w14:textId="06318AFA" w:rsidR="000D4D4C" w:rsidRDefault="00520C61" w:rsidP="000D4D4C">
      <w:pPr>
        <w:rPr>
          <w:rFonts w:asciiTheme="minorBidi" w:eastAsiaTheme="minorEastAsia" w:hAnsiTheme="minorBidi" w:cstheme="minorBidi"/>
        </w:rPr>
      </w:pPr>
      <m:oMath>
        <m:sSub>
          <m:sSubPr>
            <m:ctrlPr>
              <w:rPr>
                <w:rFonts w:ascii="Cambria Math" w:eastAsiaTheme="minorEastAsia" w:hAnsi="Cambria Math" w:cstheme="minorBidi"/>
                <w:i/>
              </w:rPr>
            </m:ctrlPr>
          </m:sSubPr>
          <m:e>
            <m:r>
              <w:rPr>
                <w:rFonts w:ascii="Cambria Math" w:eastAsiaTheme="minorEastAsia" w:hAnsi="Cambria Math" w:cstheme="minorBidi"/>
              </w:rPr>
              <m:t>Q</m:t>
            </m:r>
          </m:e>
          <m:sub>
            <m:r>
              <w:rPr>
                <w:rFonts w:ascii="Cambria Math" w:eastAsiaTheme="minorEastAsia" w:hAnsi="Cambria Math" w:cstheme="minorBidi"/>
              </w:rPr>
              <m:t>i</m:t>
            </m:r>
          </m:sub>
        </m:sSub>
        <m:r>
          <w:rPr>
            <w:rFonts w:ascii="Cambria Math" w:eastAsiaTheme="minorEastAsia" w:hAnsi="Cambria Math" w:cstheme="minorBidi"/>
          </w:rPr>
          <m:t>=</m:t>
        </m:r>
        <m:f>
          <m:fPr>
            <m:ctrlPr>
              <w:rPr>
                <w:rFonts w:ascii="Cambria Math" w:eastAsiaTheme="minorEastAsia" w:hAnsi="Cambria Math" w:cstheme="minorBidi"/>
                <w:i/>
              </w:rPr>
            </m:ctrlPr>
          </m:fPr>
          <m:num>
            <m:sSub>
              <m:sSubPr>
                <m:ctrlPr>
                  <w:rPr>
                    <w:rFonts w:ascii="Cambria Math" w:eastAsiaTheme="minorEastAsia" w:hAnsi="Cambria Math" w:cstheme="minorBidi"/>
                    <w:i/>
                  </w:rPr>
                </m:ctrlPr>
              </m:sSubPr>
              <m:e>
                <m:r>
                  <w:rPr>
                    <w:rFonts w:ascii="Cambria Math" w:eastAsiaTheme="minorEastAsia" w:hAnsi="Cambria Math" w:cstheme="minorBidi"/>
                  </w:rPr>
                  <m:t>(</m:t>
                </m:r>
                <m:r>
                  <w:rPr>
                    <w:rFonts w:ascii="Cambria Math" w:eastAsiaTheme="minorEastAsia" w:hAnsi="Cambria Math" w:cstheme="minorBidi"/>
                  </w:rPr>
                  <m:t>N</m:t>
                </m:r>
              </m:e>
              <m:sub>
                <m:r>
                  <w:rPr>
                    <w:rFonts w:ascii="Cambria Math" w:eastAsiaTheme="minorEastAsia" w:hAnsi="Cambria Math" w:cstheme="minorBidi"/>
                  </w:rPr>
                  <m:t>1</m:t>
                </m:r>
              </m:sub>
            </m:sSub>
            <m:r>
              <w:rPr>
                <w:rFonts w:ascii="Cambria Math" w:eastAsiaTheme="minorEastAsia" w:hAnsi="Cambria Math" w:cstheme="minorBidi"/>
              </w:rPr>
              <m:t>*</m:t>
            </m:r>
            <m:r>
              <w:rPr>
                <w:rFonts w:ascii="Cambria Math" w:eastAsiaTheme="minorEastAsia" w:hAnsi="Cambria Math" w:cstheme="minorBidi"/>
              </w:rPr>
              <m:t>1)+.....+(</m:t>
            </m:r>
            <m:sSub>
              <m:sSubPr>
                <m:ctrlPr>
                  <w:rPr>
                    <w:rFonts w:ascii="Cambria Math" w:eastAsiaTheme="minorEastAsia" w:hAnsi="Cambria Math" w:cstheme="minorBidi"/>
                    <w:i/>
                  </w:rPr>
                </m:ctrlPr>
              </m:sSubPr>
              <m:e>
                <m:r>
                  <w:rPr>
                    <w:rFonts w:ascii="Cambria Math" w:eastAsiaTheme="minorEastAsia" w:hAnsi="Cambria Math" w:cstheme="minorBidi"/>
                  </w:rPr>
                  <m:t>N</m:t>
                </m:r>
              </m:e>
              <m:sub>
                <m:r>
                  <w:rPr>
                    <w:rFonts w:ascii="Cambria Math" w:eastAsiaTheme="minorEastAsia" w:hAnsi="Cambria Math" w:cstheme="minorBidi"/>
                  </w:rPr>
                  <m:t>k</m:t>
                </m:r>
              </m:sub>
            </m:sSub>
            <m:r>
              <w:rPr>
                <w:rFonts w:ascii="Cambria Math" w:eastAsiaTheme="minorEastAsia" w:hAnsi="Cambria Math" w:cstheme="minorBidi"/>
              </w:rPr>
              <m:t>*</m:t>
            </m:r>
            <m:r>
              <w:rPr>
                <w:rFonts w:ascii="Cambria Math" w:eastAsiaTheme="minorEastAsia" w:hAnsi="Cambria Math" w:cstheme="minorBidi"/>
              </w:rPr>
              <m:t>k</m:t>
            </m:r>
            <m:r>
              <w:rPr>
                <w:rFonts w:ascii="Cambria Math" w:eastAsiaTheme="minorEastAsia" w:hAnsi="Cambria Math" w:cstheme="minorBidi"/>
              </w:rPr>
              <m:t>)</m:t>
            </m:r>
          </m:num>
          <m:den>
            <m:r>
              <w:rPr>
                <w:rFonts w:ascii="Cambria Math" w:eastAsiaTheme="minorEastAsia" w:hAnsi="Cambria Math" w:cstheme="minorBidi"/>
              </w:rPr>
              <m:t>T</m:t>
            </m:r>
          </m:den>
        </m:f>
      </m:oMath>
      <w:r w:rsidR="000D4D4C" w:rsidRPr="004125FF">
        <w:rPr>
          <w:rFonts w:asciiTheme="minorBidi" w:eastAsiaTheme="minorEastAsia" w:hAnsiTheme="minorBidi" w:cstheme="minorBidi"/>
        </w:rPr>
        <w:t xml:space="preserve">                      (1)</w:t>
      </w:r>
    </w:p>
    <w:p w14:paraId="35AD4268" w14:textId="77777777" w:rsidR="003D1D02" w:rsidRPr="004125FF" w:rsidRDefault="003D1D02" w:rsidP="000D4D4C">
      <w:pPr>
        <w:rPr>
          <w:rFonts w:asciiTheme="minorBidi" w:eastAsiaTheme="minorEastAsia" w:hAnsiTheme="minorBidi" w:cstheme="minorBidi"/>
        </w:rPr>
      </w:pPr>
    </w:p>
    <w:p w14:paraId="7FBFF182" w14:textId="77777777" w:rsidR="000D4D4C" w:rsidRPr="004125FF" w:rsidRDefault="000D4D4C" w:rsidP="000D4D4C">
      <w:pPr>
        <w:jc w:val="both"/>
        <w:rPr>
          <w:rFonts w:asciiTheme="minorBidi" w:hAnsiTheme="minorBidi" w:cstheme="minorBidi"/>
        </w:rPr>
      </w:pPr>
      <w:r w:rsidRPr="004125FF">
        <w:rPr>
          <w:rFonts w:asciiTheme="minorBidi" w:hAnsiTheme="minorBidi" w:cstheme="minorBidi"/>
        </w:rPr>
        <w:t xml:space="preserve">Where: </w:t>
      </w:r>
    </w:p>
    <w:p w14:paraId="01A0FE9E" w14:textId="77777777" w:rsidR="000D4D4C" w:rsidRPr="004125FF" w:rsidRDefault="00520C61" w:rsidP="000D4D4C">
      <w:pPr>
        <w:pStyle w:val="ListParagraph"/>
        <w:numPr>
          <w:ilvl w:val="0"/>
          <w:numId w:val="30"/>
        </w:numPr>
        <w:spacing w:after="160" w:line="259" w:lineRule="auto"/>
        <w:jc w:val="both"/>
        <w:rPr>
          <w:rFonts w:asciiTheme="minorBidi" w:hAnsiTheme="minorBidi"/>
          <w:sz w:val="20"/>
          <w:szCs w:val="20"/>
        </w:rPr>
      </w:pP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i</m:t>
            </m:r>
          </m:sub>
        </m:sSub>
      </m:oMath>
      <w:r w:rsidR="000D4D4C" w:rsidRPr="004125FF">
        <w:rPr>
          <w:rFonts w:asciiTheme="minorBidi" w:eastAsiaTheme="minorEastAsia" w:hAnsiTheme="minorBidi"/>
          <w:sz w:val="20"/>
          <w:szCs w:val="20"/>
        </w:rPr>
        <w:t xml:space="preserve"> Final indicator value for question </w:t>
      </w:r>
      <w:r w:rsidR="000D4D4C" w:rsidRPr="004125FF">
        <w:rPr>
          <w:rFonts w:asciiTheme="minorBidi" w:eastAsiaTheme="minorEastAsia" w:hAnsiTheme="minorBidi"/>
          <w:i/>
          <w:iCs/>
          <w:sz w:val="20"/>
          <w:szCs w:val="20"/>
        </w:rPr>
        <w:t>i.</w:t>
      </w:r>
    </w:p>
    <w:p w14:paraId="1854A694" w14:textId="77777777" w:rsidR="000D4D4C" w:rsidRPr="004125FF" w:rsidRDefault="00520C61" w:rsidP="000D4D4C">
      <w:pPr>
        <w:pStyle w:val="ListParagraph"/>
        <w:numPr>
          <w:ilvl w:val="0"/>
          <w:numId w:val="30"/>
        </w:numPr>
        <w:spacing w:after="160" w:line="259" w:lineRule="auto"/>
        <w:jc w:val="both"/>
        <w:rPr>
          <w:rFonts w:asciiTheme="minorBidi" w:hAnsiTheme="minorBidi"/>
          <w:sz w:val="20"/>
          <w:szCs w:val="20"/>
        </w:rPr>
      </w:pP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k</m:t>
            </m:r>
          </m:sub>
        </m:sSub>
      </m:oMath>
      <w:r w:rsidR="000D4D4C" w:rsidRPr="004125FF">
        <w:rPr>
          <w:rFonts w:asciiTheme="minorBidi" w:eastAsiaTheme="minorEastAsia" w:hAnsiTheme="minorBidi"/>
          <w:sz w:val="20"/>
          <w:szCs w:val="20"/>
        </w:rPr>
        <w:t xml:space="preserve">Number of respondents choosing option </w:t>
      </w:r>
      <w:r w:rsidR="000D4D4C" w:rsidRPr="004125FF">
        <w:rPr>
          <w:rFonts w:asciiTheme="minorBidi" w:eastAsiaTheme="minorEastAsia" w:hAnsiTheme="minorBidi"/>
          <w:i/>
          <w:iCs/>
          <w:sz w:val="20"/>
          <w:szCs w:val="20"/>
        </w:rPr>
        <w:t>k.</w:t>
      </w:r>
    </w:p>
    <w:p w14:paraId="02873192" w14:textId="77777777" w:rsidR="000D4D4C" w:rsidRPr="004125FF" w:rsidRDefault="000D4D4C" w:rsidP="000D4D4C">
      <w:pPr>
        <w:pStyle w:val="ListParagraph"/>
        <w:numPr>
          <w:ilvl w:val="0"/>
          <w:numId w:val="30"/>
        </w:numPr>
        <w:spacing w:after="160" w:line="259" w:lineRule="auto"/>
        <w:jc w:val="both"/>
        <w:rPr>
          <w:rFonts w:asciiTheme="minorBidi" w:hAnsiTheme="minorBidi"/>
          <w:sz w:val="20"/>
          <w:szCs w:val="20"/>
        </w:rPr>
      </w:pPr>
      <m:oMath>
        <m:r>
          <w:rPr>
            <w:rFonts w:ascii="Cambria Math" w:hAnsi="Cambria Math"/>
            <w:sz w:val="20"/>
            <w:szCs w:val="20"/>
          </w:rPr>
          <m:t>n</m:t>
        </m:r>
      </m:oMath>
      <w:r w:rsidRPr="004125FF">
        <w:rPr>
          <w:rFonts w:asciiTheme="minorBidi" w:eastAsiaTheme="minorEastAsia" w:hAnsiTheme="minorBidi"/>
          <w:sz w:val="20"/>
          <w:szCs w:val="20"/>
        </w:rPr>
        <w:t xml:space="preserve"> : Total number of response options.</w:t>
      </w:r>
    </w:p>
    <w:p w14:paraId="178556B1" w14:textId="77777777" w:rsidR="000D4D4C" w:rsidRPr="004125FF" w:rsidRDefault="000D4D4C" w:rsidP="000D4D4C">
      <w:pPr>
        <w:pStyle w:val="ListParagraph"/>
        <w:numPr>
          <w:ilvl w:val="0"/>
          <w:numId w:val="30"/>
        </w:numPr>
        <w:spacing w:after="160" w:line="259" w:lineRule="auto"/>
        <w:jc w:val="both"/>
        <w:rPr>
          <w:rFonts w:asciiTheme="minorBidi" w:hAnsiTheme="minorBidi"/>
          <w:sz w:val="20"/>
          <w:szCs w:val="20"/>
        </w:rPr>
      </w:pPr>
      <m:oMath>
        <m:r>
          <w:rPr>
            <w:rFonts w:ascii="Cambria Math" w:eastAsiaTheme="minorEastAsia" w:hAnsi="Cambria Math"/>
            <w:sz w:val="20"/>
            <w:szCs w:val="20"/>
          </w:rPr>
          <m:t>T</m:t>
        </m:r>
      </m:oMath>
      <w:r w:rsidRPr="004125FF">
        <w:rPr>
          <w:rFonts w:asciiTheme="minorBidi" w:eastAsiaTheme="minorEastAsia" w:hAnsiTheme="minorBidi"/>
          <w:sz w:val="20"/>
          <w:szCs w:val="20"/>
        </w:rPr>
        <w:t xml:space="preserve"> :</w:t>
      </w:r>
      <w:r w:rsidRPr="004125FF">
        <w:rPr>
          <w:rFonts w:asciiTheme="minorBidi" w:hAnsiTheme="minorBidi"/>
          <w:sz w:val="20"/>
          <w:szCs w:val="20"/>
        </w:rPr>
        <w:t xml:space="preserve"> Total number of respondents for the question.</w:t>
      </w:r>
    </w:p>
    <w:p w14:paraId="715B7950" w14:textId="6B4070E5" w:rsidR="000D4D4C" w:rsidRDefault="000D4D4C" w:rsidP="000D4D4C">
      <w:pPr>
        <w:jc w:val="both"/>
        <w:rPr>
          <w:rFonts w:asciiTheme="minorBidi" w:hAnsiTheme="minorBidi" w:cstheme="minorBidi"/>
        </w:rPr>
      </w:pPr>
      <w:r w:rsidRPr="004125FF">
        <w:rPr>
          <w:rFonts w:asciiTheme="minorBidi" w:hAnsiTheme="minorBidi" w:cstheme="minorBidi"/>
        </w:rPr>
        <w:t>To improve the operational efficiency of the survey instrument, a series of binary (Yes/No) questions was included. These items expedited data collection and diminished cognitive effort for participants. Equation (2) was used to determine the proportion of affirmative responses for each question, serving as a diagnostic measure of the existence or endorsement of a specific characteristic. The Equation is delineated as:</w:t>
      </w:r>
    </w:p>
    <w:p w14:paraId="2237E885" w14:textId="77777777" w:rsidR="003D1D02" w:rsidRPr="004125FF" w:rsidRDefault="003D1D02" w:rsidP="000D4D4C">
      <w:pPr>
        <w:jc w:val="both"/>
        <w:rPr>
          <w:rFonts w:asciiTheme="minorBidi" w:hAnsiTheme="minorBidi" w:cstheme="minorBidi"/>
        </w:rPr>
      </w:pPr>
    </w:p>
    <w:p w14:paraId="5D49E351" w14:textId="029D22EE" w:rsidR="000D4D4C" w:rsidRDefault="000D4D4C" w:rsidP="000D4D4C">
      <w:pPr>
        <w:rPr>
          <w:rFonts w:asciiTheme="minorBidi" w:eastAsiaTheme="minorEastAsia" w:hAnsiTheme="minorBidi" w:cstheme="minorBidi"/>
        </w:rPr>
      </w:pPr>
      <w:r w:rsidRPr="004125FF">
        <w:rPr>
          <w:rFonts w:asciiTheme="minorBidi" w:hAnsiTheme="minorBidi" w:cstheme="minorBidi"/>
        </w:rPr>
        <w:t xml:space="preserve">          </w:t>
      </w:r>
      <m:oMath>
        <m:sSub>
          <m:sSubPr>
            <m:ctrlPr>
              <w:rPr>
                <w:rFonts w:ascii="Cambria Math" w:eastAsiaTheme="minorEastAsia" w:hAnsi="Cambria Math" w:cstheme="minorBidi"/>
                <w:i/>
              </w:rPr>
            </m:ctrlPr>
          </m:sSubPr>
          <m:e>
            <m:r>
              <w:rPr>
                <w:rFonts w:ascii="Cambria Math" w:eastAsiaTheme="minorEastAsia" w:hAnsi="Cambria Math" w:cstheme="minorBidi"/>
              </w:rPr>
              <m:t>A</m:t>
            </m:r>
          </m:e>
          <m:sub>
            <m:r>
              <w:rPr>
                <w:rFonts w:ascii="Cambria Math" w:eastAsiaTheme="minorEastAsia" w:hAnsi="Cambria Math" w:cstheme="minorBidi"/>
              </w:rPr>
              <m:t>i</m:t>
            </m:r>
          </m:sub>
        </m:sSub>
        <m:r>
          <w:rPr>
            <w:rFonts w:ascii="Cambria Math" w:eastAsiaTheme="minorEastAsia" w:hAnsi="Cambria Math" w:cstheme="minorBidi"/>
          </w:rPr>
          <m:t>=</m:t>
        </m:r>
        <m:f>
          <m:fPr>
            <m:ctrlPr>
              <w:rPr>
                <w:rFonts w:ascii="Cambria Math" w:eastAsiaTheme="minorEastAsia" w:hAnsi="Cambria Math" w:cstheme="minorBidi"/>
                <w:i/>
              </w:rPr>
            </m:ctrlPr>
          </m:fPr>
          <m:num>
            <m:r>
              <w:rPr>
                <w:rFonts w:ascii="Cambria Math" w:eastAsiaTheme="minorEastAsia" w:hAnsi="Cambria Math" w:cstheme="minorBidi"/>
              </w:rPr>
              <m:t>y</m:t>
            </m:r>
          </m:num>
          <m:den>
            <m:r>
              <w:rPr>
                <w:rFonts w:ascii="Cambria Math" w:eastAsiaTheme="minorEastAsia" w:hAnsi="Cambria Math" w:cstheme="minorBidi"/>
              </w:rPr>
              <m:t>T</m:t>
            </m:r>
          </m:den>
        </m:f>
      </m:oMath>
      <w:r w:rsidRPr="004125FF">
        <w:rPr>
          <w:rFonts w:asciiTheme="minorBidi" w:eastAsiaTheme="minorEastAsia" w:hAnsiTheme="minorBidi" w:cstheme="minorBidi"/>
        </w:rPr>
        <w:t xml:space="preserve">                                   (2)</w:t>
      </w:r>
    </w:p>
    <w:p w14:paraId="6151A521" w14:textId="77777777" w:rsidR="003D1D02" w:rsidRPr="004125FF" w:rsidRDefault="003D1D02" w:rsidP="000D4D4C">
      <w:pPr>
        <w:rPr>
          <w:rFonts w:asciiTheme="minorBidi" w:eastAsiaTheme="minorEastAsia" w:hAnsiTheme="minorBidi" w:cstheme="minorBidi"/>
        </w:rPr>
      </w:pPr>
    </w:p>
    <w:p w14:paraId="76A27636" w14:textId="76E20147" w:rsidR="000D4D4C" w:rsidRDefault="000D4D4C" w:rsidP="000D4D4C">
      <w:pPr>
        <w:jc w:val="both"/>
        <w:rPr>
          <w:rFonts w:asciiTheme="minorBidi" w:eastAsiaTheme="minorEastAsia" w:hAnsiTheme="minorBidi" w:cstheme="minorBidi"/>
        </w:rPr>
      </w:pPr>
      <w:r w:rsidRPr="004125FF">
        <w:rPr>
          <w:rFonts w:asciiTheme="minorBidi" w:eastAsiaTheme="minorEastAsia" w:hAnsiTheme="minorBidi" w:cstheme="minorBidi"/>
        </w:rPr>
        <w:t>Where (y) signifies the quantity of respondents who answered "Yes" to item (</w:t>
      </w:r>
      <w:proofErr w:type="spellStart"/>
      <w:r w:rsidRPr="004125FF">
        <w:rPr>
          <w:rFonts w:asciiTheme="minorBidi" w:eastAsiaTheme="minorEastAsia" w:hAnsiTheme="minorBidi" w:cstheme="minorBidi"/>
        </w:rPr>
        <w:t>i</w:t>
      </w:r>
      <w:proofErr w:type="spellEnd"/>
      <w:r w:rsidRPr="004125FF">
        <w:rPr>
          <w:rFonts w:asciiTheme="minorBidi" w:eastAsiaTheme="minorEastAsia" w:hAnsiTheme="minorBidi" w:cstheme="minorBidi"/>
        </w:rPr>
        <w:t>), and (T) is the total number of participants. This computational method guarantees consistent interpretation of binary measures across theme dimensions, facilitating their incorporation into weighted assessment models for digital transformation readiness.</w:t>
      </w:r>
    </w:p>
    <w:p w14:paraId="5757E6C5" w14:textId="77777777" w:rsidR="003D1D02" w:rsidRPr="004125FF" w:rsidRDefault="003D1D02" w:rsidP="000D4D4C">
      <w:pPr>
        <w:jc w:val="both"/>
        <w:rPr>
          <w:rFonts w:asciiTheme="minorBidi" w:eastAsiaTheme="minorEastAsia" w:hAnsiTheme="minorBidi" w:cstheme="minorBidi"/>
        </w:rPr>
      </w:pPr>
    </w:p>
    <w:p w14:paraId="519DE303" w14:textId="77777777" w:rsidR="000D4D4C" w:rsidRPr="004125FF" w:rsidRDefault="000D4D4C" w:rsidP="000D4D4C">
      <w:pPr>
        <w:jc w:val="both"/>
        <w:rPr>
          <w:rFonts w:asciiTheme="minorBidi" w:hAnsiTheme="minorBidi" w:cstheme="minorBidi"/>
        </w:rPr>
      </w:pPr>
    </w:p>
    <w:p w14:paraId="311ACB6C" w14:textId="77777777" w:rsidR="000D4D4C" w:rsidRPr="004125FF" w:rsidRDefault="000D4D4C" w:rsidP="000D4D4C">
      <w:pPr>
        <w:pStyle w:val="ListParagraph"/>
        <w:numPr>
          <w:ilvl w:val="0"/>
          <w:numId w:val="29"/>
        </w:numPr>
        <w:spacing w:after="160" w:line="259" w:lineRule="auto"/>
        <w:jc w:val="both"/>
        <w:rPr>
          <w:rFonts w:asciiTheme="minorBidi" w:hAnsiTheme="minorBidi"/>
          <w:sz w:val="20"/>
          <w:szCs w:val="20"/>
        </w:rPr>
      </w:pPr>
      <w:r w:rsidRPr="004125FF">
        <w:rPr>
          <w:rFonts w:asciiTheme="minorBidi" w:hAnsiTheme="minorBidi"/>
          <w:sz w:val="20"/>
          <w:szCs w:val="20"/>
        </w:rPr>
        <w:t>Relative Weight Extraction within the Axis.</w:t>
      </w:r>
    </w:p>
    <w:p w14:paraId="6BFAC633" w14:textId="77777777" w:rsidR="000D4D4C" w:rsidRPr="004125FF" w:rsidRDefault="000D4D4C" w:rsidP="000D4D4C">
      <w:pPr>
        <w:jc w:val="both"/>
        <w:rPr>
          <w:rFonts w:asciiTheme="minorBidi" w:hAnsiTheme="minorBidi" w:cstheme="minorBidi"/>
        </w:rPr>
      </w:pPr>
      <w:r w:rsidRPr="004125FF">
        <w:rPr>
          <w:rFonts w:asciiTheme="minorBidi" w:hAnsiTheme="minorBidi" w:cstheme="minorBidi"/>
        </w:rPr>
        <w:t>To achieve accuracy and consistency in measuring digital maturity, a quantitative methodology was adopted consisting of two basic steps: first, determining the relative weights for each axis, and second, calculating the overall score for each dimension.</w:t>
      </w:r>
    </w:p>
    <w:p w14:paraId="0E9275D0" w14:textId="77777777" w:rsidR="000D4D4C" w:rsidRPr="004125FF" w:rsidRDefault="000D4D4C" w:rsidP="000D4D4C">
      <w:pPr>
        <w:pStyle w:val="ListParagraph"/>
        <w:numPr>
          <w:ilvl w:val="0"/>
          <w:numId w:val="31"/>
        </w:numPr>
        <w:spacing w:after="160" w:line="256" w:lineRule="auto"/>
        <w:jc w:val="both"/>
        <w:rPr>
          <w:rFonts w:asciiTheme="minorBidi" w:hAnsiTheme="minorBidi"/>
          <w:sz w:val="20"/>
          <w:szCs w:val="20"/>
        </w:rPr>
      </w:pPr>
      <w:r w:rsidRPr="004125FF">
        <w:rPr>
          <w:rFonts w:asciiTheme="minorBidi" w:hAnsiTheme="minorBidi"/>
          <w:sz w:val="20"/>
          <w:szCs w:val="20"/>
        </w:rPr>
        <w:t>Determining the Relative Weights of the Axis</w:t>
      </w:r>
    </w:p>
    <w:p w14:paraId="23BE539A" w14:textId="77777777" w:rsidR="000D4D4C" w:rsidRPr="004125FF" w:rsidRDefault="000D4D4C" w:rsidP="000D4D4C">
      <w:pPr>
        <w:jc w:val="both"/>
        <w:rPr>
          <w:rFonts w:asciiTheme="minorBidi" w:hAnsiTheme="minorBidi" w:cstheme="minorBidi"/>
        </w:rPr>
      </w:pPr>
      <w:r w:rsidRPr="004125FF">
        <w:rPr>
          <w:rFonts w:asciiTheme="minorBidi" w:hAnsiTheme="minorBidi" w:cstheme="minorBidi"/>
        </w:rPr>
        <w:t>The relative weight for each axis was calculated based on the statistical value of its questions. This approach ensures that axes containing questions of greater importance or a greater number of questions contribute a greater proportion to the final score for the dimension. The following steps were followed:</w:t>
      </w:r>
    </w:p>
    <w:p w14:paraId="579A06C6" w14:textId="77777777" w:rsidR="000D4D4C" w:rsidRPr="004125FF" w:rsidRDefault="000D4D4C" w:rsidP="000D4D4C">
      <w:pPr>
        <w:pStyle w:val="ListParagraph"/>
        <w:numPr>
          <w:ilvl w:val="0"/>
          <w:numId w:val="32"/>
        </w:numPr>
        <w:spacing w:after="160" w:line="256" w:lineRule="auto"/>
        <w:jc w:val="both"/>
        <w:rPr>
          <w:rFonts w:asciiTheme="minorBidi" w:hAnsiTheme="minorBidi"/>
          <w:sz w:val="20"/>
          <w:szCs w:val="20"/>
        </w:rPr>
      </w:pPr>
      <w:r w:rsidRPr="004125FF">
        <w:rPr>
          <w:rFonts w:asciiTheme="minorBidi" w:hAnsiTheme="minorBidi"/>
          <w:sz w:val="20"/>
          <w:szCs w:val="20"/>
        </w:rPr>
        <w:t>Calculating the sum of the question values ​​for each axis: The values ​​of all questions belonging to a single axis were summed.</w:t>
      </w:r>
    </w:p>
    <w:p w14:paraId="4B02ACE0" w14:textId="77777777" w:rsidR="000D4D4C" w:rsidRPr="004125FF" w:rsidRDefault="000D4D4C" w:rsidP="000D4D4C">
      <w:pPr>
        <w:pStyle w:val="ListParagraph"/>
        <w:numPr>
          <w:ilvl w:val="0"/>
          <w:numId w:val="32"/>
        </w:numPr>
        <w:spacing w:after="160" w:line="256" w:lineRule="auto"/>
        <w:jc w:val="both"/>
        <w:rPr>
          <w:rFonts w:asciiTheme="minorBidi" w:hAnsiTheme="minorBidi"/>
          <w:sz w:val="20"/>
          <w:szCs w:val="20"/>
        </w:rPr>
      </w:pPr>
      <w:r w:rsidRPr="004125FF">
        <w:rPr>
          <w:rFonts w:asciiTheme="minorBidi" w:hAnsiTheme="minorBidi"/>
          <w:sz w:val="20"/>
          <w:szCs w:val="20"/>
        </w:rPr>
        <w:t>Calculating the total question values ​​for a dimension: The values ​​of all questions within a single dimension were summed (i.e., the sum of the question values ​​for all axes).</w:t>
      </w:r>
    </w:p>
    <w:p w14:paraId="40AEEA23" w14:textId="53E143A8" w:rsidR="000D4D4C" w:rsidRPr="004125FF" w:rsidRDefault="000D4D4C" w:rsidP="000D4D4C">
      <w:pPr>
        <w:pStyle w:val="ListParagraph"/>
        <w:numPr>
          <w:ilvl w:val="0"/>
          <w:numId w:val="32"/>
        </w:numPr>
        <w:spacing w:after="160" w:line="256" w:lineRule="auto"/>
        <w:jc w:val="both"/>
        <w:rPr>
          <w:rFonts w:asciiTheme="minorBidi" w:hAnsiTheme="minorBidi"/>
          <w:sz w:val="20"/>
          <w:szCs w:val="20"/>
        </w:rPr>
      </w:pPr>
      <w:r w:rsidRPr="004125FF">
        <w:rPr>
          <w:rFonts w:asciiTheme="minorBidi" w:hAnsiTheme="minorBidi"/>
          <w:sz w:val="20"/>
          <w:szCs w:val="20"/>
        </w:rPr>
        <w:t>Determining the relative weight for each axis: The sum of the question values ​​for the axis was divided by the total question values ​​for the entire dimension.</w:t>
      </w:r>
    </w:p>
    <w:p w14:paraId="03ED5914" w14:textId="77777777" w:rsidR="0033741A" w:rsidRPr="004125FF" w:rsidRDefault="0033741A" w:rsidP="0033741A">
      <w:pPr>
        <w:pStyle w:val="ListParagraph"/>
        <w:spacing w:after="160" w:line="256" w:lineRule="auto"/>
        <w:jc w:val="both"/>
        <w:rPr>
          <w:rFonts w:asciiTheme="minorBidi" w:hAnsiTheme="minorBidi"/>
          <w:sz w:val="20"/>
          <w:szCs w:val="20"/>
        </w:rPr>
      </w:pPr>
    </w:p>
    <w:p w14:paraId="1159159D" w14:textId="170F88F5" w:rsidR="000D4D4C" w:rsidRPr="004125FF" w:rsidRDefault="00E46FB0" w:rsidP="000D4D4C">
      <w:pPr>
        <w:rPr>
          <w:rFonts w:asciiTheme="minorBidi" w:eastAsiaTheme="minorEastAsia" w:hAnsiTheme="minorBidi" w:cstheme="minorBidi"/>
          <w:lang w:val="tr-TR"/>
        </w:rPr>
      </w:pPr>
      <w:r>
        <w:rPr>
          <w:rFonts w:asciiTheme="minorBidi" w:eastAsiaTheme="minorEastAsia" w:hAnsiTheme="minorBidi" w:cstheme="minorBidi"/>
          <w:lang w:val="tr-TR"/>
        </w:rPr>
        <w:t xml:space="preserve">            </w:t>
      </w:r>
      <w:r w:rsidR="000D4D4C" w:rsidRPr="004125FF">
        <w:rPr>
          <w:rFonts w:asciiTheme="minorBidi" w:eastAsiaTheme="minorEastAsia" w:hAnsiTheme="minorBidi" w:cstheme="minorBidi"/>
          <w:lang w:val="tr-TR"/>
        </w:rPr>
        <w:t xml:space="preserve">         </w:t>
      </w:r>
      <m:oMath>
        <m:sSub>
          <m:sSubPr>
            <m:ctrlPr>
              <w:rPr>
                <w:rFonts w:ascii="Cambria Math" w:eastAsiaTheme="minorEastAsia" w:hAnsi="Cambria Math" w:cstheme="minorBidi"/>
                <w:i/>
              </w:rPr>
            </m:ctrlPr>
          </m:sSubPr>
          <m:e>
            <m:r>
              <w:rPr>
                <w:rFonts w:ascii="Cambria Math" w:eastAsiaTheme="minorEastAsia" w:hAnsi="Cambria Math" w:cstheme="minorBidi"/>
                <w:lang w:val="tr-TR"/>
              </w:rPr>
              <m:t>w_</m:t>
            </m:r>
          </m:e>
          <m:sub>
            <m:r>
              <w:rPr>
                <w:rFonts w:ascii="Cambria Math" w:eastAsiaTheme="minorEastAsia" w:hAnsi="Cambria Math" w:cstheme="minorBidi"/>
                <w:lang w:val="tr-TR"/>
              </w:rPr>
              <m:t>axis</m:t>
            </m:r>
          </m:sub>
        </m:sSub>
        <m:r>
          <w:rPr>
            <w:rFonts w:ascii="Cambria Math" w:eastAsiaTheme="minorEastAsia" w:hAnsi="Cambria Math" w:cstheme="minorBidi"/>
            <w:lang w:val="tr-TR"/>
          </w:rPr>
          <m:t>=</m:t>
        </m:r>
        <m:f>
          <m:fPr>
            <m:ctrlPr>
              <w:rPr>
                <w:rFonts w:ascii="Cambria Math" w:eastAsiaTheme="minorEastAsia" w:hAnsi="Cambria Math" w:cstheme="minorBidi"/>
                <w:i/>
              </w:rPr>
            </m:ctrlPr>
          </m:fPr>
          <m:num>
            <m:nary>
              <m:naryPr>
                <m:chr m:val="∑"/>
                <m:limLoc m:val="undOvr"/>
                <m:subHide m:val="1"/>
                <m:supHide m:val="1"/>
                <m:ctrlPr>
                  <w:rPr>
                    <w:rFonts w:ascii="Cambria Math" w:eastAsiaTheme="minorEastAsia" w:hAnsi="Cambria Math" w:cstheme="minorBidi"/>
                    <w:i/>
                  </w:rPr>
                </m:ctrlPr>
              </m:naryPr>
              <m:sub/>
              <m:sup/>
              <m:e>
                <m:r>
                  <m:rPr>
                    <m:sty m:val="p"/>
                  </m:rPr>
                  <w:rPr>
                    <w:rFonts w:ascii="Cambria Math" w:hAnsi="Cambria Math" w:cstheme="minorBidi"/>
                    <w:lang w:val="tr-TR"/>
                  </w:rPr>
                  <m:t>axis questions</m:t>
                </m:r>
              </m:e>
            </m:nary>
          </m:num>
          <m:den>
            <m:nary>
              <m:naryPr>
                <m:chr m:val="∑"/>
                <m:limLoc m:val="undOvr"/>
                <m:subHide m:val="1"/>
                <m:supHide m:val="1"/>
                <m:ctrlPr>
                  <w:rPr>
                    <w:rFonts w:ascii="Cambria Math" w:eastAsiaTheme="minorEastAsia" w:hAnsi="Cambria Math" w:cstheme="minorBidi"/>
                    <w:i/>
                  </w:rPr>
                </m:ctrlPr>
              </m:naryPr>
              <m:sub/>
              <m:sup/>
              <m:e>
                <m:r>
                  <m:rPr>
                    <m:sty m:val="p"/>
                  </m:rPr>
                  <w:rPr>
                    <w:rFonts w:ascii="Cambria Math" w:hAnsi="Cambria Math" w:cstheme="minorBidi"/>
                    <w:lang w:val="tr-TR"/>
                  </w:rPr>
                  <m:t>dimension questions</m:t>
                </m:r>
              </m:e>
            </m:nary>
          </m:den>
        </m:f>
      </m:oMath>
      <w:r w:rsidR="000D4D4C" w:rsidRPr="004125FF">
        <w:rPr>
          <w:rFonts w:asciiTheme="minorBidi" w:eastAsiaTheme="minorEastAsia" w:hAnsiTheme="minorBidi" w:cstheme="minorBidi"/>
          <w:lang w:val="tr-TR"/>
        </w:rPr>
        <w:t xml:space="preserve">       </w:t>
      </w:r>
      <w:r>
        <w:rPr>
          <w:rFonts w:asciiTheme="minorBidi" w:eastAsiaTheme="minorEastAsia" w:hAnsiTheme="minorBidi" w:cstheme="minorBidi"/>
          <w:lang w:val="tr-TR"/>
        </w:rPr>
        <w:t xml:space="preserve">                              </w:t>
      </w:r>
      <w:r w:rsidR="000D4D4C" w:rsidRPr="004125FF">
        <w:rPr>
          <w:rFonts w:asciiTheme="minorBidi" w:eastAsiaTheme="minorEastAsia" w:hAnsiTheme="minorBidi" w:cstheme="minorBidi"/>
          <w:lang w:val="tr-TR"/>
        </w:rPr>
        <w:t xml:space="preserve">  (3)</w:t>
      </w:r>
    </w:p>
    <w:p w14:paraId="181CED1C" w14:textId="77777777" w:rsidR="0033741A" w:rsidRPr="004125FF" w:rsidRDefault="0033741A" w:rsidP="000D4D4C">
      <w:pPr>
        <w:rPr>
          <w:rFonts w:asciiTheme="minorBidi" w:hAnsiTheme="minorBidi" w:cstheme="minorBidi"/>
          <w:lang w:val="tr-TR"/>
        </w:rPr>
      </w:pPr>
    </w:p>
    <w:p w14:paraId="219ED3CC" w14:textId="77777777" w:rsidR="000D4D4C" w:rsidRPr="004125FF" w:rsidRDefault="000D4D4C" w:rsidP="000D4D4C">
      <w:pPr>
        <w:jc w:val="both"/>
        <w:rPr>
          <w:rFonts w:asciiTheme="minorBidi" w:hAnsiTheme="minorBidi" w:cstheme="minorBidi"/>
        </w:rPr>
      </w:pPr>
      <w:r w:rsidRPr="004125FF">
        <w:rPr>
          <w:rFonts w:asciiTheme="minorBidi" w:hAnsiTheme="minorBidi" w:cstheme="minorBidi"/>
        </w:rPr>
        <w:t>Note: The sum of the relative weights for all axes within a single dimension must equal 1.0 (or 100%).</w:t>
      </w:r>
    </w:p>
    <w:p w14:paraId="652FEF95" w14:textId="77777777" w:rsidR="000D4D4C" w:rsidRPr="004125FF" w:rsidRDefault="000D4D4C" w:rsidP="000D4D4C">
      <w:pPr>
        <w:pStyle w:val="ListParagraph"/>
        <w:numPr>
          <w:ilvl w:val="0"/>
          <w:numId w:val="31"/>
        </w:numPr>
        <w:spacing w:after="160" w:line="256" w:lineRule="auto"/>
        <w:jc w:val="both"/>
        <w:rPr>
          <w:rFonts w:asciiTheme="minorBidi" w:hAnsiTheme="minorBidi"/>
          <w:sz w:val="20"/>
          <w:szCs w:val="20"/>
        </w:rPr>
      </w:pPr>
      <w:r w:rsidRPr="004125FF">
        <w:rPr>
          <w:rFonts w:asciiTheme="minorBidi" w:hAnsiTheme="minorBidi"/>
          <w:sz w:val="20"/>
          <w:szCs w:val="20"/>
        </w:rPr>
        <w:t>Calculating the Total Score for the Dimension.</w:t>
      </w:r>
    </w:p>
    <w:p w14:paraId="7B0702FD" w14:textId="77777777" w:rsidR="000D4D4C" w:rsidRPr="004125FF" w:rsidRDefault="000D4D4C" w:rsidP="000D4D4C">
      <w:pPr>
        <w:jc w:val="both"/>
        <w:rPr>
          <w:rFonts w:asciiTheme="minorBidi" w:hAnsiTheme="minorBidi" w:cstheme="minorBidi"/>
          <w:lang w:val="tr-TR"/>
        </w:rPr>
      </w:pPr>
      <w:r w:rsidRPr="004125FF">
        <w:rPr>
          <w:rFonts w:asciiTheme="minorBidi" w:hAnsiTheme="minorBidi" w:cstheme="minorBidi"/>
        </w:rPr>
        <w:t>After determining the weights, the total score for each dimension was calculated using the weighted average formula. This step was implemented in two stages:</w:t>
      </w:r>
    </w:p>
    <w:p w14:paraId="4C8092B7" w14:textId="4A6C4A44" w:rsidR="000D4D4C" w:rsidRPr="004125FF" w:rsidRDefault="000D4D4C" w:rsidP="0033741A">
      <w:pPr>
        <w:jc w:val="both"/>
        <w:rPr>
          <w:rFonts w:asciiTheme="minorBidi" w:hAnsiTheme="minorBidi" w:cstheme="minorBidi"/>
        </w:rPr>
      </w:pPr>
      <w:r w:rsidRPr="004125FF">
        <w:rPr>
          <w:rFonts w:asciiTheme="minorBidi" w:hAnsiTheme="minorBidi" w:cstheme="minorBidi"/>
        </w:rPr>
        <w:t>Step A: Normalization of Scores:</w:t>
      </w:r>
      <w:r w:rsidR="0033741A" w:rsidRPr="004125FF">
        <w:rPr>
          <w:rFonts w:asciiTheme="minorBidi" w:hAnsiTheme="minorBidi" w:cstheme="minorBidi"/>
        </w:rPr>
        <w:t xml:space="preserve"> </w:t>
      </w:r>
      <w:r w:rsidRPr="004125FF">
        <w:rPr>
          <w:rFonts w:asciiTheme="minorBidi" w:hAnsiTheme="minorBidi" w:cstheme="minorBidi"/>
        </w:rPr>
        <w:t>To ensure that scores from different scales could be combined, all scores obtained from the questionnaire were converted to a standardized scale ranging from 0 to 1.</w:t>
      </w:r>
    </w:p>
    <w:p w14:paraId="3B8384A5" w14:textId="77777777" w:rsidR="0033741A" w:rsidRPr="004125FF" w:rsidRDefault="0033741A" w:rsidP="000D4D4C">
      <w:pPr>
        <w:jc w:val="both"/>
        <w:rPr>
          <w:rFonts w:asciiTheme="minorBidi" w:hAnsiTheme="minorBidi" w:cstheme="minorBidi"/>
          <w:rtl/>
        </w:rPr>
      </w:pPr>
    </w:p>
    <w:p w14:paraId="7B8955C9" w14:textId="2CD260F6" w:rsidR="000D4D4C" w:rsidRPr="004125FF" w:rsidRDefault="000D4D4C" w:rsidP="000D4D4C">
      <w:pPr>
        <w:rPr>
          <w:rFonts w:asciiTheme="minorBidi" w:eastAsiaTheme="minorEastAsia" w:hAnsiTheme="minorBidi" w:cstheme="minorBidi"/>
        </w:rPr>
      </w:pPr>
      <m:oMath>
        <m:r>
          <w:rPr>
            <w:rFonts w:ascii="Cambria Math" w:hAnsi="Cambria Math" w:cstheme="minorBidi"/>
          </w:rPr>
          <m:t>Normalized score =</m:t>
        </m:r>
        <m:f>
          <m:fPr>
            <m:ctrlPr>
              <w:rPr>
                <w:rFonts w:ascii="Cambria Math" w:hAnsi="Cambria Math" w:cstheme="minorBidi"/>
                <w:i/>
              </w:rPr>
            </m:ctrlPr>
          </m:fPr>
          <m:num>
            <m:r>
              <w:rPr>
                <w:rFonts w:ascii="Cambria Math" w:hAnsi="Cambria Math" w:cstheme="minorBidi"/>
              </w:rPr>
              <m:t>Original score - Minimum scale value</m:t>
            </m:r>
          </m:num>
          <m:den>
            <m:r>
              <w:rPr>
                <w:rFonts w:ascii="Cambria Math" w:hAnsi="Cambria Math" w:cstheme="minorBidi"/>
              </w:rPr>
              <m:t>Maximum scale value - Minimum scale value</m:t>
            </m:r>
          </m:den>
        </m:f>
      </m:oMath>
      <w:r w:rsidRPr="004125FF">
        <w:rPr>
          <w:rFonts w:asciiTheme="minorBidi" w:eastAsiaTheme="minorEastAsia" w:hAnsiTheme="minorBidi" w:cstheme="minorBidi"/>
        </w:rPr>
        <w:t xml:space="preserve">           </w:t>
      </w:r>
      <w:r w:rsidR="00E46FB0">
        <w:rPr>
          <w:rFonts w:asciiTheme="minorBidi" w:eastAsiaTheme="minorEastAsia" w:hAnsiTheme="minorBidi" w:cstheme="minorBidi"/>
        </w:rPr>
        <w:t xml:space="preserve"> </w:t>
      </w:r>
      <w:r w:rsidRPr="004125FF">
        <w:rPr>
          <w:rFonts w:asciiTheme="minorBidi" w:eastAsiaTheme="minorEastAsia" w:hAnsiTheme="minorBidi" w:cstheme="minorBidi"/>
        </w:rPr>
        <w:t xml:space="preserve">  (4)</w:t>
      </w:r>
    </w:p>
    <w:p w14:paraId="53DF54D1" w14:textId="77777777" w:rsidR="0033741A" w:rsidRPr="004125FF" w:rsidRDefault="0033741A" w:rsidP="000D4D4C">
      <w:pPr>
        <w:rPr>
          <w:rFonts w:asciiTheme="minorBidi" w:hAnsiTheme="minorBidi" w:cstheme="minorBidi"/>
        </w:rPr>
      </w:pPr>
    </w:p>
    <w:p w14:paraId="5EAD0205" w14:textId="77777777" w:rsidR="000D4D4C" w:rsidRPr="004125FF" w:rsidRDefault="000D4D4C" w:rsidP="000D4D4C">
      <w:pPr>
        <w:jc w:val="both"/>
        <w:rPr>
          <w:rFonts w:asciiTheme="minorBidi" w:hAnsiTheme="minorBidi" w:cstheme="minorBidi"/>
        </w:rPr>
      </w:pPr>
      <w:r w:rsidRPr="004125FF">
        <w:rPr>
          <w:rFonts w:asciiTheme="minorBidi" w:hAnsiTheme="minorBidi" w:cstheme="minorBidi"/>
        </w:rPr>
        <w:t>Step B: Calculating the weighted average of questions:</w:t>
      </w:r>
    </w:p>
    <w:p w14:paraId="2E33595A" w14:textId="5253314D" w:rsidR="000D4D4C" w:rsidRPr="004125FF" w:rsidRDefault="000D4D4C" w:rsidP="000D4D4C">
      <w:pPr>
        <w:jc w:val="both"/>
        <w:rPr>
          <w:rFonts w:asciiTheme="minorBidi" w:hAnsiTheme="minorBidi" w:cstheme="minorBidi"/>
        </w:rPr>
      </w:pPr>
      <w:r w:rsidRPr="004125FF">
        <w:rPr>
          <w:rFonts w:asciiTheme="minorBidi" w:hAnsiTheme="minorBidi" w:cstheme="minorBidi"/>
        </w:rPr>
        <w:t xml:space="preserve">The arithmetic average of the scores for the questions within each axis is calculated. </w:t>
      </w:r>
    </w:p>
    <w:p w14:paraId="5C9743FE" w14:textId="77777777" w:rsidR="0033741A" w:rsidRPr="004125FF" w:rsidRDefault="0033741A" w:rsidP="000D4D4C">
      <w:pPr>
        <w:jc w:val="both"/>
        <w:rPr>
          <w:rFonts w:asciiTheme="minorBidi" w:hAnsiTheme="minorBidi" w:cstheme="minorBidi"/>
        </w:rPr>
      </w:pPr>
    </w:p>
    <w:p w14:paraId="02F79BE1" w14:textId="57C2A66E" w:rsidR="000D4D4C" w:rsidRPr="004125FF" w:rsidRDefault="000D4D4C" w:rsidP="000D4D4C">
      <w:pPr>
        <w:jc w:val="both"/>
        <w:rPr>
          <w:rFonts w:asciiTheme="minorBidi" w:eastAsiaTheme="minorEastAsia" w:hAnsiTheme="minorBidi" w:cstheme="minorBidi"/>
        </w:rPr>
      </w:pPr>
      <w:r w:rsidRPr="004125FF">
        <w:rPr>
          <w:rFonts w:asciiTheme="minorBidi" w:hAnsiTheme="minorBidi" w:cstheme="minorBidi"/>
        </w:rPr>
        <w:t xml:space="preserve">                                                                                      </w:t>
      </w:r>
      <m:oMath>
        <m:acc>
          <m:accPr>
            <m:chr m:val="̅"/>
            <m:ctrlPr>
              <w:rPr>
                <w:rFonts w:ascii="Cambria Math" w:eastAsiaTheme="minorEastAsia" w:hAnsi="Cambria Math" w:cstheme="minorBidi"/>
                <w:i/>
              </w:rPr>
            </m:ctrlPr>
          </m:accPr>
          <m:e>
            <m:r>
              <w:rPr>
                <w:rFonts w:ascii="Cambria Math" w:eastAsiaTheme="minorEastAsia" w:hAnsi="Cambria Math" w:cstheme="minorBidi"/>
              </w:rPr>
              <m:t>S</m:t>
            </m:r>
          </m:e>
        </m:acc>
        <m:r>
          <w:rPr>
            <w:rFonts w:ascii="Cambria Math" w:eastAsiaTheme="minorEastAsia" w:hAnsi="Cambria Math" w:cstheme="minorBidi"/>
          </w:rPr>
          <m:t>=</m:t>
        </m:r>
        <m:f>
          <m:fPr>
            <m:ctrlPr>
              <w:rPr>
                <w:rFonts w:ascii="Cambria Math" w:eastAsiaTheme="minorEastAsia" w:hAnsi="Cambria Math" w:cstheme="minorBidi"/>
                <w:i/>
              </w:rPr>
            </m:ctrlPr>
          </m:fPr>
          <m:num>
            <m:nary>
              <m:naryPr>
                <m:chr m:val="∑"/>
                <m:limLoc m:val="subSup"/>
                <m:ctrlPr>
                  <w:rPr>
                    <w:rFonts w:ascii="Cambria Math" w:eastAsiaTheme="minorEastAsia" w:hAnsi="Cambria Math" w:cstheme="minorBidi"/>
                    <w:i/>
                  </w:rPr>
                </m:ctrlPr>
              </m:naryPr>
              <m:sub>
                <m:r>
                  <w:rPr>
                    <w:rFonts w:ascii="Cambria Math" w:eastAsiaTheme="minorEastAsia" w:hAnsi="Cambria Math" w:cstheme="minorBidi"/>
                  </w:rPr>
                  <m:t>i=1</m:t>
                </m:r>
              </m:sub>
              <m:sup>
                <m:r>
                  <w:rPr>
                    <w:rFonts w:ascii="Cambria Math" w:eastAsiaTheme="minorEastAsia" w:hAnsi="Cambria Math" w:cstheme="minorBidi"/>
                  </w:rPr>
                  <m:t>n</m:t>
                </m:r>
              </m:sup>
              <m:e>
                <m:sSub>
                  <m:sSubPr>
                    <m:ctrlPr>
                      <w:rPr>
                        <w:rFonts w:ascii="Cambria Math" w:eastAsiaTheme="minorEastAsia" w:hAnsi="Cambria Math" w:cstheme="minorBidi"/>
                        <w:i/>
                      </w:rPr>
                    </m:ctrlPr>
                  </m:sSubPr>
                  <m:e>
                    <m:r>
                      <w:rPr>
                        <w:rFonts w:ascii="Cambria Math" w:eastAsiaTheme="minorEastAsia" w:hAnsi="Cambria Math" w:cstheme="minorBidi"/>
                      </w:rPr>
                      <m:t>S</m:t>
                    </m:r>
                  </m:e>
                  <m:sub>
                    <m:r>
                      <w:rPr>
                        <w:rFonts w:ascii="Cambria Math" w:eastAsiaTheme="minorEastAsia" w:hAnsi="Cambria Math" w:cstheme="minorBidi"/>
                      </w:rPr>
                      <m:t>i</m:t>
                    </m:r>
                  </m:sub>
                </m:sSub>
              </m:e>
            </m:nary>
          </m:num>
          <m:den>
            <m:r>
              <w:rPr>
                <w:rFonts w:ascii="Cambria Math" w:eastAsiaTheme="minorEastAsia" w:hAnsi="Cambria Math" w:cstheme="minorBidi"/>
              </w:rPr>
              <m:t>n</m:t>
            </m:r>
          </m:den>
        </m:f>
      </m:oMath>
      <w:r w:rsidRPr="004125FF">
        <w:rPr>
          <w:rFonts w:asciiTheme="minorBidi" w:eastAsiaTheme="minorEastAsia" w:hAnsiTheme="minorBidi" w:cstheme="minorBidi"/>
        </w:rPr>
        <w:t xml:space="preserve">                  </w:t>
      </w:r>
      <w:r w:rsidR="00E46FB0">
        <w:rPr>
          <w:rFonts w:asciiTheme="minorBidi" w:eastAsiaTheme="minorEastAsia" w:hAnsiTheme="minorBidi" w:cstheme="minorBidi"/>
        </w:rPr>
        <w:t xml:space="preserve">                   </w:t>
      </w:r>
      <w:r w:rsidRPr="004125FF">
        <w:rPr>
          <w:rFonts w:asciiTheme="minorBidi" w:eastAsiaTheme="minorEastAsia" w:hAnsiTheme="minorBidi" w:cstheme="minorBidi"/>
        </w:rPr>
        <w:t xml:space="preserve">       (5)</w:t>
      </w:r>
    </w:p>
    <w:p w14:paraId="7023B378" w14:textId="77777777" w:rsidR="000D4D4C" w:rsidRPr="004125FF" w:rsidRDefault="00520C61" w:rsidP="000D4D4C">
      <w:pPr>
        <w:jc w:val="both"/>
        <w:rPr>
          <w:rFonts w:asciiTheme="minorBidi" w:eastAsiaTheme="minorEastAsia" w:hAnsiTheme="minorBidi" w:cstheme="minorBidi"/>
        </w:rPr>
      </w:pPr>
      <m:oMath>
        <m:acc>
          <m:accPr>
            <m:chr m:val="̅"/>
            <m:ctrlPr>
              <w:rPr>
                <w:rFonts w:ascii="Cambria Math" w:eastAsiaTheme="minorEastAsia" w:hAnsi="Cambria Math" w:cstheme="minorBidi"/>
                <w:i/>
              </w:rPr>
            </m:ctrlPr>
          </m:accPr>
          <m:e>
            <m:r>
              <w:rPr>
                <w:rFonts w:ascii="Cambria Math" w:eastAsiaTheme="minorEastAsia" w:hAnsi="Cambria Math" w:cstheme="minorBidi"/>
              </w:rPr>
              <m:t>S</m:t>
            </m:r>
          </m:e>
        </m:acc>
      </m:oMath>
      <w:r w:rsidR="000D4D4C" w:rsidRPr="004125FF">
        <w:rPr>
          <w:rFonts w:asciiTheme="minorBidi" w:eastAsiaTheme="minorEastAsia" w:hAnsiTheme="minorBidi" w:cstheme="minorBidi"/>
        </w:rPr>
        <w:t>= average of axis score.</w:t>
      </w:r>
    </w:p>
    <w:p w14:paraId="24A8ED4C" w14:textId="77777777" w:rsidR="000D4D4C" w:rsidRPr="004125FF" w:rsidRDefault="00520C61" w:rsidP="000D4D4C">
      <w:pPr>
        <w:jc w:val="both"/>
        <w:rPr>
          <w:rFonts w:asciiTheme="minorBidi" w:eastAsiaTheme="minorEastAsia" w:hAnsiTheme="minorBidi" w:cstheme="minorBidi"/>
        </w:rPr>
      </w:pPr>
      <m:oMath>
        <m:nary>
          <m:naryPr>
            <m:chr m:val="∑"/>
            <m:limLoc m:val="undOvr"/>
            <m:subHide m:val="1"/>
            <m:supHide m:val="1"/>
            <m:ctrlPr>
              <w:rPr>
                <w:rFonts w:ascii="Cambria Math" w:hAnsi="Cambria Math" w:cstheme="minorBidi"/>
                <w:i/>
              </w:rPr>
            </m:ctrlPr>
          </m:naryPr>
          <m:sub/>
          <m:sup/>
          <m:e>
            <m:sSub>
              <m:sSubPr>
                <m:ctrlPr>
                  <w:rPr>
                    <w:rFonts w:ascii="Cambria Math" w:hAnsi="Cambria Math" w:cstheme="minorBidi"/>
                    <w:i/>
                  </w:rPr>
                </m:ctrlPr>
              </m:sSubPr>
              <m:e>
                <m:r>
                  <w:rPr>
                    <w:rFonts w:ascii="Cambria Math" w:hAnsi="Cambria Math" w:cstheme="minorBidi"/>
                  </w:rPr>
                  <m:t>S</m:t>
                </m:r>
              </m:e>
              <m:sub>
                <m:r>
                  <w:rPr>
                    <w:rFonts w:ascii="Cambria Math" w:hAnsi="Cambria Math" w:cstheme="minorBidi"/>
                  </w:rPr>
                  <m:t>i</m:t>
                </m:r>
                <m:r>
                  <w:rPr>
                    <w:rFonts w:ascii="Cambria Math" w:hAnsi="Cambria Math" w:cstheme="minorBidi"/>
                  </w:rPr>
                  <m:t>=</m:t>
                </m:r>
              </m:sub>
            </m:sSub>
          </m:e>
        </m:nary>
      </m:oMath>
      <w:r w:rsidR="000D4D4C" w:rsidRPr="004125FF">
        <w:rPr>
          <w:rFonts w:asciiTheme="minorBidi" w:eastAsiaTheme="minorEastAsia" w:hAnsiTheme="minorBidi" w:cstheme="minorBidi"/>
        </w:rPr>
        <w:t xml:space="preserve"> Total question scores.</w:t>
      </w:r>
    </w:p>
    <w:p w14:paraId="7FA439F9" w14:textId="77777777" w:rsidR="000D4D4C" w:rsidRPr="004125FF" w:rsidRDefault="000D4D4C" w:rsidP="000D4D4C">
      <w:pPr>
        <w:jc w:val="both"/>
        <w:rPr>
          <w:rFonts w:asciiTheme="minorBidi" w:hAnsiTheme="minorBidi" w:cstheme="minorBidi"/>
        </w:rPr>
      </w:pPr>
      <w:r w:rsidRPr="004125FF">
        <w:rPr>
          <w:rFonts w:asciiTheme="minorBidi" w:hAnsiTheme="minorBidi" w:cstheme="minorBidi"/>
          <w:i/>
          <w:iCs/>
        </w:rPr>
        <w:t>n</w:t>
      </w:r>
      <w:r w:rsidRPr="004125FF">
        <w:rPr>
          <w:rFonts w:asciiTheme="minorBidi" w:hAnsiTheme="minorBidi" w:cstheme="minorBidi"/>
        </w:rPr>
        <w:t xml:space="preserve"> = number of questions in the axis.</w:t>
      </w:r>
    </w:p>
    <w:p w14:paraId="5A50FC97" w14:textId="77777777" w:rsidR="000D4D4C" w:rsidRPr="004125FF" w:rsidRDefault="000D4D4C" w:rsidP="000D4D4C">
      <w:pPr>
        <w:jc w:val="both"/>
        <w:rPr>
          <w:rFonts w:asciiTheme="minorBidi" w:hAnsiTheme="minorBidi" w:cstheme="minorBidi"/>
        </w:rPr>
      </w:pPr>
      <w:r w:rsidRPr="004125FF">
        <w:rPr>
          <w:rFonts w:asciiTheme="minorBidi" w:hAnsiTheme="minorBidi" w:cstheme="minorBidi"/>
        </w:rPr>
        <w:t>After calculating the average for each axis, the relative weights were applied to calculate the final dimension score using the weighted average formula.</w:t>
      </w:r>
    </w:p>
    <w:p w14:paraId="6FF725DD" w14:textId="281CA829" w:rsidR="000D4D4C" w:rsidRPr="004125FF" w:rsidRDefault="000D4D4C" w:rsidP="000D4D4C">
      <w:pPr>
        <w:rPr>
          <w:rFonts w:asciiTheme="minorBidi" w:hAnsiTheme="minorBidi" w:cstheme="minorBidi"/>
        </w:rPr>
      </w:pPr>
      <w:r w:rsidRPr="004125FF">
        <w:rPr>
          <w:rFonts w:asciiTheme="minorBidi" w:hAnsiTheme="minorBidi" w:cstheme="minorBidi"/>
        </w:rPr>
        <w:t xml:space="preserve">                                  </w:t>
      </w:r>
      <m:oMath>
        <m:sSub>
          <m:sSubPr>
            <m:ctrlPr>
              <w:rPr>
                <w:rFonts w:ascii="Cambria Math" w:hAnsi="Cambria Math" w:cstheme="minorBidi"/>
              </w:rPr>
            </m:ctrlPr>
          </m:sSubPr>
          <m:e>
            <m:r>
              <m:rPr>
                <m:sty m:val="p"/>
              </m:rPr>
              <w:rPr>
                <w:rFonts w:ascii="Cambria Math" w:hAnsi="Cambria Math" w:cstheme="minorBidi"/>
              </w:rPr>
              <m:t>D</m:t>
            </m:r>
          </m:e>
          <m:sub>
            <m:r>
              <m:rPr>
                <m:sty m:val="p"/>
              </m:rPr>
              <w:rPr>
                <w:rFonts w:ascii="Cambria Math" w:hAnsi="Cambria Math" w:cstheme="minorBidi"/>
              </w:rPr>
              <m:t>Dimension</m:t>
            </m:r>
          </m:sub>
        </m:sSub>
        <m:r>
          <m:rPr>
            <m:sty m:val="p"/>
          </m:rPr>
          <w:rPr>
            <w:rFonts w:ascii="Cambria Math" w:hAnsi="Cambria Math" w:cstheme="minorBidi"/>
          </w:rPr>
          <m:t>=</m:t>
        </m:r>
        <m:nary>
          <m:naryPr>
            <m:chr m:val="∑"/>
            <m:limLoc m:val="undOvr"/>
            <m:subHide m:val="1"/>
            <m:supHide m:val="1"/>
            <m:ctrlPr>
              <w:rPr>
                <w:rFonts w:ascii="Cambria Math" w:hAnsi="Cambria Math" w:cstheme="minorBidi"/>
              </w:rPr>
            </m:ctrlPr>
          </m:naryPr>
          <m:sub/>
          <m:sup/>
          <m:e>
            <m:r>
              <w:rPr>
                <w:rFonts w:ascii="Cambria Math" w:hAnsi="Cambria Math" w:cstheme="minorBidi"/>
              </w:rPr>
              <m:t>(</m:t>
            </m:r>
            <m:acc>
              <m:accPr>
                <m:chr m:val="̅"/>
                <m:ctrlPr>
                  <w:rPr>
                    <w:rFonts w:ascii="Cambria Math" w:hAnsi="Cambria Math" w:cstheme="minorBidi"/>
                    <w:i/>
                  </w:rPr>
                </m:ctrlPr>
              </m:accPr>
              <m:e>
                <m:r>
                  <w:rPr>
                    <w:rFonts w:ascii="Cambria Math" w:hAnsi="Cambria Math" w:cstheme="minorBidi"/>
                  </w:rPr>
                  <m:t>S</m:t>
                </m:r>
              </m:e>
            </m:acc>
            <m:r>
              <w:rPr>
                <w:rFonts w:ascii="Cambria Math" w:hAnsi="Cambria Math" w:cstheme="minorBidi"/>
              </w:rPr>
              <m:t>×w)</m:t>
            </m:r>
          </m:e>
        </m:nary>
      </m:oMath>
      <w:r w:rsidRPr="004125FF">
        <w:rPr>
          <w:rFonts w:asciiTheme="minorBidi" w:eastAsiaTheme="minorEastAsia" w:hAnsiTheme="minorBidi" w:cstheme="minorBidi"/>
        </w:rPr>
        <w:t xml:space="preserve">        </w:t>
      </w:r>
      <w:r w:rsidR="00E46FB0">
        <w:rPr>
          <w:rFonts w:asciiTheme="minorBidi" w:eastAsiaTheme="minorEastAsia" w:hAnsiTheme="minorBidi" w:cstheme="minorBidi"/>
        </w:rPr>
        <w:t xml:space="preserve">                               </w:t>
      </w:r>
      <w:r w:rsidRPr="004125FF">
        <w:rPr>
          <w:rFonts w:asciiTheme="minorBidi" w:eastAsiaTheme="minorEastAsia" w:hAnsiTheme="minorBidi" w:cstheme="minorBidi"/>
        </w:rPr>
        <w:t>(6)</w:t>
      </w:r>
    </w:p>
    <w:p w14:paraId="77747689" w14:textId="35739AAF" w:rsidR="000D4D4C" w:rsidRPr="004125FF" w:rsidRDefault="000D4D4C" w:rsidP="000D4D4C">
      <w:pPr>
        <w:jc w:val="both"/>
        <w:rPr>
          <w:rFonts w:asciiTheme="minorBidi" w:hAnsiTheme="minorBidi" w:cstheme="minorBidi"/>
        </w:rPr>
      </w:pPr>
      <w:r w:rsidRPr="004125FF">
        <w:rPr>
          <w:rFonts w:asciiTheme="minorBidi" w:hAnsiTheme="minorBidi" w:cstheme="minorBidi"/>
        </w:rPr>
        <w:t xml:space="preserve">Where:   </w:t>
      </w:r>
    </w:p>
    <w:p w14:paraId="49F44B4C" w14:textId="77777777" w:rsidR="000D4D4C" w:rsidRPr="004125FF" w:rsidRDefault="000D4D4C" w:rsidP="000D4D4C">
      <w:pPr>
        <w:tabs>
          <w:tab w:val="left" w:pos="944"/>
        </w:tabs>
        <w:jc w:val="both"/>
        <w:rPr>
          <w:rFonts w:asciiTheme="minorBidi" w:hAnsiTheme="minorBidi" w:cstheme="minorBidi"/>
        </w:rPr>
      </w:pPr>
      <m:oMath>
        <m:r>
          <m:rPr>
            <m:sty m:val="p"/>
          </m:rPr>
          <w:rPr>
            <w:rFonts w:ascii="Cambria Math" w:hAnsi="Cambria Math" w:cstheme="minorBidi"/>
          </w:rPr>
          <m:t xml:space="preserve"> </m:t>
        </m:r>
        <m:sSub>
          <m:sSubPr>
            <m:ctrlPr>
              <w:rPr>
                <w:rFonts w:ascii="Cambria Math" w:hAnsi="Cambria Math" w:cstheme="minorBidi"/>
              </w:rPr>
            </m:ctrlPr>
          </m:sSubPr>
          <m:e>
            <m:r>
              <m:rPr>
                <m:sty m:val="p"/>
              </m:rPr>
              <w:rPr>
                <w:rFonts w:ascii="Cambria Math" w:hAnsi="Cambria Math" w:cstheme="minorBidi"/>
              </w:rPr>
              <m:t>D</m:t>
            </m:r>
          </m:e>
          <m:sub>
            <m:r>
              <m:rPr>
                <m:sty m:val="p"/>
              </m:rPr>
              <w:rPr>
                <w:rFonts w:ascii="Cambria Math" w:hAnsi="Cambria Math" w:cstheme="minorBidi"/>
              </w:rPr>
              <m:t>Dimension</m:t>
            </m:r>
          </m:sub>
        </m:sSub>
      </m:oMath>
      <w:r w:rsidRPr="004125FF">
        <w:rPr>
          <w:rFonts w:asciiTheme="minorBidi" w:hAnsiTheme="minorBidi" w:cstheme="minorBidi"/>
        </w:rPr>
        <w:t>: The overall score of the dimension.</w:t>
      </w:r>
    </w:p>
    <w:p w14:paraId="3BF9813F" w14:textId="77777777" w:rsidR="000D4D4C" w:rsidRPr="004125FF" w:rsidRDefault="00520C61" w:rsidP="000D4D4C">
      <w:pPr>
        <w:jc w:val="both"/>
        <w:rPr>
          <w:rFonts w:asciiTheme="minorBidi" w:hAnsiTheme="minorBidi" w:cstheme="minorBidi"/>
        </w:rPr>
      </w:pPr>
      <m:oMath>
        <m:acc>
          <m:accPr>
            <m:chr m:val="̅"/>
            <m:ctrlPr>
              <w:rPr>
                <w:rFonts w:ascii="Cambria Math" w:hAnsi="Cambria Math" w:cstheme="minorBidi"/>
                <w:i/>
              </w:rPr>
            </m:ctrlPr>
          </m:accPr>
          <m:e>
            <m:r>
              <w:rPr>
                <w:rFonts w:ascii="Cambria Math" w:hAnsi="Cambria Math" w:cstheme="minorBidi"/>
              </w:rPr>
              <m:t>S</m:t>
            </m:r>
            <m:r>
              <w:rPr>
                <w:rFonts w:ascii="Cambria Math" w:hAnsi="Cambria Math" w:cstheme="minorBidi"/>
              </w:rPr>
              <m:t>:</m:t>
            </m:r>
          </m:e>
        </m:acc>
      </m:oMath>
      <w:r w:rsidR="000D4D4C" w:rsidRPr="004125FF">
        <w:rPr>
          <w:rFonts w:asciiTheme="minorBidi" w:hAnsiTheme="minorBidi" w:cstheme="minorBidi"/>
        </w:rPr>
        <w:t xml:space="preserve"> The average score of the axis after normalization.</w:t>
      </w:r>
    </w:p>
    <w:p w14:paraId="6DE0112B" w14:textId="77777777" w:rsidR="000D4D4C" w:rsidRPr="004125FF" w:rsidRDefault="000D4D4C" w:rsidP="000D4D4C">
      <w:pPr>
        <w:jc w:val="both"/>
        <w:rPr>
          <w:rFonts w:asciiTheme="minorBidi" w:hAnsiTheme="minorBidi" w:cstheme="minorBidi"/>
        </w:rPr>
      </w:pPr>
      <m:oMath>
        <m:r>
          <w:rPr>
            <w:rFonts w:ascii="Cambria Math" w:hAnsi="Cambria Math" w:cstheme="minorBidi"/>
          </w:rPr>
          <m:t>w:</m:t>
        </m:r>
      </m:oMath>
      <w:r w:rsidRPr="004125FF">
        <w:rPr>
          <w:rFonts w:asciiTheme="minorBidi" w:hAnsiTheme="minorBidi" w:cstheme="minorBidi"/>
        </w:rPr>
        <w:t xml:space="preserve"> The relative weight of the axis. </w:t>
      </w:r>
    </w:p>
    <w:p w14:paraId="47FFA32B" w14:textId="77777777" w:rsidR="000D4D4C" w:rsidRPr="004125FF" w:rsidRDefault="000D4D4C" w:rsidP="000D4D4C">
      <w:pPr>
        <w:jc w:val="both"/>
        <w:rPr>
          <w:rFonts w:asciiTheme="minorBidi" w:hAnsiTheme="minorBidi" w:cstheme="minorBidi"/>
        </w:rPr>
      </w:pPr>
      <w:r w:rsidRPr="004125FF">
        <w:rPr>
          <w:rFonts w:asciiTheme="minorBidi" w:hAnsiTheme="minorBidi" w:cstheme="minorBidi"/>
        </w:rPr>
        <w:t>Step C: Converting the Final Score to a Maturity Scale:</w:t>
      </w:r>
    </w:p>
    <w:p w14:paraId="35238EE6" w14:textId="77777777" w:rsidR="000D4D4C" w:rsidRPr="004125FF" w:rsidRDefault="000D4D4C" w:rsidP="000D4D4C">
      <w:pPr>
        <w:jc w:val="both"/>
        <w:rPr>
          <w:rFonts w:asciiTheme="minorBidi" w:hAnsiTheme="minorBidi" w:cstheme="minorBidi"/>
        </w:rPr>
      </w:pPr>
      <w:r w:rsidRPr="004125FF">
        <w:rPr>
          <w:rFonts w:asciiTheme="minorBidi" w:hAnsiTheme="minorBidi" w:cstheme="minorBidi"/>
        </w:rPr>
        <w:t>To convert the calculated score to a numerical maturity scale from 1 to 5, the following conversion equation (7) was applied:</w:t>
      </w:r>
    </w:p>
    <w:p w14:paraId="302DE512" w14:textId="0DDBBA3A" w:rsidR="000D4D4C" w:rsidRPr="004125FF" w:rsidRDefault="000D4D4C" w:rsidP="000D4D4C">
      <w:pPr>
        <w:jc w:val="both"/>
        <w:rPr>
          <w:rFonts w:asciiTheme="minorBidi" w:hAnsiTheme="minorBidi" w:cstheme="minorBidi"/>
        </w:rPr>
      </w:pPr>
      <w:r w:rsidRPr="004125FF">
        <w:rPr>
          <w:rFonts w:asciiTheme="minorBidi" w:hAnsiTheme="minorBidi" w:cstheme="minorBidi"/>
        </w:rPr>
        <w:t>Final Score (1-5) = Calculated Score (0-1) × (Scale Maximum - Scale Minimum) + Scale Minimum</w:t>
      </w:r>
    </w:p>
    <w:p w14:paraId="418407A1" w14:textId="77777777" w:rsidR="0033741A" w:rsidRPr="004125FF" w:rsidRDefault="0033741A" w:rsidP="000D4D4C">
      <w:pPr>
        <w:jc w:val="both"/>
        <w:rPr>
          <w:rFonts w:asciiTheme="minorBidi" w:hAnsiTheme="minorBidi" w:cstheme="minorBidi"/>
        </w:rPr>
      </w:pPr>
    </w:p>
    <w:p w14:paraId="6BB9C35F" w14:textId="3ECA1E3E" w:rsidR="000D4D4C" w:rsidRPr="004125FF" w:rsidRDefault="00E46FB0" w:rsidP="000D4D4C">
      <w:pPr>
        <w:rPr>
          <w:rFonts w:asciiTheme="minorBidi" w:eastAsiaTheme="minorEastAsia" w:hAnsiTheme="minorBidi" w:cstheme="minorBidi"/>
        </w:rPr>
      </w:pPr>
      <w:r>
        <w:rPr>
          <w:rFonts w:asciiTheme="minorBidi" w:hAnsiTheme="minorBidi" w:cstheme="minorBidi"/>
        </w:rPr>
        <w:t xml:space="preserve">          </w:t>
      </w:r>
      <m:oMath>
        <m:r>
          <m:rPr>
            <m:sty m:val="p"/>
          </m:rPr>
          <w:rPr>
            <w:rFonts w:ascii="Cambria Math" w:hAnsi="Cambria Math" w:cstheme="minorBidi"/>
          </w:rPr>
          <m:t>Final Score = Calculated Score × (5-1) + 1</m:t>
        </m:r>
      </m:oMath>
      <w:r w:rsidR="000D4D4C" w:rsidRPr="004125FF">
        <w:rPr>
          <w:rFonts w:asciiTheme="minorBidi" w:eastAsiaTheme="minorEastAsia" w:hAnsiTheme="minorBidi" w:cstheme="minorBidi"/>
        </w:rPr>
        <w:t xml:space="preserve">           </w:t>
      </w:r>
      <w:r>
        <w:rPr>
          <w:rFonts w:asciiTheme="minorBidi" w:eastAsiaTheme="minorEastAsia" w:hAnsiTheme="minorBidi" w:cstheme="minorBidi"/>
        </w:rPr>
        <w:t xml:space="preserve">             </w:t>
      </w:r>
      <w:r w:rsidR="000D4D4C" w:rsidRPr="004125FF">
        <w:rPr>
          <w:rFonts w:asciiTheme="minorBidi" w:eastAsiaTheme="minorEastAsia" w:hAnsiTheme="minorBidi" w:cstheme="minorBidi"/>
        </w:rPr>
        <w:t xml:space="preserve">   (7)</w:t>
      </w:r>
    </w:p>
    <w:p w14:paraId="5551C6B2" w14:textId="77777777" w:rsidR="0033741A" w:rsidRPr="004125FF" w:rsidRDefault="0033741A" w:rsidP="000D4D4C">
      <w:pPr>
        <w:rPr>
          <w:rFonts w:asciiTheme="minorBidi" w:hAnsiTheme="minorBidi" w:cstheme="minorBidi"/>
        </w:rPr>
      </w:pPr>
    </w:p>
    <w:p w14:paraId="5088F990" w14:textId="77777777" w:rsidR="000D4D4C" w:rsidRPr="004125FF" w:rsidRDefault="000D4D4C" w:rsidP="000D4D4C">
      <w:pPr>
        <w:pStyle w:val="ListParagraph"/>
        <w:numPr>
          <w:ilvl w:val="0"/>
          <w:numId w:val="29"/>
        </w:numPr>
        <w:spacing w:after="160" w:line="259" w:lineRule="auto"/>
        <w:jc w:val="both"/>
        <w:rPr>
          <w:rFonts w:asciiTheme="minorBidi" w:hAnsiTheme="minorBidi"/>
          <w:sz w:val="20"/>
          <w:szCs w:val="20"/>
        </w:rPr>
      </w:pPr>
      <w:r w:rsidRPr="004125FF">
        <w:rPr>
          <w:rFonts w:asciiTheme="minorBidi" w:hAnsiTheme="minorBidi"/>
          <w:sz w:val="20"/>
          <w:szCs w:val="20"/>
        </w:rPr>
        <w:t>A Weighted Aggregation Model for Assessing Digital Maturity</w:t>
      </w:r>
      <w:r w:rsidRPr="004125FF">
        <w:rPr>
          <w:rFonts w:asciiTheme="minorBidi" w:hAnsiTheme="minorBidi"/>
          <w:sz w:val="20"/>
          <w:szCs w:val="20"/>
          <w:rtl/>
        </w:rPr>
        <w:t>:</w:t>
      </w:r>
    </w:p>
    <w:p w14:paraId="31DAF270" w14:textId="77777777" w:rsidR="000D4D4C" w:rsidRPr="004125FF" w:rsidRDefault="000D4D4C" w:rsidP="000D4D4C">
      <w:pPr>
        <w:jc w:val="both"/>
        <w:rPr>
          <w:rFonts w:asciiTheme="minorBidi" w:hAnsiTheme="minorBidi" w:cstheme="minorBidi"/>
        </w:rPr>
      </w:pPr>
      <w:r w:rsidRPr="004125FF">
        <w:rPr>
          <w:rFonts w:asciiTheme="minorBidi" w:hAnsiTheme="minorBidi" w:cstheme="minorBidi"/>
        </w:rPr>
        <w:t>The final scores for each maturity dimension are aggregated into a single score representing the organization's overall standing through a weighted average formula. This strategy ensures that the contribution of each dimension to the final score is proportional to its established relative significance.</w:t>
      </w:r>
    </w:p>
    <w:p w14:paraId="37938675" w14:textId="302C4D70" w:rsidR="000D4D4C" w:rsidRPr="004125FF" w:rsidRDefault="000D4D4C" w:rsidP="000D4D4C">
      <w:pPr>
        <w:shd w:val="clear" w:color="auto" w:fill="FFFFFF"/>
        <w:rPr>
          <w:rFonts w:asciiTheme="minorBidi" w:hAnsiTheme="minorBidi" w:cstheme="minorBidi"/>
        </w:rPr>
      </w:pPr>
      <w:r w:rsidRPr="004125FF">
        <w:rPr>
          <w:rFonts w:asciiTheme="minorBidi" w:hAnsiTheme="minorBidi" w:cstheme="minorBidi"/>
        </w:rPr>
        <w:t>The final aggregation was modelled using a weighted maturity equation (8) defined as:</w:t>
      </w:r>
    </w:p>
    <w:p w14:paraId="2EA3868C" w14:textId="77777777" w:rsidR="0033741A" w:rsidRPr="004125FF" w:rsidRDefault="0033741A" w:rsidP="000D4D4C">
      <w:pPr>
        <w:shd w:val="clear" w:color="auto" w:fill="FFFFFF"/>
        <w:rPr>
          <w:rFonts w:asciiTheme="minorBidi" w:hAnsiTheme="minorBidi" w:cstheme="minorBidi"/>
        </w:rPr>
      </w:pPr>
    </w:p>
    <w:p w14:paraId="319A1331" w14:textId="7D4B3E79" w:rsidR="000D4D4C" w:rsidRPr="004125FF" w:rsidRDefault="00E46FB0" w:rsidP="000D4D4C">
      <w:pPr>
        <w:shd w:val="clear" w:color="auto" w:fill="FFFFFF"/>
        <w:rPr>
          <w:rFonts w:asciiTheme="minorBidi" w:eastAsia="Times New Roman" w:hAnsiTheme="minorBidi" w:cstheme="minorBidi"/>
          <w:lang w:eastAsia="en-GB"/>
        </w:rPr>
      </w:pPr>
      <w:r>
        <w:rPr>
          <w:rFonts w:asciiTheme="minorBidi" w:hAnsiTheme="minorBidi" w:cstheme="minorBidi"/>
          <w:lang w:eastAsia="en-GB"/>
        </w:rPr>
        <w:t xml:space="preserve">       </w:t>
      </w:r>
      <w:r w:rsidR="000D4D4C" w:rsidRPr="004125FF">
        <w:rPr>
          <w:rFonts w:asciiTheme="minorBidi" w:hAnsiTheme="minorBidi" w:cstheme="minorBidi"/>
          <w:lang w:eastAsia="en-GB"/>
        </w:rPr>
        <w:t xml:space="preserve">                  </w:t>
      </w:r>
      <m:oMath>
        <m:r>
          <w:rPr>
            <w:rFonts w:ascii="Cambria Math" w:eastAsia="Times New Roman" w:hAnsi="Cambria Math" w:cstheme="minorBidi"/>
            <w:lang w:eastAsia="en-GB"/>
          </w:rPr>
          <m:t>DMI=</m:t>
        </m:r>
        <m:nary>
          <m:naryPr>
            <m:chr m:val="∑"/>
            <m:limLoc m:val="undOvr"/>
            <m:ctrlPr>
              <w:rPr>
                <w:rFonts w:ascii="Cambria Math" w:eastAsia="Times New Roman" w:hAnsi="Cambria Math" w:cstheme="minorBidi"/>
                <w:i/>
                <w:lang w:eastAsia="en-GB"/>
              </w:rPr>
            </m:ctrlPr>
          </m:naryPr>
          <m:sub>
            <m:r>
              <w:rPr>
                <w:rFonts w:ascii="Cambria Math" w:eastAsia="Times New Roman" w:hAnsi="Cambria Math" w:cstheme="minorBidi"/>
                <w:lang w:eastAsia="en-GB"/>
              </w:rPr>
              <m:t>i=1</m:t>
            </m:r>
          </m:sub>
          <m:sup>
            <m:r>
              <w:rPr>
                <w:rFonts w:ascii="Cambria Math" w:eastAsia="Times New Roman" w:hAnsi="Cambria Math" w:cstheme="minorBidi"/>
                <w:lang w:eastAsia="en-GB"/>
              </w:rPr>
              <m:t>j=1</m:t>
            </m:r>
          </m:sup>
          <m:e>
            <m:sSub>
              <m:sSubPr>
                <m:ctrlPr>
                  <w:rPr>
                    <w:rFonts w:ascii="Cambria Math" w:eastAsia="Times New Roman" w:hAnsi="Cambria Math" w:cstheme="minorBidi"/>
                    <w:i/>
                    <w:lang w:eastAsia="en-GB"/>
                  </w:rPr>
                </m:ctrlPr>
              </m:sSubPr>
              <m:e>
                <m:r>
                  <w:rPr>
                    <w:rFonts w:ascii="Cambria Math" w:eastAsia="Times New Roman" w:hAnsi="Cambria Math" w:cstheme="minorBidi"/>
                    <w:lang w:eastAsia="en-GB"/>
                  </w:rPr>
                  <m:t>S</m:t>
                </m:r>
              </m:e>
              <m:sub>
                <m:r>
                  <w:rPr>
                    <w:rFonts w:ascii="Cambria Math" w:eastAsia="Times New Roman" w:hAnsi="Cambria Math" w:cstheme="minorBidi"/>
                    <w:lang w:eastAsia="en-GB"/>
                  </w:rPr>
                  <m:t>i</m:t>
                </m:r>
              </m:sub>
            </m:sSub>
            <m:sSub>
              <m:sSubPr>
                <m:ctrlPr>
                  <w:rPr>
                    <w:rFonts w:ascii="Cambria Math" w:eastAsia="Times New Roman" w:hAnsi="Cambria Math" w:cstheme="minorBidi"/>
                    <w:i/>
                    <w:lang w:eastAsia="en-GB"/>
                  </w:rPr>
                </m:ctrlPr>
              </m:sSubPr>
              <m:e>
                <m:r>
                  <w:rPr>
                    <w:rFonts w:ascii="Cambria Math" w:eastAsia="Times New Roman" w:hAnsi="Cambria Math" w:cstheme="minorBidi"/>
                    <w:lang w:eastAsia="en-GB"/>
                  </w:rPr>
                  <m:t>W</m:t>
                </m:r>
              </m:e>
              <m:sub>
                <m:r>
                  <w:rPr>
                    <w:rFonts w:ascii="Cambria Math" w:eastAsia="Times New Roman" w:hAnsi="Cambria Math" w:cstheme="minorBidi"/>
                    <w:lang w:eastAsia="en-GB"/>
                  </w:rPr>
                  <m:t>j</m:t>
                </m:r>
              </m:sub>
            </m:sSub>
          </m:e>
        </m:nary>
      </m:oMath>
      <w:r w:rsidR="000D4D4C" w:rsidRPr="004125FF">
        <w:rPr>
          <w:rFonts w:asciiTheme="minorBidi" w:eastAsia="Times New Roman" w:hAnsiTheme="minorBidi" w:cstheme="minorBidi"/>
          <w:lang w:eastAsia="en-GB"/>
        </w:rPr>
        <w:t xml:space="preserve">                                      </w:t>
      </w:r>
      <w:r>
        <w:rPr>
          <w:rFonts w:asciiTheme="minorBidi" w:eastAsia="Times New Roman" w:hAnsiTheme="minorBidi" w:cstheme="minorBidi"/>
          <w:lang w:eastAsia="en-GB"/>
        </w:rPr>
        <w:t xml:space="preserve">    </w:t>
      </w:r>
      <w:r w:rsidR="000D4D4C" w:rsidRPr="004125FF">
        <w:rPr>
          <w:rFonts w:asciiTheme="minorBidi" w:eastAsia="Times New Roman" w:hAnsiTheme="minorBidi" w:cstheme="minorBidi"/>
          <w:lang w:eastAsia="en-GB"/>
        </w:rPr>
        <w:t xml:space="preserve">     (8)</w:t>
      </w:r>
    </w:p>
    <w:p w14:paraId="7EDF0CB9" w14:textId="2A3F198F" w:rsidR="000D4D4C" w:rsidRPr="004125FF" w:rsidRDefault="000D4D4C" w:rsidP="000D4D4C">
      <w:pPr>
        <w:jc w:val="both"/>
        <w:rPr>
          <w:rFonts w:asciiTheme="minorBidi" w:hAnsiTheme="minorBidi" w:cstheme="minorBidi"/>
        </w:rPr>
      </w:pPr>
      <w:r w:rsidRPr="004125FF">
        <w:rPr>
          <w:rFonts w:asciiTheme="minorBidi" w:hAnsiTheme="minorBidi" w:cstheme="minorBidi"/>
        </w:rPr>
        <w:t xml:space="preserve">Where:    </w:t>
      </w:r>
    </w:p>
    <w:p w14:paraId="4DF811D0" w14:textId="77777777" w:rsidR="000D4D4C" w:rsidRPr="004125FF" w:rsidRDefault="000D4D4C" w:rsidP="000D4D4C">
      <w:pPr>
        <w:jc w:val="both"/>
        <w:rPr>
          <w:rFonts w:asciiTheme="minorBidi" w:hAnsiTheme="minorBidi" w:cstheme="minorBidi"/>
          <w:rtl/>
        </w:rPr>
      </w:pPr>
      <m:oMath>
        <m:r>
          <w:rPr>
            <w:rFonts w:ascii="Cambria Math" w:hAnsi="Cambria Math" w:cstheme="minorBidi"/>
          </w:rPr>
          <m:t>DMI</m:t>
        </m:r>
      </m:oMath>
      <w:r w:rsidRPr="004125FF">
        <w:rPr>
          <w:rFonts w:asciiTheme="minorBidi" w:eastAsiaTheme="minorEastAsia" w:hAnsiTheme="minorBidi" w:cstheme="minorBidi"/>
        </w:rPr>
        <w:t xml:space="preserve"> : </w:t>
      </w:r>
      <w:r w:rsidRPr="004125FF">
        <w:rPr>
          <w:rFonts w:asciiTheme="minorBidi" w:hAnsiTheme="minorBidi" w:cstheme="minorBidi"/>
        </w:rPr>
        <w:t>Total composite score for the digital maturity model</w:t>
      </w:r>
    </w:p>
    <w:p w14:paraId="40D03519" w14:textId="77777777" w:rsidR="000D4D4C" w:rsidRPr="004125FF" w:rsidRDefault="00520C61" w:rsidP="000D4D4C">
      <w:pPr>
        <w:jc w:val="both"/>
        <w:rPr>
          <w:rFonts w:asciiTheme="minorBidi" w:hAnsiTheme="minorBidi" w:cstheme="minorBidi"/>
        </w:rPr>
      </w:pPr>
      <m:oMath>
        <m:sSub>
          <m:sSubPr>
            <m:ctrlPr>
              <w:rPr>
                <w:rFonts w:ascii="Cambria Math" w:hAnsi="Cambria Math" w:cstheme="minorBidi"/>
                <w:i/>
              </w:rPr>
            </m:ctrlPr>
          </m:sSubPr>
          <m:e>
            <m:r>
              <w:rPr>
                <w:rFonts w:ascii="Cambria Math" w:hAnsi="Cambria Math" w:cstheme="minorBidi"/>
              </w:rPr>
              <m:t>S</m:t>
            </m:r>
          </m:e>
          <m:sub>
            <m:r>
              <w:rPr>
                <w:rFonts w:ascii="Cambria Math" w:hAnsi="Cambria Math" w:cstheme="minorBidi"/>
              </w:rPr>
              <m:t>i</m:t>
            </m:r>
          </m:sub>
        </m:sSub>
      </m:oMath>
      <w:r w:rsidR="000D4D4C" w:rsidRPr="004125FF">
        <w:rPr>
          <w:rFonts w:asciiTheme="minorBidi" w:eastAsiaTheme="minorEastAsia" w:hAnsiTheme="minorBidi" w:cstheme="minorBidi"/>
        </w:rPr>
        <w:t xml:space="preserve"> : </w:t>
      </w:r>
      <w:r w:rsidR="000D4D4C" w:rsidRPr="004125FF">
        <w:rPr>
          <w:rFonts w:asciiTheme="minorBidi" w:hAnsiTheme="minorBidi" w:cstheme="minorBidi"/>
        </w:rPr>
        <w:t xml:space="preserve">The final score for the Dimensions Response value for item </w:t>
      </w:r>
      <w:proofErr w:type="spellStart"/>
      <w:r w:rsidR="000D4D4C" w:rsidRPr="004125FF">
        <w:rPr>
          <w:rFonts w:asciiTheme="minorBidi" w:hAnsiTheme="minorBidi" w:cstheme="minorBidi"/>
        </w:rPr>
        <w:t>i</w:t>
      </w:r>
      <w:proofErr w:type="spellEnd"/>
      <w:r w:rsidR="000D4D4C" w:rsidRPr="004125FF">
        <w:rPr>
          <w:rFonts w:asciiTheme="minorBidi" w:hAnsiTheme="minorBidi" w:cstheme="minorBidi"/>
        </w:rPr>
        <w:t>.</w:t>
      </w:r>
    </w:p>
    <w:p w14:paraId="69F5507C" w14:textId="67018D9F" w:rsidR="00C50EA8" w:rsidRDefault="00520C61" w:rsidP="0033741A">
      <w:pPr>
        <w:jc w:val="left"/>
        <w:rPr>
          <w:rFonts w:asciiTheme="minorBidi" w:hAnsiTheme="minorBidi" w:cstheme="minorBidi"/>
        </w:rPr>
      </w:pPr>
      <m:oMath>
        <m:sSub>
          <m:sSubPr>
            <m:ctrlPr>
              <w:rPr>
                <w:rFonts w:ascii="Cambria Math" w:hAnsi="Cambria Math" w:cstheme="minorBidi"/>
                <w:i/>
              </w:rPr>
            </m:ctrlPr>
          </m:sSubPr>
          <m:e>
            <m:r>
              <w:rPr>
                <w:rFonts w:ascii="Cambria Math" w:hAnsi="Cambria Math" w:cstheme="minorBidi"/>
              </w:rPr>
              <m:t>W</m:t>
            </m:r>
          </m:e>
          <m:sub>
            <m:r>
              <w:rPr>
                <w:rFonts w:ascii="Cambria Math" w:hAnsi="Cambria Math" w:cstheme="minorBidi"/>
              </w:rPr>
              <m:t>j</m:t>
            </m:r>
          </m:sub>
        </m:sSub>
      </m:oMath>
      <w:r w:rsidR="000D4D4C" w:rsidRPr="004125FF">
        <w:rPr>
          <w:rFonts w:asciiTheme="minorBidi" w:hAnsiTheme="minorBidi" w:cstheme="minorBidi"/>
        </w:rPr>
        <w:t xml:space="preserve"> : Relative weight of item j within its dimension.</w:t>
      </w:r>
    </w:p>
    <w:p w14:paraId="41A2FE81" w14:textId="77777777" w:rsidR="00317F82" w:rsidRPr="004125FF" w:rsidRDefault="00317F82" w:rsidP="0033741A">
      <w:pPr>
        <w:jc w:val="left"/>
        <w:rPr>
          <w:rFonts w:asciiTheme="minorBidi" w:hAnsiTheme="minorBidi" w:cstheme="minorBidi"/>
        </w:rPr>
      </w:pPr>
    </w:p>
    <w:p w14:paraId="0E420ED0" w14:textId="77777777" w:rsidR="000D4D4C" w:rsidRPr="00317F82" w:rsidRDefault="000D4D4C" w:rsidP="000D4D4C">
      <w:pPr>
        <w:pStyle w:val="ListParagraph"/>
        <w:numPr>
          <w:ilvl w:val="1"/>
          <w:numId w:val="20"/>
        </w:numPr>
        <w:spacing w:after="160" w:line="256" w:lineRule="auto"/>
        <w:rPr>
          <w:rFonts w:asciiTheme="minorBidi" w:hAnsiTheme="minorBidi"/>
          <w:b/>
          <w:bCs/>
        </w:rPr>
      </w:pPr>
      <w:r w:rsidRPr="00317F82">
        <w:rPr>
          <w:rFonts w:asciiTheme="minorBidi" w:hAnsiTheme="minorBidi"/>
          <w:b/>
          <w:bCs/>
        </w:rPr>
        <w:t>Digital Maturity Scale</w:t>
      </w:r>
    </w:p>
    <w:p w14:paraId="1F8071C2" w14:textId="3BCFBBC8" w:rsidR="008555F2" w:rsidRDefault="000D4D4C" w:rsidP="008555F2">
      <w:pPr>
        <w:jc w:val="both"/>
        <w:rPr>
          <w:rFonts w:asciiTheme="minorBidi" w:hAnsiTheme="minorBidi" w:cstheme="minorBidi"/>
        </w:rPr>
      </w:pPr>
      <w:r w:rsidRPr="004125FF">
        <w:rPr>
          <w:rFonts w:asciiTheme="minorBidi" w:hAnsiTheme="minorBidi" w:cstheme="minorBidi"/>
        </w:rPr>
        <w:t>Digital maturity models generally begin at a fundamental level, characterized by a low digital presence, and progress to the highest level, when digital technology is comprehensively integrated into all facets of the organization. The assessment tool is designed to measure digital maturity levels on a five-point scale, with each level representing a specific state of maturity, ranging from Level 1 (Initial /Ad Hoc) to Level 5 (</w:t>
      </w:r>
      <w:r w:rsidR="00AA4751" w:rsidRPr="004125FF">
        <w:rPr>
          <w:rFonts w:asciiTheme="minorBidi" w:hAnsiTheme="minorBidi" w:cstheme="minorBidi"/>
        </w:rPr>
        <w:t>Optimized</w:t>
      </w:r>
      <w:r w:rsidRPr="004125FF">
        <w:rPr>
          <w:rFonts w:asciiTheme="minorBidi" w:hAnsiTheme="minorBidi" w:cstheme="minorBidi"/>
        </w:rPr>
        <w:t>)</w:t>
      </w:r>
      <w:r w:rsidR="004D74B5">
        <w:rPr>
          <w:rFonts w:asciiTheme="minorBidi" w:hAnsiTheme="minorBidi" w:cstheme="minorBidi"/>
        </w:rPr>
        <w:t xml:space="preserve"> </w:t>
      </w:r>
      <w:r w:rsidR="004D74B5">
        <w:rPr>
          <w:rFonts w:asciiTheme="minorBidi" w:hAnsiTheme="minorBidi" w:cstheme="minorBidi"/>
        </w:rPr>
        <w:fldChar w:fldCharType="begin" w:fldLock="1"/>
      </w:r>
      <w:r w:rsidR="004D74B5">
        <w:rPr>
          <w:rFonts w:asciiTheme="minorBidi" w:hAnsiTheme="minorBidi" w:cstheme="minorBidi"/>
        </w:rPr>
        <w:instrText>ADDIN CSL_CITATION {"citationItems":[{"id":"ITEM-1","itemData":{"author":[{"dropping-particle":"","family":"Tubis","given":"Agnieszka A","non-dropping-particle":"","parse-names":false,"suffix":""}],"id":"ITEM-1","issued":{"date-parts":[["2023"]]},"title":"Digital Maturity Assessment Model for the Organizational and Process Dimensions","type":"article-journal"},"uris":["http://www.mendeley.com/documents/?uuid=7200b360-48da-475c-a1dd-6a892c132890"]}],"mendeley":{"formattedCitation":"(Tubis, 2023)","plainTextFormattedCitation":"(Tubis, 2023)","previouslyFormattedCitation":"(Tubis, 2023)"},"properties":{"noteIndex":0},"schema":"https://github.com/citation-style-language/schema/raw/master/csl-citation.json"}</w:instrText>
      </w:r>
      <w:r w:rsidR="004D74B5">
        <w:rPr>
          <w:rFonts w:asciiTheme="minorBidi" w:hAnsiTheme="minorBidi" w:cstheme="minorBidi"/>
        </w:rPr>
        <w:fldChar w:fldCharType="separate"/>
      </w:r>
      <w:r w:rsidR="004D74B5" w:rsidRPr="004D74B5">
        <w:rPr>
          <w:rFonts w:asciiTheme="minorBidi" w:hAnsiTheme="minorBidi" w:cstheme="minorBidi"/>
          <w:noProof/>
        </w:rPr>
        <w:t>(Tubis, 2023)</w:t>
      </w:r>
      <w:r w:rsidR="004D74B5">
        <w:rPr>
          <w:rFonts w:asciiTheme="minorBidi" w:hAnsiTheme="minorBidi" w:cstheme="minorBidi"/>
        </w:rPr>
        <w:fldChar w:fldCharType="end"/>
      </w:r>
      <w:r w:rsidRPr="004125FF">
        <w:rPr>
          <w:rFonts w:asciiTheme="minorBidi" w:hAnsiTheme="minorBidi" w:cstheme="minorBidi"/>
        </w:rPr>
        <w:t>. This methodology enables a precise and quantitative assessment of an organization's current position in relation to its ideal maturity stages. Table 1 presents the five levels of development.</w:t>
      </w:r>
    </w:p>
    <w:p w14:paraId="77806F08" w14:textId="77777777" w:rsidR="008555F2" w:rsidRPr="004125FF" w:rsidRDefault="008555F2" w:rsidP="008555F2">
      <w:pPr>
        <w:jc w:val="both"/>
        <w:rPr>
          <w:rFonts w:asciiTheme="minorBidi" w:hAnsiTheme="minorBidi" w:cstheme="minorBidi"/>
        </w:rPr>
      </w:pPr>
    </w:p>
    <w:p w14:paraId="65932F12" w14:textId="6E1F6CD5" w:rsidR="000D4D4C" w:rsidRDefault="008555F2" w:rsidP="000D4D4C">
      <w:pPr>
        <w:rPr>
          <w:rFonts w:asciiTheme="minorBidi" w:hAnsiTheme="minorBidi" w:cstheme="minorBidi"/>
        </w:rPr>
      </w:pPr>
      <w:r>
        <w:rPr>
          <w:rFonts w:ascii="Arial" w:hAnsi="Arial"/>
          <w:b/>
        </w:rPr>
        <w:t xml:space="preserve">Table </w:t>
      </w:r>
      <w:r w:rsidRPr="008555F2">
        <w:rPr>
          <w:rFonts w:ascii="Arial" w:hAnsi="Arial"/>
          <w:b/>
        </w:rPr>
        <w:t xml:space="preserve">1. </w:t>
      </w:r>
      <w:r w:rsidRPr="008555F2">
        <w:rPr>
          <w:rFonts w:asciiTheme="minorBidi" w:hAnsiTheme="minorBidi" w:cstheme="minorBidi"/>
          <w:b/>
        </w:rPr>
        <w:t>The Five Levels of Digital Maturity</w:t>
      </w:r>
    </w:p>
    <w:p w14:paraId="2F02A47B" w14:textId="77777777" w:rsidR="008555F2" w:rsidRPr="004125FF" w:rsidRDefault="008555F2" w:rsidP="000D4D4C">
      <w:pPr>
        <w:rPr>
          <w:rFonts w:asciiTheme="minorBidi" w:hAnsiTheme="minorBidi" w:cstheme="minorBidi"/>
        </w:rPr>
      </w:pPr>
    </w:p>
    <w:tbl>
      <w:tblPr>
        <w:tblStyle w:val="TableGrid"/>
        <w:tblW w:w="9759" w:type="dxa"/>
        <w:jc w:val="center"/>
        <w:tblInd w:w="0" w:type="dxa"/>
        <w:tblLook w:val="04A0" w:firstRow="1" w:lastRow="0" w:firstColumn="1" w:lastColumn="0" w:noHBand="0" w:noVBand="1"/>
      </w:tblPr>
      <w:tblGrid>
        <w:gridCol w:w="1510"/>
        <w:gridCol w:w="8249"/>
      </w:tblGrid>
      <w:tr w:rsidR="000D4D4C" w:rsidRPr="004125FF" w14:paraId="2B466A17" w14:textId="77777777" w:rsidTr="0002204D">
        <w:trPr>
          <w:trHeight w:val="245"/>
          <w:jc w:val="center"/>
        </w:trPr>
        <w:tc>
          <w:tcPr>
            <w:tcW w:w="1510" w:type="dxa"/>
          </w:tcPr>
          <w:p w14:paraId="5A81AAFE" w14:textId="77777777" w:rsidR="000D4D4C" w:rsidRPr="004125FF" w:rsidRDefault="000D4D4C" w:rsidP="00BA6ADA">
            <w:pPr>
              <w:rPr>
                <w:rFonts w:asciiTheme="minorBidi" w:hAnsiTheme="minorBidi" w:cstheme="minorBidi"/>
                <w:sz w:val="24"/>
                <w:szCs w:val="24"/>
                <w:lang w:val="tr-TR"/>
              </w:rPr>
            </w:pPr>
            <w:r w:rsidRPr="004125FF">
              <w:rPr>
                <w:rFonts w:asciiTheme="minorBidi" w:hAnsiTheme="minorBidi" w:cstheme="minorBidi"/>
                <w:sz w:val="24"/>
                <w:szCs w:val="24"/>
                <w:lang w:val="tr-TR"/>
              </w:rPr>
              <w:t>Level</w:t>
            </w:r>
          </w:p>
        </w:tc>
        <w:tc>
          <w:tcPr>
            <w:tcW w:w="8249" w:type="dxa"/>
          </w:tcPr>
          <w:p w14:paraId="3B89A9DD" w14:textId="77777777" w:rsidR="000D4D4C" w:rsidRPr="004125FF" w:rsidRDefault="000D4D4C" w:rsidP="00BA6ADA">
            <w:pPr>
              <w:tabs>
                <w:tab w:val="left" w:pos="1630"/>
              </w:tabs>
              <w:rPr>
                <w:rFonts w:asciiTheme="minorBidi" w:hAnsiTheme="minorBidi" w:cstheme="minorBidi"/>
                <w:sz w:val="24"/>
                <w:szCs w:val="24"/>
                <w:lang w:val="tr-TR"/>
              </w:rPr>
            </w:pPr>
            <w:r w:rsidRPr="004125FF">
              <w:rPr>
                <w:rFonts w:asciiTheme="minorBidi" w:hAnsiTheme="minorBidi" w:cstheme="minorBidi"/>
                <w:sz w:val="24"/>
                <w:szCs w:val="24"/>
                <w:lang w:val="tr-TR"/>
              </w:rPr>
              <w:t>Meaning</w:t>
            </w:r>
          </w:p>
        </w:tc>
      </w:tr>
      <w:tr w:rsidR="000D4D4C" w:rsidRPr="004125FF" w14:paraId="72EFC0A8" w14:textId="77777777" w:rsidTr="0002204D">
        <w:trPr>
          <w:trHeight w:val="467"/>
          <w:jc w:val="center"/>
        </w:trPr>
        <w:tc>
          <w:tcPr>
            <w:tcW w:w="1510" w:type="dxa"/>
          </w:tcPr>
          <w:p w14:paraId="4760AFEC" w14:textId="77777777" w:rsidR="000D4D4C" w:rsidRPr="004125FF" w:rsidRDefault="000D4D4C" w:rsidP="00BA6ADA">
            <w:pPr>
              <w:rPr>
                <w:rFonts w:asciiTheme="minorBidi" w:hAnsiTheme="minorBidi" w:cstheme="minorBidi"/>
                <w:sz w:val="24"/>
                <w:szCs w:val="24"/>
                <w:lang w:val="tr-TR"/>
              </w:rPr>
            </w:pPr>
            <w:r w:rsidRPr="004125FF">
              <w:rPr>
                <w:rFonts w:asciiTheme="minorBidi" w:hAnsiTheme="minorBidi" w:cstheme="minorBidi"/>
                <w:sz w:val="24"/>
                <w:szCs w:val="24"/>
                <w:lang w:val="tr-TR"/>
              </w:rPr>
              <w:t>1</w:t>
            </w:r>
          </w:p>
          <w:p w14:paraId="6349DA15" w14:textId="77777777" w:rsidR="000D4D4C" w:rsidRPr="004125FF" w:rsidRDefault="000D4D4C" w:rsidP="00BA6ADA">
            <w:pPr>
              <w:rPr>
                <w:rFonts w:asciiTheme="minorBidi" w:hAnsiTheme="minorBidi" w:cstheme="minorBidi"/>
                <w:sz w:val="24"/>
                <w:szCs w:val="24"/>
                <w:lang w:val="tr-TR"/>
              </w:rPr>
            </w:pPr>
            <w:r w:rsidRPr="004125FF">
              <w:rPr>
                <w:rFonts w:asciiTheme="minorBidi" w:hAnsiTheme="minorBidi" w:cstheme="minorBidi"/>
              </w:rPr>
              <w:t>Initial /Ad Hoc</w:t>
            </w:r>
          </w:p>
        </w:tc>
        <w:tc>
          <w:tcPr>
            <w:tcW w:w="8249" w:type="dxa"/>
          </w:tcPr>
          <w:p w14:paraId="2340404E" w14:textId="3277A3F6" w:rsidR="000D4D4C" w:rsidRPr="004125FF" w:rsidRDefault="000D4D4C" w:rsidP="00BA6ADA">
            <w:pPr>
              <w:jc w:val="both"/>
              <w:rPr>
                <w:rFonts w:asciiTheme="minorBidi" w:hAnsiTheme="minorBidi" w:cstheme="minorBidi"/>
                <w:sz w:val="24"/>
                <w:szCs w:val="24"/>
                <w:lang w:val="tr-TR"/>
              </w:rPr>
            </w:pPr>
            <w:r w:rsidRPr="004125FF">
              <w:rPr>
                <w:rFonts w:asciiTheme="minorBidi" w:hAnsiTheme="minorBidi" w:cstheme="minorBidi"/>
              </w:rPr>
              <w:t>A lack of a unified digital strategy characterizes this initial stage. Digital efforts often operate in isolation, are reactive in nature, and are driven by specific departments or individual personnel. Investment in technology is scant, and data is neither routinely gathered nor utilised for decision-making. The processes are manual, and the organisation is not utilising digital tools to enhance efficiency or customer experience</w:t>
            </w:r>
            <w:r w:rsidR="004D74B5">
              <w:rPr>
                <w:rFonts w:asciiTheme="minorBidi" w:hAnsiTheme="minorBidi" w:cstheme="minorBidi"/>
              </w:rPr>
              <w:t xml:space="preserve"> </w:t>
            </w:r>
            <w:r w:rsidR="004D74B5">
              <w:rPr>
                <w:rFonts w:asciiTheme="minorBidi" w:hAnsiTheme="minorBidi" w:cstheme="minorBidi"/>
              </w:rPr>
              <w:fldChar w:fldCharType="begin" w:fldLock="1"/>
            </w:r>
            <w:r w:rsidR="004D74B5">
              <w:rPr>
                <w:rFonts w:asciiTheme="minorBidi" w:hAnsiTheme="minorBidi" w:cstheme="minorBidi"/>
              </w:rPr>
              <w:instrText>ADDIN CSL_CITATION {"citationItems":[{"id":"ITEM-1","itemData":{"author":[{"dropping-particle":"","family":"Tubis","given":"Agnieszka A","non-dropping-particle":"","parse-names":false,"suffix":""}],"id":"ITEM-1","issued":{"date-parts":[["2023"]]},"title":"Digital Maturity Assessment Model for the Organizational and Process Dimensions","type":"article-journal"},"uris":["http://www.mendeley.com/documents/?uuid=7200b360-48da-475c-a1dd-6a892c132890"]}],"mendeley":{"formattedCitation":"(Tubis, 2023)","plainTextFormattedCitation":"(Tubis, 2023)","previouslyFormattedCitation":"(Tubis, 2023)"},"properties":{"noteIndex":0},"schema":"https://github.com/citation-style-language/schema/raw/master/csl-citation.json"}</w:instrText>
            </w:r>
            <w:r w:rsidR="004D74B5">
              <w:rPr>
                <w:rFonts w:asciiTheme="minorBidi" w:hAnsiTheme="minorBidi" w:cstheme="minorBidi"/>
              </w:rPr>
              <w:fldChar w:fldCharType="separate"/>
            </w:r>
            <w:r w:rsidR="004D74B5" w:rsidRPr="004D74B5">
              <w:rPr>
                <w:rFonts w:asciiTheme="minorBidi" w:hAnsiTheme="minorBidi" w:cstheme="minorBidi"/>
                <w:noProof/>
              </w:rPr>
              <w:t>(Tubis, 2023)</w:t>
            </w:r>
            <w:r w:rsidR="004D74B5">
              <w:rPr>
                <w:rFonts w:asciiTheme="minorBidi" w:hAnsiTheme="minorBidi" w:cstheme="minorBidi"/>
              </w:rPr>
              <w:fldChar w:fldCharType="end"/>
            </w:r>
            <w:r w:rsidRPr="004125FF">
              <w:rPr>
                <w:rFonts w:asciiTheme="minorBidi" w:hAnsiTheme="minorBidi" w:cstheme="minorBidi"/>
              </w:rPr>
              <w:t>.</w:t>
            </w:r>
          </w:p>
        </w:tc>
      </w:tr>
      <w:tr w:rsidR="000D4D4C" w:rsidRPr="004125FF" w14:paraId="290EEA56" w14:textId="77777777" w:rsidTr="0002204D">
        <w:trPr>
          <w:trHeight w:val="467"/>
          <w:jc w:val="center"/>
        </w:trPr>
        <w:tc>
          <w:tcPr>
            <w:tcW w:w="1510" w:type="dxa"/>
          </w:tcPr>
          <w:p w14:paraId="72BEE271" w14:textId="77777777" w:rsidR="000D4D4C" w:rsidRPr="004125FF" w:rsidRDefault="000D4D4C" w:rsidP="00BA6ADA">
            <w:pPr>
              <w:rPr>
                <w:rFonts w:asciiTheme="minorBidi" w:hAnsiTheme="minorBidi" w:cstheme="minorBidi"/>
                <w:sz w:val="24"/>
                <w:szCs w:val="24"/>
                <w:lang w:val="tr-TR"/>
              </w:rPr>
            </w:pPr>
            <w:r w:rsidRPr="004125FF">
              <w:rPr>
                <w:rFonts w:asciiTheme="minorBidi" w:hAnsiTheme="minorBidi" w:cstheme="minorBidi"/>
                <w:sz w:val="24"/>
                <w:szCs w:val="24"/>
                <w:lang w:val="tr-TR"/>
              </w:rPr>
              <w:t>2</w:t>
            </w:r>
          </w:p>
          <w:p w14:paraId="2001FB2B" w14:textId="77777777" w:rsidR="000D4D4C" w:rsidRPr="004125FF" w:rsidRDefault="000D4D4C" w:rsidP="00BA6ADA">
            <w:pPr>
              <w:rPr>
                <w:rFonts w:asciiTheme="minorBidi" w:hAnsiTheme="minorBidi" w:cstheme="minorBidi"/>
                <w:sz w:val="24"/>
                <w:szCs w:val="24"/>
                <w:lang w:val="tr-TR"/>
              </w:rPr>
            </w:pPr>
            <w:r w:rsidRPr="004125FF">
              <w:rPr>
                <w:rFonts w:asciiTheme="minorBidi" w:hAnsiTheme="minorBidi" w:cstheme="minorBidi"/>
              </w:rPr>
              <w:t>Emerged:</w:t>
            </w:r>
          </w:p>
        </w:tc>
        <w:tc>
          <w:tcPr>
            <w:tcW w:w="8249" w:type="dxa"/>
          </w:tcPr>
          <w:p w14:paraId="070D6CAD" w14:textId="22CAD064" w:rsidR="000D4D4C" w:rsidRPr="004125FF" w:rsidRDefault="000D4D4C" w:rsidP="00BA6ADA">
            <w:pPr>
              <w:jc w:val="both"/>
              <w:rPr>
                <w:rFonts w:asciiTheme="minorBidi" w:hAnsiTheme="minorBidi" w:cstheme="minorBidi"/>
              </w:rPr>
            </w:pPr>
            <w:r w:rsidRPr="004125FF">
              <w:rPr>
                <w:rFonts w:asciiTheme="minorBidi" w:hAnsiTheme="minorBidi" w:cstheme="minorBidi"/>
              </w:rPr>
              <w:t>At this stage, organisations acknowledge the significance of digital technologies and begin implementing them in targeted domains. A few digital efforts, such as a rudimentary website or social media presence, may be in progress; however, they remain predominantly isolated. Data collection is inconsistent, and there is no cohesive methodology for its utilisation. The emphasis frequently lies on digitising current manual processes instead of altering them</w:t>
            </w:r>
            <w:r w:rsidR="004D74B5">
              <w:rPr>
                <w:rFonts w:asciiTheme="minorBidi" w:hAnsiTheme="minorBidi" w:cstheme="minorBidi"/>
              </w:rPr>
              <w:t xml:space="preserve"> </w:t>
            </w:r>
            <w:r w:rsidR="004D74B5">
              <w:rPr>
                <w:rFonts w:asciiTheme="minorBidi" w:hAnsiTheme="minorBidi" w:cstheme="minorBidi"/>
              </w:rPr>
              <w:fldChar w:fldCharType="begin" w:fldLock="1"/>
            </w:r>
            <w:r w:rsidR="004D74B5">
              <w:rPr>
                <w:rFonts w:asciiTheme="minorBidi" w:hAnsiTheme="minorBidi" w:cstheme="minorBidi"/>
              </w:rPr>
              <w:instrText>ADDIN CSL_CITATION {"citationItems":[{"id":"ITEM-1","itemData":{"DOI":"10.1016/j.jbusres.2019.09.022","ISSN":"01482963","abstract":"Digital transformation and resultant business model innovation have fundamentally altered consumers’ expectations and behaviors, putting immense pressure on traditional firms, and disrupting numerous markets. Drawing on extant literature, we identify three stages of digital transformation: digitization, digitalization, and digital transformation. We identify and delineate growth strategies for digital firms as well as the assets and capabilities required in order to successfully transform digitally. We posit that digital transformation requires specific organizational structures and bears consequences for the metrics used to calibrate performance. Finally, we provide a research agenda to stimulate and guide future research on digital transformation.","author":[{"dropping-particle":"","family":"Verhoef","given":"Peter C.","non-dropping-particle":"","parse-names":false,"suffix":""},{"dropping-particle":"","family":"Broekhuizen","given":"Thijs","non-dropping-particle":"","parse-names":false,"suffix":""},{"dropping-particle":"","family":"Bart","given":"Yakov","non-dropping-particle":"","parse-names":false,"suffix":""},{"dropping-particle":"","family":"Bhattacharya","given":"Abhi","non-dropping-particle":"","parse-names":false,"suffix":""},{"dropping-particle":"","family":"Qi Dong","given":"John","non-dropping-particle":"","parse-names":false,"suffix":""},{"dropping-particle":"","family":"Fabian","given":"Nicolai","non-dropping-particle":"","parse-names":false,"suffix":""},{"dropping-particle":"","family":"Haenlein","given":"Michael","non-dropping-particle":"","parse-names":false,"suffix":""}],"container-title":"Journal of Business Research","id":"ITEM-1","issue":"July 2018","issued":{"date-parts":[["2021"]]},"page":"889-901","title":"Digital transformation: A multidisciplinary reflection and research agenda","type":"article-journal","volume":"122"},"uris":["http://www.mendeley.com/documents/?uuid=38d6c5b7-7961-4f99-aa6a-82b925a2e921"]}],"mendeley":{"formattedCitation":"(Verhoef et al., 2021)","plainTextFormattedCitation":"(Verhoef et al., 2021)","previouslyFormattedCitation":"(Verhoef et al., 2021)"},"properties":{"noteIndex":0},"schema":"https://github.com/citation-style-language/schema/raw/master/csl-citation.json"}</w:instrText>
            </w:r>
            <w:r w:rsidR="004D74B5">
              <w:rPr>
                <w:rFonts w:asciiTheme="minorBidi" w:hAnsiTheme="minorBidi" w:cstheme="minorBidi"/>
              </w:rPr>
              <w:fldChar w:fldCharType="separate"/>
            </w:r>
            <w:r w:rsidR="004D74B5" w:rsidRPr="004D74B5">
              <w:rPr>
                <w:rFonts w:asciiTheme="minorBidi" w:hAnsiTheme="minorBidi" w:cstheme="minorBidi"/>
                <w:noProof/>
              </w:rPr>
              <w:t>(Verhoef et al., 2021)</w:t>
            </w:r>
            <w:r w:rsidR="004D74B5">
              <w:rPr>
                <w:rFonts w:asciiTheme="minorBidi" w:hAnsiTheme="minorBidi" w:cstheme="minorBidi"/>
              </w:rPr>
              <w:fldChar w:fldCharType="end"/>
            </w:r>
            <w:r w:rsidRPr="004125FF">
              <w:rPr>
                <w:rFonts w:asciiTheme="minorBidi" w:hAnsiTheme="minorBidi" w:cstheme="minorBidi"/>
              </w:rPr>
              <w:t>.</w:t>
            </w:r>
          </w:p>
        </w:tc>
      </w:tr>
      <w:tr w:rsidR="000D4D4C" w:rsidRPr="004125FF" w14:paraId="7378E575" w14:textId="77777777" w:rsidTr="0002204D">
        <w:trPr>
          <w:trHeight w:val="452"/>
          <w:jc w:val="center"/>
        </w:trPr>
        <w:tc>
          <w:tcPr>
            <w:tcW w:w="1510" w:type="dxa"/>
          </w:tcPr>
          <w:p w14:paraId="3C40B5A4" w14:textId="77777777" w:rsidR="000D4D4C" w:rsidRPr="004125FF" w:rsidRDefault="000D4D4C" w:rsidP="00BA6ADA">
            <w:pPr>
              <w:rPr>
                <w:rFonts w:asciiTheme="minorBidi" w:hAnsiTheme="minorBidi" w:cstheme="minorBidi"/>
                <w:sz w:val="24"/>
                <w:szCs w:val="24"/>
                <w:lang w:val="tr-TR"/>
              </w:rPr>
            </w:pPr>
            <w:r w:rsidRPr="004125FF">
              <w:rPr>
                <w:rFonts w:asciiTheme="minorBidi" w:hAnsiTheme="minorBidi" w:cstheme="minorBidi"/>
                <w:sz w:val="24"/>
                <w:szCs w:val="24"/>
                <w:lang w:val="tr-TR"/>
              </w:rPr>
              <w:t>3</w:t>
            </w:r>
          </w:p>
          <w:p w14:paraId="19852A99" w14:textId="77777777" w:rsidR="000D4D4C" w:rsidRPr="004125FF" w:rsidRDefault="000D4D4C" w:rsidP="00BA6ADA">
            <w:pPr>
              <w:rPr>
                <w:rFonts w:asciiTheme="minorBidi" w:hAnsiTheme="minorBidi" w:cstheme="minorBidi"/>
                <w:sz w:val="24"/>
                <w:szCs w:val="24"/>
                <w:lang w:val="tr-TR"/>
              </w:rPr>
            </w:pPr>
            <w:r w:rsidRPr="004125FF">
              <w:rPr>
                <w:rFonts w:asciiTheme="minorBidi" w:hAnsiTheme="minorBidi" w:cstheme="minorBidi"/>
              </w:rPr>
              <w:t>Defined</w:t>
            </w:r>
          </w:p>
        </w:tc>
        <w:tc>
          <w:tcPr>
            <w:tcW w:w="8249" w:type="dxa"/>
          </w:tcPr>
          <w:p w14:paraId="24BFF724" w14:textId="32711034" w:rsidR="000D4D4C" w:rsidRPr="004125FF" w:rsidRDefault="000D4D4C" w:rsidP="00FA55C8">
            <w:pPr>
              <w:jc w:val="both"/>
              <w:rPr>
                <w:rFonts w:asciiTheme="minorBidi" w:hAnsiTheme="minorBidi" w:cstheme="minorBidi"/>
                <w:sz w:val="24"/>
                <w:szCs w:val="24"/>
                <w:lang w:val="tr-TR"/>
              </w:rPr>
            </w:pPr>
            <w:r w:rsidRPr="004125FF">
              <w:rPr>
                <w:rFonts w:asciiTheme="minorBidi" w:hAnsiTheme="minorBidi" w:cstheme="minorBidi"/>
              </w:rPr>
              <w:t>This level represents a notable transition, as the organisation begins to formulate a coherent and coordinated digital strategy. Technology is now regarded as a fundamental component in achieving business objectives. Efforts are being made to integrate digital tools across departments and to collect and analyse data systematically. Decision-making increasingly relies on data, with an enhanced emphasis on optimising customer experience and operation</w:t>
            </w:r>
            <w:r w:rsidR="00C50EA8" w:rsidRPr="004125FF">
              <w:rPr>
                <w:rFonts w:asciiTheme="minorBidi" w:hAnsiTheme="minorBidi" w:cstheme="minorBidi"/>
              </w:rPr>
              <w:t>al efficiency via technology</w:t>
            </w:r>
            <w:r w:rsidR="0002204D">
              <w:rPr>
                <w:rFonts w:asciiTheme="minorBidi" w:hAnsiTheme="minorBidi" w:cstheme="minorBidi"/>
              </w:rPr>
              <w:t xml:space="preserve"> </w:t>
            </w:r>
            <w:r w:rsidR="0002204D">
              <w:rPr>
                <w:rFonts w:asciiTheme="minorBidi" w:hAnsiTheme="minorBidi" w:cstheme="minorBidi"/>
              </w:rPr>
              <w:fldChar w:fldCharType="begin" w:fldLock="1"/>
            </w:r>
            <w:r w:rsidR="004D74B5">
              <w:rPr>
                <w:rFonts w:asciiTheme="minorBidi" w:hAnsiTheme="minorBidi" w:cstheme="minorBidi"/>
              </w:rPr>
              <w:instrText>ADDIN CSL_CITATION {"citationItems":[{"id":"ITEM-1","itemData":{"DOI":"10.1080/00207543.2021.1991020","author":[{"dropping-particle":"","family":"Gökalp","given":"Ebru","non-dropping-particle":"","parse-names":false,"suffix":""},{"dropping-particle":"","family":"Martinez","given":"Veronica","non-dropping-particle":"","parse-names":false,"suffix":""}],"id":"ITEM-1","issue":"May","issued":{"date-parts":[["2025"]]},"title":"Digital transformation maturity assessment : development of the digital transformation capability maturity model","type":"article-journal"},"uris":["http://www.mendeley.com/documents/?uuid=f91d2dce-f11b-476e-80b9-557612067137"]}],"mendeley":{"formattedCitation":"(Gökalp &amp; Martinez, 2025)","plainTextFormattedCitation":"(Gökalp &amp; Martinez, 2025)","previouslyFormattedCitation":"(Gökalp &amp; Martinez, 2025)"},"properties":{"noteIndex":0},"schema":"https://github.com/citation-style-language/schema/raw/master/csl-citation.json"}</w:instrText>
            </w:r>
            <w:r w:rsidR="0002204D">
              <w:rPr>
                <w:rFonts w:asciiTheme="minorBidi" w:hAnsiTheme="minorBidi" w:cstheme="minorBidi"/>
              </w:rPr>
              <w:fldChar w:fldCharType="separate"/>
            </w:r>
            <w:r w:rsidR="00FA55C8" w:rsidRPr="00FA55C8">
              <w:rPr>
                <w:rFonts w:asciiTheme="minorBidi" w:hAnsiTheme="minorBidi" w:cstheme="minorBidi"/>
                <w:noProof/>
              </w:rPr>
              <w:t>(Gökalp &amp; Martinez, 2025)</w:t>
            </w:r>
            <w:r w:rsidR="0002204D">
              <w:rPr>
                <w:rFonts w:asciiTheme="minorBidi" w:hAnsiTheme="minorBidi" w:cstheme="minorBidi"/>
              </w:rPr>
              <w:fldChar w:fldCharType="end"/>
            </w:r>
            <w:r w:rsidRPr="004125FF">
              <w:rPr>
                <w:rFonts w:asciiTheme="minorBidi" w:hAnsiTheme="minorBidi" w:cstheme="minorBidi"/>
              </w:rPr>
              <w:t>.</w:t>
            </w:r>
          </w:p>
        </w:tc>
      </w:tr>
      <w:tr w:rsidR="000D4D4C" w:rsidRPr="004125FF" w14:paraId="74E806C4" w14:textId="77777777" w:rsidTr="0002204D">
        <w:trPr>
          <w:trHeight w:val="467"/>
          <w:jc w:val="center"/>
        </w:trPr>
        <w:tc>
          <w:tcPr>
            <w:tcW w:w="1510" w:type="dxa"/>
          </w:tcPr>
          <w:p w14:paraId="0007C15A" w14:textId="77777777" w:rsidR="000D4D4C" w:rsidRPr="004125FF" w:rsidRDefault="000D4D4C" w:rsidP="00BA6ADA">
            <w:pPr>
              <w:rPr>
                <w:rFonts w:asciiTheme="minorBidi" w:hAnsiTheme="minorBidi" w:cstheme="minorBidi"/>
                <w:sz w:val="24"/>
                <w:szCs w:val="24"/>
                <w:lang w:val="tr-TR"/>
              </w:rPr>
            </w:pPr>
            <w:r w:rsidRPr="004125FF">
              <w:rPr>
                <w:rFonts w:asciiTheme="minorBidi" w:hAnsiTheme="minorBidi" w:cstheme="minorBidi"/>
                <w:sz w:val="24"/>
                <w:szCs w:val="24"/>
                <w:lang w:val="tr-TR"/>
              </w:rPr>
              <w:t>4</w:t>
            </w:r>
          </w:p>
          <w:p w14:paraId="171C0DB6" w14:textId="2887538B" w:rsidR="000D4D4C" w:rsidRPr="004125FF" w:rsidRDefault="00AA4751" w:rsidP="00BA6ADA">
            <w:pPr>
              <w:rPr>
                <w:rFonts w:asciiTheme="minorBidi" w:hAnsiTheme="minorBidi" w:cstheme="minorBidi"/>
                <w:sz w:val="24"/>
                <w:szCs w:val="24"/>
                <w:lang w:val="tr-TR"/>
              </w:rPr>
            </w:pPr>
            <w:r w:rsidRPr="004125FF">
              <w:rPr>
                <w:rFonts w:asciiTheme="minorBidi" w:hAnsiTheme="minorBidi" w:cstheme="minorBidi"/>
              </w:rPr>
              <w:t>Integrated</w:t>
            </w:r>
            <w:r w:rsidRPr="004125FF">
              <w:rPr>
                <w:rFonts w:asciiTheme="minorBidi" w:hAnsiTheme="minorBidi" w:cstheme="minorBidi"/>
                <w:sz w:val="24"/>
                <w:szCs w:val="24"/>
                <w:lang w:val="tr-TR"/>
              </w:rPr>
              <w:t xml:space="preserve"> </w:t>
            </w:r>
          </w:p>
        </w:tc>
        <w:tc>
          <w:tcPr>
            <w:tcW w:w="8249" w:type="dxa"/>
          </w:tcPr>
          <w:p w14:paraId="2A46B059" w14:textId="364F73EE" w:rsidR="000D4D4C" w:rsidRPr="004125FF" w:rsidRDefault="000D4D4C" w:rsidP="00BA6ADA">
            <w:pPr>
              <w:jc w:val="both"/>
              <w:rPr>
                <w:rFonts w:asciiTheme="minorBidi" w:hAnsiTheme="minorBidi" w:cstheme="minorBidi"/>
              </w:rPr>
            </w:pPr>
            <w:r w:rsidRPr="004125FF">
              <w:rPr>
                <w:rFonts w:asciiTheme="minorBidi" w:hAnsiTheme="minorBidi" w:cstheme="minorBidi"/>
              </w:rPr>
              <w:t>Organisations at this level possess a strong digital infrastructure and a clearly articulated strategy. Digital tools and data are thoroughly integrated into business operations and decision-making processes. The organisation continuously monitors its digital performance and utilises analytics to optimise processes, personalise customer interactions, and identify new business opportunities. Innovation is a central focus, characterised by a culture of experimentation and ongoing enhancement</w:t>
            </w:r>
            <w:r w:rsidR="004D74B5">
              <w:rPr>
                <w:rFonts w:asciiTheme="minorBidi" w:hAnsiTheme="minorBidi" w:cstheme="minorBidi"/>
              </w:rPr>
              <w:t xml:space="preserve"> </w:t>
            </w:r>
            <w:r w:rsidR="004D74B5">
              <w:rPr>
                <w:rFonts w:asciiTheme="minorBidi" w:hAnsiTheme="minorBidi" w:cstheme="minorBidi"/>
              </w:rPr>
              <w:fldChar w:fldCharType="begin" w:fldLock="1"/>
            </w:r>
            <w:r w:rsidR="004D74B5">
              <w:rPr>
                <w:rFonts w:asciiTheme="minorBidi" w:hAnsiTheme="minorBidi" w:cstheme="minorBidi"/>
              </w:rPr>
              <w:instrText>ADDIN CSL_CITATION {"citationItems":[{"id":"ITEM-1","itemData":{"DOI":"10.1142/S1363919622400126","author":[{"dropping-particle":"","family":"Flechsig","given":"Christian","non-dropping-particle":"","parse-names":false,"suffix":""},{"dropping-particle":"","family":"Hamann-lohmer","given":"Jacob","non-dropping-particle":"","parse-names":false,"suffix":""},{"dropping-particle":"","family":"Lasch","given":"Rainer","non-dropping-particle":"","parse-names":false,"suffix":""}],"id":"ITEM-1","issue":"August","issued":{"date-parts":[["2022"]]},"title":"BUSINESS PROCESS MATURITY MODEL FOR DIGITAL TRANSFORMATION : AN ACTION DESIGN RESEARCH STUDY ON THE INTEGRATION OF INFORMATION","type":"article-journal"},"uris":["http://www.mendeley.com/documents/?uuid=76a75a7a-ddc6-45cf-a9d5-b5a58d2151d7"]}],"mendeley":{"formattedCitation":"(Flechsig et al., 2022)","plainTextFormattedCitation":"(Flechsig et al., 2022)"},"properties":{"noteIndex":0},"schema":"https://github.com/citation-style-language/schema/raw/master/csl-citation.json"}</w:instrText>
            </w:r>
            <w:r w:rsidR="004D74B5">
              <w:rPr>
                <w:rFonts w:asciiTheme="minorBidi" w:hAnsiTheme="minorBidi" w:cstheme="minorBidi"/>
              </w:rPr>
              <w:fldChar w:fldCharType="separate"/>
            </w:r>
            <w:r w:rsidR="004D74B5" w:rsidRPr="004D74B5">
              <w:rPr>
                <w:rFonts w:asciiTheme="minorBidi" w:hAnsiTheme="minorBidi" w:cstheme="minorBidi"/>
                <w:noProof/>
              </w:rPr>
              <w:t>(Flechsig et al., 2022)</w:t>
            </w:r>
            <w:r w:rsidR="004D74B5">
              <w:rPr>
                <w:rFonts w:asciiTheme="minorBidi" w:hAnsiTheme="minorBidi" w:cstheme="minorBidi"/>
              </w:rPr>
              <w:fldChar w:fldCharType="end"/>
            </w:r>
            <w:r w:rsidRPr="004125FF">
              <w:rPr>
                <w:rFonts w:asciiTheme="minorBidi" w:hAnsiTheme="minorBidi" w:cstheme="minorBidi"/>
              </w:rPr>
              <w:t>.</w:t>
            </w:r>
          </w:p>
        </w:tc>
      </w:tr>
      <w:tr w:rsidR="000D4D4C" w:rsidRPr="004125FF" w14:paraId="3DABC4A9" w14:textId="77777777" w:rsidTr="0002204D">
        <w:trPr>
          <w:trHeight w:val="452"/>
          <w:jc w:val="center"/>
        </w:trPr>
        <w:tc>
          <w:tcPr>
            <w:tcW w:w="1510" w:type="dxa"/>
          </w:tcPr>
          <w:p w14:paraId="04589580" w14:textId="77777777" w:rsidR="000D4D4C" w:rsidRPr="004125FF" w:rsidRDefault="000D4D4C" w:rsidP="00BA6ADA">
            <w:pPr>
              <w:rPr>
                <w:rFonts w:asciiTheme="minorBidi" w:hAnsiTheme="minorBidi" w:cstheme="minorBidi"/>
                <w:sz w:val="24"/>
                <w:szCs w:val="24"/>
                <w:lang w:val="tr-TR"/>
              </w:rPr>
            </w:pPr>
            <w:r w:rsidRPr="004125FF">
              <w:rPr>
                <w:rFonts w:asciiTheme="minorBidi" w:hAnsiTheme="minorBidi" w:cstheme="minorBidi"/>
                <w:sz w:val="24"/>
                <w:szCs w:val="24"/>
                <w:lang w:val="tr-TR"/>
              </w:rPr>
              <w:t>5</w:t>
            </w:r>
          </w:p>
          <w:p w14:paraId="2E10E798" w14:textId="2AF7FC1B" w:rsidR="000D4D4C" w:rsidRPr="004125FF" w:rsidRDefault="00AA4751" w:rsidP="00BA6ADA">
            <w:pPr>
              <w:rPr>
                <w:rFonts w:asciiTheme="minorBidi" w:hAnsiTheme="minorBidi" w:cstheme="minorBidi"/>
                <w:sz w:val="24"/>
                <w:szCs w:val="24"/>
                <w:lang w:val="tr-TR"/>
              </w:rPr>
            </w:pPr>
            <w:r w:rsidRPr="004125FF">
              <w:rPr>
                <w:rFonts w:asciiTheme="minorBidi" w:hAnsiTheme="minorBidi" w:cstheme="minorBidi"/>
              </w:rPr>
              <w:t>Optimized</w:t>
            </w:r>
            <w:r w:rsidRPr="004125FF">
              <w:rPr>
                <w:rFonts w:asciiTheme="minorBidi" w:hAnsiTheme="minorBidi" w:cstheme="minorBidi"/>
                <w:sz w:val="24"/>
                <w:szCs w:val="24"/>
                <w:lang w:val="tr-TR"/>
              </w:rPr>
              <w:t xml:space="preserve"> </w:t>
            </w:r>
          </w:p>
        </w:tc>
        <w:tc>
          <w:tcPr>
            <w:tcW w:w="8249" w:type="dxa"/>
          </w:tcPr>
          <w:p w14:paraId="59917E6B" w14:textId="3E271423" w:rsidR="000D4D4C" w:rsidRPr="004125FF" w:rsidRDefault="000D4D4C" w:rsidP="00FA55C8">
            <w:pPr>
              <w:jc w:val="both"/>
              <w:rPr>
                <w:rFonts w:asciiTheme="minorBidi" w:hAnsiTheme="minorBidi" w:cstheme="minorBidi"/>
              </w:rPr>
            </w:pPr>
            <w:r w:rsidRPr="004125FF">
              <w:rPr>
                <w:rFonts w:asciiTheme="minorBidi" w:hAnsiTheme="minorBidi" w:cstheme="minorBidi"/>
              </w:rPr>
              <w:t>This level represents the most significant stage of digital maturity, where the company has fully transitioned to a digital environment. Digital technology underpins corporate model, culture, and strategy. The company is optimizing its processes and utiliz</w:t>
            </w:r>
            <w:r w:rsidR="001C7FEF">
              <w:rPr>
                <w:rFonts w:asciiTheme="minorBidi" w:hAnsiTheme="minorBidi" w:cstheme="minorBidi"/>
              </w:rPr>
              <w:t>ing AI, machine learning, and Io</w:t>
            </w:r>
            <w:r w:rsidRPr="004125FF">
              <w:rPr>
                <w:rFonts w:asciiTheme="minorBidi" w:hAnsiTheme="minorBidi" w:cstheme="minorBidi"/>
              </w:rPr>
              <w:t>T to develop new products, services, and business models. Agility, data, and disruptive innovation characterise these companies. They often lead their industry and define digital excellence</w:t>
            </w:r>
            <w:r w:rsidR="0002204D">
              <w:rPr>
                <w:rFonts w:asciiTheme="minorBidi" w:hAnsiTheme="minorBidi" w:cstheme="minorBidi"/>
              </w:rPr>
              <w:t xml:space="preserve"> </w:t>
            </w:r>
            <w:r w:rsidR="0002204D">
              <w:rPr>
                <w:rFonts w:asciiTheme="minorBidi" w:hAnsiTheme="minorBidi" w:cstheme="minorBidi"/>
              </w:rPr>
              <w:fldChar w:fldCharType="begin" w:fldLock="1"/>
            </w:r>
            <w:r w:rsidR="004D74B5">
              <w:rPr>
                <w:rFonts w:asciiTheme="minorBidi" w:hAnsiTheme="minorBidi" w:cstheme="minorBidi"/>
              </w:rPr>
              <w:instrText>ADDIN CSL_CITATION {"citationItems":[{"id":"ITEM-1","itemData":{"DOI":"10.1142/S1363919622400126","author":[{"dropping-particle":"","family":"Flechsig","given":"Christian","non-dropping-particle":"","parse-names":false,"suffix":""},{"dropping-particle":"","family":"Hamann-lohmer","given":"Jacob","non-dropping-particle":"","parse-names":false,"suffix":""},{"dropping-particle":"","family":"Lasch","given":"Rainer","non-dropping-particle":"","parse-names":false,"suffix":""}],"id":"ITEM-1","issue":"August","issued":{"date-parts":[["2022"]]},"title":"BUSINESS PROCESS MATURITY MODEL FOR DIGITAL TRANSFORMATION : AN ACTION DESIGN RESEARCH STUDY ON THE INTEGRATION OF INFORMATION","type":"article-journal"},"uris":["http://www.mendeley.com/documents/?uuid=76a75a7a-ddc6-45cf-a9d5-b5a58d2151d7"]}],"mendeley":{"formattedCitation":"(Flechsig et al., 2022)","plainTextFormattedCitation":"(Flechsig et al., 2022)","previouslyFormattedCitation":"(Flechsig et al., 2022)"},"properties":{"noteIndex":0},"schema":"https://github.com/citation-style-language/schema/raw/master/csl-citation.json"}</w:instrText>
            </w:r>
            <w:r w:rsidR="0002204D">
              <w:rPr>
                <w:rFonts w:asciiTheme="minorBidi" w:hAnsiTheme="minorBidi" w:cstheme="minorBidi"/>
              </w:rPr>
              <w:fldChar w:fldCharType="separate"/>
            </w:r>
            <w:r w:rsidR="00FA55C8" w:rsidRPr="00FA55C8">
              <w:rPr>
                <w:rFonts w:asciiTheme="minorBidi" w:hAnsiTheme="minorBidi" w:cstheme="minorBidi"/>
                <w:noProof/>
              </w:rPr>
              <w:t>(Flechsig et al., 2022)</w:t>
            </w:r>
            <w:r w:rsidR="0002204D">
              <w:rPr>
                <w:rFonts w:asciiTheme="minorBidi" w:hAnsiTheme="minorBidi" w:cstheme="minorBidi"/>
              </w:rPr>
              <w:fldChar w:fldCharType="end"/>
            </w:r>
            <w:r w:rsidRPr="004125FF">
              <w:rPr>
                <w:rFonts w:asciiTheme="minorBidi" w:hAnsiTheme="minorBidi" w:cstheme="minorBidi"/>
              </w:rPr>
              <w:t>.</w:t>
            </w:r>
          </w:p>
        </w:tc>
      </w:tr>
    </w:tbl>
    <w:p w14:paraId="08988660" w14:textId="64170143" w:rsidR="008555F2" w:rsidRDefault="008555F2" w:rsidP="008555F2">
      <w:pPr>
        <w:pStyle w:val="ListParagraph"/>
        <w:spacing w:after="160" w:line="256" w:lineRule="auto"/>
        <w:ind w:left="360"/>
        <w:rPr>
          <w:rFonts w:asciiTheme="minorBidi" w:hAnsiTheme="minorBidi"/>
          <w:b/>
          <w:bCs/>
        </w:rPr>
      </w:pPr>
    </w:p>
    <w:p w14:paraId="619856E8" w14:textId="77777777" w:rsidR="0002204D" w:rsidRDefault="0002204D" w:rsidP="008555F2">
      <w:pPr>
        <w:pStyle w:val="ListParagraph"/>
        <w:spacing w:after="160" w:line="256" w:lineRule="auto"/>
        <w:ind w:left="360"/>
        <w:rPr>
          <w:rFonts w:asciiTheme="minorBidi" w:hAnsiTheme="minorBidi"/>
          <w:b/>
          <w:bCs/>
        </w:rPr>
      </w:pPr>
    </w:p>
    <w:p w14:paraId="178CAAFE" w14:textId="099CDD4B" w:rsidR="000D4D4C" w:rsidRPr="00317F82" w:rsidRDefault="000D4D4C" w:rsidP="008555F2">
      <w:pPr>
        <w:pStyle w:val="ListParagraph"/>
        <w:numPr>
          <w:ilvl w:val="1"/>
          <w:numId w:val="50"/>
        </w:numPr>
        <w:spacing w:after="160" w:line="257" w:lineRule="auto"/>
        <w:ind w:left="357" w:hanging="357"/>
        <w:rPr>
          <w:rFonts w:asciiTheme="minorBidi" w:hAnsiTheme="minorBidi"/>
          <w:b/>
          <w:bCs/>
        </w:rPr>
      </w:pPr>
      <w:r w:rsidRPr="00317F82">
        <w:rPr>
          <w:rFonts w:asciiTheme="minorBidi" w:hAnsiTheme="minorBidi"/>
          <w:b/>
          <w:bCs/>
        </w:rPr>
        <w:lastRenderedPageBreak/>
        <w:t>Five-Dimensional Digital Maturity Framework</w:t>
      </w:r>
    </w:p>
    <w:p w14:paraId="0A8892CB" w14:textId="226434AC" w:rsidR="000D4D4C" w:rsidRPr="004125FF" w:rsidRDefault="000D4D4C" w:rsidP="000D4D4C">
      <w:pPr>
        <w:jc w:val="both"/>
        <w:rPr>
          <w:rFonts w:asciiTheme="minorBidi" w:hAnsiTheme="minorBidi" w:cstheme="minorBidi"/>
        </w:rPr>
      </w:pPr>
      <w:r w:rsidRPr="004125FF">
        <w:rPr>
          <w:rFonts w:asciiTheme="minorBidi" w:hAnsiTheme="minorBidi" w:cstheme="minorBidi"/>
        </w:rPr>
        <w:t>This framework provides a comprehensive model for assessing an organization's digital maturity. The model comprises five principal dimensions: customer, strategy, technology, organisation, and culture. Each dimension indicates a collection of sub-indicators used to assess particular facets of an organization's competencies. This model aims to provide a clear and structured view of an organization's present status in its digital transformation process. Figure 1 illustrates the five dimensions that constitute the model. Figure 2 shows the framework of digital maturity.</w:t>
      </w:r>
    </w:p>
    <w:p w14:paraId="79457E2D" w14:textId="77777777" w:rsidR="0033741A" w:rsidRPr="004125FF" w:rsidRDefault="0033741A" w:rsidP="000D4D4C">
      <w:pPr>
        <w:jc w:val="both"/>
        <w:rPr>
          <w:rFonts w:asciiTheme="minorBidi" w:hAnsiTheme="minorBidi" w:cstheme="minorBidi"/>
        </w:rPr>
      </w:pPr>
    </w:p>
    <w:p w14:paraId="34741D6C" w14:textId="0155145E" w:rsidR="000D4D4C" w:rsidRPr="004125FF" w:rsidRDefault="000D4D4C" w:rsidP="000D4D4C">
      <w:pPr>
        <w:rPr>
          <w:rFonts w:asciiTheme="minorBidi" w:hAnsiTheme="minorBidi" w:cstheme="minorBidi"/>
          <w:sz w:val="24"/>
          <w:szCs w:val="24"/>
          <w:lang w:val="tr-TR"/>
        </w:rPr>
      </w:pPr>
      <w:r w:rsidRPr="004125FF">
        <w:rPr>
          <w:rFonts w:asciiTheme="minorBidi" w:hAnsiTheme="minorBidi" w:cstheme="minorBidi"/>
          <w:noProof/>
          <w:sz w:val="24"/>
          <w:szCs w:val="24"/>
          <w:lang w:eastAsia="en-GB"/>
        </w:rPr>
        <w:drawing>
          <wp:inline distT="0" distB="0" distL="0" distR="0" wp14:anchorId="76C62BEC" wp14:editId="48A069FA">
            <wp:extent cx="5731510" cy="24098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gital Maturit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409825"/>
                    </a:xfrm>
                    <a:prstGeom prst="rect">
                      <a:avLst/>
                    </a:prstGeom>
                  </pic:spPr>
                </pic:pic>
              </a:graphicData>
            </a:graphic>
          </wp:inline>
        </w:drawing>
      </w:r>
    </w:p>
    <w:p w14:paraId="37FB0755" w14:textId="77777777" w:rsidR="0033741A" w:rsidRPr="004125FF" w:rsidRDefault="0033741A" w:rsidP="000D4D4C">
      <w:pPr>
        <w:rPr>
          <w:rFonts w:asciiTheme="minorBidi" w:hAnsiTheme="minorBidi" w:cstheme="minorBidi"/>
          <w:sz w:val="24"/>
          <w:szCs w:val="24"/>
          <w:lang w:val="tr-TR"/>
        </w:rPr>
      </w:pPr>
    </w:p>
    <w:p w14:paraId="7B2E39BD" w14:textId="0A6663F9" w:rsidR="000D4D4C" w:rsidRDefault="00C40962" w:rsidP="00E60E46">
      <w:pPr>
        <w:ind w:left="720"/>
        <w:jc w:val="both"/>
        <w:rPr>
          <w:rFonts w:asciiTheme="minorBidi" w:hAnsiTheme="minorBidi" w:cstheme="minorBidi"/>
          <w:lang w:val="tr-TR"/>
        </w:rPr>
      </w:pPr>
      <w:r>
        <w:rPr>
          <w:rFonts w:ascii="Arial" w:hAnsi="Arial" w:cs="Arial"/>
          <w:b/>
          <w:bCs/>
          <w:szCs w:val="22"/>
        </w:rPr>
        <w:t>Fig. 2.</w:t>
      </w:r>
      <w:r w:rsidRPr="008247A6">
        <w:rPr>
          <w:rFonts w:ascii="Arial" w:hAnsi="Arial" w:cs="Arial"/>
          <w:b/>
          <w:bCs/>
          <w:szCs w:val="22"/>
        </w:rPr>
        <w:t xml:space="preserve"> </w:t>
      </w:r>
      <w:r w:rsidR="000D4D4C" w:rsidRPr="00C40962">
        <w:rPr>
          <w:rFonts w:asciiTheme="minorBidi" w:hAnsiTheme="minorBidi" w:cstheme="minorBidi"/>
          <w:b/>
          <w:bCs/>
          <w:lang w:val="tr-TR"/>
        </w:rPr>
        <w:t xml:space="preserve">The fundamental framework and five aspects of telecoms service providers' digital maturity </w:t>
      </w:r>
      <w:r w:rsidR="0033741A" w:rsidRPr="00C40962">
        <w:rPr>
          <w:rFonts w:asciiTheme="minorBidi" w:hAnsiTheme="minorBidi" w:cstheme="minorBidi"/>
          <w:b/>
          <w:bCs/>
          <w:lang w:val="tr-TR"/>
        </w:rPr>
        <w:t>model</w:t>
      </w:r>
      <w:r w:rsidR="0033741A" w:rsidRPr="004125FF">
        <w:rPr>
          <w:rFonts w:asciiTheme="minorBidi" w:hAnsiTheme="minorBidi" w:cstheme="minorBidi"/>
          <w:lang w:val="tr-TR"/>
        </w:rPr>
        <w:t>.</w:t>
      </w:r>
    </w:p>
    <w:p w14:paraId="70D271B0" w14:textId="77777777" w:rsidR="00317F82" w:rsidRPr="004125FF" w:rsidRDefault="00317F82" w:rsidP="00E60E46">
      <w:pPr>
        <w:ind w:left="720"/>
        <w:jc w:val="both"/>
        <w:rPr>
          <w:rFonts w:asciiTheme="minorBidi" w:hAnsiTheme="minorBidi" w:cstheme="minorBidi"/>
          <w:lang w:val="tr-TR"/>
        </w:rPr>
      </w:pPr>
    </w:p>
    <w:p w14:paraId="29904400" w14:textId="25E8D1A2" w:rsidR="006C784D" w:rsidRDefault="006C784D" w:rsidP="008555F2">
      <w:pPr>
        <w:pStyle w:val="Heading4"/>
        <w:numPr>
          <w:ilvl w:val="2"/>
          <w:numId w:val="50"/>
        </w:numPr>
        <w:rPr>
          <w:rFonts w:asciiTheme="minorBidi" w:hAnsiTheme="minorBidi" w:cstheme="minorBidi"/>
          <w:b/>
          <w:bCs/>
          <w:i w:val="0"/>
          <w:iCs w:val="0"/>
        </w:rPr>
      </w:pPr>
      <w:r w:rsidRPr="004125FF">
        <w:rPr>
          <w:rFonts w:asciiTheme="minorBidi" w:hAnsiTheme="minorBidi" w:cstheme="minorBidi"/>
          <w:b/>
          <w:bCs/>
          <w:i w:val="0"/>
          <w:iCs w:val="0"/>
        </w:rPr>
        <w:t>C</w:t>
      </w:r>
      <w:r w:rsidR="000D4D4C" w:rsidRPr="004125FF">
        <w:rPr>
          <w:rFonts w:asciiTheme="minorBidi" w:hAnsiTheme="minorBidi" w:cstheme="minorBidi"/>
          <w:b/>
          <w:bCs/>
          <w:i w:val="0"/>
          <w:iCs w:val="0"/>
        </w:rPr>
        <w:t>ustomer</w:t>
      </w:r>
    </w:p>
    <w:p w14:paraId="6515FA31" w14:textId="77777777" w:rsidR="00317F82" w:rsidRPr="00317F82" w:rsidRDefault="00317F82" w:rsidP="00317F82"/>
    <w:p w14:paraId="76DC9C23" w14:textId="562F3733" w:rsidR="000D4D4C" w:rsidRPr="004125FF" w:rsidRDefault="000D4D4C" w:rsidP="00FA55C8">
      <w:pPr>
        <w:pStyle w:val="Heading4"/>
        <w:numPr>
          <w:ilvl w:val="0"/>
          <w:numId w:val="0"/>
        </w:numPr>
        <w:rPr>
          <w:rFonts w:asciiTheme="minorBidi" w:hAnsiTheme="minorBidi" w:cstheme="minorBidi"/>
          <w:i w:val="0"/>
          <w:iCs w:val="0"/>
        </w:rPr>
      </w:pPr>
      <w:r w:rsidRPr="004125FF">
        <w:rPr>
          <w:rFonts w:asciiTheme="minorBidi" w:hAnsiTheme="minorBidi" w:cstheme="minorBidi"/>
          <w:i w:val="0"/>
          <w:iCs w:val="0"/>
        </w:rPr>
        <w:t>New Technologies enhance the customer experience by facilitating consumer engagement through the use of an intuitive user interface. Enhanced service reliability fosters client trust</w:t>
      </w:r>
      <w:r w:rsidR="00044C15">
        <w:rPr>
          <w:rFonts w:asciiTheme="minorBidi" w:hAnsiTheme="minorBidi" w:cstheme="minorBidi"/>
          <w:i w:val="0"/>
          <w:iCs w:val="0"/>
        </w:rPr>
        <w:t xml:space="preserve"> </w:t>
      </w:r>
      <w:r w:rsidR="00044C15">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author":[{"dropping-particle":"","family":"Ahmed","given":"Tauqeer","non-dropping-particle":"","parse-names":false,"suffix":""},{"dropping-particle":"","family":"Hussain","given":"Babar","non-dropping-particle":"","parse-names":false,"suffix":""}],"id":"ITEM-1","issue":"June","issued":{"date-parts":[["2023"]]},"title":"The Role of AI in Enhancing Customer Experience and Engagement in Digital Transformation","type":"article-journal"},"uris":["http://www.mendeley.com/documents/?uuid=0fa6bf55-d29e-4925-9b16-edbbe24ef57d"]}],"mendeley":{"formattedCitation":"(Ahmed &amp; Hussain, 2023)","plainTextFormattedCitation":"(Ahmed &amp; Hussain, 2023)","previouslyFormattedCitation":"(Ahmed &amp; Hussain, 2023)"},"properties":{"noteIndex":0},"schema":"https://github.com/citation-style-language/schema/raw/master/csl-citation.json"}</w:instrText>
      </w:r>
      <w:r w:rsidR="00044C15">
        <w:rPr>
          <w:rFonts w:asciiTheme="minorBidi" w:hAnsiTheme="minorBidi" w:cstheme="minorBidi"/>
          <w:i w:val="0"/>
          <w:iCs w:val="0"/>
        </w:rPr>
        <w:fldChar w:fldCharType="separate"/>
      </w:r>
      <w:r w:rsidR="00FA55C8" w:rsidRPr="00FA55C8">
        <w:rPr>
          <w:rFonts w:asciiTheme="minorBidi" w:hAnsiTheme="minorBidi" w:cstheme="minorBidi"/>
          <w:i w:val="0"/>
          <w:iCs w:val="0"/>
        </w:rPr>
        <w:t>(Ahmed &amp; Hussain, 2023)</w:t>
      </w:r>
      <w:r w:rsidR="00044C15">
        <w:rPr>
          <w:rFonts w:asciiTheme="minorBidi" w:hAnsiTheme="minorBidi" w:cstheme="minorBidi"/>
          <w:i w:val="0"/>
          <w:iCs w:val="0"/>
        </w:rPr>
        <w:fldChar w:fldCharType="end"/>
      </w:r>
      <w:r w:rsidRPr="004125FF">
        <w:rPr>
          <w:rFonts w:asciiTheme="minorBidi" w:hAnsiTheme="minorBidi" w:cstheme="minorBidi"/>
          <w:i w:val="0"/>
          <w:iCs w:val="0"/>
        </w:rPr>
        <w:t>. A customer-centric strategy for digital maturity encompasses more than just technology; it also encompasses a comprehensive approach to business operations. Organisations require collaborations to establish a digital ecosystem, including the digitisation of customer service delivery and communication</w:t>
      </w:r>
      <w:r w:rsidR="002D6625">
        <w:rPr>
          <w:rFonts w:asciiTheme="minorBidi" w:hAnsiTheme="minorBidi" w:cstheme="minorBidi"/>
          <w:i w:val="0"/>
          <w:iCs w:val="0"/>
        </w:rPr>
        <w:t xml:space="preserve"> </w:t>
      </w:r>
      <w:r w:rsidR="002D6625">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author":[{"dropping-particle":"","family":"Bandara","given":"Oshadhi","non-dropping-particle":"","parse-names":false,"suffix":""},{"dropping-particle":"","family":"Vidanagamachchi","given":"Kasuni","non-dropping-particle":"","parse-names":false,"suffix":""},{"dropping-particle":"","family":"Wickramarachchi","given":"Ruwan","non-dropping-particle":"","parse-names":false,"suffix":""}],"id":"ITEM-1","issue":"March","issued":{"date-parts":[["2019"]]},"title":"A Model for Assessing Maturity of Industry 4 . 0 in the Banking Sector","type":"article-journal"},"uris":["http://www.mendeley.com/documents/?uuid=6173ac42-e945-4ee5-92cb-15376837409a"]}],"mendeley":{"formattedCitation":"(Bandara et al., 2019)","plainTextFormattedCitation":"(Bandara et al., 2019)","previouslyFormattedCitation":"(Bandara et al., 2019)"},"properties":{"noteIndex":0},"schema":"https://github.com/citation-style-language/schema/raw/master/csl-citation.json"}</w:instrText>
      </w:r>
      <w:r w:rsidR="002D6625">
        <w:rPr>
          <w:rFonts w:asciiTheme="minorBidi" w:hAnsiTheme="minorBidi" w:cstheme="minorBidi"/>
          <w:i w:val="0"/>
          <w:iCs w:val="0"/>
        </w:rPr>
        <w:fldChar w:fldCharType="separate"/>
      </w:r>
      <w:r w:rsidR="00FA55C8" w:rsidRPr="00FA55C8">
        <w:rPr>
          <w:rFonts w:asciiTheme="minorBidi" w:hAnsiTheme="minorBidi" w:cstheme="minorBidi"/>
          <w:i w:val="0"/>
          <w:iCs w:val="0"/>
        </w:rPr>
        <w:t>(Bandara et al., 2019)</w:t>
      </w:r>
      <w:r w:rsidR="002D6625">
        <w:rPr>
          <w:rFonts w:asciiTheme="minorBidi" w:hAnsiTheme="minorBidi" w:cstheme="minorBidi"/>
          <w:i w:val="0"/>
          <w:iCs w:val="0"/>
        </w:rPr>
        <w:fldChar w:fldCharType="end"/>
      </w:r>
      <w:r w:rsidRPr="004125FF">
        <w:rPr>
          <w:rFonts w:asciiTheme="minorBidi" w:hAnsiTheme="minorBidi" w:cstheme="minorBidi"/>
          <w:i w:val="0"/>
          <w:iCs w:val="0"/>
        </w:rPr>
        <w:t xml:space="preserve">. The mobile </w:t>
      </w:r>
      <w:r w:rsidR="00B90543">
        <w:rPr>
          <w:rFonts w:asciiTheme="minorBidi" w:hAnsiTheme="minorBidi" w:cstheme="minorBidi"/>
          <w:i w:val="0"/>
          <w:iCs w:val="0"/>
        </w:rPr>
        <w:t>i</w:t>
      </w:r>
      <w:r w:rsidRPr="004125FF">
        <w:rPr>
          <w:rFonts w:asciiTheme="minorBidi" w:hAnsiTheme="minorBidi" w:cstheme="minorBidi"/>
          <w:i w:val="0"/>
          <w:iCs w:val="0"/>
        </w:rPr>
        <w:t>nternet facilitates direct access to customers, enabling transparency and a novel service model. Through customer business models, customer satisfaction and engagement can be assessed in a sustainable and scalable manner. In the era of technology, where data privacy and security are paramount, trust forms the foundation of enduring c</w:t>
      </w:r>
      <w:r w:rsidR="002D6625">
        <w:rPr>
          <w:rFonts w:asciiTheme="minorBidi" w:hAnsiTheme="minorBidi" w:cstheme="minorBidi"/>
          <w:i w:val="0"/>
          <w:iCs w:val="0"/>
        </w:rPr>
        <w:t xml:space="preserve">onsumer connections and loyalty </w:t>
      </w:r>
      <w:r w:rsidR="002D6625">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DOI":"10.1108/JEBDE-09-2023-0019","author":[{"dropping-particle":"","family":"Ashiq","given":"Rubab","non-dropping-particle":"","parse-names":false,"suffix":""}],"id":"ITEM-1","issue":"2","issued":{"date-parts":[["2025"]]},"page":"117-141","title":"Exploring the effects of e-service quality and e-trust on consumers ’ e-satisfaction and e-loyalty : insights from online shoppers in Pakistan","type":"article-journal","volume":"3"},"uris":["http://www.mendeley.com/documents/?uuid=229f4dc7-ee1e-40d7-9219-5299b92ea54f"]}],"mendeley":{"formattedCitation":"(Ashiq, 2025)","plainTextFormattedCitation":"(Ashiq, 2025)","previouslyFormattedCitation":"(Ashiq, 2025)"},"properties":{"noteIndex":0},"schema":"https://github.com/citation-style-language/schema/raw/master/csl-citation.json"}</w:instrText>
      </w:r>
      <w:r w:rsidR="002D6625">
        <w:rPr>
          <w:rFonts w:asciiTheme="minorBidi" w:hAnsiTheme="minorBidi" w:cstheme="minorBidi"/>
          <w:i w:val="0"/>
          <w:iCs w:val="0"/>
        </w:rPr>
        <w:fldChar w:fldCharType="separate"/>
      </w:r>
      <w:r w:rsidR="00FA55C8" w:rsidRPr="00FA55C8">
        <w:rPr>
          <w:rFonts w:asciiTheme="minorBidi" w:hAnsiTheme="minorBidi" w:cstheme="minorBidi"/>
          <w:i w:val="0"/>
          <w:iCs w:val="0"/>
        </w:rPr>
        <w:t>(Ashiq, 2025)</w:t>
      </w:r>
      <w:r w:rsidR="002D6625">
        <w:rPr>
          <w:rFonts w:asciiTheme="minorBidi" w:hAnsiTheme="minorBidi" w:cstheme="minorBidi"/>
          <w:i w:val="0"/>
          <w:iCs w:val="0"/>
        </w:rPr>
        <w:fldChar w:fldCharType="end"/>
      </w:r>
      <w:r w:rsidR="008E5368">
        <w:rPr>
          <w:rFonts w:asciiTheme="minorBidi" w:hAnsiTheme="minorBidi" w:cstheme="minorBidi"/>
          <w:i w:val="0"/>
          <w:iCs w:val="0"/>
        </w:rPr>
        <w:t xml:space="preserve">. </w:t>
      </w:r>
      <w:r w:rsidRPr="004125FF">
        <w:rPr>
          <w:rFonts w:asciiTheme="minorBidi" w:hAnsiTheme="minorBidi" w:cstheme="minorBidi"/>
          <w:i w:val="0"/>
          <w:iCs w:val="0"/>
        </w:rPr>
        <w:t>Customer dimensions can be extracted from attributes like (1) Customer Engagement, (2) Customer Satisfaction, and (3) Customer Trust.</w:t>
      </w:r>
    </w:p>
    <w:p w14:paraId="49D6DEE7" w14:textId="77777777" w:rsidR="006C784D" w:rsidRPr="004125FF" w:rsidRDefault="006C784D" w:rsidP="006C784D">
      <w:pPr>
        <w:rPr>
          <w:rFonts w:asciiTheme="minorBidi" w:hAnsiTheme="minorBidi" w:cstheme="minorBidi"/>
        </w:rPr>
      </w:pPr>
    </w:p>
    <w:p w14:paraId="085EDE42" w14:textId="77777777" w:rsidR="000D4D4C" w:rsidRPr="004125FF" w:rsidRDefault="000D4D4C" w:rsidP="000D4D4C">
      <w:pPr>
        <w:pStyle w:val="Heading4"/>
        <w:numPr>
          <w:ilvl w:val="0"/>
          <w:numId w:val="0"/>
        </w:numPr>
        <w:rPr>
          <w:rFonts w:asciiTheme="minorBidi" w:hAnsiTheme="minorBidi" w:cstheme="minorBidi"/>
          <w:b/>
          <w:bCs/>
          <w:i w:val="0"/>
          <w:iCs w:val="0"/>
        </w:rPr>
      </w:pPr>
      <w:r w:rsidRPr="004125FF">
        <w:rPr>
          <w:rFonts w:asciiTheme="minorBidi" w:hAnsiTheme="minorBidi" w:cstheme="minorBidi"/>
          <w:b/>
          <w:bCs/>
          <w:i w:val="0"/>
          <w:iCs w:val="0"/>
        </w:rPr>
        <w:t>3.5.2  Strategy</w:t>
      </w:r>
    </w:p>
    <w:p w14:paraId="64FBC0DE" w14:textId="77777777" w:rsidR="006C784D" w:rsidRPr="004125FF" w:rsidRDefault="006C784D" w:rsidP="000D4D4C">
      <w:pPr>
        <w:pStyle w:val="Heading4"/>
        <w:numPr>
          <w:ilvl w:val="0"/>
          <w:numId w:val="0"/>
        </w:numPr>
        <w:rPr>
          <w:rFonts w:asciiTheme="minorBidi" w:hAnsiTheme="minorBidi" w:cstheme="minorBidi"/>
          <w:i w:val="0"/>
          <w:iCs w:val="0"/>
        </w:rPr>
      </w:pPr>
    </w:p>
    <w:p w14:paraId="3A81410D" w14:textId="6DA2F459" w:rsidR="000D4D4C" w:rsidRPr="004125FF" w:rsidRDefault="000D4D4C" w:rsidP="00FA55C8">
      <w:pPr>
        <w:pStyle w:val="Heading4"/>
        <w:numPr>
          <w:ilvl w:val="0"/>
          <w:numId w:val="0"/>
        </w:numPr>
        <w:rPr>
          <w:rFonts w:asciiTheme="minorBidi" w:hAnsiTheme="minorBidi" w:cstheme="minorBidi"/>
          <w:i w:val="0"/>
          <w:iCs w:val="0"/>
        </w:rPr>
      </w:pPr>
      <w:r w:rsidRPr="004125FF">
        <w:rPr>
          <w:rFonts w:asciiTheme="minorBidi" w:hAnsiTheme="minorBidi" w:cstheme="minorBidi"/>
          <w:i w:val="0"/>
          <w:iCs w:val="0"/>
        </w:rPr>
        <w:t>A strategy can be characterized as an input from DX that influences the change of organizations and enterprises, and the incorporation of digital activities into the fundamental business plan to</w:t>
      </w:r>
      <w:r w:rsidR="002D6625">
        <w:rPr>
          <w:rFonts w:asciiTheme="minorBidi" w:hAnsiTheme="minorBidi" w:cstheme="minorBidi"/>
          <w:i w:val="0"/>
          <w:iCs w:val="0"/>
        </w:rPr>
        <w:t xml:space="preserve"> enhance competitive advantage </w:t>
      </w:r>
      <w:r w:rsidR="002D6625">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{"citationItems":[{"id":"ITEM-1","itemData":{"ISBN":"4072629952","ISSN":"2079-8954","abstract":"&lt;p&gt;In today’s competitive and globalized world, innovation is essential for organizational survival, offering a means for companies to address environmental impacts and social challenges. As innovation processes accelerate, managers need to rethink the entire value-creation chain, with digital transformation emerging as a continuous process of organizational adaptation to the evolving societal landscape. The research question focuses on how digital technologies—such as artificial intelligence, Big Data, cloud computing, industrial and service robots, and the Internet of Things—influence innovation-driven revenues among enterprises within the European Union (EU). The paper examines, using neural network analysis, the specific impact of each digital technology on innovation revenues while exploring how these technologies affect various types of social innovation within organizations. Through cluster analysis, the study identifies patterns among EU countries based on their digital technology adoption, innovation expenditures, and revenues and the proportion of enterprises engaged in innovation activities. The findings highlight the central role of digital technologies in enhancing innovation and competitiveness, with significant implications for managers and policymakers. These results underscore the necessity for companies to strategically integrate digital technologies to sustain long-term competitiveness in the rapidly evolving digital landscape of the EU.&lt;/p&gt;","author":[{"dropping-particle":"","family":"Vărzaru","given":"Anca Antoaneta","non-dropping-particle":"","parse-names":false,"suffix":""},{"dropping-particle":"","family":"Bocean","given":"Claudiu George","non-dropping-particle":"","parse-names":false,"suffix":""}],"container-title":"Systems","id":"ITEM-1","issue":"9","issued":{"date-parts":[["2024"]]},"page":"359","title":"Digital Transformation and Innovation: The Influence of Digital Technologies on Turnover from Innovation Activities and Types of Innovation","type":"article-journal","volume":"12"},"uris":["http://www.mendeley.com/documents/?uuid=6bbe01de-d1d3-4fcf-bfa0-133649edfbcc"]}],"mendeley":{"formattedCitation":"(Vărzaru &amp; Bocean, 2024)","plainTextFormattedCitation":"(Vărzaru &amp; Bocean, 2024)","previouslyFormattedCitation":"(Vărzaru &amp; Bocean, 2024)"},"properties":{"noteIndex":0},"schema":"https://github.com/citation-style-language/schema/raw/master/csl-citation.json"}</w:instrText>
      </w:r>
      <w:r w:rsidR="002D6625">
        <w:rPr>
          <w:rFonts w:asciiTheme="minorBidi" w:hAnsiTheme="minorBidi" w:cstheme="minorBidi"/>
          <w:i w:val="0"/>
          <w:iCs w:val="0"/>
        </w:rPr>
        <w:fldChar w:fldCharType="separate"/>
      </w:r>
      <w:r w:rsidR="00FA55C8" w:rsidRPr="00FA55C8">
        <w:rPr>
          <w:rFonts w:asciiTheme="minorBidi" w:hAnsiTheme="minorBidi" w:cstheme="minorBidi"/>
          <w:i w:val="0"/>
          <w:iCs w:val="0"/>
        </w:rPr>
        <w:t>(Vărzaru &amp; Bocean, 2024)</w:t>
      </w:r>
      <w:r w:rsidR="002D6625">
        <w:rPr>
          <w:rFonts w:asciiTheme="minorBidi" w:hAnsiTheme="minorBidi" w:cstheme="minorBidi"/>
          <w:i w:val="0"/>
          <w:iCs w:val="0"/>
        </w:rPr>
        <w:fldChar w:fldCharType="end"/>
      </w:r>
      <w:r w:rsidRPr="004125FF">
        <w:rPr>
          <w:rFonts w:asciiTheme="minorBidi" w:hAnsiTheme="minorBidi" w:cstheme="minorBidi"/>
          <w:i w:val="0"/>
          <w:iCs w:val="0"/>
        </w:rPr>
        <w:t>. DX's strategy establishes a robust vision and roadmap, motivating the utilisation of existing technology to foster a futu</w:t>
      </w:r>
      <w:r w:rsidR="00E2144B" w:rsidRPr="004125FF">
        <w:rPr>
          <w:rFonts w:asciiTheme="minorBidi" w:hAnsiTheme="minorBidi" w:cstheme="minorBidi"/>
          <w:i w:val="0"/>
          <w:iCs w:val="0"/>
        </w:rPr>
        <w:t>re grounded in shared values</w:t>
      </w:r>
      <w:r w:rsidR="002D6625">
        <w:rPr>
          <w:rFonts w:asciiTheme="minorBidi" w:hAnsiTheme="minorBidi" w:cstheme="minorBidi"/>
          <w:i w:val="0"/>
          <w:iCs w:val="0"/>
        </w:rPr>
        <w:t xml:space="preserve"> </w:t>
      </w:r>
      <w:r w:rsidR="002D6625">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{"citationItems":[{"id":"ITEM-1","itemData":{"author":[{"dropping-particle":"","family":"Sacavém","given":"António","non-dropping-particle":"","parse-names":false,"suffix":""},{"dropping-particle":"","family":"Machado","given":"Andreia De Bem","non-dropping-particle":"","parse-names":false,"suffix":""},{"dropping-particle":"","family":"Palma-moreira","given":"Ana","non-dropping-particle":"","parse-names":false,"suffix":""}],"id":"ITEM-1","issued":{"date-parts":[["2025"]]},"page":"1-21","title":"Leading in the Digital Age : The Role of Leadership in Organizational Digital Transformation","type":"article-journal"},"uris":["http://www.mendeley.com/documents/?uuid=89631891-6568-4fd2-8fd8-f9e1c446d785"]}],"mendeley":{"formattedCitation":"(Sacavém et al., 2025)","plainTextFormattedCitation":"(Sacavém et al., 2025)","previouslyFormattedCitation":"(Sacavém et al., 2025)"},"properties":{"noteIndex":0},"schema":"https://github.com/citation-style-language/schema/raw/master/csl-citation.json"}</w:instrText>
      </w:r>
      <w:r w:rsidR="002D6625">
        <w:rPr>
          <w:rFonts w:asciiTheme="minorBidi" w:hAnsiTheme="minorBidi" w:cstheme="minorBidi"/>
          <w:i w:val="0"/>
          <w:iCs w:val="0"/>
        </w:rPr>
        <w:fldChar w:fldCharType="separate"/>
      </w:r>
      <w:r w:rsidR="00FA55C8" w:rsidRPr="00FA55C8">
        <w:rPr>
          <w:rFonts w:asciiTheme="minorBidi" w:hAnsiTheme="minorBidi" w:cstheme="minorBidi"/>
          <w:i w:val="0"/>
          <w:iCs w:val="0"/>
        </w:rPr>
        <w:t>(Sacavém et al., 2025)</w:t>
      </w:r>
      <w:r w:rsidR="002D6625">
        <w:rPr>
          <w:rFonts w:asciiTheme="minorBidi" w:hAnsiTheme="minorBidi" w:cstheme="minorBidi"/>
          <w:i w:val="0"/>
          <w:iCs w:val="0"/>
        </w:rPr>
        <w:fldChar w:fldCharType="end"/>
      </w:r>
      <w:r w:rsidRPr="004125FF">
        <w:rPr>
          <w:rFonts w:asciiTheme="minorBidi" w:hAnsiTheme="minorBidi" w:cstheme="minorBidi"/>
          <w:i w:val="0"/>
          <w:iCs w:val="0"/>
        </w:rPr>
        <w:t>. The approach must consider future developments. The DX strategy must consider legal and tax rules, financial matters, sustainability guidelines, and governmental regulations</w:t>
      </w:r>
      <w:r w:rsidR="002D6625">
        <w:rPr>
          <w:rFonts w:asciiTheme="minorBidi" w:hAnsiTheme="minorBidi" w:cstheme="minorBidi"/>
          <w:i w:val="0"/>
          <w:iCs w:val="0"/>
        </w:rPr>
        <w:t xml:space="preserve"> </w:t>
      </w:r>
      <w:r w:rsidR="00E74147">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{"citationItems":[{"id":"ITEM-1","itemData":{"DOI":"10.3390/su152015156","abstract":"Digitalization has brought a significant improvement in process optimization and decision-making processes, in particular in pursuing the goal of sustainability. This study examines how digitalization has affected process optimization and decision-making towards sustainability, focusing on Pakistan’s manufacturing sector. This study also examines the moderating role of environmental regulations between digitalization and sustainable practices. This study is based on quantitative methodology. Purposive sampling was used to gather primary data from 554 managers and engineers working in manufacturing industries in Pakistan through a closed-ended questionnaire. Smart PLS was used for data analysis. The findings show digitalization’s positive and significant influence on process optimization and decision-making. The results also show that environmental regulations have a significant moderating effect on the digitalization of processes and decision-making towards sustainability practices. The findings provide a guideline for industries, decision-makers, and researchers for developing strategies that effectively use digitalization for sustainability and assist in achieving the Sustainable Development Goals (SGD-9, SGD-11, SGD-12, and SGD-13).","author":[{"dropping-particle":"","family":"Peng","given":"Yixuan","non-dropping-particle":"","parse-names":false,"suffix":""},{"dropping-particle":"","family":"Ahmad","given":"Sayed Fayaz","non-dropping-particle":"","parse-names":false,"suffix":""},{"dropping-particle":"","family":"Irshad","given":"Muhammad","non-dropping-particle":"","parse-names":false,"suffix":""},{"dropping-particle":"","family":"Al-Razgan","given":"Muna","non-dropping-particle":"","parse-names":false,"suffix":""},{"dropping-particle":"","family":"Ali","given":"Yasser A.","non-dropping-particle":"","parse-names":false,"suffix":""},{"dropping-particle":"","family":"Awwad","given":"Emad Marous","non-dropping-particle":"","parse-names":false,"suffix":""}],"container-title":"Sustainability","id":"ITEM-1","issue":"20","issued":{"date-parts":[["2023"]]},"page":"15156","title":"Impact of Digitalization on Process Optimization and Decision-Making towards Sustainability: The Moderating Role of Environmental Regulation","type":"article-journal","volume":"15"},"uris":["http://www.mendeley.com/documents/?uuid=72242d34-6639-41ce-b7e7-e30be506c3df"]}],"mendeley":{"formattedCitation":"(Peng et al., 2023)","plainTextFormattedCitation":"(Peng et al., 2023)","previouslyFormattedCitation":"(Peng et al., 2023)"},"properties":{"noteIndex":0},"schema":"https://github.com/citation-style-language/schema/raw/master/csl-citation.json"}</w:instrText>
      </w:r>
      <w:r w:rsidR="00E74147">
        <w:rPr>
          <w:rFonts w:asciiTheme="minorBidi" w:hAnsiTheme="minorBidi" w:cstheme="minorBidi"/>
          <w:i w:val="0"/>
          <w:iCs w:val="0"/>
        </w:rPr>
        <w:fldChar w:fldCharType="separate"/>
      </w:r>
      <w:r w:rsidR="00FA55C8" w:rsidRPr="00FA55C8">
        <w:rPr>
          <w:rFonts w:asciiTheme="minorBidi" w:hAnsiTheme="minorBidi" w:cstheme="minorBidi"/>
          <w:i w:val="0"/>
          <w:iCs w:val="0"/>
        </w:rPr>
        <w:t>(Peng et al., 2023)</w:t>
      </w:r>
      <w:r w:rsidR="00E74147">
        <w:rPr>
          <w:rFonts w:asciiTheme="minorBidi" w:hAnsiTheme="minorBidi" w:cstheme="minorBidi"/>
          <w:i w:val="0"/>
          <w:iCs w:val="0"/>
        </w:rPr>
        <w:fldChar w:fldCharType="end"/>
      </w:r>
      <w:r w:rsidRPr="004125FF">
        <w:rPr>
          <w:rFonts w:asciiTheme="minorBidi" w:hAnsiTheme="minorBidi" w:cstheme="minorBidi"/>
          <w:i w:val="0"/>
          <w:iCs w:val="0"/>
        </w:rPr>
        <w:t>. A clear strategy entails the existence of a digital transformation plan that is integrated into the organization's development strategy</w:t>
      </w:r>
      <w:r w:rsidR="00B90543">
        <w:rPr>
          <w:rFonts w:asciiTheme="minorBidi" w:hAnsiTheme="minorBidi" w:cstheme="minorBidi"/>
          <w:i w:val="0"/>
          <w:iCs w:val="0"/>
        </w:rPr>
        <w:t>, along with a comprehensive list of explicit behavio</w:t>
      </w:r>
      <w:r w:rsidRPr="004125FF">
        <w:rPr>
          <w:rFonts w:asciiTheme="minorBidi" w:hAnsiTheme="minorBidi" w:cstheme="minorBidi"/>
          <w:i w:val="0"/>
          <w:iCs w:val="0"/>
        </w:rPr>
        <w:t>rs required to attain a superior level of digital maturity. The digital transformation strategy should not disrupt the existing organisational strategy but rather integrate and enhance it, introducing essential changes, technologies, and resources to advance and improve the organization's performance metrics</w:t>
      </w:r>
      <w:r w:rsidR="00E74147">
        <w:rPr>
          <w:rFonts w:asciiTheme="minorBidi" w:hAnsiTheme="minorBidi" w:cstheme="minorBidi"/>
          <w:i w:val="0"/>
          <w:iCs w:val="0"/>
        </w:rPr>
        <w:t xml:space="preserve"> </w:t>
      </w:r>
      <w:r w:rsidR="00E74147">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DOI":"10.1007/s10961-024-10164-9","ISBN":"0123456789","ISSN":"1573-7047","author":[{"dropping-particle":"","family":"Rubio","given":"Mercedes","non-dropping-particle":"","parse-names":false,"suffix":""},{"dropping-particle":"","family":"Jorge","given":"Andrés","non-dropping-particle":"","parse-names":false,"suffix":""},{"dropping-particle":"","family":"Langreo","given":"Linuesa","non-dropping-particle":"","parse-names":false,"suffix":""},{"dropping-particle":"","family":"Gutiérrez","given":"Santiago","non-dropping-particle":"","parse-names":false,"suffix":""}],"container-title":"The Journal of Technology Transfer","id":"ITEM-1","issue":"5","issued":{"date-parts":[["2025"]]},"page":"1893-1918","publisher":"Springer US","title":"Tackling digital transformation strategy : how it affects firm innovation and organizational effectiveness","type":"article-journal","volume":"50"},"uris":["http://www.mendeley.com/documents/?uuid=6985b565-7203-42af-8f5a-388791910eb0"]}],"mendeley":{"formattedCitation":"(Rubio et al., 2025)","plainTextFormattedCitation":"(Rubio et al., 2025)","previouslyFormattedCitation":"(Rubio et al., 2025)"},"properties":{"noteIndex":0},"schema":"https://github.com/citation-style-language/schema/raw/master/csl-citation.json"}</w:instrText>
      </w:r>
      <w:r w:rsidR="00E74147">
        <w:rPr>
          <w:rFonts w:asciiTheme="minorBidi" w:hAnsiTheme="minorBidi" w:cstheme="minorBidi"/>
          <w:i w:val="0"/>
          <w:iCs w:val="0"/>
        </w:rPr>
        <w:fldChar w:fldCharType="separate"/>
      </w:r>
      <w:r w:rsidR="00FA55C8" w:rsidRPr="00FA55C8">
        <w:rPr>
          <w:rFonts w:asciiTheme="minorBidi" w:hAnsiTheme="minorBidi" w:cstheme="minorBidi"/>
          <w:i w:val="0"/>
          <w:iCs w:val="0"/>
        </w:rPr>
        <w:t>(Rubio et al., 2025)</w:t>
      </w:r>
      <w:r w:rsidR="00E74147">
        <w:rPr>
          <w:rFonts w:asciiTheme="minorBidi" w:hAnsiTheme="minorBidi" w:cstheme="minorBidi"/>
          <w:i w:val="0"/>
          <w:iCs w:val="0"/>
        </w:rPr>
        <w:fldChar w:fldCharType="end"/>
      </w:r>
      <w:r w:rsidR="004D74B5">
        <w:rPr>
          <w:rFonts w:asciiTheme="minorBidi" w:hAnsiTheme="minorBidi" w:cstheme="minorBidi"/>
          <w:i w:val="0"/>
          <w:iCs w:val="0"/>
        </w:rPr>
        <w:t xml:space="preserve">. </w:t>
      </w:r>
      <w:r w:rsidRPr="004125FF">
        <w:rPr>
          <w:rFonts w:asciiTheme="minorBidi" w:hAnsiTheme="minorBidi" w:cstheme="minorBidi"/>
          <w:i w:val="0"/>
          <w:iCs w:val="0"/>
        </w:rPr>
        <w:t>Consequently, the content derivatives of the strategic dimension encompass: (1) Vision, (2) Strategy Development, and (3) Finance and Investment.</w:t>
      </w:r>
    </w:p>
    <w:p w14:paraId="0DCFFF92" w14:textId="77777777" w:rsidR="006C784D" w:rsidRPr="004125FF" w:rsidRDefault="006C784D" w:rsidP="006C784D">
      <w:pPr>
        <w:rPr>
          <w:rFonts w:asciiTheme="minorBidi" w:hAnsiTheme="minorBidi" w:cstheme="minorBidi"/>
        </w:rPr>
      </w:pPr>
    </w:p>
    <w:p w14:paraId="0BA9569C" w14:textId="77777777" w:rsidR="000D4D4C" w:rsidRPr="004125FF" w:rsidRDefault="000D4D4C" w:rsidP="000D4D4C">
      <w:pPr>
        <w:pStyle w:val="Heading4"/>
        <w:numPr>
          <w:ilvl w:val="0"/>
          <w:numId w:val="0"/>
        </w:numPr>
        <w:rPr>
          <w:rFonts w:asciiTheme="minorBidi" w:hAnsiTheme="minorBidi" w:cstheme="minorBidi"/>
          <w:b/>
          <w:bCs/>
          <w:i w:val="0"/>
          <w:iCs w:val="0"/>
        </w:rPr>
      </w:pPr>
      <w:r w:rsidRPr="004125FF">
        <w:rPr>
          <w:rFonts w:asciiTheme="minorBidi" w:hAnsiTheme="minorBidi" w:cstheme="minorBidi"/>
          <w:b/>
          <w:bCs/>
          <w:i w:val="0"/>
          <w:iCs w:val="0"/>
        </w:rPr>
        <w:lastRenderedPageBreak/>
        <w:t>3.5.3 Technology</w:t>
      </w:r>
    </w:p>
    <w:p w14:paraId="6CF0B3D7" w14:textId="77777777" w:rsidR="006C784D" w:rsidRPr="004125FF" w:rsidRDefault="006C784D" w:rsidP="000D4D4C">
      <w:pPr>
        <w:jc w:val="both"/>
        <w:rPr>
          <w:rFonts w:asciiTheme="minorBidi" w:hAnsiTheme="minorBidi" w:cstheme="minorBidi"/>
        </w:rPr>
      </w:pPr>
    </w:p>
    <w:p w14:paraId="4D7398EE" w14:textId="615189A6" w:rsidR="000D4D4C" w:rsidRPr="004125FF" w:rsidRDefault="000D4D4C" w:rsidP="00FA55C8">
      <w:pPr>
        <w:jc w:val="both"/>
        <w:rPr>
          <w:rFonts w:asciiTheme="minorBidi" w:hAnsiTheme="minorBidi" w:cstheme="minorBidi"/>
        </w:rPr>
      </w:pPr>
      <w:r w:rsidRPr="004125FF">
        <w:rPr>
          <w:rFonts w:asciiTheme="minorBidi" w:hAnsiTheme="minorBidi" w:cstheme="minorBidi"/>
        </w:rPr>
        <w:t>Technology is a crucial motivator for digital transformation. The shortage of technology renders the digitisation process difficult</w:t>
      </w:r>
      <w:r w:rsidR="00E74147">
        <w:rPr>
          <w:rFonts w:asciiTheme="minorBidi" w:hAnsiTheme="minorBidi" w:cstheme="minorBidi"/>
        </w:rPr>
        <w:t xml:space="preserve"> </w:t>
      </w:r>
      <w:r w:rsidR="00E74147">
        <w:rPr>
          <w:rFonts w:asciiTheme="minorBidi" w:hAnsiTheme="minorBidi" w:cstheme="minorBidi"/>
        </w:rPr>
        <w:fldChar w:fldCharType="begin" w:fldLock="1"/>
      </w:r>
      <w:r w:rsidR="004D74B5">
        <w:rPr>
          <w:rFonts w:asciiTheme="minorBidi" w:hAnsiTheme="minorBidi" w:cstheme="minorBidi"/>
        </w:rPr>
        <w:instrText>ADDIN CSL_CITATION {"citationItems":[{"id":"ITEM-1","itemData":{"DOI":"10.1016/j.im.2024.103996","author":[{"dropping-particle":"","family":"Westergren","given":"Ulrika H","non-dropping-particle":"","parse-names":false,"suffix":""},{"dropping-particle":"","family":"Viktor","given":"M","non-dropping-particle":"","parse-names":false,"suffix":""},{"dropping-particle":"","family":"Jadaan","given":"Taline","non-dropping-particle":"","parse-names":false,"suffix":""}],"id":"ITEM-1","issue":"February 2023","issued":{"date-parts":[["2024"]]},"title":"Information &amp; Management Enabling digital transformation : Organizational implementation of the internet of things","type":"article-journal","volume":"61"},"uris":["http://www.mendeley.com/documents/?uuid=a424b0f5-cb51-4212-968c-f13c297e2ee3"]}],"mendeley":{"formattedCitation":"(Westergren et al., 2024)","plainTextFormattedCitation":"(Westergren et al., 2024)","previouslyFormattedCitation":"(Westergren et al., 2024)"},"properties":{"noteIndex":0},"schema":"https://github.com/citation-style-language/schema/raw/master/csl-citation.json"}</w:instrText>
      </w:r>
      <w:r w:rsidR="00E74147">
        <w:rPr>
          <w:rFonts w:asciiTheme="minorBidi" w:hAnsiTheme="minorBidi" w:cstheme="minorBidi"/>
        </w:rPr>
        <w:fldChar w:fldCharType="separate"/>
      </w:r>
      <w:r w:rsidR="00FA55C8" w:rsidRPr="00FA55C8">
        <w:rPr>
          <w:rFonts w:asciiTheme="minorBidi" w:hAnsiTheme="minorBidi" w:cstheme="minorBidi"/>
          <w:noProof/>
        </w:rPr>
        <w:t>(Westergren et al., 2024)</w:t>
      </w:r>
      <w:r w:rsidR="00E74147">
        <w:rPr>
          <w:rFonts w:asciiTheme="minorBidi" w:hAnsiTheme="minorBidi" w:cstheme="minorBidi"/>
        </w:rPr>
        <w:fldChar w:fldCharType="end"/>
      </w:r>
      <w:r w:rsidRPr="004125FF">
        <w:rPr>
          <w:rFonts w:asciiTheme="minorBidi" w:hAnsiTheme="minorBidi" w:cstheme="minorBidi"/>
        </w:rPr>
        <w:t>. Digital maturity necessitates a corresponding level of digital competence among employees during the digital transformation process</w:t>
      </w:r>
      <w:r w:rsidR="00E74147">
        <w:rPr>
          <w:rFonts w:asciiTheme="minorBidi" w:hAnsiTheme="minorBidi" w:cstheme="minorBidi"/>
        </w:rPr>
        <w:t xml:space="preserve"> </w:t>
      </w:r>
      <w:r w:rsidR="00E74147">
        <w:rPr>
          <w:rFonts w:asciiTheme="minorBidi" w:hAnsiTheme="minorBidi" w:cstheme="minorBidi"/>
        </w:rPr>
        <w:fldChar w:fldCharType="begin" w:fldLock="1"/>
      </w:r>
      <w:r w:rsidR="004D74B5">
        <w:rPr>
          <w:rFonts w:asciiTheme="minorBidi" w:hAnsiTheme="minorBidi" w:cstheme="minorBidi"/>
        </w:rPr>
        <w:instrText>ADDIN CSL_CITATION {"citationItems":[{"id":"ITEM-1","itemData":{"DOI":"10.1016/j.iref.2025.103971","ISSN":"1059-0560","author":[{"dropping-particle":"","family":"Jie","given":"Honglan","non-dropping-particle":"","parse-names":false,"suffix":""},{"dropping-particle":"","family":"Mow","given":"Leong","non-dropping-particle":"","parse-names":false,"suffix":""},{"dropping-particle":"","family":"Lou","given":"Yanchun","non-dropping-particle":"","parse-names":false,"suffix":""}],"container-title":"International Review of Economics and Finance","id":"ITEM-1","issue":"November 2024","issued":{"date-parts":[["2025"]]},"page":"103971","publisher":"Elsevier Inc.","title":"Digital maturity , dynamic capabilities and innovation performance in high-tech SMEs","type":"article-journal","volume":"99"},"uris":["http://www.mendeley.com/documents/?uuid=c33ac940-e3df-4130-8605-c829b13cf771"]}],"mendeley":{"formattedCitation":"(Jie et al., 2025)","plainTextFormattedCitation":"(Jie et al., 2025)","previouslyFormattedCitation":"(Jie et al., 2025)"},"properties":{"noteIndex":0},"schema":"https://github.com/citation-style-language/schema/raw/master/csl-citation.json"}</w:instrText>
      </w:r>
      <w:r w:rsidR="00E74147">
        <w:rPr>
          <w:rFonts w:asciiTheme="minorBidi" w:hAnsiTheme="minorBidi" w:cstheme="minorBidi"/>
        </w:rPr>
        <w:fldChar w:fldCharType="separate"/>
      </w:r>
      <w:r w:rsidR="00FA55C8" w:rsidRPr="00FA55C8">
        <w:rPr>
          <w:rFonts w:asciiTheme="minorBidi" w:hAnsiTheme="minorBidi" w:cstheme="minorBidi"/>
          <w:noProof/>
        </w:rPr>
        <w:t>(Jie et al., 2025)</w:t>
      </w:r>
      <w:r w:rsidR="00E74147">
        <w:rPr>
          <w:rFonts w:asciiTheme="minorBidi" w:hAnsiTheme="minorBidi" w:cstheme="minorBidi"/>
        </w:rPr>
        <w:fldChar w:fldCharType="end"/>
      </w:r>
      <w:r w:rsidRPr="004125FF">
        <w:rPr>
          <w:rFonts w:asciiTheme="minorBidi" w:hAnsiTheme="minorBidi" w:cstheme="minorBidi"/>
        </w:rPr>
        <w:t>. To increase the likelihood of a successful digital transformation project, its technological needs must be specified. Infrastructure, business processes, development, and integration are among the technological necessities for digital transformation projects</w:t>
      </w:r>
      <w:r w:rsidR="00E74147">
        <w:rPr>
          <w:rFonts w:asciiTheme="minorBidi" w:hAnsiTheme="minorBidi" w:cstheme="minorBidi"/>
        </w:rPr>
        <w:t xml:space="preserve"> </w:t>
      </w:r>
      <w:r w:rsidR="00E74147">
        <w:rPr>
          <w:rFonts w:asciiTheme="minorBidi" w:hAnsiTheme="minorBidi" w:cstheme="minorBidi"/>
        </w:rPr>
        <w:fldChar w:fldCharType="begin" w:fldLock="1"/>
      </w:r>
      <w:r w:rsidR="004D74B5">
        <w:rPr>
          <w:rFonts w:asciiTheme="minorBidi" w:hAnsiTheme="minorBidi" w:cstheme="minorBidi"/>
        </w:rPr>
        <w:instrText>ADDIN CSL_CITATION {"citationItems":[{"id":"ITEM-1","itemData":{"DOI":"10.4018/978-1-7998-4882-0.ch001","ISBN":"9781799848820","author":[{"dropping-particle":"","family":"Pelser","given":"Theuns","non-dropping-particle":"","parse-names":false,"suffix":""},{"dropping-particle":"","family":"Gaffley","given":"Garth","non-dropping-particle":"","parse-names":false,"suffix":""}],"id":"ITEM-1","issue":"July","issued":{"date-parts":[["2021"]]},"title":"Promoting Inclusive Growth in the Fourth Industrial Revolution","type":"book"},"uris":["http://www.mendeley.com/documents/?uuid=ad14edff-33b1-4555-8537-c69b3d944a6d"]}],"mendeley":{"formattedCitation":"(Pelser &amp; Gaffley, 2021)","plainTextFormattedCitation":"(Pelser &amp; Gaffley, 2021)","previouslyFormattedCitation":"(Pelser &amp; Gaffley, 2021)"},"properties":{"noteIndex":0},"schema":"https://github.com/citation-style-language/schema/raw/master/csl-citation.json"}</w:instrText>
      </w:r>
      <w:r w:rsidR="00E74147">
        <w:rPr>
          <w:rFonts w:asciiTheme="minorBidi" w:hAnsiTheme="minorBidi" w:cstheme="minorBidi"/>
        </w:rPr>
        <w:fldChar w:fldCharType="separate"/>
      </w:r>
      <w:r w:rsidR="00FA55C8" w:rsidRPr="00FA55C8">
        <w:rPr>
          <w:rFonts w:asciiTheme="minorBidi" w:hAnsiTheme="minorBidi" w:cstheme="minorBidi"/>
          <w:noProof/>
        </w:rPr>
        <w:t>(Pelser &amp; Gaffley, 2021)</w:t>
      </w:r>
      <w:r w:rsidR="00E74147">
        <w:rPr>
          <w:rFonts w:asciiTheme="minorBidi" w:hAnsiTheme="minorBidi" w:cstheme="minorBidi"/>
        </w:rPr>
        <w:fldChar w:fldCharType="end"/>
      </w:r>
      <w:r w:rsidRPr="004125FF">
        <w:rPr>
          <w:rFonts w:asciiTheme="minorBidi" w:hAnsiTheme="minorBidi" w:cstheme="minorBidi"/>
        </w:rPr>
        <w:t>. Technology utilisation, including application development, must adhere to the principles of agile software development and IT security management. These processes are crucial to the organization's digital transformation path. Data processing and security systems are vital components of technology</w:t>
      </w:r>
      <w:r w:rsidR="00E74147">
        <w:rPr>
          <w:rFonts w:asciiTheme="minorBidi" w:hAnsiTheme="minorBidi" w:cstheme="minorBidi"/>
        </w:rPr>
        <w:t xml:space="preserve"> </w:t>
      </w:r>
      <w:r w:rsidR="00E74147">
        <w:rPr>
          <w:rFonts w:asciiTheme="minorBidi" w:hAnsiTheme="minorBidi" w:cstheme="minorBidi"/>
        </w:rPr>
        <w:fldChar w:fldCharType="begin" w:fldLock="1"/>
      </w:r>
      <w:r w:rsidR="004D74B5">
        <w:rPr>
          <w:rFonts w:asciiTheme="minorBidi" w:hAnsiTheme="minorBidi" w:cstheme="minorBidi"/>
        </w:rPr>
        <w:instrText>ADDIN CSL_CITATION {"citationItems":[{"id":"ITEM-1","itemData":{"DOI":"10.1016/j.jik.2024.100638","ISSN":"2444-569X","author":[{"dropping-particle":"","family":"Jiao","given":"Hao","non-dropping-particle":"","parse-names":false,"suffix":""},{"dropping-particle":"","family":"Wang","given":"Tang","non-dropping-particle":"","parse-names":false,"suffix":""},{"dropping-particle":"","family":"Libaers","given":"Dirk","non-dropping-particle":"","parse-names":false,"suffix":""},{"dropping-particle":"","family":"Yang","given":"Jifeng","non-dropping-particle":"","parse-names":false,"suffix":""},{"dropping-particle":"","family":"Hu","given":"Lingshu","non-dropping-particle":"","parse-names":false,"suffix":""}],"container-title":"Journal of Innovation &amp; Knowledge","id":"ITEM-1","issue":"1","issued":{"date-parts":[["2025"]]},"page":"100638","publisher":"Elsevier España, S.L.U.","title":"The relationship between digital technologies and innovation : A review , critique , and research agenda","type":"article-journal","volume":"10"},"uris":["http://www.mendeley.com/documents/?uuid=50cabfbc-1008-4053-8321-f1c6a1dbca13"]}],"mendeley":{"formattedCitation":"(Jiao et al., 2025)","plainTextFormattedCitation":"(Jiao et al., 2025)","previouslyFormattedCitation":"(Jiao et al., 2025)"},"properties":{"noteIndex":0},"schema":"https://github.com/citation-style-language/schema/raw/master/csl-citation.json"}</w:instrText>
      </w:r>
      <w:r w:rsidR="00E74147">
        <w:rPr>
          <w:rFonts w:asciiTheme="minorBidi" w:hAnsiTheme="minorBidi" w:cstheme="minorBidi"/>
        </w:rPr>
        <w:fldChar w:fldCharType="separate"/>
      </w:r>
      <w:r w:rsidR="00FA55C8" w:rsidRPr="00FA55C8">
        <w:rPr>
          <w:rFonts w:asciiTheme="minorBidi" w:hAnsiTheme="minorBidi" w:cstheme="minorBidi"/>
          <w:noProof/>
        </w:rPr>
        <w:t>(Jiao et al., 2025)</w:t>
      </w:r>
      <w:r w:rsidR="00E74147">
        <w:rPr>
          <w:rFonts w:asciiTheme="minorBidi" w:hAnsiTheme="minorBidi" w:cstheme="minorBidi"/>
        </w:rPr>
        <w:fldChar w:fldCharType="end"/>
      </w:r>
      <w:r w:rsidRPr="004125FF">
        <w:rPr>
          <w:rFonts w:asciiTheme="minorBidi" w:hAnsiTheme="minorBidi" w:cstheme="minorBidi"/>
        </w:rPr>
        <w:t>. The infrastructure of digital transformation features advanced IT technologies, emphasizing the utilization of computers and computer networks (both wired and wireless), as well as the nature and type of internet connectivity, including fixed and cellular broadband, or other permanent connections</w:t>
      </w:r>
      <w:r w:rsidR="00E74147">
        <w:rPr>
          <w:rFonts w:asciiTheme="minorBidi" w:hAnsiTheme="minorBidi" w:cstheme="minorBidi"/>
        </w:rPr>
        <w:t xml:space="preserve"> </w:t>
      </w:r>
      <w:r w:rsidR="00E74147">
        <w:rPr>
          <w:rFonts w:asciiTheme="minorBidi" w:hAnsiTheme="minorBidi" w:cstheme="minorBidi"/>
        </w:rPr>
        <w:fldChar w:fldCharType="begin" w:fldLock="1"/>
      </w:r>
      <w:r w:rsidR="004D74B5">
        <w:rPr>
          <w:rFonts w:asciiTheme="minorBidi" w:hAnsiTheme="minorBidi" w:cstheme="minorBidi"/>
        </w:rPr>
        <w:instrText>ADDIN CSL_CITATION {"citationItems":[{"id":"ITEM-1","itemData":{"author":[{"dropping-particle":"","family":"Moghaddam","given":"Shahriar Shirvani","non-dropping-particle":"","parse-names":false,"suffix":""}],"id":"ITEM-1","issued":{"date-parts":[["2024"]]},"title":"The Past , Present , and Future of the Internet : A Statistical , Technical , and Functional Comparison of Wired / Wireless Fixed / Mobile Internet","type":"article-journal"},"uris":["http://www.mendeley.com/documents/?uuid=26bf8dea-06bc-4b0f-b046-a096a8f09d53"]}],"mendeley":{"formattedCitation":"(Moghaddam, 2024)","plainTextFormattedCitation":"(Moghaddam, 2024)","previouslyFormattedCitation":"(Moghaddam, 2024)"},"properties":{"noteIndex":0},"schema":"https://github.com/citation-style-language/schema/raw/master/csl-citation.json"}</w:instrText>
      </w:r>
      <w:r w:rsidR="00E74147">
        <w:rPr>
          <w:rFonts w:asciiTheme="minorBidi" w:hAnsiTheme="minorBidi" w:cstheme="minorBidi"/>
        </w:rPr>
        <w:fldChar w:fldCharType="separate"/>
      </w:r>
      <w:r w:rsidR="00FA55C8" w:rsidRPr="00FA55C8">
        <w:rPr>
          <w:rFonts w:asciiTheme="minorBidi" w:hAnsiTheme="minorBidi" w:cstheme="minorBidi"/>
          <w:noProof/>
        </w:rPr>
        <w:t>(Moghaddam, 2024)</w:t>
      </w:r>
      <w:r w:rsidR="00E74147">
        <w:rPr>
          <w:rFonts w:asciiTheme="minorBidi" w:hAnsiTheme="minorBidi" w:cstheme="minorBidi"/>
        </w:rPr>
        <w:fldChar w:fldCharType="end"/>
      </w:r>
      <w:r w:rsidR="00FA55C8">
        <w:rPr>
          <w:rFonts w:asciiTheme="minorBidi" w:hAnsiTheme="minorBidi" w:cstheme="minorBidi"/>
        </w:rPr>
        <w:t>.</w:t>
      </w:r>
      <w:r w:rsidRPr="004125FF">
        <w:rPr>
          <w:rFonts w:asciiTheme="minorBidi" w:hAnsiTheme="minorBidi" w:cstheme="minorBidi"/>
        </w:rPr>
        <w:t xml:space="preserve"> Sustaining IT infrastructure improvement is the cornerstone of ensuring high-level digital maturity. Technology dimensions consist of (1) IT Infrastructure, (2) Integration and Automation, and (3) Security Management.</w:t>
      </w:r>
    </w:p>
    <w:p w14:paraId="0504431E" w14:textId="77777777" w:rsidR="006C784D" w:rsidRPr="004125FF" w:rsidRDefault="006C784D" w:rsidP="006C784D">
      <w:pPr>
        <w:jc w:val="both"/>
        <w:rPr>
          <w:rFonts w:asciiTheme="minorBidi" w:hAnsiTheme="minorBidi" w:cstheme="minorBidi"/>
          <w:sz w:val="24"/>
          <w:szCs w:val="24"/>
        </w:rPr>
      </w:pPr>
    </w:p>
    <w:p w14:paraId="27A1189A" w14:textId="454043BE" w:rsidR="000D4D4C" w:rsidRPr="004125FF" w:rsidRDefault="000D4D4C" w:rsidP="000D4D4C">
      <w:pPr>
        <w:pStyle w:val="Heading4"/>
        <w:numPr>
          <w:ilvl w:val="0"/>
          <w:numId w:val="0"/>
        </w:numPr>
        <w:rPr>
          <w:rFonts w:asciiTheme="minorBidi" w:hAnsiTheme="minorBidi" w:cstheme="minorBidi"/>
          <w:b/>
          <w:bCs/>
          <w:i w:val="0"/>
          <w:iCs w:val="0"/>
        </w:rPr>
      </w:pPr>
      <w:r w:rsidRPr="004125FF">
        <w:rPr>
          <w:rFonts w:asciiTheme="minorBidi" w:hAnsiTheme="minorBidi" w:cstheme="minorBidi"/>
          <w:b/>
          <w:bCs/>
          <w:i w:val="0"/>
          <w:iCs w:val="0"/>
        </w:rPr>
        <w:t>3.5.4 Organization</w:t>
      </w:r>
    </w:p>
    <w:p w14:paraId="5553264A" w14:textId="77777777" w:rsidR="006C784D" w:rsidRPr="004125FF" w:rsidRDefault="006C784D" w:rsidP="000D4D4C">
      <w:pPr>
        <w:jc w:val="both"/>
        <w:rPr>
          <w:rFonts w:asciiTheme="minorBidi" w:eastAsia="Times New Roman" w:hAnsiTheme="minorBidi" w:cstheme="minorBidi"/>
          <w:lang w:eastAsia="en-GB"/>
        </w:rPr>
      </w:pPr>
    </w:p>
    <w:p w14:paraId="6A39881C" w14:textId="47815A13" w:rsidR="000D4D4C" w:rsidRPr="004125FF" w:rsidRDefault="000D4D4C" w:rsidP="00FA55C8">
      <w:pPr>
        <w:jc w:val="both"/>
        <w:rPr>
          <w:rFonts w:asciiTheme="minorBidi" w:eastAsia="Times New Roman" w:hAnsiTheme="minorBidi" w:cstheme="minorBidi"/>
          <w:lang w:eastAsia="en-GB"/>
        </w:rPr>
      </w:pPr>
      <w:r w:rsidRPr="004125FF">
        <w:rPr>
          <w:rFonts w:asciiTheme="minorBidi" w:eastAsia="Times New Roman" w:hAnsiTheme="minorBidi" w:cstheme="minorBidi"/>
          <w:lang w:eastAsia="en-GB"/>
        </w:rPr>
        <w:t>The Enterprise Resilience Framework (ERF) refers to a company's ability to quickly and efficiently adapt to internal and external changes, such as market fluctuations, customer demands, or emerging technologies, to maintain a competitive advantage. This procedure encompasses adaptable strategies, frameworks, and processes, along with a culture of continuous development and experimentation, enabling organizations to capitalize on opportunities and bolster their resilience in the face of challenges</w:t>
      </w:r>
      <w:r w:rsidR="00E74147">
        <w:rPr>
          <w:rFonts w:asciiTheme="minorBidi" w:eastAsia="Times New Roman" w:hAnsiTheme="minorBidi" w:cstheme="minorBidi"/>
          <w:lang w:eastAsia="en-GB"/>
        </w:rPr>
        <w:t xml:space="preserve"> </w:t>
      </w:r>
      <w:r w:rsidR="00E74147">
        <w:rPr>
          <w:rFonts w:asciiTheme="minorBidi" w:eastAsia="Times New Roman" w:hAnsiTheme="minorBidi" w:cstheme="minorBidi"/>
          <w:lang w:eastAsia="en-GB"/>
        </w:rPr>
        <w:fldChar w:fldCharType="begin" w:fldLock="1"/>
      </w:r>
      <w:r w:rsidR="004D74B5">
        <w:rPr>
          <w:rFonts w:asciiTheme="minorBidi" w:eastAsia="Times New Roman" w:hAnsiTheme="minorBidi" w:cstheme="minorBidi"/>
          <w:lang w:eastAsia="en-GB"/>
        </w:rPr>
        <w:instrText>ADDIN CSL_CITATION {"citationItems":[{"id":"ITEM-1","itemData":{"DOI":"10.1007/978-3-031-29344-3","ISBN":"9783031293443","author":[{"dropping-particle":"","family":"Dindarian","given":"Khalil","non-dropping-particle":"","parse-names":false,"suffix":""}],"id":"ITEM-1","issue":"August","issued":{"date-parts":[["2023"]]},"title":"Exploring enterprise resilience through the theoretical lens of complexity : a case study situated in the high value- manufacturing sector","type":"book"},"uris":["http://www.mendeley.com/documents/?uuid=85d0c5af-5ff7-42b2-add7-eade5a14aaae"]}],"mendeley":{"formattedCitation":"(Dindarian, 2023)","plainTextFormattedCitation":"(Dindarian, 2023)","previouslyFormattedCitation":"(Dindarian, 2023)"},"properties":{"noteIndex":0},"schema":"https://github.com/citation-style-language/schema/raw/master/csl-citation.json"}</w:instrText>
      </w:r>
      <w:r w:rsidR="00E74147">
        <w:rPr>
          <w:rFonts w:asciiTheme="minorBidi" w:eastAsia="Times New Roman" w:hAnsiTheme="minorBidi" w:cstheme="minorBidi"/>
          <w:lang w:eastAsia="en-GB"/>
        </w:rPr>
        <w:fldChar w:fldCharType="separate"/>
      </w:r>
      <w:r w:rsidR="00FA55C8" w:rsidRPr="00FA55C8">
        <w:rPr>
          <w:rFonts w:asciiTheme="minorBidi" w:eastAsia="Times New Roman" w:hAnsiTheme="minorBidi" w:cstheme="minorBidi"/>
          <w:noProof/>
          <w:lang w:eastAsia="en-GB"/>
        </w:rPr>
        <w:t>(Dindarian, 2023)</w:t>
      </w:r>
      <w:r w:rsidR="00E74147">
        <w:rPr>
          <w:rFonts w:asciiTheme="minorBidi" w:eastAsia="Times New Roman" w:hAnsiTheme="minorBidi" w:cstheme="minorBidi"/>
          <w:lang w:eastAsia="en-GB"/>
        </w:rPr>
        <w:fldChar w:fldCharType="end"/>
      </w:r>
      <w:r w:rsidRPr="004125FF">
        <w:rPr>
          <w:rFonts w:asciiTheme="minorBidi" w:eastAsia="Times New Roman" w:hAnsiTheme="minorBidi" w:cstheme="minorBidi"/>
          <w:lang w:eastAsia="en-GB"/>
        </w:rPr>
        <w:t>. An organization must have a sustainable learning management (SLM) approach coupled with digital maturity, which entails establishing a learning ecosystem that fosters continuous digital transformation and adheres to ethical and environmentally responsible practices throughout the organization's digital journey. Essential elements encompass the augmentation of digital literacy and competencies, the establishment of a targeted strategic vision for sustainable digital initiatives, the promotion of a nimble and adaptive corporate culture, and the application of digital tools to enhance collaboration and data-informed dec</w:t>
      </w:r>
      <w:r w:rsidR="00E74147">
        <w:rPr>
          <w:rFonts w:asciiTheme="minorBidi" w:eastAsia="Times New Roman" w:hAnsiTheme="minorBidi" w:cstheme="minorBidi"/>
          <w:lang w:eastAsia="en-GB"/>
        </w:rPr>
        <w:t xml:space="preserve">ision-making </w:t>
      </w:r>
      <w:r w:rsidR="00E74147">
        <w:rPr>
          <w:rFonts w:asciiTheme="minorBidi" w:eastAsia="Times New Roman" w:hAnsiTheme="minorBidi" w:cstheme="minorBidi"/>
          <w:lang w:eastAsia="en-GB"/>
        </w:rPr>
        <w:fldChar w:fldCharType="begin" w:fldLock="1"/>
      </w:r>
      <w:r w:rsidR="004D74B5">
        <w:rPr>
          <w:rFonts w:asciiTheme="minorBidi" w:eastAsia="Times New Roman" w:hAnsiTheme="minorBidi" w:cstheme="minorBidi"/>
          <w:lang w:eastAsia="en-GB"/>
        </w:rPr>
        <w:instrText>ADDIN CSL_CITATION {"citationItems":[{"id":"ITEM-1","itemData":{"author":[{"dropping-particle":"","family":"Marçal","given":"Marcela","non-dropping-particle":"","parse-names":false,"suffix":""},{"dropping-particle":"","family":"Pinto","given":"Alves","non-dropping-particle":"","parse-names":false,"suffix":""}],"id":"ITEM-1","issued":{"date-parts":[["2024"]]},"title":"Sustainable Digital Transformation Roadmaps for SMEs : A Systematic Literature Review","type":"article-journal"},"uris":["http://www.mendeley.com/documents/?uuid=2f7ff973-c201-460c-8c9d-fd824478941f"]}],"mendeley":{"formattedCitation":"(Marçal &amp; Pinto, 2024)","plainTextFormattedCitation":"(Marçal &amp; Pinto, 2024)","previouslyFormattedCitation":"(Marçal &amp; Pinto, 2024)"},"properties":{"noteIndex":0},"schema":"https://github.com/citation-style-language/schema/raw/master/csl-citation.json"}</w:instrText>
      </w:r>
      <w:r w:rsidR="00E74147">
        <w:rPr>
          <w:rFonts w:asciiTheme="minorBidi" w:eastAsia="Times New Roman" w:hAnsiTheme="minorBidi" w:cstheme="minorBidi"/>
          <w:lang w:eastAsia="en-GB"/>
        </w:rPr>
        <w:fldChar w:fldCharType="separate"/>
      </w:r>
      <w:r w:rsidR="00FA55C8" w:rsidRPr="00FA55C8">
        <w:rPr>
          <w:rFonts w:asciiTheme="minorBidi" w:eastAsia="Times New Roman" w:hAnsiTheme="minorBidi" w:cstheme="minorBidi"/>
          <w:noProof/>
          <w:lang w:eastAsia="en-GB"/>
        </w:rPr>
        <w:t>(Marçal &amp; Pinto, 2024)</w:t>
      </w:r>
      <w:r w:rsidR="00E74147">
        <w:rPr>
          <w:rFonts w:asciiTheme="minorBidi" w:eastAsia="Times New Roman" w:hAnsiTheme="minorBidi" w:cstheme="minorBidi"/>
          <w:lang w:eastAsia="en-GB"/>
        </w:rPr>
        <w:fldChar w:fldCharType="end"/>
      </w:r>
      <w:r w:rsidR="00FA55C8">
        <w:rPr>
          <w:rFonts w:asciiTheme="minorBidi" w:eastAsia="Times New Roman" w:hAnsiTheme="minorBidi" w:cstheme="minorBidi"/>
          <w:lang w:eastAsia="en-GB"/>
        </w:rPr>
        <w:t xml:space="preserve">. </w:t>
      </w:r>
      <w:r w:rsidRPr="004125FF">
        <w:rPr>
          <w:rFonts w:asciiTheme="minorBidi" w:eastAsia="Times New Roman" w:hAnsiTheme="minorBidi" w:cstheme="minorBidi"/>
          <w:lang w:eastAsia="en-GB"/>
        </w:rPr>
        <w:t xml:space="preserve">In certain instances, laws and regulations may obstruct the implementation of modern technologies. Engagement with legislative entities is crucial </w:t>
      </w:r>
      <w:r w:rsidR="00B90543">
        <w:rPr>
          <w:rFonts w:asciiTheme="minorBidi" w:eastAsia="Times New Roman" w:hAnsiTheme="minorBidi" w:cstheme="minorBidi"/>
          <w:lang w:eastAsia="en-GB"/>
        </w:rPr>
        <w:t>for modifying legislation in alignment with technological progress, particular</w:t>
      </w:r>
      <w:r w:rsidRPr="004125FF">
        <w:rPr>
          <w:rFonts w:asciiTheme="minorBidi" w:eastAsia="Times New Roman" w:hAnsiTheme="minorBidi" w:cstheme="minorBidi"/>
          <w:lang w:eastAsia="en-GB"/>
        </w:rPr>
        <w:t>ly in domains such as data protection, e-commerce, and cybersecurity</w:t>
      </w:r>
      <w:r w:rsidR="00E74147">
        <w:rPr>
          <w:rFonts w:asciiTheme="minorBidi" w:eastAsia="Times New Roman" w:hAnsiTheme="minorBidi" w:cstheme="minorBidi"/>
          <w:lang w:eastAsia="en-GB"/>
        </w:rPr>
        <w:t xml:space="preserve"> </w:t>
      </w:r>
      <w:r w:rsidR="00E74147">
        <w:rPr>
          <w:rFonts w:asciiTheme="minorBidi" w:eastAsia="Times New Roman" w:hAnsiTheme="minorBidi" w:cstheme="minorBidi"/>
          <w:lang w:eastAsia="en-GB"/>
        </w:rPr>
        <w:fldChar w:fldCharType="begin" w:fldLock="1"/>
      </w:r>
      <w:r w:rsidR="004D74B5">
        <w:rPr>
          <w:rFonts w:asciiTheme="minorBidi" w:eastAsia="Times New Roman" w:hAnsiTheme="minorBidi" w:cstheme="minorBidi"/>
          <w:lang w:eastAsia="en-GB"/>
        </w:rPr>
        <w:instrText>ADDIN CSL_CITATION {"citationItems":[{"id":"ITEM-1","itemData":{"author":[{"dropping-particle":"","family":"Mori","given":"Zlatan","non-dropping-particle":"","parse-names":false,"suffix":""}],"id":"ITEM-1","issue":"September 2023","issued":{"date-parts":[["2024"]]},"page":"731-761","title":"Protection of Personal Data in the Context of E-Commerce","type":"article-journal"},"uris":["http://www.mendeley.com/documents/?uuid=0f9639e8-f1b8-4a4a-a35b-009c238816fa"]}],"mendeley":{"formattedCitation":"(Mori, 2024)","plainTextFormattedCitation":"(Mori, 2024)","previouslyFormattedCitation":"(Mori, 2024)"},"properties":{"noteIndex":0},"schema":"https://github.com/citation-style-language/schema/raw/master/csl-citation.json"}</w:instrText>
      </w:r>
      <w:r w:rsidR="00E74147">
        <w:rPr>
          <w:rFonts w:asciiTheme="minorBidi" w:eastAsia="Times New Roman" w:hAnsiTheme="minorBidi" w:cstheme="minorBidi"/>
          <w:lang w:eastAsia="en-GB"/>
        </w:rPr>
        <w:fldChar w:fldCharType="separate"/>
      </w:r>
      <w:r w:rsidR="00FA55C8" w:rsidRPr="00FA55C8">
        <w:rPr>
          <w:rFonts w:asciiTheme="minorBidi" w:eastAsia="Times New Roman" w:hAnsiTheme="minorBidi" w:cstheme="minorBidi"/>
          <w:noProof/>
          <w:lang w:eastAsia="en-GB"/>
        </w:rPr>
        <w:t>(Mori, 2024)</w:t>
      </w:r>
      <w:r w:rsidR="00E74147">
        <w:rPr>
          <w:rFonts w:asciiTheme="minorBidi" w:eastAsia="Times New Roman" w:hAnsiTheme="minorBidi" w:cstheme="minorBidi"/>
          <w:lang w:eastAsia="en-GB"/>
        </w:rPr>
        <w:fldChar w:fldCharType="end"/>
      </w:r>
      <w:r w:rsidRPr="004125FF">
        <w:rPr>
          <w:rFonts w:asciiTheme="minorBidi" w:eastAsia="Times New Roman" w:hAnsiTheme="minorBidi" w:cstheme="minorBidi"/>
          <w:lang w:eastAsia="en-GB"/>
        </w:rPr>
        <w:t>. The organisational and structural components encompass (1) Organization Agility, (2) Sustainable Learning Management, and (3) Law Restrictions.</w:t>
      </w:r>
    </w:p>
    <w:p w14:paraId="3F6FC34F" w14:textId="5D681E58" w:rsidR="006C784D" w:rsidRPr="004125FF" w:rsidRDefault="006C784D" w:rsidP="000D4D4C">
      <w:pPr>
        <w:jc w:val="both"/>
        <w:rPr>
          <w:rFonts w:asciiTheme="minorBidi" w:eastAsia="Times New Roman" w:hAnsiTheme="minorBidi" w:cstheme="minorBidi"/>
          <w:lang w:eastAsia="en-GB"/>
        </w:rPr>
      </w:pPr>
    </w:p>
    <w:p w14:paraId="7E610BFA" w14:textId="77777777" w:rsidR="006C784D" w:rsidRPr="004125FF" w:rsidRDefault="006C784D" w:rsidP="000D4D4C">
      <w:pPr>
        <w:jc w:val="both"/>
        <w:rPr>
          <w:rFonts w:asciiTheme="minorBidi" w:eastAsia="Times New Roman" w:hAnsiTheme="minorBidi" w:cstheme="minorBidi"/>
          <w:lang w:eastAsia="en-GB"/>
        </w:rPr>
      </w:pPr>
    </w:p>
    <w:p w14:paraId="3C2794E8" w14:textId="26E81F08" w:rsidR="000D4D4C" w:rsidRPr="00C40962" w:rsidRDefault="000D4D4C" w:rsidP="00B06696">
      <w:pPr>
        <w:pStyle w:val="Heading4"/>
        <w:numPr>
          <w:ilvl w:val="0"/>
          <w:numId w:val="0"/>
        </w:numPr>
        <w:rPr>
          <w:rFonts w:asciiTheme="minorBidi" w:hAnsiTheme="minorBidi" w:cstheme="minorBidi"/>
          <w:b/>
          <w:bCs/>
          <w:i w:val="0"/>
          <w:iCs w:val="0"/>
        </w:rPr>
      </w:pPr>
      <w:r w:rsidRPr="00C40962">
        <w:rPr>
          <w:rFonts w:asciiTheme="minorBidi" w:hAnsiTheme="minorBidi" w:cstheme="minorBidi"/>
          <w:b/>
          <w:bCs/>
          <w:i w:val="0"/>
          <w:iCs w:val="0"/>
        </w:rPr>
        <w:t xml:space="preserve">3.5.5 </w:t>
      </w:r>
      <w:r w:rsidR="006C784D" w:rsidRPr="00C40962">
        <w:rPr>
          <w:rFonts w:asciiTheme="minorBidi" w:hAnsiTheme="minorBidi" w:cstheme="minorBidi"/>
          <w:b/>
          <w:bCs/>
          <w:i w:val="0"/>
          <w:iCs w:val="0"/>
        </w:rPr>
        <w:t>C</w:t>
      </w:r>
      <w:r w:rsidRPr="00C40962">
        <w:rPr>
          <w:rFonts w:asciiTheme="minorBidi" w:hAnsiTheme="minorBidi" w:cstheme="minorBidi"/>
          <w:b/>
          <w:bCs/>
          <w:i w:val="0"/>
          <w:iCs w:val="0"/>
        </w:rPr>
        <w:t>ulture</w:t>
      </w:r>
    </w:p>
    <w:p w14:paraId="53EE4889" w14:textId="77777777" w:rsidR="006C784D" w:rsidRPr="004125FF" w:rsidRDefault="006C784D" w:rsidP="00B06696">
      <w:pPr>
        <w:pStyle w:val="Heading4"/>
        <w:numPr>
          <w:ilvl w:val="0"/>
          <w:numId w:val="0"/>
        </w:numPr>
        <w:rPr>
          <w:rFonts w:asciiTheme="minorBidi" w:hAnsiTheme="minorBidi" w:cstheme="minorBidi"/>
          <w:i w:val="0"/>
          <w:iCs w:val="0"/>
        </w:rPr>
      </w:pPr>
    </w:p>
    <w:p w14:paraId="55884FFD" w14:textId="4BEB7E4D" w:rsidR="000D4D4C" w:rsidRPr="004125FF" w:rsidRDefault="000D4D4C" w:rsidP="00FA55C8">
      <w:pPr>
        <w:pStyle w:val="Heading4"/>
        <w:numPr>
          <w:ilvl w:val="0"/>
          <w:numId w:val="0"/>
        </w:numPr>
        <w:rPr>
          <w:rFonts w:asciiTheme="minorBidi" w:hAnsiTheme="minorBidi" w:cstheme="minorBidi"/>
          <w:b/>
          <w:bCs/>
          <w:i w:val="0"/>
          <w:iCs w:val="0"/>
        </w:rPr>
      </w:pPr>
      <w:r w:rsidRPr="004125FF">
        <w:rPr>
          <w:rFonts w:asciiTheme="minorBidi" w:hAnsiTheme="minorBidi" w:cstheme="minorBidi"/>
          <w:i w:val="0"/>
          <w:iCs w:val="0"/>
        </w:rPr>
        <w:t>Organisations will struggle to attain the necessary agility if they implement digital technology without also considering their corporate culture. An organisational culture that fosters support is essential for effective digital transformation, as it significantly influences an organization's capacity to adapt and innovate. Collaboration serves as the foundation, facilitating employee engagement and active involvement in strategic changes. Additionally, the actions that employees perform must be entirely knowledge-based and collaborative</w:t>
      </w:r>
      <w:r w:rsidR="00E74147">
        <w:rPr>
          <w:rFonts w:asciiTheme="minorBidi" w:hAnsiTheme="minorBidi" w:cstheme="minorBidi"/>
          <w:i w:val="0"/>
          <w:iCs w:val="0"/>
        </w:rPr>
        <w:t xml:space="preserve"> </w:t>
      </w:r>
      <w:r w:rsidR="00E74147">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{"citationItems":[{"id":"ITEM-1","itemData":{"author":[{"dropping-particle":"","family":"Deep","given":"Gagan","non-dropping-particle":"","parse-names":false,"suffix":""}],"id":"ITEM-1","issue":"October","issued":{"date-parts":[["2023"]]},"page":"396-401","title":"Digital transformation ' s impact on organizational culture","type":"article-journal","volume":"10"},"uris":["http://www.mendeley.com/documents/?uuid=742c8c04-3dfb-4bd6-8c29-8ecc893ed100"]}],"mendeley":{"formattedCitation":"(Deep, 2023)","plainTextFormattedCitation":"(Deep, 2023)","previouslyFormattedCitation":"(Deep, 2023)"},"properties":{"noteIndex":0},"schema":"https://github.com/citation-style-language/schema/raw/master/csl-citation.json"}</w:instrText>
      </w:r>
      <w:r w:rsidR="00E74147">
        <w:rPr>
          <w:rFonts w:asciiTheme="minorBidi" w:hAnsiTheme="minorBidi" w:cstheme="minorBidi"/>
          <w:i w:val="0"/>
          <w:iCs w:val="0"/>
        </w:rPr>
        <w:fldChar w:fldCharType="separate"/>
      </w:r>
      <w:r w:rsidR="00FA55C8" w:rsidRPr="00FA55C8">
        <w:rPr>
          <w:rFonts w:asciiTheme="minorBidi" w:hAnsiTheme="minorBidi" w:cstheme="minorBidi"/>
          <w:i w:val="0"/>
          <w:iCs w:val="0"/>
        </w:rPr>
        <w:t>(Deep, 2023)</w:t>
      </w:r>
      <w:r w:rsidR="00E74147">
        <w:rPr>
          <w:rFonts w:asciiTheme="minorBidi" w:hAnsiTheme="minorBidi" w:cstheme="minorBidi"/>
          <w:i w:val="0"/>
          <w:iCs w:val="0"/>
        </w:rPr>
        <w:fldChar w:fldCharType="end"/>
      </w:r>
      <w:r w:rsidRPr="004125FF">
        <w:rPr>
          <w:rFonts w:asciiTheme="minorBidi" w:hAnsiTheme="minorBidi" w:cstheme="minorBidi"/>
          <w:i w:val="0"/>
          <w:iCs w:val="0"/>
        </w:rPr>
        <w:t>, which facilitates the open exchange of ideas and ensures a coordinated approach to achieving digital objectives. Secondly, fostering a culture of practical data usage is essential, as it demonstrates the organization's capability to regard data as a strategic asset, which necessitates a dedication to ongoing education to develop the knowledge and expertise essential for making informed, data-driven decisions. Ultimately, Change Readiness signifies the organization's ability to adjust to various types of change</w:t>
      </w:r>
      <w:r w:rsidR="00E74147">
        <w:rPr>
          <w:rFonts w:asciiTheme="minorBidi" w:hAnsiTheme="minorBidi" w:cstheme="minorBidi"/>
          <w:i w:val="0"/>
          <w:iCs w:val="0"/>
        </w:rPr>
        <w:t xml:space="preserve"> </w:t>
      </w:r>
      <w:r w:rsidR="00E74147">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DOI":"10.1016/j.im.2025.104135","ISSN":"0378-7206","author":[{"dropping-particle":"","family":"Cao","given":"Guangming","non-dropping-particle":"","parse-names":false,"suffix":""},{"dropping-particle":"","family":"Duan","given":"Yanqing","non-dropping-particle":"","parse-names":false,"suffix":""},{"dropping-particle":"","family":"Edwards","given":"John S","non-dropping-particle":"","parse-names":false,"suffix":""}],"container-title":"Information &amp; Management","id":"ITEM-1","issue":"4","issued":{"date-parts":[["2025"]]},"page":"104135","publisher":"Elsevier B.V.","title":"Information &amp; Management Organizational culture , digital transformation , and product innovation","type":"article-journal","volume":"62"},"uris":["http://www.mendeley.com/documents/?uuid=34872600-de8a-4ee4-b216-fd93240655dd"]}],"mendeley":{"formattedCitation":"(Cao et al., 2025)","plainTextFormattedCitation":"(Cao et al., 2025)","previouslyFormattedCitation":"(Cao et al., 2025)"},"properties":{"noteIndex":0},"schema":"https://github.com/citation-style-language/schema/raw/master/csl-citation.json"}</w:instrText>
      </w:r>
      <w:r w:rsidR="00E74147">
        <w:rPr>
          <w:rFonts w:asciiTheme="minorBidi" w:hAnsiTheme="minorBidi" w:cstheme="minorBidi"/>
          <w:i w:val="0"/>
          <w:iCs w:val="0"/>
        </w:rPr>
        <w:fldChar w:fldCharType="separate"/>
      </w:r>
      <w:r w:rsidR="00FA55C8" w:rsidRPr="00FA55C8">
        <w:rPr>
          <w:rFonts w:asciiTheme="minorBidi" w:hAnsiTheme="minorBidi" w:cstheme="minorBidi"/>
          <w:i w:val="0"/>
          <w:iCs w:val="0"/>
        </w:rPr>
        <w:t>(Cao et al., 2025)</w:t>
      </w:r>
      <w:r w:rsidR="00E74147">
        <w:rPr>
          <w:rFonts w:asciiTheme="minorBidi" w:hAnsiTheme="minorBidi" w:cstheme="minorBidi"/>
          <w:i w:val="0"/>
          <w:iCs w:val="0"/>
        </w:rPr>
        <w:fldChar w:fldCharType="end"/>
      </w:r>
      <w:r w:rsidRPr="004125FF">
        <w:rPr>
          <w:rFonts w:asciiTheme="minorBidi" w:hAnsiTheme="minorBidi" w:cstheme="minorBidi"/>
          <w:i w:val="0"/>
          <w:iCs w:val="0"/>
        </w:rPr>
        <w:t>. The process requires a well-prepared workforce that possesses a strong understanding of technological advancements, along with a practical change management framework. The combination of these three elements establishes a culture that is adaptable, knowledgeable, and robust within a digital landscape. The dimension of culture can be explained through (1) collaboration, (2) Data Usage, and (3) Change Readiness.</w:t>
      </w:r>
    </w:p>
    <w:p w14:paraId="6971703A" w14:textId="77777777" w:rsidR="000D4D4C" w:rsidRPr="004125FF" w:rsidRDefault="000D4D4C" w:rsidP="000D4D4C">
      <w:pPr>
        <w:rPr>
          <w:rFonts w:asciiTheme="minorBidi" w:hAnsiTheme="minorBidi" w:cstheme="minorBidi"/>
        </w:rPr>
      </w:pPr>
    </w:p>
    <w:p w14:paraId="7267F72F" w14:textId="22CDC602" w:rsidR="003D1D02" w:rsidRPr="003D1D02" w:rsidRDefault="003D1D02" w:rsidP="003D1D02">
      <w:pPr>
        <w:pStyle w:val="ListParagraph"/>
        <w:numPr>
          <w:ilvl w:val="0"/>
          <w:numId w:val="29"/>
        </w:numPr>
        <w:spacing w:after="160" w:line="257" w:lineRule="auto"/>
        <w:ind w:left="357" w:hanging="357"/>
        <w:rPr>
          <w:rFonts w:asciiTheme="minorBidi" w:hAnsiTheme="minorBidi"/>
          <w:b/>
          <w:bCs/>
        </w:rPr>
      </w:pPr>
      <w:r w:rsidRPr="003D1D02">
        <w:rPr>
          <w:rFonts w:asciiTheme="minorBidi" w:hAnsiTheme="minorBidi"/>
          <w:b/>
          <w:bCs/>
        </w:rPr>
        <w:t>RESULTS AND DISCUSSION</w:t>
      </w:r>
    </w:p>
    <w:p w14:paraId="43E88D23" w14:textId="0408B1F3" w:rsidR="000D4D4C" w:rsidRPr="004125FF" w:rsidRDefault="000D4D4C" w:rsidP="00AA4751">
      <w:pPr>
        <w:jc w:val="both"/>
        <w:rPr>
          <w:rFonts w:asciiTheme="minorBidi" w:hAnsiTheme="minorBidi" w:cstheme="minorBidi"/>
          <w:sz w:val="24"/>
          <w:szCs w:val="24"/>
          <w:lang w:val="tr-TR"/>
        </w:rPr>
      </w:pPr>
      <w:r w:rsidRPr="004125FF">
        <w:rPr>
          <w:rStyle w:val="selected"/>
          <w:rFonts w:asciiTheme="minorBidi" w:hAnsiTheme="minorBidi" w:cstheme="minorBidi"/>
        </w:rPr>
        <w:t>This section summarizes the key findings derived from applying the Digital Maturity Methodology (DMM) proposed in this research across the Libyan Telecommunications Sector (LTS), encompassing major operators and regulatory bodies. The maturity of the sector was assessed across the five defined dimensions:</w:t>
      </w:r>
      <w:r w:rsidR="00251943" w:rsidRPr="004125FF">
        <w:rPr>
          <w:rStyle w:val="selected"/>
          <w:rFonts w:asciiTheme="minorBidi" w:hAnsiTheme="minorBidi" w:cstheme="minorBidi"/>
          <w:b/>
          <w:bCs/>
        </w:rPr>
        <w:t xml:space="preserve"> Customer Experience,</w:t>
      </w:r>
      <w:r w:rsidRPr="004125FF">
        <w:rPr>
          <w:rStyle w:val="selected"/>
          <w:rFonts w:asciiTheme="minorBidi" w:hAnsiTheme="minorBidi" w:cstheme="minorBidi"/>
        </w:rPr>
        <w:t xml:space="preserve"> </w:t>
      </w:r>
      <w:r w:rsidR="00251943" w:rsidRPr="004125FF">
        <w:rPr>
          <w:rStyle w:val="selected"/>
          <w:rFonts w:asciiTheme="minorBidi" w:hAnsiTheme="minorBidi" w:cstheme="minorBidi"/>
          <w:b/>
          <w:bCs/>
        </w:rPr>
        <w:t xml:space="preserve">Strategy </w:t>
      </w:r>
      <w:r w:rsidR="00251943" w:rsidRPr="004125FF">
        <w:rPr>
          <w:rStyle w:val="selected"/>
          <w:rFonts w:asciiTheme="minorBidi" w:hAnsiTheme="minorBidi" w:cstheme="minorBidi"/>
          <w:b/>
          <w:bCs/>
        </w:rPr>
        <w:lastRenderedPageBreak/>
        <w:t>&amp; Leadership</w:t>
      </w:r>
      <w:r w:rsidRPr="004125FF">
        <w:rPr>
          <w:rStyle w:val="selected"/>
          <w:rFonts w:asciiTheme="minorBidi" w:hAnsiTheme="minorBidi" w:cstheme="minorBidi"/>
          <w:b/>
          <w:bCs/>
        </w:rPr>
        <w:t>, Technology &amp; Data, Operations &amp; Process Automation, and Culture &amp; Skills</w:t>
      </w:r>
      <w:r w:rsidRPr="004125FF">
        <w:rPr>
          <w:rStyle w:val="selected"/>
          <w:rFonts w:asciiTheme="minorBidi" w:hAnsiTheme="minorBidi" w:cstheme="minorBidi"/>
        </w:rPr>
        <w:t xml:space="preserve">. The DMM utilizes a 5-stage scale, ranging from </w:t>
      </w:r>
      <w:r w:rsidRPr="004125FF">
        <w:rPr>
          <w:rStyle w:val="selected"/>
          <w:rFonts w:asciiTheme="minorBidi" w:hAnsiTheme="minorBidi" w:cstheme="minorBidi"/>
          <w:b/>
          <w:bCs/>
        </w:rPr>
        <w:t>Initial (1.0)</w:t>
      </w:r>
      <w:r w:rsidRPr="004125FF">
        <w:rPr>
          <w:rStyle w:val="selected"/>
          <w:rFonts w:asciiTheme="minorBidi" w:hAnsiTheme="minorBidi" w:cstheme="minorBidi"/>
        </w:rPr>
        <w:t xml:space="preserve"> to </w:t>
      </w:r>
      <w:r w:rsidR="00AA4751" w:rsidRPr="004125FF">
        <w:rPr>
          <w:rFonts w:asciiTheme="minorBidi" w:hAnsiTheme="minorBidi" w:cstheme="minorBidi"/>
          <w:b/>
          <w:bCs/>
        </w:rPr>
        <w:t>Optimizing</w:t>
      </w:r>
      <w:r w:rsidRPr="004125FF">
        <w:rPr>
          <w:rStyle w:val="selected"/>
          <w:rFonts w:asciiTheme="minorBidi" w:hAnsiTheme="minorBidi" w:cstheme="minorBidi"/>
          <w:b/>
          <w:bCs/>
        </w:rPr>
        <w:t xml:space="preserve"> (5.0)</w:t>
      </w:r>
      <w:r w:rsidRPr="004125FF">
        <w:rPr>
          <w:rStyle w:val="selected"/>
          <w:rFonts w:asciiTheme="minorBidi" w:hAnsiTheme="minorBidi" w:cstheme="minorBidi"/>
        </w:rPr>
        <w:t>. Figure 3 illustrates the results obtained in this research.</w:t>
      </w:r>
    </w:p>
    <w:p w14:paraId="4B7B4BB6" w14:textId="78CA66AC" w:rsidR="000D4D4C" w:rsidRPr="004125FF" w:rsidRDefault="000D4D4C" w:rsidP="00B06696">
      <w:pPr>
        <w:jc w:val="both"/>
        <w:rPr>
          <w:rFonts w:asciiTheme="minorBidi" w:hAnsiTheme="minorBidi" w:cstheme="minorBidi"/>
          <w:shd w:val="clear" w:color="auto" w:fill="FFFFFF"/>
        </w:rPr>
      </w:pPr>
      <w:r w:rsidRPr="004125FF">
        <w:rPr>
          <w:rFonts w:asciiTheme="minorBidi" w:hAnsiTheme="minorBidi" w:cstheme="minorBidi"/>
          <w:shd w:val="clear" w:color="auto" w:fill="FFFFFF"/>
        </w:rPr>
        <w:t xml:space="preserve">The findings indicate that the organisation possesses a digital maturity level of 2.88, corresponding to an overall Digital Maturity Index (DMI) score of 5 on a scale ranging from 1 to 5. This result suggests that the organisation has initiated its digital transformation journey; however, a notable discrepancy exists among its various dimensions. The dimension of culture received the highest score at 3.54, representing the organization's peak achievement. This result suggests that employees are prepared for change and that an internal culture exists that fosters innovation and collaboration, thereby aiding the transformation process. The Organisation score of 3.27 indicates that the organisational structure and internal processes are sufficiently flexible and suitable to facilitate digital transformation efforts. The customer score of 2.54 is relatively low, suggesting that the organisation may not be effectively utilising its digital tools to enhance customer engagement, or that substantial improvements are needed in the digital customer experience. The strategy </w:t>
      </w:r>
      <w:r w:rsidR="00962494" w:rsidRPr="004125FF">
        <w:rPr>
          <w:rFonts w:asciiTheme="minorBidi" w:hAnsiTheme="minorBidi" w:cstheme="minorBidi"/>
          <w:shd w:val="clear" w:color="auto" w:fill="FFFFFF"/>
        </w:rPr>
        <w:t>score</w:t>
      </w:r>
      <w:r w:rsidRPr="004125FF">
        <w:rPr>
          <w:rFonts w:asciiTheme="minorBidi" w:hAnsiTheme="minorBidi" w:cstheme="minorBidi"/>
          <w:shd w:val="clear" w:color="auto" w:fill="FFFFFF"/>
        </w:rPr>
        <w:t xml:space="preserve"> of</w:t>
      </w:r>
      <w:r w:rsidR="003473B1" w:rsidRPr="004125FF">
        <w:rPr>
          <w:rFonts w:asciiTheme="minorBidi" w:hAnsiTheme="minorBidi" w:cstheme="minorBidi"/>
          <w:shd w:val="clear" w:color="auto" w:fill="FFFFFF"/>
        </w:rPr>
        <w:t xml:space="preserve"> </w:t>
      </w:r>
      <w:r w:rsidRPr="004125FF">
        <w:rPr>
          <w:rFonts w:asciiTheme="minorBidi" w:hAnsiTheme="minorBidi" w:cstheme="minorBidi"/>
          <w:shd w:val="clear" w:color="auto" w:fill="FFFFFF"/>
        </w:rPr>
        <w:t>2.33 is the lowest, indicating a deficiency in formulating a clear vision for digital transformation and in providing the necessary resources and administrative support for its implementation. The technology score of 2.49 suggests that the organization's technology infrastructure may be outdated or inadequately integrated, thereby constraining its capacity to facilitate the transformation.</w:t>
      </w:r>
    </w:p>
    <w:p w14:paraId="54145058" w14:textId="3880AF62" w:rsidR="000D4D4C" w:rsidRDefault="000D4D4C" w:rsidP="00B06696">
      <w:pPr>
        <w:ind w:firstLine="480"/>
        <w:jc w:val="both"/>
        <w:rPr>
          <w:rFonts w:asciiTheme="minorBidi" w:hAnsiTheme="minorBidi" w:cstheme="minorBidi"/>
          <w:shd w:val="clear" w:color="auto" w:fill="FFFFFF"/>
        </w:rPr>
      </w:pPr>
      <w:r w:rsidRPr="004125FF">
        <w:rPr>
          <w:rFonts w:asciiTheme="minorBidi" w:hAnsiTheme="minorBidi" w:cstheme="minorBidi"/>
          <w:shd w:val="clear" w:color="auto" w:fill="FFFFFF"/>
        </w:rPr>
        <w:t>The results indicate that the organisation possesses considerable internal strengths in both cultural and organisational aspects, serving as a crucial basis for future development. The inadequate scores in the strategic, technical, and consumer aspects signify a difficulty that requires resolution. It is advised that the organisation capitalise on its favourable culture and adaptable environment to facilitate the modernisation of its technological architecture and the formulation of a more defined digital strategy, ultimately enhancing the customer experience.</w:t>
      </w:r>
    </w:p>
    <w:p w14:paraId="3BD50729" w14:textId="5BA94BE0" w:rsidR="008555F2" w:rsidRDefault="008555F2" w:rsidP="00B06696">
      <w:pPr>
        <w:ind w:firstLine="480"/>
        <w:jc w:val="both"/>
        <w:rPr>
          <w:rFonts w:asciiTheme="minorBidi" w:hAnsiTheme="minorBidi" w:cstheme="minorBidi"/>
          <w:shd w:val="clear" w:color="auto" w:fill="FFFFFF"/>
        </w:rPr>
      </w:pPr>
    </w:p>
    <w:p w14:paraId="08D0B30F" w14:textId="77777777" w:rsidR="008555F2" w:rsidRPr="004125FF" w:rsidRDefault="008555F2" w:rsidP="00B06696">
      <w:pPr>
        <w:ind w:firstLine="480"/>
        <w:jc w:val="both"/>
        <w:rPr>
          <w:rFonts w:asciiTheme="minorBidi" w:hAnsiTheme="minorBidi" w:cstheme="minorBidi"/>
          <w:shd w:val="clear" w:color="auto" w:fill="FFFFFF"/>
        </w:rPr>
      </w:pPr>
    </w:p>
    <w:p w14:paraId="0BA0D4F9" w14:textId="155A1A65" w:rsidR="006C784D" w:rsidRPr="00FE5436" w:rsidRDefault="00290D61" w:rsidP="006C784D">
      <w:pPr>
        <w:spacing w:after="100" w:afterAutospacing="1"/>
        <w:ind w:firstLine="480"/>
        <w:rPr>
          <w:rFonts w:ascii="Arial" w:hAnsi="Arial" w:cs="Arial"/>
          <w:shd w:val="clear" w:color="auto" w:fill="FFFFFF"/>
        </w:rPr>
      </w:pPr>
      <w:r>
        <w:rPr>
          <w:noProof/>
          <w:lang w:eastAsia="en-GB"/>
        </w:rPr>
        <w:drawing>
          <wp:inline distT="0" distB="0" distL="0" distR="0" wp14:anchorId="70C7BDCE" wp14:editId="501AD867">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6165390" w14:textId="54C0C2E8" w:rsidR="000D4D4C" w:rsidRPr="004125FF" w:rsidRDefault="008555F2" w:rsidP="000D4D4C">
      <w:pPr>
        <w:ind w:firstLine="480"/>
        <w:rPr>
          <w:rFonts w:asciiTheme="minorBidi" w:hAnsiTheme="minorBidi" w:cstheme="minorBidi"/>
          <w:shd w:val="clear" w:color="auto" w:fill="FFFFFF"/>
        </w:rPr>
      </w:pPr>
      <w:r>
        <w:rPr>
          <w:rFonts w:ascii="Arial" w:hAnsi="Arial" w:cs="Arial"/>
          <w:b/>
          <w:bCs/>
          <w:szCs w:val="22"/>
        </w:rPr>
        <w:t>Fig. 3.</w:t>
      </w:r>
      <w:r w:rsidRPr="008555F2">
        <w:rPr>
          <w:rFonts w:ascii="Arial" w:hAnsi="Arial" w:cs="Arial"/>
          <w:b/>
          <w:bCs/>
          <w:szCs w:val="22"/>
        </w:rPr>
        <w:t xml:space="preserve"> </w:t>
      </w:r>
      <w:r w:rsidR="000D4D4C" w:rsidRPr="008555F2">
        <w:rPr>
          <w:rFonts w:asciiTheme="minorBidi" w:hAnsiTheme="minorBidi" w:cstheme="minorBidi"/>
          <w:b/>
          <w:bCs/>
          <w:shd w:val="clear" w:color="auto" w:fill="FFFFFF"/>
        </w:rPr>
        <w:t>The results of the Maturity Level for the Libyan Telecommunications</w:t>
      </w:r>
      <w:r w:rsidR="000D4D4C" w:rsidRPr="004125FF">
        <w:rPr>
          <w:rFonts w:asciiTheme="minorBidi" w:hAnsiTheme="minorBidi" w:cstheme="minorBidi"/>
          <w:shd w:val="clear" w:color="auto" w:fill="FFFFFF"/>
        </w:rPr>
        <w:t xml:space="preserve"> </w:t>
      </w:r>
      <w:r w:rsidR="000D4D4C" w:rsidRPr="008555F2">
        <w:rPr>
          <w:rFonts w:asciiTheme="minorBidi" w:hAnsiTheme="minorBidi" w:cstheme="minorBidi"/>
          <w:b/>
          <w:bCs/>
          <w:shd w:val="clear" w:color="auto" w:fill="FFFFFF"/>
        </w:rPr>
        <w:t xml:space="preserve">Sector </w:t>
      </w:r>
    </w:p>
    <w:p w14:paraId="219066D9" w14:textId="76335292" w:rsidR="000D4D4C" w:rsidRPr="00C40962" w:rsidRDefault="000D4D4C" w:rsidP="00C40962">
      <w:pPr>
        <w:spacing w:after="160" w:line="257" w:lineRule="auto"/>
        <w:jc w:val="both"/>
        <w:rPr>
          <w:rFonts w:asciiTheme="minorBidi" w:hAnsiTheme="minorBidi"/>
          <w:b/>
          <w:bCs/>
          <w:sz w:val="24"/>
          <w:szCs w:val="24"/>
          <w:shd w:val="clear" w:color="auto" w:fill="FFFFFF"/>
        </w:rPr>
      </w:pPr>
    </w:p>
    <w:p w14:paraId="1446A194" w14:textId="4E8E4E6E" w:rsidR="00C40962" w:rsidRPr="00C40962" w:rsidRDefault="00C40962" w:rsidP="00C40962">
      <w:pPr>
        <w:pStyle w:val="ListParagraph"/>
        <w:numPr>
          <w:ilvl w:val="0"/>
          <w:numId w:val="29"/>
        </w:numPr>
        <w:spacing w:before="100" w:beforeAutospacing="1" w:after="100" w:afterAutospacing="1"/>
        <w:ind w:left="357" w:hanging="357"/>
        <w:jc w:val="both"/>
        <w:rPr>
          <w:rFonts w:asciiTheme="minorBidi" w:eastAsia="Times New Roman" w:hAnsiTheme="minorBidi"/>
          <w:b/>
          <w:bCs/>
          <w:lang w:val="en-US"/>
        </w:rPr>
      </w:pPr>
      <w:r w:rsidRPr="00C40962">
        <w:rPr>
          <w:rFonts w:asciiTheme="minorBidi" w:hAnsiTheme="minorBidi"/>
          <w:b/>
          <w:bCs/>
          <w:shd w:val="clear" w:color="auto" w:fill="FFFFFF"/>
        </w:rPr>
        <w:t xml:space="preserve">CONCLUSION </w:t>
      </w:r>
    </w:p>
    <w:p w14:paraId="43974337" w14:textId="77777777" w:rsidR="00C40962" w:rsidRDefault="00C40962" w:rsidP="00B06696">
      <w:pPr>
        <w:pStyle w:val="ListParagraph"/>
        <w:spacing w:before="100" w:beforeAutospacing="1" w:after="100" w:afterAutospacing="1" w:line="240" w:lineRule="auto"/>
        <w:ind w:left="0"/>
        <w:jc w:val="both"/>
        <w:rPr>
          <w:rFonts w:asciiTheme="minorBidi" w:eastAsia="Times New Roman" w:hAnsiTheme="minorBidi"/>
          <w:sz w:val="20"/>
          <w:szCs w:val="20"/>
          <w:lang w:val="en-US"/>
        </w:rPr>
      </w:pPr>
    </w:p>
    <w:p w14:paraId="3BC65AC4" w14:textId="7FAA4EA0" w:rsidR="000D4D4C" w:rsidRPr="004125FF" w:rsidRDefault="000D4D4C" w:rsidP="00B06696">
      <w:pPr>
        <w:pStyle w:val="ListParagraph"/>
        <w:spacing w:before="100" w:beforeAutospacing="1" w:after="100" w:afterAutospacing="1" w:line="240" w:lineRule="auto"/>
        <w:ind w:left="0"/>
        <w:jc w:val="both"/>
        <w:rPr>
          <w:rFonts w:asciiTheme="minorBidi" w:eastAsia="Times New Roman" w:hAnsiTheme="minorBidi"/>
          <w:sz w:val="20"/>
          <w:szCs w:val="20"/>
          <w:lang w:val="en-US"/>
        </w:rPr>
      </w:pPr>
      <w:r w:rsidRPr="004125FF">
        <w:rPr>
          <w:rFonts w:asciiTheme="minorBidi" w:eastAsia="Times New Roman" w:hAnsiTheme="minorBidi"/>
          <w:sz w:val="20"/>
          <w:szCs w:val="20"/>
          <w:lang w:val="en-US"/>
        </w:rPr>
        <w:t>This research developed and applied a structured methodology for assessing the digital maturity of the Libyan telecommunications sector. The methodology, which progresses through the stages of data collection, data cleaning, data description, and the use of the Composite Index for Mixed-method Qualitative Survey (CIMAS), has provided a systematic means to evaluate the sector's level of digital transformation. By integrating these stages into the Digital Maturity Scale and aligning them with the Five-Dimensional Digital Maturity Framework, the study has captured both the quantitative indicators and qualitative insights necessary for a holistic evaluation.</w:t>
      </w:r>
    </w:p>
    <w:p w14:paraId="4394D311" w14:textId="77777777" w:rsidR="000D4D4C" w:rsidRPr="004125FF" w:rsidRDefault="000D4D4C" w:rsidP="00B06696">
      <w:pPr>
        <w:pStyle w:val="ListParagraph"/>
        <w:spacing w:before="100" w:beforeAutospacing="1" w:after="100" w:afterAutospacing="1" w:line="240" w:lineRule="auto"/>
        <w:ind w:left="0"/>
        <w:jc w:val="both"/>
        <w:rPr>
          <w:rFonts w:asciiTheme="minorBidi" w:eastAsia="Times New Roman" w:hAnsiTheme="minorBidi"/>
          <w:sz w:val="20"/>
          <w:szCs w:val="20"/>
          <w:lang w:val="en-US"/>
        </w:rPr>
      </w:pPr>
      <w:r w:rsidRPr="004125FF">
        <w:rPr>
          <w:rFonts w:asciiTheme="minorBidi" w:eastAsia="Times New Roman" w:hAnsiTheme="minorBidi"/>
          <w:sz w:val="20"/>
          <w:szCs w:val="20"/>
          <w:lang w:val="en-US"/>
        </w:rPr>
        <w:t xml:space="preserve">The findings demonstrate that digital maturity is not a static measure but a dynamic process influenced by technological, organizational, human, and regulatory factors. The use of CIMAS has proven particularly effective in combining diverse </w:t>
      </w:r>
      <w:r w:rsidRPr="004125FF">
        <w:rPr>
          <w:rFonts w:asciiTheme="minorBidi" w:eastAsia="Times New Roman" w:hAnsiTheme="minorBidi"/>
          <w:sz w:val="20"/>
          <w:szCs w:val="20"/>
          <w:lang w:val="en-US"/>
        </w:rPr>
        <w:lastRenderedPageBreak/>
        <w:t xml:space="preserve">data sources and perspectives, ensuring that the assessment reflects the realities of both internal capabilities and external challenges. </w:t>
      </w:r>
    </w:p>
    <w:p w14:paraId="3F72000D" w14:textId="4F2B9E63" w:rsidR="000D4D4C" w:rsidRDefault="000D4D4C" w:rsidP="00B06696">
      <w:pPr>
        <w:pStyle w:val="ListParagraph"/>
        <w:spacing w:before="100" w:beforeAutospacing="1" w:after="100" w:afterAutospacing="1" w:line="240" w:lineRule="auto"/>
        <w:ind w:left="0"/>
        <w:jc w:val="both"/>
        <w:rPr>
          <w:rFonts w:asciiTheme="minorBidi" w:eastAsia="Times New Roman" w:hAnsiTheme="minorBidi"/>
          <w:sz w:val="20"/>
          <w:szCs w:val="20"/>
          <w:lang w:val="en-US"/>
        </w:rPr>
      </w:pPr>
      <w:r w:rsidRPr="004125FF">
        <w:rPr>
          <w:rFonts w:asciiTheme="minorBidi" w:eastAsia="Times New Roman" w:hAnsiTheme="minorBidi"/>
          <w:sz w:val="20"/>
          <w:szCs w:val="20"/>
          <w:lang w:val="en-US"/>
        </w:rPr>
        <w:t>Overall, this research contributes both a conceptual and practical tool for policymakers and decision-makers to benchmark current capabilities, prioritize investment areas, and design strategies for sustainable digital transformation. Importantly, the methodology is adaptable and can be applied to other sectors in Libya and comparable contexts, thereby serving as a foundation for broader national and regional digital development initiatives.</w:t>
      </w:r>
    </w:p>
    <w:p w14:paraId="57681E1F" w14:textId="77777777" w:rsidR="000B0DEF" w:rsidRDefault="000B0DEF" w:rsidP="00B06696">
      <w:pPr>
        <w:pStyle w:val="ListParagraph"/>
        <w:spacing w:before="100" w:beforeAutospacing="1" w:after="100" w:afterAutospacing="1" w:line="240" w:lineRule="auto"/>
        <w:ind w:left="0"/>
        <w:jc w:val="both"/>
        <w:rPr>
          <w:rFonts w:asciiTheme="minorBidi" w:eastAsia="Times New Roman" w:hAnsiTheme="minorBidi"/>
          <w:sz w:val="20"/>
          <w:szCs w:val="20"/>
          <w:lang w:val="en-US"/>
        </w:rPr>
      </w:pPr>
    </w:p>
    <w:p w14:paraId="0B835FC8" w14:textId="77777777" w:rsidR="000B0DEF" w:rsidRPr="000B0DEF" w:rsidRDefault="000B0DEF" w:rsidP="000B0DEF">
      <w:pPr>
        <w:pStyle w:val="ListParagraph"/>
        <w:spacing w:before="100" w:beforeAutospacing="1" w:after="100" w:afterAutospacing="1"/>
        <w:ind w:left="0"/>
        <w:jc w:val="both"/>
        <w:rPr>
          <w:rFonts w:asciiTheme="minorBidi" w:eastAsia="Times New Roman" w:hAnsiTheme="minorBidi"/>
          <w:b/>
          <w:bCs/>
          <w:sz w:val="20"/>
          <w:szCs w:val="20"/>
          <w:lang w:val="en-US"/>
        </w:rPr>
      </w:pPr>
      <w:r w:rsidRPr="000B0DEF">
        <w:rPr>
          <w:rFonts w:asciiTheme="minorBidi" w:eastAsia="Times New Roman" w:hAnsiTheme="minorBidi"/>
          <w:b/>
          <w:bCs/>
          <w:sz w:val="20"/>
          <w:szCs w:val="20"/>
          <w:lang w:val="en-US"/>
        </w:rPr>
        <w:t>Disclaimer (Artificial Intelligence)</w:t>
      </w:r>
    </w:p>
    <w:p w14:paraId="49FE34C0" w14:textId="77777777" w:rsidR="000B0DEF" w:rsidRPr="000B0DEF" w:rsidRDefault="000B0DEF" w:rsidP="000B0DEF">
      <w:pPr>
        <w:pStyle w:val="ListParagraph"/>
        <w:spacing w:before="100" w:beforeAutospacing="1" w:after="100" w:afterAutospacing="1"/>
        <w:ind w:left="0"/>
        <w:jc w:val="both"/>
        <w:rPr>
          <w:rFonts w:asciiTheme="minorBidi" w:eastAsia="Times New Roman" w:hAnsiTheme="minorBidi"/>
          <w:sz w:val="20"/>
          <w:szCs w:val="20"/>
          <w:lang w:val="en-US"/>
        </w:rPr>
      </w:pPr>
      <w:r w:rsidRPr="000B0DEF">
        <w:rPr>
          <w:rFonts w:asciiTheme="minorBidi" w:eastAsia="Times New Roman" w:hAnsiTheme="minorBidi"/>
          <w:sz w:val="20"/>
          <w:szCs w:val="20"/>
          <w:lang w:val="en-US"/>
        </w:rPr>
        <w:t>Author(s) hereby declare that NO generative AI technologies such as Large Language Models (</w:t>
      </w:r>
      <w:proofErr w:type="spellStart"/>
      <w:r w:rsidRPr="000B0DEF">
        <w:rPr>
          <w:rFonts w:asciiTheme="minorBidi" w:eastAsia="Times New Roman" w:hAnsiTheme="minorBidi"/>
          <w:sz w:val="20"/>
          <w:szCs w:val="20"/>
          <w:lang w:val="en-US"/>
        </w:rPr>
        <w:t>ChatGPT</w:t>
      </w:r>
      <w:proofErr w:type="spellEnd"/>
      <w:r w:rsidRPr="000B0DEF">
        <w:rPr>
          <w:rFonts w:asciiTheme="minorBidi" w:eastAsia="Times New Roman" w:hAnsiTheme="minorBidi"/>
          <w:sz w:val="20"/>
          <w:szCs w:val="20"/>
          <w:lang w:val="en-US"/>
        </w:rPr>
        <w:t xml:space="preserve">, COPILOT, </w:t>
      </w:r>
      <w:proofErr w:type="spellStart"/>
      <w:r w:rsidRPr="000B0DEF">
        <w:rPr>
          <w:rFonts w:asciiTheme="minorBidi" w:eastAsia="Times New Roman" w:hAnsiTheme="minorBidi"/>
          <w:sz w:val="20"/>
          <w:szCs w:val="20"/>
          <w:lang w:val="en-US"/>
        </w:rPr>
        <w:t>etc</w:t>
      </w:r>
      <w:proofErr w:type="spellEnd"/>
      <w:r w:rsidRPr="000B0DEF">
        <w:rPr>
          <w:rFonts w:asciiTheme="minorBidi" w:eastAsia="Times New Roman" w:hAnsiTheme="minorBidi"/>
          <w:sz w:val="20"/>
          <w:szCs w:val="20"/>
          <w:lang w:val="en-US"/>
        </w:rPr>
        <w:t>) and text-to-image generators have been used during writing or editing of this manuscript.</w:t>
      </w:r>
    </w:p>
    <w:p w14:paraId="38B796E7" w14:textId="45A90134" w:rsidR="006C4067" w:rsidRDefault="006C4067" w:rsidP="006C4067">
      <w:pPr>
        <w:pStyle w:val="ReferHead"/>
        <w:spacing w:after="0"/>
        <w:jc w:val="both"/>
        <w:rPr>
          <w:rFonts w:ascii="Arial" w:hAnsi="Arial" w:cs="Arial"/>
        </w:rPr>
      </w:pPr>
      <w:r w:rsidRPr="00FB3A86">
        <w:rPr>
          <w:rFonts w:ascii="Arial" w:hAnsi="Arial" w:cs="Arial"/>
        </w:rPr>
        <w:t>References</w:t>
      </w:r>
    </w:p>
    <w:p w14:paraId="7FA0064C" w14:textId="77777777" w:rsidR="006C4067" w:rsidRDefault="006C4067" w:rsidP="00FA55C8">
      <w:pPr>
        <w:pStyle w:val="ReferHead"/>
        <w:spacing w:after="0"/>
        <w:rPr>
          <w:rFonts w:ascii="Arial" w:hAnsi="Arial" w:cs="Arial"/>
        </w:rPr>
      </w:pPr>
    </w:p>
    <w:p w14:paraId="2505D499" w14:textId="1129C732" w:rsidR="004D74B5" w:rsidRPr="004D74B5" w:rsidRDefault="006C4067" w:rsidP="00B90543">
      <w:pPr>
        <w:widowControl w:val="0"/>
        <w:autoSpaceDE w:val="0"/>
        <w:autoSpaceDN w:val="0"/>
        <w:adjustRightInd w:val="0"/>
        <w:ind w:left="480" w:hanging="480"/>
        <w:jc w:val="left"/>
        <w:rPr>
          <w:rFonts w:ascii="Arial" w:hAnsi="Arial" w:cs="Arial"/>
          <w:noProof/>
          <w:szCs w:val="24"/>
        </w:rPr>
      </w:pPr>
      <w:r w:rsidRPr="00FA55C8">
        <w:rPr>
          <w:rFonts w:asciiTheme="minorBidi" w:hAnsiTheme="minorBidi" w:cstheme="minorBidi"/>
          <w:b/>
          <w:bCs/>
        </w:rPr>
        <w:fldChar w:fldCharType="begin" w:fldLock="1"/>
      </w:r>
      <w:r w:rsidRPr="00FA55C8">
        <w:rPr>
          <w:rFonts w:asciiTheme="minorBidi" w:hAnsiTheme="minorBidi" w:cstheme="minorBidi"/>
          <w:b/>
          <w:bCs/>
        </w:rPr>
        <w:instrText xml:space="preserve">ADDIN Mendeley Bibliography CSL_BIBLIOGRAPHY </w:instrText>
      </w:r>
      <w:r w:rsidRPr="00FA55C8">
        <w:rPr>
          <w:rFonts w:asciiTheme="minorBidi" w:hAnsiTheme="minorBidi" w:cstheme="minorBidi"/>
          <w:b/>
          <w:bCs/>
        </w:rPr>
        <w:fldChar w:fldCharType="separate"/>
      </w:r>
      <w:r w:rsidR="004D74B5" w:rsidRPr="004D74B5">
        <w:rPr>
          <w:rFonts w:ascii="Arial" w:hAnsi="Arial" w:cs="Arial"/>
          <w:noProof/>
          <w:szCs w:val="24"/>
        </w:rPr>
        <w:t xml:space="preserve">Aagaard, A., Presser, M., Collins, T., Beliatis, M., Jakobsen, E. M., &amp; Skou, A. K. (2021). </w:t>
      </w:r>
      <w:r w:rsidR="004D74B5" w:rsidRPr="004D74B5">
        <w:rPr>
          <w:rFonts w:ascii="Arial" w:hAnsi="Arial" w:cs="Arial"/>
          <w:i/>
          <w:iCs/>
          <w:noProof/>
          <w:szCs w:val="24"/>
        </w:rPr>
        <w:t>The Role of Digital Maturity Assessment in Technology Interventions with Industrial Internet Playground</w:t>
      </w:r>
      <w:r w:rsidR="004D74B5" w:rsidRPr="004D74B5">
        <w:rPr>
          <w:rFonts w:ascii="Arial" w:hAnsi="Arial" w:cs="Arial"/>
          <w:noProof/>
          <w:szCs w:val="24"/>
        </w:rPr>
        <w:t>.</w:t>
      </w:r>
    </w:p>
    <w:p w14:paraId="6BB9B2D8"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Ahmed, T., &amp; Hussain, B. (2023). </w:t>
      </w:r>
      <w:r w:rsidRPr="004D74B5">
        <w:rPr>
          <w:rFonts w:ascii="Arial" w:hAnsi="Arial" w:cs="Arial"/>
          <w:i/>
          <w:iCs/>
          <w:noProof/>
          <w:szCs w:val="24"/>
        </w:rPr>
        <w:t>The Role of AI in Enhancing Customer Experience and Engagement in Digital Transformation</w:t>
      </w:r>
      <w:r w:rsidRPr="004D74B5">
        <w:rPr>
          <w:rFonts w:ascii="Arial" w:hAnsi="Arial" w:cs="Arial"/>
          <w:noProof/>
          <w:szCs w:val="24"/>
        </w:rPr>
        <w:t xml:space="preserve">. </w:t>
      </w:r>
      <w:r w:rsidRPr="004D74B5">
        <w:rPr>
          <w:rFonts w:ascii="Arial" w:hAnsi="Arial" w:cs="Arial"/>
          <w:i/>
          <w:iCs/>
          <w:noProof/>
          <w:szCs w:val="24"/>
        </w:rPr>
        <w:t>June</w:t>
      </w:r>
      <w:r w:rsidRPr="004D74B5">
        <w:rPr>
          <w:rFonts w:ascii="Arial" w:hAnsi="Arial" w:cs="Arial"/>
          <w:noProof/>
          <w:szCs w:val="24"/>
        </w:rPr>
        <w:t>.</w:t>
      </w:r>
    </w:p>
    <w:p w14:paraId="4E0EEA53" w14:textId="0D61C92D"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Andres, O., Rodriguez, G., Yolima, D., &amp; Balbin, C. (2025). </w:t>
      </w:r>
      <w:r w:rsidRPr="004D74B5">
        <w:rPr>
          <w:rFonts w:ascii="Arial" w:hAnsi="Arial" w:cs="Arial"/>
          <w:i/>
          <w:iCs/>
          <w:noProof/>
          <w:szCs w:val="24"/>
        </w:rPr>
        <w:t>Digital Maturity Level, a Roadmap for Digital Transformation : Case Study DIGITAL MATURITY LEVEL, A ROADMAP FOR DIGITAL TRANSFORMATION : CASE STUDY</w:t>
      </w:r>
      <w:r w:rsidRPr="004D74B5">
        <w:rPr>
          <w:rFonts w:ascii="Arial" w:hAnsi="Arial" w:cs="Arial"/>
          <w:noProof/>
          <w:szCs w:val="24"/>
        </w:rPr>
        <w:t xml:space="preserve">. </w:t>
      </w:r>
      <w:r w:rsidRPr="004D74B5">
        <w:rPr>
          <w:rFonts w:ascii="Arial" w:hAnsi="Arial" w:cs="Arial"/>
          <w:i/>
          <w:iCs/>
          <w:noProof/>
          <w:szCs w:val="24"/>
        </w:rPr>
        <w:t>November 2024</w:t>
      </w:r>
      <w:r w:rsidRPr="004D74B5">
        <w:rPr>
          <w:rFonts w:ascii="Arial" w:hAnsi="Arial" w:cs="Arial"/>
          <w:noProof/>
          <w:szCs w:val="24"/>
        </w:rPr>
        <w:t>. https://doi.org/10.24857/rgsa.v18n11-256</w:t>
      </w:r>
    </w:p>
    <w:p w14:paraId="2D4054AF"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Aras, A., &amp; Büyüközkan, G. (2023). </w:t>
      </w:r>
      <w:r w:rsidRPr="004D74B5">
        <w:rPr>
          <w:rFonts w:ascii="Arial" w:hAnsi="Arial" w:cs="Arial"/>
          <w:i/>
          <w:iCs/>
          <w:noProof/>
          <w:szCs w:val="24"/>
        </w:rPr>
        <w:t>Digital Transformation Journey Guidance : A Holistic Digital</w:t>
      </w:r>
      <w:r w:rsidRPr="004D74B5">
        <w:rPr>
          <w:rFonts w:ascii="Arial" w:hAnsi="Arial" w:cs="Arial"/>
          <w:noProof/>
          <w:szCs w:val="24"/>
        </w:rPr>
        <w:t>. 1–31.</w:t>
      </w:r>
    </w:p>
    <w:p w14:paraId="17FD91F2"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Arkhipova, L. I. (2025). </w:t>
      </w:r>
      <w:r w:rsidRPr="004D74B5">
        <w:rPr>
          <w:rFonts w:ascii="Arial" w:hAnsi="Arial" w:cs="Arial"/>
          <w:i/>
          <w:iCs/>
          <w:noProof/>
          <w:szCs w:val="24"/>
        </w:rPr>
        <w:t>Udc 330.33:004 digital maturity categories in business: integrating and assessment</w:t>
      </w:r>
      <w:r w:rsidRPr="004D74B5">
        <w:rPr>
          <w:rFonts w:ascii="Arial" w:hAnsi="Arial" w:cs="Arial"/>
          <w:noProof/>
          <w:szCs w:val="24"/>
        </w:rPr>
        <w:t>. 23–24.</w:t>
      </w:r>
    </w:p>
    <w:p w14:paraId="75D4B89E"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Ashiq, R. (2025). </w:t>
      </w:r>
      <w:r w:rsidRPr="004D74B5">
        <w:rPr>
          <w:rFonts w:ascii="Arial" w:hAnsi="Arial" w:cs="Arial"/>
          <w:i/>
          <w:iCs/>
          <w:noProof/>
          <w:szCs w:val="24"/>
        </w:rPr>
        <w:t>Exploring the effects of e-service quality and e-trust on consumers ’ e-satisfaction and e-loyalty : insights from online shoppers in Pakistan</w:t>
      </w:r>
      <w:r w:rsidRPr="004D74B5">
        <w:rPr>
          <w:rFonts w:ascii="Arial" w:hAnsi="Arial" w:cs="Arial"/>
          <w:noProof/>
          <w:szCs w:val="24"/>
        </w:rPr>
        <w:t xml:space="preserve">. </w:t>
      </w:r>
      <w:r w:rsidRPr="004D74B5">
        <w:rPr>
          <w:rFonts w:ascii="Arial" w:hAnsi="Arial" w:cs="Arial"/>
          <w:i/>
          <w:iCs/>
          <w:noProof/>
          <w:szCs w:val="24"/>
        </w:rPr>
        <w:t>3</w:t>
      </w:r>
      <w:r w:rsidRPr="004D74B5">
        <w:rPr>
          <w:rFonts w:ascii="Arial" w:hAnsi="Arial" w:cs="Arial"/>
          <w:noProof/>
          <w:szCs w:val="24"/>
        </w:rPr>
        <w:t>(2), 117–141. https://doi.org/10.1108/JEBDE-09-2023-0019</w:t>
      </w:r>
    </w:p>
    <w:p w14:paraId="7CBB7F14"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Backlund, F., Chronéer, D., &amp; Sundqvist, E. (2014). Project Management Maturity Models – A Critical Review A case study within Swedish engineering and construction organizations. </w:t>
      </w:r>
      <w:r w:rsidRPr="004D74B5">
        <w:rPr>
          <w:rFonts w:ascii="Arial" w:hAnsi="Arial" w:cs="Arial"/>
          <w:i/>
          <w:iCs/>
          <w:noProof/>
          <w:szCs w:val="24"/>
        </w:rPr>
        <w:t>Procedia - Social and Behavioral Sciences</w:t>
      </w:r>
      <w:r w:rsidRPr="004D74B5">
        <w:rPr>
          <w:rFonts w:ascii="Arial" w:hAnsi="Arial" w:cs="Arial"/>
          <w:noProof/>
          <w:szCs w:val="24"/>
        </w:rPr>
        <w:t xml:space="preserve">, </w:t>
      </w:r>
      <w:r w:rsidRPr="004D74B5">
        <w:rPr>
          <w:rFonts w:ascii="Arial" w:hAnsi="Arial" w:cs="Arial"/>
          <w:i/>
          <w:iCs/>
          <w:noProof/>
          <w:szCs w:val="24"/>
        </w:rPr>
        <w:t>119</w:t>
      </w:r>
      <w:r w:rsidRPr="004D74B5">
        <w:rPr>
          <w:rFonts w:ascii="Arial" w:hAnsi="Arial" w:cs="Arial"/>
          <w:noProof/>
          <w:szCs w:val="24"/>
        </w:rPr>
        <w:t>, 837–846. https://doi.org/10.1016/j.sbspro.2014.03.094</w:t>
      </w:r>
    </w:p>
    <w:p w14:paraId="400721DE"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Bandara, O., Vidanagamachchi, K., &amp; Wickramarachchi, R. (2019). </w:t>
      </w:r>
      <w:r w:rsidRPr="004D74B5">
        <w:rPr>
          <w:rFonts w:ascii="Arial" w:hAnsi="Arial" w:cs="Arial"/>
          <w:i/>
          <w:iCs/>
          <w:noProof/>
          <w:szCs w:val="24"/>
        </w:rPr>
        <w:t>A Model for Assessing Maturity of Industry 4 . 0 in the Banking Sector</w:t>
      </w:r>
      <w:r w:rsidRPr="004D74B5">
        <w:rPr>
          <w:rFonts w:ascii="Arial" w:hAnsi="Arial" w:cs="Arial"/>
          <w:noProof/>
          <w:szCs w:val="24"/>
        </w:rPr>
        <w:t xml:space="preserve">. </w:t>
      </w:r>
      <w:r w:rsidRPr="004D74B5">
        <w:rPr>
          <w:rFonts w:ascii="Arial" w:hAnsi="Arial" w:cs="Arial"/>
          <w:i/>
          <w:iCs/>
          <w:noProof/>
          <w:szCs w:val="24"/>
        </w:rPr>
        <w:t>March</w:t>
      </w:r>
      <w:r w:rsidRPr="004D74B5">
        <w:rPr>
          <w:rFonts w:ascii="Arial" w:hAnsi="Arial" w:cs="Arial"/>
          <w:noProof/>
          <w:szCs w:val="24"/>
        </w:rPr>
        <w:t>.</w:t>
      </w:r>
    </w:p>
    <w:p w14:paraId="6CAB285F"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Cao, G., Duan, Y., &amp; Edwards, J. S. (2025). Information &amp; Management Organizational culture , digital transformation , and product innovation. </w:t>
      </w:r>
      <w:r w:rsidRPr="004D74B5">
        <w:rPr>
          <w:rFonts w:ascii="Arial" w:hAnsi="Arial" w:cs="Arial"/>
          <w:i/>
          <w:iCs/>
          <w:noProof/>
          <w:szCs w:val="24"/>
        </w:rPr>
        <w:t>Information &amp; Management</w:t>
      </w:r>
      <w:r w:rsidRPr="004D74B5">
        <w:rPr>
          <w:rFonts w:ascii="Arial" w:hAnsi="Arial" w:cs="Arial"/>
          <w:noProof/>
          <w:szCs w:val="24"/>
        </w:rPr>
        <w:t xml:space="preserve">, </w:t>
      </w:r>
      <w:r w:rsidRPr="004D74B5">
        <w:rPr>
          <w:rFonts w:ascii="Arial" w:hAnsi="Arial" w:cs="Arial"/>
          <w:i/>
          <w:iCs/>
          <w:noProof/>
          <w:szCs w:val="24"/>
        </w:rPr>
        <w:t>62</w:t>
      </w:r>
      <w:r w:rsidRPr="004D74B5">
        <w:rPr>
          <w:rFonts w:ascii="Arial" w:hAnsi="Arial" w:cs="Arial"/>
          <w:noProof/>
          <w:szCs w:val="24"/>
        </w:rPr>
        <w:t>(4), 104135. https://doi.org/10.1016/j.im.2025.104135</w:t>
      </w:r>
    </w:p>
    <w:p w14:paraId="7D38C5D6"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Ciruskabiri, S. (2023). </w:t>
      </w:r>
      <w:r w:rsidRPr="004D74B5">
        <w:rPr>
          <w:rFonts w:ascii="Arial" w:hAnsi="Arial" w:cs="Arial"/>
          <w:i/>
          <w:iCs/>
          <w:noProof/>
          <w:szCs w:val="24"/>
        </w:rPr>
        <w:t>Digital Transformation Planning and Frameworks</w:t>
      </w:r>
      <w:r w:rsidRPr="004D74B5">
        <w:rPr>
          <w:rFonts w:ascii="Arial" w:hAnsi="Arial" w:cs="Arial"/>
          <w:noProof/>
          <w:szCs w:val="24"/>
        </w:rPr>
        <w:t xml:space="preserve">. </w:t>
      </w:r>
      <w:r w:rsidRPr="004D74B5">
        <w:rPr>
          <w:rFonts w:ascii="Arial" w:hAnsi="Arial" w:cs="Arial"/>
          <w:i/>
          <w:iCs/>
          <w:noProof/>
          <w:szCs w:val="24"/>
        </w:rPr>
        <w:t>4</w:t>
      </w:r>
      <w:r w:rsidRPr="004D74B5">
        <w:rPr>
          <w:rFonts w:ascii="Arial" w:hAnsi="Arial" w:cs="Arial"/>
          <w:noProof/>
          <w:szCs w:val="24"/>
        </w:rPr>
        <w:t>(7). https://doi.org/10.22054/dcm.2022.66880.1070</w:t>
      </w:r>
    </w:p>
    <w:p w14:paraId="060A905E"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Deep, G. (2023). </w:t>
      </w:r>
      <w:r w:rsidRPr="004D74B5">
        <w:rPr>
          <w:rFonts w:ascii="Arial" w:hAnsi="Arial" w:cs="Arial"/>
          <w:i/>
          <w:iCs/>
          <w:noProof/>
          <w:szCs w:val="24"/>
        </w:rPr>
        <w:t>Digital transformation ’ s impact on organizational culture</w:t>
      </w:r>
      <w:r w:rsidRPr="004D74B5">
        <w:rPr>
          <w:rFonts w:ascii="Arial" w:hAnsi="Arial" w:cs="Arial"/>
          <w:noProof/>
          <w:szCs w:val="24"/>
        </w:rPr>
        <w:t xml:space="preserve">. </w:t>
      </w:r>
      <w:r w:rsidRPr="004D74B5">
        <w:rPr>
          <w:rFonts w:ascii="Arial" w:hAnsi="Arial" w:cs="Arial"/>
          <w:i/>
          <w:iCs/>
          <w:noProof/>
          <w:szCs w:val="24"/>
        </w:rPr>
        <w:t>10</w:t>
      </w:r>
      <w:r w:rsidRPr="004D74B5">
        <w:rPr>
          <w:rFonts w:ascii="Arial" w:hAnsi="Arial" w:cs="Arial"/>
          <w:noProof/>
          <w:szCs w:val="24"/>
        </w:rPr>
        <w:t>(October), 396–401.</w:t>
      </w:r>
    </w:p>
    <w:p w14:paraId="5E510FBB"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Dindarian, K. (2023). </w:t>
      </w:r>
      <w:r w:rsidRPr="004D74B5">
        <w:rPr>
          <w:rFonts w:ascii="Arial" w:hAnsi="Arial" w:cs="Arial"/>
          <w:i/>
          <w:iCs/>
          <w:noProof/>
          <w:szCs w:val="24"/>
        </w:rPr>
        <w:t>Exploring enterprise resilience through the theoretical lens of complexity : a case study situated in the high value- manufacturing sector</w:t>
      </w:r>
      <w:r w:rsidRPr="004D74B5">
        <w:rPr>
          <w:rFonts w:ascii="Arial" w:hAnsi="Arial" w:cs="Arial"/>
          <w:noProof/>
          <w:szCs w:val="24"/>
        </w:rPr>
        <w:t xml:space="preserve"> (Issue August). https://doi.org/10.1007/978-3-031-29344-3</w:t>
      </w:r>
    </w:p>
    <w:p w14:paraId="66D571DE"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Felipe, L., Ramos, P., Freitas, E. De, Loures, R., Deschamps, F., Felipe, L., &amp; Deschamps, F. (2020). ScienceDirect ScienceDirect ScienceDirect An Analysis of Maturity Models and Current State Assessment of An Analysis of Maturity Models and Current State Assessment of Organizations for Industry 4 . 0 Implementation Organizations for Industry 4 . 0 Implementation. </w:t>
      </w:r>
      <w:r w:rsidRPr="004D74B5">
        <w:rPr>
          <w:rFonts w:ascii="Arial" w:hAnsi="Arial" w:cs="Arial"/>
          <w:i/>
          <w:iCs/>
          <w:noProof/>
          <w:szCs w:val="24"/>
        </w:rPr>
        <w:t>Procedia Manufacturing</w:t>
      </w:r>
      <w:r w:rsidRPr="004D74B5">
        <w:rPr>
          <w:rFonts w:ascii="Arial" w:hAnsi="Arial" w:cs="Arial"/>
          <w:noProof/>
          <w:szCs w:val="24"/>
        </w:rPr>
        <w:t xml:space="preserve">, </w:t>
      </w:r>
      <w:r w:rsidRPr="004D74B5">
        <w:rPr>
          <w:rFonts w:ascii="Arial" w:hAnsi="Arial" w:cs="Arial"/>
          <w:i/>
          <w:iCs/>
          <w:noProof/>
          <w:szCs w:val="24"/>
        </w:rPr>
        <w:t>51</w:t>
      </w:r>
      <w:r w:rsidRPr="004D74B5">
        <w:rPr>
          <w:rFonts w:ascii="Arial" w:hAnsi="Arial" w:cs="Arial"/>
          <w:noProof/>
          <w:szCs w:val="24"/>
        </w:rPr>
        <w:t>, 1098–1105. https://doi.org/10.1016/j.promfg.2020.10.154</w:t>
      </w:r>
    </w:p>
    <w:p w14:paraId="257E31EF"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Flechsig, C., Hamann-lohmer, J., &amp; Lasch, R. (2022). </w:t>
      </w:r>
      <w:r w:rsidRPr="004D74B5">
        <w:rPr>
          <w:rFonts w:ascii="Arial" w:hAnsi="Arial" w:cs="Arial"/>
          <w:i/>
          <w:iCs/>
          <w:noProof/>
          <w:szCs w:val="24"/>
        </w:rPr>
        <w:t>BUSINESS PROCESS MATURITY MODEL FOR DIGITAL TRANSFORMATION : AN ACTION DESIGN RESEARCH STUDY ON THE INTEGRATION OF INFORMATION</w:t>
      </w:r>
      <w:r w:rsidRPr="004D74B5">
        <w:rPr>
          <w:rFonts w:ascii="Arial" w:hAnsi="Arial" w:cs="Arial"/>
          <w:noProof/>
          <w:szCs w:val="24"/>
        </w:rPr>
        <w:t xml:space="preserve">. </w:t>
      </w:r>
      <w:r w:rsidRPr="004D74B5">
        <w:rPr>
          <w:rFonts w:ascii="Arial" w:hAnsi="Arial" w:cs="Arial"/>
          <w:i/>
          <w:iCs/>
          <w:noProof/>
          <w:szCs w:val="24"/>
        </w:rPr>
        <w:t>August</w:t>
      </w:r>
      <w:r w:rsidRPr="004D74B5">
        <w:rPr>
          <w:rFonts w:ascii="Arial" w:hAnsi="Arial" w:cs="Arial"/>
          <w:noProof/>
          <w:szCs w:val="24"/>
        </w:rPr>
        <w:t>. https://doi.org/10.1142/S1363919622400126</w:t>
      </w:r>
    </w:p>
    <w:p w14:paraId="754E60F5"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Gökalp, E., &amp; Martinez, V. (2025). </w:t>
      </w:r>
      <w:r w:rsidRPr="004D74B5">
        <w:rPr>
          <w:rFonts w:ascii="Arial" w:hAnsi="Arial" w:cs="Arial"/>
          <w:i/>
          <w:iCs/>
          <w:noProof/>
          <w:szCs w:val="24"/>
        </w:rPr>
        <w:t>Digital transformation maturity assessment : development of the digital transformation capability maturity model</w:t>
      </w:r>
      <w:r w:rsidRPr="004D74B5">
        <w:rPr>
          <w:rFonts w:ascii="Arial" w:hAnsi="Arial" w:cs="Arial"/>
          <w:noProof/>
          <w:szCs w:val="24"/>
        </w:rPr>
        <w:t xml:space="preserve">. </w:t>
      </w:r>
      <w:r w:rsidRPr="004D74B5">
        <w:rPr>
          <w:rFonts w:ascii="Arial" w:hAnsi="Arial" w:cs="Arial"/>
          <w:i/>
          <w:iCs/>
          <w:noProof/>
          <w:szCs w:val="24"/>
        </w:rPr>
        <w:t>May</w:t>
      </w:r>
      <w:r w:rsidRPr="004D74B5">
        <w:rPr>
          <w:rFonts w:ascii="Arial" w:hAnsi="Arial" w:cs="Arial"/>
          <w:noProof/>
          <w:szCs w:val="24"/>
        </w:rPr>
        <w:t>. https://doi.org/10.1080/00207543.2021.1991020</w:t>
      </w:r>
    </w:p>
    <w:p w14:paraId="5AEA8D9D"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Haryanti, T., Rakhmawati, N. A., &amp; Subriadi, A. P. (2023). </w:t>
      </w:r>
      <w:r w:rsidRPr="004D74B5">
        <w:rPr>
          <w:rFonts w:ascii="Arial" w:hAnsi="Arial" w:cs="Arial"/>
          <w:i/>
          <w:iCs/>
          <w:noProof/>
          <w:szCs w:val="24"/>
        </w:rPr>
        <w:t>The Extended Digital Maturity Model</w:t>
      </w:r>
      <w:r w:rsidRPr="004D74B5">
        <w:rPr>
          <w:rFonts w:ascii="Arial" w:hAnsi="Arial" w:cs="Arial"/>
          <w:noProof/>
          <w:szCs w:val="24"/>
        </w:rPr>
        <w:t>. 1–24.</w:t>
      </w:r>
    </w:p>
    <w:p w14:paraId="7347AE8D"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Hassenstein, M. J., &amp; Vanella, P. (2022). Data Quality—Concepts and Problems. </w:t>
      </w:r>
      <w:r w:rsidRPr="004D74B5">
        <w:rPr>
          <w:rFonts w:ascii="Arial" w:hAnsi="Arial" w:cs="Arial"/>
          <w:i/>
          <w:iCs/>
          <w:noProof/>
          <w:szCs w:val="24"/>
        </w:rPr>
        <w:t>Encyclopedia</w:t>
      </w:r>
      <w:r w:rsidRPr="004D74B5">
        <w:rPr>
          <w:rFonts w:ascii="Arial" w:hAnsi="Arial" w:cs="Arial"/>
          <w:noProof/>
          <w:szCs w:val="24"/>
        </w:rPr>
        <w:t xml:space="preserve">, </w:t>
      </w:r>
      <w:r w:rsidRPr="004D74B5">
        <w:rPr>
          <w:rFonts w:ascii="Arial" w:hAnsi="Arial" w:cs="Arial"/>
          <w:i/>
          <w:iCs/>
          <w:noProof/>
          <w:szCs w:val="24"/>
        </w:rPr>
        <w:t>2</w:t>
      </w:r>
      <w:r w:rsidRPr="004D74B5">
        <w:rPr>
          <w:rFonts w:ascii="Arial" w:hAnsi="Arial" w:cs="Arial"/>
          <w:noProof/>
          <w:szCs w:val="24"/>
        </w:rPr>
        <w:t>(1), 498–510. https://doi.org/10.3390/encyclopedia2010032</w:t>
      </w:r>
    </w:p>
    <w:p w14:paraId="2000545B"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Jiao, H., Wang, T., Libaers, D., Yang, J., &amp; Hu, L. (2025). The relationship between digital technologies and innovation : A review , critique , and research agenda. </w:t>
      </w:r>
      <w:r w:rsidRPr="004D74B5">
        <w:rPr>
          <w:rFonts w:ascii="Arial" w:hAnsi="Arial" w:cs="Arial"/>
          <w:i/>
          <w:iCs/>
          <w:noProof/>
          <w:szCs w:val="24"/>
        </w:rPr>
        <w:t>Journal of Innovation &amp; Knowledge</w:t>
      </w:r>
      <w:r w:rsidRPr="004D74B5">
        <w:rPr>
          <w:rFonts w:ascii="Arial" w:hAnsi="Arial" w:cs="Arial"/>
          <w:noProof/>
          <w:szCs w:val="24"/>
        </w:rPr>
        <w:t xml:space="preserve">, </w:t>
      </w:r>
      <w:r w:rsidRPr="004D74B5">
        <w:rPr>
          <w:rFonts w:ascii="Arial" w:hAnsi="Arial" w:cs="Arial"/>
          <w:i/>
          <w:iCs/>
          <w:noProof/>
          <w:szCs w:val="24"/>
        </w:rPr>
        <w:t>10</w:t>
      </w:r>
      <w:r w:rsidRPr="004D74B5">
        <w:rPr>
          <w:rFonts w:ascii="Arial" w:hAnsi="Arial" w:cs="Arial"/>
          <w:noProof/>
          <w:szCs w:val="24"/>
        </w:rPr>
        <w:t>(1), 100638. https://doi.org/10.1016/j.jik.2024.100638</w:t>
      </w:r>
    </w:p>
    <w:p w14:paraId="47B0E7B9"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Jie, H., Mow, L., &amp; Lou, Y. (2025). Digital maturity , dynamic capabilities and innovation performance in high-tech SMEs. </w:t>
      </w:r>
      <w:r w:rsidRPr="004D74B5">
        <w:rPr>
          <w:rFonts w:ascii="Arial" w:hAnsi="Arial" w:cs="Arial"/>
          <w:i/>
          <w:iCs/>
          <w:noProof/>
          <w:szCs w:val="24"/>
        </w:rPr>
        <w:t>International Review of Economics and Finance</w:t>
      </w:r>
      <w:r w:rsidRPr="004D74B5">
        <w:rPr>
          <w:rFonts w:ascii="Arial" w:hAnsi="Arial" w:cs="Arial"/>
          <w:noProof/>
          <w:szCs w:val="24"/>
        </w:rPr>
        <w:t xml:space="preserve">, </w:t>
      </w:r>
      <w:r w:rsidRPr="004D74B5">
        <w:rPr>
          <w:rFonts w:ascii="Arial" w:hAnsi="Arial" w:cs="Arial"/>
          <w:i/>
          <w:iCs/>
          <w:noProof/>
          <w:szCs w:val="24"/>
        </w:rPr>
        <w:t>99</w:t>
      </w:r>
      <w:r w:rsidRPr="004D74B5">
        <w:rPr>
          <w:rFonts w:ascii="Arial" w:hAnsi="Arial" w:cs="Arial"/>
          <w:noProof/>
          <w:szCs w:val="24"/>
        </w:rPr>
        <w:t>(November 2024), 103971. https://doi.org/10.1016/j.iref.2025.103971</w:t>
      </w:r>
    </w:p>
    <w:p w14:paraId="68B674AE"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Lee, K., Song, Y., Park, M., &amp; Yoon, B. (2024). </w:t>
      </w:r>
      <w:r w:rsidRPr="004D74B5">
        <w:rPr>
          <w:rFonts w:ascii="Arial" w:hAnsi="Arial" w:cs="Arial"/>
          <w:i/>
          <w:iCs/>
          <w:noProof/>
          <w:szCs w:val="24"/>
        </w:rPr>
        <w:t xml:space="preserve">Development of Digital Transformation Maturity Assessment Model for </w:t>
      </w:r>
      <w:r w:rsidRPr="004D74B5">
        <w:rPr>
          <w:rFonts w:ascii="Arial" w:hAnsi="Arial" w:cs="Arial"/>
          <w:i/>
          <w:iCs/>
          <w:noProof/>
          <w:szCs w:val="24"/>
        </w:rPr>
        <w:lastRenderedPageBreak/>
        <w:t>Collaborative Factory Involving Multiple Companies</w:t>
      </w:r>
      <w:r w:rsidRPr="004D74B5">
        <w:rPr>
          <w:rFonts w:ascii="Arial" w:hAnsi="Arial" w:cs="Arial"/>
          <w:noProof/>
          <w:szCs w:val="24"/>
        </w:rPr>
        <w:t>.</w:t>
      </w:r>
    </w:p>
    <w:p w14:paraId="3AA71433"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Marçal, M., &amp; Pinto, A. (2024). </w:t>
      </w:r>
      <w:r w:rsidRPr="004D74B5">
        <w:rPr>
          <w:rFonts w:ascii="Arial" w:hAnsi="Arial" w:cs="Arial"/>
          <w:i/>
          <w:iCs/>
          <w:noProof/>
          <w:szCs w:val="24"/>
        </w:rPr>
        <w:t>Sustainable Digital Transformation Roadmaps for SMEs : A Systematic Literature Review</w:t>
      </w:r>
      <w:r w:rsidRPr="004D74B5">
        <w:rPr>
          <w:rFonts w:ascii="Arial" w:hAnsi="Arial" w:cs="Arial"/>
          <w:noProof/>
          <w:szCs w:val="24"/>
        </w:rPr>
        <w:t>.</w:t>
      </w:r>
    </w:p>
    <w:p w14:paraId="36BEABF7"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Mettler, T., &amp; Ballester, O. (2021). </w:t>
      </w:r>
      <w:r w:rsidRPr="004D74B5">
        <w:rPr>
          <w:rFonts w:ascii="Arial" w:hAnsi="Arial" w:cs="Arial"/>
          <w:i/>
          <w:iCs/>
          <w:noProof/>
          <w:szCs w:val="24"/>
        </w:rPr>
        <w:t>Maturity Models in Information Systems : A Review and Extension of Existing Guidelines</w:t>
      </w:r>
      <w:r w:rsidRPr="004D74B5">
        <w:rPr>
          <w:rFonts w:ascii="Arial" w:hAnsi="Arial" w:cs="Arial"/>
          <w:noProof/>
          <w:szCs w:val="24"/>
        </w:rPr>
        <w:t xml:space="preserve">. </w:t>
      </w:r>
      <w:r w:rsidRPr="004D74B5">
        <w:rPr>
          <w:rFonts w:ascii="Arial" w:hAnsi="Arial" w:cs="Arial"/>
          <w:i/>
          <w:iCs/>
          <w:noProof/>
          <w:szCs w:val="24"/>
        </w:rPr>
        <w:t>2017</w:t>
      </w:r>
      <w:r w:rsidRPr="004D74B5">
        <w:rPr>
          <w:rFonts w:ascii="Arial" w:hAnsi="Arial" w:cs="Arial"/>
          <w:noProof/>
          <w:szCs w:val="24"/>
        </w:rPr>
        <w:t>, 1–16.</w:t>
      </w:r>
    </w:p>
    <w:p w14:paraId="4BD7E87D"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Moghaddam, S. S. (2024). </w:t>
      </w:r>
      <w:r w:rsidRPr="004D74B5">
        <w:rPr>
          <w:rFonts w:ascii="Arial" w:hAnsi="Arial" w:cs="Arial"/>
          <w:i/>
          <w:iCs/>
          <w:noProof/>
          <w:szCs w:val="24"/>
        </w:rPr>
        <w:t>The Past , Present , and Future of the Internet : A Statistical , Technical , and Functional Comparison of Wired / Wireless Fixed / Mobile Internet</w:t>
      </w:r>
      <w:r w:rsidRPr="004D74B5">
        <w:rPr>
          <w:rFonts w:ascii="Arial" w:hAnsi="Arial" w:cs="Arial"/>
          <w:noProof/>
          <w:szCs w:val="24"/>
        </w:rPr>
        <w:t>.</w:t>
      </w:r>
    </w:p>
    <w:p w14:paraId="34FEE15F"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Mori, Z. (2024). </w:t>
      </w:r>
      <w:r w:rsidRPr="004D74B5">
        <w:rPr>
          <w:rFonts w:ascii="Arial" w:hAnsi="Arial" w:cs="Arial"/>
          <w:i/>
          <w:iCs/>
          <w:noProof/>
          <w:szCs w:val="24"/>
        </w:rPr>
        <w:t>Protection of Personal Data in the Context of E-Commerce</w:t>
      </w:r>
      <w:r w:rsidRPr="004D74B5">
        <w:rPr>
          <w:rFonts w:ascii="Arial" w:hAnsi="Arial" w:cs="Arial"/>
          <w:noProof/>
          <w:szCs w:val="24"/>
        </w:rPr>
        <w:t xml:space="preserve">. </w:t>
      </w:r>
      <w:r w:rsidRPr="004D74B5">
        <w:rPr>
          <w:rFonts w:ascii="Arial" w:hAnsi="Arial" w:cs="Arial"/>
          <w:i/>
          <w:iCs/>
          <w:noProof/>
          <w:szCs w:val="24"/>
        </w:rPr>
        <w:t>September 2023</w:t>
      </w:r>
      <w:r w:rsidRPr="004D74B5">
        <w:rPr>
          <w:rFonts w:ascii="Arial" w:hAnsi="Arial" w:cs="Arial"/>
          <w:noProof/>
          <w:szCs w:val="24"/>
        </w:rPr>
        <w:t>, 731–761.</w:t>
      </w:r>
    </w:p>
    <w:p w14:paraId="3118CACF"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Nikita, N. A., Azim, K. S., Jafor, A. H. M., Shayed, A. U., Hossain, M. A., &amp; Khan, O. U. (2024). </w:t>
      </w:r>
      <w:r w:rsidRPr="004D74B5">
        <w:rPr>
          <w:rFonts w:ascii="Arial" w:hAnsi="Arial" w:cs="Arial"/>
          <w:i/>
          <w:iCs/>
          <w:noProof/>
          <w:szCs w:val="24"/>
        </w:rPr>
        <w:t>Digital Transformation in Non-Profit Organizations : Strategies , Challenges , and Successes</w:t>
      </w:r>
      <w:r w:rsidRPr="004D74B5">
        <w:rPr>
          <w:rFonts w:ascii="Arial" w:hAnsi="Arial" w:cs="Arial"/>
          <w:noProof/>
          <w:szCs w:val="24"/>
        </w:rPr>
        <w:t xml:space="preserve">. </w:t>
      </w:r>
      <w:r w:rsidRPr="004D74B5">
        <w:rPr>
          <w:rFonts w:ascii="Arial" w:hAnsi="Arial" w:cs="Arial"/>
          <w:i/>
          <w:iCs/>
          <w:noProof/>
          <w:szCs w:val="24"/>
        </w:rPr>
        <w:t>2</w:t>
      </w:r>
      <w:r w:rsidRPr="004D74B5">
        <w:rPr>
          <w:rFonts w:ascii="Arial" w:hAnsi="Arial" w:cs="Arial"/>
          <w:noProof/>
          <w:szCs w:val="24"/>
        </w:rPr>
        <w:t>(5), 1–21. https://doi.org/10.62127/aijmr.2024.v02i05.1097</w:t>
      </w:r>
    </w:p>
    <w:p w14:paraId="1F29441D"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Pelser, T., &amp; Gaffley, G. (2021). </w:t>
      </w:r>
      <w:r w:rsidRPr="004D74B5">
        <w:rPr>
          <w:rFonts w:ascii="Arial" w:hAnsi="Arial" w:cs="Arial"/>
          <w:i/>
          <w:iCs/>
          <w:noProof/>
          <w:szCs w:val="24"/>
        </w:rPr>
        <w:t>Promoting Inclusive Growth in the Fourth Industrial Revolution</w:t>
      </w:r>
      <w:r w:rsidRPr="004D74B5">
        <w:rPr>
          <w:rFonts w:ascii="Arial" w:hAnsi="Arial" w:cs="Arial"/>
          <w:noProof/>
          <w:szCs w:val="24"/>
        </w:rPr>
        <w:t xml:space="preserve"> (Issue July). https://doi.org/10.4018/978-1-7998-4882-0.ch001</w:t>
      </w:r>
    </w:p>
    <w:p w14:paraId="0D26C901"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Peng, Y., Ahmad, S. F., Irshad, M., Al-Razgan, M., Ali, Y. A., &amp; Awwad, E. M. (2023). Impact of Digitalization on Process Optimization and Decision-Making towards Sustainability: The Moderating Role of Environmental Regulation. </w:t>
      </w:r>
      <w:r w:rsidRPr="004D74B5">
        <w:rPr>
          <w:rFonts w:ascii="Arial" w:hAnsi="Arial" w:cs="Arial"/>
          <w:i/>
          <w:iCs/>
          <w:noProof/>
          <w:szCs w:val="24"/>
        </w:rPr>
        <w:t>Sustainability</w:t>
      </w:r>
      <w:r w:rsidRPr="004D74B5">
        <w:rPr>
          <w:rFonts w:ascii="Arial" w:hAnsi="Arial" w:cs="Arial"/>
          <w:noProof/>
          <w:szCs w:val="24"/>
        </w:rPr>
        <w:t xml:space="preserve">, </w:t>
      </w:r>
      <w:r w:rsidRPr="004D74B5">
        <w:rPr>
          <w:rFonts w:ascii="Arial" w:hAnsi="Arial" w:cs="Arial"/>
          <w:i/>
          <w:iCs/>
          <w:noProof/>
          <w:szCs w:val="24"/>
        </w:rPr>
        <w:t>15</w:t>
      </w:r>
      <w:r w:rsidRPr="004D74B5">
        <w:rPr>
          <w:rFonts w:ascii="Arial" w:hAnsi="Arial" w:cs="Arial"/>
          <w:noProof/>
          <w:szCs w:val="24"/>
        </w:rPr>
        <w:t>(20), 15156. https://doi.org/10.3390/su152015156</w:t>
      </w:r>
    </w:p>
    <w:p w14:paraId="23F9F53F"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Plekhanov, D., Franke, H., &amp; Netland, T. H. (2023). Digital transformation: A review and research agenda. </w:t>
      </w:r>
      <w:r w:rsidRPr="004D74B5">
        <w:rPr>
          <w:rFonts w:ascii="Arial" w:hAnsi="Arial" w:cs="Arial"/>
          <w:i/>
          <w:iCs/>
          <w:noProof/>
          <w:szCs w:val="24"/>
        </w:rPr>
        <w:t>European Management Journal</w:t>
      </w:r>
      <w:r w:rsidRPr="004D74B5">
        <w:rPr>
          <w:rFonts w:ascii="Arial" w:hAnsi="Arial" w:cs="Arial"/>
          <w:noProof/>
          <w:szCs w:val="24"/>
        </w:rPr>
        <w:t xml:space="preserve">, </w:t>
      </w:r>
      <w:r w:rsidRPr="004D74B5">
        <w:rPr>
          <w:rFonts w:ascii="Arial" w:hAnsi="Arial" w:cs="Arial"/>
          <w:i/>
          <w:iCs/>
          <w:noProof/>
          <w:szCs w:val="24"/>
        </w:rPr>
        <w:t>41</w:t>
      </w:r>
      <w:r w:rsidRPr="004D74B5">
        <w:rPr>
          <w:rFonts w:ascii="Arial" w:hAnsi="Arial" w:cs="Arial"/>
          <w:noProof/>
          <w:szCs w:val="24"/>
        </w:rPr>
        <w:t>(6), 821–844. https://doi.org/10.1016/j.emj.2022.09.007</w:t>
      </w:r>
    </w:p>
    <w:p w14:paraId="4742291C"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Röper, J., &amp; Röper, J. (2023). </w:t>
      </w:r>
      <w:r w:rsidRPr="004D74B5">
        <w:rPr>
          <w:rFonts w:ascii="Arial" w:hAnsi="Arial" w:cs="Arial"/>
          <w:i/>
          <w:iCs/>
          <w:noProof/>
          <w:szCs w:val="24"/>
        </w:rPr>
        <w:t>Boosting Outcome-Based Business Models – The Role of the Consulting Industry A case study at Capgemini Invent</w:t>
      </w:r>
      <w:r w:rsidRPr="004D74B5">
        <w:rPr>
          <w:rFonts w:ascii="Arial" w:hAnsi="Arial" w:cs="Arial"/>
          <w:noProof/>
          <w:szCs w:val="24"/>
        </w:rPr>
        <w:t>.</w:t>
      </w:r>
    </w:p>
    <w:p w14:paraId="502FEBFD"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Rossmann, A. (2020). </w:t>
      </w:r>
      <w:r w:rsidRPr="004D74B5">
        <w:rPr>
          <w:rFonts w:ascii="Arial" w:hAnsi="Arial" w:cs="Arial"/>
          <w:i/>
          <w:iCs/>
          <w:noProof/>
          <w:szCs w:val="24"/>
        </w:rPr>
        <w:t>Digital Maturity : Conceptualization and Measurement Model Digital Maturity : Conceptualization and Measurement Model</w:t>
      </w:r>
      <w:r w:rsidRPr="004D74B5">
        <w:rPr>
          <w:rFonts w:ascii="Arial" w:hAnsi="Arial" w:cs="Arial"/>
          <w:noProof/>
          <w:szCs w:val="24"/>
        </w:rPr>
        <w:t xml:space="preserve">. </w:t>
      </w:r>
      <w:r w:rsidRPr="004D74B5">
        <w:rPr>
          <w:rFonts w:ascii="Arial" w:hAnsi="Arial" w:cs="Arial"/>
          <w:i/>
          <w:iCs/>
          <w:noProof/>
          <w:szCs w:val="24"/>
        </w:rPr>
        <w:t>November</w:t>
      </w:r>
      <w:r w:rsidRPr="004D74B5">
        <w:rPr>
          <w:rFonts w:ascii="Arial" w:hAnsi="Arial" w:cs="Arial"/>
          <w:noProof/>
          <w:szCs w:val="24"/>
        </w:rPr>
        <w:t>.</w:t>
      </w:r>
    </w:p>
    <w:p w14:paraId="597D3A6D"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Rubio, M., Jorge, A., Langreo, L., &amp; Gutiérrez, S. (2025). Tackling digital transformation strategy : how it affects firm innovation and organizational effectiveness. </w:t>
      </w:r>
      <w:r w:rsidRPr="004D74B5">
        <w:rPr>
          <w:rFonts w:ascii="Arial" w:hAnsi="Arial" w:cs="Arial"/>
          <w:i/>
          <w:iCs/>
          <w:noProof/>
          <w:szCs w:val="24"/>
        </w:rPr>
        <w:t>The Journal of Technology Transfer</w:t>
      </w:r>
      <w:r w:rsidRPr="004D74B5">
        <w:rPr>
          <w:rFonts w:ascii="Arial" w:hAnsi="Arial" w:cs="Arial"/>
          <w:noProof/>
          <w:szCs w:val="24"/>
        </w:rPr>
        <w:t xml:space="preserve">, </w:t>
      </w:r>
      <w:r w:rsidRPr="004D74B5">
        <w:rPr>
          <w:rFonts w:ascii="Arial" w:hAnsi="Arial" w:cs="Arial"/>
          <w:i/>
          <w:iCs/>
          <w:noProof/>
          <w:szCs w:val="24"/>
        </w:rPr>
        <w:t>50</w:t>
      </w:r>
      <w:r w:rsidRPr="004D74B5">
        <w:rPr>
          <w:rFonts w:ascii="Arial" w:hAnsi="Arial" w:cs="Arial"/>
          <w:noProof/>
          <w:szCs w:val="24"/>
        </w:rPr>
        <w:t>(5), 1893–1918. https://doi.org/10.1007/s10961-024-10164-9</w:t>
      </w:r>
    </w:p>
    <w:p w14:paraId="3437488E"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Sacavém, A., Machado, A. D. B., &amp; Palma-moreira, A. (2025). </w:t>
      </w:r>
      <w:r w:rsidRPr="004D74B5">
        <w:rPr>
          <w:rFonts w:ascii="Arial" w:hAnsi="Arial" w:cs="Arial"/>
          <w:i/>
          <w:iCs/>
          <w:noProof/>
          <w:szCs w:val="24"/>
        </w:rPr>
        <w:t>Leading in the Digital Age : The Role of Leadership in Organizational Digital Transformation</w:t>
      </w:r>
      <w:r w:rsidRPr="004D74B5">
        <w:rPr>
          <w:rFonts w:ascii="Arial" w:hAnsi="Arial" w:cs="Arial"/>
          <w:noProof/>
          <w:szCs w:val="24"/>
        </w:rPr>
        <w:t>. 1–21.</w:t>
      </w:r>
    </w:p>
    <w:p w14:paraId="47E74B13"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Schilirò, D. (2024). </w:t>
      </w:r>
      <w:r w:rsidRPr="004D74B5">
        <w:rPr>
          <w:rFonts w:ascii="Arial" w:hAnsi="Arial" w:cs="Arial"/>
          <w:i/>
          <w:iCs/>
          <w:noProof/>
          <w:szCs w:val="24"/>
        </w:rPr>
        <w:t>Digital Transformation and its Impact on Organizations</w:t>
      </w:r>
      <w:r w:rsidRPr="004D74B5">
        <w:rPr>
          <w:rFonts w:ascii="Arial" w:hAnsi="Arial" w:cs="Arial"/>
          <w:noProof/>
          <w:szCs w:val="24"/>
        </w:rPr>
        <w:t xml:space="preserve">. </w:t>
      </w:r>
      <w:r w:rsidRPr="004D74B5">
        <w:rPr>
          <w:rFonts w:ascii="Arial" w:hAnsi="Arial" w:cs="Arial"/>
          <w:i/>
          <w:iCs/>
          <w:noProof/>
          <w:szCs w:val="24"/>
        </w:rPr>
        <w:t>19</w:t>
      </w:r>
      <w:r w:rsidRPr="004D74B5">
        <w:rPr>
          <w:rFonts w:ascii="Arial" w:hAnsi="Arial" w:cs="Arial"/>
          <w:noProof/>
          <w:szCs w:val="24"/>
        </w:rPr>
        <w:t>(6), 71–81. https://doi.org/10.5539/ijbm.v19n6p71</w:t>
      </w:r>
    </w:p>
    <w:p w14:paraId="0F37E96D"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Teichert, R. (2019). </w:t>
      </w:r>
      <w:r w:rsidRPr="004D74B5">
        <w:rPr>
          <w:rFonts w:ascii="Arial" w:hAnsi="Arial" w:cs="Arial"/>
          <w:i/>
          <w:iCs/>
          <w:noProof/>
          <w:szCs w:val="24"/>
        </w:rPr>
        <w:t>DIGITAL TRANSFORMATION MATURITY : A SYSTEMATIC REVIEW OF LITERATURE</w:t>
      </w:r>
      <w:r w:rsidRPr="004D74B5">
        <w:rPr>
          <w:rFonts w:ascii="Arial" w:hAnsi="Arial" w:cs="Arial"/>
          <w:noProof/>
          <w:szCs w:val="24"/>
        </w:rPr>
        <w:t xml:space="preserve">. </w:t>
      </w:r>
      <w:r w:rsidRPr="004D74B5">
        <w:rPr>
          <w:rFonts w:ascii="Arial" w:hAnsi="Arial" w:cs="Arial"/>
          <w:i/>
          <w:iCs/>
          <w:noProof/>
          <w:szCs w:val="24"/>
        </w:rPr>
        <w:t>67</w:t>
      </w:r>
      <w:r w:rsidRPr="004D74B5">
        <w:rPr>
          <w:rFonts w:ascii="Arial" w:hAnsi="Arial" w:cs="Arial"/>
          <w:noProof/>
          <w:szCs w:val="24"/>
        </w:rPr>
        <w:t>(6), 1673–1687.</w:t>
      </w:r>
    </w:p>
    <w:p w14:paraId="6F02C60C"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Tubis, A. A. (2023). </w:t>
      </w:r>
      <w:r w:rsidRPr="004D74B5">
        <w:rPr>
          <w:rFonts w:ascii="Arial" w:hAnsi="Arial" w:cs="Arial"/>
          <w:i/>
          <w:iCs/>
          <w:noProof/>
          <w:szCs w:val="24"/>
        </w:rPr>
        <w:t>Digital Maturity Assessment Model for the Organizational and Process Dimensions</w:t>
      </w:r>
      <w:r w:rsidRPr="004D74B5">
        <w:rPr>
          <w:rFonts w:ascii="Arial" w:hAnsi="Arial" w:cs="Arial"/>
          <w:noProof/>
          <w:szCs w:val="24"/>
        </w:rPr>
        <w:t>.</w:t>
      </w:r>
    </w:p>
    <w:p w14:paraId="5874B730"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Ustundag, A. (n.d.). </w:t>
      </w:r>
      <w:r w:rsidRPr="004D74B5">
        <w:rPr>
          <w:rFonts w:ascii="Arial" w:hAnsi="Arial" w:cs="Arial"/>
          <w:i/>
          <w:iCs/>
          <w:noProof/>
          <w:szCs w:val="24"/>
        </w:rPr>
        <w:t>Managing The Digital Transformation</w:t>
      </w:r>
      <w:r w:rsidRPr="004D74B5">
        <w:rPr>
          <w:rFonts w:ascii="Arial" w:hAnsi="Arial" w:cs="Arial"/>
          <w:noProof/>
          <w:szCs w:val="24"/>
        </w:rPr>
        <w:t>.</w:t>
      </w:r>
    </w:p>
    <w:p w14:paraId="10A49DF5"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Vărzaru, A. A., &amp; Bocean, C. G. (2024). Digital Transformation and Innovation: The Influence of Digital Technologies on Turnover from Innovation Activities and Types of Innovation. </w:t>
      </w:r>
      <w:r w:rsidRPr="004D74B5">
        <w:rPr>
          <w:rFonts w:ascii="Arial" w:hAnsi="Arial" w:cs="Arial"/>
          <w:i/>
          <w:iCs/>
          <w:noProof/>
          <w:szCs w:val="24"/>
        </w:rPr>
        <w:t>Systems</w:t>
      </w:r>
      <w:r w:rsidRPr="004D74B5">
        <w:rPr>
          <w:rFonts w:ascii="Arial" w:hAnsi="Arial" w:cs="Arial"/>
          <w:noProof/>
          <w:szCs w:val="24"/>
        </w:rPr>
        <w:t xml:space="preserve">, </w:t>
      </w:r>
      <w:r w:rsidRPr="004D74B5">
        <w:rPr>
          <w:rFonts w:ascii="Arial" w:hAnsi="Arial" w:cs="Arial"/>
          <w:i/>
          <w:iCs/>
          <w:noProof/>
          <w:szCs w:val="24"/>
        </w:rPr>
        <w:t>12</w:t>
      </w:r>
      <w:r w:rsidRPr="004D74B5">
        <w:rPr>
          <w:rFonts w:ascii="Arial" w:hAnsi="Arial" w:cs="Arial"/>
          <w:noProof/>
          <w:szCs w:val="24"/>
        </w:rPr>
        <w:t>(9), 359. https://www.mdpi.com/2079-8954/12/9/359</w:t>
      </w:r>
    </w:p>
    <w:p w14:paraId="164C7A9A"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Verhoef, P. C., Broekhuizen, T., Bart, Y., Bhattacharya, A., Qi Dong, J., Fabian, N., &amp; Haenlein, M. (2021). Digital transformation: A multidisciplinary reflection and research agenda. </w:t>
      </w:r>
      <w:r w:rsidRPr="004D74B5">
        <w:rPr>
          <w:rFonts w:ascii="Arial" w:hAnsi="Arial" w:cs="Arial"/>
          <w:i/>
          <w:iCs/>
          <w:noProof/>
          <w:szCs w:val="24"/>
        </w:rPr>
        <w:t>Journal of Business Research</w:t>
      </w:r>
      <w:r w:rsidRPr="004D74B5">
        <w:rPr>
          <w:rFonts w:ascii="Arial" w:hAnsi="Arial" w:cs="Arial"/>
          <w:noProof/>
          <w:szCs w:val="24"/>
        </w:rPr>
        <w:t xml:space="preserve">, </w:t>
      </w:r>
      <w:r w:rsidRPr="004D74B5">
        <w:rPr>
          <w:rFonts w:ascii="Arial" w:hAnsi="Arial" w:cs="Arial"/>
          <w:i/>
          <w:iCs/>
          <w:noProof/>
          <w:szCs w:val="24"/>
        </w:rPr>
        <w:t>122</w:t>
      </w:r>
      <w:r w:rsidRPr="004D74B5">
        <w:rPr>
          <w:rFonts w:ascii="Arial" w:hAnsi="Arial" w:cs="Arial"/>
          <w:noProof/>
          <w:szCs w:val="24"/>
        </w:rPr>
        <w:t>(July 2018), 889–901. https://doi.org/10.1016/j.jbusres.2019.09.022</w:t>
      </w:r>
    </w:p>
    <w:p w14:paraId="0F081B13" w14:textId="77777777" w:rsidR="004D74B5" w:rsidRPr="004D74B5" w:rsidRDefault="004D74B5" w:rsidP="00B90543">
      <w:pPr>
        <w:widowControl w:val="0"/>
        <w:autoSpaceDE w:val="0"/>
        <w:autoSpaceDN w:val="0"/>
        <w:adjustRightInd w:val="0"/>
        <w:ind w:left="480" w:hanging="480"/>
        <w:jc w:val="left"/>
        <w:rPr>
          <w:rFonts w:ascii="Arial" w:hAnsi="Arial" w:cs="Arial"/>
          <w:noProof/>
        </w:rPr>
      </w:pPr>
      <w:r w:rsidRPr="004D74B5">
        <w:rPr>
          <w:rFonts w:ascii="Arial" w:hAnsi="Arial" w:cs="Arial"/>
          <w:noProof/>
          <w:szCs w:val="24"/>
        </w:rPr>
        <w:t xml:space="preserve">Westergren, U. H., Viktor, M., &amp; Jadaan, T. (2024). </w:t>
      </w:r>
      <w:r w:rsidRPr="004D74B5">
        <w:rPr>
          <w:rFonts w:ascii="Arial" w:hAnsi="Arial" w:cs="Arial"/>
          <w:i/>
          <w:iCs/>
          <w:noProof/>
          <w:szCs w:val="24"/>
        </w:rPr>
        <w:t>Information &amp; Management Enabling digital transformation : Organizational implementation of the internet of things</w:t>
      </w:r>
      <w:r w:rsidRPr="004D74B5">
        <w:rPr>
          <w:rFonts w:ascii="Arial" w:hAnsi="Arial" w:cs="Arial"/>
          <w:noProof/>
          <w:szCs w:val="24"/>
        </w:rPr>
        <w:t xml:space="preserve">. </w:t>
      </w:r>
      <w:r w:rsidRPr="004D74B5">
        <w:rPr>
          <w:rFonts w:ascii="Arial" w:hAnsi="Arial" w:cs="Arial"/>
          <w:i/>
          <w:iCs/>
          <w:noProof/>
          <w:szCs w:val="24"/>
        </w:rPr>
        <w:t>61</w:t>
      </w:r>
      <w:r w:rsidRPr="004D74B5">
        <w:rPr>
          <w:rFonts w:ascii="Arial" w:hAnsi="Arial" w:cs="Arial"/>
          <w:noProof/>
          <w:szCs w:val="24"/>
        </w:rPr>
        <w:t>(February 2023). https://doi.org/10.1016/j.im.2024.103996</w:t>
      </w:r>
    </w:p>
    <w:p w14:paraId="7BCD60FC" w14:textId="1A55F529" w:rsidR="00425F31" w:rsidRPr="00425F31" w:rsidRDefault="006C4067" w:rsidP="00B90543">
      <w:pPr>
        <w:jc w:val="left"/>
        <w:rPr>
          <w:b/>
          <w:bCs/>
        </w:rPr>
      </w:pPr>
      <w:r w:rsidRPr="00FA55C8">
        <w:rPr>
          <w:rFonts w:asciiTheme="minorBidi" w:hAnsiTheme="minorBidi" w:cstheme="minorBidi"/>
          <w:b/>
          <w:bCs/>
        </w:rPr>
        <w:fldChar w:fldCharType="end"/>
      </w:r>
    </w:p>
    <w:sectPr w:rsidR="00425F31" w:rsidRPr="00425F31" w:rsidSect="00485C55">
      <w:headerReference w:type="even" r:id="rId11"/>
      <w:headerReference w:type="default" r:id="rId12"/>
      <w:footerReference w:type="even" r:id="rId13"/>
      <w:footerReference w:type="default" r:id="rId14"/>
      <w:headerReference w:type="first" r:id="rId15"/>
      <w:footerReference w:type="first" r:id="rId16"/>
      <w:pgSz w:w="12240" w:h="15840" w:code="1"/>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6FCFA" w14:textId="77777777" w:rsidR="00520C61" w:rsidRDefault="00520C61">
      <w:r>
        <w:separator/>
      </w:r>
    </w:p>
  </w:endnote>
  <w:endnote w:type="continuationSeparator" w:id="0">
    <w:p w14:paraId="3B500E2B" w14:textId="77777777" w:rsidR="00520C61" w:rsidRDefault="00520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CCFAD" w14:textId="77777777" w:rsidR="00BC5C8E" w:rsidRDefault="00BC5C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78E37" w14:textId="4D047B41" w:rsidR="009F58E1" w:rsidRDefault="009F58E1" w:rsidP="00C10BA5">
    <w:pPr>
      <w:pStyle w:val="Footer"/>
      <w:pBdr>
        <w:top w:val="single" w:sz="4" w:space="1" w:color="D9D9D9"/>
      </w:pBdr>
      <w:jc w:val="right"/>
    </w:pPr>
    <w:r>
      <w:fldChar w:fldCharType="begin"/>
    </w:r>
    <w:r>
      <w:instrText xml:space="preserve"> PAGE   \* MERGEFORMAT </w:instrText>
    </w:r>
    <w:r>
      <w:fldChar w:fldCharType="separate"/>
    </w:r>
    <w:r w:rsidR="000B0DEF">
      <w:rPr>
        <w:noProof/>
      </w:rPr>
      <w:t>13</w:t>
    </w:r>
    <w:r>
      <w:rPr>
        <w:noProof/>
      </w:rPr>
      <w:fldChar w:fldCharType="end"/>
    </w:r>
    <w:r>
      <w:t xml:space="preserve"> | </w:t>
    </w:r>
    <w:r w:rsidRPr="00C3386E">
      <w:rPr>
        <w:color w:val="808080"/>
        <w:spacing w:val="60"/>
      </w:rPr>
      <w:t>Page</w:t>
    </w:r>
  </w:p>
  <w:p w14:paraId="5EB7B4F9" w14:textId="2A7E7521" w:rsidR="009F58E1" w:rsidRDefault="009F58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2A5B2" w14:textId="77777777" w:rsidR="00BC5C8E" w:rsidRDefault="00BC5C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15A605" w14:textId="77777777" w:rsidR="00520C61" w:rsidRDefault="00520C61">
      <w:r>
        <w:separator/>
      </w:r>
    </w:p>
  </w:footnote>
  <w:footnote w:type="continuationSeparator" w:id="0">
    <w:p w14:paraId="73C26A1B" w14:textId="77777777" w:rsidR="00520C61" w:rsidRDefault="00520C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602C8" w14:textId="7C441441" w:rsidR="00BC5C8E" w:rsidRDefault="00BC5C8E">
    <w:pPr>
      <w:pStyle w:val="Header"/>
    </w:pPr>
    <w:r>
      <w:rPr>
        <w:noProof/>
      </w:rPr>
      <w:pict w14:anchorId="06BF84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202454" o:spid="_x0000_s2050" type="#_x0000_t136" style="position:absolute;left:0;text-align:left;margin-left:0;margin-top:0;width:663.25pt;height:73.6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7C251" w14:textId="7186D3ED" w:rsidR="009F58E1" w:rsidRPr="00B208C8" w:rsidRDefault="00BC5C8E" w:rsidP="00C10BA5">
    <w:pPr>
      <w:pStyle w:val="Header"/>
      <w:jc w:val="right"/>
      <w:rPr>
        <w:i/>
        <w:iCs/>
        <w:sz w:val="18"/>
        <w:szCs w:val="18"/>
      </w:rPr>
    </w:pPr>
    <w:r>
      <w:rPr>
        <w:noProof/>
      </w:rPr>
      <w:pict w14:anchorId="3EF5A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202455" o:spid="_x0000_s2051" type="#_x0000_t136" style="position:absolute;left:0;text-align:left;margin-left:0;margin-top:0;width:663.25pt;height:73.6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04946" w14:textId="0D0AD8C4" w:rsidR="00BC5C8E" w:rsidRDefault="00BC5C8E">
    <w:pPr>
      <w:pStyle w:val="Header"/>
    </w:pPr>
    <w:r>
      <w:rPr>
        <w:noProof/>
      </w:rPr>
      <w:pict w14:anchorId="07F99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202453" o:spid="_x0000_s2049" type="#_x0000_t136" style="position:absolute;left:0;text-align:left;margin-left:0;margin-top:0;width:663.25pt;height:73.6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9165F"/>
    <w:multiLevelType w:val="hybridMultilevel"/>
    <w:tmpl w:val="E9668F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3020884"/>
    <w:multiLevelType w:val="hybridMultilevel"/>
    <w:tmpl w:val="D666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9691E"/>
    <w:multiLevelType w:val="hybridMultilevel"/>
    <w:tmpl w:val="E866535E"/>
    <w:lvl w:ilvl="0" w:tplc="D7602A8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8277FF8"/>
    <w:multiLevelType w:val="hybridMultilevel"/>
    <w:tmpl w:val="4F1C6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63C27"/>
    <w:multiLevelType w:val="hybridMultilevel"/>
    <w:tmpl w:val="5A26C25C"/>
    <w:lvl w:ilvl="0" w:tplc="08090009">
      <w:start w:val="1"/>
      <w:numFmt w:val="bullet"/>
      <w:lvlText w:val=""/>
      <w:lvlJc w:val="left"/>
      <w:pPr>
        <w:ind w:left="781" w:hanging="360"/>
      </w:pPr>
      <w:rPr>
        <w:rFonts w:ascii="Wingdings" w:hAnsi="Wingdings" w:hint="default"/>
      </w:rPr>
    </w:lvl>
    <w:lvl w:ilvl="1" w:tplc="08090003">
      <w:start w:val="1"/>
      <w:numFmt w:val="bullet"/>
      <w:lvlText w:val="o"/>
      <w:lvlJc w:val="left"/>
      <w:pPr>
        <w:ind w:left="1501" w:hanging="360"/>
      </w:pPr>
      <w:rPr>
        <w:rFonts w:ascii="Courier New" w:hAnsi="Courier New" w:cs="Courier New" w:hint="default"/>
      </w:rPr>
    </w:lvl>
    <w:lvl w:ilvl="2" w:tplc="08090005">
      <w:start w:val="1"/>
      <w:numFmt w:val="bullet"/>
      <w:lvlText w:val=""/>
      <w:lvlJc w:val="left"/>
      <w:pPr>
        <w:ind w:left="2221" w:hanging="360"/>
      </w:pPr>
      <w:rPr>
        <w:rFonts w:ascii="Wingdings" w:hAnsi="Wingdings" w:hint="default"/>
      </w:rPr>
    </w:lvl>
    <w:lvl w:ilvl="3" w:tplc="08090001">
      <w:start w:val="1"/>
      <w:numFmt w:val="bullet"/>
      <w:lvlText w:val=""/>
      <w:lvlJc w:val="left"/>
      <w:pPr>
        <w:ind w:left="2941" w:hanging="360"/>
      </w:pPr>
      <w:rPr>
        <w:rFonts w:ascii="Symbol" w:hAnsi="Symbol" w:hint="default"/>
      </w:rPr>
    </w:lvl>
    <w:lvl w:ilvl="4" w:tplc="08090003">
      <w:start w:val="1"/>
      <w:numFmt w:val="bullet"/>
      <w:lvlText w:val="o"/>
      <w:lvlJc w:val="left"/>
      <w:pPr>
        <w:ind w:left="3661" w:hanging="360"/>
      </w:pPr>
      <w:rPr>
        <w:rFonts w:ascii="Courier New" w:hAnsi="Courier New" w:cs="Courier New" w:hint="default"/>
      </w:rPr>
    </w:lvl>
    <w:lvl w:ilvl="5" w:tplc="08090005">
      <w:start w:val="1"/>
      <w:numFmt w:val="bullet"/>
      <w:lvlText w:val=""/>
      <w:lvlJc w:val="left"/>
      <w:pPr>
        <w:ind w:left="4381" w:hanging="360"/>
      </w:pPr>
      <w:rPr>
        <w:rFonts w:ascii="Wingdings" w:hAnsi="Wingdings" w:hint="default"/>
      </w:rPr>
    </w:lvl>
    <w:lvl w:ilvl="6" w:tplc="08090001">
      <w:start w:val="1"/>
      <w:numFmt w:val="bullet"/>
      <w:lvlText w:val=""/>
      <w:lvlJc w:val="left"/>
      <w:pPr>
        <w:ind w:left="5101" w:hanging="360"/>
      </w:pPr>
      <w:rPr>
        <w:rFonts w:ascii="Symbol" w:hAnsi="Symbol" w:hint="default"/>
      </w:rPr>
    </w:lvl>
    <w:lvl w:ilvl="7" w:tplc="08090003">
      <w:start w:val="1"/>
      <w:numFmt w:val="bullet"/>
      <w:lvlText w:val="o"/>
      <w:lvlJc w:val="left"/>
      <w:pPr>
        <w:ind w:left="5821" w:hanging="360"/>
      </w:pPr>
      <w:rPr>
        <w:rFonts w:ascii="Courier New" w:hAnsi="Courier New" w:cs="Courier New" w:hint="default"/>
      </w:rPr>
    </w:lvl>
    <w:lvl w:ilvl="8" w:tplc="08090005">
      <w:start w:val="1"/>
      <w:numFmt w:val="bullet"/>
      <w:lvlText w:val=""/>
      <w:lvlJc w:val="left"/>
      <w:pPr>
        <w:ind w:left="6541" w:hanging="360"/>
      </w:pPr>
      <w:rPr>
        <w:rFonts w:ascii="Wingdings" w:hAnsi="Wingdings" w:hint="default"/>
      </w:rPr>
    </w:lvl>
  </w:abstractNum>
  <w:abstractNum w:abstractNumId="5" w15:restartNumberingAfterBreak="0">
    <w:nsid w:val="0B230257"/>
    <w:multiLevelType w:val="hybridMultilevel"/>
    <w:tmpl w:val="C0B0BCA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D592E7B"/>
    <w:multiLevelType w:val="hybridMultilevel"/>
    <w:tmpl w:val="CAEE8DAC"/>
    <w:lvl w:ilvl="0" w:tplc="7FB4C3C2">
      <w:start w:val="1"/>
      <w:numFmt w:val="decimal"/>
      <w:lvlText w:val="[%1]"/>
      <w:lvlJc w:val="left"/>
      <w:pPr>
        <w:ind w:left="720" w:hanging="360"/>
      </w:pPr>
      <w:rPr>
        <w:rFonts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472A9F"/>
    <w:multiLevelType w:val="multilevel"/>
    <w:tmpl w:val="ACF47B8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6C415F2"/>
    <w:multiLevelType w:val="multilevel"/>
    <w:tmpl w:val="280A8DE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A223033"/>
    <w:multiLevelType w:val="hybridMultilevel"/>
    <w:tmpl w:val="65201176"/>
    <w:lvl w:ilvl="0" w:tplc="57A4BB14">
      <w:start w:val="1"/>
      <w:numFmt w:val="decimal"/>
      <w:lvlText w:val="%1."/>
      <w:lvlJc w:val="left"/>
      <w:pPr>
        <w:ind w:left="720" w:hanging="360"/>
      </w:pPr>
      <w:rPr>
        <w:rFonts w:asciiTheme="majorBidi" w:hAnsiTheme="majorBidi" w:cstheme="majorBidi" w:hint="default"/>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0C123C"/>
    <w:multiLevelType w:val="multilevel"/>
    <w:tmpl w:val="56B833E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24737F80"/>
    <w:multiLevelType w:val="hybridMultilevel"/>
    <w:tmpl w:val="376E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BD118A"/>
    <w:multiLevelType w:val="hybridMultilevel"/>
    <w:tmpl w:val="479ED7A8"/>
    <w:lvl w:ilvl="0" w:tplc="FFFFFFFF">
      <w:start w:val="1"/>
      <w:numFmt w:val="bullet"/>
      <w:lvlText w:val=""/>
      <w:lvlJc w:val="left"/>
      <w:pPr>
        <w:tabs>
          <w:tab w:val="num" w:pos="648"/>
        </w:tabs>
        <w:ind w:left="648" w:hanging="360"/>
      </w:pPr>
      <w:rPr>
        <w:rFonts w:ascii="Symbol" w:hAnsi="Symbol" w:hint="default"/>
      </w:rPr>
    </w:lvl>
    <w:lvl w:ilvl="1" w:tplc="DDE67FFC">
      <w:numFmt w:val="bullet"/>
      <w:pStyle w:val="12ListParagrph2"/>
      <w:lvlText w:val="-"/>
      <w:lvlJc w:val="left"/>
      <w:pPr>
        <w:ind w:left="1440" w:hanging="360"/>
      </w:pPr>
      <w:rPr>
        <w:rFonts w:ascii="Calibri" w:eastAsiaTheme="minorHAnsi"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83816F9"/>
    <w:multiLevelType w:val="hybridMultilevel"/>
    <w:tmpl w:val="58E24592"/>
    <w:lvl w:ilvl="0" w:tplc="0809000F">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787153"/>
    <w:multiLevelType w:val="hybridMultilevel"/>
    <w:tmpl w:val="3558F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C168D"/>
    <w:multiLevelType w:val="hybridMultilevel"/>
    <w:tmpl w:val="9F2A9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C870394"/>
    <w:multiLevelType w:val="multilevel"/>
    <w:tmpl w:val="C28E456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20F2D3A"/>
    <w:multiLevelType w:val="hybridMultilevel"/>
    <w:tmpl w:val="C2D02D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32214D77"/>
    <w:multiLevelType w:val="hybridMultilevel"/>
    <w:tmpl w:val="70BEA8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C92724"/>
    <w:multiLevelType w:val="hybridMultilevel"/>
    <w:tmpl w:val="8FE27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7660336"/>
    <w:multiLevelType w:val="hybridMultilevel"/>
    <w:tmpl w:val="81C61A36"/>
    <w:lvl w:ilvl="0" w:tplc="EA5459B2">
      <w:start w:val="1"/>
      <w:numFmt w:val="bullet"/>
      <w:pStyle w:val="11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9159FD"/>
    <w:multiLevelType w:val="multilevel"/>
    <w:tmpl w:val="42201954"/>
    <w:lvl w:ilvl="0">
      <w:start w:val="2"/>
      <w:numFmt w:val="decimal"/>
      <w:lvlText w:val="%1"/>
      <w:lvlJc w:val="left"/>
      <w:pPr>
        <w:ind w:left="720" w:hanging="360"/>
      </w:pPr>
      <w:rPr>
        <w:rFonts w:asciiTheme="majorBidi" w:hAnsiTheme="majorBidi" w:cs="Times New Roman"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B3D56F0"/>
    <w:multiLevelType w:val="hybridMultilevel"/>
    <w:tmpl w:val="23C23E54"/>
    <w:lvl w:ilvl="0" w:tplc="08090001">
      <w:start w:val="1"/>
      <w:numFmt w:val="bullet"/>
      <w:lvlText w:val=""/>
      <w:lvlJc w:val="left"/>
      <w:pPr>
        <w:ind w:left="915" w:hanging="360"/>
      </w:pPr>
      <w:rPr>
        <w:rFonts w:ascii="Symbol" w:hAnsi="Symbol" w:hint="default"/>
      </w:rPr>
    </w:lvl>
    <w:lvl w:ilvl="1" w:tplc="08090003">
      <w:start w:val="1"/>
      <w:numFmt w:val="bullet"/>
      <w:lvlText w:val="o"/>
      <w:lvlJc w:val="left"/>
      <w:pPr>
        <w:ind w:left="1635" w:hanging="360"/>
      </w:pPr>
      <w:rPr>
        <w:rFonts w:ascii="Courier New" w:hAnsi="Courier New" w:cs="Courier New" w:hint="default"/>
      </w:rPr>
    </w:lvl>
    <w:lvl w:ilvl="2" w:tplc="08090005">
      <w:start w:val="1"/>
      <w:numFmt w:val="bullet"/>
      <w:lvlText w:val=""/>
      <w:lvlJc w:val="left"/>
      <w:pPr>
        <w:ind w:left="2355" w:hanging="360"/>
      </w:pPr>
      <w:rPr>
        <w:rFonts w:ascii="Wingdings" w:hAnsi="Wingdings" w:hint="default"/>
      </w:rPr>
    </w:lvl>
    <w:lvl w:ilvl="3" w:tplc="08090001">
      <w:start w:val="1"/>
      <w:numFmt w:val="bullet"/>
      <w:lvlText w:val=""/>
      <w:lvlJc w:val="left"/>
      <w:pPr>
        <w:ind w:left="3075" w:hanging="360"/>
      </w:pPr>
      <w:rPr>
        <w:rFonts w:ascii="Symbol" w:hAnsi="Symbol" w:hint="default"/>
      </w:rPr>
    </w:lvl>
    <w:lvl w:ilvl="4" w:tplc="08090003">
      <w:start w:val="1"/>
      <w:numFmt w:val="bullet"/>
      <w:lvlText w:val="o"/>
      <w:lvlJc w:val="left"/>
      <w:pPr>
        <w:ind w:left="3795" w:hanging="360"/>
      </w:pPr>
      <w:rPr>
        <w:rFonts w:ascii="Courier New" w:hAnsi="Courier New" w:cs="Courier New" w:hint="default"/>
      </w:rPr>
    </w:lvl>
    <w:lvl w:ilvl="5" w:tplc="08090005">
      <w:start w:val="1"/>
      <w:numFmt w:val="bullet"/>
      <w:lvlText w:val=""/>
      <w:lvlJc w:val="left"/>
      <w:pPr>
        <w:ind w:left="4515" w:hanging="360"/>
      </w:pPr>
      <w:rPr>
        <w:rFonts w:ascii="Wingdings" w:hAnsi="Wingdings" w:hint="default"/>
      </w:rPr>
    </w:lvl>
    <w:lvl w:ilvl="6" w:tplc="08090001">
      <w:start w:val="1"/>
      <w:numFmt w:val="bullet"/>
      <w:lvlText w:val=""/>
      <w:lvlJc w:val="left"/>
      <w:pPr>
        <w:ind w:left="5235" w:hanging="360"/>
      </w:pPr>
      <w:rPr>
        <w:rFonts w:ascii="Symbol" w:hAnsi="Symbol" w:hint="default"/>
      </w:rPr>
    </w:lvl>
    <w:lvl w:ilvl="7" w:tplc="08090003">
      <w:start w:val="1"/>
      <w:numFmt w:val="bullet"/>
      <w:lvlText w:val="o"/>
      <w:lvlJc w:val="left"/>
      <w:pPr>
        <w:ind w:left="5955" w:hanging="360"/>
      </w:pPr>
      <w:rPr>
        <w:rFonts w:ascii="Courier New" w:hAnsi="Courier New" w:cs="Courier New" w:hint="default"/>
      </w:rPr>
    </w:lvl>
    <w:lvl w:ilvl="8" w:tplc="08090005">
      <w:start w:val="1"/>
      <w:numFmt w:val="bullet"/>
      <w:lvlText w:val=""/>
      <w:lvlJc w:val="left"/>
      <w:pPr>
        <w:ind w:left="6675" w:hanging="360"/>
      </w:pPr>
      <w:rPr>
        <w:rFonts w:ascii="Wingdings" w:hAnsi="Wingdings" w:hint="default"/>
      </w:rPr>
    </w:lvl>
  </w:abstractNum>
  <w:abstractNum w:abstractNumId="24" w15:restartNumberingAfterBreak="0">
    <w:nsid w:val="41884C2B"/>
    <w:multiLevelType w:val="hybridMultilevel"/>
    <w:tmpl w:val="7BD2B5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89603E"/>
    <w:multiLevelType w:val="multilevel"/>
    <w:tmpl w:val="672EC6A6"/>
    <w:lvl w:ilvl="0">
      <w:start w:val="1"/>
      <w:numFmt w:val="decimal"/>
      <w:pStyle w:val="Heading1"/>
      <w:lvlText w:val="%1."/>
      <w:lvlJc w:val="left"/>
      <w:pPr>
        <w:tabs>
          <w:tab w:val="num" w:pos="4613"/>
        </w:tabs>
        <w:ind w:firstLine="216"/>
      </w:pPr>
      <w:rPr>
        <w:rFonts w:hint="default"/>
        <w:caps w:val="0"/>
        <w:strike w:val="0"/>
        <w:dstrike w:val="0"/>
        <w:vanish w:val="0"/>
        <w:color w:val="auto"/>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6" w15:restartNumberingAfterBreak="0">
    <w:nsid w:val="47B51CD0"/>
    <w:multiLevelType w:val="hybridMultilevel"/>
    <w:tmpl w:val="33001378"/>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27"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961389"/>
    <w:multiLevelType w:val="hybridMultilevel"/>
    <w:tmpl w:val="75FA8AD6"/>
    <w:lvl w:ilvl="0" w:tplc="5C7A480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4D3DD7"/>
    <w:multiLevelType w:val="hybridMultilevel"/>
    <w:tmpl w:val="A140A338"/>
    <w:lvl w:ilvl="0" w:tplc="09B82CE4">
      <w:start w:val="2"/>
      <w:numFmt w:val="decimal"/>
      <w:lvlText w:val="%1"/>
      <w:lvlJc w:val="left"/>
      <w:pPr>
        <w:ind w:left="720" w:hanging="360"/>
      </w:pPr>
      <w:rPr>
        <w:rFonts w:asciiTheme="majorBidi" w:hAnsiTheme="majorBidi"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CA544A"/>
    <w:multiLevelType w:val="singleLevel"/>
    <w:tmpl w:val="F7A07F7C"/>
    <w:lvl w:ilvl="0">
      <w:start w:val="1"/>
      <w:numFmt w:val="decimal"/>
      <w:pStyle w:val="16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1" w15:restartNumberingAfterBreak="0">
    <w:nsid w:val="53BF7B99"/>
    <w:multiLevelType w:val="hybridMultilevel"/>
    <w:tmpl w:val="9A0645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687327D"/>
    <w:multiLevelType w:val="hybridMultilevel"/>
    <w:tmpl w:val="25EAC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BE6E83"/>
    <w:multiLevelType w:val="multilevel"/>
    <w:tmpl w:val="E79AA1FC"/>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15:restartNumberingAfterBreak="0">
    <w:nsid w:val="61E13F20"/>
    <w:multiLevelType w:val="multilevel"/>
    <w:tmpl w:val="C22237A0"/>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656651BA"/>
    <w:multiLevelType w:val="hybridMultilevel"/>
    <w:tmpl w:val="C77EDBF2"/>
    <w:lvl w:ilvl="0" w:tplc="08090001">
      <w:start w:val="1"/>
      <w:numFmt w:val="bullet"/>
      <w:lvlText w:val=""/>
      <w:lvlJc w:val="left"/>
      <w:pPr>
        <w:ind w:left="1008" w:hanging="360"/>
      </w:pPr>
      <w:rPr>
        <w:rFonts w:ascii="Symbol" w:hAnsi="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hint="default"/>
      </w:rPr>
    </w:lvl>
    <w:lvl w:ilvl="3" w:tplc="08090001">
      <w:start w:val="1"/>
      <w:numFmt w:val="bullet"/>
      <w:lvlText w:val=""/>
      <w:lvlJc w:val="left"/>
      <w:pPr>
        <w:ind w:left="3168" w:hanging="360"/>
      </w:pPr>
      <w:rPr>
        <w:rFonts w:ascii="Symbol" w:hAnsi="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hint="default"/>
      </w:rPr>
    </w:lvl>
    <w:lvl w:ilvl="6" w:tplc="08090001">
      <w:start w:val="1"/>
      <w:numFmt w:val="bullet"/>
      <w:lvlText w:val=""/>
      <w:lvlJc w:val="left"/>
      <w:pPr>
        <w:ind w:left="5328" w:hanging="360"/>
      </w:pPr>
      <w:rPr>
        <w:rFonts w:ascii="Symbol" w:hAnsi="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hint="default"/>
      </w:rPr>
    </w:lvl>
  </w:abstractNum>
  <w:abstractNum w:abstractNumId="36" w15:restartNumberingAfterBreak="0">
    <w:nsid w:val="6C402C58"/>
    <w:multiLevelType w:val="hybridMultilevel"/>
    <w:tmpl w:val="B49066DA"/>
    <w:lvl w:ilvl="0" w:tplc="17AA3A02">
      <w:start w:val="1"/>
      <w:numFmt w:val="decimal"/>
      <w:pStyle w:val="15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15:restartNumberingAfterBreak="0">
    <w:nsid w:val="6CD32DA8"/>
    <w:multiLevelType w:val="singleLevel"/>
    <w:tmpl w:val="57664030"/>
    <w:lvl w:ilvl="0">
      <w:start w:val="1"/>
      <w:numFmt w:val="upperRoman"/>
      <w:pStyle w:val="14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8" w15:restartNumberingAfterBreak="0">
    <w:nsid w:val="6F1B3390"/>
    <w:multiLevelType w:val="hybridMultilevel"/>
    <w:tmpl w:val="C2C0D3A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7C50762"/>
    <w:multiLevelType w:val="hybridMultilevel"/>
    <w:tmpl w:val="A4D633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9935DAF"/>
    <w:multiLevelType w:val="multilevel"/>
    <w:tmpl w:val="975C2926"/>
    <w:lvl w:ilvl="0">
      <w:start w:val="2"/>
      <w:numFmt w:val="decimal"/>
      <w:lvlText w:val="%1."/>
      <w:lvlJc w:val="left"/>
      <w:pPr>
        <w:ind w:left="1080" w:hanging="360"/>
      </w:pPr>
      <w:rPr>
        <w:rFonts w:asciiTheme="majorBidi" w:hAnsiTheme="majorBidi" w:cstheme="minorBidi" w:hint="default"/>
        <w:b/>
        <w:color w:val="000000"/>
        <w:sz w:val="24"/>
      </w:r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1" w15:restartNumberingAfterBreak="0">
    <w:nsid w:val="7B664393"/>
    <w:multiLevelType w:val="multilevel"/>
    <w:tmpl w:val="43F0B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D587B85"/>
    <w:multiLevelType w:val="multilevel"/>
    <w:tmpl w:val="BEF0AED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7DEB029E"/>
    <w:multiLevelType w:val="hybridMultilevel"/>
    <w:tmpl w:val="4454B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6"/>
  </w:num>
  <w:num w:numId="3">
    <w:abstractNumId w:val="25"/>
  </w:num>
  <w:num w:numId="4">
    <w:abstractNumId w:val="30"/>
  </w:num>
  <w:num w:numId="5">
    <w:abstractNumId w:val="37"/>
  </w:num>
  <w:num w:numId="6">
    <w:abstractNumId w:val="27"/>
  </w:num>
  <w:num w:numId="7">
    <w:abstractNumId w:val="12"/>
  </w:num>
  <w:num w:numId="8">
    <w:abstractNumId w:val="13"/>
  </w:num>
  <w:num w:numId="9">
    <w:abstractNumId w:val="32"/>
  </w:num>
  <w:num w:numId="10">
    <w:abstractNumId w:val="3"/>
  </w:num>
  <w:num w:numId="11">
    <w:abstractNumId w:val="1"/>
  </w:num>
  <w:num w:numId="12">
    <w:abstractNumId w:val="11"/>
  </w:num>
  <w:num w:numId="13">
    <w:abstractNumId w:val="24"/>
  </w:num>
  <w:num w:numId="14">
    <w:abstractNumId w:val="39"/>
  </w:num>
  <w:num w:numId="15">
    <w:abstractNumId w:val="14"/>
  </w:num>
  <w:num w:numId="16">
    <w:abstractNumId w:val="19"/>
  </w:num>
  <w:num w:numId="17">
    <w:abstractNumId w:val="26"/>
  </w:num>
  <w:num w:numId="18">
    <w:abstractNumId w:val="6"/>
  </w:num>
  <w:num w:numId="19">
    <w:abstractNumId w:val="17"/>
  </w:num>
  <w:num w:numId="20">
    <w:abstractNumId w:val="8"/>
  </w:num>
  <w:num w:numId="21">
    <w:abstractNumId w:val="42"/>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31"/>
  </w:num>
  <w:num w:numId="25">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23"/>
  </w:num>
  <w:num w:numId="29">
    <w:abstractNumId w:val="0"/>
  </w:num>
  <w:num w:numId="30">
    <w:abstractNumId w:val="20"/>
  </w:num>
  <w:num w:numId="31">
    <w:abstractNumId w:val="4"/>
  </w:num>
  <w:num w:numId="32">
    <w:abstractNumId w:val="5"/>
  </w:num>
  <w:num w:numId="33">
    <w:abstractNumId w:val="4"/>
  </w:num>
  <w:num w:numId="34">
    <w:abstractNumId w:val="5"/>
  </w:num>
  <w:num w:numId="35">
    <w:abstractNumId w:val="0"/>
  </w:num>
  <w:num w:numId="36">
    <w:abstractNumId w:val="2"/>
  </w:num>
  <w:num w:numId="37">
    <w:abstractNumId w:val="9"/>
  </w:num>
  <w:num w:numId="38">
    <w:abstractNumId w:val="28"/>
  </w:num>
  <w:num w:numId="39">
    <w:abstractNumId w:val="33"/>
  </w:num>
  <w:num w:numId="40">
    <w:abstractNumId w:val="43"/>
  </w:num>
  <w:num w:numId="41">
    <w:abstractNumId w:val="15"/>
  </w:num>
  <w:num w:numId="42">
    <w:abstractNumId w:val="41"/>
  </w:num>
  <w:num w:numId="43">
    <w:abstractNumId w:val="18"/>
  </w:num>
  <w:num w:numId="44">
    <w:abstractNumId w:val="40"/>
  </w:num>
  <w:num w:numId="45">
    <w:abstractNumId w:val="7"/>
  </w:num>
  <w:num w:numId="46">
    <w:abstractNumId w:val="29"/>
  </w:num>
  <w:num w:numId="47">
    <w:abstractNumId w:val="22"/>
  </w:num>
  <w:num w:numId="48">
    <w:abstractNumId w:val="38"/>
  </w:num>
  <w:num w:numId="49">
    <w:abstractNumId w:val="10"/>
  </w:num>
  <w:num w:numId="50">
    <w:abstractNumId w:val="3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LQ0Nbc0NDU1MLO0NDNS0lEKTi0uzszPAykwrgUACUTbDSwAAAA="/>
  </w:docVars>
  <w:rsids>
    <w:rsidRoot w:val="00037104"/>
    <w:rsid w:val="0000136D"/>
    <w:rsid w:val="0000536A"/>
    <w:rsid w:val="00010F1B"/>
    <w:rsid w:val="0002204D"/>
    <w:rsid w:val="00022142"/>
    <w:rsid w:val="00025B23"/>
    <w:rsid w:val="00026907"/>
    <w:rsid w:val="00026D48"/>
    <w:rsid w:val="00027A83"/>
    <w:rsid w:val="0003496E"/>
    <w:rsid w:val="00037104"/>
    <w:rsid w:val="000418E4"/>
    <w:rsid w:val="00044C15"/>
    <w:rsid w:val="0004729B"/>
    <w:rsid w:val="00047669"/>
    <w:rsid w:val="0005234E"/>
    <w:rsid w:val="00056365"/>
    <w:rsid w:val="0006172A"/>
    <w:rsid w:val="0006573A"/>
    <w:rsid w:val="0007775A"/>
    <w:rsid w:val="00082FDD"/>
    <w:rsid w:val="000847B0"/>
    <w:rsid w:val="000848E4"/>
    <w:rsid w:val="0008518D"/>
    <w:rsid w:val="000932AE"/>
    <w:rsid w:val="00094905"/>
    <w:rsid w:val="000A543D"/>
    <w:rsid w:val="000A5CBD"/>
    <w:rsid w:val="000A7300"/>
    <w:rsid w:val="000B0DEF"/>
    <w:rsid w:val="000D3963"/>
    <w:rsid w:val="000D4275"/>
    <w:rsid w:val="000D49FF"/>
    <w:rsid w:val="000D4D4C"/>
    <w:rsid w:val="000E7716"/>
    <w:rsid w:val="000F57A5"/>
    <w:rsid w:val="00102DA1"/>
    <w:rsid w:val="00104546"/>
    <w:rsid w:val="00115E9C"/>
    <w:rsid w:val="0012346E"/>
    <w:rsid w:val="001253AA"/>
    <w:rsid w:val="00135AA6"/>
    <w:rsid w:val="00157A77"/>
    <w:rsid w:val="00162E25"/>
    <w:rsid w:val="001667E0"/>
    <w:rsid w:val="00167B18"/>
    <w:rsid w:val="001747B4"/>
    <w:rsid w:val="00174928"/>
    <w:rsid w:val="00175A2A"/>
    <w:rsid w:val="00176438"/>
    <w:rsid w:val="001865A5"/>
    <w:rsid w:val="00187A28"/>
    <w:rsid w:val="001920A4"/>
    <w:rsid w:val="001958AA"/>
    <w:rsid w:val="001A1C76"/>
    <w:rsid w:val="001A3102"/>
    <w:rsid w:val="001A65F3"/>
    <w:rsid w:val="001B73D5"/>
    <w:rsid w:val="001C4475"/>
    <w:rsid w:val="001C59C0"/>
    <w:rsid w:val="001C7FEF"/>
    <w:rsid w:val="001D2A80"/>
    <w:rsid w:val="001D32BE"/>
    <w:rsid w:val="001F0D65"/>
    <w:rsid w:val="001F4A41"/>
    <w:rsid w:val="0020288B"/>
    <w:rsid w:val="002054BA"/>
    <w:rsid w:val="0020570E"/>
    <w:rsid w:val="0020607C"/>
    <w:rsid w:val="00212EA9"/>
    <w:rsid w:val="00232B28"/>
    <w:rsid w:val="00233FE7"/>
    <w:rsid w:val="002352AC"/>
    <w:rsid w:val="002356BF"/>
    <w:rsid w:val="00240E66"/>
    <w:rsid w:val="00243A09"/>
    <w:rsid w:val="0024453A"/>
    <w:rsid w:val="00247B8E"/>
    <w:rsid w:val="00251943"/>
    <w:rsid w:val="00256EF8"/>
    <w:rsid w:val="00256FAE"/>
    <w:rsid w:val="00257917"/>
    <w:rsid w:val="00260AAC"/>
    <w:rsid w:val="00260EAA"/>
    <w:rsid w:val="00261B2B"/>
    <w:rsid w:val="00262783"/>
    <w:rsid w:val="00275F16"/>
    <w:rsid w:val="0027630E"/>
    <w:rsid w:val="0027685D"/>
    <w:rsid w:val="00280421"/>
    <w:rsid w:val="0028045A"/>
    <w:rsid w:val="00282886"/>
    <w:rsid w:val="0028449C"/>
    <w:rsid w:val="002907AA"/>
    <w:rsid w:val="00290D61"/>
    <w:rsid w:val="002927C1"/>
    <w:rsid w:val="00296335"/>
    <w:rsid w:val="00297E61"/>
    <w:rsid w:val="002A047E"/>
    <w:rsid w:val="002A5DA9"/>
    <w:rsid w:val="002B4013"/>
    <w:rsid w:val="002C45FF"/>
    <w:rsid w:val="002C5AAB"/>
    <w:rsid w:val="002C7567"/>
    <w:rsid w:val="002D03A9"/>
    <w:rsid w:val="002D0731"/>
    <w:rsid w:val="002D6625"/>
    <w:rsid w:val="002E048B"/>
    <w:rsid w:val="002E1C4E"/>
    <w:rsid w:val="002E2412"/>
    <w:rsid w:val="002F34DC"/>
    <w:rsid w:val="002F389B"/>
    <w:rsid w:val="0030582A"/>
    <w:rsid w:val="00312026"/>
    <w:rsid w:val="00314235"/>
    <w:rsid w:val="0031580A"/>
    <w:rsid w:val="00317D4F"/>
    <w:rsid w:val="00317F82"/>
    <w:rsid w:val="00325411"/>
    <w:rsid w:val="0032737F"/>
    <w:rsid w:val="00331F7E"/>
    <w:rsid w:val="0033741A"/>
    <w:rsid w:val="003473B1"/>
    <w:rsid w:val="003514EE"/>
    <w:rsid w:val="003544F9"/>
    <w:rsid w:val="00366F38"/>
    <w:rsid w:val="003731A1"/>
    <w:rsid w:val="0038219C"/>
    <w:rsid w:val="00384117"/>
    <w:rsid w:val="00395FAE"/>
    <w:rsid w:val="0039687F"/>
    <w:rsid w:val="003A5219"/>
    <w:rsid w:val="003A52C8"/>
    <w:rsid w:val="003B5A27"/>
    <w:rsid w:val="003C0090"/>
    <w:rsid w:val="003D1D02"/>
    <w:rsid w:val="003D413A"/>
    <w:rsid w:val="003D4710"/>
    <w:rsid w:val="003E341F"/>
    <w:rsid w:val="003E6497"/>
    <w:rsid w:val="003F23D9"/>
    <w:rsid w:val="00402496"/>
    <w:rsid w:val="004125FF"/>
    <w:rsid w:val="00425F31"/>
    <w:rsid w:val="0042793A"/>
    <w:rsid w:val="00432926"/>
    <w:rsid w:val="0044445C"/>
    <w:rsid w:val="00454CEE"/>
    <w:rsid w:val="004558A1"/>
    <w:rsid w:val="00455FEB"/>
    <w:rsid w:val="0045738A"/>
    <w:rsid w:val="004615A3"/>
    <w:rsid w:val="00465DE9"/>
    <w:rsid w:val="00467DB1"/>
    <w:rsid w:val="00473585"/>
    <w:rsid w:val="00476D31"/>
    <w:rsid w:val="004816D5"/>
    <w:rsid w:val="00483179"/>
    <w:rsid w:val="00485C55"/>
    <w:rsid w:val="004903D6"/>
    <w:rsid w:val="00492E26"/>
    <w:rsid w:val="00493639"/>
    <w:rsid w:val="004A371E"/>
    <w:rsid w:val="004B2E7A"/>
    <w:rsid w:val="004B71C3"/>
    <w:rsid w:val="004C04CF"/>
    <w:rsid w:val="004C6D2B"/>
    <w:rsid w:val="004D4722"/>
    <w:rsid w:val="004D74B5"/>
    <w:rsid w:val="004E57D5"/>
    <w:rsid w:val="004F4D77"/>
    <w:rsid w:val="004F5EC5"/>
    <w:rsid w:val="00500A60"/>
    <w:rsid w:val="00505040"/>
    <w:rsid w:val="005072FD"/>
    <w:rsid w:val="00507804"/>
    <w:rsid w:val="005160A7"/>
    <w:rsid w:val="00520C61"/>
    <w:rsid w:val="00526FC9"/>
    <w:rsid w:val="00527BBC"/>
    <w:rsid w:val="00532E2F"/>
    <w:rsid w:val="0054063A"/>
    <w:rsid w:val="0054108C"/>
    <w:rsid w:val="005426CF"/>
    <w:rsid w:val="00570CDB"/>
    <w:rsid w:val="00572DC4"/>
    <w:rsid w:val="00576035"/>
    <w:rsid w:val="00577313"/>
    <w:rsid w:val="00591B0C"/>
    <w:rsid w:val="00593329"/>
    <w:rsid w:val="0059433D"/>
    <w:rsid w:val="005964CE"/>
    <w:rsid w:val="005A3E9A"/>
    <w:rsid w:val="005D0957"/>
    <w:rsid w:val="005E0722"/>
    <w:rsid w:val="005E3572"/>
    <w:rsid w:val="005E4664"/>
    <w:rsid w:val="005F4066"/>
    <w:rsid w:val="00612221"/>
    <w:rsid w:val="00615A3B"/>
    <w:rsid w:val="006161E6"/>
    <w:rsid w:val="00617BA7"/>
    <w:rsid w:val="00624B8E"/>
    <w:rsid w:val="00637DC3"/>
    <w:rsid w:val="00651E0D"/>
    <w:rsid w:val="00655948"/>
    <w:rsid w:val="006609CC"/>
    <w:rsid w:val="006640E9"/>
    <w:rsid w:val="0067639C"/>
    <w:rsid w:val="006777B9"/>
    <w:rsid w:val="0068080B"/>
    <w:rsid w:val="00691BD4"/>
    <w:rsid w:val="0069707B"/>
    <w:rsid w:val="006A6279"/>
    <w:rsid w:val="006B7F39"/>
    <w:rsid w:val="006C02C0"/>
    <w:rsid w:val="006C2D7D"/>
    <w:rsid w:val="006C4067"/>
    <w:rsid w:val="006C784D"/>
    <w:rsid w:val="006D5F56"/>
    <w:rsid w:val="006E1D80"/>
    <w:rsid w:val="006E2B9C"/>
    <w:rsid w:val="006E352D"/>
    <w:rsid w:val="006E37A3"/>
    <w:rsid w:val="006E4629"/>
    <w:rsid w:val="006F0CB3"/>
    <w:rsid w:val="00702CFF"/>
    <w:rsid w:val="007074C6"/>
    <w:rsid w:val="0071535B"/>
    <w:rsid w:val="00736206"/>
    <w:rsid w:val="00737053"/>
    <w:rsid w:val="007430D1"/>
    <w:rsid w:val="00744600"/>
    <w:rsid w:val="00761E81"/>
    <w:rsid w:val="00776617"/>
    <w:rsid w:val="00781434"/>
    <w:rsid w:val="00783FBC"/>
    <w:rsid w:val="007842EE"/>
    <w:rsid w:val="00791288"/>
    <w:rsid w:val="0079790E"/>
    <w:rsid w:val="007B60D8"/>
    <w:rsid w:val="007C0952"/>
    <w:rsid w:val="007C5128"/>
    <w:rsid w:val="007C61CB"/>
    <w:rsid w:val="007D542F"/>
    <w:rsid w:val="007D571D"/>
    <w:rsid w:val="007D6A0F"/>
    <w:rsid w:val="007E61D4"/>
    <w:rsid w:val="007E7223"/>
    <w:rsid w:val="007F37B7"/>
    <w:rsid w:val="007F3FDF"/>
    <w:rsid w:val="0080466E"/>
    <w:rsid w:val="00814CFA"/>
    <w:rsid w:val="0082298B"/>
    <w:rsid w:val="008230C3"/>
    <w:rsid w:val="00823997"/>
    <w:rsid w:val="00835F25"/>
    <w:rsid w:val="00836DC3"/>
    <w:rsid w:val="00844846"/>
    <w:rsid w:val="00852B7B"/>
    <w:rsid w:val="008530C3"/>
    <w:rsid w:val="008555F2"/>
    <w:rsid w:val="0086324C"/>
    <w:rsid w:val="008666E1"/>
    <w:rsid w:val="00871F8C"/>
    <w:rsid w:val="00875D93"/>
    <w:rsid w:val="00876755"/>
    <w:rsid w:val="00882E3A"/>
    <w:rsid w:val="00883A23"/>
    <w:rsid w:val="00884AA5"/>
    <w:rsid w:val="00885488"/>
    <w:rsid w:val="00885590"/>
    <w:rsid w:val="008903B9"/>
    <w:rsid w:val="00896884"/>
    <w:rsid w:val="008A1EEE"/>
    <w:rsid w:val="008B2AD7"/>
    <w:rsid w:val="008B721D"/>
    <w:rsid w:val="008C2976"/>
    <w:rsid w:val="008C7E5E"/>
    <w:rsid w:val="008D0285"/>
    <w:rsid w:val="008D1339"/>
    <w:rsid w:val="008D1A37"/>
    <w:rsid w:val="008D4B97"/>
    <w:rsid w:val="008D509E"/>
    <w:rsid w:val="008D5C6C"/>
    <w:rsid w:val="008E162C"/>
    <w:rsid w:val="008E5368"/>
    <w:rsid w:val="008F165A"/>
    <w:rsid w:val="008F4DE0"/>
    <w:rsid w:val="008F6E10"/>
    <w:rsid w:val="00904EE3"/>
    <w:rsid w:val="00912BC5"/>
    <w:rsid w:val="00914032"/>
    <w:rsid w:val="00915170"/>
    <w:rsid w:val="00916484"/>
    <w:rsid w:val="009204E3"/>
    <w:rsid w:val="009227E0"/>
    <w:rsid w:val="009241CF"/>
    <w:rsid w:val="00932543"/>
    <w:rsid w:val="00942BAA"/>
    <w:rsid w:val="009441BB"/>
    <w:rsid w:val="00945980"/>
    <w:rsid w:val="00956F4A"/>
    <w:rsid w:val="00962494"/>
    <w:rsid w:val="0096280B"/>
    <w:rsid w:val="00985AE5"/>
    <w:rsid w:val="009862A6"/>
    <w:rsid w:val="00995D51"/>
    <w:rsid w:val="009A1F7F"/>
    <w:rsid w:val="009B3D58"/>
    <w:rsid w:val="009B57D2"/>
    <w:rsid w:val="009B6379"/>
    <w:rsid w:val="009C459E"/>
    <w:rsid w:val="009D5F91"/>
    <w:rsid w:val="009D7C1D"/>
    <w:rsid w:val="009E072E"/>
    <w:rsid w:val="009E1E6A"/>
    <w:rsid w:val="009F1D8A"/>
    <w:rsid w:val="009F58E1"/>
    <w:rsid w:val="009F647A"/>
    <w:rsid w:val="00A0294B"/>
    <w:rsid w:val="00A146F9"/>
    <w:rsid w:val="00A17292"/>
    <w:rsid w:val="00A2019D"/>
    <w:rsid w:val="00A24C5D"/>
    <w:rsid w:val="00A37082"/>
    <w:rsid w:val="00A42F23"/>
    <w:rsid w:val="00A44A76"/>
    <w:rsid w:val="00A566AE"/>
    <w:rsid w:val="00A63A4D"/>
    <w:rsid w:val="00A73889"/>
    <w:rsid w:val="00A77B7E"/>
    <w:rsid w:val="00A927DD"/>
    <w:rsid w:val="00A97B30"/>
    <w:rsid w:val="00AA1DBD"/>
    <w:rsid w:val="00AA4751"/>
    <w:rsid w:val="00AA4964"/>
    <w:rsid w:val="00AA6B8D"/>
    <w:rsid w:val="00AA731C"/>
    <w:rsid w:val="00AB3906"/>
    <w:rsid w:val="00AB673C"/>
    <w:rsid w:val="00AC232D"/>
    <w:rsid w:val="00AC3CE0"/>
    <w:rsid w:val="00AC5282"/>
    <w:rsid w:val="00AC59F3"/>
    <w:rsid w:val="00AC7D0E"/>
    <w:rsid w:val="00AC7EDD"/>
    <w:rsid w:val="00AD060B"/>
    <w:rsid w:val="00AD3045"/>
    <w:rsid w:val="00AE5D2A"/>
    <w:rsid w:val="00AF36DB"/>
    <w:rsid w:val="00AF6C57"/>
    <w:rsid w:val="00B047EE"/>
    <w:rsid w:val="00B0621F"/>
    <w:rsid w:val="00B06696"/>
    <w:rsid w:val="00B06871"/>
    <w:rsid w:val="00B2053B"/>
    <w:rsid w:val="00B2117C"/>
    <w:rsid w:val="00B21AC9"/>
    <w:rsid w:val="00B2425D"/>
    <w:rsid w:val="00B45D13"/>
    <w:rsid w:val="00B5613F"/>
    <w:rsid w:val="00B571C2"/>
    <w:rsid w:val="00B5727F"/>
    <w:rsid w:val="00B6425F"/>
    <w:rsid w:val="00B7440B"/>
    <w:rsid w:val="00B83E9F"/>
    <w:rsid w:val="00B84290"/>
    <w:rsid w:val="00B85011"/>
    <w:rsid w:val="00B90543"/>
    <w:rsid w:val="00BA6ADA"/>
    <w:rsid w:val="00BB7D6A"/>
    <w:rsid w:val="00BC2E98"/>
    <w:rsid w:val="00BC43DE"/>
    <w:rsid w:val="00BC4D7D"/>
    <w:rsid w:val="00BC589E"/>
    <w:rsid w:val="00BC5C8E"/>
    <w:rsid w:val="00BC6C8C"/>
    <w:rsid w:val="00BD08A0"/>
    <w:rsid w:val="00BD1059"/>
    <w:rsid w:val="00BD41F4"/>
    <w:rsid w:val="00BD5A83"/>
    <w:rsid w:val="00BD712B"/>
    <w:rsid w:val="00BE2EC5"/>
    <w:rsid w:val="00BE467D"/>
    <w:rsid w:val="00BE7E0B"/>
    <w:rsid w:val="00BF7E01"/>
    <w:rsid w:val="00C05F3A"/>
    <w:rsid w:val="00C108CE"/>
    <w:rsid w:val="00C10BA5"/>
    <w:rsid w:val="00C13E78"/>
    <w:rsid w:val="00C20332"/>
    <w:rsid w:val="00C21168"/>
    <w:rsid w:val="00C2476A"/>
    <w:rsid w:val="00C260E7"/>
    <w:rsid w:val="00C27D25"/>
    <w:rsid w:val="00C30090"/>
    <w:rsid w:val="00C306C0"/>
    <w:rsid w:val="00C323DF"/>
    <w:rsid w:val="00C34FB7"/>
    <w:rsid w:val="00C3559E"/>
    <w:rsid w:val="00C400F2"/>
    <w:rsid w:val="00C40962"/>
    <w:rsid w:val="00C41989"/>
    <w:rsid w:val="00C45E9A"/>
    <w:rsid w:val="00C50EA8"/>
    <w:rsid w:val="00C56827"/>
    <w:rsid w:val="00C57AAB"/>
    <w:rsid w:val="00C63E87"/>
    <w:rsid w:val="00C66F5D"/>
    <w:rsid w:val="00C72A5C"/>
    <w:rsid w:val="00C75227"/>
    <w:rsid w:val="00C82927"/>
    <w:rsid w:val="00C846C5"/>
    <w:rsid w:val="00C958DF"/>
    <w:rsid w:val="00CB0054"/>
    <w:rsid w:val="00CB25A1"/>
    <w:rsid w:val="00CC3600"/>
    <w:rsid w:val="00CC7AF4"/>
    <w:rsid w:val="00CD78B0"/>
    <w:rsid w:val="00CD793C"/>
    <w:rsid w:val="00D0159D"/>
    <w:rsid w:val="00D13072"/>
    <w:rsid w:val="00D1446C"/>
    <w:rsid w:val="00D20443"/>
    <w:rsid w:val="00D23B16"/>
    <w:rsid w:val="00D24F56"/>
    <w:rsid w:val="00D25584"/>
    <w:rsid w:val="00D265F6"/>
    <w:rsid w:val="00D26B1D"/>
    <w:rsid w:val="00D271D5"/>
    <w:rsid w:val="00D31055"/>
    <w:rsid w:val="00D354D0"/>
    <w:rsid w:val="00D4150C"/>
    <w:rsid w:val="00D437A9"/>
    <w:rsid w:val="00D45B52"/>
    <w:rsid w:val="00D461E7"/>
    <w:rsid w:val="00D476B3"/>
    <w:rsid w:val="00D50869"/>
    <w:rsid w:val="00D6159E"/>
    <w:rsid w:val="00D7107F"/>
    <w:rsid w:val="00D81027"/>
    <w:rsid w:val="00D85E41"/>
    <w:rsid w:val="00D866E7"/>
    <w:rsid w:val="00D97411"/>
    <w:rsid w:val="00DA3C8B"/>
    <w:rsid w:val="00DB7703"/>
    <w:rsid w:val="00DD67EC"/>
    <w:rsid w:val="00DE294A"/>
    <w:rsid w:val="00DE7664"/>
    <w:rsid w:val="00DF6D8A"/>
    <w:rsid w:val="00DF7BEA"/>
    <w:rsid w:val="00E035E2"/>
    <w:rsid w:val="00E074DA"/>
    <w:rsid w:val="00E11B51"/>
    <w:rsid w:val="00E1286B"/>
    <w:rsid w:val="00E15E53"/>
    <w:rsid w:val="00E20092"/>
    <w:rsid w:val="00E2144B"/>
    <w:rsid w:val="00E2548E"/>
    <w:rsid w:val="00E346C6"/>
    <w:rsid w:val="00E46FB0"/>
    <w:rsid w:val="00E5172F"/>
    <w:rsid w:val="00E60E46"/>
    <w:rsid w:val="00E61CF4"/>
    <w:rsid w:val="00E61DCB"/>
    <w:rsid w:val="00E6448B"/>
    <w:rsid w:val="00E66D57"/>
    <w:rsid w:val="00E722F0"/>
    <w:rsid w:val="00E72486"/>
    <w:rsid w:val="00E74147"/>
    <w:rsid w:val="00E75CFB"/>
    <w:rsid w:val="00E83129"/>
    <w:rsid w:val="00E84C08"/>
    <w:rsid w:val="00E9119A"/>
    <w:rsid w:val="00E919C7"/>
    <w:rsid w:val="00E94268"/>
    <w:rsid w:val="00E96642"/>
    <w:rsid w:val="00E96B59"/>
    <w:rsid w:val="00EA0990"/>
    <w:rsid w:val="00EA5F96"/>
    <w:rsid w:val="00EA61B8"/>
    <w:rsid w:val="00EA76BA"/>
    <w:rsid w:val="00EB7D85"/>
    <w:rsid w:val="00EC0906"/>
    <w:rsid w:val="00EC2E97"/>
    <w:rsid w:val="00ED69ED"/>
    <w:rsid w:val="00EE0107"/>
    <w:rsid w:val="00EE3EC4"/>
    <w:rsid w:val="00EF51C6"/>
    <w:rsid w:val="00F00B71"/>
    <w:rsid w:val="00F144D4"/>
    <w:rsid w:val="00F152C8"/>
    <w:rsid w:val="00F24FE8"/>
    <w:rsid w:val="00F25A17"/>
    <w:rsid w:val="00F2746E"/>
    <w:rsid w:val="00F51D82"/>
    <w:rsid w:val="00F63E1E"/>
    <w:rsid w:val="00F64A27"/>
    <w:rsid w:val="00F83343"/>
    <w:rsid w:val="00F838C7"/>
    <w:rsid w:val="00F85D91"/>
    <w:rsid w:val="00F95298"/>
    <w:rsid w:val="00F9539F"/>
    <w:rsid w:val="00FA0588"/>
    <w:rsid w:val="00FA164A"/>
    <w:rsid w:val="00FA55C8"/>
    <w:rsid w:val="00FA59FB"/>
    <w:rsid w:val="00FA7D14"/>
    <w:rsid w:val="00FB0056"/>
    <w:rsid w:val="00FB5016"/>
    <w:rsid w:val="00FB6B41"/>
    <w:rsid w:val="00FE62D4"/>
    <w:rsid w:val="00FE63CD"/>
    <w:rsid w:val="00FF028F"/>
    <w:rsid w:val="00FF375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D1B2AC"/>
  <w15:chartTrackingRefBased/>
  <w15:docId w15:val="{BFCE4B5A-BA2F-4EEA-9811-D0DCBE508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731A1"/>
    <w:pPr>
      <w:spacing w:after="0" w:line="240" w:lineRule="auto"/>
      <w:jc w:val="center"/>
    </w:pPr>
    <w:rPr>
      <w:rFonts w:ascii="Times New Roman" w:eastAsia="SimSun" w:hAnsi="Times New Roman" w:cs="Times New Roman"/>
      <w:sz w:val="20"/>
      <w:szCs w:val="20"/>
    </w:rPr>
  </w:style>
  <w:style w:type="paragraph" w:styleId="Heading1">
    <w:name w:val="heading 1"/>
    <w:aliases w:val="05_Heading 1"/>
    <w:basedOn w:val="Normal"/>
    <w:next w:val="Normal"/>
    <w:link w:val="Heading1Char"/>
    <w:qFormat/>
    <w:rsid w:val="003731A1"/>
    <w:pPr>
      <w:keepNext/>
      <w:keepLines/>
      <w:numPr>
        <w:numId w:val="3"/>
      </w:numPr>
      <w:tabs>
        <w:tab w:val="clear" w:pos="4613"/>
        <w:tab w:val="left" w:pos="216"/>
        <w:tab w:val="num" w:pos="576"/>
      </w:tabs>
      <w:spacing w:before="160" w:after="80"/>
      <w:outlineLvl w:val="0"/>
    </w:pPr>
    <w:rPr>
      <w:smallCaps/>
      <w:noProof/>
    </w:rPr>
  </w:style>
  <w:style w:type="paragraph" w:styleId="Heading2">
    <w:name w:val="heading 2"/>
    <w:aliases w:val="06_Heading 2"/>
    <w:basedOn w:val="Normal"/>
    <w:next w:val="Normal"/>
    <w:link w:val="Heading2Char"/>
    <w:qFormat/>
    <w:rsid w:val="003731A1"/>
    <w:pPr>
      <w:keepNext/>
      <w:keepLines/>
      <w:numPr>
        <w:ilvl w:val="1"/>
        <w:numId w:val="3"/>
      </w:numPr>
      <w:tabs>
        <w:tab w:val="clear" w:pos="360"/>
        <w:tab w:val="num" w:pos="288"/>
      </w:tabs>
      <w:spacing w:before="120" w:after="60"/>
      <w:jc w:val="left"/>
      <w:outlineLvl w:val="1"/>
    </w:pPr>
    <w:rPr>
      <w:i/>
      <w:iCs/>
      <w:noProof/>
    </w:rPr>
  </w:style>
  <w:style w:type="paragraph" w:styleId="Heading3">
    <w:name w:val="heading 3"/>
    <w:aliases w:val="07_Heading 3"/>
    <w:basedOn w:val="Normal"/>
    <w:next w:val="Normal"/>
    <w:link w:val="Heading3Char"/>
    <w:qFormat/>
    <w:rsid w:val="003731A1"/>
    <w:pPr>
      <w:numPr>
        <w:ilvl w:val="2"/>
        <w:numId w:val="3"/>
      </w:numPr>
      <w:spacing w:line="240" w:lineRule="exact"/>
      <w:ind w:firstLine="288"/>
      <w:jc w:val="both"/>
      <w:outlineLvl w:val="2"/>
    </w:pPr>
    <w:rPr>
      <w:i/>
      <w:iCs/>
      <w:noProof/>
    </w:rPr>
  </w:style>
  <w:style w:type="paragraph" w:styleId="Heading4">
    <w:name w:val="heading 4"/>
    <w:aliases w:val="08_Heading 4"/>
    <w:basedOn w:val="Normal"/>
    <w:next w:val="Normal"/>
    <w:link w:val="Heading4Char"/>
    <w:qFormat/>
    <w:rsid w:val="003731A1"/>
    <w:pPr>
      <w:numPr>
        <w:ilvl w:val="3"/>
        <w:numId w:val="3"/>
      </w:numPr>
      <w:tabs>
        <w:tab w:val="clear" w:pos="630"/>
        <w:tab w:val="left" w:pos="720"/>
      </w:tabs>
      <w:spacing w:before="40" w:after="40"/>
      <w:ind w:firstLine="504"/>
      <w:jc w:val="both"/>
      <w:outlineLvl w:val="3"/>
    </w:pPr>
    <w:rPr>
      <w:i/>
      <w:iCs/>
      <w:noProof/>
    </w:rPr>
  </w:style>
  <w:style w:type="paragraph" w:styleId="Heading5">
    <w:name w:val="heading 5"/>
    <w:aliases w:val="09_Heading 5"/>
    <w:basedOn w:val="Normal"/>
    <w:next w:val="Normal"/>
    <w:link w:val="Heading5Char"/>
    <w:qFormat/>
    <w:rsid w:val="003731A1"/>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05_Heading 1 Char"/>
    <w:basedOn w:val="DefaultParagraphFont"/>
    <w:link w:val="Heading1"/>
    <w:rsid w:val="003731A1"/>
    <w:rPr>
      <w:rFonts w:ascii="Times New Roman" w:eastAsia="SimSun" w:hAnsi="Times New Roman" w:cs="Times New Roman"/>
      <w:smallCaps/>
      <w:noProof/>
      <w:sz w:val="20"/>
      <w:szCs w:val="20"/>
    </w:rPr>
  </w:style>
  <w:style w:type="character" w:customStyle="1" w:styleId="Heading2Char">
    <w:name w:val="Heading 2 Char"/>
    <w:aliases w:val="06_Heading 2 Char"/>
    <w:basedOn w:val="DefaultParagraphFont"/>
    <w:link w:val="Heading2"/>
    <w:rsid w:val="003731A1"/>
    <w:rPr>
      <w:rFonts w:ascii="Times New Roman" w:eastAsia="SimSun" w:hAnsi="Times New Roman" w:cs="Times New Roman"/>
      <w:i/>
      <w:iCs/>
      <w:noProof/>
      <w:sz w:val="20"/>
      <w:szCs w:val="20"/>
    </w:rPr>
  </w:style>
  <w:style w:type="character" w:customStyle="1" w:styleId="Heading3Char">
    <w:name w:val="Heading 3 Char"/>
    <w:aliases w:val="07_Heading 3 Char"/>
    <w:basedOn w:val="DefaultParagraphFont"/>
    <w:link w:val="Heading3"/>
    <w:rsid w:val="003731A1"/>
    <w:rPr>
      <w:rFonts w:ascii="Times New Roman" w:eastAsia="SimSun" w:hAnsi="Times New Roman" w:cs="Times New Roman"/>
      <w:i/>
      <w:iCs/>
      <w:noProof/>
      <w:sz w:val="20"/>
      <w:szCs w:val="20"/>
    </w:rPr>
  </w:style>
  <w:style w:type="character" w:customStyle="1" w:styleId="Heading4Char">
    <w:name w:val="Heading 4 Char"/>
    <w:aliases w:val="08_Heading 4 Char"/>
    <w:basedOn w:val="DefaultParagraphFont"/>
    <w:link w:val="Heading4"/>
    <w:rsid w:val="003731A1"/>
    <w:rPr>
      <w:rFonts w:ascii="Times New Roman" w:eastAsia="SimSun" w:hAnsi="Times New Roman" w:cs="Times New Roman"/>
      <w:i/>
      <w:iCs/>
      <w:noProof/>
      <w:sz w:val="20"/>
      <w:szCs w:val="20"/>
    </w:rPr>
  </w:style>
  <w:style w:type="character" w:customStyle="1" w:styleId="Heading5Char">
    <w:name w:val="Heading 5 Char"/>
    <w:aliases w:val="09_Heading 5 Char"/>
    <w:basedOn w:val="DefaultParagraphFont"/>
    <w:link w:val="Heading5"/>
    <w:rsid w:val="003731A1"/>
    <w:rPr>
      <w:rFonts w:ascii="Times New Roman" w:eastAsia="SimSun" w:hAnsi="Times New Roman" w:cs="Times New Roman"/>
      <w:smallCaps/>
      <w:noProof/>
      <w:sz w:val="20"/>
      <w:szCs w:val="20"/>
      <w:lang w:val="en-US"/>
    </w:rPr>
  </w:style>
  <w:style w:type="paragraph" w:customStyle="1" w:styleId="03Abstract">
    <w:name w:val="03_Abstract"/>
    <w:qFormat/>
    <w:rsid w:val="003731A1"/>
    <w:pPr>
      <w:spacing w:after="200" w:line="240" w:lineRule="auto"/>
      <w:ind w:firstLine="272"/>
      <w:jc w:val="both"/>
    </w:pPr>
    <w:rPr>
      <w:rFonts w:ascii="Times New Roman" w:eastAsia="SimSun" w:hAnsi="Times New Roman" w:cs="Times New Roman"/>
      <w:b/>
      <w:bCs/>
      <w:sz w:val="18"/>
      <w:szCs w:val="18"/>
      <w:lang w:val="en-US"/>
    </w:rPr>
  </w:style>
  <w:style w:type="paragraph" w:customStyle="1" w:styleId="Affiliation">
    <w:name w:val="Affiliation"/>
    <w:rsid w:val="003731A1"/>
    <w:pPr>
      <w:spacing w:after="0" w:line="240" w:lineRule="auto"/>
      <w:jc w:val="center"/>
    </w:pPr>
    <w:rPr>
      <w:rFonts w:ascii="Times New Roman" w:eastAsia="SimSun" w:hAnsi="Times New Roman" w:cs="Times New Roman"/>
      <w:sz w:val="20"/>
      <w:szCs w:val="20"/>
      <w:lang w:val="en-US"/>
    </w:rPr>
  </w:style>
  <w:style w:type="paragraph" w:customStyle="1" w:styleId="Author">
    <w:name w:val="Author"/>
    <w:rsid w:val="003731A1"/>
    <w:pPr>
      <w:spacing w:before="360" w:after="40" w:line="240" w:lineRule="auto"/>
      <w:jc w:val="center"/>
    </w:pPr>
    <w:rPr>
      <w:rFonts w:ascii="Times New Roman" w:eastAsia="SimSun" w:hAnsi="Times New Roman" w:cs="Times New Roman"/>
      <w:noProof/>
      <w:lang w:val="en-US"/>
    </w:rPr>
  </w:style>
  <w:style w:type="paragraph" w:styleId="BodyText">
    <w:name w:val="Body Text"/>
    <w:aliases w:val="10_Body Text"/>
    <w:basedOn w:val="Normal"/>
    <w:next w:val="01PaperTitle"/>
    <w:link w:val="BodyTextChar"/>
    <w:qFormat/>
    <w:rsid w:val="003731A1"/>
    <w:pPr>
      <w:tabs>
        <w:tab w:val="left" w:pos="288"/>
      </w:tabs>
      <w:spacing w:after="120" w:line="228" w:lineRule="auto"/>
      <w:ind w:firstLine="288"/>
      <w:jc w:val="both"/>
    </w:pPr>
    <w:rPr>
      <w:spacing w:val="-1"/>
    </w:rPr>
  </w:style>
  <w:style w:type="character" w:customStyle="1" w:styleId="BodyTextChar">
    <w:name w:val="Body Text Char"/>
    <w:aliases w:val="10_Body Text Char"/>
    <w:basedOn w:val="DefaultParagraphFont"/>
    <w:link w:val="BodyText"/>
    <w:rsid w:val="003731A1"/>
    <w:rPr>
      <w:rFonts w:ascii="Times New Roman" w:eastAsia="SimSun" w:hAnsi="Times New Roman" w:cs="Times New Roman"/>
      <w:spacing w:val="-1"/>
      <w:sz w:val="20"/>
      <w:szCs w:val="20"/>
      <w:lang w:val="en-US"/>
    </w:rPr>
  </w:style>
  <w:style w:type="paragraph" w:customStyle="1" w:styleId="11BulletList">
    <w:name w:val="11_Bullet List"/>
    <w:basedOn w:val="BodyText"/>
    <w:qFormat/>
    <w:rsid w:val="003731A1"/>
    <w:pPr>
      <w:numPr>
        <w:numId w:val="1"/>
      </w:numPr>
      <w:tabs>
        <w:tab w:val="clear" w:pos="288"/>
        <w:tab w:val="clear" w:pos="648"/>
        <w:tab w:val="left" w:pos="567"/>
      </w:tabs>
      <w:ind w:left="576" w:hanging="288"/>
    </w:pPr>
  </w:style>
  <w:style w:type="paragraph" w:customStyle="1" w:styleId="13Equation">
    <w:name w:val="13_Equation"/>
    <w:basedOn w:val="Normal"/>
    <w:qFormat/>
    <w:rsid w:val="003731A1"/>
    <w:pPr>
      <w:tabs>
        <w:tab w:val="center" w:pos="2520"/>
        <w:tab w:val="right" w:pos="5040"/>
      </w:tabs>
      <w:spacing w:after="120"/>
      <w:jc w:val="right"/>
    </w:pPr>
    <w:rPr>
      <w:rFonts w:ascii="Symbol" w:hAnsi="Symbol" w:cs="Symbol"/>
    </w:rPr>
  </w:style>
  <w:style w:type="paragraph" w:customStyle="1" w:styleId="15FigureCaption">
    <w:name w:val="15_Figure Caption"/>
    <w:qFormat/>
    <w:rsid w:val="003731A1"/>
    <w:pPr>
      <w:numPr>
        <w:numId w:val="2"/>
      </w:numPr>
      <w:tabs>
        <w:tab w:val="left" w:pos="533"/>
      </w:tabs>
      <w:spacing w:before="80" w:after="200" w:line="240" w:lineRule="auto"/>
      <w:ind w:left="0" w:firstLine="0"/>
      <w:jc w:val="center"/>
    </w:pPr>
    <w:rPr>
      <w:rFonts w:ascii="Times New Roman" w:eastAsia="SimSun" w:hAnsi="Times New Roman" w:cs="Times New Roman"/>
      <w:noProof/>
      <w:sz w:val="16"/>
      <w:szCs w:val="16"/>
      <w:lang w:val="en-US"/>
    </w:rPr>
  </w:style>
  <w:style w:type="paragraph" w:customStyle="1" w:styleId="02PaperSubtitle">
    <w:name w:val="02_Paper Subtitle"/>
    <w:qFormat/>
    <w:rsid w:val="003731A1"/>
    <w:pPr>
      <w:spacing w:after="120" w:line="240" w:lineRule="auto"/>
      <w:jc w:val="center"/>
    </w:pPr>
    <w:rPr>
      <w:rFonts w:ascii="Times New Roman" w:eastAsia="MS Mincho" w:hAnsi="Times New Roman" w:cs="Times New Roman"/>
      <w:noProof/>
      <w:sz w:val="28"/>
      <w:szCs w:val="28"/>
      <w:lang w:val="en-US"/>
    </w:rPr>
  </w:style>
  <w:style w:type="paragraph" w:customStyle="1" w:styleId="01PaperTitle">
    <w:name w:val="01_Paper Title"/>
    <w:qFormat/>
    <w:rsid w:val="003731A1"/>
    <w:pPr>
      <w:spacing w:after="120" w:line="240" w:lineRule="auto"/>
      <w:jc w:val="center"/>
    </w:pPr>
    <w:rPr>
      <w:rFonts w:ascii="Times New Roman" w:eastAsia="MS Mincho" w:hAnsi="Times New Roman" w:cs="Times New Roman"/>
      <w:noProof/>
      <w:sz w:val="48"/>
      <w:szCs w:val="48"/>
      <w:lang w:val="en-US"/>
    </w:rPr>
  </w:style>
  <w:style w:type="paragraph" w:customStyle="1" w:styleId="16References">
    <w:name w:val="16_References"/>
    <w:qFormat/>
    <w:rsid w:val="003731A1"/>
    <w:pPr>
      <w:numPr>
        <w:numId w:val="4"/>
      </w:numPr>
      <w:spacing w:after="50" w:line="180" w:lineRule="exact"/>
      <w:ind w:left="354" w:hanging="354"/>
      <w:jc w:val="both"/>
    </w:pPr>
    <w:rPr>
      <w:rFonts w:ascii="Times New Roman" w:eastAsia="MS Mincho" w:hAnsi="Times New Roman" w:cs="Times New Roman"/>
      <w:noProof/>
      <w:sz w:val="16"/>
      <w:szCs w:val="16"/>
      <w:lang w:val="en-US"/>
    </w:rPr>
  </w:style>
  <w:style w:type="paragraph" w:customStyle="1" w:styleId="sponsors">
    <w:name w:val="sponsors"/>
    <w:rsid w:val="003731A1"/>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lang w:val="en-US"/>
    </w:rPr>
  </w:style>
  <w:style w:type="paragraph" w:customStyle="1" w:styleId="tablecolhead">
    <w:name w:val="table col head"/>
    <w:basedOn w:val="Normal"/>
    <w:rsid w:val="003731A1"/>
    <w:rPr>
      <w:b/>
      <w:bCs/>
      <w:sz w:val="16"/>
      <w:szCs w:val="16"/>
    </w:rPr>
  </w:style>
  <w:style w:type="paragraph" w:customStyle="1" w:styleId="tablecolsubhead">
    <w:name w:val="table col subhead"/>
    <w:basedOn w:val="tablecolhead"/>
    <w:rsid w:val="003731A1"/>
    <w:rPr>
      <w:i/>
      <w:iCs/>
      <w:sz w:val="15"/>
      <w:szCs w:val="15"/>
    </w:rPr>
  </w:style>
  <w:style w:type="paragraph" w:customStyle="1" w:styleId="tablecopy">
    <w:name w:val="table copy"/>
    <w:rsid w:val="003731A1"/>
    <w:pPr>
      <w:spacing w:after="0" w:line="240" w:lineRule="auto"/>
      <w:jc w:val="both"/>
    </w:pPr>
    <w:rPr>
      <w:rFonts w:ascii="Times New Roman" w:eastAsia="SimSun" w:hAnsi="Times New Roman" w:cs="Times New Roman"/>
      <w:noProof/>
      <w:sz w:val="16"/>
      <w:szCs w:val="16"/>
      <w:lang w:val="en-US"/>
    </w:rPr>
  </w:style>
  <w:style w:type="paragraph" w:customStyle="1" w:styleId="tablefootnote">
    <w:name w:val="table footnote"/>
    <w:rsid w:val="003731A1"/>
    <w:pPr>
      <w:numPr>
        <w:numId w:val="6"/>
      </w:numPr>
      <w:spacing w:before="60" w:after="30" w:line="240" w:lineRule="auto"/>
      <w:ind w:left="58" w:hanging="29"/>
      <w:jc w:val="right"/>
    </w:pPr>
    <w:rPr>
      <w:rFonts w:ascii="Times New Roman" w:eastAsia="SimSun" w:hAnsi="Times New Roman" w:cs="Times New Roman"/>
      <w:sz w:val="12"/>
      <w:szCs w:val="12"/>
      <w:lang w:val="en-US"/>
    </w:rPr>
  </w:style>
  <w:style w:type="paragraph" w:customStyle="1" w:styleId="14TableHead">
    <w:name w:val="14_Table Head"/>
    <w:qFormat/>
    <w:rsid w:val="003731A1"/>
    <w:pPr>
      <w:numPr>
        <w:numId w:val="5"/>
      </w:numPr>
      <w:tabs>
        <w:tab w:val="clear" w:pos="1080"/>
        <w:tab w:val="num" w:pos="993"/>
      </w:tabs>
      <w:spacing w:before="240" w:after="120" w:line="216" w:lineRule="auto"/>
      <w:jc w:val="center"/>
    </w:pPr>
    <w:rPr>
      <w:rFonts w:ascii="Times New Roman" w:eastAsia="SimSun" w:hAnsi="Times New Roman" w:cs="Times New Roman"/>
      <w:smallCaps/>
      <w:noProof/>
      <w:sz w:val="16"/>
      <w:szCs w:val="16"/>
      <w:lang w:val="en-US"/>
    </w:rPr>
  </w:style>
  <w:style w:type="paragraph" w:customStyle="1" w:styleId="04Keywords">
    <w:name w:val="04_Keywords"/>
    <w:basedOn w:val="03Abstract"/>
    <w:qFormat/>
    <w:rsid w:val="003731A1"/>
    <w:pPr>
      <w:spacing w:after="120"/>
      <w:ind w:firstLine="274"/>
    </w:pPr>
    <w:rPr>
      <w:i/>
    </w:rPr>
  </w:style>
  <w:style w:type="paragraph" w:styleId="Header">
    <w:name w:val="header"/>
    <w:basedOn w:val="Normal"/>
    <w:link w:val="HeaderChar"/>
    <w:rsid w:val="003731A1"/>
    <w:pPr>
      <w:tabs>
        <w:tab w:val="center" w:pos="4513"/>
        <w:tab w:val="right" w:pos="9026"/>
      </w:tabs>
    </w:pPr>
  </w:style>
  <w:style w:type="character" w:customStyle="1" w:styleId="HeaderChar">
    <w:name w:val="Header Char"/>
    <w:basedOn w:val="DefaultParagraphFont"/>
    <w:link w:val="Header"/>
    <w:rsid w:val="003731A1"/>
    <w:rPr>
      <w:rFonts w:ascii="Times New Roman" w:eastAsia="SimSun" w:hAnsi="Times New Roman" w:cs="Times New Roman"/>
      <w:sz w:val="20"/>
      <w:szCs w:val="20"/>
      <w:lang w:val="en-US"/>
    </w:rPr>
  </w:style>
  <w:style w:type="paragraph" w:styleId="Footer">
    <w:name w:val="footer"/>
    <w:basedOn w:val="Normal"/>
    <w:link w:val="FooterChar"/>
    <w:uiPriority w:val="99"/>
    <w:rsid w:val="003731A1"/>
    <w:pPr>
      <w:tabs>
        <w:tab w:val="center" w:pos="4513"/>
        <w:tab w:val="right" w:pos="9026"/>
      </w:tabs>
    </w:pPr>
  </w:style>
  <w:style w:type="character" w:customStyle="1" w:styleId="FooterChar">
    <w:name w:val="Footer Char"/>
    <w:basedOn w:val="DefaultParagraphFont"/>
    <w:link w:val="Footer"/>
    <w:uiPriority w:val="99"/>
    <w:rsid w:val="003731A1"/>
    <w:rPr>
      <w:rFonts w:ascii="Times New Roman" w:eastAsia="SimSun" w:hAnsi="Times New Roman" w:cs="Times New Roman"/>
      <w:sz w:val="20"/>
      <w:szCs w:val="20"/>
      <w:lang w:val="en-US"/>
    </w:rPr>
  </w:style>
  <w:style w:type="paragraph" w:customStyle="1" w:styleId="12ListParagrph2">
    <w:name w:val="12_List Paragrph 2"/>
    <w:basedOn w:val="Normal"/>
    <w:qFormat/>
    <w:rsid w:val="003731A1"/>
    <w:pPr>
      <w:numPr>
        <w:ilvl w:val="1"/>
        <w:numId w:val="7"/>
      </w:numPr>
      <w:spacing w:after="120"/>
      <w:ind w:left="867" w:hanging="357"/>
      <w:jc w:val="both"/>
    </w:pPr>
  </w:style>
  <w:style w:type="paragraph" w:styleId="ListParagraph">
    <w:name w:val="List Paragraph"/>
    <w:basedOn w:val="Normal"/>
    <w:uiPriority w:val="34"/>
    <w:qFormat/>
    <w:rsid w:val="003E341F"/>
    <w:pPr>
      <w:spacing w:after="200" w:line="360" w:lineRule="auto"/>
      <w:ind w:left="720"/>
      <w:contextualSpacing/>
      <w:jc w:val="left"/>
    </w:pPr>
    <w:rPr>
      <w:rFonts w:asciiTheme="minorHAnsi" w:eastAsiaTheme="minorHAnsi" w:hAnsiTheme="minorHAnsi" w:cstheme="minorBidi"/>
      <w:sz w:val="22"/>
      <w:szCs w:val="22"/>
      <w:lang w:val="tr-TR"/>
      <w14:ligatures w14:val="standardContextual"/>
    </w:rPr>
  </w:style>
  <w:style w:type="character" w:styleId="FootnoteReference">
    <w:name w:val="footnote reference"/>
    <w:basedOn w:val="DefaultParagraphFont"/>
    <w:uiPriority w:val="99"/>
    <w:semiHidden/>
    <w:unhideWhenUsed/>
    <w:rsid w:val="00EF51C6"/>
    <w:rPr>
      <w:vertAlign w:val="superscript"/>
    </w:rPr>
  </w:style>
  <w:style w:type="paragraph" w:customStyle="1" w:styleId="footnote">
    <w:name w:val="footnote"/>
    <w:rsid w:val="00BC4D7D"/>
    <w:pPr>
      <w:framePr w:hSpace="187" w:vSpace="187" w:wrap="notBeside" w:vAnchor="text" w:hAnchor="page" w:x="6121" w:y="577"/>
      <w:numPr>
        <w:numId w:val="8"/>
      </w:numPr>
      <w:spacing w:after="40" w:line="240" w:lineRule="auto"/>
    </w:pPr>
    <w:rPr>
      <w:rFonts w:ascii="Times New Roman" w:eastAsia="SimSun" w:hAnsi="Times New Roman" w:cs="Times New Roman"/>
      <w:sz w:val="16"/>
      <w:szCs w:val="16"/>
      <w:lang w:val="en-US"/>
    </w:rPr>
  </w:style>
  <w:style w:type="paragraph" w:styleId="HTMLPreformatted">
    <w:name w:val="HTML Preformatted"/>
    <w:basedOn w:val="Normal"/>
    <w:link w:val="HTMLPreformattedChar"/>
    <w:uiPriority w:val="99"/>
    <w:unhideWhenUsed/>
    <w:rsid w:val="00823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eastAsia="en-GB"/>
    </w:rPr>
  </w:style>
  <w:style w:type="character" w:customStyle="1" w:styleId="HTMLPreformattedChar">
    <w:name w:val="HTML Preformatted Char"/>
    <w:basedOn w:val="DefaultParagraphFont"/>
    <w:link w:val="HTMLPreformatted"/>
    <w:uiPriority w:val="99"/>
    <w:rsid w:val="00823997"/>
    <w:rPr>
      <w:rFonts w:ascii="Courier New" w:eastAsia="Times New Roman" w:hAnsi="Courier New" w:cs="Courier New"/>
      <w:sz w:val="20"/>
      <w:szCs w:val="20"/>
      <w:lang w:eastAsia="en-GB"/>
    </w:rPr>
  </w:style>
  <w:style w:type="character" w:customStyle="1" w:styleId="y2iqfc">
    <w:name w:val="y2iqfc"/>
    <w:basedOn w:val="DefaultParagraphFont"/>
    <w:rsid w:val="00823997"/>
  </w:style>
  <w:style w:type="paragraph" w:customStyle="1" w:styleId="muitypography-root">
    <w:name w:val="muitypography-root"/>
    <w:basedOn w:val="Normal"/>
    <w:rsid w:val="009D7C1D"/>
    <w:pPr>
      <w:spacing w:before="100" w:beforeAutospacing="1" w:after="100" w:afterAutospacing="1"/>
      <w:jc w:val="left"/>
    </w:pPr>
    <w:rPr>
      <w:rFonts w:eastAsia="Times New Roman"/>
      <w:sz w:val="24"/>
      <w:szCs w:val="24"/>
      <w:lang w:eastAsia="en-GB"/>
    </w:rPr>
  </w:style>
  <w:style w:type="paragraph" w:styleId="NormalWeb">
    <w:name w:val="Normal (Web)"/>
    <w:basedOn w:val="Normal"/>
    <w:uiPriority w:val="99"/>
    <w:unhideWhenUsed/>
    <w:rsid w:val="000D3963"/>
    <w:pPr>
      <w:spacing w:before="100" w:beforeAutospacing="1" w:after="100" w:afterAutospacing="1"/>
      <w:jc w:val="left"/>
    </w:pPr>
    <w:rPr>
      <w:rFonts w:eastAsia="Times New Roman"/>
      <w:sz w:val="24"/>
      <w:szCs w:val="24"/>
      <w:lang w:eastAsia="en-GB"/>
    </w:rPr>
  </w:style>
  <w:style w:type="paragraph" w:customStyle="1" w:styleId="Default">
    <w:name w:val="Default"/>
    <w:rsid w:val="006C02C0"/>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A77B7E"/>
    <w:rPr>
      <w:b/>
      <w:bCs/>
    </w:rPr>
  </w:style>
  <w:style w:type="character" w:styleId="Emphasis">
    <w:name w:val="Emphasis"/>
    <w:basedOn w:val="DefaultParagraphFont"/>
    <w:uiPriority w:val="20"/>
    <w:qFormat/>
    <w:rsid w:val="00A77B7E"/>
    <w:rPr>
      <w:i/>
      <w:iCs/>
    </w:rPr>
  </w:style>
  <w:style w:type="character" w:styleId="Hyperlink">
    <w:name w:val="Hyperlink"/>
    <w:basedOn w:val="DefaultParagraphFont"/>
    <w:uiPriority w:val="99"/>
    <w:unhideWhenUsed/>
    <w:rsid w:val="00280421"/>
    <w:rPr>
      <w:color w:val="0000FF"/>
      <w:u w:val="single"/>
    </w:rPr>
  </w:style>
  <w:style w:type="paragraph" w:styleId="FootnoteText">
    <w:name w:val="footnote text"/>
    <w:basedOn w:val="Normal"/>
    <w:link w:val="FootnoteTextChar"/>
    <w:uiPriority w:val="99"/>
    <w:semiHidden/>
    <w:unhideWhenUsed/>
    <w:rsid w:val="00D4150C"/>
  </w:style>
  <w:style w:type="character" w:customStyle="1" w:styleId="FootnoteTextChar">
    <w:name w:val="Footnote Text Char"/>
    <w:basedOn w:val="DefaultParagraphFont"/>
    <w:link w:val="FootnoteText"/>
    <w:uiPriority w:val="99"/>
    <w:semiHidden/>
    <w:rsid w:val="00D4150C"/>
    <w:rPr>
      <w:rFonts w:ascii="Times New Roman" w:eastAsia="SimSun" w:hAnsi="Times New Roman" w:cs="Times New Roman"/>
      <w:sz w:val="20"/>
      <w:szCs w:val="20"/>
    </w:rPr>
  </w:style>
  <w:style w:type="character" w:customStyle="1" w:styleId="html-italic">
    <w:name w:val="html-italic"/>
    <w:basedOn w:val="DefaultParagraphFont"/>
    <w:rsid w:val="00485C55"/>
  </w:style>
  <w:style w:type="table" w:styleId="TableGrid">
    <w:name w:val="Table Grid"/>
    <w:basedOn w:val="TableNormal"/>
    <w:uiPriority w:val="39"/>
    <w:rsid w:val="00485C5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ected">
    <w:name w:val="selected"/>
    <w:basedOn w:val="DefaultParagraphFont"/>
    <w:rsid w:val="000D4D4C"/>
  </w:style>
  <w:style w:type="paragraph" w:customStyle="1" w:styleId="ReferHead">
    <w:name w:val="Refer Head"/>
    <w:basedOn w:val="Normal"/>
    <w:rsid w:val="00A0294B"/>
    <w:pPr>
      <w:keepNext/>
      <w:spacing w:after="240"/>
      <w:jc w:val="left"/>
    </w:pPr>
    <w:rPr>
      <w:rFonts w:ascii="Helvetica" w:eastAsia="Times New Roman" w:hAnsi="Helvetica"/>
      <w:b/>
      <w:caps/>
      <w:sz w:val="22"/>
      <w:lang w:val="en-US"/>
    </w:rPr>
  </w:style>
  <w:style w:type="paragraph" w:customStyle="1" w:styleId="Body">
    <w:name w:val="Body"/>
    <w:basedOn w:val="Normal"/>
    <w:rsid w:val="00C82927"/>
    <w:pPr>
      <w:spacing w:after="240"/>
      <w:jc w:val="both"/>
    </w:pPr>
    <w:rPr>
      <w:rFonts w:ascii="Helvetica" w:eastAsia="Times New Roman" w:hAnsi="Helvetica"/>
      <w:lang w:val="en-US"/>
    </w:rPr>
  </w:style>
  <w:style w:type="character" w:styleId="UnresolvedMention">
    <w:name w:val="Unresolved Mention"/>
    <w:basedOn w:val="DefaultParagraphFont"/>
    <w:uiPriority w:val="99"/>
    <w:semiHidden/>
    <w:unhideWhenUsed/>
    <w:rsid w:val="008903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879">
      <w:bodyDiv w:val="1"/>
      <w:marLeft w:val="0"/>
      <w:marRight w:val="0"/>
      <w:marTop w:val="0"/>
      <w:marBottom w:val="0"/>
      <w:divBdr>
        <w:top w:val="none" w:sz="0" w:space="0" w:color="auto"/>
        <w:left w:val="none" w:sz="0" w:space="0" w:color="auto"/>
        <w:bottom w:val="none" w:sz="0" w:space="0" w:color="auto"/>
        <w:right w:val="none" w:sz="0" w:space="0" w:color="auto"/>
      </w:divBdr>
    </w:div>
    <w:div w:id="20789311">
      <w:bodyDiv w:val="1"/>
      <w:marLeft w:val="0"/>
      <w:marRight w:val="0"/>
      <w:marTop w:val="0"/>
      <w:marBottom w:val="0"/>
      <w:divBdr>
        <w:top w:val="none" w:sz="0" w:space="0" w:color="auto"/>
        <w:left w:val="none" w:sz="0" w:space="0" w:color="auto"/>
        <w:bottom w:val="none" w:sz="0" w:space="0" w:color="auto"/>
        <w:right w:val="none" w:sz="0" w:space="0" w:color="auto"/>
      </w:divBdr>
    </w:div>
    <w:div w:id="66535866">
      <w:bodyDiv w:val="1"/>
      <w:marLeft w:val="0"/>
      <w:marRight w:val="0"/>
      <w:marTop w:val="0"/>
      <w:marBottom w:val="0"/>
      <w:divBdr>
        <w:top w:val="none" w:sz="0" w:space="0" w:color="auto"/>
        <w:left w:val="none" w:sz="0" w:space="0" w:color="auto"/>
        <w:bottom w:val="none" w:sz="0" w:space="0" w:color="auto"/>
        <w:right w:val="none" w:sz="0" w:space="0" w:color="auto"/>
      </w:divBdr>
    </w:div>
    <w:div w:id="71513809">
      <w:bodyDiv w:val="1"/>
      <w:marLeft w:val="0"/>
      <w:marRight w:val="0"/>
      <w:marTop w:val="0"/>
      <w:marBottom w:val="0"/>
      <w:divBdr>
        <w:top w:val="none" w:sz="0" w:space="0" w:color="auto"/>
        <w:left w:val="none" w:sz="0" w:space="0" w:color="auto"/>
        <w:bottom w:val="none" w:sz="0" w:space="0" w:color="auto"/>
        <w:right w:val="none" w:sz="0" w:space="0" w:color="auto"/>
      </w:divBdr>
    </w:div>
    <w:div w:id="104429083">
      <w:bodyDiv w:val="1"/>
      <w:marLeft w:val="0"/>
      <w:marRight w:val="0"/>
      <w:marTop w:val="0"/>
      <w:marBottom w:val="0"/>
      <w:divBdr>
        <w:top w:val="none" w:sz="0" w:space="0" w:color="auto"/>
        <w:left w:val="none" w:sz="0" w:space="0" w:color="auto"/>
        <w:bottom w:val="none" w:sz="0" w:space="0" w:color="auto"/>
        <w:right w:val="none" w:sz="0" w:space="0" w:color="auto"/>
      </w:divBdr>
    </w:div>
    <w:div w:id="170216620">
      <w:bodyDiv w:val="1"/>
      <w:marLeft w:val="0"/>
      <w:marRight w:val="0"/>
      <w:marTop w:val="0"/>
      <w:marBottom w:val="0"/>
      <w:divBdr>
        <w:top w:val="none" w:sz="0" w:space="0" w:color="auto"/>
        <w:left w:val="none" w:sz="0" w:space="0" w:color="auto"/>
        <w:bottom w:val="none" w:sz="0" w:space="0" w:color="auto"/>
        <w:right w:val="none" w:sz="0" w:space="0" w:color="auto"/>
      </w:divBdr>
    </w:div>
    <w:div w:id="246426153">
      <w:bodyDiv w:val="1"/>
      <w:marLeft w:val="0"/>
      <w:marRight w:val="0"/>
      <w:marTop w:val="0"/>
      <w:marBottom w:val="0"/>
      <w:divBdr>
        <w:top w:val="none" w:sz="0" w:space="0" w:color="auto"/>
        <w:left w:val="none" w:sz="0" w:space="0" w:color="auto"/>
        <w:bottom w:val="none" w:sz="0" w:space="0" w:color="auto"/>
        <w:right w:val="none" w:sz="0" w:space="0" w:color="auto"/>
      </w:divBdr>
    </w:div>
    <w:div w:id="301812634">
      <w:bodyDiv w:val="1"/>
      <w:marLeft w:val="0"/>
      <w:marRight w:val="0"/>
      <w:marTop w:val="0"/>
      <w:marBottom w:val="0"/>
      <w:divBdr>
        <w:top w:val="none" w:sz="0" w:space="0" w:color="auto"/>
        <w:left w:val="none" w:sz="0" w:space="0" w:color="auto"/>
        <w:bottom w:val="none" w:sz="0" w:space="0" w:color="auto"/>
        <w:right w:val="none" w:sz="0" w:space="0" w:color="auto"/>
      </w:divBdr>
    </w:div>
    <w:div w:id="323244036">
      <w:bodyDiv w:val="1"/>
      <w:marLeft w:val="0"/>
      <w:marRight w:val="0"/>
      <w:marTop w:val="0"/>
      <w:marBottom w:val="0"/>
      <w:divBdr>
        <w:top w:val="none" w:sz="0" w:space="0" w:color="auto"/>
        <w:left w:val="none" w:sz="0" w:space="0" w:color="auto"/>
        <w:bottom w:val="none" w:sz="0" w:space="0" w:color="auto"/>
        <w:right w:val="none" w:sz="0" w:space="0" w:color="auto"/>
      </w:divBdr>
    </w:div>
    <w:div w:id="329985557">
      <w:bodyDiv w:val="1"/>
      <w:marLeft w:val="0"/>
      <w:marRight w:val="0"/>
      <w:marTop w:val="0"/>
      <w:marBottom w:val="0"/>
      <w:divBdr>
        <w:top w:val="none" w:sz="0" w:space="0" w:color="auto"/>
        <w:left w:val="none" w:sz="0" w:space="0" w:color="auto"/>
        <w:bottom w:val="none" w:sz="0" w:space="0" w:color="auto"/>
        <w:right w:val="none" w:sz="0" w:space="0" w:color="auto"/>
      </w:divBdr>
    </w:div>
    <w:div w:id="385422940">
      <w:bodyDiv w:val="1"/>
      <w:marLeft w:val="0"/>
      <w:marRight w:val="0"/>
      <w:marTop w:val="0"/>
      <w:marBottom w:val="0"/>
      <w:divBdr>
        <w:top w:val="none" w:sz="0" w:space="0" w:color="auto"/>
        <w:left w:val="none" w:sz="0" w:space="0" w:color="auto"/>
        <w:bottom w:val="none" w:sz="0" w:space="0" w:color="auto"/>
        <w:right w:val="none" w:sz="0" w:space="0" w:color="auto"/>
      </w:divBdr>
    </w:div>
    <w:div w:id="393478548">
      <w:bodyDiv w:val="1"/>
      <w:marLeft w:val="0"/>
      <w:marRight w:val="0"/>
      <w:marTop w:val="0"/>
      <w:marBottom w:val="0"/>
      <w:divBdr>
        <w:top w:val="none" w:sz="0" w:space="0" w:color="auto"/>
        <w:left w:val="none" w:sz="0" w:space="0" w:color="auto"/>
        <w:bottom w:val="none" w:sz="0" w:space="0" w:color="auto"/>
        <w:right w:val="none" w:sz="0" w:space="0" w:color="auto"/>
      </w:divBdr>
    </w:div>
    <w:div w:id="421295288">
      <w:bodyDiv w:val="1"/>
      <w:marLeft w:val="0"/>
      <w:marRight w:val="0"/>
      <w:marTop w:val="0"/>
      <w:marBottom w:val="0"/>
      <w:divBdr>
        <w:top w:val="none" w:sz="0" w:space="0" w:color="auto"/>
        <w:left w:val="none" w:sz="0" w:space="0" w:color="auto"/>
        <w:bottom w:val="none" w:sz="0" w:space="0" w:color="auto"/>
        <w:right w:val="none" w:sz="0" w:space="0" w:color="auto"/>
      </w:divBdr>
    </w:div>
    <w:div w:id="490634434">
      <w:bodyDiv w:val="1"/>
      <w:marLeft w:val="0"/>
      <w:marRight w:val="0"/>
      <w:marTop w:val="0"/>
      <w:marBottom w:val="0"/>
      <w:divBdr>
        <w:top w:val="none" w:sz="0" w:space="0" w:color="auto"/>
        <w:left w:val="none" w:sz="0" w:space="0" w:color="auto"/>
        <w:bottom w:val="none" w:sz="0" w:space="0" w:color="auto"/>
        <w:right w:val="none" w:sz="0" w:space="0" w:color="auto"/>
      </w:divBdr>
    </w:div>
    <w:div w:id="516390492">
      <w:bodyDiv w:val="1"/>
      <w:marLeft w:val="0"/>
      <w:marRight w:val="0"/>
      <w:marTop w:val="0"/>
      <w:marBottom w:val="0"/>
      <w:divBdr>
        <w:top w:val="none" w:sz="0" w:space="0" w:color="auto"/>
        <w:left w:val="none" w:sz="0" w:space="0" w:color="auto"/>
        <w:bottom w:val="none" w:sz="0" w:space="0" w:color="auto"/>
        <w:right w:val="none" w:sz="0" w:space="0" w:color="auto"/>
      </w:divBdr>
    </w:div>
    <w:div w:id="637879971">
      <w:bodyDiv w:val="1"/>
      <w:marLeft w:val="0"/>
      <w:marRight w:val="0"/>
      <w:marTop w:val="0"/>
      <w:marBottom w:val="0"/>
      <w:divBdr>
        <w:top w:val="none" w:sz="0" w:space="0" w:color="auto"/>
        <w:left w:val="none" w:sz="0" w:space="0" w:color="auto"/>
        <w:bottom w:val="none" w:sz="0" w:space="0" w:color="auto"/>
        <w:right w:val="none" w:sz="0" w:space="0" w:color="auto"/>
      </w:divBdr>
    </w:div>
    <w:div w:id="670059088">
      <w:bodyDiv w:val="1"/>
      <w:marLeft w:val="0"/>
      <w:marRight w:val="0"/>
      <w:marTop w:val="0"/>
      <w:marBottom w:val="0"/>
      <w:divBdr>
        <w:top w:val="none" w:sz="0" w:space="0" w:color="auto"/>
        <w:left w:val="none" w:sz="0" w:space="0" w:color="auto"/>
        <w:bottom w:val="none" w:sz="0" w:space="0" w:color="auto"/>
        <w:right w:val="none" w:sz="0" w:space="0" w:color="auto"/>
      </w:divBdr>
    </w:div>
    <w:div w:id="763651518">
      <w:bodyDiv w:val="1"/>
      <w:marLeft w:val="0"/>
      <w:marRight w:val="0"/>
      <w:marTop w:val="0"/>
      <w:marBottom w:val="0"/>
      <w:divBdr>
        <w:top w:val="none" w:sz="0" w:space="0" w:color="auto"/>
        <w:left w:val="none" w:sz="0" w:space="0" w:color="auto"/>
        <w:bottom w:val="none" w:sz="0" w:space="0" w:color="auto"/>
        <w:right w:val="none" w:sz="0" w:space="0" w:color="auto"/>
      </w:divBdr>
    </w:div>
    <w:div w:id="822357736">
      <w:bodyDiv w:val="1"/>
      <w:marLeft w:val="0"/>
      <w:marRight w:val="0"/>
      <w:marTop w:val="0"/>
      <w:marBottom w:val="0"/>
      <w:divBdr>
        <w:top w:val="none" w:sz="0" w:space="0" w:color="auto"/>
        <w:left w:val="none" w:sz="0" w:space="0" w:color="auto"/>
        <w:bottom w:val="none" w:sz="0" w:space="0" w:color="auto"/>
        <w:right w:val="none" w:sz="0" w:space="0" w:color="auto"/>
      </w:divBdr>
    </w:div>
    <w:div w:id="832070687">
      <w:bodyDiv w:val="1"/>
      <w:marLeft w:val="0"/>
      <w:marRight w:val="0"/>
      <w:marTop w:val="0"/>
      <w:marBottom w:val="0"/>
      <w:divBdr>
        <w:top w:val="none" w:sz="0" w:space="0" w:color="auto"/>
        <w:left w:val="none" w:sz="0" w:space="0" w:color="auto"/>
        <w:bottom w:val="none" w:sz="0" w:space="0" w:color="auto"/>
        <w:right w:val="none" w:sz="0" w:space="0" w:color="auto"/>
      </w:divBdr>
      <w:divsChild>
        <w:div w:id="1202400689">
          <w:marLeft w:val="0"/>
          <w:marRight w:val="0"/>
          <w:marTop w:val="15"/>
          <w:marBottom w:val="0"/>
          <w:divBdr>
            <w:top w:val="single" w:sz="48" w:space="0" w:color="auto"/>
            <w:left w:val="single" w:sz="48" w:space="0" w:color="auto"/>
            <w:bottom w:val="single" w:sz="48" w:space="0" w:color="auto"/>
            <w:right w:val="single" w:sz="48" w:space="0" w:color="auto"/>
          </w:divBdr>
          <w:divsChild>
            <w:div w:id="97382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267453">
      <w:bodyDiv w:val="1"/>
      <w:marLeft w:val="0"/>
      <w:marRight w:val="0"/>
      <w:marTop w:val="0"/>
      <w:marBottom w:val="0"/>
      <w:divBdr>
        <w:top w:val="none" w:sz="0" w:space="0" w:color="auto"/>
        <w:left w:val="none" w:sz="0" w:space="0" w:color="auto"/>
        <w:bottom w:val="none" w:sz="0" w:space="0" w:color="auto"/>
        <w:right w:val="none" w:sz="0" w:space="0" w:color="auto"/>
      </w:divBdr>
    </w:div>
    <w:div w:id="883716851">
      <w:bodyDiv w:val="1"/>
      <w:marLeft w:val="0"/>
      <w:marRight w:val="0"/>
      <w:marTop w:val="0"/>
      <w:marBottom w:val="0"/>
      <w:divBdr>
        <w:top w:val="none" w:sz="0" w:space="0" w:color="auto"/>
        <w:left w:val="none" w:sz="0" w:space="0" w:color="auto"/>
        <w:bottom w:val="none" w:sz="0" w:space="0" w:color="auto"/>
        <w:right w:val="none" w:sz="0" w:space="0" w:color="auto"/>
      </w:divBdr>
    </w:div>
    <w:div w:id="885334169">
      <w:bodyDiv w:val="1"/>
      <w:marLeft w:val="0"/>
      <w:marRight w:val="0"/>
      <w:marTop w:val="0"/>
      <w:marBottom w:val="0"/>
      <w:divBdr>
        <w:top w:val="none" w:sz="0" w:space="0" w:color="auto"/>
        <w:left w:val="none" w:sz="0" w:space="0" w:color="auto"/>
        <w:bottom w:val="none" w:sz="0" w:space="0" w:color="auto"/>
        <w:right w:val="none" w:sz="0" w:space="0" w:color="auto"/>
      </w:divBdr>
    </w:div>
    <w:div w:id="893126066">
      <w:bodyDiv w:val="1"/>
      <w:marLeft w:val="0"/>
      <w:marRight w:val="0"/>
      <w:marTop w:val="0"/>
      <w:marBottom w:val="0"/>
      <w:divBdr>
        <w:top w:val="none" w:sz="0" w:space="0" w:color="auto"/>
        <w:left w:val="none" w:sz="0" w:space="0" w:color="auto"/>
        <w:bottom w:val="none" w:sz="0" w:space="0" w:color="auto"/>
        <w:right w:val="none" w:sz="0" w:space="0" w:color="auto"/>
      </w:divBdr>
      <w:divsChild>
        <w:div w:id="214776832">
          <w:marLeft w:val="0"/>
          <w:marRight w:val="0"/>
          <w:marTop w:val="0"/>
          <w:marBottom w:val="0"/>
          <w:divBdr>
            <w:top w:val="none" w:sz="0" w:space="0" w:color="auto"/>
            <w:left w:val="none" w:sz="0" w:space="0" w:color="auto"/>
            <w:bottom w:val="none" w:sz="0" w:space="0" w:color="auto"/>
            <w:right w:val="none" w:sz="0" w:space="0" w:color="auto"/>
          </w:divBdr>
          <w:divsChild>
            <w:div w:id="1630434633">
              <w:marLeft w:val="0"/>
              <w:marRight w:val="0"/>
              <w:marTop w:val="0"/>
              <w:marBottom w:val="0"/>
              <w:divBdr>
                <w:top w:val="none" w:sz="0" w:space="0" w:color="auto"/>
                <w:left w:val="none" w:sz="0" w:space="0" w:color="auto"/>
                <w:bottom w:val="single" w:sz="6" w:space="0" w:color="DCDFE4"/>
                <w:right w:val="none" w:sz="0" w:space="0" w:color="auto"/>
              </w:divBdr>
              <w:divsChild>
                <w:div w:id="1121270160">
                  <w:marLeft w:val="0"/>
                  <w:marRight w:val="0"/>
                  <w:marTop w:val="0"/>
                  <w:marBottom w:val="0"/>
                  <w:divBdr>
                    <w:top w:val="none" w:sz="0" w:space="0" w:color="auto"/>
                    <w:left w:val="none" w:sz="0" w:space="0" w:color="auto"/>
                    <w:bottom w:val="none" w:sz="0" w:space="0" w:color="auto"/>
                    <w:right w:val="none" w:sz="0" w:space="0" w:color="auto"/>
                  </w:divBdr>
                  <w:divsChild>
                    <w:div w:id="154779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91541">
          <w:marLeft w:val="0"/>
          <w:marRight w:val="0"/>
          <w:marTop w:val="0"/>
          <w:marBottom w:val="0"/>
          <w:divBdr>
            <w:top w:val="none" w:sz="0" w:space="0" w:color="auto"/>
            <w:left w:val="none" w:sz="0" w:space="0" w:color="auto"/>
            <w:bottom w:val="none" w:sz="0" w:space="0" w:color="auto"/>
            <w:right w:val="none" w:sz="0" w:space="0" w:color="auto"/>
          </w:divBdr>
          <w:divsChild>
            <w:div w:id="186924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79962">
      <w:bodyDiv w:val="1"/>
      <w:marLeft w:val="0"/>
      <w:marRight w:val="0"/>
      <w:marTop w:val="0"/>
      <w:marBottom w:val="0"/>
      <w:divBdr>
        <w:top w:val="none" w:sz="0" w:space="0" w:color="auto"/>
        <w:left w:val="none" w:sz="0" w:space="0" w:color="auto"/>
        <w:bottom w:val="none" w:sz="0" w:space="0" w:color="auto"/>
        <w:right w:val="none" w:sz="0" w:space="0" w:color="auto"/>
      </w:divBdr>
    </w:div>
    <w:div w:id="962879702">
      <w:bodyDiv w:val="1"/>
      <w:marLeft w:val="0"/>
      <w:marRight w:val="0"/>
      <w:marTop w:val="0"/>
      <w:marBottom w:val="0"/>
      <w:divBdr>
        <w:top w:val="none" w:sz="0" w:space="0" w:color="auto"/>
        <w:left w:val="none" w:sz="0" w:space="0" w:color="auto"/>
        <w:bottom w:val="none" w:sz="0" w:space="0" w:color="auto"/>
        <w:right w:val="none" w:sz="0" w:space="0" w:color="auto"/>
      </w:divBdr>
      <w:divsChild>
        <w:div w:id="557933237">
          <w:marLeft w:val="0"/>
          <w:marRight w:val="0"/>
          <w:marTop w:val="0"/>
          <w:marBottom w:val="0"/>
          <w:divBdr>
            <w:top w:val="none" w:sz="0" w:space="0" w:color="auto"/>
            <w:left w:val="none" w:sz="0" w:space="0" w:color="auto"/>
            <w:bottom w:val="none" w:sz="0" w:space="0" w:color="auto"/>
            <w:right w:val="none" w:sz="0" w:space="0" w:color="auto"/>
          </w:divBdr>
          <w:divsChild>
            <w:div w:id="47153095">
              <w:marLeft w:val="0"/>
              <w:marRight w:val="0"/>
              <w:marTop w:val="0"/>
              <w:marBottom w:val="0"/>
              <w:divBdr>
                <w:top w:val="none" w:sz="0" w:space="0" w:color="auto"/>
                <w:left w:val="none" w:sz="0" w:space="0" w:color="auto"/>
                <w:bottom w:val="single" w:sz="6" w:space="0" w:color="DCDFE4"/>
                <w:right w:val="none" w:sz="0" w:space="0" w:color="auto"/>
              </w:divBdr>
              <w:divsChild>
                <w:div w:id="900677680">
                  <w:marLeft w:val="0"/>
                  <w:marRight w:val="0"/>
                  <w:marTop w:val="0"/>
                  <w:marBottom w:val="0"/>
                  <w:divBdr>
                    <w:top w:val="none" w:sz="0" w:space="0" w:color="auto"/>
                    <w:left w:val="none" w:sz="0" w:space="0" w:color="auto"/>
                    <w:bottom w:val="none" w:sz="0" w:space="0" w:color="auto"/>
                    <w:right w:val="none" w:sz="0" w:space="0" w:color="auto"/>
                  </w:divBdr>
                  <w:divsChild>
                    <w:div w:id="16020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702344">
          <w:marLeft w:val="0"/>
          <w:marRight w:val="0"/>
          <w:marTop w:val="0"/>
          <w:marBottom w:val="0"/>
          <w:divBdr>
            <w:top w:val="none" w:sz="0" w:space="0" w:color="auto"/>
            <w:left w:val="none" w:sz="0" w:space="0" w:color="auto"/>
            <w:bottom w:val="none" w:sz="0" w:space="0" w:color="auto"/>
            <w:right w:val="none" w:sz="0" w:space="0" w:color="auto"/>
          </w:divBdr>
          <w:divsChild>
            <w:div w:id="176522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660">
      <w:bodyDiv w:val="1"/>
      <w:marLeft w:val="0"/>
      <w:marRight w:val="0"/>
      <w:marTop w:val="0"/>
      <w:marBottom w:val="0"/>
      <w:divBdr>
        <w:top w:val="none" w:sz="0" w:space="0" w:color="auto"/>
        <w:left w:val="none" w:sz="0" w:space="0" w:color="auto"/>
        <w:bottom w:val="none" w:sz="0" w:space="0" w:color="auto"/>
        <w:right w:val="none" w:sz="0" w:space="0" w:color="auto"/>
      </w:divBdr>
    </w:div>
    <w:div w:id="1081215136">
      <w:bodyDiv w:val="1"/>
      <w:marLeft w:val="0"/>
      <w:marRight w:val="0"/>
      <w:marTop w:val="0"/>
      <w:marBottom w:val="0"/>
      <w:divBdr>
        <w:top w:val="none" w:sz="0" w:space="0" w:color="auto"/>
        <w:left w:val="none" w:sz="0" w:space="0" w:color="auto"/>
        <w:bottom w:val="none" w:sz="0" w:space="0" w:color="auto"/>
        <w:right w:val="none" w:sz="0" w:space="0" w:color="auto"/>
      </w:divBdr>
    </w:div>
    <w:div w:id="1178156366">
      <w:bodyDiv w:val="1"/>
      <w:marLeft w:val="0"/>
      <w:marRight w:val="0"/>
      <w:marTop w:val="0"/>
      <w:marBottom w:val="0"/>
      <w:divBdr>
        <w:top w:val="none" w:sz="0" w:space="0" w:color="auto"/>
        <w:left w:val="none" w:sz="0" w:space="0" w:color="auto"/>
        <w:bottom w:val="none" w:sz="0" w:space="0" w:color="auto"/>
        <w:right w:val="none" w:sz="0" w:space="0" w:color="auto"/>
      </w:divBdr>
    </w:div>
    <w:div w:id="1250886863">
      <w:bodyDiv w:val="1"/>
      <w:marLeft w:val="0"/>
      <w:marRight w:val="0"/>
      <w:marTop w:val="0"/>
      <w:marBottom w:val="0"/>
      <w:divBdr>
        <w:top w:val="none" w:sz="0" w:space="0" w:color="auto"/>
        <w:left w:val="none" w:sz="0" w:space="0" w:color="auto"/>
        <w:bottom w:val="none" w:sz="0" w:space="0" w:color="auto"/>
        <w:right w:val="none" w:sz="0" w:space="0" w:color="auto"/>
      </w:divBdr>
    </w:div>
    <w:div w:id="1256859752">
      <w:bodyDiv w:val="1"/>
      <w:marLeft w:val="0"/>
      <w:marRight w:val="0"/>
      <w:marTop w:val="0"/>
      <w:marBottom w:val="0"/>
      <w:divBdr>
        <w:top w:val="none" w:sz="0" w:space="0" w:color="auto"/>
        <w:left w:val="none" w:sz="0" w:space="0" w:color="auto"/>
        <w:bottom w:val="none" w:sz="0" w:space="0" w:color="auto"/>
        <w:right w:val="none" w:sz="0" w:space="0" w:color="auto"/>
      </w:divBdr>
    </w:div>
    <w:div w:id="1369527877">
      <w:bodyDiv w:val="1"/>
      <w:marLeft w:val="0"/>
      <w:marRight w:val="0"/>
      <w:marTop w:val="0"/>
      <w:marBottom w:val="0"/>
      <w:divBdr>
        <w:top w:val="none" w:sz="0" w:space="0" w:color="auto"/>
        <w:left w:val="none" w:sz="0" w:space="0" w:color="auto"/>
        <w:bottom w:val="none" w:sz="0" w:space="0" w:color="auto"/>
        <w:right w:val="none" w:sz="0" w:space="0" w:color="auto"/>
      </w:divBdr>
    </w:div>
    <w:div w:id="1499881996">
      <w:bodyDiv w:val="1"/>
      <w:marLeft w:val="0"/>
      <w:marRight w:val="0"/>
      <w:marTop w:val="0"/>
      <w:marBottom w:val="0"/>
      <w:divBdr>
        <w:top w:val="none" w:sz="0" w:space="0" w:color="auto"/>
        <w:left w:val="none" w:sz="0" w:space="0" w:color="auto"/>
        <w:bottom w:val="none" w:sz="0" w:space="0" w:color="auto"/>
        <w:right w:val="none" w:sz="0" w:space="0" w:color="auto"/>
      </w:divBdr>
    </w:div>
    <w:div w:id="1577666470">
      <w:bodyDiv w:val="1"/>
      <w:marLeft w:val="0"/>
      <w:marRight w:val="0"/>
      <w:marTop w:val="0"/>
      <w:marBottom w:val="0"/>
      <w:divBdr>
        <w:top w:val="none" w:sz="0" w:space="0" w:color="auto"/>
        <w:left w:val="none" w:sz="0" w:space="0" w:color="auto"/>
        <w:bottom w:val="none" w:sz="0" w:space="0" w:color="auto"/>
        <w:right w:val="none" w:sz="0" w:space="0" w:color="auto"/>
      </w:divBdr>
    </w:div>
    <w:div w:id="1611817495">
      <w:bodyDiv w:val="1"/>
      <w:marLeft w:val="0"/>
      <w:marRight w:val="0"/>
      <w:marTop w:val="0"/>
      <w:marBottom w:val="0"/>
      <w:divBdr>
        <w:top w:val="none" w:sz="0" w:space="0" w:color="auto"/>
        <w:left w:val="none" w:sz="0" w:space="0" w:color="auto"/>
        <w:bottom w:val="none" w:sz="0" w:space="0" w:color="auto"/>
        <w:right w:val="none" w:sz="0" w:space="0" w:color="auto"/>
      </w:divBdr>
    </w:div>
    <w:div w:id="1618753926">
      <w:bodyDiv w:val="1"/>
      <w:marLeft w:val="0"/>
      <w:marRight w:val="0"/>
      <w:marTop w:val="0"/>
      <w:marBottom w:val="0"/>
      <w:divBdr>
        <w:top w:val="none" w:sz="0" w:space="0" w:color="auto"/>
        <w:left w:val="none" w:sz="0" w:space="0" w:color="auto"/>
        <w:bottom w:val="none" w:sz="0" w:space="0" w:color="auto"/>
        <w:right w:val="none" w:sz="0" w:space="0" w:color="auto"/>
      </w:divBdr>
    </w:div>
    <w:div w:id="1623070742">
      <w:bodyDiv w:val="1"/>
      <w:marLeft w:val="0"/>
      <w:marRight w:val="0"/>
      <w:marTop w:val="0"/>
      <w:marBottom w:val="0"/>
      <w:divBdr>
        <w:top w:val="none" w:sz="0" w:space="0" w:color="auto"/>
        <w:left w:val="none" w:sz="0" w:space="0" w:color="auto"/>
        <w:bottom w:val="none" w:sz="0" w:space="0" w:color="auto"/>
        <w:right w:val="none" w:sz="0" w:space="0" w:color="auto"/>
      </w:divBdr>
    </w:div>
    <w:div w:id="1628900135">
      <w:bodyDiv w:val="1"/>
      <w:marLeft w:val="0"/>
      <w:marRight w:val="0"/>
      <w:marTop w:val="0"/>
      <w:marBottom w:val="0"/>
      <w:divBdr>
        <w:top w:val="none" w:sz="0" w:space="0" w:color="auto"/>
        <w:left w:val="none" w:sz="0" w:space="0" w:color="auto"/>
        <w:bottom w:val="none" w:sz="0" w:space="0" w:color="auto"/>
        <w:right w:val="none" w:sz="0" w:space="0" w:color="auto"/>
      </w:divBdr>
    </w:div>
    <w:div w:id="1662732727">
      <w:bodyDiv w:val="1"/>
      <w:marLeft w:val="0"/>
      <w:marRight w:val="0"/>
      <w:marTop w:val="0"/>
      <w:marBottom w:val="0"/>
      <w:divBdr>
        <w:top w:val="none" w:sz="0" w:space="0" w:color="auto"/>
        <w:left w:val="none" w:sz="0" w:space="0" w:color="auto"/>
        <w:bottom w:val="none" w:sz="0" w:space="0" w:color="auto"/>
        <w:right w:val="none" w:sz="0" w:space="0" w:color="auto"/>
      </w:divBdr>
    </w:div>
    <w:div w:id="1665813763">
      <w:bodyDiv w:val="1"/>
      <w:marLeft w:val="0"/>
      <w:marRight w:val="0"/>
      <w:marTop w:val="0"/>
      <w:marBottom w:val="0"/>
      <w:divBdr>
        <w:top w:val="none" w:sz="0" w:space="0" w:color="auto"/>
        <w:left w:val="none" w:sz="0" w:space="0" w:color="auto"/>
        <w:bottom w:val="none" w:sz="0" w:space="0" w:color="auto"/>
        <w:right w:val="none" w:sz="0" w:space="0" w:color="auto"/>
      </w:divBdr>
    </w:div>
    <w:div w:id="1685324520">
      <w:bodyDiv w:val="1"/>
      <w:marLeft w:val="0"/>
      <w:marRight w:val="0"/>
      <w:marTop w:val="0"/>
      <w:marBottom w:val="0"/>
      <w:divBdr>
        <w:top w:val="none" w:sz="0" w:space="0" w:color="auto"/>
        <w:left w:val="none" w:sz="0" w:space="0" w:color="auto"/>
        <w:bottom w:val="none" w:sz="0" w:space="0" w:color="auto"/>
        <w:right w:val="none" w:sz="0" w:space="0" w:color="auto"/>
      </w:divBdr>
    </w:div>
    <w:div w:id="1725130472">
      <w:bodyDiv w:val="1"/>
      <w:marLeft w:val="0"/>
      <w:marRight w:val="0"/>
      <w:marTop w:val="0"/>
      <w:marBottom w:val="0"/>
      <w:divBdr>
        <w:top w:val="none" w:sz="0" w:space="0" w:color="auto"/>
        <w:left w:val="none" w:sz="0" w:space="0" w:color="auto"/>
        <w:bottom w:val="none" w:sz="0" w:space="0" w:color="auto"/>
        <w:right w:val="none" w:sz="0" w:space="0" w:color="auto"/>
      </w:divBdr>
    </w:div>
    <w:div w:id="1759717926">
      <w:bodyDiv w:val="1"/>
      <w:marLeft w:val="0"/>
      <w:marRight w:val="0"/>
      <w:marTop w:val="0"/>
      <w:marBottom w:val="0"/>
      <w:divBdr>
        <w:top w:val="none" w:sz="0" w:space="0" w:color="auto"/>
        <w:left w:val="none" w:sz="0" w:space="0" w:color="auto"/>
        <w:bottom w:val="none" w:sz="0" w:space="0" w:color="auto"/>
        <w:right w:val="none" w:sz="0" w:space="0" w:color="auto"/>
      </w:divBdr>
    </w:div>
    <w:div w:id="1767925796">
      <w:bodyDiv w:val="1"/>
      <w:marLeft w:val="0"/>
      <w:marRight w:val="0"/>
      <w:marTop w:val="0"/>
      <w:marBottom w:val="0"/>
      <w:divBdr>
        <w:top w:val="none" w:sz="0" w:space="0" w:color="auto"/>
        <w:left w:val="none" w:sz="0" w:space="0" w:color="auto"/>
        <w:bottom w:val="none" w:sz="0" w:space="0" w:color="auto"/>
        <w:right w:val="none" w:sz="0" w:space="0" w:color="auto"/>
      </w:divBdr>
    </w:div>
    <w:div w:id="1938252044">
      <w:bodyDiv w:val="1"/>
      <w:marLeft w:val="0"/>
      <w:marRight w:val="0"/>
      <w:marTop w:val="0"/>
      <w:marBottom w:val="0"/>
      <w:divBdr>
        <w:top w:val="none" w:sz="0" w:space="0" w:color="auto"/>
        <w:left w:val="none" w:sz="0" w:space="0" w:color="auto"/>
        <w:bottom w:val="none" w:sz="0" w:space="0" w:color="auto"/>
        <w:right w:val="none" w:sz="0" w:space="0" w:color="auto"/>
      </w:divBdr>
    </w:div>
    <w:div w:id="1959943270">
      <w:bodyDiv w:val="1"/>
      <w:marLeft w:val="0"/>
      <w:marRight w:val="0"/>
      <w:marTop w:val="0"/>
      <w:marBottom w:val="0"/>
      <w:divBdr>
        <w:top w:val="none" w:sz="0" w:space="0" w:color="auto"/>
        <w:left w:val="none" w:sz="0" w:space="0" w:color="auto"/>
        <w:bottom w:val="none" w:sz="0" w:space="0" w:color="auto"/>
        <w:right w:val="none" w:sz="0" w:space="0" w:color="auto"/>
      </w:divBdr>
    </w:div>
    <w:div w:id="214692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NEW\Desktop\employee%20engene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Sheet22!$T$4</c:f>
              <c:strCache>
                <c:ptCount val="1"/>
                <c:pt idx="0">
                  <c:v>Target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Lit>
              <c:ptCount val="1"/>
              <c:pt idx="0">
                <c:v>Custumer</c:v>
              </c:pt>
            </c:strLit>
          </c:cat>
          <c:val>
            <c:numRef>
              <c:f>Sheet22!$T$5:$T$9</c:f>
              <c:numCache>
                <c:formatCode>General</c:formatCode>
                <c:ptCount val="5"/>
                <c:pt idx="0">
                  <c:v>5</c:v>
                </c:pt>
                <c:pt idx="1">
                  <c:v>5</c:v>
                </c:pt>
                <c:pt idx="2">
                  <c:v>5</c:v>
                </c:pt>
                <c:pt idx="3">
                  <c:v>5</c:v>
                </c:pt>
                <c:pt idx="4">
                  <c:v>5</c:v>
                </c:pt>
              </c:numCache>
            </c:numRef>
          </c:val>
          <c:extLst>
            <c:ext xmlns:c16="http://schemas.microsoft.com/office/drawing/2014/chart" uri="{C3380CC4-5D6E-409C-BE32-E72D297353CC}">
              <c16:uniqueId val="{00000000-2B98-4BAB-93AB-262293134FC7}"/>
            </c:ext>
          </c:extLst>
        </c:ser>
        <c:ser>
          <c:idx val="1"/>
          <c:order val="1"/>
          <c:tx>
            <c:v>Current State</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22222222222222213"/>
                  <c:y val="-3.703703703703703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98-4BAB-93AB-262293134FC7}"/>
                </c:ext>
              </c:extLst>
            </c:dLbl>
            <c:dLbl>
              <c:idx val="1"/>
              <c:layout>
                <c:manualLayout>
                  <c:x val="0.22638888888888897"/>
                  <c:y val="3.4722222222222217E-2"/>
                </c:manualLayout>
              </c:layout>
              <c:tx>
                <c:rich>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dk1">
                            <a:lumMod val="65000"/>
                            <a:lumOff val="35000"/>
                          </a:schemeClr>
                        </a:solidFill>
                        <a:latin typeface="+mn-lt"/>
                        <a:ea typeface="+mn-ea"/>
                        <a:cs typeface="+mn-cs"/>
                      </a:defRPr>
                    </a:pPr>
                    <a:fld id="{ACBDB48F-FB7C-4EF2-8D58-10708F7E9A5A}" type="CATEGORYNAME">
                      <a:rPr lang="en-US"/>
                      <a:pPr>
                        <a:defRPr/>
                      </a:pPr>
                      <a:t>[CATEGORY NAME]</a:t>
                    </a:fld>
                    <a:r>
                      <a:rPr lang="en-US"/>
                      <a:t>Strategy</a:t>
                    </a:r>
                    <a:r>
                      <a:rPr lang="en-US" baseline="0"/>
                      <a:t>; </a:t>
                    </a:r>
                    <a:fld id="{3D5A9476-1990-4F81-837A-B251983B02E1}" type="VALUE">
                      <a:rPr lang="en-US" baseline="0"/>
                      <a:pPr>
                        <a:defRPr/>
                      </a:pPr>
                      <a:t>[VALUE]</a:t>
                    </a:fld>
                    <a:endParaRPr lang="en-US" baseline="0"/>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846741032370952"/>
                      <c:h val="0.1255628463108778"/>
                    </c:manualLayout>
                  </c15:layout>
                  <c15:dlblFieldTable/>
                  <c15:showDataLabelsRange val="0"/>
                </c:ext>
                <c:ext xmlns:c16="http://schemas.microsoft.com/office/drawing/2014/chart" uri="{C3380CC4-5D6E-409C-BE32-E72D297353CC}">
                  <c16:uniqueId val="{00000002-2B98-4BAB-93AB-262293134FC7}"/>
                </c:ext>
              </c:extLst>
            </c:dLbl>
            <c:dLbl>
              <c:idx val="2"/>
              <c:layout>
                <c:manualLayout>
                  <c:x val="0.16944444444444443"/>
                  <c:y val="1.6203703703703699E-2"/>
                </c:manualLayout>
              </c:layout>
              <c:tx>
                <c:rich>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dk1">
                            <a:lumMod val="65000"/>
                            <a:lumOff val="35000"/>
                          </a:schemeClr>
                        </a:solidFill>
                        <a:latin typeface="+mn-lt"/>
                        <a:ea typeface="+mn-ea"/>
                        <a:cs typeface="+mn-cs"/>
                      </a:defRPr>
                    </a:pPr>
                    <a:fld id="{FB32FA7D-BA66-49E5-AE07-7D61C878D7BA}" type="CATEGORYNAME">
                      <a:rPr lang="en-US"/>
                      <a:pPr>
                        <a:defRPr/>
                      </a:pPr>
                      <a:t>[CATEGORY NAME]</a:t>
                    </a:fld>
                    <a:r>
                      <a:rPr lang="en-US"/>
                      <a:t>Technology</a:t>
                    </a:r>
                    <a:r>
                      <a:rPr lang="en-US" baseline="0"/>
                      <a:t>; </a:t>
                    </a:r>
                    <a:fld id="{648CFCDA-17C0-486F-834F-043FE64B8DDA}" type="VALUE">
                      <a:rPr lang="en-US" baseline="0"/>
                      <a:pPr>
                        <a:defRPr/>
                      </a:pPr>
                      <a:t>[VALUE]</a:t>
                    </a:fld>
                    <a:fld id="{6A9C4615-6213-4CA3-8678-43450FEF56D0}" type="CATEGORYNAME">
                      <a:rPr lang="en-US" baseline="0"/>
                      <a:pPr>
                        <a:defRPr/>
                      </a:pPr>
                      <a:t>[CATEGORY NAME]</a:t>
                    </a:fld>
                    <a:endParaRPr lang="en-US" baseline="0"/>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4625787401574803"/>
                      <c:h val="9.7785068533100025E-2"/>
                    </c:manualLayout>
                  </c15:layout>
                  <c15:dlblFieldTable/>
                  <c15:showDataLabelsRange val="0"/>
                </c:ext>
                <c:ext xmlns:c16="http://schemas.microsoft.com/office/drawing/2014/chart" uri="{C3380CC4-5D6E-409C-BE32-E72D297353CC}">
                  <c16:uniqueId val="{00000003-2B98-4BAB-93AB-262293134FC7}"/>
                </c:ext>
              </c:extLst>
            </c:dLbl>
            <c:dLbl>
              <c:idx val="3"/>
              <c:layout>
                <c:manualLayout>
                  <c:x val="-0.16388888888888895"/>
                  <c:y val="2.7777777777777776E-2"/>
                </c:manualLayout>
              </c:layout>
              <c:tx>
                <c:rich>
                  <a:bodyPr/>
                  <a:lstStyle/>
                  <a:p>
                    <a:fld id="{52E5524A-CDB3-41AE-B637-5DB84A1DBAF1}" type="CATEGORYNAME">
                      <a:rPr lang="en-US"/>
                      <a:pPr/>
                      <a:t>[CATEGORY NAME]</a:t>
                    </a:fld>
                    <a:r>
                      <a:rPr lang="en-US"/>
                      <a:t>Organization</a:t>
                    </a:r>
                    <a:r>
                      <a:rPr lang="en-US" baseline="0"/>
                      <a:t>; </a:t>
                    </a:r>
                    <a:fld id="{9771F1AC-774E-4868-AC54-2BEEBB49E2B2}"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B98-4BAB-93AB-262293134FC7}"/>
                </c:ext>
              </c:extLst>
            </c:dLbl>
            <c:dLbl>
              <c:idx val="4"/>
              <c:layout>
                <c:manualLayout>
                  <c:x val="-0.13333333333333336"/>
                  <c:y val="-5.3240740740740748E-2"/>
                </c:manualLayout>
              </c:layout>
              <c:tx>
                <c:rich>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dk1">
                            <a:lumMod val="65000"/>
                            <a:lumOff val="35000"/>
                          </a:schemeClr>
                        </a:solidFill>
                        <a:latin typeface="+mn-lt"/>
                        <a:ea typeface="+mn-ea"/>
                        <a:cs typeface="+mn-cs"/>
                      </a:defRPr>
                    </a:pPr>
                    <a:fld id="{B96DB581-7C59-44F0-A282-9C467F1D73CD}" type="CATEGORYNAME">
                      <a:rPr lang="en-US"/>
                      <a:pPr>
                        <a:defRPr/>
                      </a:pPr>
                      <a:t>[CATEGORY NAME]</a:t>
                    </a:fld>
                    <a:r>
                      <a:rPr lang="en-US"/>
                      <a:t>Culture</a:t>
                    </a:r>
                    <a:r>
                      <a:rPr lang="en-US" baseline="0"/>
                      <a:t>; </a:t>
                    </a:r>
                    <a:fld id="{71546CDA-5E9F-4D22-9C49-CA3436343CD1}" type="VALUE">
                      <a:rPr lang="en-US" baseline="0"/>
                      <a:pPr>
                        <a:defRPr/>
                      </a:pPr>
                      <a:t>[VALUE]</a:t>
                    </a:fld>
                    <a:endParaRPr lang="en-US" baseline="0"/>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4965573053368328"/>
                      <c:h val="9.7785068533100025E-2"/>
                    </c:manualLayout>
                  </c15:layout>
                  <c15:dlblFieldTable/>
                  <c15:showDataLabelsRange val="0"/>
                </c:ext>
                <c:ext xmlns:c16="http://schemas.microsoft.com/office/drawing/2014/chart" uri="{C3380CC4-5D6E-409C-BE32-E72D297353CC}">
                  <c16:uniqueId val="{00000005-2B98-4BAB-93AB-262293134FC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ln>
                      <a:noFill/>
                    </a:ln>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Lit>
              <c:ptCount val="1"/>
              <c:pt idx="0">
                <c:v>Custumer</c:v>
              </c:pt>
            </c:strLit>
          </c:cat>
          <c:val>
            <c:numRef>
              <c:f>Sheet22!$U$5:$U$9</c:f>
              <c:numCache>
                <c:formatCode>General</c:formatCode>
                <c:ptCount val="5"/>
                <c:pt idx="0">
                  <c:v>2.54</c:v>
                </c:pt>
                <c:pt idx="1">
                  <c:v>2.33</c:v>
                </c:pt>
                <c:pt idx="2">
                  <c:v>2.4900000000000002</c:v>
                </c:pt>
                <c:pt idx="3">
                  <c:v>3.4</c:v>
                </c:pt>
                <c:pt idx="4">
                  <c:v>3.72</c:v>
                </c:pt>
              </c:numCache>
            </c:numRef>
          </c:val>
          <c:extLst>
            <c:ext xmlns:c16="http://schemas.microsoft.com/office/drawing/2014/chart" uri="{C3380CC4-5D6E-409C-BE32-E72D297353CC}">
              <c16:uniqueId val="{00000006-2B98-4BAB-93AB-262293134FC7}"/>
            </c:ext>
          </c:extLst>
        </c:ser>
        <c:dLbls>
          <c:showLegendKey val="0"/>
          <c:showVal val="0"/>
          <c:showCatName val="0"/>
          <c:showSerName val="0"/>
          <c:showPercent val="0"/>
          <c:showBubbleSize val="0"/>
        </c:dLbls>
        <c:axId val="225409584"/>
        <c:axId val="225407920"/>
      </c:radarChart>
      <c:catAx>
        <c:axId val="225409584"/>
        <c:scaling>
          <c:orientation val="minMax"/>
        </c:scaling>
        <c:delete val="1"/>
        <c:axPos val="b"/>
        <c:numFmt formatCode="General" sourceLinked="1"/>
        <c:majorTickMark val="none"/>
        <c:minorTickMark val="none"/>
        <c:tickLblPos val="nextTo"/>
        <c:crossAx val="225407920"/>
        <c:crosses val="autoZero"/>
        <c:auto val="1"/>
        <c:lblAlgn val="ctr"/>
        <c:lblOffset val="100"/>
        <c:noMultiLvlLbl val="0"/>
      </c:catAx>
      <c:valAx>
        <c:axId val="22540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2254095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CBF41-EF2C-43AD-B3FA-85BF0E19B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2924</TotalTime>
  <Pages>13</Pages>
  <Words>15818</Words>
  <Characters>90168</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SDI 1180</cp:lastModifiedBy>
  <cp:revision>88</cp:revision>
  <dcterms:created xsi:type="dcterms:W3CDTF">2025-06-10T09:33:00Z</dcterms:created>
  <dcterms:modified xsi:type="dcterms:W3CDTF">2025-10-09T12:20:00Z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eaa50099-71cd-3c2f-8948-f2e127dc4bf6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4th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