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F8F71" w14:textId="77777777" w:rsidR="00361E12" w:rsidRPr="004C0419" w:rsidRDefault="00361E12" w:rsidP="00361E12">
      <w:pPr>
        <w:pStyle w:val="Heading1"/>
        <w:jc w:val="both"/>
        <w:rPr>
          <w:rFonts w:ascii="Times New Roman" w:hAnsi="Times New Roman" w:cs="Times New Roman"/>
          <w:b/>
          <w:bCs/>
          <w:i/>
          <w:iCs/>
          <w:color w:val="auto"/>
          <w:sz w:val="24"/>
          <w:szCs w:val="24"/>
          <w:u w:val="single"/>
          <w:lang w:val="en-US"/>
        </w:rPr>
      </w:pPr>
      <w:r w:rsidRPr="004C0419">
        <w:rPr>
          <w:rFonts w:ascii="Times New Roman" w:hAnsi="Times New Roman" w:cs="Times New Roman"/>
          <w:b/>
          <w:bCs/>
          <w:i/>
          <w:iCs/>
          <w:color w:val="auto"/>
          <w:sz w:val="24"/>
          <w:szCs w:val="24"/>
          <w:u w:val="single"/>
          <w:lang w:val="en-US"/>
        </w:rPr>
        <w:t>Original Research Article</w:t>
      </w:r>
    </w:p>
    <w:p w14:paraId="3E49F3A9" w14:textId="77777777" w:rsidR="00361E12" w:rsidRDefault="00361E12" w:rsidP="004109F1">
      <w:pPr>
        <w:pStyle w:val="Heading1"/>
        <w:jc w:val="both"/>
        <w:rPr>
          <w:rFonts w:ascii="Times New Roman" w:hAnsi="Times New Roman" w:cs="Times New Roman"/>
          <w:b/>
          <w:bCs/>
          <w:color w:val="auto"/>
          <w:sz w:val="24"/>
          <w:szCs w:val="24"/>
        </w:rPr>
      </w:pPr>
    </w:p>
    <w:p w14:paraId="1F89DC81" w14:textId="771D68CA" w:rsidR="00F20C55" w:rsidRPr="00E3574F" w:rsidRDefault="00F20C55" w:rsidP="004109F1">
      <w:pPr>
        <w:pStyle w:val="Heading1"/>
        <w:jc w:val="both"/>
        <w:rPr>
          <w:rFonts w:ascii="Times New Roman" w:hAnsi="Times New Roman" w:cs="Times New Roman"/>
          <w:b/>
          <w:bCs/>
          <w:color w:val="auto"/>
          <w:sz w:val="24"/>
          <w:szCs w:val="24"/>
        </w:rPr>
      </w:pPr>
      <w:r w:rsidRPr="00E3574F">
        <w:rPr>
          <w:rFonts w:ascii="Times New Roman" w:hAnsi="Times New Roman" w:cs="Times New Roman"/>
          <w:b/>
          <w:bCs/>
          <w:color w:val="auto"/>
          <w:sz w:val="24"/>
          <w:szCs w:val="24"/>
        </w:rPr>
        <w:t xml:space="preserve">Enhancing Agricultural Productivity and Income through </w:t>
      </w:r>
      <w:r w:rsidR="00E109F0" w:rsidRPr="00E3574F">
        <w:rPr>
          <w:rFonts w:ascii="Times New Roman" w:hAnsi="Times New Roman" w:cs="Times New Roman"/>
          <w:b/>
          <w:bCs/>
          <w:color w:val="auto"/>
          <w:sz w:val="24"/>
          <w:szCs w:val="24"/>
        </w:rPr>
        <w:t>ICT-Mediated</w:t>
      </w:r>
      <w:r w:rsidRPr="00E3574F">
        <w:rPr>
          <w:rFonts w:ascii="Times New Roman" w:hAnsi="Times New Roman" w:cs="Times New Roman"/>
          <w:b/>
          <w:bCs/>
          <w:color w:val="auto"/>
          <w:sz w:val="24"/>
          <w:szCs w:val="24"/>
        </w:rPr>
        <w:t xml:space="preserve"> Extension: A Case Study of the Farm Extension Manager App</w:t>
      </w:r>
    </w:p>
    <w:p w14:paraId="06550683" w14:textId="18AF8CBA" w:rsidR="00F547B9" w:rsidRDefault="00F547B9" w:rsidP="00F547B9">
      <w:pPr>
        <w:rPr>
          <w:rFonts w:ascii="Times New Roman" w:hAnsi="Times New Roman" w:cs="Times New Roman"/>
          <w:sz w:val="24"/>
          <w:szCs w:val="24"/>
        </w:rPr>
      </w:pPr>
    </w:p>
    <w:p w14:paraId="21B66F59" w14:textId="77777777" w:rsidR="000737ED" w:rsidRPr="00E3574F" w:rsidRDefault="000737ED" w:rsidP="00F547B9">
      <w:pPr>
        <w:rPr>
          <w:rFonts w:ascii="Times New Roman" w:hAnsi="Times New Roman" w:cs="Times New Roman"/>
          <w:sz w:val="24"/>
          <w:szCs w:val="24"/>
        </w:rPr>
      </w:pPr>
    </w:p>
    <w:p w14:paraId="06E777C1" w14:textId="77777777" w:rsidR="00F20C55" w:rsidRPr="00E3574F" w:rsidRDefault="00F20C55" w:rsidP="004109F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xml:space="preserve">Abstract </w:t>
      </w:r>
    </w:p>
    <w:p w14:paraId="78E9E85F" w14:textId="7CB0EB4B" w:rsidR="00F20C55"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The Farm Extension Manager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mobile app, developed by Kerala Agricultural University, provides farmers with crop-specific </w:t>
      </w:r>
      <w:r w:rsidR="008E0DD4">
        <w:rPr>
          <w:rFonts w:ascii="Times New Roman" w:eastAsia="Times New Roman" w:hAnsi="Times New Roman" w:cs="Times New Roman"/>
          <w:sz w:val="24"/>
          <w:szCs w:val="24"/>
          <w:lang w:eastAsia="en-IN"/>
        </w:rPr>
        <w:t>fertiliser</w:t>
      </w:r>
      <w:r w:rsidRPr="00E3574F">
        <w:rPr>
          <w:rFonts w:ascii="Times New Roman" w:eastAsia="Times New Roman" w:hAnsi="Times New Roman" w:cs="Times New Roman"/>
          <w:sz w:val="24"/>
          <w:szCs w:val="24"/>
          <w:lang w:eastAsia="en-IN"/>
        </w:rPr>
        <w:t xml:space="preserve"> schedules, pest and disease diagnostics and protocol-based advisories. This paper evaluates its effectiveness using </w:t>
      </w:r>
      <w:r w:rsidR="00EA5434" w:rsidRPr="00E3574F">
        <w:rPr>
          <w:rFonts w:ascii="Times New Roman" w:eastAsia="Times New Roman" w:hAnsi="Times New Roman" w:cs="Times New Roman"/>
          <w:sz w:val="24"/>
          <w:szCs w:val="24"/>
          <w:lang w:eastAsia="en-IN"/>
        </w:rPr>
        <w:t>app feature analysis, user data</w:t>
      </w:r>
      <w:r w:rsidRPr="00E3574F">
        <w:rPr>
          <w:rFonts w:ascii="Times New Roman" w:eastAsia="Times New Roman" w:hAnsi="Times New Roman" w:cs="Times New Roman"/>
          <w:sz w:val="24"/>
          <w:szCs w:val="24"/>
          <w:lang w:eastAsia="en-IN"/>
        </w:rPr>
        <w:t xml:space="preserve"> and a field survey across 120 farmers. Results indicate an average yield </w:t>
      </w:r>
      <w:r w:rsidR="00EA5434" w:rsidRPr="00E3574F">
        <w:rPr>
          <w:rFonts w:ascii="Times New Roman" w:eastAsia="Times New Roman" w:hAnsi="Times New Roman" w:cs="Times New Roman"/>
          <w:sz w:val="24"/>
          <w:szCs w:val="24"/>
          <w:lang w:eastAsia="en-IN"/>
        </w:rPr>
        <w:t>increase of 17% and income gain</w:t>
      </w:r>
      <w:r w:rsidRPr="00E3574F">
        <w:rPr>
          <w:rFonts w:ascii="Times New Roman" w:eastAsia="Times New Roman" w:hAnsi="Times New Roman" w:cs="Times New Roman"/>
          <w:sz w:val="24"/>
          <w:szCs w:val="24"/>
          <w:lang w:eastAsia="en-IN"/>
        </w:rPr>
        <w:t xml:space="preserve"> of 21% among app users. The app’s offline functio</w:t>
      </w:r>
      <w:r w:rsidR="00EA5434" w:rsidRPr="00E3574F">
        <w:rPr>
          <w:rFonts w:ascii="Times New Roman" w:eastAsia="Times New Roman" w:hAnsi="Times New Roman" w:cs="Times New Roman"/>
          <w:sz w:val="24"/>
          <w:szCs w:val="24"/>
          <w:lang w:eastAsia="en-IN"/>
        </w:rPr>
        <w:t>nality, expert-connect features</w:t>
      </w:r>
      <w:r w:rsidRPr="00E3574F">
        <w:rPr>
          <w:rFonts w:ascii="Times New Roman" w:eastAsia="Times New Roman" w:hAnsi="Times New Roman" w:cs="Times New Roman"/>
          <w:sz w:val="24"/>
          <w:szCs w:val="24"/>
          <w:lang w:eastAsia="en-IN"/>
        </w:rPr>
        <w:t xml:space="preserve"> and multilingual interface significantly improved agricultural decision-making and extension outreach.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exemplifies a scalable digital tool for enhancing productivity and sustainability in smallholder farming systems.</w:t>
      </w:r>
    </w:p>
    <w:p w14:paraId="19FEB260" w14:textId="4B564CAE" w:rsidR="007E37ED" w:rsidRPr="007E37ED" w:rsidRDefault="007E37ED" w:rsidP="004109F1">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7E37ED">
        <w:rPr>
          <w:rFonts w:ascii="Times New Roman" w:eastAsia="Times New Roman" w:hAnsi="Times New Roman" w:cs="Times New Roman"/>
          <w:b/>
          <w:bCs/>
          <w:sz w:val="24"/>
          <w:szCs w:val="24"/>
          <w:lang w:eastAsia="en-IN"/>
        </w:rPr>
        <w:t>Key words</w:t>
      </w:r>
    </w:p>
    <w:p w14:paraId="4E643EBC" w14:textId="5B3D3B16" w:rsidR="007E37ED" w:rsidRPr="00E3574F" w:rsidRDefault="007E37ED"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Digital Agriculture, Mobile Extension, Farm Advisory, Kerala, Small Holder Farmers, Farm extension Manager</w:t>
      </w:r>
    </w:p>
    <w:p w14:paraId="40848CBB" w14:textId="77777777" w:rsidR="00F20C55" w:rsidRPr="00E3574F" w:rsidRDefault="00F20C55" w:rsidP="004109F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Introduction</w:t>
      </w:r>
    </w:p>
    <w:p w14:paraId="3817C477"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Digital technology has become an indispensable tool in transforming agricultural extension systems, especially in regions with large smallholder populations. With the growing penetration of smartphones and increasing demand for real-time information, mobile applications are emerging as critical enablers of precision farming, input manage</w:t>
      </w:r>
      <w:r w:rsidR="00EA5434" w:rsidRPr="00E3574F">
        <w:rPr>
          <w:rFonts w:ascii="Times New Roman" w:eastAsia="Times New Roman" w:hAnsi="Times New Roman" w:cs="Times New Roman"/>
          <w:sz w:val="24"/>
          <w:szCs w:val="24"/>
          <w:lang w:eastAsia="en-IN"/>
        </w:rPr>
        <w:t>ment</w:t>
      </w:r>
      <w:r w:rsidRPr="00E3574F">
        <w:rPr>
          <w:rFonts w:ascii="Times New Roman" w:eastAsia="Times New Roman" w:hAnsi="Times New Roman" w:cs="Times New Roman"/>
          <w:sz w:val="24"/>
          <w:szCs w:val="24"/>
          <w:lang w:eastAsia="en-IN"/>
        </w:rPr>
        <w:t xml:space="preserve"> and adaptive crop advisory. The Farm Extension Manager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app, developed by Kerala Agricultural University (KAU), represents the first comprehensive mobile-based agricultural extension tool of its kind in Kerala. Launched to bridge the information gap between research institutions and farmers, the app has witnessed rapid adoption with </w:t>
      </w:r>
      <w:r w:rsidR="0084285A" w:rsidRPr="00E3574F">
        <w:rPr>
          <w:rFonts w:ascii="Times New Roman" w:eastAsia="Times New Roman" w:hAnsi="Times New Roman" w:cs="Times New Roman"/>
          <w:sz w:val="24"/>
          <w:szCs w:val="24"/>
          <w:lang w:eastAsia="en-IN"/>
        </w:rPr>
        <w:t>nearly</w:t>
      </w:r>
      <w:r w:rsidRPr="00E3574F">
        <w:rPr>
          <w:rFonts w:ascii="Times New Roman" w:eastAsia="Times New Roman" w:hAnsi="Times New Roman" w:cs="Times New Roman"/>
          <w:sz w:val="24"/>
          <w:szCs w:val="24"/>
          <w:lang w:eastAsia="en-IN"/>
        </w:rPr>
        <w:t xml:space="preserve"> </w:t>
      </w:r>
      <w:r w:rsidR="0084285A" w:rsidRPr="00E3574F">
        <w:rPr>
          <w:rFonts w:ascii="Times New Roman" w:eastAsia="Times New Roman" w:hAnsi="Times New Roman" w:cs="Times New Roman"/>
          <w:sz w:val="24"/>
          <w:szCs w:val="24"/>
          <w:lang w:eastAsia="en-IN"/>
        </w:rPr>
        <w:t>1</w:t>
      </w:r>
      <w:r w:rsidR="00CF5344" w:rsidRPr="00E3574F">
        <w:rPr>
          <w:rFonts w:ascii="Times New Roman" w:eastAsia="Times New Roman" w:hAnsi="Times New Roman" w:cs="Times New Roman"/>
          <w:sz w:val="24"/>
          <w:szCs w:val="24"/>
          <w:lang w:eastAsia="en-IN"/>
        </w:rPr>
        <w:t>,</w:t>
      </w:r>
      <w:r w:rsidR="0084285A" w:rsidRPr="00E3574F">
        <w:rPr>
          <w:rFonts w:ascii="Times New Roman" w:eastAsia="Times New Roman" w:hAnsi="Times New Roman" w:cs="Times New Roman"/>
          <w:sz w:val="24"/>
          <w:szCs w:val="24"/>
          <w:lang w:eastAsia="en-IN"/>
        </w:rPr>
        <w:t>0</w:t>
      </w:r>
      <w:r w:rsidRPr="00E3574F">
        <w:rPr>
          <w:rFonts w:ascii="Times New Roman" w:eastAsia="Times New Roman" w:hAnsi="Times New Roman" w:cs="Times New Roman"/>
          <w:sz w:val="24"/>
          <w:szCs w:val="24"/>
          <w:lang w:eastAsia="en-IN"/>
        </w:rPr>
        <w:t>0,000 downloads from the Google Play Store (Google Play, 2025).</w:t>
      </w:r>
    </w:p>
    <w:p w14:paraId="02D8DD9B"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provides access to twelve integrated modules: crop cultivation, plant protection, organic methods, agrochemicals, agricultural quiz, video gallery, farm posters, expert support, protocol advisory, message no</w:t>
      </w:r>
      <w:r w:rsidR="00CF5344" w:rsidRPr="00E3574F">
        <w:rPr>
          <w:rFonts w:ascii="Times New Roman" w:eastAsia="Times New Roman" w:hAnsi="Times New Roman" w:cs="Times New Roman"/>
          <w:sz w:val="24"/>
          <w:szCs w:val="24"/>
          <w:lang w:eastAsia="en-IN"/>
        </w:rPr>
        <w:t xml:space="preserve">tifications, contact directory </w:t>
      </w:r>
      <w:r w:rsidRPr="00E3574F">
        <w:rPr>
          <w:rFonts w:ascii="Times New Roman" w:eastAsia="Times New Roman" w:hAnsi="Times New Roman" w:cs="Times New Roman"/>
          <w:sz w:val="24"/>
          <w:szCs w:val="24"/>
          <w:lang w:eastAsia="en-IN"/>
        </w:rPr>
        <w:t xml:space="preserve">and app information. The app includes detailed crop-specific advisories covering field crops, cash crops, fruit crops, spice crops, vegetable crops, pulse crops, tuber crops, garden plants, medicinal plants and fodder </w:t>
      </w:r>
      <w:r w:rsidR="00CF5344" w:rsidRPr="00E3574F">
        <w:rPr>
          <w:rFonts w:ascii="Times New Roman" w:eastAsia="Times New Roman" w:hAnsi="Times New Roman" w:cs="Times New Roman"/>
          <w:sz w:val="24"/>
          <w:szCs w:val="24"/>
          <w:lang w:eastAsia="en-IN"/>
        </w:rPr>
        <w:t>crops</w:t>
      </w:r>
      <w:r w:rsidR="00771812" w:rsidRPr="00E3574F">
        <w:rPr>
          <w:rFonts w:ascii="Times New Roman" w:eastAsia="Times New Roman" w:hAnsi="Times New Roman" w:cs="Times New Roman"/>
          <w:sz w:val="24"/>
          <w:szCs w:val="24"/>
          <w:lang w:eastAsia="en-IN"/>
        </w:rPr>
        <w:t>. D</w:t>
      </w:r>
      <w:r w:rsidRPr="00E3574F">
        <w:rPr>
          <w:rFonts w:ascii="Times New Roman" w:eastAsia="Times New Roman" w:hAnsi="Times New Roman" w:cs="Times New Roman"/>
          <w:sz w:val="24"/>
          <w:szCs w:val="24"/>
          <w:lang w:eastAsia="en-IN"/>
        </w:rPr>
        <w:t>esigned in a bilingual interface (Malayalam and English), the app enables users to navigate crop-specific data seamlessly while allowing offline access to essential advisories, making it suitable for rural contexts with limited connectivity. One of its key features is the expert-connect service, which allows farmers to upload field images and receive real-time advice from KAU scientists, thus closing the gap in conventional extension delivery mechanisms.</w:t>
      </w:r>
    </w:p>
    <w:p w14:paraId="54BA24A7" w14:textId="336B0D5E"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lastRenderedPageBreak/>
        <w:t>The app's development aligns with broader national and international goals of enhancing agricultural productivity, im</w:t>
      </w:r>
      <w:r w:rsidR="00771812" w:rsidRPr="00E3574F">
        <w:rPr>
          <w:rFonts w:ascii="Times New Roman" w:eastAsia="Times New Roman" w:hAnsi="Times New Roman" w:cs="Times New Roman"/>
          <w:sz w:val="24"/>
          <w:szCs w:val="24"/>
          <w:lang w:eastAsia="en-IN"/>
        </w:rPr>
        <w:t>proving resource-use efficiency</w:t>
      </w:r>
      <w:r w:rsidRPr="00E3574F">
        <w:rPr>
          <w:rFonts w:ascii="Times New Roman" w:eastAsia="Times New Roman" w:hAnsi="Times New Roman" w:cs="Times New Roman"/>
          <w:sz w:val="24"/>
          <w:szCs w:val="24"/>
          <w:lang w:eastAsia="en-IN"/>
        </w:rPr>
        <w:t xml:space="preserve"> and enabling sustainable farming practices through digital tools. As India accelerates its push toward e-agriculture, the effectiveness of such digital interventions in</w:t>
      </w:r>
      <w:r w:rsidR="009D47FA" w:rsidRPr="00E3574F">
        <w:rPr>
          <w:rFonts w:ascii="Times New Roman" w:eastAsia="Times New Roman" w:hAnsi="Times New Roman" w:cs="Times New Roman"/>
          <w:sz w:val="24"/>
          <w:szCs w:val="24"/>
          <w:lang w:eastAsia="en-IN"/>
        </w:rPr>
        <w:t xml:space="preserve"> improving yield, farmer income and decision-making become</w:t>
      </w:r>
      <w:r w:rsidRPr="00E3574F">
        <w:rPr>
          <w:rFonts w:ascii="Times New Roman" w:eastAsia="Times New Roman" w:hAnsi="Times New Roman" w:cs="Times New Roman"/>
          <w:sz w:val="24"/>
          <w:szCs w:val="24"/>
          <w:lang w:eastAsia="en-IN"/>
        </w:rPr>
        <w:t xml:space="preserve"> critically important (</w:t>
      </w:r>
      <w:proofErr w:type="spellStart"/>
      <w:r w:rsidRPr="00E3574F">
        <w:rPr>
          <w:rFonts w:ascii="Times New Roman" w:eastAsia="Times New Roman" w:hAnsi="Times New Roman" w:cs="Times New Roman"/>
          <w:sz w:val="24"/>
          <w:szCs w:val="24"/>
          <w:lang w:eastAsia="en-IN"/>
        </w:rPr>
        <w:t>Rajkhowa</w:t>
      </w:r>
      <w:proofErr w:type="spellEnd"/>
      <w:r w:rsidRPr="00E3574F">
        <w:rPr>
          <w:rFonts w:ascii="Times New Roman" w:eastAsia="Times New Roman" w:hAnsi="Times New Roman" w:cs="Times New Roman"/>
          <w:sz w:val="24"/>
          <w:szCs w:val="24"/>
          <w:lang w:eastAsia="en-IN"/>
        </w:rPr>
        <w:t xml:space="preserve"> </w:t>
      </w:r>
      <w:r w:rsidR="002E58A4">
        <w:rPr>
          <w:rFonts w:ascii="Times New Roman" w:eastAsia="Times New Roman" w:hAnsi="Times New Roman" w:cs="Times New Roman"/>
          <w:sz w:val="24"/>
          <w:szCs w:val="24"/>
          <w:lang w:eastAsia="en-IN"/>
        </w:rPr>
        <w:t>and</w:t>
      </w:r>
      <w:r w:rsidRPr="00E3574F">
        <w:rPr>
          <w:rFonts w:ascii="Times New Roman" w:eastAsia="Times New Roman" w:hAnsi="Times New Roman" w:cs="Times New Roman"/>
          <w:sz w:val="24"/>
          <w:szCs w:val="24"/>
          <w:lang w:eastAsia="en-IN"/>
        </w:rPr>
        <w:t xml:space="preserve"> </w:t>
      </w:r>
      <w:proofErr w:type="spellStart"/>
      <w:r w:rsidRPr="00E3574F">
        <w:rPr>
          <w:rFonts w:ascii="Times New Roman" w:eastAsia="Times New Roman" w:hAnsi="Times New Roman" w:cs="Times New Roman"/>
          <w:sz w:val="24"/>
          <w:szCs w:val="24"/>
          <w:lang w:eastAsia="en-IN"/>
        </w:rPr>
        <w:t>Qaim</w:t>
      </w:r>
      <w:proofErr w:type="spellEnd"/>
      <w:r w:rsidRPr="00E3574F">
        <w:rPr>
          <w:rFonts w:ascii="Times New Roman" w:eastAsia="Times New Roman" w:hAnsi="Times New Roman" w:cs="Times New Roman"/>
          <w:sz w:val="24"/>
          <w:szCs w:val="24"/>
          <w:lang w:eastAsia="en-IN"/>
        </w:rPr>
        <w:t>, 2021; Aker</w:t>
      </w:r>
      <w:r w:rsidR="00BC03E4" w:rsidRPr="00E3574F">
        <w:rPr>
          <w:rFonts w:ascii="Times New Roman" w:eastAsia="Times New Roman" w:hAnsi="Times New Roman" w:cs="Times New Roman"/>
          <w:sz w:val="24"/>
          <w:szCs w:val="24"/>
          <w:lang w:eastAsia="en-IN"/>
        </w:rPr>
        <w:t xml:space="preserve"> et al., 2016</w:t>
      </w:r>
      <w:r w:rsidRPr="00E3574F">
        <w:rPr>
          <w:rFonts w:ascii="Times New Roman" w:eastAsia="Times New Roman" w:hAnsi="Times New Roman" w:cs="Times New Roman"/>
          <w:sz w:val="24"/>
          <w:szCs w:val="24"/>
          <w:lang w:eastAsia="en-IN"/>
        </w:rPr>
        <w:t xml:space="preserve">; FAO, 2019). This study evaluates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through a systematic appraisal of its technological infrastructure, user analytics and field-level impacts, establishing its role as a replicable model for digital agricultural extension.</w:t>
      </w:r>
    </w:p>
    <w:p w14:paraId="041CEDFF" w14:textId="77777777" w:rsidR="00F20C55" w:rsidRPr="00E3574F" w:rsidRDefault="00F20C55" w:rsidP="004109F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Research Methodology</w:t>
      </w:r>
    </w:p>
    <w:p w14:paraId="64E2F327"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 research design follows guidance from digital agriculture evaluation frameworks as suggested by </w:t>
      </w:r>
      <w:proofErr w:type="spellStart"/>
      <w:r w:rsidRPr="00E3574F">
        <w:rPr>
          <w:rFonts w:ascii="Times New Roman" w:eastAsia="Times New Roman" w:hAnsi="Times New Roman" w:cs="Times New Roman"/>
          <w:sz w:val="24"/>
          <w:szCs w:val="24"/>
          <w:lang w:eastAsia="en-IN"/>
        </w:rPr>
        <w:t>Rajkhowa</w:t>
      </w:r>
      <w:proofErr w:type="spellEnd"/>
      <w:r w:rsidRPr="00E3574F">
        <w:rPr>
          <w:rFonts w:ascii="Times New Roman" w:eastAsia="Times New Roman" w:hAnsi="Times New Roman" w:cs="Times New Roman"/>
          <w:sz w:val="24"/>
          <w:szCs w:val="24"/>
          <w:lang w:eastAsia="en-IN"/>
        </w:rPr>
        <w:t xml:space="preserve"> and </w:t>
      </w:r>
      <w:proofErr w:type="spellStart"/>
      <w:r w:rsidRPr="00E3574F">
        <w:rPr>
          <w:rFonts w:ascii="Times New Roman" w:eastAsia="Times New Roman" w:hAnsi="Times New Roman" w:cs="Times New Roman"/>
          <w:sz w:val="24"/>
          <w:szCs w:val="24"/>
          <w:lang w:eastAsia="en-IN"/>
        </w:rPr>
        <w:t>Qaim</w:t>
      </w:r>
      <w:proofErr w:type="spellEnd"/>
      <w:r w:rsidRPr="00E3574F">
        <w:rPr>
          <w:rFonts w:ascii="Times New Roman" w:eastAsia="Times New Roman" w:hAnsi="Times New Roman" w:cs="Times New Roman"/>
          <w:sz w:val="24"/>
          <w:szCs w:val="24"/>
          <w:lang w:eastAsia="en-IN"/>
        </w:rPr>
        <w:t xml:space="preserve"> (2021) and Aker </w:t>
      </w:r>
      <w:r w:rsidRPr="00E3574F">
        <w:rPr>
          <w:rFonts w:ascii="Times New Roman" w:eastAsia="Times New Roman" w:hAnsi="Times New Roman" w:cs="Times New Roman"/>
          <w:i/>
          <w:iCs/>
          <w:sz w:val="24"/>
          <w:szCs w:val="24"/>
          <w:lang w:eastAsia="en-IN"/>
        </w:rPr>
        <w:t>et al</w:t>
      </w:r>
      <w:r w:rsidRPr="00E3574F">
        <w:rPr>
          <w:rFonts w:ascii="Times New Roman" w:eastAsia="Times New Roman" w:hAnsi="Times New Roman" w:cs="Times New Roman"/>
          <w:sz w:val="24"/>
          <w:szCs w:val="24"/>
          <w:lang w:eastAsia="en-IN"/>
        </w:rPr>
        <w:t>. (2016), ensuring methodological rigor in the study of mobile advisory systems.</w:t>
      </w:r>
    </w:p>
    <w:p w14:paraId="7196FCC0"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This study emp</w:t>
      </w:r>
      <w:r w:rsidR="009D47FA" w:rsidRPr="00E3574F">
        <w:rPr>
          <w:rFonts w:ascii="Times New Roman" w:eastAsia="Times New Roman" w:hAnsi="Times New Roman" w:cs="Times New Roman"/>
          <w:sz w:val="24"/>
          <w:szCs w:val="24"/>
          <w:lang w:eastAsia="en-IN"/>
        </w:rPr>
        <w:t>loyed a mixed-method</w:t>
      </w:r>
      <w:r w:rsidRPr="00E3574F">
        <w:rPr>
          <w:rFonts w:ascii="Times New Roman" w:eastAsia="Times New Roman" w:hAnsi="Times New Roman" w:cs="Times New Roman"/>
          <w:sz w:val="24"/>
          <w:szCs w:val="24"/>
          <w:lang w:eastAsia="en-IN"/>
        </w:rPr>
        <w:t xml:space="preserve"> approach to comprehensively evaluate the effectiveness of the Farm Extension Manager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application in improving agricultural outcomes. The methodology consisted of three key components: feature-level app analysis, user behavio</w:t>
      </w:r>
      <w:r w:rsidR="009D47FA" w:rsidRPr="00E3574F">
        <w:rPr>
          <w:rFonts w:ascii="Times New Roman" w:eastAsia="Times New Roman" w:hAnsi="Times New Roman" w:cs="Times New Roman"/>
          <w:sz w:val="24"/>
          <w:szCs w:val="24"/>
          <w:lang w:eastAsia="en-IN"/>
        </w:rPr>
        <w:t>ur analytics</w:t>
      </w:r>
      <w:r w:rsidRPr="00E3574F">
        <w:rPr>
          <w:rFonts w:ascii="Times New Roman" w:eastAsia="Times New Roman" w:hAnsi="Times New Roman" w:cs="Times New Roman"/>
          <w:sz w:val="24"/>
          <w:szCs w:val="24"/>
          <w:lang w:eastAsia="en-IN"/>
        </w:rPr>
        <w:t xml:space="preserve"> and a comparative field survey of app users and non-users.</w:t>
      </w:r>
    </w:p>
    <w:p w14:paraId="486B4CEF"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First, a systematic app feature audit was conducted to document the scope and structure of all twelve modules. These modules include crop cultivation, plant protection, organic methods, agrochemicals, agricultural quiz, video gallery, farm posters, expert support, protocol advisory, message n</w:t>
      </w:r>
      <w:r w:rsidR="009D47FA" w:rsidRPr="00E3574F">
        <w:rPr>
          <w:rFonts w:ascii="Times New Roman" w:eastAsia="Times New Roman" w:hAnsi="Times New Roman" w:cs="Times New Roman"/>
          <w:sz w:val="24"/>
          <w:szCs w:val="24"/>
          <w:lang w:eastAsia="en-IN"/>
        </w:rPr>
        <w:t>otifications, contact directory</w:t>
      </w:r>
      <w:r w:rsidRPr="00E3574F">
        <w:rPr>
          <w:rFonts w:ascii="Times New Roman" w:eastAsia="Times New Roman" w:hAnsi="Times New Roman" w:cs="Times New Roman"/>
          <w:sz w:val="24"/>
          <w:szCs w:val="24"/>
          <w:lang w:eastAsia="en-IN"/>
        </w:rPr>
        <w:t xml:space="preserve"> and app information. Particular emphasis was placed on evaluating offline accessibility, bilingual interface pe</w:t>
      </w:r>
      <w:r w:rsidR="009D47FA" w:rsidRPr="00E3574F">
        <w:rPr>
          <w:rFonts w:ascii="Times New Roman" w:eastAsia="Times New Roman" w:hAnsi="Times New Roman" w:cs="Times New Roman"/>
          <w:sz w:val="24"/>
          <w:szCs w:val="24"/>
          <w:lang w:eastAsia="en-IN"/>
        </w:rPr>
        <w:t>rformance</w:t>
      </w:r>
      <w:r w:rsidRPr="00E3574F">
        <w:rPr>
          <w:rFonts w:ascii="Times New Roman" w:eastAsia="Times New Roman" w:hAnsi="Times New Roman" w:cs="Times New Roman"/>
          <w:sz w:val="24"/>
          <w:szCs w:val="24"/>
          <w:lang w:eastAsia="en-IN"/>
        </w:rPr>
        <w:t xml:space="preserve"> and the expert interaction feature wherein users upload field images to receive curated responses from agricultural scientists.</w:t>
      </w:r>
    </w:p>
    <w:p w14:paraId="577337FA"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Second, anonymized backend analytics data were collected from the developers to assess user engagement. Metrics such as average session duration, module frequ</w:t>
      </w:r>
      <w:r w:rsidR="009D47FA" w:rsidRPr="00E3574F">
        <w:rPr>
          <w:rFonts w:ascii="Times New Roman" w:eastAsia="Times New Roman" w:hAnsi="Times New Roman" w:cs="Times New Roman"/>
          <w:sz w:val="24"/>
          <w:szCs w:val="24"/>
          <w:lang w:eastAsia="en-IN"/>
        </w:rPr>
        <w:t xml:space="preserve">ency, quiz participation rates </w:t>
      </w:r>
      <w:r w:rsidRPr="00E3574F">
        <w:rPr>
          <w:rFonts w:ascii="Times New Roman" w:eastAsia="Times New Roman" w:hAnsi="Times New Roman" w:cs="Times New Roman"/>
          <w:sz w:val="24"/>
          <w:szCs w:val="24"/>
          <w:lang w:eastAsia="en-IN"/>
        </w:rPr>
        <w:t>and expert-query counts were recorded over a six-month period. This provided quantitative evidence of real-world usage intensity and module preferences among users.</w:t>
      </w:r>
    </w:p>
    <w:p w14:paraId="7A3752C6"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Third, a cross-sectional field survey was carried out involving 120 </w:t>
      </w:r>
      <w:r w:rsidR="009D47FA" w:rsidRPr="00E3574F">
        <w:rPr>
          <w:rFonts w:ascii="Times New Roman" w:eastAsia="Times New Roman" w:hAnsi="Times New Roman" w:cs="Times New Roman"/>
          <w:sz w:val="24"/>
          <w:szCs w:val="24"/>
          <w:lang w:eastAsia="en-IN"/>
        </w:rPr>
        <w:t>farmers from Thrissur, Palakkad</w:t>
      </w:r>
      <w:r w:rsidRPr="00E3574F">
        <w:rPr>
          <w:rFonts w:ascii="Times New Roman" w:eastAsia="Times New Roman" w:hAnsi="Times New Roman" w:cs="Times New Roman"/>
          <w:sz w:val="24"/>
          <w:szCs w:val="24"/>
          <w:lang w:eastAsia="en-IN"/>
        </w:rPr>
        <w:t xml:space="preserve"> and Malappuram districts of Kerala. Respondents were divided equally into two cohorts—60 active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users and 60 non-users with similar socio</w:t>
      </w:r>
      <w:r w:rsidR="009D47FA" w:rsidRPr="00E3574F">
        <w:rPr>
          <w:rFonts w:ascii="Times New Roman" w:eastAsia="Times New Roman" w:hAnsi="Times New Roman" w:cs="Times New Roman"/>
          <w:sz w:val="24"/>
          <w:szCs w:val="24"/>
          <w:lang w:eastAsia="en-IN"/>
        </w:rPr>
        <w:t>-</w:t>
      </w:r>
      <w:r w:rsidRPr="00E3574F">
        <w:rPr>
          <w:rFonts w:ascii="Times New Roman" w:eastAsia="Times New Roman" w:hAnsi="Times New Roman" w:cs="Times New Roman"/>
          <w:sz w:val="24"/>
          <w:szCs w:val="24"/>
          <w:lang w:eastAsia="en-IN"/>
        </w:rPr>
        <w:t>economic and farm characteristics. Stratified random sampling was used to ensure d</w:t>
      </w:r>
      <w:r w:rsidR="009D47FA" w:rsidRPr="00E3574F">
        <w:rPr>
          <w:rFonts w:ascii="Times New Roman" w:eastAsia="Times New Roman" w:hAnsi="Times New Roman" w:cs="Times New Roman"/>
          <w:sz w:val="24"/>
          <w:szCs w:val="24"/>
          <w:lang w:eastAsia="en-IN"/>
        </w:rPr>
        <w:t>iversity in age, literacy level</w:t>
      </w:r>
      <w:r w:rsidRPr="00E3574F">
        <w:rPr>
          <w:rFonts w:ascii="Times New Roman" w:eastAsia="Times New Roman" w:hAnsi="Times New Roman" w:cs="Times New Roman"/>
          <w:sz w:val="24"/>
          <w:szCs w:val="24"/>
          <w:lang w:eastAsia="en-IN"/>
        </w:rPr>
        <w:t xml:space="preserve"> and farm size. Structured questionnaires captured data on input usage, crop yields, income f</w:t>
      </w:r>
      <w:r w:rsidR="009D47FA" w:rsidRPr="00E3574F">
        <w:rPr>
          <w:rFonts w:ascii="Times New Roman" w:eastAsia="Times New Roman" w:hAnsi="Times New Roman" w:cs="Times New Roman"/>
          <w:sz w:val="24"/>
          <w:szCs w:val="24"/>
          <w:lang w:eastAsia="en-IN"/>
        </w:rPr>
        <w:t>rom farming, information access</w:t>
      </w:r>
      <w:r w:rsidRPr="00E3574F">
        <w:rPr>
          <w:rFonts w:ascii="Times New Roman" w:eastAsia="Times New Roman" w:hAnsi="Times New Roman" w:cs="Times New Roman"/>
          <w:sz w:val="24"/>
          <w:szCs w:val="24"/>
          <w:lang w:eastAsia="en-IN"/>
        </w:rPr>
        <w:t xml:space="preserve"> and technology perception. The survey also included Likert-scale assessments of user satisfaction and app usability.</w:t>
      </w:r>
    </w:p>
    <w:p w14:paraId="376F77C8"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To ensure analytical rigor, the study employed Propensity Score Matching (PSM) to estimate the impact of app usage on yield and income while controlling for confounding factors suc</w:t>
      </w:r>
      <w:r w:rsidR="009D47FA" w:rsidRPr="00E3574F">
        <w:rPr>
          <w:rFonts w:ascii="Times New Roman" w:eastAsia="Times New Roman" w:hAnsi="Times New Roman" w:cs="Times New Roman"/>
          <w:sz w:val="24"/>
          <w:szCs w:val="24"/>
          <w:lang w:eastAsia="en-IN"/>
        </w:rPr>
        <w:t>h as education, farm size</w:t>
      </w:r>
      <w:r w:rsidRPr="00E3574F">
        <w:rPr>
          <w:rFonts w:ascii="Times New Roman" w:eastAsia="Times New Roman" w:hAnsi="Times New Roman" w:cs="Times New Roman"/>
          <w:sz w:val="24"/>
          <w:szCs w:val="24"/>
          <w:lang w:eastAsia="en-IN"/>
        </w:rPr>
        <w:t xml:space="preserve"> and irrigation access. Thematic analysis was applied to qualitative responses from open-ended questions and interviews with ten agricultural officers and twenty selected farmers.</w:t>
      </w:r>
    </w:p>
    <w:p w14:paraId="4A530541" w14:textId="77777777" w:rsidR="00F20C55" w:rsidRPr="00E3574F" w:rsidRDefault="006530BA"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All procedures were designed to align with accepted academic practices and maintained adherence to standard research protocols. </w:t>
      </w:r>
      <w:r w:rsidR="00F20C55" w:rsidRPr="00E3574F">
        <w:rPr>
          <w:rFonts w:ascii="Times New Roman" w:eastAsia="Times New Roman" w:hAnsi="Times New Roman" w:cs="Times New Roman"/>
          <w:sz w:val="24"/>
          <w:szCs w:val="24"/>
          <w:lang w:eastAsia="en-IN"/>
        </w:rPr>
        <w:t xml:space="preserve">Data were anonymized and coded for privacy. The </w:t>
      </w:r>
      <w:r w:rsidR="00F20C55" w:rsidRPr="00E3574F">
        <w:rPr>
          <w:rFonts w:ascii="Times New Roman" w:eastAsia="Times New Roman" w:hAnsi="Times New Roman" w:cs="Times New Roman"/>
          <w:sz w:val="24"/>
          <w:szCs w:val="24"/>
          <w:lang w:eastAsia="en-IN"/>
        </w:rPr>
        <w:lastRenderedPageBreak/>
        <w:t>study’s limitations included its cross-sectional nature and reliance on self-reported productivity and income data, though triangulated with official records where available.</w:t>
      </w:r>
    </w:p>
    <w:p w14:paraId="6DFD6108" w14:textId="454A9FEA"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This multi-layered methodology enabled a robust assessment of both technological attributes and real-world effectiveness of the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app in transforming extension communication and agronomic decision-making. Additional references include </w:t>
      </w:r>
      <w:proofErr w:type="spellStart"/>
      <w:r w:rsidRPr="00E3574F">
        <w:rPr>
          <w:rFonts w:ascii="Times New Roman" w:eastAsia="Times New Roman" w:hAnsi="Times New Roman" w:cs="Times New Roman"/>
          <w:sz w:val="24"/>
          <w:szCs w:val="24"/>
          <w:lang w:eastAsia="en-IN"/>
        </w:rPr>
        <w:t>Rajkhowa</w:t>
      </w:r>
      <w:proofErr w:type="spellEnd"/>
      <w:r w:rsidRPr="00E3574F">
        <w:rPr>
          <w:rFonts w:ascii="Times New Roman" w:eastAsia="Times New Roman" w:hAnsi="Times New Roman" w:cs="Times New Roman"/>
          <w:sz w:val="24"/>
          <w:szCs w:val="24"/>
          <w:lang w:eastAsia="en-IN"/>
        </w:rPr>
        <w:t xml:space="preserve"> and </w:t>
      </w:r>
      <w:proofErr w:type="spellStart"/>
      <w:r w:rsidRPr="00E3574F">
        <w:rPr>
          <w:rFonts w:ascii="Times New Roman" w:eastAsia="Times New Roman" w:hAnsi="Times New Roman" w:cs="Times New Roman"/>
          <w:sz w:val="24"/>
          <w:szCs w:val="24"/>
          <w:lang w:eastAsia="en-IN"/>
        </w:rPr>
        <w:t>Qaim</w:t>
      </w:r>
      <w:proofErr w:type="spellEnd"/>
      <w:r w:rsidRPr="00E3574F">
        <w:rPr>
          <w:rFonts w:ascii="Times New Roman" w:eastAsia="Times New Roman" w:hAnsi="Times New Roman" w:cs="Times New Roman"/>
          <w:sz w:val="24"/>
          <w:szCs w:val="24"/>
          <w:lang w:eastAsia="en-IN"/>
        </w:rPr>
        <w:t xml:space="preserve"> (2021) for statistical impact evaluation </w:t>
      </w:r>
      <w:r w:rsidR="009D47FA" w:rsidRPr="00E3574F">
        <w:rPr>
          <w:rFonts w:ascii="Times New Roman" w:eastAsia="Times New Roman" w:hAnsi="Times New Roman" w:cs="Times New Roman"/>
          <w:sz w:val="24"/>
          <w:szCs w:val="24"/>
          <w:lang w:eastAsia="en-IN"/>
        </w:rPr>
        <w:t xml:space="preserve">using Propensity Score Matching and </w:t>
      </w:r>
      <w:r w:rsidR="00BC03E4" w:rsidRPr="00E3574F">
        <w:rPr>
          <w:rFonts w:ascii="Times New Roman" w:eastAsia="Times New Roman" w:hAnsi="Times New Roman" w:cs="Times New Roman"/>
          <w:sz w:val="24"/>
          <w:szCs w:val="24"/>
          <w:lang w:eastAsia="en-IN"/>
        </w:rPr>
        <w:t xml:space="preserve">Aker </w:t>
      </w:r>
      <w:r w:rsidR="00BC03E4" w:rsidRPr="00E3574F">
        <w:rPr>
          <w:rFonts w:ascii="Times New Roman" w:eastAsia="Times New Roman" w:hAnsi="Times New Roman" w:cs="Times New Roman"/>
          <w:i/>
          <w:iCs/>
          <w:sz w:val="24"/>
          <w:szCs w:val="24"/>
          <w:lang w:eastAsia="en-IN"/>
        </w:rPr>
        <w:t>et al</w:t>
      </w:r>
      <w:r w:rsidR="00BC03E4" w:rsidRPr="00E3574F">
        <w:rPr>
          <w:rFonts w:ascii="Times New Roman" w:eastAsia="Times New Roman" w:hAnsi="Times New Roman" w:cs="Times New Roman"/>
          <w:sz w:val="24"/>
          <w:szCs w:val="24"/>
          <w:lang w:eastAsia="en-IN"/>
        </w:rPr>
        <w:t xml:space="preserve">. (2016), </w:t>
      </w:r>
      <w:r w:rsidRPr="00E3574F">
        <w:rPr>
          <w:rFonts w:ascii="Times New Roman" w:eastAsia="Times New Roman" w:hAnsi="Times New Roman" w:cs="Times New Roman"/>
          <w:sz w:val="24"/>
          <w:szCs w:val="24"/>
          <w:lang w:eastAsia="en-IN"/>
        </w:rPr>
        <w:t>for methodological foundations of mobile-agriculture assessments.</w:t>
      </w:r>
    </w:p>
    <w:p w14:paraId="2C80689E" w14:textId="77777777" w:rsidR="004C2AFD" w:rsidRPr="00E3574F" w:rsidRDefault="004C2AFD" w:rsidP="004109F1">
      <w:pPr>
        <w:pStyle w:val="Heading2"/>
        <w:jc w:val="both"/>
        <w:rPr>
          <w:sz w:val="24"/>
          <w:szCs w:val="24"/>
        </w:rPr>
      </w:pPr>
      <w:r w:rsidRPr="00E3574F">
        <w:rPr>
          <w:sz w:val="24"/>
          <w:szCs w:val="24"/>
        </w:rPr>
        <w:t xml:space="preserve">Results and Discussion </w:t>
      </w:r>
    </w:p>
    <w:p w14:paraId="553A40DA" w14:textId="77777777" w:rsidR="004C2AFD" w:rsidRPr="00E3574F" w:rsidRDefault="004C2AFD" w:rsidP="004109F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1. App Feature Evaluation and Design Impact</w:t>
      </w:r>
    </w:p>
    <w:p w14:paraId="36D6C1AA" w14:textId="77777777" w:rsidR="00116468" w:rsidRPr="00E3574F" w:rsidRDefault="00116468"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 twelve-module architecture of the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application encompasses diverse dimensions of agricultural extension, including crop cultivation, plant protection, organic farming practices, chemical input advisory</w:t>
      </w:r>
      <w:r w:rsidR="00027C9E" w:rsidRPr="00E3574F">
        <w:rPr>
          <w:rFonts w:ascii="Times New Roman" w:eastAsia="Times New Roman" w:hAnsi="Times New Roman" w:cs="Times New Roman"/>
          <w:sz w:val="24"/>
          <w:szCs w:val="24"/>
          <w:lang w:eastAsia="en-IN"/>
        </w:rPr>
        <w:t>, curated learning resources</w:t>
      </w:r>
      <w:r w:rsidRPr="00E3574F">
        <w:rPr>
          <w:rFonts w:ascii="Times New Roman" w:eastAsia="Times New Roman" w:hAnsi="Times New Roman" w:cs="Times New Roman"/>
          <w:sz w:val="24"/>
          <w:szCs w:val="24"/>
          <w:lang w:eastAsia="en-IN"/>
        </w:rPr>
        <w:t xml:space="preserve"> and real-time expert interaction. Unlike fragmented advisory platforms, this integrated fra</w:t>
      </w:r>
      <w:r w:rsidR="00027C9E" w:rsidRPr="00E3574F">
        <w:rPr>
          <w:rFonts w:ascii="Times New Roman" w:eastAsia="Times New Roman" w:hAnsi="Times New Roman" w:cs="Times New Roman"/>
          <w:sz w:val="24"/>
          <w:szCs w:val="24"/>
          <w:lang w:eastAsia="en-IN"/>
        </w:rPr>
        <w:t>mework combines visual, textual</w:t>
      </w:r>
      <w:r w:rsidRPr="00E3574F">
        <w:rPr>
          <w:rFonts w:ascii="Times New Roman" w:eastAsia="Times New Roman" w:hAnsi="Times New Roman" w:cs="Times New Roman"/>
          <w:sz w:val="24"/>
          <w:szCs w:val="24"/>
          <w:lang w:eastAsia="en-IN"/>
        </w:rPr>
        <w:t xml:space="preserve"> and decision-support elements specifically contextualized to Kerala’s agronomic ecosystem (Krell </w:t>
      </w:r>
      <w:r w:rsidRPr="00E3574F">
        <w:rPr>
          <w:rFonts w:ascii="Times New Roman" w:eastAsia="Times New Roman" w:hAnsi="Times New Roman" w:cs="Times New Roman"/>
          <w:i/>
          <w:iCs/>
          <w:sz w:val="24"/>
          <w:szCs w:val="24"/>
          <w:lang w:eastAsia="en-IN"/>
        </w:rPr>
        <w:t>et al</w:t>
      </w:r>
      <w:r w:rsidRPr="00E3574F">
        <w:rPr>
          <w:rFonts w:ascii="Times New Roman" w:eastAsia="Times New Roman" w:hAnsi="Times New Roman" w:cs="Times New Roman"/>
          <w:sz w:val="24"/>
          <w:szCs w:val="24"/>
          <w:lang w:eastAsia="en-IN"/>
        </w:rPr>
        <w:t xml:space="preserve">., 2020). Notably, the crop cultivation and plant protection modules deliver comprehensive cultural management practices and symptom-based pest diagnostic tools that are explicitly aligned with Integrated Pest Management (IPM) principles (FAO, 2025; </w:t>
      </w:r>
      <w:proofErr w:type="spellStart"/>
      <w:r w:rsidRPr="00E3574F">
        <w:rPr>
          <w:rFonts w:ascii="Times New Roman" w:eastAsia="Times New Roman" w:hAnsi="Times New Roman" w:cs="Times New Roman"/>
          <w:sz w:val="24"/>
          <w:szCs w:val="24"/>
          <w:lang w:eastAsia="en-IN"/>
        </w:rPr>
        <w:t>Savary</w:t>
      </w:r>
      <w:proofErr w:type="spellEnd"/>
      <w:r w:rsidRPr="00E3574F">
        <w:rPr>
          <w:rFonts w:ascii="Times New Roman" w:eastAsia="Times New Roman" w:hAnsi="Times New Roman" w:cs="Times New Roman"/>
          <w:sz w:val="24"/>
          <w:szCs w:val="24"/>
          <w:lang w:eastAsia="en-IN"/>
        </w:rPr>
        <w:t xml:space="preserve"> </w:t>
      </w:r>
      <w:r w:rsidRPr="00E3574F">
        <w:rPr>
          <w:rFonts w:ascii="Times New Roman" w:eastAsia="Times New Roman" w:hAnsi="Times New Roman" w:cs="Times New Roman"/>
          <w:i/>
          <w:iCs/>
          <w:sz w:val="24"/>
          <w:szCs w:val="24"/>
          <w:lang w:eastAsia="en-IN"/>
        </w:rPr>
        <w:t>et al</w:t>
      </w:r>
      <w:r w:rsidRPr="00E3574F">
        <w:rPr>
          <w:rFonts w:ascii="Times New Roman" w:eastAsia="Times New Roman" w:hAnsi="Times New Roman" w:cs="Times New Roman"/>
          <w:sz w:val="24"/>
          <w:szCs w:val="24"/>
          <w:lang w:eastAsia="en-IN"/>
        </w:rPr>
        <w:t>., 2019).</w:t>
      </w:r>
    </w:p>
    <w:p w14:paraId="67D061C2" w14:textId="0C8955B1" w:rsidR="00011724" w:rsidRPr="00E3574F" w:rsidRDefault="00011724"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The offline mode, used reg</w:t>
      </w:r>
      <w:r w:rsidR="00027C9E" w:rsidRPr="00E3574F">
        <w:rPr>
          <w:rFonts w:ascii="Times New Roman" w:eastAsia="Times New Roman" w:hAnsi="Times New Roman" w:cs="Times New Roman"/>
          <w:sz w:val="24"/>
          <w:szCs w:val="24"/>
          <w:lang w:eastAsia="en-IN"/>
        </w:rPr>
        <w:t>ularly by 76% of surveyed users</w:t>
      </w:r>
      <w:r w:rsidRPr="00E3574F">
        <w:rPr>
          <w:rFonts w:ascii="Times New Roman" w:eastAsia="Times New Roman" w:hAnsi="Times New Roman" w:cs="Times New Roman"/>
          <w:sz w:val="24"/>
          <w:szCs w:val="24"/>
          <w:lang w:eastAsia="en-IN"/>
        </w:rPr>
        <w:t xml:space="preserve"> and the bilingual interface have proven vital for accessibility in rural contexts, echoing priorities outlined in Meera </w:t>
      </w:r>
      <w:r w:rsidRPr="00E3574F">
        <w:rPr>
          <w:rFonts w:ascii="Times New Roman" w:eastAsia="Times New Roman" w:hAnsi="Times New Roman" w:cs="Times New Roman"/>
          <w:i/>
          <w:iCs/>
          <w:sz w:val="24"/>
          <w:szCs w:val="24"/>
          <w:lang w:eastAsia="en-IN"/>
        </w:rPr>
        <w:t>et al</w:t>
      </w:r>
      <w:r w:rsidRPr="00E3574F">
        <w:rPr>
          <w:rFonts w:ascii="Times New Roman" w:eastAsia="Times New Roman" w:hAnsi="Times New Roman" w:cs="Times New Roman"/>
          <w:sz w:val="24"/>
          <w:szCs w:val="24"/>
          <w:lang w:eastAsia="en-IN"/>
        </w:rPr>
        <w:t>. (2004) and Mittal and Mehar (201</w:t>
      </w:r>
      <w:r w:rsidR="00240E1E" w:rsidRPr="00E3574F">
        <w:rPr>
          <w:rFonts w:ascii="Times New Roman" w:eastAsia="Times New Roman" w:hAnsi="Times New Roman" w:cs="Times New Roman"/>
          <w:sz w:val="24"/>
          <w:szCs w:val="24"/>
          <w:lang w:eastAsia="en-IN"/>
        </w:rPr>
        <w:t>5</w:t>
      </w:r>
      <w:r w:rsidRPr="00E3574F">
        <w:rPr>
          <w:rFonts w:ascii="Times New Roman" w:eastAsia="Times New Roman" w:hAnsi="Times New Roman" w:cs="Times New Roman"/>
          <w:sz w:val="24"/>
          <w:szCs w:val="24"/>
          <w:lang w:eastAsia="en-IN"/>
        </w:rPr>
        <w:t xml:space="preserve">). </w:t>
      </w:r>
      <w:r w:rsidR="00861632" w:rsidRPr="00E3574F">
        <w:rPr>
          <w:rFonts w:ascii="Times New Roman" w:eastAsia="Times New Roman" w:hAnsi="Times New Roman" w:cs="Times New Roman"/>
          <w:sz w:val="24"/>
          <w:szCs w:val="24"/>
          <w:lang w:eastAsia="en-IN"/>
        </w:rPr>
        <w:t>The app’s expert-c</w:t>
      </w:r>
      <w:r w:rsidR="00027C9E" w:rsidRPr="00E3574F">
        <w:rPr>
          <w:rFonts w:ascii="Times New Roman" w:eastAsia="Times New Roman" w:hAnsi="Times New Roman" w:cs="Times New Roman"/>
          <w:sz w:val="24"/>
          <w:szCs w:val="24"/>
          <w:lang w:eastAsia="en-IN"/>
        </w:rPr>
        <w:t xml:space="preserve">onnect feature, </w:t>
      </w:r>
      <w:r w:rsidR="00861632" w:rsidRPr="00E3574F">
        <w:rPr>
          <w:rFonts w:ascii="Times New Roman" w:eastAsia="Times New Roman" w:hAnsi="Times New Roman" w:cs="Times New Roman"/>
          <w:sz w:val="24"/>
          <w:szCs w:val="24"/>
          <w:lang w:eastAsia="en-IN"/>
        </w:rPr>
        <w:t>where farmers send field</w:t>
      </w:r>
      <w:r w:rsidR="00027C9E" w:rsidRPr="00E3574F">
        <w:rPr>
          <w:rFonts w:ascii="Times New Roman" w:eastAsia="Times New Roman" w:hAnsi="Times New Roman" w:cs="Times New Roman"/>
          <w:sz w:val="24"/>
          <w:szCs w:val="24"/>
          <w:lang w:eastAsia="en-IN"/>
        </w:rPr>
        <w:t xml:space="preserve"> images for real-time diagnoses </w:t>
      </w:r>
      <w:r w:rsidR="00861632" w:rsidRPr="00E3574F">
        <w:rPr>
          <w:rFonts w:ascii="Times New Roman" w:eastAsia="Times New Roman" w:hAnsi="Times New Roman" w:cs="Times New Roman"/>
          <w:sz w:val="24"/>
          <w:szCs w:val="24"/>
          <w:lang w:eastAsia="en-IN"/>
        </w:rPr>
        <w:t xml:space="preserve">was especially valued by users, closing a persistent advisory gap noted in recent reviews of mobile-based agricultural extension tools (Kambale </w:t>
      </w:r>
      <w:r w:rsidR="00861632" w:rsidRPr="00E3574F">
        <w:rPr>
          <w:rFonts w:ascii="Times New Roman" w:eastAsia="Times New Roman" w:hAnsi="Times New Roman" w:cs="Times New Roman"/>
          <w:i/>
          <w:iCs/>
          <w:sz w:val="24"/>
          <w:szCs w:val="24"/>
          <w:lang w:eastAsia="en-IN"/>
        </w:rPr>
        <w:t>et al</w:t>
      </w:r>
      <w:r w:rsidR="00861632" w:rsidRPr="00E3574F">
        <w:rPr>
          <w:rFonts w:ascii="Times New Roman" w:eastAsia="Times New Roman" w:hAnsi="Times New Roman" w:cs="Times New Roman"/>
          <w:sz w:val="24"/>
          <w:szCs w:val="24"/>
          <w:lang w:eastAsia="en-IN"/>
        </w:rPr>
        <w:t xml:space="preserve">., 2021; </w:t>
      </w:r>
      <w:proofErr w:type="spellStart"/>
      <w:r w:rsidR="00861632" w:rsidRPr="00E3574F">
        <w:rPr>
          <w:rFonts w:ascii="Times New Roman" w:eastAsia="Times New Roman" w:hAnsi="Times New Roman" w:cs="Times New Roman"/>
          <w:sz w:val="24"/>
          <w:szCs w:val="24"/>
          <w:lang w:eastAsia="en-IN"/>
        </w:rPr>
        <w:t>Paliwal</w:t>
      </w:r>
      <w:proofErr w:type="spellEnd"/>
      <w:r w:rsidR="00861632" w:rsidRPr="00E3574F">
        <w:rPr>
          <w:rFonts w:ascii="Times New Roman" w:eastAsia="Times New Roman" w:hAnsi="Times New Roman" w:cs="Times New Roman"/>
          <w:sz w:val="24"/>
          <w:szCs w:val="24"/>
          <w:lang w:eastAsia="en-IN"/>
        </w:rPr>
        <w:t xml:space="preserve"> </w:t>
      </w:r>
      <w:r w:rsidR="002E58A4">
        <w:rPr>
          <w:rFonts w:ascii="Times New Roman" w:eastAsia="Times New Roman" w:hAnsi="Times New Roman" w:cs="Times New Roman"/>
          <w:sz w:val="24"/>
          <w:szCs w:val="24"/>
          <w:lang w:eastAsia="en-IN"/>
        </w:rPr>
        <w:t>and</w:t>
      </w:r>
      <w:r w:rsidR="00861632" w:rsidRPr="00E3574F">
        <w:rPr>
          <w:rFonts w:ascii="Times New Roman" w:eastAsia="Times New Roman" w:hAnsi="Times New Roman" w:cs="Times New Roman"/>
          <w:sz w:val="24"/>
          <w:szCs w:val="24"/>
          <w:lang w:eastAsia="en-IN"/>
        </w:rPr>
        <w:t xml:space="preserve"> Kumari, 2024).</w:t>
      </w:r>
      <w:r w:rsidRPr="00E3574F">
        <w:rPr>
          <w:rFonts w:ascii="Times New Roman" w:eastAsia="Times New Roman" w:hAnsi="Times New Roman" w:cs="Times New Roman"/>
          <w:sz w:val="24"/>
          <w:szCs w:val="24"/>
          <w:lang w:eastAsia="en-IN"/>
        </w:rPr>
        <w:t xml:space="preserve"> This interactive diagnostic functionality marks a significant leap over static content-driven models.</w:t>
      </w:r>
    </w:p>
    <w:p w14:paraId="404348DC" w14:textId="77777777" w:rsidR="005B0456" w:rsidRPr="00E3574F" w:rsidRDefault="005B0456" w:rsidP="004109F1">
      <w:pPr>
        <w:pStyle w:val="Heading3"/>
        <w:jc w:val="both"/>
        <w:rPr>
          <w:rFonts w:ascii="Times New Roman" w:hAnsi="Times New Roman" w:cs="Times New Roman"/>
          <w:color w:val="auto"/>
        </w:rPr>
      </w:pPr>
      <w:r w:rsidRPr="00E3574F">
        <w:rPr>
          <w:rStyle w:val="Strong"/>
          <w:rFonts w:ascii="Times New Roman" w:hAnsi="Times New Roman" w:cs="Times New Roman"/>
          <w:color w:val="auto"/>
        </w:rPr>
        <w:t>2. User Engagement and Analytics</w:t>
      </w:r>
    </w:p>
    <w:p w14:paraId="704F03A6" w14:textId="24E02AB7" w:rsidR="005B0456" w:rsidRPr="00E3574F" w:rsidRDefault="005B0456" w:rsidP="004109F1">
      <w:pPr>
        <w:pStyle w:val="NormalWeb"/>
        <w:jc w:val="both"/>
      </w:pPr>
      <w:r w:rsidRPr="00E3574F">
        <w:t xml:space="preserve">Usage data collected from the </w:t>
      </w:r>
      <w:proofErr w:type="spellStart"/>
      <w:r w:rsidRPr="00E3574F">
        <w:t>FEM@Mobile</w:t>
      </w:r>
      <w:proofErr w:type="spellEnd"/>
      <w:r w:rsidRPr="00E3574F">
        <w:t xml:space="preserve"> backend dashboard and user survey analytics (spanning six months and 120 users) indicate strong and sustained engagement across modules, with usage patterns reflecting seasonal agricultural priorities. The average </w:t>
      </w:r>
      <w:r w:rsidRPr="00E3574F">
        <w:rPr>
          <w:rStyle w:val="Strong"/>
          <w:rFonts w:eastAsiaTheme="majorEastAsia"/>
          <w:b w:val="0"/>
          <w:bCs w:val="0"/>
        </w:rPr>
        <w:t>session</w:t>
      </w:r>
      <w:r w:rsidRPr="00E3574F">
        <w:rPr>
          <w:rStyle w:val="Strong"/>
          <w:rFonts w:eastAsiaTheme="majorEastAsia"/>
        </w:rPr>
        <w:t xml:space="preserve"> </w:t>
      </w:r>
      <w:r w:rsidRPr="00E3574F">
        <w:rPr>
          <w:rStyle w:val="Strong"/>
          <w:rFonts w:eastAsiaTheme="majorEastAsia"/>
          <w:b w:val="0"/>
          <w:bCs w:val="0"/>
        </w:rPr>
        <w:t>duration was 19.6 minutes</w:t>
      </w:r>
      <w:r w:rsidRPr="00E3574F">
        <w:rPr>
          <w:b/>
          <w:bCs/>
        </w:rPr>
        <w:t xml:space="preserve">, </w:t>
      </w:r>
      <w:r w:rsidRPr="00E3574F">
        <w:t xml:space="preserve">with peak usage clustering around crop-sowing and </w:t>
      </w:r>
      <w:r w:rsidR="00BC03E4" w:rsidRPr="00E3574F">
        <w:t>pes</w:t>
      </w:r>
      <w:r w:rsidR="00E3574F" w:rsidRPr="00E3574F">
        <w:t>t</w:t>
      </w:r>
      <w:r w:rsidR="00BC03E4" w:rsidRPr="00E3574F">
        <w:t xml:space="preserve"> and </w:t>
      </w:r>
      <w:r w:rsidRPr="00E3574F">
        <w:t>disease-prone periods</w:t>
      </w:r>
      <w:r w:rsidR="00027C9E" w:rsidRPr="00E3574F">
        <w:t xml:space="preserve"> </w:t>
      </w:r>
      <w:r w:rsidR="00027C9E" w:rsidRPr="00E3574F">
        <w:rPr>
          <w:i/>
          <w:iCs/>
        </w:rPr>
        <w:t>viz</w:t>
      </w:r>
      <w:r w:rsidR="00027C9E" w:rsidRPr="00E3574F">
        <w:t xml:space="preserve">., </w:t>
      </w:r>
      <w:r w:rsidRPr="00E3574F">
        <w:rPr>
          <w:rStyle w:val="Strong"/>
          <w:rFonts w:eastAsiaTheme="majorEastAsia"/>
          <w:b w:val="0"/>
          <w:bCs w:val="0"/>
        </w:rPr>
        <w:t>October–November</w:t>
      </w:r>
      <w:r w:rsidRPr="00E3574F">
        <w:rPr>
          <w:b/>
          <w:bCs/>
        </w:rPr>
        <w:t xml:space="preserve"> </w:t>
      </w:r>
      <w:r w:rsidRPr="00E3574F">
        <w:t>and</w:t>
      </w:r>
      <w:r w:rsidRPr="00E3574F">
        <w:rPr>
          <w:b/>
          <w:bCs/>
        </w:rPr>
        <w:t xml:space="preserve"> </w:t>
      </w:r>
      <w:r w:rsidRPr="00E3574F">
        <w:rPr>
          <w:rStyle w:val="Strong"/>
          <w:rFonts w:eastAsiaTheme="majorEastAsia"/>
          <w:b w:val="0"/>
          <w:bCs w:val="0"/>
        </w:rPr>
        <w:t>March–April</w:t>
      </w:r>
      <w:r w:rsidRPr="00E3574F">
        <w:rPr>
          <w:b/>
          <w:bCs/>
        </w:rPr>
        <w:t xml:space="preserve">. </w:t>
      </w:r>
      <w:r w:rsidRPr="00E3574F">
        <w:t>Most users visited the app</w:t>
      </w:r>
      <w:r w:rsidRPr="00E3574F">
        <w:rPr>
          <w:b/>
          <w:bCs/>
        </w:rPr>
        <w:t xml:space="preserve"> </w:t>
      </w:r>
      <w:r w:rsidRPr="00E3574F">
        <w:rPr>
          <w:rStyle w:val="Strong"/>
          <w:rFonts w:eastAsiaTheme="majorEastAsia"/>
          <w:b w:val="0"/>
          <w:bCs w:val="0"/>
        </w:rPr>
        <w:t>3.8 times per week</w:t>
      </w:r>
      <w:r w:rsidRPr="00E3574F">
        <w:rPr>
          <w:b/>
          <w:bCs/>
        </w:rPr>
        <w:t>,</w:t>
      </w:r>
      <w:r w:rsidRPr="00E3574F">
        <w:t xml:space="preserve"> reflecting regular integration into crop management routines.</w:t>
      </w:r>
    </w:p>
    <w:p w14:paraId="44D8A3B3" w14:textId="77777777" w:rsidR="00C84F26" w:rsidRDefault="00C84F26" w:rsidP="004109F1">
      <w:pPr>
        <w:pStyle w:val="NormalWeb"/>
        <w:jc w:val="both"/>
        <w:rPr>
          <w:rStyle w:val="Strong"/>
          <w:rFonts w:eastAsiaTheme="majorEastAsia"/>
        </w:rPr>
      </w:pPr>
    </w:p>
    <w:p w14:paraId="224BEE71" w14:textId="584E09BE" w:rsidR="005B0456" w:rsidRPr="00E3574F" w:rsidRDefault="005B0456" w:rsidP="004109F1">
      <w:pPr>
        <w:pStyle w:val="NormalWeb"/>
        <w:jc w:val="both"/>
      </w:pPr>
      <w:r w:rsidRPr="00E3574F">
        <w:rPr>
          <w:rStyle w:val="Strong"/>
          <w:rFonts w:eastAsiaTheme="majorEastAsia"/>
        </w:rPr>
        <w:t xml:space="preserve">Table 1. </w:t>
      </w:r>
      <w:proofErr w:type="spellStart"/>
      <w:r w:rsidRPr="00E3574F">
        <w:rPr>
          <w:rStyle w:val="Strong"/>
          <w:rFonts w:eastAsiaTheme="majorEastAsia"/>
        </w:rPr>
        <w:t>FEM@Mobile</w:t>
      </w:r>
      <w:proofErr w:type="spellEnd"/>
      <w:r w:rsidRPr="00E3574F">
        <w:rPr>
          <w:rStyle w:val="Strong"/>
          <w:rFonts w:eastAsiaTheme="majorEastAsia"/>
        </w:rPr>
        <w:t xml:space="preserve"> User Analytics Overview (Based on App Backend + Field Survey, n = 120)</w:t>
      </w:r>
    </w:p>
    <w:tbl>
      <w:tblPr>
        <w:tblStyle w:val="TableGrid"/>
        <w:tblW w:w="0" w:type="auto"/>
        <w:tblLook w:val="04A0" w:firstRow="1" w:lastRow="0" w:firstColumn="1" w:lastColumn="0" w:noHBand="0" w:noVBand="1"/>
      </w:tblPr>
      <w:tblGrid>
        <w:gridCol w:w="988"/>
        <w:gridCol w:w="3658"/>
        <w:gridCol w:w="4370"/>
      </w:tblGrid>
      <w:tr w:rsidR="00234290" w:rsidRPr="00E3574F" w14:paraId="40A78C63" w14:textId="77777777" w:rsidTr="00234290">
        <w:tc>
          <w:tcPr>
            <w:tcW w:w="988" w:type="dxa"/>
          </w:tcPr>
          <w:p w14:paraId="1E939810" w14:textId="5D0BB52B" w:rsidR="00234290" w:rsidRPr="00E3574F" w:rsidRDefault="00234290" w:rsidP="004109F1">
            <w:pPr>
              <w:jc w:val="both"/>
              <w:rPr>
                <w:rStyle w:val="Strong"/>
                <w:rFonts w:ascii="Times New Roman" w:hAnsi="Times New Roman" w:cs="Times New Roman"/>
                <w:sz w:val="24"/>
                <w:szCs w:val="24"/>
              </w:rPr>
            </w:pPr>
            <w:proofErr w:type="spellStart"/>
            <w:proofErr w:type="gramStart"/>
            <w:r w:rsidRPr="00E3574F">
              <w:rPr>
                <w:rStyle w:val="Strong"/>
                <w:rFonts w:ascii="Times New Roman" w:hAnsi="Times New Roman" w:cs="Times New Roman"/>
                <w:sz w:val="24"/>
                <w:szCs w:val="24"/>
              </w:rPr>
              <w:t>Sl.No</w:t>
            </w:r>
            <w:proofErr w:type="spellEnd"/>
            <w:proofErr w:type="gramEnd"/>
          </w:p>
        </w:tc>
        <w:tc>
          <w:tcPr>
            <w:tcW w:w="3658" w:type="dxa"/>
            <w:hideMark/>
          </w:tcPr>
          <w:p w14:paraId="560737B2" w14:textId="2932D7F5" w:rsidR="00234290" w:rsidRPr="00E3574F" w:rsidRDefault="00234290"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Engagement Metric</w:t>
            </w:r>
          </w:p>
        </w:tc>
        <w:tc>
          <w:tcPr>
            <w:tcW w:w="0" w:type="auto"/>
            <w:hideMark/>
          </w:tcPr>
          <w:p w14:paraId="6DF08EEA" w14:textId="77777777" w:rsidR="00234290" w:rsidRPr="00E3574F" w:rsidRDefault="00234290"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Value / Observation</w:t>
            </w:r>
          </w:p>
        </w:tc>
      </w:tr>
      <w:tr w:rsidR="00234290" w:rsidRPr="00E3574F" w14:paraId="3F25F0F5" w14:textId="77777777" w:rsidTr="00234290">
        <w:tc>
          <w:tcPr>
            <w:tcW w:w="988" w:type="dxa"/>
          </w:tcPr>
          <w:p w14:paraId="132FBE56" w14:textId="25320D49"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w:t>
            </w:r>
          </w:p>
        </w:tc>
        <w:tc>
          <w:tcPr>
            <w:tcW w:w="3658" w:type="dxa"/>
            <w:hideMark/>
          </w:tcPr>
          <w:p w14:paraId="76C182A9" w14:textId="1F3D7149"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Average session duration</w:t>
            </w:r>
          </w:p>
        </w:tc>
        <w:tc>
          <w:tcPr>
            <w:tcW w:w="0" w:type="auto"/>
            <w:hideMark/>
          </w:tcPr>
          <w:p w14:paraId="78BE7F48"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19.6 minutes</w:t>
            </w:r>
          </w:p>
        </w:tc>
      </w:tr>
      <w:tr w:rsidR="00234290" w:rsidRPr="00E3574F" w14:paraId="32C43206" w14:textId="77777777" w:rsidTr="00234290">
        <w:tc>
          <w:tcPr>
            <w:tcW w:w="988" w:type="dxa"/>
          </w:tcPr>
          <w:p w14:paraId="522968A0" w14:textId="0C347B1F"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2</w:t>
            </w:r>
          </w:p>
        </w:tc>
        <w:tc>
          <w:tcPr>
            <w:tcW w:w="3658" w:type="dxa"/>
            <w:hideMark/>
          </w:tcPr>
          <w:p w14:paraId="2D99ADF6" w14:textId="29A5A14A"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Median number of sessions per week</w:t>
            </w:r>
          </w:p>
        </w:tc>
        <w:tc>
          <w:tcPr>
            <w:tcW w:w="0" w:type="auto"/>
            <w:hideMark/>
          </w:tcPr>
          <w:p w14:paraId="7BB390BA"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3.8 sessions</w:t>
            </w:r>
          </w:p>
        </w:tc>
      </w:tr>
      <w:tr w:rsidR="00234290" w:rsidRPr="00E3574F" w14:paraId="12BEAA72" w14:textId="77777777" w:rsidTr="00234290">
        <w:tc>
          <w:tcPr>
            <w:tcW w:w="988" w:type="dxa"/>
          </w:tcPr>
          <w:p w14:paraId="1DB02791" w14:textId="54640052"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3</w:t>
            </w:r>
          </w:p>
        </w:tc>
        <w:tc>
          <w:tcPr>
            <w:tcW w:w="3658" w:type="dxa"/>
            <w:hideMark/>
          </w:tcPr>
          <w:p w14:paraId="2BBFCCCC" w14:textId="199FACAD"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 Users with ≥4 sessions/week</w:t>
            </w:r>
          </w:p>
        </w:tc>
        <w:tc>
          <w:tcPr>
            <w:tcW w:w="0" w:type="auto"/>
            <w:hideMark/>
          </w:tcPr>
          <w:p w14:paraId="782085EC"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62%</w:t>
            </w:r>
          </w:p>
        </w:tc>
      </w:tr>
      <w:tr w:rsidR="00234290" w:rsidRPr="00E3574F" w14:paraId="44C5C403" w14:textId="77777777" w:rsidTr="00234290">
        <w:tc>
          <w:tcPr>
            <w:tcW w:w="988" w:type="dxa"/>
          </w:tcPr>
          <w:p w14:paraId="08331CA5" w14:textId="43DD3618"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lastRenderedPageBreak/>
              <w:t>4</w:t>
            </w:r>
          </w:p>
        </w:tc>
        <w:tc>
          <w:tcPr>
            <w:tcW w:w="3658" w:type="dxa"/>
            <w:hideMark/>
          </w:tcPr>
          <w:p w14:paraId="379D86B2" w14:textId="09EA9A6E"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Average number of modules accessed per session</w:t>
            </w:r>
          </w:p>
        </w:tc>
        <w:tc>
          <w:tcPr>
            <w:tcW w:w="0" w:type="auto"/>
            <w:hideMark/>
          </w:tcPr>
          <w:p w14:paraId="314525BE"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2.6 modules</w:t>
            </w:r>
          </w:p>
        </w:tc>
      </w:tr>
      <w:tr w:rsidR="00234290" w:rsidRPr="00E3574F" w14:paraId="00CE5767" w14:textId="77777777" w:rsidTr="00234290">
        <w:tc>
          <w:tcPr>
            <w:tcW w:w="988" w:type="dxa"/>
          </w:tcPr>
          <w:p w14:paraId="169F04D0" w14:textId="43086178"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5</w:t>
            </w:r>
          </w:p>
        </w:tc>
        <w:tc>
          <w:tcPr>
            <w:tcW w:w="3658" w:type="dxa"/>
            <w:hideMark/>
          </w:tcPr>
          <w:p w14:paraId="71FD86B2" w14:textId="2BDE9FA3"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Most accessed modules</w:t>
            </w:r>
          </w:p>
        </w:tc>
        <w:tc>
          <w:tcPr>
            <w:tcW w:w="0" w:type="auto"/>
            <w:hideMark/>
          </w:tcPr>
          <w:p w14:paraId="2625522D"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Crop Cultivation (85%), Plant Protection (77%)</w:t>
            </w:r>
          </w:p>
        </w:tc>
      </w:tr>
      <w:tr w:rsidR="00234290" w:rsidRPr="00E3574F" w14:paraId="698D94D7" w14:textId="77777777" w:rsidTr="00234290">
        <w:tc>
          <w:tcPr>
            <w:tcW w:w="988" w:type="dxa"/>
          </w:tcPr>
          <w:p w14:paraId="2250D386" w14:textId="33900B3E"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6</w:t>
            </w:r>
          </w:p>
        </w:tc>
        <w:tc>
          <w:tcPr>
            <w:tcW w:w="3658" w:type="dxa"/>
            <w:hideMark/>
          </w:tcPr>
          <w:p w14:paraId="06FBAFBC" w14:textId="6D8855CF"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 xml:space="preserve">Image uploads via Expert Connect (monthly </w:t>
            </w:r>
            <w:proofErr w:type="spellStart"/>
            <w:r w:rsidRPr="00E3574F">
              <w:rPr>
                <w:rFonts w:ascii="Times New Roman" w:hAnsi="Times New Roman" w:cs="Times New Roman"/>
                <w:sz w:val="24"/>
                <w:szCs w:val="24"/>
              </w:rPr>
              <w:t>avg</w:t>
            </w:r>
            <w:proofErr w:type="spellEnd"/>
            <w:r w:rsidRPr="00E3574F">
              <w:rPr>
                <w:rFonts w:ascii="Times New Roman" w:hAnsi="Times New Roman" w:cs="Times New Roman"/>
                <w:sz w:val="24"/>
                <w:szCs w:val="24"/>
              </w:rPr>
              <w:t>)</w:t>
            </w:r>
          </w:p>
        </w:tc>
        <w:tc>
          <w:tcPr>
            <w:tcW w:w="0" w:type="auto"/>
            <w:hideMark/>
          </w:tcPr>
          <w:p w14:paraId="00918450"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3.2 submissions per user</w:t>
            </w:r>
          </w:p>
        </w:tc>
      </w:tr>
      <w:tr w:rsidR="00234290" w:rsidRPr="00E3574F" w14:paraId="3300DC0A" w14:textId="77777777" w:rsidTr="00234290">
        <w:tc>
          <w:tcPr>
            <w:tcW w:w="988" w:type="dxa"/>
          </w:tcPr>
          <w:p w14:paraId="5DFF222B" w14:textId="380C0A6A"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7</w:t>
            </w:r>
          </w:p>
        </w:tc>
        <w:tc>
          <w:tcPr>
            <w:tcW w:w="3658" w:type="dxa"/>
            <w:hideMark/>
          </w:tcPr>
          <w:p w14:paraId="7793DEE6" w14:textId="11CF6FC2"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Quiz participation rate</w:t>
            </w:r>
          </w:p>
        </w:tc>
        <w:tc>
          <w:tcPr>
            <w:tcW w:w="0" w:type="auto"/>
            <w:hideMark/>
          </w:tcPr>
          <w:p w14:paraId="7EDB02A1"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68% of users, 2.4 completions/month</w:t>
            </w:r>
          </w:p>
        </w:tc>
      </w:tr>
      <w:tr w:rsidR="00234290" w:rsidRPr="00E3574F" w14:paraId="3592D699" w14:textId="77777777" w:rsidTr="00234290">
        <w:tc>
          <w:tcPr>
            <w:tcW w:w="988" w:type="dxa"/>
          </w:tcPr>
          <w:p w14:paraId="566C2901" w14:textId="40F84386"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8</w:t>
            </w:r>
          </w:p>
        </w:tc>
        <w:tc>
          <w:tcPr>
            <w:tcW w:w="3658" w:type="dxa"/>
            <w:hideMark/>
          </w:tcPr>
          <w:p w14:paraId="430647B8" w14:textId="1FCEAA68"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Repeat usage (≥20 sessions in 60 days)</w:t>
            </w:r>
          </w:p>
        </w:tc>
        <w:tc>
          <w:tcPr>
            <w:tcW w:w="0" w:type="auto"/>
            <w:hideMark/>
          </w:tcPr>
          <w:p w14:paraId="62FA40BF"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71% of users</w:t>
            </w:r>
          </w:p>
        </w:tc>
      </w:tr>
      <w:tr w:rsidR="00234290" w:rsidRPr="00E3574F" w14:paraId="7268F937" w14:textId="77777777" w:rsidTr="00234290">
        <w:tc>
          <w:tcPr>
            <w:tcW w:w="988" w:type="dxa"/>
          </w:tcPr>
          <w:p w14:paraId="2869544A" w14:textId="0F433C4E"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9</w:t>
            </w:r>
          </w:p>
        </w:tc>
        <w:tc>
          <w:tcPr>
            <w:tcW w:w="3658" w:type="dxa"/>
            <w:hideMark/>
          </w:tcPr>
          <w:p w14:paraId="5D3F850C" w14:textId="0E6DE14F"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Bounce rate (exited after &lt;2 min)</w:t>
            </w:r>
          </w:p>
        </w:tc>
        <w:tc>
          <w:tcPr>
            <w:tcW w:w="0" w:type="auto"/>
            <w:hideMark/>
          </w:tcPr>
          <w:p w14:paraId="68DFF28D"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14%</w:t>
            </w:r>
          </w:p>
        </w:tc>
      </w:tr>
      <w:tr w:rsidR="00234290" w:rsidRPr="00E3574F" w14:paraId="08915B55" w14:textId="77777777" w:rsidTr="00234290">
        <w:tc>
          <w:tcPr>
            <w:tcW w:w="988" w:type="dxa"/>
          </w:tcPr>
          <w:p w14:paraId="27BF0B13" w14:textId="775F72BF"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10</w:t>
            </w:r>
          </w:p>
        </w:tc>
        <w:tc>
          <w:tcPr>
            <w:tcW w:w="3658" w:type="dxa"/>
            <w:hideMark/>
          </w:tcPr>
          <w:p w14:paraId="402DA5B2" w14:textId="6BD36463"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Night-time access (9 pm–12 am)</w:t>
            </w:r>
          </w:p>
        </w:tc>
        <w:tc>
          <w:tcPr>
            <w:tcW w:w="0" w:type="auto"/>
            <w:hideMark/>
          </w:tcPr>
          <w:p w14:paraId="323A7B1A"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22% of users, especially younger farmers</w:t>
            </w:r>
          </w:p>
        </w:tc>
      </w:tr>
      <w:tr w:rsidR="00234290" w:rsidRPr="00E3574F" w14:paraId="2EED27BA" w14:textId="77777777" w:rsidTr="00234290">
        <w:tc>
          <w:tcPr>
            <w:tcW w:w="988" w:type="dxa"/>
          </w:tcPr>
          <w:p w14:paraId="35FDBF03" w14:textId="631118F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11</w:t>
            </w:r>
          </w:p>
        </w:tc>
        <w:tc>
          <w:tcPr>
            <w:tcW w:w="3658" w:type="dxa"/>
            <w:hideMark/>
          </w:tcPr>
          <w:p w14:paraId="4B6978E9" w14:textId="67189AF6"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Users accessing app offline at least once/week</w:t>
            </w:r>
          </w:p>
        </w:tc>
        <w:tc>
          <w:tcPr>
            <w:tcW w:w="0" w:type="auto"/>
            <w:hideMark/>
          </w:tcPr>
          <w:p w14:paraId="285062DB"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76%</w:t>
            </w:r>
          </w:p>
        </w:tc>
      </w:tr>
    </w:tbl>
    <w:p w14:paraId="5B19DEF0" w14:textId="77777777" w:rsidR="005B0456" w:rsidRPr="00E3574F" w:rsidRDefault="005B045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These detailed metrics suggest that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is not used sporadically or passively. Instead, it is actively embedded in the decision-making process, with users returning multiple times a week and accessing more than two modules per session. Low bounce rates (14%) and a high rate of repeat sessions (71%) point to deep user engagement and app relevance in the field.</w:t>
      </w:r>
    </w:p>
    <w:p w14:paraId="0A8A8B43" w14:textId="756BCE8C" w:rsidR="005B0456" w:rsidRPr="00E3574F" w:rsidRDefault="00234290"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 Expert Connect module, </w:t>
      </w:r>
      <w:r w:rsidR="005B0456" w:rsidRPr="00E3574F">
        <w:rPr>
          <w:rFonts w:ascii="Times New Roman" w:eastAsia="Times New Roman" w:hAnsi="Times New Roman" w:cs="Times New Roman"/>
          <w:sz w:val="24"/>
          <w:szCs w:val="24"/>
          <w:lang w:eastAsia="en-IN"/>
        </w:rPr>
        <w:t>w</w:t>
      </w:r>
      <w:r w:rsidRPr="00E3574F">
        <w:rPr>
          <w:rFonts w:ascii="Times New Roman" w:eastAsia="Times New Roman" w:hAnsi="Times New Roman" w:cs="Times New Roman"/>
          <w:sz w:val="24"/>
          <w:szCs w:val="24"/>
          <w:lang w:eastAsia="en-IN"/>
        </w:rPr>
        <w:t xml:space="preserve">hich allows image-based queries </w:t>
      </w:r>
      <w:r w:rsidR="005B0456" w:rsidRPr="00E3574F">
        <w:rPr>
          <w:rFonts w:ascii="Times New Roman" w:eastAsia="Times New Roman" w:hAnsi="Times New Roman" w:cs="Times New Roman"/>
          <w:sz w:val="24"/>
          <w:szCs w:val="24"/>
          <w:lang w:eastAsia="en-IN"/>
        </w:rPr>
        <w:t xml:space="preserve">showed particularly active use, with an average of 3.2 submissions per user per month. Farmers used it most for diagnosing pest infestations (e.g., rice </w:t>
      </w:r>
      <w:proofErr w:type="spellStart"/>
      <w:r w:rsidR="005B0456" w:rsidRPr="00E3574F">
        <w:rPr>
          <w:rFonts w:ascii="Times New Roman" w:eastAsia="Times New Roman" w:hAnsi="Times New Roman" w:cs="Times New Roman"/>
          <w:sz w:val="24"/>
          <w:szCs w:val="24"/>
          <w:lang w:eastAsia="en-IN"/>
        </w:rPr>
        <w:t>hispa</w:t>
      </w:r>
      <w:proofErr w:type="spellEnd"/>
      <w:r w:rsidR="005B0456" w:rsidRPr="00E3574F">
        <w:rPr>
          <w:rFonts w:ascii="Times New Roman" w:eastAsia="Times New Roman" w:hAnsi="Times New Roman" w:cs="Times New Roman"/>
          <w:sz w:val="24"/>
          <w:szCs w:val="24"/>
          <w:lang w:eastAsia="en-IN"/>
        </w:rPr>
        <w:t xml:space="preserve">, </w:t>
      </w:r>
      <w:proofErr w:type="spellStart"/>
      <w:r w:rsidR="005B0456" w:rsidRPr="00E3574F">
        <w:rPr>
          <w:rFonts w:ascii="Times New Roman" w:eastAsia="Times New Roman" w:hAnsi="Times New Roman" w:cs="Times New Roman"/>
          <w:sz w:val="24"/>
          <w:szCs w:val="24"/>
          <w:lang w:eastAsia="en-IN"/>
        </w:rPr>
        <w:t>thrips</w:t>
      </w:r>
      <w:proofErr w:type="spellEnd"/>
      <w:r w:rsidR="005B0456" w:rsidRPr="00E3574F">
        <w:rPr>
          <w:rFonts w:ascii="Times New Roman" w:eastAsia="Times New Roman" w:hAnsi="Times New Roman" w:cs="Times New Roman"/>
          <w:sz w:val="24"/>
          <w:szCs w:val="24"/>
          <w:lang w:eastAsia="en-IN"/>
        </w:rPr>
        <w:t>), nutrient defici</w:t>
      </w:r>
      <w:r w:rsidRPr="00E3574F">
        <w:rPr>
          <w:rFonts w:ascii="Times New Roman" w:eastAsia="Times New Roman" w:hAnsi="Times New Roman" w:cs="Times New Roman"/>
          <w:sz w:val="24"/>
          <w:szCs w:val="24"/>
          <w:lang w:eastAsia="en-IN"/>
        </w:rPr>
        <w:t>encies (e.g., banana chlorosis)</w:t>
      </w:r>
      <w:r w:rsidR="005B0456" w:rsidRPr="00E3574F">
        <w:rPr>
          <w:rFonts w:ascii="Times New Roman" w:eastAsia="Times New Roman" w:hAnsi="Times New Roman" w:cs="Times New Roman"/>
          <w:sz w:val="24"/>
          <w:szCs w:val="24"/>
          <w:lang w:eastAsia="en-IN"/>
        </w:rPr>
        <w:t xml:space="preserve"> and fungal infections (e.g., paddy blast). Agricultural officers noted that this module significantly reduced redundant field visits and empowered farmers to make confident, timely decisions.</w:t>
      </w:r>
    </w:p>
    <w:p w14:paraId="000D364D" w14:textId="43DFBC88" w:rsidR="005B0456" w:rsidRPr="00E3574F" w:rsidRDefault="005B045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Notably, 22% of active users logged in during late evening hours, highlighting the app’s role as a night-time advisory companion for farmers who manage fieldwork during the day. Younger users (below 40) were over</w:t>
      </w:r>
      <w:r w:rsidR="00234290" w:rsidRPr="00E3574F">
        <w:rPr>
          <w:rFonts w:ascii="Times New Roman" w:eastAsia="Times New Roman" w:hAnsi="Times New Roman" w:cs="Times New Roman"/>
          <w:sz w:val="24"/>
          <w:szCs w:val="24"/>
          <w:lang w:eastAsia="en-IN"/>
        </w:rPr>
        <w:t xml:space="preserve"> </w:t>
      </w:r>
      <w:r w:rsidRPr="00E3574F">
        <w:rPr>
          <w:rFonts w:ascii="Times New Roman" w:eastAsia="Times New Roman" w:hAnsi="Times New Roman" w:cs="Times New Roman"/>
          <w:sz w:val="24"/>
          <w:szCs w:val="24"/>
          <w:lang w:eastAsia="en-IN"/>
        </w:rPr>
        <w:t>represented in this segment, often using the app to cross-check pesticide dosages or consult protocol videos.</w:t>
      </w:r>
    </w:p>
    <w:p w14:paraId="15E8DADA" w14:textId="77777777" w:rsidR="005B0456" w:rsidRPr="00E3574F" w:rsidRDefault="005B045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Offline access was another key enabler: 76% of users accessed offline content at least once a week, underscoring the app’s suitability for rural zones with patchy connectivity. This aligns with field reports that farmers preload advisory content before visiting remote fields.</w:t>
      </w:r>
    </w:p>
    <w:p w14:paraId="21209D7D" w14:textId="5449238D" w:rsidR="005B0456" w:rsidRDefault="005B045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Together, these analytics reinforce </w:t>
      </w:r>
      <w:proofErr w:type="spellStart"/>
      <w:r w:rsidRPr="00E3574F">
        <w:rPr>
          <w:rFonts w:ascii="Times New Roman" w:eastAsia="Times New Roman" w:hAnsi="Times New Roman" w:cs="Times New Roman"/>
          <w:sz w:val="24"/>
          <w:szCs w:val="24"/>
          <w:lang w:eastAsia="en-IN"/>
        </w:rPr>
        <w:t>FEM@Mobile’s</w:t>
      </w:r>
      <w:proofErr w:type="spellEnd"/>
      <w:r w:rsidRPr="00E3574F">
        <w:rPr>
          <w:rFonts w:ascii="Times New Roman" w:eastAsia="Times New Roman" w:hAnsi="Times New Roman" w:cs="Times New Roman"/>
          <w:sz w:val="24"/>
          <w:szCs w:val="24"/>
          <w:lang w:eastAsia="en-IN"/>
        </w:rPr>
        <w:t xml:space="preserve"> role as a behavio</w:t>
      </w:r>
      <w:r w:rsidR="00234290" w:rsidRPr="00E3574F">
        <w:rPr>
          <w:rFonts w:ascii="Times New Roman" w:eastAsia="Times New Roman" w:hAnsi="Times New Roman" w:cs="Times New Roman"/>
          <w:sz w:val="24"/>
          <w:szCs w:val="24"/>
          <w:lang w:eastAsia="en-IN"/>
        </w:rPr>
        <w:t>u</w:t>
      </w:r>
      <w:r w:rsidRPr="00E3574F">
        <w:rPr>
          <w:rFonts w:ascii="Times New Roman" w:eastAsia="Times New Roman" w:hAnsi="Times New Roman" w:cs="Times New Roman"/>
          <w:sz w:val="24"/>
          <w:szCs w:val="24"/>
          <w:lang w:eastAsia="en-IN"/>
        </w:rPr>
        <w:t>rally integrated, high-frequency advisory platform that supports timely and informed crop management decisions throughout the season.</w:t>
      </w:r>
    </w:p>
    <w:p w14:paraId="7A5A4D1D" w14:textId="77777777" w:rsidR="00C84F26" w:rsidRPr="00E3574F" w:rsidRDefault="00C84F2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B467FB2" w14:textId="77777777" w:rsidR="004C2AFD" w:rsidRPr="00E3574F" w:rsidRDefault="004C2AFD" w:rsidP="004109F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3. Yield and Income Outcomes: Survey Findings</w:t>
      </w:r>
    </w:p>
    <w:p w14:paraId="5A9DBBA2" w14:textId="299D0664"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To assess the agronomic and economic impact of the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app, yield and income data </w:t>
      </w:r>
      <w:r w:rsidR="00234290" w:rsidRPr="00E3574F">
        <w:rPr>
          <w:rFonts w:ascii="Times New Roman" w:eastAsia="Times New Roman" w:hAnsi="Times New Roman" w:cs="Times New Roman"/>
          <w:sz w:val="24"/>
          <w:szCs w:val="24"/>
          <w:lang w:eastAsia="en-IN"/>
        </w:rPr>
        <w:t xml:space="preserve">were collected from 120 farmers 60 app users and 60 non-users </w:t>
      </w:r>
      <w:r w:rsidRPr="00E3574F">
        <w:rPr>
          <w:rFonts w:ascii="Times New Roman" w:eastAsia="Times New Roman" w:hAnsi="Times New Roman" w:cs="Times New Roman"/>
          <w:sz w:val="24"/>
          <w:szCs w:val="24"/>
          <w:lang w:eastAsia="en-IN"/>
        </w:rPr>
        <w:t>across five representative crops:</w:t>
      </w:r>
      <w:r w:rsidR="00234290" w:rsidRPr="00E3574F">
        <w:rPr>
          <w:rFonts w:ascii="Times New Roman" w:eastAsia="Times New Roman" w:hAnsi="Times New Roman" w:cs="Times New Roman"/>
          <w:sz w:val="24"/>
          <w:szCs w:val="24"/>
          <w:lang w:eastAsia="en-IN"/>
        </w:rPr>
        <w:t xml:space="preserve"> paddy, banana, brinjal, chilli</w:t>
      </w:r>
      <w:r w:rsidRPr="00E3574F">
        <w:rPr>
          <w:rFonts w:ascii="Times New Roman" w:eastAsia="Times New Roman" w:hAnsi="Times New Roman" w:cs="Times New Roman"/>
          <w:sz w:val="24"/>
          <w:szCs w:val="24"/>
          <w:lang w:eastAsia="en-IN"/>
        </w:rPr>
        <w:t xml:space="preserve"> and cowpea. The analysis applied </w:t>
      </w:r>
      <w:r w:rsidR="00234290" w:rsidRPr="00E3574F">
        <w:rPr>
          <w:rFonts w:ascii="Times New Roman" w:eastAsia="Times New Roman" w:hAnsi="Times New Roman" w:cs="Times New Roman"/>
          <w:sz w:val="24"/>
          <w:szCs w:val="24"/>
          <w:lang w:eastAsia="en-IN"/>
        </w:rPr>
        <w:t>PSM</w:t>
      </w:r>
      <w:r w:rsidRPr="00E3574F">
        <w:rPr>
          <w:rFonts w:ascii="Times New Roman" w:eastAsia="Times New Roman" w:hAnsi="Times New Roman" w:cs="Times New Roman"/>
          <w:sz w:val="24"/>
          <w:szCs w:val="24"/>
          <w:lang w:eastAsia="en-IN"/>
        </w:rPr>
        <w:t xml:space="preserve"> to control for confounding variabl</w:t>
      </w:r>
      <w:r w:rsidR="00234290" w:rsidRPr="00E3574F">
        <w:rPr>
          <w:rFonts w:ascii="Times New Roman" w:eastAsia="Times New Roman" w:hAnsi="Times New Roman" w:cs="Times New Roman"/>
          <w:sz w:val="24"/>
          <w:szCs w:val="24"/>
          <w:lang w:eastAsia="en-IN"/>
        </w:rPr>
        <w:t>es such as education, land size</w:t>
      </w:r>
      <w:r w:rsidRPr="00E3574F">
        <w:rPr>
          <w:rFonts w:ascii="Times New Roman" w:eastAsia="Times New Roman" w:hAnsi="Times New Roman" w:cs="Times New Roman"/>
          <w:sz w:val="24"/>
          <w:szCs w:val="24"/>
          <w:lang w:eastAsia="en-IN"/>
        </w:rPr>
        <w:t xml:space="preserve"> and irrigation access.</w:t>
      </w:r>
    </w:p>
    <w:p w14:paraId="70342C50" w14:textId="6E589B63"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lastRenderedPageBreak/>
        <w:t xml:space="preserve">Table </w:t>
      </w:r>
      <w:r w:rsidR="00C84F26">
        <w:rPr>
          <w:rFonts w:ascii="Times New Roman" w:eastAsia="Times New Roman" w:hAnsi="Times New Roman" w:cs="Times New Roman"/>
          <w:b/>
          <w:bCs/>
          <w:sz w:val="24"/>
          <w:szCs w:val="24"/>
          <w:lang w:eastAsia="en-IN"/>
        </w:rPr>
        <w:t>2</w:t>
      </w:r>
      <w:r w:rsidRPr="00E3574F">
        <w:rPr>
          <w:rFonts w:ascii="Times New Roman" w:eastAsia="Times New Roman" w:hAnsi="Times New Roman" w:cs="Times New Roman"/>
          <w:b/>
          <w:bCs/>
          <w:sz w:val="24"/>
          <w:szCs w:val="24"/>
          <w:lang w:eastAsia="en-IN"/>
        </w:rPr>
        <w:t xml:space="preserve">. Crop-wise Yield and Income Comparison Between </w:t>
      </w:r>
      <w:proofErr w:type="spellStart"/>
      <w:r w:rsidRPr="00E3574F">
        <w:rPr>
          <w:rFonts w:ascii="Times New Roman" w:eastAsia="Times New Roman" w:hAnsi="Times New Roman" w:cs="Times New Roman"/>
          <w:b/>
          <w:bCs/>
          <w:sz w:val="24"/>
          <w:szCs w:val="24"/>
          <w:lang w:eastAsia="en-IN"/>
        </w:rPr>
        <w:t>FEM@Mobile</w:t>
      </w:r>
      <w:proofErr w:type="spellEnd"/>
      <w:r w:rsidRPr="00E3574F">
        <w:rPr>
          <w:rFonts w:ascii="Times New Roman" w:eastAsia="Times New Roman" w:hAnsi="Times New Roman" w:cs="Times New Roman"/>
          <w:b/>
          <w:bCs/>
          <w:sz w:val="24"/>
          <w:szCs w:val="24"/>
          <w:lang w:eastAsia="en-IN"/>
        </w:rPr>
        <w:t xml:space="preserve"> Users and Non-users</w:t>
      </w:r>
      <w:r w:rsidRPr="00E3574F">
        <w:rPr>
          <w:rFonts w:ascii="Times New Roman" w:eastAsia="Times New Roman" w:hAnsi="Times New Roman" w:cs="Times New Roman"/>
          <w:sz w:val="24"/>
          <w:szCs w:val="24"/>
          <w:lang w:eastAsia="en-IN"/>
        </w:rPr>
        <w:br/>
      </w:r>
      <w:r w:rsidRPr="00E3574F">
        <w:rPr>
          <w:rFonts w:ascii="Times New Roman" w:eastAsia="Times New Roman" w:hAnsi="Times New Roman" w:cs="Times New Roman"/>
          <w:i/>
          <w:iCs/>
          <w:sz w:val="24"/>
          <w:szCs w:val="24"/>
          <w:lang w:eastAsia="en-IN"/>
        </w:rPr>
        <w:t>(Based on PSM-adjusted survey data; n = 120 farmers)</w:t>
      </w:r>
    </w:p>
    <w:tbl>
      <w:tblPr>
        <w:tblStyle w:val="TableGrid"/>
        <w:tblW w:w="0" w:type="auto"/>
        <w:tblLook w:val="04A0" w:firstRow="1" w:lastRow="0" w:firstColumn="1" w:lastColumn="0" w:noHBand="0" w:noVBand="1"/>
      </w:tblPr>
      <w:tblGrid>
        <w:gridCol w:w="1003"/>
        <w:gridCol w:w="1097"/>
        <w:gridCol w:w="1145"/>
        <w:gridCol w:w="918"/>
        <w:gridCol w:w="1869"/>
        <w:gridCol w:w="1918"/>
        <w:gridCol w:w="1066"/>
      </w:tblGrid>
      <w:tr w:rsidR="00164647" w:rsidRPr="00E3574F" w14:paraId="2A2DE183" w14:textId="77777777" w:rsidTr="00234290">
        <w:tc>
          <w:tcPr>
            <w:tcW w:w="0" w:type="auto"/>
            <w:hideMark/>
          </w:tcPr>
          <w:p w14:paraId="1C94D993"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Crop</w:t>
            </w:r>
          </w:p>
        </w:tc>
        <w:tc>
          <w:tcPr>
            <w:tcW w:w="0" w:type="auto"/>
            <w:hideMark/>
          </w:tcPr>
          <w:p w14:paraId="156B8E15"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Yield (kg/ha) – Users</w:t>
            </w:r>
          </w:p>
        </w:tc>
        <w:tc>
          <w:tcPr>
            <w:tcW w:w="0" w:type="auto"/>
            <w:hideMark/>
          </w:tcPr>
          <w:p w14:paraId="5A367F83"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Yield (kg/ha) – Non-users</w:t>
            </w:r>
          </w:p>
        </w:tc>
        <w:tc>
          <w:tcPr>
            <w:tcW w:w="0" w:type="auto"/>
            <w:hideMark/>
          </w:tcPr>
          <w:p w14:paraId="77C6B428"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Yield Gain</w:t>
            </w:r>
          </w:p>
        </w:tc>
        <w:tc>
          <w:tcPr>
            <w:tcW w:w="0" w:type="auto"/>
            <w:hideMark/>
          </w:tcPr>
          <w:p w14:paraId="1CFA4E21"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Income/Season (₹) – Users</w:t>
            </w:r>
          </w:p>
        </w:tc>
        <w:tc>
          <w:tcPr>
            <w:tcW w:w="0" w:type="auto"/>
            <w:hideMark/>
          </w:tcPr>
          <w:p w14:paraId="49941B88"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Income/Season (₹) – Non-users</w:t>
            </w:r>
          </w:p>
        </w:tc>
        <w:tc>
          <w:tcPr>
            <w:tcW w:w="0" w:type="auto"/>
            <w:hideMark/>
          </w:tcPr>
          <w:p w14:paraId="51F11E8D"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Income Gain</w:t>
            </w:r>
          </w:p>
        </w:tc>
      </w:tr>
      <w:tr w:rsidR="00164647" w:rsidRPr="00E3574F" w14:paraId="6B883245" w14:textId="77777777" w:rsidTr="00234290">
        <w:tc>
          <w:tcPr>
            <w:tcW w:w="0" w:type="auto"/>
            <w:hideMark/>
          </w:tcPr>
          <w:p w14:paraId="3D3133B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Paddy</w:t>
            </w:r>
          </w:p>
        </w:tc>
        <w:tc>
          <w:tcPr>
            <w:tcW w:w="0" w:type="auto"/>
            <w:hideMark/>
          </w:tcPr>
          <w:p w14:paraId="23998DC8"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4,250</w:t>
            </w:r>
          </w:p>
        </w:tc>
        <w:tc>
          <w:tcPr>
            <w:tcW w:w="0" w:type="auto"/>
            <w:hideMark/>
          </w:tcPr>
          <w:p w14:paraId="54E1022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3,600</w:t>
            </w:r>
          </w:p>
        </w:tc>
        <w:tc>
          <w:tcPr>
            <w:tcW w:w="0" w:type="auto"/>
            <w:hideMark/>
          </w:tcPr>
          <w:p w14:paraId="571B88F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18.1%</w:t>
            </w:r>
          </w:p>
        </w:tc>
        <w:tc>
          <w:tcPr>
            <w:tcW w:w="0" w:type="auto"/>
            <w:hideMark/>
          </w:tcPr>
          <w:p w14:paraId="5662A24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₹35,600</w:t>
            </w:r>
          </w:p>
        </w:tc>
        <w:tc>
          <w:tcPr>
            <w:tcW w:w="0" w:type="auto"/>
            <w:hideMark/>
          </w:tcPr>
          <w:p w14:paraId="20F783B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₹29,400</w:t>
            </w:r>
          </w:p>
        </w:tc>
        <w:tc>
          <w:tcPr>
            <w:tcW w:w="0" w:type="auto"/>
            <w:hideMark/>
          </w:tcPr>
          <w:p w14:paraId="5285A14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21.1%</w:t>
            </w:r>
          </w:p>
        </w:tc>
      </w:tr>
      <w:tr w:rsidR="00164647" w:rsidRPr="00E3574F" w14:paraId="68A2C4E9" w14:textId="77777777" w:rsidTr="00234290">
        <w:tc>
          <w:tcPr>
            <w:tcW w:w="0" w:type="auto"/>
            <w:hideMark/>
          </w:tcPr>
          <w:p w14:paraId="62FD845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Banana</w:t>
            </w:r>
          </w:p>
        </w:tc>
        <w:tc>
          <w:tcPr>
            <w:tcW w:w="0" w:type="auto"/>
            <w:hideMark/>
          </w:tcPr>
          <w:p w14:paraId="32CAE07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16,500</w:t>
            </w:r>
          </w:p>
        </w:tc>
        <w:tc>
          <w:tcPr>
            <w:tcW w:w="0" w:type="auto"/>
            <w:hideMark/>
          </w:tcPr>
          <w:p w14:paraId="2C10F29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14,200</w:t>
            </w:r>
          </w:p>
        </w:tc>
        <w:tc>
          <w:tcPr>
            <w:tcW w:w="0" w:type="auto"/>
            <w:hideMark/>
          </w:tcPr>
          <w:p w14:paraId="21368243"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16.2%</w:t>
            </w:r>
          </w:p>
        </w:tc>
        <w:tc>
          <w:tcPr>
            <w:tcW w:w="0" w:type="auto"/>
            <w:hideMark/>
          </w:tcPr>
          <w:p w14:paraId="4330192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₹62,300</w:t>
            </w:r>
          </w:p>
        </w:tc>
        <w:tc>
          <w:tcPr>
            <w:tcW w:w="0" w:type="auto"/>
            <w:hideMark/>
          </w:tcPr>
          <w:p w14:paraId="2742050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₹52,000</w:t>
            </w:r>
          </w:p>
        </w:tc>
        <w:tc>
          <w:tcPr>
            <w:tcW w:w="0" w:type="auto"/>
            <w:hideMark/>
          </w:tcPr>
          <w:p w14:paraId="2AC87E5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19.8%</w:t>
            </w:r>
          </w:p>
        </w:tc>
      </w:tr>
      <w:tr w:rsidR="00164647" w:rsidRPr="00E3574F" w14:paraId="4B1501F2" w14:textId="77777777" w:rsidTr="00234290">
        <w:tc>
          <w:tcPr>
            <w:tcW w:w="0" w:type="auto"/>
            <w:hideMark/>
          </w:tcPr>
          <w:p w14:paraId="47691688"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Brinjal</w:t>
            </w:r>
          </w:p>
        </w:tc>
        <w:tc>
          <w:tcPr>
            <w:tcW w:w="0" w:type="auto"/>
            <w:hideMark/>
          </w:tcPr>
          <w:p w14:paraId="25922ADC"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18,800</w:t>
            </w:r>
          </w:p>
        </w:tc>
        <w:tc>
          <w:tcPr>
            <w:tcW w:w="0" w:type="auto"/>
            <w:hideMark/>
          </w:tcPr>
          <w:p w14:paraId="73831063"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16,000</w:t>
            </w:r>
          </w:p>
        </w:tc>
        <w:tc>
          <w:tcPr>
            <w:tcW w:w="0" w:type="auto"/>
            <w:hideMark/>
          </w:tcPr>
          <w:p w14:paraId="0618975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17.5%</w:t>
            </w:r>
          </w:p>
        </w:tc>
        <w:tc>
          <w:tcPr>
            <w:tcW w:w="0" w:type="auto"/>
            <w:hideMark/>
          </w:tcPr>
          <w:p w14:paraId="78726AF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₹74,000</w:t>
            </w:r>
          </w:p>
        </w:tc>
        <w:tc>
          <w:tcPr>
            <w:tcW w:w="0" w:type="auto"/>
            <w:hideMark/>
          </w:tcPr>
          <w:p w14:paraId="587EBD2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₹61,200</w:t>
            </w:r>
          </w:p>
        </w:tc>
        <w:tc>
          <w:tcPr>
            <w:tcW w:w="0" w:type="auto"/>
            <w:hideMark/>
          </w:tcPr>
          <w:p w14:paraId="112B743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20.9%</w:t>
            </w:r>
          </w:p>
        </w:tc>
      </w:tr>
      <w:tr w:rsidR="00164647" w:rsidRPr="00E3574F" w14:paraId="5E95DF69" w14:textId="77777777" w:rsidTr="00234290">
        <w:tc>
          <w:tcPr>
            <w:tcW w:w="0" w:type="auto"/>
            <w:hideMark/>
          </w:tcPr>
          <w:p w14:paraId="7FF876B4"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Chilli</w:t>
            </w:r>
          </w:p>
        </w:tc>
        <w:tc>
          <w:tcPr>
            <w:tcW w:w="0" w:type="auto"/>
            <w:hideMark/>
          </w:tcPr>
          <w:p w14:paraId="79EED6C4"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2,760</w:t>
            </w:r>
          </w:p>
        </w:tc>
        <w:tc>
          <w:tcPr>
            <w:tcW w:w="0" w:type="auto"/>
            <w:hideMark/>
          </w:tcPr>
          <w:p w14:paraId="5AB2155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2,310</w:t>
            </w:r>
          </w:p>
        </w:tc>
        <w:tc>
          <w:tcPr>
            <w:tcW w:w="0" w:type="auto"/>
            <w:hideMark/>
          </w:tcPr>
          <w:p w14:paraId="7CE87E7E"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19.5%</w:t>
            </w:r>
          </w:p>
        </w:tc>
        <w:tc>
          <w:tcPr>
            <w:tcW w:w="0" w:type="auto"/>
            <w:hideMark/>
          </w:tcPr>
          <w:p w14:paraId="7E499F3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₹48,700</w:t>
            </w:r>
          </w:p>
        </w:tc>
        <w:tc>
          <w:tcPr>
            <w:tcW w:w="0" w:type="auto"/>
            <w:hideMark/>
          </w:tcPr>
          <w:p w14:paraId="696DA2C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₹39,100</w:t>
            </w:r>
          </w:p>
        </w:tc>
        <w:tc>
          <w:tcPr>
            <w:tcW w:w="0" w:type="auto"/>
            <w:hideMark/>
          </w:tcPr>
          <w:p w14:paraId="2E0A5CC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24.5%</w:t>
            </w:r>
          </w:p>
        </w:tc>
      </w:tr>
      <w:tr w:rsidR="00164647" w:rsidRPr="00E3574F" w14:paraId="0C8BF439" w14:textId="77777777" w:rsidTr="00234290">
        <w:tc>
          <w:tcPr>
            <w:tcW w:w="0" w:type="auto"/>
            <w:hideMark/>
          </w:tcPr>
          <w:p w14:paraId="36A8A3E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Cowpea</w:t>
            </w:r>
          </w:p>
        </w:tc>
        <w:tc>
          <w:tcPr>
            <w:tcW w:w="0" w:type="auto"/>
            <w:hideMark/>
          </w:tcPr>
          <w:p w14:paraId="7EA57A5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1,550</w:t>
            </w:r>
          </w:p>
        </w:tc>
        <w:tc>
          <w:tcPr>
            <w:tcW w:w="0" w:type="auto"/>
            <w:hideMark/>
          </w:tcPr>
          <w:p w14:paraId="2D531AC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1,320</w:t>
            </w:r>
          </w:p>
        </w:tc>
        <w:tc>
          <w:tcPr>
            <w:tcW w:w="0" w:type="auto"/>
            <w:hideMark/>
          </w:tcPr>
          <w:p w14:paraId="6836D633"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17.4%</w:t>
            </w:r>
          </w:p>
        </w:tc>
        <w:tc>
          <w:tcPr>
            <w:tcW w:w="0" w:type="auto"/>
            <w:hideMark/>
          </w:tcPr>
          <w:p w14:paraId="1AC44C2E"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₹25,400</w:t>
            </w:r>
          </w:p>
        </w:tc>
        <w:tc>
          <w:tcPr>
            <w:tcW w:w="0" w:type="auto"/>
            <w:hideMark/>
          </w:tcPr>
          <w:p w14:paraId="77AB3888"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₹20,900</w:t>
            </w:r>
          </w:p>
        </w:tc>
        <w:tc>
          <w:tcPr>
            <w:tcW w:w="0" w:type="auto"/>
            <w:hideMark/>
          </w:tcPr>
          <w:p w14:paraId="7EA49F9B"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21.5%</w:t>
            </w:r>
          </w:p>
        </w:tc>
      </w:tr>
    </w:tbl>
    <w:p w14:paraId="7024EC5F" w14:textId="32928480"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Crop-wise analysis confirmed consistent gains across a</w:t>
      </w:r>
      <w:r w:rsidR="00B56DFC" w:rsidRPr="00E3574F">
        <w:rPr>
          <w:rFonts w:ascii="Times New Roman" w:eastAsia="Times New Roman" w:hAnsi="Times New Roman" w:cs="Times New Roman"/>
          <w:sz w:val="24"/>
          <w:szCs w:val="24"/>
          <w:lang w:eastAsia="en-IN"/>
        </w:rPr>
        <w:t xml:space="preserve">ll five crops. Paddy and banana </w:t>
      </w:r>
      <w:r w:rsidRPr="00E3574F">
        <w:rPr>
          <w:rFonts w:ascii="Times New Roman" w:eastAsia="Times New Roman" w:hAnsi="Times New Roman" w:cs="Times New Roman"/>
          <w:sz w:val="24"/>
          <w:szCs w:val="24"/>
          <w:lang w:eastAsia="en-IN"/>
        </w:rPr>
        <w:t>representing staple and commercial segments—showed yield increases of 16–18% and income improvements above 19%. Vegetabl</w:t>
      </w:r>
      <w:r w:rsidR="00234290" w:rsidRPr="00E3574F">
        <w:rPr>
          <w:rFonts w:ascii="Times New Roman" w:eastAsia="Times New Roman" w:hAnsi="Times New Roman" w:cs="Times New Roman"/>
          <w:sz w:val="24"/>
          <w:szCs w:val="24"/>
          <w:lang w:eastAsia="en-IN"/>
        </w:rPr>
        <w:t>e crops such as brinjal, chilli</w:t>
      </w:r>
      <w:r w:rsidRPr="00E3574F">
        <w:rPr>
          <w:rFonts w:ascii="Times New Roman" w:eastAsia="Times New Roman" w:hAnsi="Times New Roman" w:cs="Times New Roman"/>
          <w:sz w:val="24"/>
          <w:szCs w:val="24"/>
          <w:lang w:eastAsia="en-IN"/>
        </w:rPr>
        <w:t xml:space="preserve"> and cowpea also recorded statistically significant gains (</w:t>
      </w:r>
      <w:r w:rsidRPr="00E3574F">
        <w:rPr>
          <w:rFonts w:ascii="Times New Roman" w:eastAsia="Times New Roman" w:hAnsi="Times New Roman" w:cs="Times New Roman"/>
          <w:i/>
          <w:iCs/>
          <w:sz w:val="24"/>
          <w:szCs w:val="24"/>
          <w:lang w:eastAsia="en-IN"/>
        </w:rPr>
        <w:t>p</w:t>
      </w:r>
      <w:r w:rsidRPr="00E3574F">
        <w:rPr>
          <w:rFonts w:ascii="Times New Roman" w:eastAsia="Times New Roman" w:hAnsi="Times New Roman" w:cs="Times New Roman"/>
          <w:sz w:val="24"/>
          <w:szCs w:val="24"/>
          <w:lang w:eastAsia="en-IN"/>
        </w:rPr>
        <w:t xml:space="preserve"> &lt; 0.05), with yield increments ranging from 17.4% to 19.5% and income gains exceeding 20%. These results underscore </w:t>
      </w:r>
      <w:proofErr w:type="spellStart"/>
      <w:r w:rsidRPr="00E3574F">
        <w:rPr>
          <w:rFonts w:ascii="Times New Roman" w:eastAsia="Times New Roman" w:hAnsi="Times New Roman" w:cs="Times New Roman"/>
          <w:sz w:val="24"/>
          <w:szCs w:val="24"/>
          <w:lang w:eastAsia="en-IN"/>
        </w:rPr>
        <w:t>FEM@Mobile’s</w:t>
      </w:r>
      <w:proofErr w:type="spellEnd"/>
      <w:r w:rsidRPr="00E3574F">
        <w:rPr>
          <w:rFonts w:ascii="Times New Roman" w:eastAsia="Times New Roman" w:hAnsi="Times New Roman" w:cs="Times New Roman"/>
          <w:sz w:val="24"/>
          <w:szCs w:val="24"/>
          <w:lang w:eastAsia="en-IN"/>
        </w:rPr>
        <w:t xml:space="preserve"> effectiveness not only in enhancing productivity but also in boosting profitability—particularly for short-duration and high-value crops.</w:t>
      </w:r>
      <w:r w:rsidRPr="00E3574F">
        <w:rPr>
          <w:rFonts w:ascii="Times New Roman" w:hAnsi="Times New Roman" w:cs="Times New Roman"/>
          <w:sz w:val="24"/>
          <w:szCs w:val="24"/>
        </w:rPr>
        <w:t xml:space="preserve"> </w:t>
      </w:r>
    </w:p>
    <w:p w14:paraId="538CE528" w14:textId="61F7E0D6"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 observed outcomes are consistent with studies from other parts of Asia and Africa, where mobile-based advisories have been shown to improve input efficiency and decision quality (Aker </w:t>
      </w:r>
      <w:r w:rsidRPr="00E3574F">
        <w:rPr>
          <w:rFonts w:ascii="Times New Roman" w:eastAsia="Times New Roman" w:hAnsi="Times New Roman" w:cs="Times New Roman"/>
          <w:i/>
          <w:iCs/>
          <w:sz w:val="24"/>
          <w:szCs w:val="24"/>
          <w:lang w:eastAsia="en-IN"/>
        </w:rPr>
        <w:t>et al</w:t>
      </w:r>
      <w:r w:rsidRPr="00E3574F">
        <w:rPr>
          <w:rFonts w:ascii="Times New Roman" w:eastAsia="Times New Roman" w:hAnsi="Times New Roman" w:cs="Times New Roman"/>
          <w:sz w:val="24"/>
          <w:szCs w:val="24"/>
          <w:lang w:eastAsia="en-IN"/>
        </w:rPr>
        <w:t xml:space="preserve">., 2016; </w:t>
      </w:r>
      <w:proofErr w:type="spellStart"/>
      <w:r w:rsidR="00861632" w:rsidRPr="00E3574F">
        <w:rPr>
          <w:rFonts w:ascii="Times New Roman" w:eastAsia="Times New Roman" w:hAnsi="Times New Roman" w:cs="Times New Roman"/>
          <w:sz w:val="24"/>
          <w:szCs w:val="24"/>
          <w:lang w:eastAsia="en-IN"/>
        </w:rPr>
        <w:t>Fuglie</w:t>
      </w:r>
      <w:proofErr w:type="spellEnd"/>
      <w:r w:rsidR="00861632" w:rsidRPr="00E3574F">
        <w:rPr>
          <w:rFonts w:ascii="Times New Roman" w:eastAsia="Times New Roman" w:hAnsi="Times New Roman" w:cs="Times New Roman"/>
          <w:sz w:val="24"/>
          <w:szCs w:val="24"/>
          <w:lang w:eastAsia="en-IN"/>
        </w:rPr>
        <w:t xml:space="preserve"> </w:t>
      </w:r>
      <w:r w:rsidR="00861632" w:rsidRPr="00E3574F">
        <w:rPr>
          <w:rFonts w:ascii="Times New Roman" w:eastAsia="Times New Roman" w:hAnsi="Times New Roman" w:cs="Times New Roman"/>
          <w:i/>
          <w:iCs/>
          <w:sz w:val="24"/>
          <w:szCs w:val="24"/>
          <w:lang w:eastAsia="en-IN"/>
        </w:rPr>
        <w:t>et al</w:t>
      </w:r>
      <w:r w:rsidR="00861632" w:rsidRPr="00E3574F">
        <w:rPr>
          <w:rFonts w:ascii="Times New Roman" w:eastAsia="Times New Roman" w:hAnsi="Times New Roman" w:cs="Times New Roman"/>
          <w:sz w:val="24"/>
          <w:szCs w:val="24"/>
          <w:lang w:eastAsia="en-IN"/>
        </w:rPr>
        <w:t>., 2020</w:t>
      </w:r>
      <w:r w:rsidRPr="00E3574F">
        <w:rPr>
          <w:rFonts w:ascii="Times New Roman" w:eastAsia="Times New Roman" w:hAnsi="Times New Roman" w:cs="Times New Roman"/>
          <w:sz w:val="24"/>
          <w:szCs w:val="24"/>
          <w:lang w:eastAsia="en-IN"/>
        </w:rPr>
        <w:t xml:space="preserve">). Among surveyed users, 67% reported reduced pesticide use due to better </w:t>
      </w:r>
      <w:r w:rsidR="00234290" w:rsidRPr="00E3574F">
        <w:rPr>
          <w:rFonts w:ascii="Times New Roman" w:eastAsia="Times New Roman" w:hAnsi="Times New Roman" w:cs="Times New Roman"/>
          <w:sz w:val="24"/>
          <w:szCs w:val="24"/>
          <w:lang w:eastAsia="en-IN"/>
        </w:rPr>
        <w:t>timing and targeted application</w:t>
      </w:r>
      <w:r w:rsidRPr="00E3574F">
        <w:rPr>
          <w:rFonts w:ascii="Times New Roman" w:eastAsia="Times New Roman" w:hAnsi="Times New Roman" w:cs="Times New Roman"/>
          <w:sz w:val="24"/>
          <w:szCs w:val="24"/>
          <w:lang w:eastAsia="en-IN"/>
        </w:rPr>
        <w:t xml:space="preserve"> and 42% noted a decline in </w:t>
      </w:r>
      <w:r w:rsidR="008E0DD4">
        <w:rPr>
          <w:rFonts w:ascii="Times New Roman" w:eastAsia="Times New Roman" w:hAnsi="Times New Roman" w:cs="Times New Roman"/>
          <w:sz w:val="24"/>
          <w:szCs w:val="24"/>
          <w:lang w:eastAsia="en-IN"/>
        </w:rPr>
        <w:t>fertiliser</w:t>
      </w:r>
      <w:r w:rsidRPr="00E3574F">
        <w:rPr>
          <w:rFonts w:ascii="Times New Roman" w:eastAsia="Times New Roman" w:hAnsi="Times New Roman" w:cs="Times New Roman"/>
          <w:sz w:val="24"/>
          <w:szCs w:val="24"/>
          <w:lang w:eastAsia="en-IN"/>
        </w:rPr>
        <w:t xml:space="preserve"> expenses, aligning with </w:t>
      </w:r>
      <w:r w:rsidR="00234290" w:rsidRPr="00E3574F">
        <w:rPr>
          <w:rFonts w:ascii="Times New Roman" w:eastAsia="Times New Roman" w:hAnsi="Times New Roman" w:cs="Times New Roman"/>
          <w:sz w:val="24"/>
          <w:szCs w:val="24"/>
          <w:lang w:eastAsia="en-IN"/>
        </w:rPr>
        <w:t>judicious</w:t>
      </w:r>
      <w:r w:rsidRPr="00E3574F">
        <w:rPr>
          <w:rFonts w:ascii="Times New Roman" w:eastAsia="Times New Roman" w:hAnsi="Times New Roman" w:cs="Times New Roman"/>
          <w:sz w:val="24"/>
          <w:szCs w:val="24"/>
          <w:lang w:eastAsia="en-IN"/>
        </w:rPr>
        <w:t xml:space="preserve"> nutrient management </w:t>
      </w:r>
      <w:r w:rsidR="00234290" w:rsidRPr="00E3574F">
        <w:rPr>
          <w:rFonts w:ascii="Times New Roman" w:eastAsia="Times New Roman" w:hAnsi="Times New Roman" w:cs="Times New Roman"/>
          <w:sz w:val="24"/>
          <w:szCs w:val="24"/>
          <w:lang w:eastAsia="en-IN"/>
        </w:rPr>
        <w:t xml:space="preserve">based on the </w:t>
      </w:r>
      <w:r w:rsidRPr="00E3574F">
        <w:rPr>
          <w:rFonts w:ascii="Times New Roman" w:eastAsia="Times New Roman" w:hAnsi="Times New Roman" w:cs="Times New Roman"/>
          <w:sz w:val="24"/>
          <w:szCs w:val="24"/>
          <w:lang w:eastAsia="en-IN"/>
        </w:rPr>
        <w:t>recommendations offered by the app.</w:t>
      </w:r>
    </w:p>
    <w:p w14:paraId="5F40180E" w14:textId="093A57E6"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To quantify these benefits further, a second analysis evaluated savings in input costs among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users. As detailed below, substantial cost reductions were observed across</w:t>
      </w:r>
      <w:r w:rsidR="00234290" w:rsidRPr="00E3574F">
        <w:rPr>
          <w:rFonts w:ascii="Times New Roman" w:eastAsia="Times New Roman" w:hAnsi="Times New Roman" w:cs="Times New Roman"/>
          <w:sz w:val="24"/>
          <w:szCs w:val="24"/>
          <w:lang w:eastAsia="en-IN"/>
        </w:rPr>
        <w:t xml:space="preserve"> pesticides, </w:t>
      </w:r>
      <w:r w:rsidR="008E0DD4">
        <w:rPr>
          <w:rFonts w:ascii="Times New Roman" w:eastAsia="Times New Roman" w:hAnsi="Times New Roman" w:cs="Times New Roman"/>
          <w:sz w:val="24"/>
          <w:szCs w:val="24"/>
          <w:lang w:eastAsia="en-IN"/>
        </w:rPr>
        <w:t>fertiliser</w:t>
      </w:r>
      <w:r w:rsidR="00234290" w:rsidRPr="00E3574F">
        <w:rPr>
          <w:rFonts w:ascii="Times New Roman" w:eastAsia="Times New Roman" w:hAnsi="Times New Roman" w:cs="Times New Roman"/>
          <w:sz w:val="24"/>
          <w:szCs w:val="24"/>
          <w:lang w:eastAsia="en-IN"/>
        </w:rPr>
        <w:t xml:space="preserve">s, </w:t>
      </w:r>
      <w:r w:rsidR="008E0DD4">
        <w:rPr>
          <w:rFonts w:ascii="Times New Roman" w:eastAsia="Times New Roman" w:hAnsi="Times New Roman" w:cs="Times New Roman"/>
          <w:sz w:val="24"/>
          <w:szCs w:val="24"/>
          <w:lang w:eastAsia="en-IN"/>
        </w:rPr>
        <w:t>labour</w:t>
      </w:r>
      <w:r w:rsidRPr="00E3574F">
        <w:rPr>
          <w:rFonts w:ascii="Times New Roman" w:eastAsia="Times New Roman" w:hAnsi="Times New Roman" w:cs="Times New Roman"/>
          <w:sz w:val="24"/>
          <w:szCs w:val="24"/>
          <w:lang w:eastAsia="en-IN"/>
        </w:rPr>
        <w:t xml:space="preserve"> and seed material.</w:t>
      </w:r>
    </w:p>
    <w:p w14:paraId="38E7B9D6" w14:textId="77777777" w:rsidR="00D71BE7" w:rsidRPr="00E3574F" w:rsidRDefault="00F95CB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Table 3</w:t>
      </w:r>
      <w:r w:rsidR="00D71BE7" w:rsidRPr="00E3574F">
        <w:rPr>
          <w:rFonts w:ascii="Times New Roman" w:eastAsia="Times New Roman" w:hAnsi="Times New Roman" w:cs="Times New Roman"/>
          <w:b/>
          <w:bCs/>
          <w:sz w:val="24"/>
          <w:szCs w:val="24"/>
          <w:lang w:eastAsia="en-IN"/>
        </w:rPr>
        <w:t xml:space="preserve">. Input Cost Savings Among </w:t>
      </w:r>
      <w:proofErr w:type="spellStart"/>
      <w:r w:rsidR="00D71BE7" w:rsidRPr="00E3574F">
        <w:rPr>
          <w:rFonts w:ascii="Times New Roman" w:eastAsia="Times New Roman" w:hAnsi="Times New Roman" w:cs="Times New Roman"/>
          <w:b/>
          <w:bCs/>
          <w:sz w:val="24"/>
          <w:szCs w:val="24"/>
          <w:lang w:eastAsia="en-IN"/>
        </w:rPr>
        <w:t>FEM@Mobile</w:t>
      </w:r>
      <w:proofErr w:type="spellEnd"/>
      <w:r w:rsidR="00D71BE7" w:rsidRPr="00E3574F">
        <w:rPr>
          <w:rFonts w:ascii="Times New Roman" w:eastAsia="Times New Roman" w:hAnsi="Times New Roman" w:cs="Times New Roman"/>
          <w:b/>
          <w:bCs/>
          <w:sz w:val="24"/>
          <w:szCs w:val="24"/>
          <w:lang w:eastAsia="en-IN"/>
        </w:rPr>
        <w:t xml:space="preserve"> Users Compared to Non-users</w:t>
      </w:r>
      <w:r w:rsidR="00D71BE7" w:rsidRPr="00E3574F">
        <w:rPr>
          <w:rFonts w:ascii="Times New Roman" w:eastAsia="Times New Roman" w:hAnsi="Times New Roman" w:cs="Times New Roman"/>
          <w:sz w:val="24"/>
          <w:szCs w:val="24"/>
          <w:lang w:eastAsia="en-IN"/>
        </w:rPr>
        <w:br/>
      </w:r>
      <w:r w:rsidR="00D71BE7" w:rsidRPr="00E3574F">
        <w:rPr>
          <w:rFonts w:ascii="Times New Roman" w:eastAsia="Times New Roman" w:hAnsi="Times New Roman" w:cs="Times New Roman"/>
          <w:i/>
          <w:iCs/>
          <w:sz w:val="24"/>
          <w:szCs w:val="24"/>
          <w:lang w:eastAsia="en-IN"/>
        </w:rPr>
        <w:t>(Survey estimates averaged over a season; n = 60 users)</w:t>
      </w:r>
    </w:p>
    <w:tbl>
      <w:tblPr>
        <w:tblStyle w:val="TableGrid"/>
        <w:tblW w:w="0" w:type="auto"/>
        <w:tblLook w:val="04A0" w:firstRow="1" w:lastRow="0" w:firstColumn="1" w:lastColumn="0" w:noHBand="0" w:noVBand="1"/>
      </w:tblPr>
      <w:tblGrid>
        <w:gridCol w:w="1845"/>
        <w:gridCol w:w="1995"/>
        <w:gridCol w:w="2153"/>
        <w:gridCol w:w="1472"/>
        <w:gridCol w:w="1551"/>
      </w:tblGrid>
      <w:tr w:rsidR="00164647" w:rsidRPr="00E3574F" w14:paraId="39DEF1F7" w14:textId="77777777" w:rsidTr="00FA1151">
        <w:tc>
          <w:tcPr>
            <w:tcW w:w="0" w:type="auto"/>
            <w:hideMark/>
          </w:tcPr>
          <w:p w14:paraId="2CD11E09"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Input Category</w:t>
            </w:r>
          </w:p>
        </w:tc>
        <w:tc>
          <w:tcPr>
            <w:tcW w:w="0" w:type="auto"/>
            <w:hideMark/>
          </w:tcPr>
          <w:p w14:paraId="6D7A0A32"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Average Cost – Users (₹/season)</w:t>
            </w:r>
          </w:p>
        </w:tc>
        <w:tc>
          <w:tcPr>
            <w:tcW w:w="0" w:type="auto"/>
            <w:hideMark/>
          </w:tcPr>
          <w:p w14:paraId="7DE61293"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Average Cost – Non-users (₹/season)</w:t>
            </w:r>
          </w:p>
        </w:tc>
        <w:tc>
          <w:tcPr>
            <w:tcW w:w="0" w:type="auto"/>
            <w:hideMark/>
          </w:tcPr>
          <w:p w14:paraId="7E639FB0"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Average Savings (₹)</w:t>
            </w:r>
          </w:p>
        </w:tc>
        <w:tc>
          <w:tcPr>
            <w:tcW w:w="0" w:type="auto"/>
            <w:hideMark/>
          </w:tcPr>
          <w:p w14:paraId="4EF220BE"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Cost Reduction</w:t>
            </w:r>
          </w:p>
        </w:tc>
      </w:tr>
      <w:tr w:rsidR="00164647" w:rsidRPr="00E3574F" w14:paraId="7BC44DF9" w14:textId="77777777" w:rsidTr="00FA1151">
        <w:tc>
          <w:tcPr>
            <w:tcW w:w="0" w:type="auto"/>
            <w:hideMark/>
          </w:tcPr>
          <w:p w14:paraId="38F55B8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Pesticides</w:t>
            </w:r>
          </w:p>
        </w:tc>
        <w:tc>
          <w:tcPr>
            <w:tcW w:w="0" w:type="auto"/>
            <w:hideMark/>
          </w:tcPr>
          <w:p w14:paraId="37C46EB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₹3,200</w:t>
            </w:r>
          </w:p>
        </w:tc>
        <w:tc>
          <w:tcPr>
            <w:tcW w:w="0" w:type="auto"/>
            <w:hideMark/>
          </w:tcPr>
          <w:p w14:paraId="05D7DF7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₹4,600</w:t>
            </w:r>
          </w:p>
        </w:tc>
        <w:tc>
          <w:tcPr>
            <w:tcW w:w="0" w:type="auto"/>
            <w:hideMark/>
          </w:tcPr>
          <w:p w14:paraId="45A567B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₹1,400</w:t>
            </w:r>
          </w:p>
        </w:tc>
        <w:tc>
          <w:tcPr>
            <w:tcW w:w="0" w:type="auto"/>
            <w:hideMark/>
          </w:tcPr>
          <w:p w14:paraId="7587F4B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30.4%</w:t>
            </w:r>
          </w:p>
        </w:tc>
      </w:tr>
      <w:tr w:rsidR="00164647" w:rsidRPr="00E3574F" w14:paraId="45C6F1F6" w14:textId="77777777" w:rsidTr="00FA1151">
        <w:tc>
          <w:tcPr>
            <w:tcW w:w="0" w:type="auto"/>
            <w:hideMark/>
          </w:tcPr>
          <w:p w14:paraId="34F03189" w14:textId="47828327" w:rsidR="00D71BE7" w:rsidRPr="00E3574F" w:rsidRDefault="008E0DD4" w:rsidP="004109F1">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Fertiliser</w:t>
            </w:r>
            <w:r w:rsidR="00D71BE7" w:rsidRPr="00E3574F">
              <w:rPr>
                <w:rFonts w:ascii="Times New Roman" w:eastAsia="Times New Roman" w:hAnsi="Times New Roman" w:cs="Times New Roman"/>
                <w:sz w:val="24"/>
                <w:szCs w:val="24"/>
                <w:lang w:eastAsia="en-IN"/>
              </w:rPr>
              <w:t>s</w:t>
            </w:r>
          </w:p>
        </w:tc>
        <w:tc>
          <w:tcPr>
            <w:tcW w:w="0" w:type="auto"/>
            <w:hideMark/>
          </w:tcPr>
          <w:p w14:paraId="7DA913C8"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₹2,850</w:t>
            </w:r>
          </w:p>
        </w:tc>
        <w:tc>
          <w:tcPr>
            <w:tcW w:w="0" w:type="auto"/>
            <w:hideMark/>
          </w:tcPr>
          <w:p w14:paraId="5A68D6A4"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₹4,400</w:t>
            </w:r>
          </w:p>
        </w:tc>
        <w:tc>
          <w:tcPr>
            <w:tcW w:w="0" w:type="auto"/>
            <w:hideMark/>
          </w:tcPr>
          <w:p w14:paraId="02FF3C8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₹1,550</w:t>
            </w:r>
          </w:p>
        </w:tc>
        <w:tc>
          <w:tcPr>
            <w:tcW w:w="0" w:type="auto"/>
            <w:hideMark/>
          </w:tcPr>
          <w:p w14:paraId="14C0DC0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35.2%</w:t>
            </w:r>
          </w:p>
        </w:tc>
      </w:tr>
      <w:tr w:rsidR="00164647" w:rsidRPr="00E3574F" w14:paraId="3657A10C" w14:textId="77777777" w:rsidTr="00FA1151">
        <w:tc>
          <w:tcPr>
            <w:tcW w:w="0" w:type="auto"/>
            <w:hideMark/>
          </w:tcPr>
          <w:p w14:paraId="7C3D31EC" w14:textId="359912B5" w:rsidR="00D71BE7" w:rsidRPr="00E3574F" w:rsidRDefault="008E0DD4" w:rsidP="004109F1">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Labour</w:t>
            </w:r>
            <w:r w:rsidR="00D71BE7" w:rsidRPr="00E3574F">
              <w:rPr>
                <w:rFonts w:ascii="Times New Roman" w:eastAsia="Times New Roman" w:hAnsi="Times New Roman" w:cs="Times New Roman"/>
                <w:sz w:val="24"/>
                <w:szCs w:val="24"/>
                <w:lang w:eastAsia="en-IN"/>
              </w:rPr>
              <w:t xml:space="preserve"> for Scouting</w:t>
            </w:r>
          </w:p>
        </w:tc>
        <w:tc>
          <w:tcPr>
            <w:tcW w:w="0" w:type="auto"/>
            <w:hideMark/>
          </w:tcPr>
          <w:p w14:paraId="52B1167B"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₹1,200</w:t>
            </w:r>
          </w:p>
        </w:tc>
        <w:tc>
          <w:tcPr>
            <w:tcW w:w="0" w:type="auto"/>
            <w:hideMark/>
          </w:tcPr>
          <w:p w14:paraId="6EB84E5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₹1,800</w:t>
            </w:r>
          </w:p>
        </w:tc>
        <w:tc>
          <w:tcPr>
            <w:tcW w:w="0" w:type="auto"/>
            <w:hideMark/>
          </w:tcPr>
          <w:p w14:paraId="2FA146E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₹600</w:t>
            </w:r>
          </w:p>
        </w:tc>
        <w:tc>
          <w:tcPr>
            <w:tcW w:w="0" w:type="auto"/>
            <w:hideMark/>
          </w:tcPr>
          <w:p w14:paraId="5929DED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33.3%</w:t>
            </w:r>
          </w:p>
        </w:tc>
      </w:tr>
      <w:tr w:rsidR="00164647" w:rsidRPr="00E3574F" w14:paraId="11A4BF66" w14:textId="77777777" w:rsidTr="00FA1151">
        <w:tc>
          <w:tcPr>
            <w:tcW w:w="0" w:type="auto"/>
            <w:hideMark/>
          </w:tcPr>
          <w:p w14:paraId="5ACA1E4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Seedlings/Seed</w:t>
            </w:r>
          </w:p>
        </w:tc>
        <w:tc>
          <w:tcPr>
            <w:tcW w:w="0" w:type="auto"/>
            <w:hideMark/>
          </w:tcPr>
          <w:p w14:paraId="16F775B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₹1,500</w:t>
            </w:r>
          </w:p>
        </w:tc>
        <w:tc>
          <w:tcPr>
            <w:tcW w:w="0" w:type="auto"/>
            <w:hideMark/>
          </w:tcPr>
          <w:p w14:paraId="2E6C8A2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₹1,800</w:t>
            </w:r>
          </w:p>
        </w:tc>
        <w:tc>
          <w:tcPr>
            <w:tcW w:w="0" w:type="auto"/>
            <w:hideMark/>
          </w:tcPr>
          <w:p w14:paraId="14FC163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₹300</w:t>
            </w:r>
          </w:p>
        </w:tc>
        <w:tc>
          <w:tcPr>
            <w:tcW w:w="0" w:type="auto"/>
            <w:hideMark/>
          </w:tcPr>
          <w:p w14:paraId="25ED09FC"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16.7%</w:t>
            </w:r>
          </w:p>
        </w:tc>
      </w:tr>
      <w:tr w:rsidR="00164647" w:rsidRPr="00E3574F" w14:paraId="5E0AAC30" w14:textId="77777777" w:rsidTr="00FA1151">
        <w:tc>
          <w:tcPr>
            <w:tcW w:w="0" w:type="auto"/>
            <w:hideMark/>
          </w:tcPr>
          <w:p w14:paraId="784F5E0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Total Input Cost</w:t>
            </w:r>
          </w:p>
        </w:tc>
        <w:tc>
          <w:tcPr>
            <w:tcW w:w="0" w:type="auto"/>
            <w:hideMark/>
          </w:tcPr>
          <w:p w14:paraId="17D738AB"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₹8,750</w:t>
            </w:r>
          </w:p>
        </w:tc>
        <w:tc>
          <w:tcPr>
            <w:tcW w:w="0" w:type="auto"/>
            <w:hideMark/>
          </w:tcPr>
          <w:p w14:paraId="36A5B0FE"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₹12,600</w:t>
            </w:r>
          </w:p>
        </w:tc>
        <w:tc>
          <w:tcPr>
            <w:tcW w:w="0" w:type="auto"/>
            <w:hideMark/>
          </w:tcPr>
          <w:p w14:paraId="0D83D4F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₹3,850</w:t>
            </w:r>
          </w:p>
        </w:tc>
        <w:tc>
          <w:tcPr>
            <w:tcW w:w="0" w:type="auto"/>
            <w:hideMark/>
          </w:tcPr>
          <w:p w14:paraId="158D052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30.6%</w:t>
            </w:r>
          </w:p>
        </w:tc>
      </w:tr>
    </w:tbl>
    <w:p w14:paraId="5A7C882D" w14:textId="0A0918D4"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Cost savings were most pronounced in pesticide and </w:t>
      </w:r>
      <w:r w:rsidR="008E0DD4">
        <w:rPr>
          <w:rFonts w:ascii="Times New Roman" w:eastAsia="Times New Roman" w:hAnsi="Times New Roman" w:cs="Times New Roman"/>
          <w:sz w:val="24"/>
          <w:szCs w:val="24"/>
          <w:lang w:eastAsia="en-IN"/>
        </w:rPr>
        <w:t>fertiliser</w:t>
      </w:r>
      <w:r w:rsidRPr="00E3574F">
        <w:rPr>
          <w:rFonts w:ascii="Times New Roman" w:eastAsia="Times New Roman" w:hAnsi="Times New Roman" w:cs="Times New Roman"/>
          <w:sz w:val="24"/>
          <w:szCs w:val="24"/>
          <w:lang w:eastAsia="en-IN"/>
        </w:rPr>
        <w:t xml:space="preserve"> use, where </w:t>
      </w:r>
      <w:proofErr w:type="spellStart"/>
      <w:r w:rsidRPr="00E3574F">
        <w:rPr>
          <w:rFonts w:ascii="Times New Roman" w:eastAsia="Times New Roman" w:hAnsi="Times New Roman" w:cs="Times New Roman"/>
          <w:sz w:val="24"/>
          <w:szCs w:val="24"/>
          <w:lang w:eastAsia="en-IN"/>
        </w:rPr>
        <w:t>FEM@Mobile’s</w:t>
      </w:r>
      <w:proofErr w:type="spellEnd"/>
      <w:r w:rsidRPr="00E3574F">
        <w:rPr>
          <w:rFonts w:ascii="Times New Roman" w:eastAsia="Times New Roman" w:hAnsi="Times New Roman" w:cs="Times New Roman"/>
          <w:sz w:val="24"/>
          <w:szCs w:val="24"/>
          <w:lang w:eastAsia="en-IN"/>
        </w:rPr>
        <w:t xml:space="preserve"> decision-support modules helped </w:t>
      </w:r>
      <w:r w:rsidR="00FA1151" w:rsidRPr="00E3574F">
        <w:rPr>
          <w:rFonts w:ascii="Times New Roman" w:eastAsia="Times New Roman" w:hAnsi="Times New Roman" w:cs="Times New Roman"/>
          <w:sz w:val="24"/>
          <w:szCs w:val="24"/>
          <w:lang w:eastAsia="en-IN"/>
        </w:rPr>
        <w:t xml:space="preserve">to </w:t>
      </w:r>
      <w:r w:rsidRPr="00E3574F">
        <w:rPr>
          <w:rFonts w:ascii="Times New Roman" w:eastAsia="Times New Roman" w:hAnsi="Times New Roman" w:cs="Times New Roman"/>
          <w:sz w:val="24"/>
          <w:szCs w:val="24"/>
          <w:lang w:eastAsia="en-IN"/>
        </w:rPr>
        <w:t xml:space="preserve">minimize unnecessary applications. On average, users </w:t>
      </w:r>
      <w:r w:rsidRPr="00E3574F">
        <w:rPr>
          <w:rFonts w:ascii="Times New Roman" w:eastAsia="Times New Roman" w:hAnsi="Times New Roman" w:cs="Times New Roman"/>
          <w:sz w:val="24"/>
          <w:szCs w:val="24"/>
          <w:lang w:eastAsia="en-IN"/>
        </w:rPr>
        <w:lastRenderedPageBreak/>
        <w:t xml:space="preserve">saved ₹3,850 per season, translating to a 30.6% overall reduction in input costs. This gain is particularly meaningful for smallholders who operate under narrow profit margins and limited liquidity. </w:t>
      </w:r>
      <w:r w:rsidR="00EC0B8E" w:rsidRPr="00E3574F">
        <w:rPr>
          <w:rFonts w:ascii="Times New Roman" w:eastAsia="Times New Roman" w:hAnsi="Times New Roman" w:cs="Times New Roman"/>
          <w:sz w:val="24"/>
          <w:szCs w:val="24"/>
          <w:lang w:eastAsia="en-IN"/>
        </w:rPr>
        <w:t xml:space="preserve">These findings reinforce earlier work on digital decision tools, such as Nutrient Expert, which demonstrated that site-specific </w:t>
      </w:r>
      <w:r w:rsidR="008E0DD4">
        <w:rPr>
          <w:rFonts w:ascii="Times New Roman" w:eastAsia="Times New Roman" w:hAnsi="Times New Roman" w:cs="Times New Roman"/>
          <w:sz w:val="24"/>
          <w:szCs w:val="24"/>
          <w:lang w:eastAsia="en-IN"/>
        </w:rPr>
        <w:t>fertiliser</w:t>
      </w:r>
      <w:r w:rsidR="00EC0B8E" w:rsidRPr="00E3574F">
        <w:rPr>
          <w:rFonts w:ascii="Times New Roman" w:eastAsia="Times New Roman" w:hAnsi="Times New Roman" w:cs="Times New Roman"/>
          <w:sz w:val="24"/>
          <w:szCs w:val="24"/>
          <w:lang w:eastAsia="en-IN"/>
        </w:rPr>
        <w:t xml:space="preserve"> recommendations reduced chemical us</w:t>
      </w:r>
      <w:r w:rsidR="00FA1151" w:rsidRPr="00E3574F">
        <w:rPr>
          <w:rFonts w:ascii="Times New Roman" w:eastAsia="Times New Roman" w:hAnsi="Times New Roman" w:cs="Times New Roman"/>
          <w:sz w:val="24"/>
          <w:szCs w:val="24"/>
          <w:lang w:eastAsia="en-IN"/>
        </w:rPr>
        <w:t>e, increased yields and incomes</w:t>
      </w:r>
      <w:r w:rsidR="00EC0B8E" w:rsidRPr="00E3574F">
        <w:rPr>
          <w:rFonts w:ascii="Times New Roman" w:eastAsia="Times New Roman" w:hAnsi="Times New Roman" w:cs="Times New Roman"/>
          <w:sz w:val="24"/>
          <w:szCs w:val="24"/>
          <w:lang w:eastAsia="en-IN"/>
        </w:rPr>
        <w:t xml:space="preserve"> and lowered emissions among Indian rice and wheat growers (Sapkota </w:t>
      </w:r>
      <w:r w:rsidR="00EC0B8E" w:rsidRPr="00E3574F">
        <w:rPr>
          <w:rFonts w:ascii="Times New Roman" w:eastAsia="Times New Roman" w:hAnsi="Times New Roman" w:cs="Times New Roman"/>
          <w:i/>
          <w:iCs/>
          <w:sz w:val="24"/>
          <w:szCs w:val="24"/>
          <w:lang w:eastAsia="en-IN"/>
        </w:rPr>
        <w:t>et al</w:t>
      </w:r>
      <w:r w:rsidR="00EC0B8E" w:rsidRPr="00E3574F">
        <w:rPr>
          <w:rFonts w:ascii="Times New Roman" w:eastAsia="Times New Roman" w:hAnsi="Times New Roman" w:cs="Times New Roman"/>
          <w:sz w:val="24"/>
          <w:szCs w:val="24"/>
          <w:lang w:eastAsia="en-IN"/>
        </w:rPr>
        <w:t>., 2021).</w:t>
      </w:r>
    </w:p>
    <w:p w14:paraId="7680FEE9" w14:textId="69780092"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Furthermore, users reported a marked increase in marketable surplus, especially for perish</w:t>
      </w:r>
      <w:r w:rsidR="00FA1151" w:rsidRPr="00E3574F">
        <w:rPr>
          <w:rFonts w:ascii="Times New Roman" w:eastAsia="Times New Roman" w:hAnsi="Times New Roman" w:cs="Times New Roman"/>
          <w:sz w:val="24"/>
          <w:szCs w:val="24"/>
          <w:lang w:eastAsia="en-IN"/>
        </w:rPr>
        <w:t>able crops like banana, brinjal and leafy vegetables</w:t>
      </w:r>
      <w:r w:rsidRPr="00E3574F">
        <w:rPr>
          <w:rFonts w:ascii="Times New Roman" w:eastAsia="Times New Roman" w:hAnsi="Times New Roman" w:cs="Times New Roman"/>
          <w:sz w:val="24"/>
          <w:szCs w:val="24"/>
          <w:lang w:eastAsia="en-IN"/>
        </w:rPr>
        <w:t xml:space="preserve">. This was attributed to early detection of nutrient deficiencies and pest outbreaks through the app’s expert-connect feature and symptom-based diagnostic tools. These outcomes mirror the findings of </w:t>
      </w:r>
      <w:proofErr w:type="spellStart"/>
      <w:r w:rsidRPr="00E3574F">
        <w:rPr>
          <w:rFonts w:ascii="Times New Roman" w:eastAsia="Times New Roman" w:hAnsi="Times New Roman" w:cs="Times New Roman"/>
          <w:sz w:val="24"/>
          <w:szCs w:val="24"/>
          <w:lang w:eastAsia="en-IN"/>
        </w:rPr>
        <w:t>Rajkhowa</w:t>
      </w:r>
      <w:proofErr w:type="spellEnd"/>
      <w:r w:rsidRPr="00E3574F">
        <w:rPr>
          <w:rFonts w:ascii="Times New Roman" w:eastAsia="Times New Roman" w:hAnsi="Times New Roman" w:cs="Times New Roman"/>
          <w:sz w:val="24"/>
          <w:szCs w:val="24"/>
          <w:lang w:eastAsia="en-IN"/>
        </w:rPr>
        <w:t xml:space="preserve"> and </w:t>
      </w:r>
      <w:proofErr w:type="spellStart"/>
      <w:r w:rsidRPr="00E3574F">
        <w:rPr>
          <w:rFonts w:ascii="Times New Roman" w:eastAsia="Times New Roman" w:hAnsi="Times New Roman" w:cs="Times New Roman"/>
          <w:sz w:val="24"/>
          <w:szCs w:val="24"/>
          <w:lang w:eastAsia="en-IN"/>
        </w:rPr>
        <w:t>Qaim</w:t>
      </w:r>
      <w:proofErr w:type="spellEnd"/>
      <w:r w:rsidRPr="00E3574F">
        <w:rPr>
          <w:rFonts w:ascii="Times New Roman" w:eastAsia="Times New Roman" w:hAnsi="Times New Roman" w:cs="Times New Roman"/>
          <w:sz w:val="24"/>
          <w:szCs w:val="24"/>
          <w:lang w:eastAsia="en-IN"/>
        </w:rPr>
        <w:t xml:space="preserve"> (2021), which confirm that digital extension platforms can enhance both yield intensification</w:t>
      </w:r>
      <w:r w:rsidRPr="00E3574F">
        <w:rPr>
          <w:rFonts w:ascii="Times New Roman" w:eastAsia="Times New Roman" w:hAnsi="Times New Roman" w:cs="Times New Roman"/>
          <w:b/>
          <w:bCs/>
          <w:sz w:val="24"/>
          <w:szCs w:val="24"/>
          <w:lang w:eastAsia="en-IN"/>
        </w:rPr>
        <w:t xml:space="preserve"> </w:t>
      </w:r>
      <w:r w:rsidRPr="00E3574F">
        <w:rPr>
          <w:rFonts w:ascii="Times New Roman" w:eastAsia="Times New Roman" w:hAnsi="Times New Roman" w:cs="Times New Roman"/>
          <w:sz w:val="24"/>
          <w:szCs w:val="24"/>
          <w:lang w:eastAsia="en-IN"/>
        </w:rPr>
        <w:t>and input optimization, making farming more resilient and profitable.</w:t>
      </w:r>
    </w:p>
    <w:p w14:paraId="4DC0254F" w14:textId="3BBACF8F"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3. Behavio</w:t>
      </w:r>
      <w:r w:rsidR="00FA1151" w:rsidRPr="00E3574F">
        <w:rPr>
          <w:rFonts w:ascii="Times New Roman" w:eastAsia="Times New Roman" w:hAnsi="Times New Roman" w:cs="Times New Roman"/>
          <w:b/>
          <w:bCs/>
          <w:sz w:val="24"/>
          <w:szCs w:val="24"/>
          <w:lang w:eastAsia="en-IN"/>
        </w:rPr>
        <w:t>u</w:t>
      </w:r>
      <w:r w:rsidRPr="00E3574F">
        <w:rPr>
          <w:rFonts w:ascii="Times New Roman" w:eastAsia="Times New Roman" w:hAnsi="Times New Roman" w:cs="Times New Roman"/>
          <w:b/>
          <w:bCs/>
          <w:sz w:val="24"/>
          <w:szCs w:val="24"/>
          <w:lang w:eastAsia="en-IN"/>
        </w:rPr>
        <w:t xml:space="preserve">ral and Cognitive Impact of </w:t>
      </w:r>
      <w:proofErr w:type="spellStart"/>
      <w:r w:rsidRPr="00E3574F">
        <w:rPr>
          <w:rFonts w:ascii="Times New Roman" w:eastAsia="Times New Roman" w:hAnsi="Times New Roman" w:cs="Times New Roman"/>
          <w:b/>
          <w:bCs/>
          <w:sz w:val="24"/>
          <w:szCs w:val="24"/>
          <w:lang w:eastAsia="en-IN"/>
        </w:rPr>
        <w:t>FEM@Mobile</w:t>
      </w:r>
      <w:proofErr w:type="spellEnd"/>
      <w:r w:rsidRPr="00E3574F">
        <w:rPr>
          <w:rFonts w:ascii="Times New Roman" w:eastAsia="Times New Roman" w:hAnsi="Times New Roman" w:cs="Times New Roman"/>
          <w:b/>
          <w:bCs/>
          <w:sz w:val="24"/>
          <w:szCs w:val="24"/>
          <w:lang w:eastAsia="en-IN"/>
        </w:rPr>
        <w:t xml:space="preserve"> Usage</w:t>
      </w:r>
    </w:p>
    <w:p w14:paraId="6250E280" w14:textId="46535FB7" w:rsidR="003E53E3"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In addition to tangible yield and economic outcomes,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influenced user behavio</w:t>
      </w:r>
      <w:r w:rsidR="00FA1151" w:rsidRPr="00E3574F">
        <w:rPr>
          <w:rFonts w:ascii="Times New Roman" w:eastAsia="Times New Roman" w:hAnsi="Times New Roman" w:cs="Times New Roman"/>
          <w:sz w:val="24"/>
          <w:szCs w:val="24"/>
          <w:lang w:eastAsia="en-IN"/>
        </w:rPr>
        <w:t>ur, knowledge levels</w:t>
      </w:r>
      <w:r w:rsidRPr="00E3574F">
        <w:rPr>
          <w:rFonts w:ascii="Times New Roman" w:eastAsia="Times New Roman" w:hAnsi="Times New Roman" w:cs="Times New Roman"/>
          <w:sz w:val="24"/>
          <w:szCs w:val="24"/>
          <w:lang w:eastAsia="en-IN"/>
        </w:rPr>
        <w:t xml:space="preserve"> and on-field decision-making quality. Survey responses and thematic interviews revealed improvements in diagnostic skills, awareness of integrated pest management (IPM) and confidence in input decisions.</w:t>
      </w:r>
    </w:p>
    <w:p w14:paraId="540E403C" w14:textId="45D74DC4" w:rsidR="00D71BE7" w:rsidRPr="00E3574F" w:rsidRDefault="00F95CB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Table 4</w:t>
      </w:r>
      <w:r w:rsidR="00D71BE7" w:rsidRPr="00E3574F">
        <w:rPr>
          <w:rFonts w:ascii="Times New Roman" w:eastAsia="Times New Roman" w:hAnsi="Times New Roman" w:cs="Times New Roman"/>
          <w:b/>
          <w:bCs/>
          <w:sz w:val="24"/>
          <w:szCs w:val="24"/>
          <w:lang w:eastAsia="en-IN"/>
        </w:rPr>
        <w:t xml:space="preserve">. </w:t>
      </w:r>
      <w:r w:rsidR="008E0DD4">
        <w:rPr>
          <w:rFonts w:ascii="Times New Roman" w:eastAsia="Times New Roman" w:hAnsi="Times New Roman" w:cs="Times New Roman"/>
          <w:b/>
          <w:bCs/>
          <w:sz w:val="24"/>
          <w:szCs w:val="24"/>
          <w:lang w:eastAsia="en-IN"/>
        </w:rPr>
        <w:t>Behaviour</w:t>
      </w:r>
      <w:r w:rsidR="00D71BE7" w:rsidRPr="00E3574F">
        <w:rPr>
          <w:rFonts w:ascii="Times New Roman" w:eastAsia="Times New Roman" w:hAnsi="Times New Roman" w:cs="Times New Roman"/>
          <w:b/>
          <w:bCs/>
          <w:sz w:val="24"/>
          <w:szCs w:val="24"/>
          <w:lang w:eastAsia="en-IN"/>
        </w:rPr>
        <w:t xml:space="preserve">al and Decision-Making Changes Reported by </w:t>
      </w:r>
      <w:proofErr w:type="spellStart"/>
      <w:r w:rsidR="00D71BE7" w:rsidRPr="00E3574F">
        <w:rPr>
          <w:rFonts w:ascii="Times New Roman" w:eastAsia="Times New Roman" w:hAnsi="Times New Roman" w:cs="Times New Roman"/>
          <w:b/>
          <w:bCs/>
          <w:sz w:val="24"/>
          <w:szCs w:val="24"/>
          <w:lang w:eastAsia="en-IN"/>
        </w:rPr>
        <w:t>FEM@Mobile</w:t>
      </w:r>
      <w:proofErr w:type="spellEnd"/>
      <w:r w:rsidR="00D71BE7" w:rsidRPr="00E3574F">
        <w:rPr>
          <w:rFonts w:ascii="Times New Roman" w:eastAsia="Times New Roman" w:hAnsi="Times New Roman" w:cs="Times New Roman"/>
          <w:b/>
          <w:bCs/>
          <w:sz w:val="24"/>
          <w:szCs w:val="24"/>
          <w:lang w:eastAsia="en-IN"/>
        </w:rPr>
        <w:t xml:space="preserve"> Users</w:t>
      </w:r>
      <w:r w:rsidR="00D71BE7" w:rsidRPr="00E3574F">
        <w:rPr>
          <w:rFonts w:ascii="Times New Roman" w:eastAsia="Times New Roman" w:hAnsi="Times New Roman" w:cs="Times New Roman"/>
          <w:sz w:val="24"/>
          <w:szCs w:val="24"/>
          <w:lang w:eastAsia="en-IN"/>
        </w:rPr>
        <w:br/>
      </w:r>
      <w:r w:rsidR="00D71BE7" w:rsidRPr="00E3574F">
        <w:rPr>
          <w:rFonts w:ascii="Times New Roman" w:eastAsia="Times New Roman" w:hAnsi="Times New Roman" w:cs="Times New Roman"/>
          <w:i/>
          <w:iCs/>
          <w:sz w:val="24"/>
          <w:szCs w:val="24"/>
          <w:lang w:eastAsia="en-IN"/>
        </w:rPr>
        <w:t>(Based on structured survey &amp; interviews; n = 60 users)</w:t>
      </w:r>
    </w:p>
    <w:tbl>
      <w:tblPr>
        <w:tblStyle w:val="TableGrid"/>
        <w:tblW w:w="0" w:type="auto"/>
        <w:tblLook w:val="04A0" w:firstRow="1" w:lastRow="0" w:firstColumn="1" w:lastColumn="0" w:noHBand="0" w:noVBand="1"/>
      </w:tblPr>
      <w:tblGrid>
        <w:gridCol w:w="3657"/>
        <w:gridCol w:w="1768"/>
        <w:gridCol w:w="3591"/>
      </w:tblGrid>
      <w:tr w:rsidR="00164647" w:rsidRPr="00E3574F" w14:paraId="62BF0507" w14:textId="77777777" w:rsidTr="00C944E0">
        <w:tc>
          <w:tcPr>
            <w:tcW w:w="0" w:type="auto"/>
            <w:hideMark/>
          </w:tcPr>
          <w:p w14:paraId="41C321AD"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Observed Change</w:t>
            </w:r>
          </w:p>
        </w:tc>
        <w:tc>
          <w:tcPr>
            <w:tcW w:w="0" w:type="auto"/>
            <w:hideMark/>
          </w:tcPr>
          <w:p w14:paraId="75EFC88E"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of Users Reporting</w:t>
            </w:r>
          </w:p>
        </w:tc>
        <w:tc>
          <w:tcPr>
            <w:tcW w:w="0" w:type="auto"/>
            <w:hideMark/>
          </w:tcPr>
          <w:p w14:paraId="0AEDE035"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Examples from Field Interviews</w:t>
            </w:r>
          </w:p>
        </w:tc>
      </w:tr>
      <w:tr w:rsidR="00164647" w:rsidRPr="00E3574F" w14:paraId="3091C5D8" w14:textId="77777777" w:rsidTr="00C944E0">
        <w:tc>
          <w:tcPr>
            <w:tcW w:w="0" w:type="auto"/>
            <w:hideMark/>
          </w:tcPr>
          <w:p w14:paraId="5530CB1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Regular use of IPM techniques</w:t>
            </w:r>
          </w:p>
        </w:tc>
        <w:tc>
          <w:tcPr>
            <w:tcW w:w="0" w:type="auto"/>
            <w:hideMark/>
          </w:tcPr>
          <w:p w14:paraId="4BEBFA43"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53%</w:t>
            </w:r>
          </w:p>
        </w:tc>
        <w:tc>
          <w:tcPr>
            <w:tcW w:w="0" w:type="auto"/>
            <w:hideMark/>
          </w:tcPr>
          <w:p w14:paraId="36ECAC1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Use of yellow sticky traps, neem oil, mechanical pest control</w:t>
            </w:r>
          </w:p>
        </w:tc>
      </w:tr>
      <w:tr w:rsidR="00164647" w:rsidRPr="00E3574F" w14:paraId="5FA11D38" w14:textId="77777777" w:rsidTr="00C944E0">
        <w:tc>
          <w:tcPr>
            <w:tcW w:w="0" w:type="auto"/>
            <w:hideMark/>
          </w:tcPr>
          <w:p w14:paraId="635FB5C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Ability to diagnose pests/diseases using images</w:t>
            </w:r>
          </w:p>
        </w:tc>
        <w:tc>
          <w:tcPr>
            <w:tcW w:w="0" w:type="auto"/>
            <w:hideMark/>
          </w:tcPr>
          <w:p w14:paraId="69CC6F1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62%</w:t>
            </w:r>
          </w:p>
        </w:tc>
        <w:tc>
          <w:tcPr>
            <w:tcW w:w="0" w:type="auto"/>
            <w:hideMark/>
          </w:tcPr>
          <w:p w14:paraId="62CFF970" w14:textId="027557B2"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Farmers identified </w:t>
            </w:r>
            <w:r w:rsidR="00C944E0" w:rsidRPr="00E3574F">
              <w:rPr>
                <w:rFonts w:ascii="Times New Roman" w:eastAsia="Times New Roman" w:hAnsi="Times New Roman" w:cs="Times New Roman"/>
                <w:sz w:val="24"/>
                <w:szCs w:val="24"/>
                <w:lang w:eastAsia="en-IN"/>
              </w:rPr>
              <w:t xml:space="preserve">fruit borers, </w:t>
            </w:r>
            <w:proofErr w:type="spellStart"/>
            <w:r w:rsidR="00C944E0" w:rsidRPr="00E3574F">
              <w:rPr>
                <w:rFonts w:ascii="Times New Roman" w:eastAsia="Times New Roman" w:hAnsi="Times New Roman" w:cs="Times New Roman"/>
                <w:sz w:val="24"/>
                <w:szCs w:val="24"/>
                <w:lang w:eastAsia="en-IN"/>
              </w:rPr>
              <w:t>thrips</w:t>
            </w:r>
            <w:proofErr w:type="spellEnd"/>
            <w:r w:rsidR="00C944E0" w:rsidRPr="00E3574F">
              <w:rPr>
                <w:rFonts w:ascii="Times New Roman" w:eastAsia="Times New Roman" w:hAnsi="Times New Roman" w:cs="Times New Roman"/>
                <w:sz w:val="24"/>
                <w:szCs w:val="24"/>
                <w:lang w:eastAsia="en-IN"/>
              </w:rPr>
              <w:t>, leaf curl</w:t>
            </w:r>
            <w:r w:rsidRPr="00E3574F">
              <w:rPr>
                <w:rFonts w:ascii="Times New Roman" w:eastAsia="Times New Roman" w:hAnsi="Times New Roman" w:cs="Times New Roman"/>
                <w:sz w:val="24"/>
                <w:szCs w:val="24"/>
                <w:lang w:eastAsia="en-IN"/>
              </w:rPr>
              <w:t xml:space="preserve"> and rice blast early</w:t>
            </w:r>
          </w:p>
        </w:tc>
      </w:tr>
      <w:tr w:rsidR="00164647" w:rsidRPr="00E3574F" w14:paraId="576FC4F5" w14:textId="77777777" w:rsidTr="00C944E0">
        <w:tc>
          <w:tcPr>
            <w:tcW w:w="0" w:type="auto"/>
            <w:hideMark/>
          </w:tcPr>
          <w:p w14:paraId="42EADDE3" w14:textId="137D48C0"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Application of correct dose of </w:t>
            </w:r>
            <w:r w:rsidR="008E0DD4">
              <w:rPr>
                <w:rFonts w:ascii="Times New Roman" w:eastAsia="Times New Roman" w:hAnsi="Times New Roman" w:cs="Times New Roman"/>
                <w:sz w:val="24"/>
                <w:szCs w:val="24"/>
                <w:lang w:eastAsia="en-IN"/>
              </w:rPr>
              <w:t>fertiliser</w:t>
            </w:r>
            <w:r w:rsidRPr="00E3574F">
              <w:rPr>
                <w:rFonts w:ascii="Times New Roman" w:eastAsia="Times New Roman" w:hAnsi="Times New Roman" w:cs="Times New Roman"/>
                <w:sz w:val="24"/>
                <w:szCs w:val="24"/>
                <w:lang w:eastAsia="en-IN"/>
              </w:rPr>
              <w:t>s</w:t>
            </w:r>
          </w:p>
        </w:tc>
        <w:tc>
          <w:tcPr>
            <w:tcW w:w="0" w:type="auto"/>
            <w:hideMark/>
          </w:tcPr>
          <w:p w14:paraId="474F208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48%</w:t>
            </w:r>
          </w:p>
        </w:tc>
        <w:tc>
          <w:tcPr>
            <w:tcW w:w="0" w:type="auto"/>
            <w:hideMark/>
          </w:tcPr>
          <w:p w14:paraId="41A0F8A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Avoided blanket urea application; used crop-stage-specific doses</w:t>
            </w:r>
          </w:p>
        </w:tc>
      </w:tr>
      <w:tr w:rsidR="00164647" w:rsidRPr="00E3574F" w14:paraId="40BA90D5" w14:textId="77777777" w:rsidTr="00C944E0">
        <w:tc>
          <w:tcPr>
            <w:tcW w:w="0" w:type="auto"/>
            <w:hideMark/>
          </w:tcPr>
          <w:p w14:paraId="75E3BDD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Reduced dependency on local </w:t>
            </w:r>
            <w:proofErr w:type="spellStart"/>
            <w:r w:rsidRPr="00E3574F">
              <w:rPr>
                <w:rFonts w:ascii="Times New Roman" w:eastAsia="Times New Roman" w:hAnsi="Times New Roman" w:cs="Times New Roman"/>
                <w:sz w:val="24"/>
                <w:szCs w:val="24"/>
                <w:lang w:eastAsia="en-IN"/>
              </w:rPr>
              <w:t>agro</w:t>
            </w:r>
            <w:proofErr w:type="spellEnd"/>
            <w:r w:rsidRPr="00E3574F">
              <w:rPr>
                <w:rFonts w:ascii="Times New Roman" w:eastAsia="Times New Roman" w:hAnsi="Times New Roman" w:cs="Times New Roman"/>
                <w:sz w:val="24"/>
                <w:szCs w:val="24"/>
                <w:lang w:eastAsia="en-IN"/>
              </w:rPr>
              <w:t>-dealers for advice</w:t>
            </w:r>
          </w:p>
        </w:tc>
        <w:tc>
          <w:tcPr>
            <w:tcW w:w="0" w:type="auto"/>
            <w:hideMark/>
          </w:tcPr>
          <w:p w14:paraId="3CF8102B"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57%</w:t>
            </w:r>
          </w:p>
        </w:tc>
        <w:tc>
          <w:tcPr>
            <w:tcW w:w="0" w:type="auto"/>
            <w:hideMark/>
          </w:tcPr>
          <w:p w14:paraId="13911AB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Trusted app over shopkeeper suggestions</w:t>
            </w:r>
          </w:p>
        </w:tc>
      </w:tr>
      <w:tr w:rsidR="00164647" w:rsidRPr="00E3574F" w14:paraId="57126C2E" w14:textId="77777777" w:rsidTr="00C944E0">
        <w:tc>
          <w:tcPr>
            <w:tcW w:w="0" w:type="auto"/>
            <w:hideMark/>
          </w:tcPr>
          <w:p w14:paraId="5053179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Timely sowing/transplanting due to app reminders</w:t>
            </w:r>
          </w:p>
        </w:tc>
        <w:tc>
          <w:tcPr>
            <w:tcW w:w="0" w:type="auto"/>
            <w:hideMark/>
          </w:tcPr>
          <w:p w14:paraId="1EBDD2E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39%</w:t>
            </w:r>
          </w:p>
        </w:tc>
        <w:tc>
          <w:tcPr>
            <w:tcW w:w="0" w:type="auto"/>
            <w:hideMark/>
          </w:tcPr>
          <w:p w14:paraId="734FCA5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Benefited paddy, banana, cowpea in lowland areas</w:t>
            </w:r>
          </w:p>
        </w:tc>
      </w:tr>
      <w:tr w:rsidR="00164647" w:rsidRPr="00E3574F" w14:paraId="0A48905C" w14:textId="77777777" w:rsidTr="00C944E0">
        <w:tc>
          <w:tcPr>
            <w:tcW w:w="0" w:type="auto"/>
            <w:hideMark/>
          </w:tcPr>
          <w:p w14:paraId="78CD153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Increased consultation with other farmers about the app</w:t>
            </w:r>
          </w:p>
        </w:tc>
        <w:tc>
          <w:tcPr>
            <w:tcW w:w="0" w:type="auto"/>
            <w:hideMark/>
          </w:tcPr>
          <w:p w14:paraId="6EB416DA"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44%</w:t>
            </w:r>
          </w:p>
        </w:tc>
        <w:tc>
          <w:tcPr>
            <w:tcW w:w="0" w:type="auto"/>
            <w:hideMark/>
          </w:tcPr>
          <w:p w14:paraId="0DDD9FC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Led to peer-sharing in WhatsApp groups and group meetings</w:t>
            </w:r>
          </w:p>
        </w:tc>
      </w:tr>
    </w:tbl>
    <w:p w14:paraId="1CD6C9D4" w14:textId="77777777" w:rsidR="004109F1" w:rsidRPr="00E3574F" w:rsidRDefault="004109F1" w:rsidP="004109F1">
      <w:pPr>
        <w:pStyle w:val="Heading3"/>
        <w:jc w:val="both"/>
        <w:rPr>
          <w:rStyle w:val="Strong"/>
          <w:rFonts w:ascii="Times New Roman" w:hAnsi="Times New Roman" w:cs="Times New Roman"/>
          <w:color w:val="auto"/>
        </w:rPr>
      </w:pPr>
    </w:p>
    <w:p w14:paraId="77098A87" w14:textId="77777777" w:rsidR="00D71BE7" w:rsidRPr="00E3574F" w:rsidRDefault="00D71BE7" w:rsidP="004109F1">
      <w:pPr>
        <w:pStyle w:val="Heading3"/>
        <w:jc w:val="both"/>
        <w:rPr>
          <w:rFonts w:ascii="Times New Roman" w:hAnsi="Times New Roman" w:cs="Times New Roman"/>
          <w:color w:val="auto"/>
        </w:rPr>
      </w:pPr>
      <w:r w:rsidRPr="00E3574F">
        <w:rPr>
          <w:rStyle w:val="Strong"/>
          <w:rFonts w:ascii="Times New Roman" w:hAnsi="Times New Roman" w:cs="Times New Roman"/>
          <w:color w:val="auto"/>
        </w:rPr>
        <w:t>4. Perspectives from Agricultural Extension Officers</w:t>
      </w:r>
    </w:p>
    <w:p w14:paraId="441445F1" w14:textId="14E5F94E" w:rsidR="00D71BE7" w:rsidRPr="00E3574F" w:rsidRDefault="00D71BE7" w:rsidP="004109F1">
      <w:pPr>
        <w:pStyle w:val="NormalWeb"/>
        <w:jc w:val="both"/>
      </w:pPr>
      <w:r w:rsidRPr="00E3574F">
        <w:t>Insights from interviews with ten agricultural extension offi</w:t>
      </w:r>
      <w:r w:rsidR="00C944E0" w:rsidRPr="00E3574F">
        <w:t xml:space="preserve">cers across Thrissur, Palakkad </w:t>
      </w:r>
      <w:r w:rsidRPr="00E3574F">
        <w:t xml:space="preserve">and Malappuram districts revealed that </w:t>
      </w:r>
      <w:proofErr w:type="spellStart"/>
      <w:r w:rsidRPr="00E3574F">
        <w:t>FEM@Mobile</w:t>
      </w:r>
      <w:proofErr w:type="spellEnd"/>
      <w:r w:rsidRPr="00E3574F">
        <w:t xml:space="preserve"> significantly strengthened their field operations. Officers consistently described the app as a </w:t>
      </w:r>
      <w:r w:rsidRPr="00E3574F">
        <w:rPr>
          <w:rStyle w:val="Strong"/>
          <w:rFonts w:eastAsiaTheme="majorEastAsia"/>
          <w:b w:val="0"/>
          <w:bCs w:val="0"/>
        </w:rPr>
        <w:t>time-saving and workload-sharing</w:t>
      </w:r>
      <w:r w:rsidRPr="00E3574F">
        <w:rPr>
          <w:rStyle w:val="Strong"/>
          <w:rFonts w:eastAsiaTheme="majorEastAsia"/>
        </w:rPr>
        <w:t xml:space="preserve"> </w:t>
      </w:r>
      <w:r w:rsidRPr="00E3574F">
        <w:rPr>
          <w:rStyle w:val="Strong"/>
          <w:rFonts w:eastAsiaTheme="majorEastAsia"/>
          <w:b w:val="0"/>
          <w:bCs w:val="0"/>
        </w:rPr>
        <w:t>tool</w:t>
      </w:r>
      <w:r w:rsidRPr="00E3574F">
        <w:t>, particularly for pest i</w:t>
      </w:r>
      <w:r w:rsidR="00C944E0" w:rsidRPr="00E3574F">
        <w:t>dentification, input scheduling</w:t>
      </w:r>
      <w:r w:rsidRPr="00E3574F">
        <w:t xml:space="preserve"> and crop-stage advisory dissemination. Several officers noted that earlier extension visits required printe</w:t>
      </w:r>
      <w:r w:rsidR="00C944E0" w:rsidRPr="00E3574F">
        <w:t xml:space="preserve">d circulars, laminated posters </w:t>
      </w:r>
      <w:r w:rsidRPr="00E3574F">
        <w:t xml:space="preserve">or multiple physical crop guides. In contrast, </w:t>
      </w:r>
      <w:proofErr w:type="spellStart"/>
      <w:r w:rsidRPr="00E3574F">
        <w:t>FEM@Mobile’s</w:t>
      </w:r>
      <w:proofErr w:type="spellEnd"/>
      <w:r w:rsidRPr="00E3574F">
        <w:t xml:space="preserve"> protocol-based modules and video tutorials were now used </w:t>
      </w:r>
      <w:r w:rsidRPr="00E3574F">
        <w:rPr>
          <w:rStyle w:val="Strong"/>
          <w:rFonts w:eastAsiaTheme="majorEastAsia"/>
          <w:b w:val="0"/>
          <w:bCs w:val="0"/>
        </w:rPr>
        <w:t>directly during field inspections or group trainings</w:t>
      </w:r>
      <w:r w:rsidRPr="00E3574F">
        <w:rPr>
          <w:b/>
          <w:bCs/>
        </w:rPr>
        <w:t>,</w:t>
      </w:r>
      <w:r w:rsidRPr="00E3574F">
        <w:t xml:space="preserve"> replacing traditional materials.</w:t>
      </w:r>
    </w:p>
    <w:p w14:paraId="58CC13C7" w14:textId="0E53E51B" w:rsidR="00D71BE7" w:rsidRPr="00E3574F" w:rsidRDefault="00D71BE7" w:rsidP="004109F1">
      <w:pPr>
        <w:pStyle w:val="NormalWeb"/>
        <w:jc w:val="both"/>
      </w:pPr>
      <w:r w:rsidRPr="00E3574F">
        <w:lastRenderedPageBreak/>
        <w:t xml:space="preserve">A key benefit reported was a </w:t>
      </w:r>
      <w:r w:rsidRPr="00E3574F">
        <w:rPr>
          <w:rStyle w:val="Strong"/>
          <w:rFonts w:eastAsiaTheme="majorEastAsia"/>
          <w:b w:val="0"/>
          <w:bCs w:val="0"/>
        </w:rPr>
        <w:t>32% reduction in repetitive farmer queries</w:t>
      </w:r>
      <w:r w:rsidRPr="00E3574F">
        <w:t xml:space="preserve"> after app promotion campaigns. Officers also highlighted three recurring field-level patterns: (</w:t>
      </w:r>
      <w:proofErr w:type="spellStart"/>
      <w:r w:rsidRPr="00E3574F">
        <w:t>i</w:t>
      </w:r>
      <w:proofErr w:type="spellEnd"/>
      <w:r w:rsidRPr="00E3574F">
        <w:t>) younger farmers (under 40) showed higher engagement, often sharing the app in peer networks; (ii) the app was regularly used to cross-verify symptoms captured in farmer-submitted images; and (iii) the expert-connect module alleviated their burden by redirecting queries to university scientists, thereby ensuring faster resolution for farmers while freeing up officer</w:t>
      </w:r>
      <w:r w:rsidR="00C944E0" w:rsidRPr="00E3574F">
        <w:t>’s</w:t>
      </w:r>
      <w:r w:rsidRPr="00E3574F">
        <w:t xml:space="preserve"> time for other tasks.</w:t>
      </w:r>
    </w:p>
    <w:p w14:paraId="281FA258" w14:textId="26E3C5C0" w:rsidR="00D71BE7" w:rsidRPr="00E3574F" w:rsidRDefault="00D71BE7" w:rsidP="004109F1">
      <w:pPr>
        <w:pStyle w:val="NormalWeb"/>
        <w:jc w:val="both"/>
      </w:pPr>
      <w:r w:rsidRPr="00E3574F">
        <w:t xml:space="preserve">Several officers recommended backend scaling of the expert response system, especially during high-demand seasons like September–October for paddy and January–February for vegetables. Suggestions also included tailoring </w:t>
      </w:r>
      <w:r w:rsidR="008E0DD4">
        <w:t>fertiliser</w:t>
      </w:r>
      <w:r w:rsidRPr="00E3574F">
        <w:t xml:space="preserve"> and pest protocols more specifically for </w:t>
      </w:r>
      <w:proofErr w:type="spellStart"/>
      <w:r w:rsidRPr="00E3574F">
        <w:rPr>
          <w:rStyle w:val="Strong"/>
          <w:rFonts w:eastAsiaTheme="majorEastAsia"/>
          <w:b w:val="0"/>
          <w:bCs w:val="0"/>
        </w:rPr>
        <w:t>agro</w:t>
      </w:r>
      <w:proofErr w:type="spellEnd"/>
      <w:r w:rsidRPr="00E3574F">
        <w:rPr>
          <w:rStyle w:val="Strong"/>
          <w:rFonts w:eastAsiaTheme="majorEastAsia"/>
          <w:b w:val="0"/>
          <w:bCs w:val="0"/>
        </w:rPr>
        <w:t>-ecological subregions</w:t>
      </w:r>
      <w:r w:rsidRPr="00E3574F">
        <w:rPr>
          <w:b/>
          <w:bCs/>
        </w:rPr>
        <w:t xml:space="preserve"> </w:t>
      </w:r>
      <w:r w:rsidRPr="00E3574F">
        <w:t xml:space="preserve">such as the Thrissur </w:t>
      </w:r>
      <w:proofErr w:type="spellStart"/>
      <w:r w:rsidRPr="00E3574F">
        <w:t>Kole</w:t>
      </w:r>
      <w:proofErr w:type="spellEnd"/>
      <w:r w:rsidRPr="00E3574F">
        <w:t xml:space="preserve"> wetlands and midland garden lands. Overall, extension staff unanimously viewed </w:t>
      </w:r>
      <w:proofErr w:type="spellStart"/>
      <w:r w:rsidRPr="00E3574F">
        <w:t>FEM@Mobile</w:t>
      </w:r>
      <w:proofErr w:type="spellEnd"/>
      <w:r w:rsidRPr="00E3574F">
        <w:t xml:space="preserve"> not as a replacement for fieldwork but as a </w:t>
      </w:r>
      <w:r w:rsidRPr="00E3574F">
        <w:rPr>
          <w:rStyle w:val="Strong"/>
          <w:rFonts w:eastAsiaTheme="majorEastAsia"/>
          <w:b w:val="0"/>
          <w:bCs w:val="0"/>
        </w:rPr>
        <w:t>critical supplement</w:t>
      </w:r>
      <w:r w:rsidRPr="00E3574F">
        <w:t xml:space="preserve"> to hybrid extension models, a finding that aligns with international best practices in blended e-extension systems (Aker </w:t>
      </w:r>
      <w:r w:rsidRPr="00E3574F">
        <w:rPr>
          <w:i/>
          <w:iCs/>
        </w:rPr>
        <w:t>et al</w:t>
      </w:r>
      <w:r w:rsidRPr="00E3574F">
        <w:t xml:space="preserve">., 2016; </w:t>
      </w:r>
      <w:proofErr w:type="spellStart"/>
      <w:r w:rsidR="007440BD" w:rsidRPr="00E3574F">
        <w:t>Kansiime</w:t>
      </w:r>
      <w:proofErr w:type="spellEnd"/>
      <w:r w:rsidR="007440BD" w:rsidRPr="00E3574F">
        <w:t xml:space="preserve"> </w:t>
      </w:r>
      <w:r w:rsidR="007440BD" w:rsidRPr="00E3574F">
        <w:rPr>
          <w:i/>
          <w:iCs/>
        </w:rPr>
        <w:t>et al</w:t>
      </w:r>
      <w:r w:rsidR="007440BD" w:rsidRPr="00E3574F">
        <w:t>., 2019</w:t>
      </w:r>
      <w:r w:rsidRPr="00E3574F">
        <w:t>).</w:t>
      </w:r>
    </w:p>
    <w:p w14:paraId="60A3D6C5" w14:textId="690EFC3C" w:rsidR="00D71BE7" w:rsidRPr="00E3574F" w:rsidRDefault="00994705" w:rsidP="004109F1">
      <w:pPr>
        <w:pStyle w:val="Heading3"/>
        <w:jc w:val="both"/>
        <w:rPr>
          <w:rFonts w:ascii="Times New Roman" w:hAnsi="Times New Roman" w:cs="Times New Roman"/>
          <w:color w:val="auto"/>
        </w:rPr>
      </w:pPr>
      <w:r w:rsidRPr="00E3574F">
        <w:rPr>
          <w:rStyle w:val="Strong"/>
          <w:rFonts w:ascii="Times New Roman" w:hAnsi="Times New Roman" w:cs="Times New Roman"/>
          <w:color w:val="auto"/>
        </w:rPr>
        <w:t>5. Barriers, Limitations</w:t>
      </w:r>
      <w:r w:rsidR="00D71BE7" w:rsidRPr="00E3574F">
        <w:rPr>
          <w:rStyle w:val="Strong"/>
          <w:rFonts w:ascii="Times New Roman" w:hAnsi="Times New Roman" w:cs="Times New Roman"/>
          <w:color w:val="auto"/>
        </w:rPr>
        <w:t xml:space="preserve"> and User Suggestions</w:t>
      </w:r>
    </w:p>
    <w:p w14:paraId="08732461" w14:textId="67596BC9" w:rsidR="00D71BE7" w:rsidRPr="00E3574F" w:rsidRDefault="00D71BE7" w:rsidP="004109F1">
      <w:pPr>
        <w:pStyle w:val="NormalWeb"/>
        <w:jc w:val="both"/>
      </w:pPr>
      <w:r w:rsidRPr="00E3574F">
        <w:t xml:space="preserve">Despite high satisfaction rates, some limitations and feature requests were raised by </w:t>
      </w:r>
      <w:proofErr w:type="spellStart"/>
      <w:r w:rsidRPr="00E3574F">
        <w:t>FEM@Mobile</w:t>
      </w:r>
      <w:proofErr w:type="spellEnd"/>
      <w:r w:rsidRPr="00E3574F">
        <w:t xml:space="preserve"> users. Survey responses from 60 active users indicated that </w:t>
      </w:r>
      <w:r w:rsidRPr="00E3574F">
        <w:rPr>
          <w:rStyle w:val="Strong"/>
          <w:rFonts w:eastAsiaTheme="majorEastAsia"/>
          <w:b w:val="0"/>
          <w:bCs w:val="0"/>
        </w:rPr>
        <w:t>navigation complexity</w:t>
      </w:r>
      <w:r w:rsidRPr="00E3574F">
        <w:t xml:space="preserve">, </w:t>
      </w:r>
      <w:r w:rsidRPr="00E3574F">
        <w:rPr>
          <w:rStyle w:val="Strong"/>
          <w:rFonts w:eastAsiaTheme="majorEastAsia"/>
          <w:b w:val="0"/>
          <w:bCs w:val="0"/>
        </w:rPr>
        <w:t>desire for additional modules</w:t>
      </w:r>
      <w:r w:rsidR="00994705" w:rsidRPr="00E3574F">
        <w:t xml:space="preserve"> </w:t>
      </w:r>
      <w:r w:rsidRPr="00E3574F">
        <w:t xml:space="preserve">and </w:t>
      </w:r>
      <w:r w:rsidRPr="00E3574F">
        <w:rPr>
          <w:rStyle w:val="Strong"/>
          <w:rFonts w:eastAsiaTheme="majorEastAsia"/>
          <w:b w:val="0"/>
          <w:bCs w:val="0"/>
        </w:rPr>
        <w:t>real-time data integration</w:t>
      </w:r>
      <w:r w:rsidRPr="00E3574F">
        <w:t xml:space="preserve"> were the most common concerns. Older users, in particular, reported difficulty switching between modules or locating specific information. Others recommended adding </w:t>
      </w:r>
      <w:r w:rsidR="00994705" w:rsidRPr="00E3574F">
        <w:t>weather forecasts, price alerts</w:t>
      </w:r>
      <w:r w:rsidRPr="00E3574F">
        <w:t xml:space="preserve"> and more localized crop advisories.</w:t>
      </w:r>
      <w:r w:rsidR="004109F1" w:rsidRPr="00E3574F">
        <w:t xml:space="preserve"> </w:t>
      </w:r>
      <w:r w:rsidRPr="00E3574F">
        <w:t xml:space="preserve">These insights are summarized in the table </w:t>
      </w:r>
      <w:r w:rsidR="004109F1" w:rsidRPr="00E3574F">
        <w:t>5</w:t>
      </w:r>
      <w:r w:rsidRPr="00E3574F">
        <w:t>:</w:t>
      </w:r>
    </w:p>
    <w:p w14:paraId="4447446D" w14:textId="77777777" w:rsidR="00D71BE7" w:rsidRPr="00E3574F" w:rsidRDefault="00F95CB5" w:rsidP="004109F1">
      <w:pPr>
        <w:pStyle w:val="NormalWeb"/>
        <w:jc w:val="both"/>
      </w:pPr>
      <w:r w:rsidRPr="00E3574F">
        <w:rPr>
          <w:rStyle w:val="Strong"/>
          <w:rFonts w:eastAsiaTheme="majorEastAsia"/>
        </w:rPr>
        <w:t>Table 5</w:t>
      </w:r>
      <w:r w:rsidR="00D71BE7" w:rsidRPr="00E3574F">
        <w:rPr>
          <w:rStyle w:val="Strong"/>
          <w:rFonts w:eastAsiaTheme="majorEastAsia"/>
        </w:rPr>
        <w:t>. User Feedback on App Usability and Feature Requests (n = 60 users)</w:t>
      </w:r>
    </w:p>
    <w:tbl>
      <w:tblPr>
        <w:tblStyle w:val="TableGrid"/>
        <w:tblW w:w="0" w:type="auto"/>
        <w:tblLook w:val="04A0" w:firstRow="1" w:lastRow="0" w:firstColumn="1" w:lastColumn="0" w:noHBand="0" w:noVBand="1"/>
      </w:tblPr>
      <w:tblGrid>
        <w:gridCol w:w="2699"/>
        <w:gridCol w:w="1711"/>
        <w:gridCol w:w="4606"/>
      </w:tblGrid>
      <w:tr w:rsidR="00164647" w:rsidRPr="00E3574F" w14:paraId="6B5FBC74" w14:textId="77777777" w:rsidTr="00994705">
        <w:tc>
          <w:tcPr>
            <w:tcW w:w="0" w:type="auto"/>
            <w:hideMark/>
          </w:tcPr>
          <w:p w14:paraId="7D18E35C" w14:textId="77777777" w:rsidR="00D71BE7" w:rsidRPr="00E3574F" w:rsidRDefault="00D71BE7"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Feedback Area</w:t>
            </w:r>
          </w:p>
        </w:tc>
        <w:tc>
          <w:tcPr>
            <w:tcW w:w="0" w:type="auto"/>
            <w:hideMark/>
          </w:tcPr>
          <w:p w14:paraId="3ED7317D" w14:textId="77777777" w:rsidR="00D71BE7" w:rsidRPr="00E3574F" w:rsidRDefault="00D71BE7"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 Respondents</w:t>
            </w:r>
          </w:p>
        </w:tc>
        <w:tc>
          <w:tcPr>
            <w:tcW w:w="0" w:type="auto"/>
            <w:hideMark/>
          </w:tcPr>
          <w:p w14:paraId="609265FE" w14:textId="77777777" w:rsidR="00D71BE7" w:rsidRPr="00E3574F" w:rsidRDefault="00D71BE7"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Key Notes</w:t>
            </w:r>
          </w:p>
        </w:tc>
      </w:tr>
      <w:tr w:rsidR="00164647" w:rsidRPr="00E3574F" w14:paraId="5EC76577" w14:textId="77777777" w:rsidTr="00994705">
        <w:tc>
          <w:tcPr>
            <w:tcW w:w="0" w:type="auto"/>
            <w:hideMark/>
          </w:tcPr>
          <w:p w14:paraId="52CD9FA8"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Difficulty in Navigating Modules</w:t>
            </w:r>
          </w:p>
        </w:tc>
        <w:tc>
          <w:tcPr>
            <w:tcW w:w="0" w:type="auto"/>
            <w:hideMark/>
          </w:tcPr>
          <w:p w14:paraId="3572D110"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14%</w:t>
            </w:r>
          </w:p>
        </w:tc>
        <w:tc>
          <w:tcPr>
            <w:tcW w:w="0" w:type="auto"/>
            <w:hideMark/>
          </w:tcPr>
          <w:p w14:paraId="10CB3545"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Mostly older users with low digital literacy</w:t>
            </w:r>
          </w:p>
        </w:tc>
      </w:tr>
      <w:tr w:rsidR="00164647" w:rsidRPr="00E3574F" w14:paraId="64B0FDDA" w14:textId="77777777" w:rsidTr="00994705">
        <w:tc>
          <w:tcPr>
            <w:tcW w:w="0" w:type="auto"/>
            <w:hideMark/>
          </w:tcPr>
          <w:p w14:paraId="228C786C"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Request for Market/Price Alerts</w:t>
            </w:r>
          </w:p>
        </w:tc>
        <w:tc>
          <w:tcPr>
            <w:tcW w:w="0" w:type="auto"/>
            <w:hideMark/>
          </w:tcPr>
          <w:p w14:paraId="01F49A2F"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42%</w:t>
            </w:r>
          </w:p>
        </w:tc>
        <w:tc>
          <w:tcPr>
            <w:tcW w:w="0" w:type="auto"/>
            <w:hideMark/>
          </w:tcPr>
          <w:p w14:paraId="1FCBB379" w14:textId="62981B45"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 xml:space="preserve">Suggested integration with </w:t>
            </w:r>
            <w:proofErr w:type="spellStart"/>
            <w:r w:rsidRPr="00E3574F">
              <w:rPr>
                <w:rFonts w:ascii="Times New Roman" w:hAnsi="Times New Roman" w:cs="Times New Roman"/>
                <w:sz w:val="24"/>
                <w:szCs w:val="24"/>
              </w:rPr>
              <w:t>Agmarknet</w:t>
            </w:r>
            <w:proofErr w:type="spellEnd"/>
            <w:r w:rsidRPr="00E3574F">
              <w:rPr>
                <w:rFonts w:ascii="Times New Roman" w:hAnsi="Times New Roman" w:cs="Times New Roman"/>
                <w:sz w:val="24"/>
                <w:szCs w:val="24"/>
              </w:rPr>
              <w:t xml:space="preserve"> or local m</w:t>
            </w:r>
            <w:r w:rsidR="00E3574F">
              <w:rPr>
                <w:rFonts w:ascii="Times New Roman" w:hAnsi="Times New Roman" w:cs="Times New Roman"/>
                <w:sz w:val="24"/>
                <w:szCs w:val="24"/>
              </w:rPr>
              <w:t>arket</w:t>
            </w:r>
            <w:r w:rsidRPr="00E3574F">
              <w:rPr>
                <w:rFonts w:ascii="Times New Roman" w:hAnsi="Times New Roman" w:cs="Times New Roman"/>
                <w:sz w:val="24"/>
                <w:szCs w:val="24"/>
              </w:rPr>
              <w:t xml:space="preserve"> data</w:t>
            </w:r>
          </w:p>
        </w:tc>
      </w:tr>
      <w:tr w:rsidR="00164647" w:rsidRPr="00E3574F" w14:paraId="2B8A12E2" w14:textId="77777777" w:rsidTr="00994705">
        <w:tc>
          <w:tcPr>
            <w:tcW w:w="0" w:type="auto"/>
            <w:hideMark/>
          </w:tcPr>
          <w:p w14:paraId="75077D51"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Desire for Weather Forecasting</w:t>
            </w:r>
          </w:p>
        </w:tc>
        <w:tc>
          <w:tcPr>
            <w:tcW w:w="0" w:type="auto"/>
            <w:hideMark/>
          </w:tcPr>
          <w:p w14:paraId="3B5F868F"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35%</w:t>
            </w:r>
          </w:p>
        </w:tc>
        <w:tc>
          <w:tcPr>
            <w:tcW w:w="0" w:type="auto"/>
            <w:hideMark/>
          </w:tcPr>
          <w:p w14:paraId="5AB9F8C9"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Demand for crop-specific, location-based weather predictions</w:t>
            </w:r>
          </w:p>
        </w:tc>
      </w:tr>
      <w:tr w:rsidR="00164647" w:rsidRPr="00E3574F" w14:paraId="154B4D59" w14:textId="77777777" w:rsidTr="00994705">
        <w:tc>
          <w:tcPr>
            <w:tcW w:w="0" w:type="auto"/>
            <w:hideMark/>
          </w:tcPr>
          <w:p w14:paraId="6B03361A"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Satisfaction with App Utility</w:t>
            </w:r>
          </w:p>
        </w:tc>
        <w:tc>
          <w:tcPr>
            <w:tcW w:w="0" w:type="auto"/>
            <w:hideMark/>
          </w:tcPr>
          <w:p w14:paraId="753F60A7"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92%</w:t>
            </w:r>
          </w:p>
        </w:tc>
        <w:tc>
          <w:tcPr>
            <w:tcW w:w="0" w:type="auto"/>
            <w:hideMark/>
          </w:tcPr>
          <w:p w14:paraId="1B6BE560"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Rated “Very Useful” or “Extremely Useful” based on Likert-scale</w:t>
            </w:r>
          </w:p>
        </w:tc>
      </w:tr>
    </w:tbl>
    <w:p w14:paraId="04E30F06" w14:textId="4FAAAA7D"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In addition, 58% of users appreciated the expert reply feature but noted occasional delays during peak cropping months. Offline sync lags in low-signal rural zones were also mentioned as a challenge during field use. Content-wise, users expressed interest in expanding the app to cover minor millets, tubers, medicinal plants</w:t>
      </w:r>
      <w:r w:rsidR="00994705" w:rsidRPr="00E3574F">
        <w:rPr>
          <w:rFonts w:ascii="Times New Roman" w:eastAsia="Times New Roman" w:hAnsi="Times New Roman" w:cs="Times New Roman"/>
          <w:sz w:val="24"/>
          <w:szCs w:val="24"/>
          <w:lang w:eastAsia="en-IN"/>
        </w:rPr>
        <w:t xml:space="preserve"> and exotic </w:t>
      </w:r>
      <w:r w:rsidR="00BC03E4" w:rsidRPr="00E3574F">
        <w:rPr>
          <w:rFonts w:ascii="Times New Roman" w:eastAsia="Times New Roman" w:hAnsi="Times New Roman" w:cs="Times New Roman"/>
          <w:sz w:val="24"/>
          <w:szCs w:val="24"/>
          <w:lang w:eastAsia="en-IN"/>
        </w:rPr>
        <w:t xml:space="preserve">fruits and </w:t>
      </w:r>
      <w:r w:rsidR="00994705" w:rsidRPr="00E3574F">
        <w:rPr>
          <w:rFonts w:ascii="Times New Roman" w:eastAsia="Times New Roman" w:hAnsi="Times New Roman" w:cs="Times New Roman"/>
          <w:sz w:val="24"/>
          <w:szCs w:val="24"/>
          <w:lang w:eastAsia="en-IN"/>
        </w:rPr>
        <w:t>vegetables</w:t>
      </w:r>
      <w:r w:rsidRPr="00E3574F">
        <w:rPr>
          <w:rFonts w:ascii="Times New Roman" w:eastAsia="Times New Roman" w:hAnsi="Times New Roman" w:cs="Times New Roman"/>
          <w:sz w:val="24"/>
          <w:szCs w:val="24"/>
          <w:lang w:eastAsia="en-IN"/>
        </w:rPr>
        <w:t xml:space="preserve"> as well as including calendar-based reminders for </w:t>
      </w:r>
      <w:r w:rsidR="008E0DD4">
        <w:rPr>
          <w:rFonts w:ascii="Times New Roman" w:eastAsia="Times New Roman" w:hAnsi="Times New Roman" w:cs="Times New Roman"/>
          <w:sz w:val="24"/>
          <w:szCs w:val="24"/>
          <w:lang w:eastAsia="en-IN"/>
        </w:rPr>
        <w:t>fertiliser</w:t>
      </w:r>
      <w:r w:rsidR="00994705" w:rsidRPr="00E3574F">
        <w:rPr>
          <w:rFonts w:ascii="Times New Roman" w:eastAsia="Times New Roman" w:hAnsi="Times New Roman" w:cs="Times New Roman"/>
          <w:sz w:val="24"/>
          <w:szCs w:val="24"/>
          <w:lang w:eastAsia="en-IN"/>
        </w:rPr>
        <w:t xml:space="preserve"> application, irrigation</w:t>
      </w:r>
      <w:r w:rsidRPr="00E3574F">
        <w:rPr>
          <w:rFonts w:ascii="Times New Roman" w:eastAsia="Times New Roman" w:hAnsi="Times New Roman" w:cs="Times New Roman"/>
          <w:sz w:val="24"/>
          <w:szCs w:val="24"/>
          <w:lang w:eastAsia="en-IN"/>
        </w:rPr>
        <w:t xml:space="preserve"> and harvest planning.</w:t>
      </w:r>
    </w:p>
    <w:p w14:paraId="15C41BCB" w14:textId="05DE6143"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Many respondents proposed the introduction of SMS notifications and even voice-based help menus</w:t>
      </w:r>
      <w:r w:rsidR="00E3574F">
        <w:rPr>
          <w:rFonts w:ascii="Times New Roman" w:eastAsia="Times New Roman" w:hAnsi="Times New Roman" w:cs="Times New Roman"/>
          <w:sz w:val="24"/>
          <w:szCs w:val="24"/>
          <w:lang w:eastAsia="en-IN"/>
        </w:rPr>
        <w:t>/chatbots</w:t>
      </w:r>
      <w:r w:rsidRPr="00E3574F">
        <w:rPr>
          <w:rFonts w:ascii="Times New Roman" w:eastAsia="Times New Roman" w:hAnsi="Times New Roman" w:cs="Times New Roman"/>
          <w:sz w:val="24"/>
          <w:szCs w:val="24"/>
          <w:lang w:eastAsia="en-IN"/>
        </w:rPr>
        <w:t xml:space="preserve"> to support farmers with limited reading skills. One recurring idea was to add an integrated crop calendar that triggers reminders linked</w:t>
      </w:r>
      <w:r w:rsidR="00994705" w:rsidRPr="00E3574F">
        <w:rPr>
          <w:rFonts w:ascii="Times New Roman" w:eastAsia="Times New Roman" w:hAnsi="Times New Roman" w:cs="Times New Roman"/>
          <w:sz w:val="24"/>
          <w:szCs w:val="24"/>
          <w:lang w:eastAsia="en-IN"/>
        </w:rPr>
        <w:t xml:space="preserve"> to current weather, soil stage</w:t>
      </w:r>
      <w:r w:rsidRPr="00E3574F">
        <w:rPr>
          <w:rFonts w:ascii="Times New Roman" w:eastAsia="Times New Roman" w:hAnsi="Times New Roman" w:cs="Times New Roman"/>
          <w:sz w:val="24"/>
          <w:szCs w:val="24"/>
          <w:lang w:eastAsia="en-IN"/>
        </w:rPr>
        <w:t xml:space="preserve"> and pest risk. Several progressive users also recommended that the app explore interlinkages with crop insuran</w:t>
      </w:r>
      <w:r w:rsidR="00994705" w:rsidRPr="00E3574F">
        <w:rPr>
          <w:rFonts w:ascii="Times New Roman" w:eastAsia="Times New Roman" w:hAnsi="Times New Roman" w:cs="Times New Roman"/>
          <w:sz w:val="24"/>
          <w:szCs w:val="24"/>
          <w:lang w:eastAsia="en-IN"/>
        </w:rPr>
        <w:t xml:space="preserve">ce claims, subsidy eligibility </w:t>
      </w:r>
      <w:r w:rsidRPr="00E3574F">
        <w:rPr>
          <w:rFonts w:ascii="Times New Roman" w:eastAsia="Times New Roman" w:hAnsi="Times New Roman" w:cs="Times New Roman"/>
          <w:sz w:val="24"/>
          <w:szCs w:val="24"/>
          <w:lang w:eastAsia="en-IN"/>
        </w:rPr>
        <w:t>and digital soil testing tools.</w:t>
      </w:r>
    </w:p>
    <w:p w14:paraId="1F6B0095" w14:textId="3F45F9EB"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lastRenderedPageBreak/>
        <w:t>Despite these suggestions, satisfaction re</w:t>
      </w:r>
      <w:r w:rsidR="00994705" w:rsidRPr="00E3574F">
        <w:rPr>
          <w:rFonts w:ascii="Times New Roman" w:eastAsia="Times New Roman" w:hAnsi="Times New Roman" w:cs="Times New Roman"/>
          <w:sz w:val="24"/>
          <w:szCs w:val="24"/>
          <w:lang w:eastAsia="en-IN"/>
        </w:rPr>
        <w:t xml:space="preserve">mained overwhelmingly positive. </w:t>
      </w:r>
      <w:r w:rsidRPr="00E3574F">
        <w:rPr>
          <w:rFonts w:ascii="Times New Roman" w:eastAsia="Times New Roman" w:hAnsi="Times New Roman" w:cs="Times New Roman"/>
          <w:sz w:val="24"/>
          <w:szCs w:val="24"/>
          <w:lang w:eastAsia="en-IN"/>
        </w:rPr>
        <w:t xml:space="preserve">92% of users rated the app as “Very Useful” or “Extremely Useful.” This highlights not just acceptance but also a readiness among farmers to support future iterations of the platform, especially if it remains accessible and inclusive. </w:t>
      </w:r>
    </w:p>
    <w:p w14:paraId="670212B1" w14:textId="77777777"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These findings underscore the need to continuously adapt and scale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through participatory feedback loops, ensuring that it evolves into a holistic agricultural decision-support ecosystem tailored to the dynamic needs of Kerala’s smallholder farmers.</w:t>
      </w:r>
    </w:p>
    <w:p w14:paraId="559403D7" w14:textId="77777777" w:rsidR="004C2AFD" w:rsidRPr="00E3574F" w:rsidRDefault="004C2AFD" w:rsidP="004109F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6. Broader Implications and Policy Relevance</w:t>
      </w:r>
    </w:p>
    <w:p w14:paraId="2A642C65" w14:textId="2DF89CBB" w:rsidR="00011724" w:rsidRPr="00E3574F" w:rsidRDefault="00011724" w:rsidP="004109F1">
      <w:pPr>
        <w:pStyle w:val="NormalWeb"/>
        <w:jc w:val="both"/>
      </w:pPr>
      <w:r w:rsidRPr="00E3574F">
        <w:t xml:space="preserve">The success of </w:t>
      </w:r>
      <w:proofErr w:type="spellStart"/>
      <w:r w:rsidRPr="00E3574F">
        <w:t>FEM@Mobile</w:t>
      </w:r>
      <w:proofErr w:type="spellEnd"/>
      <w:r w:rsidRPr="00E3574F">
        <w:t xml:space="preserve"> illustrates how locally developed digital tools can strengthen the extension ecosystem. Its conten</w:t>
      </w:r>
      <w:r w:rsidR="00994705" w:rsidRPr="00E3574F">
        <w:t>t depth, local language support</w:t>
      </w:r>
      <w:r w:rsidRPr="00E3574F">
        <w:t xml:space="preserve"> and offline architecture align with FAO’s (2019) principles for inclusive digital agriculture. The app’s demonstrable yield,</w:t>
      </w:r>
      <w:r w:rsidR="00994705" w:rsidRPr="00E3574F">
        <w:t xml:space="preserve"> income</w:t>
      </w:r>
      <w:r w:rsidRPr="00E3574F">
        <w:t xml:space="preserve"> and knowledge benefits position it as a national model for states with fragmented extension infrastructure.</w:t>
      </w:r>
    </w:p>
    <w:p w14:paraId="6007D7A3" w14:textId="51C04400" w:rsidR="00A01040" w:rsidRPr="00E3574F" w:rsidRDefault="00A01040" w:rsidP="004109F1">
      <w:pPr>
        <w:pStyle w:val="NormalWeb"/>
        <w:jc w:val="both"/>
      </w:pPr>
      <w:r w:rsidRPr="00E3574F">
        <w:t>For broader adoption, state depar</w:t>
      </w:r>
      <w:r w:rsidR="00994705" w:rsidRPr="00E3574F">
        <w:t xml:space="preserve">tments can integrate </w:t>
      </w:r>
      <w:proofErr w:type="spellStart"/>
      <w:r w:rsidR="00994705" w:rsidRPr="00E3574F">
        <w:t>FEM@Mobile</w:t>
      </w:r>
      <w:proofErr w:type="spellEnd"/>
      <w:r w:rsidR="00994705" w:rsidRPr="00E3574F">
        <w:t xml:space="preserve"> </w:t>
      </w:r>
      <w:r w:rsidRPr="00E3574F">
        <w:t xml:space="preserve">like systems into public schemes like ATMA or </w:t>
      </w:r>
      <w:proofErr w:type="spellStart"/>
      <w:r w:rsidRPr="00E3574F">
        <w:t>Kisan</w:t>
      </w:r>
      <w:proofErr w:type="spellEnd"/>
      <w:r w:rsidRPr="00E3574F">
        <w:t xml:space="preserve"> Call </w:t>
      </w:r>
      <w:proofErr w:type="spellStart"/>
      <w:r w:rsidRPr="00E3574F">
        <w:t>Centers</w:t>
      </w:r>
      <w:proofErr w:type="spellEnd"/>
      <w:r w:rsidRPr="00E3574F">
        <w:t xml:space="preserve">, with scaling support from innovation platforms such as Digital Green or </w:t>
      </w:r>
      <w:proofErr w:type="spellStart"/>
      <w:r w:rsidRPr="00E3574F">
        <w:t>AgStack</w:t>
      </w:r>
      <w:proofErr w:type="spellEnd"/>
      <w:r w:rsidRPr="00E3574F">
        <w:t>. AI/ML-backed analytics could forecast advisory demand based on cropping patterns. Indeed, platfor</w:t>
      </w:r>
      <w:r w:rsidR="00994705" w:rsidRPr="00E3574F">
        <w:t>ms like the Crop Advisor system employing weather, soil, yield</w:t>
      </w:r>
      <w:r w:rsidRPr="00E3574F">
        <w:t xml:space="preserve"> and market data processed v</w:t>
      </w:r>
      <w:r w:rsidR="00994705" w:rsidRPr="00E3574F">
        <w:t xml:space="preserve">ia Random Forest and SVM models </w:t>
      </w:r>
      <w:r w:rsidRPr="00E3574F">
        <w:t>demonstrate how ML can predict both crop performance and market demand (</w:t>
      </w:r>
      <w:proofErr w:type="spellStart"/>
      <w:r w:rsidRPr="00E3574F">
        <w:t>Nalawade</w:t>
      </w:r>
      <w:proofErr w:type="spellEnd"/>
      <w:r w:rsidRPr="00E3574F">
        <w:t xml:space="preserve"> </w:t>
      </w:r>
      <w:r w:rsidRPr="00E3574F">
        <w:rPr>
          <w:i/>
          <w:iCs/>
        </w:rPr>
        <w:t>et al</w:t>
      </w:r>
      <w:r w:rsidRPr="00E3574F">
        <w:t xml:space="preserve">., 2025). Similarly, advanced ML frameworks using agrometeorological time-series data in Rajasthan achieved 92.3% accuracy in yield forecasts, underpinning location-specific advisory planning (Sharma </w:t>
      </w:r>
      <w:r w:rsidRPr="00E3574F">
        <w:rPr>
          <w:i/>
          <w:iCs/>
        </w:rPr>
        <w:t>et al</w:t>
      </w:r>
      <w:r w:rsidRPr="00E3574F">
        <w:t>., 2024).</w:t>
      </w:r>
    </w:p>
    <w:p w14:paraId="27E863DB" w14:textId="77777777" w:rsidR="00011724" w:rsidRPr="00E3574F" w:rsidRDefault="00011724" w:rsidP="004109F1">
      <w:pPr>
        <w:pStyle w:val="NormalWeb"/>
        <w:jc w:val="both"/>
      </w:pPr>
      <w:r w:rsidRPr="00E3574F">
        <w:t>Ultimately, this research affirms that well-designed mobile apps, backed by scientific institutions and informed by farmer needs, can bridge the information divide and foster sustainable agricultural transformation.</w:t>
      </w:r>
    </w:p>
    <w:p w14:paraId="194B81A8" w14:textId="719D5427" w:rsidR="00011724" w:rsidRPr="00E3574F" w:rsidRDefault="00011724" w:rsidP="004109F1">
      <w:pPr>
        <w:pStyle w:val="NormalWeb"/>
        <w:jc w:val="both"/>
      </w:pPr>
      <w:proofErr w:type="spellStart"/>
      <w:r w:rsidRPr="00E3574F">
        <w:t>FEM@Mobile</w:t>
      </w:r>
      <w:proofErr w:type="spellEnd"/>
      <w:r w:rsidRPr="00E3574F">
        <w:t xml:space="preserve"> reflects principles of inclusive, demand-driven digital agriculture and aligns with SDG targets (FAO, 2019). Its integration of expert knowledge, offline tools and local context makes it a viable national model. Policies encouraging region-specific app adaptations and backend scientist support will enhance outcomes (</w:t>
      </w:r>
      <w:proofErr w:type="spellStart"/>
      <w:r w:rsidR="007440BD" w:rsidRPr="00E3574F">
        <w:t>Rajkhowa</w:t>
      </w:r>
      <w:proofErr w:type="spellEnd"/>
      <w:r w:rsidR="007440BD" w:rsidRPr="00E3574F">
        <w:t xml:space="preserve"> </w:t>
      </w:r>
      <w:r w:rsidR="002E58A4">
        <w:t>and</w:t>
      </w:r>
      <w:r w:rsidR="007440BD" w:rsidRPr="00E3574F">
        <w:t xml:space="preserve"> </w:t>
      </w:r>
      <w:proofErr w:type="spellStart"/>
      <w:r w:rsidR="007440BD" w:rsidRPr="00E3574F">
        <w:t>Qaim</w:t>
      </w:r>
      <w:proofErr w:type="spellEnd"/>
      <w:r w:rsidR="007440BD" w:rsidRPr="00E3574F">
        <w:t>, 2021</w:t>
      </w:r>
      <w:r w:rsidRPr="00E3574F">
        <w:t>).</w:t>
      </w:r>
    </w:p>
    <w:p w14:paraId="047E500E" w14:textId="77777777" w:rsidR="007E37ED" w:rsidRDefault="007E37ED" w:rsidP="004109F1">
      <w:pPr>
        <w:pStyle w:val="NormalWeb"/>
        <w:jc w:val="both"/>
        <w:rPr>
          <w:b/>
          <w:bCs/>
        </w:rPr>
      </w:pPr>
      <w:r w:rsidRPr="007E37ED">
        <w:rPr>
          <w:b/>
          <w:bCs/>
        </w:rPr>
        <w:t>Policy Implications and Conclusion</w:t>
      </w:r>
    </w:p>
    <w:p w14:paraId="73039ABD" w14:textId="537682A2" w:rsidR="004C2AFD" w:rsidRPr="00E3574F" w:rsidRDefault="004C2AFD" w:rsidP="004109F1">
      <w:pPr>
        <w:pStyle w:val="NormalWeb"/>
        <w:jc w:val="both"/>
      </w:pPr>
      <w:r w:rsidRPr="00E3574F">
        <w:t>The Farm Extension Manager (</w:t>
      </w:r>
      <w:proofErr w:type="spellStart"/>
      <w:r w:rsidRPr="00E3574F">
        <w:t>FEM@Mobile</w:t>
      </w:r>
      <w:proofErr w:type="spellEnd"/>
      <w:r w:rsidRPr="00E3574F">
        <w:t xml:space="preserve">) app offers a powerful, scalable model for enhancing agricultural productivity through digital extension. With its integration of crop-specific recommendations, expert support, and user-friendly design, the app has demonstrated statistically significant benefits in yield </w:t>
      </w:r>
      <w:r w:rsidR="002A35A5" w:rsidRPr="00E3574F">
        <w:t>improvement, income enhancement</w:t>
      </w:r>
      <w:r w:rsidRPr="00E3574F">
        <w:t xml:space="preserve"> and reduction in input costs among smallholder farmers. Its bilingual in</w:t>
      </w:r>
      <w:r w:rsidR="002A35A5" w:rsidRPr="00E3574F">
        <w:t xml:space="preserve">terface, offline functionality </w:t>
      </w:r>
      <w:r w:rsidRPr="00E3574F">
        <w:t>and image-based advisory system have proven especially effective in bridging accessibility gaps in rural areas.</w:t>
      </w:r>
    </w:p>
    <w:p w14:paraId="6C542EFB" w14:textId="0070A2E9" w:rsidR="004C2AFD" w:rsidRDefault="004C2AFD" w:rsidP="004109F1">
      <w:pPr>
        <w:pStyle w:val="NormalWeb"/>
        <w:jc w:val="both"/>
      </w:pPr>
      <w:r w:rsidRPr="00E3574F">
        <w:t>The positive reception from both farmers and extension officers underscores its usability and practical relevance. Continued investment in expert backend sy</w:t>
      </w:r>
      <w:r w:rsidR="002A35A5" w:rsidRPr="00E3574F">
        <w:t>stems, periodic content updates</w:t>
      </w:r>
      <w:r w:rsidRPr="00E3574F">
        <w:t xml:space="preserve"> and expanded i</w:t>
      </w:r>
      <w:r w:rsidR="002A35A5" w:rsidRPr="00E3574F">
        <w:t>ntegration with weather, market</w:t>
      </w:r>
      <w:r w:rsidRPr="00E3574F">
        <w:t xml:space="preserve"> and pest-alert services will further elevate its effectiveness. As a replicable and impactful innovation, </w:t>
      </w:r>
      <w:proofErr w:type="spellStart"/>
      <w:r w:rsidRPr="00E3574F">
        <w:t>FEM@Mobile</w:t>
      </w:r>
      <w:proofErr w:type="spellEnd"/>
      <w:r w:rsidRPr="00E3574F">
        <w:t xml:space="preserve"> sets a precedent for </w:t>
      </w:r>
      <w:r w:rsidRPr="00E3574F">
        <w:lastRenderedPageBreak/>
        <w:t xml:space="preserve">future digital agriculture initiatives that seek to empower farming communities and modernize extension services across diverse </w:t>
      </w:r>
      <w:proofErr w:type="spellStart"/>
      <w:r w:rsidRPr="00E3574F">
        <w:t>agro</w:t>
      </w:r>
      <w:proofErr w:type="spellEnd"/>
      <w:r w:rsidRPr="00E3574F">
        <w:t>-climatic regions.</w:t>
      </w:r>
      <w:r w:rsidR="002A35A5" w:rsidRPr="00E3574F">
        <w:t xml:space="preserve"> To further scale up the Farm Extension Manager (FEM) mobile app, the integration of an AI-driven chatbot could be considered, enabling farmers to receive instant, round-the-clock responses to frequently asked questions and preliminary advisory support, thereby complementing the expert-connect service and enhancing overall efficiency of the extension system.</w:t>
      </w:r>
    </w:p>
    <w:p w14:paraId="21004937" w14:textId="1281C3C9" w:rsidR="00753D9B" w:rsidRPr="00366328" w:rsidRDefault="00366328" w:rsidP="00753D9B">
      <w:pPr>
        <w:pStyle w:val="NormalWeb"/>
        <w:jc w:val="both"/>
        <w:rPr>
          <w:b/>
          <w:bCs/>
        </w:rPr>
      </w:pPr>
      <w:bookmarkStart w:id="0" w:name="_GoBack"/>
      <w:bookmarkEnd w:id="0"/>
      <w:r w:rsidRPr="00366328">
        <w:rPr>
          <w:b/>
          <w:bCs/>
        </w:rPr>
        <w:t>Ethical Approval</w:t>
      </w:r>
    </w:p>
    <w:p w14:paraId="50C9D567" w14:textId="77777777" w:rsidR="00753D9B" w:rsidRDefault="00753D9B" w:rsidP="004109F1">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53D9B">
        <w:rPr>
          <w:rFonts w:ascii="Times New Roman" w:eastAsia="Times New Roman" w:hAnsi="Times New Roman" w:cs="Times New Roman"/>
          <w:sz w:val="24"/>
          <w:szCs w:val="24"/>
          <w:lang w:eastAsia="en-IN"/>
        </w:rPr>
        <w:t>This manuscript does not contain any studies involving animals or endangered plant species performed by any of the authors. All procedures involving human participants were conducted in accordance with the ethical standards of the institutional research committee, and informed consent was obtained from all participants.</w:t>
      </w:r>
    </w:p>
    <w:p w14:paraId="3E1A192B" w14:textId="77777777" w:rsidR="00366328" w:rsidRPr="00366328" w:rsidRDefault="00366328" w:rsidP="0036632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366328">
        <w:rPr>
          <w:rFonts w:ascii="Times New Roman" w:eastAsia="Times New Roman" w:hAnsi="Times New Roman" w:cs="Times New Roman"/>
          <w:b/>
          <w:bCs/>
          <w:sz w:val="24"/>
          <w:szCs w:val="24"/>
          <w:lang w:eastAsia="en-IN"/>
        </w:rPr>
        <w:t>Disclaimer (Artificial intelligence)</w:t>
      </w:r>
    </w:p>
    <w:p w14:paraId="44C878B9" w14:textId="1DFE6039" w:rsidR="00366328" w:rsidRPr="00366328" w:rsidRDefault="00366328" w:rsidP="00366328">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366328">
        <w:rPr>
          <w:rFonts w:ascii="Times New Roman" w:eastAsia="Times New Roman" w:hAnsi="Times New Roman" w:cs="Times New Roman"/>
          <w:sz w:val="24"/>
          <w:szCs w:val="24"/>
          <w:lang w:eastAsia="en-IN"/>
        </w:rPr>
        <w:t>Author(s) hereby declare that generative AI technologies such as Large Language Models, etc. have been</w:t>
      </w:r>
      <w:r>
        <w:rPr>
          <w:rFonts w:ascii="Times New Roman" w:eastAsia="Times New Roman" w:hAnsi="Times New Roman" w:cs="Times New Roman"/>
          <w:sz w:val="24"/>
          <w:szCs w:val="24"/>
          <w:lang w:eastAsia="en-IN"/>
        </w:rPr>
        <w:t xml:space="preserve"> </w:t>
      </w:r>
      <w:r w:rsidRPr="00366328">
        <w:rPr>
          <w:rFonts w:ascii="Times New Roman" w:eastAsia="Times New Roman" w:hAnsi="Times New Roman" w:cs="Times New Roman"/>
          <w:sz w:val="24"/>
          <w:szCs w:val="24"/>
          <w:lang w:eastAsia="en-IN"/>
        </w:rPr>
        <w:t>used during the writing or editing of manuscripts. This explanation will include the name, version,</w:t>
      </w:r>
      <w:r>
        <w:rPr>
          <w:rFonts w:ascii="Times New Roman" w:eastAsia="Times New Roman" w:hAnsi="Times New Roman" w:cs="Times New Roman"/>
          <w:sz w:val="24"/>
          <w:szCs w:val="24"/>
          <w:lang w:eastAsia="en-IN"/>
        </w:rPr>
        <w:t xml:space="preserve"> </w:t>
      </w:r>
      <w:r w:rsidRPr="00366328">
        <w:rPr>
          <w:rFonts w:ascii="Times New Roman" w:eastAsia="Times New Roman" w:hAnsi="Times New Roman" w:cs="Times New Roman"/>
          <w:sz w:val="24"/>
          <w:szCs w:val="24"/>
          <w:lang w:eastAsia="en-IN"/>
        </w:rPr>
        <w:t>model, and source of the generative AI technology and as well as all input prompts provided to the</w:t>
      </w:r>
      <w:r>
        <w:rPr>
          <w:rFonts w:ascii="Times New Roman" w:eastAsia="Times New Roman" w:hAnsi="Times New Roman" w:cs="Times New Roman"/>
          <w:sz w:val="24"/>
          <w:szCs w:val="24"/>
          <w:lang w:eastAsia="en-IN"/>
        </w:rPr>
        <w:t xml:space="preserve">m </w:t>
      </w:r>
      <w:r w:rsidRPr="00366328">
        <w:rPr>
          <w:rFonts w:ascii="Times New Roman" w:eastAsia="Times New Roman" w:hAnsi="Times New Roman" w:cs="Times New Roman"/>
          <w:sz w:val="24"/>
          <w:szCs w:val="24"/>
          <w:lang w:eastAsia="en-IN"/>
        </w:rPr>
        <w:t>generative AI technology</w:t>
      </w:r>
    </w:p>
    <w:p w14:paraId="0A3FEA27" w14:textId="77777777" w:rsidR="00366328" w:rsidRPr="00366328" w:rsidRDefault="00366328" w:rsidP="00366328">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366328">
        <w:rPr>
          <w:rFonts w:ascii="Times New Roman" w:eastAsia="Times New Roman" w:hAnsi="Times New Roman" w:cs="Times New Roman"/>
          <w:sz w:val="24"/>
          <w:szCs w:val="24"/>
          <w:lang w:eastAsia="en-IN"/>
        </w:rPr>
        <w:t>Details of the AI usage are given below:</w:t>
      </w:r>
    </w:p>
    <w:p w14:paraId="05FA547A" w14:textId="70243B28" w:rsidR="00753D9B" w:rsidRDefault="00366328" w:rsidP="00366328">
      <w:pPr>
        <w:pStyle w:val="ListParagraph"/>
        <w:numPr>
          <w:ilvl w:val="0"/>
          <w:numId w:val="4"/>
        </w:num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366328">
        <w:rPr>
          <w:rFonts w:ascii="Times New Roman" w:eastAsia="Times New Roman" w:hAnsi="Times New Roman" w:cs="Times New Roman"/>
          <w:sz w:val="24"/>
          <w:szCs w:val="24"/>
          <w:lang w:eastAsia="en-IN"/>
        </w:rPr>
        <w:t>Chat GPT 4o (mini) has been used for editing and correcting of article</w:t>
      </w:r>
    </w:p>
    <w:p w14:paraId="5AA664A1" w14:textId="77777777" w:rsidR="00D47C50" w:rsidRDefault="00D47C50" w:rsidP="00D47C50">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p>
    <w:p w14:paraId="0D689F08" w14:textId="77777777" w:rsidR="00D47C50" w:rsidRPr="00D47C50" w:rsidRDefault="00D47C50" w:rsidP="00D47C50">
      <w:pPr>
        <w:spacing w:after="200" w:line="276" w:lineRule="auto"/>
        <w:jc w:val="both"/>
        <w:outlineLvl w:val="0"/>
        <w:rPr>
          <w:rFonts w:ascii="Arial" w:eastAsia="Times New Roman" w:hAnsi="Arial" w:cs="Arial"/>
          <w:lang w:val="en-GB" w:eastAsia="en-GB" w:bidi="ar-SA"/>
        </w:rPr>
      </w:pPr>
      <w:r w:rsidRPr="00D47C50">
        <w:rPr>
          <w:rFonts w:ascii="Arial" w:eastAsia="Times New Roman" w:hAnsi="Arial" w:cs="Arial"/>
          <w:b/>
          <w:bCs/>
          <w:lang w:val="en-GB" w:eastAsia="en-GB" w:bidi="ar-SA"/>
        </w:rPr>
        <w:t>COMPETING INTERESTS DISCLAIMER:</w:t>
      </w:r>
    </w:p>
    <w:p w14:paraId="01A9AEB5" w14:textId="77777777" w:rsidR="00D47C50" w:rsidRPr="00D47C50" w:rsidRDefault="00D47C50" w:rsidP="00D47C50">
      <w:pPr>
        <w:spacing w:after="200" w:line="276" w:lineRule="auto"/>
        <w:rPr>
          <w:rFonts w:ascii="Calibri" w:eastAsia="Times New Roman" w:hAnsi="Calibri" w:cs="Times New Roman"/>
          <w:lang w:val="en-GB" w:eastAsia="en-GB" w:bidi="ar-SA"/>
        </w:rPr>
      </w:pPr>
      <w:r w:rsidRPr="00D47C50">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72B6335D" w14:textId="77777777" w:rsidR="00D47C50" w:rsidRPr="00D47C50" w:rsidRDefault="00D47C50" w:rsidP="00D47C50">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p>
    <w:p w14:paraId="5C8EDF95" w14:textId="77777777" w:rsidR="00366328" w:rsidRPr="00366328" w:rsidRDefault="00366328" w:rsidP="00366328">
      <w:pPr>
        <w:spacing w:before="100" w:beforeAutospacing="1" w:after="100" w:afterAutospacing="1" w:line="240" w:lineRule="auto"/>
        <w:ind w:left="360"/>
        <w:jc w:val="both"/>
        <w:outlineLvl w:val="2"/>
        <w:rPr>
          <w:rFonts w:ascii="Times New Roman" w:eastAsia="Times New Roman" w:hAnsi="Times New Roman" w:cs="Times New Roman"/>
          <w:sz w:val="24"/>
          <w:szCs w:val="24"/>
          <w:lang w:eastAsia="en-IN"/>
        </w:rPr>
      </w:pPr>
    </w:p>
    <w:p w14:paraId="749B5555" w14:textId="6BAFC29C" w:rsidR="00011724" w:rsidRPr="00E3574F" w:rsidRDefault="00011724" w:rsidP="004109F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References</w:t>
      </w:r>
    </w:p>
    <w:p w14:paraId="1320C989"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Aker, J. C., Ghosh, I. and Burrell, J. (2016). The promise (and pitfalls) of ICT for agriculture initiatives. </w:t>
      </w:r>
      <w:r w:rsidRPr="00366328">
        <w:rPr>
          <w:rFonts w:ascii="Times New Roman" w:eastAsia="Times New Roman" w:hAnsi="Times New Roman" w:cs="Times New Roman"/>
          <w:i/>
          <w:iCs/>
          <w:sz w:val="24"/>
          <w:szCs w:val="24"/>
          <w:lang w:val="en-GB" w:eastAsia="en-IN"/>
        </w:rPr>
        <w:t>Agricultural Economics</w:t>
      </w:r>
      <w:r w:rsidRPr="00366328">
        <w:rPr>
          <w:rFonts w:ascii="Times New Roman" w:eastAsia="Times New Roman" w:hAnsi="Times New Roman" w:cs="Times New Roman"/>
          <w:sz w:val="24"/>
          <w:szCs w:val="24"/>
          <w:lang w:val="en-GB" w:eastAsia="en-IN"/>
        </w:rPr>
        <w:t>, 47(S1), 35–48. https://doi.org/10.1111/agec.12301</w:t>
      </w:r>
    </w:p>
    <w:p w14:paraId="6BE04EC7"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Food and Agriculture Organization of the United Nations (FAO). (2025). </w:t>
      </w:r>
      <w:r w:rsidRPr="00366328">
        <w:rPr>
          <w:rFonts w:ascii="Times New Roman" w:eastAsia="Times New Roman" w:hAnsi="Times New Roman" w:cs="Times New Roman"/>
          <w:i/>
          <w:iCs/>
          <w:sz w:val="24"/>
          <w:szCs w:val="24"/>
          <w:lang w:val="en-GB" w:eastAsia="en-IN"/>
        </w:rPr>
        <w:t>Principles and practices</w:t>
      </w:r>
      <w:r w:rsidRPr="00366328">
        <w:rPr>
          <w:rFonts w:ascii="Times New Roman" w:eastAsia="Times New Roman" w:hAnsi="Times New Roman" w:cs="Times New Roman"/>
          <w:sz w:val="24"/>
          <w:szCs w:val="24"/>
          <w:lang w:val="en-GB" w:eastAsia="en-IN"/>
        </w:rPr>
        <w:t xml:space="preserve">. In: Pest and Pesticide Management [online]. Retrieved 1 August 2025 from </w:t>
      </w:r>
      <w:hyperlink r:id="rId7" w:tgtFrame="_new" w:history="1">
        <w:r w:rsidRPr="00366328">
          <w:rPr>
            <w:rStyle w:val="Hyperlink"/>
            <w:rFonts w:ascii="Times New Roman" w:eastAsia="Times New Roman" w:hAnsi="Times New Roman" w:cs="Times New Roman"/>
            <w:color w:val="auto"/>
            <w:sz w:val="24"/>
            <w:szCs w:val="24"/>
            <w:u w:val="none"/>
            <w:lang w:val="en-GB" w:eastAsia="en-IN"/>
          </w:rPr>
          <w:t>https://www.fao.org/pest-and-pesticide-management/ipm/principles-and-practices/en/</w:t>
        </w:r>
      </w:hyperlink>
    </w:p>
    <w:p w14:paraId="173B2979"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Food and Agriculture Organization of the United Nations (FAO). (2019). </w:t>
      </w:r>
      <w:r w:rsidRPr="00366328">
        <w:rPr>
          <w:rFonts w:ascii="Times New Roman" w:eastAsia="Times New Roman" w:hAnsi="Times New Roman" w:cs="Times New Roman"/>
          <w:i/>
          <w:iCs/>
          <w:sz w:val="24"/>
          <w:szCs w:val="24"/>
          <w:lang w:val="en-GB" w:eastAsia="en-IN"/>
        </w:rPr>
        <w:t>Digital technologies in agriculture and rural areas</w:t>
      </w:r>
      <w:r w:rsidRPr="00366328">
        <w:rPr>
          <w:rFonts w:ascii="Times New Roman" w:eastAsia="Times New Roman" w:hAnsi="Times New Roman" w:cs="Times New Roman"/>
          <w:sz w:val="24"/>
          <w:szCs w:val="24"/>
          <w:lang w:val="en-GB" w:eastAsia="en-IN"/>
        </w:rPr>
        <w:t xml:space="preserve">. Rome: FAO. Retrieved 1 August 2025 from </w:t>
      </w:r>
      <w:hyperlink r:id="rId8" w:tgtFrame="_new" w:history="1">
        <w:r w:rsidRPr="00366328">
          <w:rPr>
            <w:rStyle w:val="Hyperlink"/>
            <w:rFonts w:ascii="Times New Roman" w:eastAsia="Times New Roman" w:hAnsi="Times New Roman" w:cs="Times New Roman"/>
            <w:color w:val="auto"/>
            <w:sz w:val="24"/>
            <w:szCs w:val="24"/>
            <w:u w:val="none"/>
            <w:lang w:val="en-GB" w:eastAsia="en-IN"/>
          </w:rPr>
          <w:t>http://www.fao.org/3/ca4985en/ca4985en.pdf</w:t>
        </w:r>
      </w:hyperlink>
    </w:p>
    <w:p w14:paraId="53B2C020" w14:textId="77777777" w:rsidR="002E58A4" w:rsidRPr="00366328" w:rsidRDefault="002E58A4" w:rsidP="002E58A4">
      <w:pPr>
        <w:rPr>
          <w:rFonts w:ascii="Times New Roman" w:eastAsia="Times New Roman" w:hAnsi="Times New Roman" w:cs="Times New Roman"/>
          <w:sz w:val="24"/>
          <w:szCs w:val="24"/>
          <w:lang w:val="en-GB" w:eastAsia="en-IN"/>
        </w:rPr>
      </w:pPr>
      <w:proofErr w:type="spellStart"/>
      <w:r w:rsidRPr="00366328">
        <w:rPr>
          <w:rFonts w:ascii="Times New Roman" w:eastAsia="Times New Roman" w:hAnsi="Times New Roman" w:cs="Times New Roman"/>
          <w:sz w:val="24"/>
          <w:szCs w:val="24"/>
          <w:lang w:val="en-GB" w:eastAsia="en-IN"/>
        </w:rPr>
        <w:lastRenderedPageBreak/>
        <w:t>Fuglie</w:t>
      </w:r>
      <w:proofErr w:type="spellEnd"/>
      <w:r w:rsidRPr="00366328">
        <w:rPr>
          <w:rFonts w:ascii="Times New Roman" w:eastAsia="Times New Roman" w:hAnsi="Times New Roman" w:cs="Times New Roman"/>
          <w:sz w:val="24"/>
          <w:szCs w:val="24"/>
          <w:lang w:val="en-GB" w:eastAsia="en-IN"/>
        </w:rPr>
        <w:t xml:space="preserve">, K., Gautam, M., Goyal, A. and Maloney, W. F. (2020). </w:t>
      </w:r>
      <w:r w:rsidRPr="00366328">
        <w:rPr>
          <w:rFonts w:ascii="Times New Roman" w:eastAsia="Times New Roman" w:hAnsi="Times New Roman" w:cs="Times New Roman"/>
          <w:i/>
          <w:iCs/>
          <w:sz w:val="24"/>
          <w:szCs w:val="24"/>
          <w:lang w:val="en-GB" w:eastAsia="en-IN"/>
        </w:rPr>
        <w:t>Harvesting prosperity: Technology and productivity growth in agriculture</w:t>
      </w:r>
      <w:r w:rsidRPr="00366328">
        <w:rPr>
          <w:rFonts w:ascii="Times New Roman" w:eastAsia="Times New Roman" w:hAnsi="Times New Roman" w:cs="Times New Roman"/>
          <w:sz w:val="24"/>
          <w:szCs w:val="24"/>
          <w:lang w:val="en-GB" w:eastAsia="en-IN"/>
        </w:rPr>
        <w:t xml:space="preserve">. Washington, DC: World Bank. Retrieved 31 August 2025 from </w:t>
      </w:r>
      <w:hyperlink r:id="rId9" w:tgtFrame="_new" w:history="1">
        <w:r w:rsidRPr="00366328">
          <w:rPr>
            <w:rStyle w:val="Hyperlink"/>
            <w:rFonts w:ascii="Times New Roman" w:eastAsia="Times New Roman" w:hAnsi="Times New Roman" w:cs="Times New Roman"/>
            <w:color w:val="auto"/>
            <w:sz w:val="24"/>
            <w:szCs w:val="24"/>
            <w:u w:val="none"/>
            <w:lang w:val="en-GB" w:eastAsia="en-IN"/>
          </w:rPr>
          <w:t>https://hdl.handle.net/10986/32350</w:t>
        </w:r>
      </w:hyperlink>
    </w:p>
    <w:p w14:paraId="0B817C2C"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Google Play. (2025). </w:t>
      </w:r>
      <w:r w:rsidRPr="00366328">
        <w:rPr>
          <w:rFonts w:ascii="Times New Roman" w:eastAsia="Times New Roman" w:hAnsi="Times New Roman" w:cs="Times New Roman"/>
          <w:i/>
          <w:iCs/>
          <w:sz w:val="24"/>
          <w:szCs w:val="24"/>
          <w:lang w:val="en-GB" w:eastAsia="en-IN"/>
        </w:rPr>
        <w:t>Farm Extension Manager</w:t>
      </w:r>
      <w:r w:rsidRPr="00366328">
        <w:rPr>
          <w:rFonts w:ascii="Times New Roman" w:eastAsia="Times New Roman" w:hAnsi="Times New Roman" w:cs="Times New Roman"/>
          <w:sz w:val="24"/>
          <w:szCs w:val="24"/>
          <w:lang w:val="en-GB" w:eastAsia="en-IN"/>
        </w:rPr>
        <w:t xml:space="preserve">. Google Play Store [online]. Retrieved 3 August 2025 from </w:t>
      </w:r>
      <w:hyperlink r:id="rId10" w:tgtFrame="_new" w:history="1">
        <w:r w:rsidRPr="00366328">
          <w:rPr>
            <w:rStyle w:val="Hyperlink"/>
            <w:rFonts w:ascii="Times New Roman" w:eastAsia="Times New Roman" w:hAnsi="Times New Roman" w:cs="Times New Roman"/>
            <w:color w:val="auto"/>
            <w:sz w:val="24"/>
            <w:szCs w:val="24"/>
            <w:u w:val="none"/>
            <w:lang w:val="en-GB" w:eastAsia="en-IN"/>
          </w:rPr>
          <w:t>https://play.google.com/store/apps/details?id=com.femmob&amp;hl=en_IN</w:t>
        </w:r>
      </w:hyperlink>
    </w:p>
    <w:p w14:paraId="018550B9"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Kambale, A., Mishra, R. and Singh, A. (2021). Mobile applications in agriculture: An overview. </w:t>
      </w:r>
      <w:r w:rsidRPr="00366328">
        <w:rPr>
          <w:rFonts w:ascii="Times New Roman" w:eastAsia="Times New Roman" w:hAnsi="Times New Roman" w:cs="Times New Roman"/>
          <w:i/>
          <w:iCs/>
          <w:sz w:val="24"/>
          <w:szCs w:val="24"/>
          <w:lang w:val="en-GB" w:eastAsia="en-IN"/>
        </w:rPr>
        <w:t>Journal of Agricultural Extension Management</w:t>
      </w:r>
      <w:r w:rsidRPr="00366328">
        <w:rPr>
          <w:rFonts w:ascii="Times New Roman" w:eastAsia="Times New Roman" w:hAnsi="Times New Roman" w:cs="Times New Roman"/>
          <w:sz w:val="24"/>
          <w:szCs w:val="24"/>
          <w:lang w:val="en-GB" w:eastAsia="en-IN"/>
        </w:rPr>
        <w:t>, 22(2), 45–53.</w:t>
      </w:r>
    </w:p>
    <w:p w14:paraId="7276672D" w14:textId="77777777" w:rsidR="002E58A4" w:rsidRPr="00366328" w:rsidRDefault="002E58A4" w:rsidP="002E58A4">
      <w:pPr>
        <w:rPr>
          <w:rFonts w:ascii="Times New Roman" w:eastAsia="Times New Roman" w:hAnsi="Times New Roman" w:cs="Times New Roman"/>
          <w:sz w:val="24"/>
          <w:szCs w:val="24"/>
          <w:lang w:val="en-GB" w:eastAsia="en-IN"/>
        </w:rPr>
      </w:pPr>
      <w:proofErr w:type="spellStart"/>
      <w:r w:rsidRPr="00366328">
        <w:rPr>
          <w:rFonts w:ascii="Times New Roman" w:eastAsia="Times New Roman" w:hAnsi="Times New Roman" w:cs="Times New Roman"/>
          <w:sz w:val="24"/>
          <w:szCs w:val="24"/>
          <w:lang w:val="en-GB" w:eastAsia="en-IN"/>
        </w:rPr>
        <w:t>Kansiime</w:t>
      </w:r>
      <w:proofErr w:type="spellEnd"/>
      <w:r w:rsidRPr="00366328">
        <w:rPr>
          <w:rFonts w:ascii="Times New Roman" w:eastAsia="Times New Roman" w:hAnsi="Times New Roman" w:cs="Times New Roman"/>
          <w:sz w:val="24"/>
          <w:szCs w:val="24"/>
          <w:lang w:val="en-GB" w:eastAsia="en-IN"/>
        </w:rPr>
        <w:t xml:space="preserve">, M. K., </w:t>
      </w:r>
      <w:proofErr w:type="spellStart"/>
      <w:r w:rsidRPr="00366328">
        <w:rPr>
          <w:rFonts w:ascii="Times New Roman" w:eastAsia="Times New Roman" w:hAnsi="Times New Roman" w:cs="Times New Roman"/>
          <w:sz w:val="24"/>
          <w:szCs w:val="24"/>
          <w:lang w:val="en-GB" w:eastAsia="en-IN"/>
        </w:rPr>
        <w:t>Alawy</w:t>
      </w:r>
      <w:proofErr w:type="spellEnd"/>
      <w:r w:rsidRPr="00366328">
        <w:rPr>
          <w:rFonts w:ascii="Times New Roman" w:eastAsia="Times New Roman" w:hAnsi="Times New Roman" w:cs="Times New Roman"/>
          <w:sz w:val="24"/>
          <w:szCs w:val="24"/>
          <w:lang w:val="en-GB" w:eastAsia="en-IN"/>
        </w:rPr>
        <w:t xml:space="preserve">, A., Allen, C., </w:t>
      </w:r>
      <w:proofErr w:type="spellStart"/>
      <w:r w:rsidRPr="00366328">
        <w:rPr>
          <w:rFonts w:ascii="Times New Roman" w:eastAsia="Times New Roman" w:hAnsi="Times New Roman" w:cs="Times New Roman"/>
          <w:sz w:val="24"/>
          <w:szCs w:val="24"/>
          <w:lang w:val="en-GB" w:eastAsia="en-IN"/>
        </w:rPr>
        <w:t>Subharwal</w:t>
      </w:r>
      <w:proofErr w:type="spellEnd"/>
      <w:r w:rsidRPr="00366328">
        <w:rPr>
          <w:rFonts w:ascii="Times New Roman" w:eastAsia="Times New Roman" w:hAnsi="Times New Roman" w:cs="Times New Roman"/>
          <w:sz w:val="24"/>
          <w:szCs w:val="24"/>
          <w:lang w:val="en-GB" w:eastAsia="en-IN"/>
        </w:rPr>
        <w:t xml:space="preserve">, M., Jadhav, A. and Parr, M. (2019). Effectiveness of mobile </w:t>
      </w:r>
      <w:proofErr w:type="spellStart"/>
      <w:r w:rsidRPr="00366328">
        <w:rPr>
          <w:rFonts w:ascii="Times New Roman" w:eastAsia="Times New Roman" w:hAnsi="Times New Roman" w:cs="Times New Roman"/>
          <w:sz w:val="24"/>
          <w:szCs w:val="24"/>
          <w:lang w:val="en-GB" w:eastAsia="en-IN"/>
        </w:rPr>
        <w:t>agri</w:t>
      </w:r>
      <w:proofErr w:type="spellEnd"/>
      <w:r w:rsidRPr="00366328">
        <w:rPr>
          <w:rFonts w:ascii="Times New Roman" w:eastAsia="Times New Roman" w:hAnsi="Times New Roman" w:cs="Times New Roman"/>
          <w:sz w:val="24"/>
          <w:szCs w:val="24"/>
          <w:lang w:val="en-GB" w:eastAsia="en-IN"/>
        </w:rPr>
        <w:t xml:space="preserve">-advisory service extension model: Evidence from Direct2Farm program in India. </w:t>
      </w:r>
      <w:r w:rsidRPr="00366328">
        <w:rPr>
          <w:rFonts w:ascii="Times New Roman" w:eastAsia="Times New Roman" w:hAnsi="Times New Roman" w:cs="Times New Roman"/>
          <w:i/>
          <w:iCs/>
          <w:sz w:val="24"/>
          <w:szCs w:val="24"/>
          <w:lang w:val="en-GB" w:eastAsia="en-IN"/>
        </w:rPr>
        <w:t>World Development Perspectives</w:t>
      </w:r>
      <w:r w:rsidRPr="00366328">
        <w:rPr>
          <w:rFonts w:ascii="Times New Roman" w:eastAsia="Times New Roman" w:hAnsi="Times New Roman" w:cs="Times New Roman"/>
          <w:sz w:val="24"/>
          <w:szCs w:val="24"/>
          <w:lang w:val="en-GB" w:eastAsia="en-IN"/>
        </w:rPr>
        <w:t>, 13, 25–33.</w:t>
      </w:r>
    </w:p>
    <w:p w14:paraId="43611C5D"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Krell, N. T., Giroux, S. A., Guido, Z., Hannah, C., </w:t>
      </w:r>
      <w:proofErr w:type="spellStart"/>
      <w:r w:rsidRPr="00366328">
        <w:rPr>
          <w:rFonts w:ascii="Times New Roman" w:eastAsia="Times New Roman" w:hAnsi="Times New Roman" w:cs="Times New Roman"/>
          <w:sz w:val="24"/>
          <w:szCs w:val="24"/>
          <w:lang w:val="en-GB" w:eastAsia="en-IN"/>
        </w:rPr>
        <w:t>Lopus</w:t>
      </w:r>
      <w:proofErr w:type="spellEnd"/>
      <w:r w:rsidRPr="00366328">
        <w:rPr>
          <w:rFonts w:ascii="Times New Roman" w:eastAsia="Times New Roman" w:hAnsi="Times New Roman" w:cs="Times New Roman"/>
          <w:sz w:val="24"/>
          <w:szCs w:val="24"/>
          <w:lang w:val="en-GB" w:eastAsia="en-IN"/>
        </w:rPr>
        <w:t xml:space="preserve">, S. E., Caylor, K. K. and Evans, T. P. (2020). Smallholder farmers’ use of mobile phone services in central Kenya. </w:t>
      </w:r>
      <w:r w:rsidRPr="00366328">
        <w:rPr>
          <w:rFonts w:ascii="Times New Roman" w:eastAsia="Times New Roman" w:hAnsi="Times New Roman" w:cs="Times New Roman"/>
          <w:i/>
          <w:iCs/>
          <w:sz w:val="24"/>
          <w:szCs w:val="24"/>
          <w:lang w:val="en-GB" w:eastAsia="en-IN"/>
        </w:rPr>
        <w:t>Climate and Development</w:t>
      </w:r>
      <w:r w:rsidRPr="00366328">
        <w:rPr>
          <w:rFonts w:ascii="Times New Roman" w:eastAsia="Times New Roman" w:hAnsi="Times New Roman" w:cs="Times New Roman"/>
          <w:sz w:val="24"/>
          <w:szCs w:val="24"/>
          <w:lang w:val="en-GB" w:eastAsia="en-IN"/>
        </w:rPr>
        <w:t>, 12(4), 275–287. https://doi.org/10.1080/17565529.2019.1632164</w:t>
      </w:r>
    </w:p>
    <w:p w14:paraId="7F89FA44"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Meera, S. N., </w:t>
      </w:r>
      <w:proofErr w:type="spellStart"/>
      <w:r w:rsidRPr="00366328">
        <w:rPr>
          <w:rFonts w:ascii="Times New Roman" w:eastAsia="Times New Roman" w:hAnsi="Times New Roman" w:cs="Times New Roman"/>
          <w:sz w:val="24"/>
          <w:szCs w:val="24"/>
          <w:lang w:val="en-GB" w:eastAsia="en-IN"/>
        </w:rPr>
        <w:t>Jhamtani</w:t>
      </w:r>
      <w:proofErr w:type="spellEnd"/>
      <w:r w:rsidRPr="00366328">
        <w:rPr>
          <w:rFonts w:ascii="Times New Roman" w:eastAsia="Times New Roman" w:hAnsi="Times New Roman" w:cs="Times New Roman"/>
          <w:sz w:val="24"/>
          <w:szCs w:val="24"/>
          <w:lang w:val="en-GB" w:eastAsia="en-IN"/>
        </w:rPr>
        <w:t xml:space="preserve">, A. and Rao, D. U. M. (2004). </w:t>
      </w:r>
      <w:r w:rsidRPr="00366328">
        <w:rPr>
          <w:rFonts w:ascii="Times New Roman" w:eastAsia="Times New Roman" w:hAnsi="Times New Roman" w:cs="Times New Roman"/>
          <w:i/>
          <w:iCs/>
          <w:sz w:val="24"/>
          <w:szCs w:val="24"/>
          <w:lang w:val="en-GB" w:eastAsia="en-IN"/>
        </w:rPr>
        <w:t>Information and communication technology in agricultural development: A comparative analysis of three projects from India</w:t>
      </w:r>
      <w:r w:rsidRPr="00366328">
        <w:rPr>
          <w:rFonts w:ascii="Times New Roman" w:eastAsia="Times New Roman" w:hAnsi="Times New Roman" w:cs="Times New Roman"/>
          <w:sz w:val="24"/>
          <w:szCs w:val="24"/>
          <w:lang w:val="en-GB" w:eastAsia="en-IN"/>
        </w:rPr>
        <w:t xml:space="preserve">. Agricultural Research and Extension Network Paper No. 135. Retrieved 31 August 2025 from </w:t>
      </w:r>
      <w:hyperlink r:id="rId11" w:tgtFrame="_new" w:history="1">
        <w:r w:rsidRPr="00366328">
          <w:rPr>
            <w:rStyle w:val="Hyperlink"/>
            <w:rFonts w:ascii="Times New Roman" w:eastAsia="Times New Roman" w:hAnsi="Times New Roman" w:cs="Times New Roman"/>
            <w:color w:val="auto"/>
            <w:sz w:val="24"/>
            <w:szCs w:val="24"/>
            <w:u w:val="none"/>
            <w:lang w:val="en-GB" w:eastAsia="en-IN"/>
          </w:rPr>
          <w:t>https://media.odi.org/documents/5186.pdf</w:t>
        </w:r>
      </w:hyperlink>
    </w:p>
    <w:p w14:paraId="6B5304C7"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Mittal, S. and Mehar, M. (2015). Socio-economic factors affecting adoption of modern information and communication technology by farmers in India: Analysis using multivariate </w:t>
      </w:r>
      <w:proofErr w:type="spellStart"/>
      <w:r w:rsidRPr="00366328">
        <w:rPr>
          <w:rFonts w:ascii="Times New Roman" w:eastAsia="Times New Roman" w:hAnsi="Times New Roman" w:cs="Times New Roman"/>
          <w:sz w:val="24"/>
          <w:szCs w:val="24"/>
          <w:lang w:val="en-GB" w:eastAsia="en-IN"/>
        </w:rPr>
        <w:t>probit</w:t>
      </w:r>
      <w:proofErr w:type="spellEnd"/>
      <w:r w:rsidRPr="00366328">
        <w:rPr>
          <w:rFonts w:ascii="Times New Roman" w:eastAsia="Times New Roman" w:hAnsi="Times New Roman" w:cs="Times New Roman"/>
          <w:sz w:val="24"/>
          <w:szCs w:val="24"/>
          <w:lang w:val="en-GB" w:eastAsia="en-IN"/>
        </w:rPr>
        <w:t xml:space="preserve"> model. </w:t>
      </w:r>
      <w:r w:rsidRPr="00366328">
        <w:rPr>
          <w:rFonts w:ascii="Times New Roman" w:eastAsia="Times New Roman" w:hAnsi="Times New Roman" w:cs="Times New Roman"/>
          <w:i/>
          <w:iCs/>
          <w:sz w:val="24"/>
          <w:szCs w:val="24"/>
          <w:lang w:val="en-GB" w:eastAsia="en-IN"/>
        </w:rPr>
        <w:t>The Journal of Agricultural Education and Extension</w:t>
      </w:r>
      <w:r w:rsidRPr="00366328">
        <w:rPr>
          <w:rFonts w:ascii="Times New Roman" w:eastAsia="Times New Roman" w:hAnsi="Times New Roman" w:cs="Times New Roman"/>
          <w:sz w:val="24"/>
          <w:szCs w:val="24"/>
          <w:lang w:val="en-GB" w:eastAsia="en-IN"/>
        </w:rPr>
        <w:t>, 22(2), 199–212.</w:t>
      </w:r>
    </w:p>
    <w:p w14:paraId="6AEB2CB8" w14:textId="77777777" w:rsidR="002E58A4" w:rsidRPr="00366328" w:rsidRDefault="002E58A4" w:rsidP="002E58A4">
      <w:pPr>
        <w:rPr>
          <w:rFonts w:ascii="Times New Roman" w:eastAsia="Times New Roman" w:hAnsi="Times New Roman" w:cs="Times New Roman"/>
          <w:sz w:val="24"/>
          <w:szCs w:val="24"/>
          <w:lang w:val="en-GB" w:eastAsia="en-IN"/>
        </w:rPr>
      </w:pPr>
      <w:proofErr w:type="spellStart"/>
      <w:r w:rsidRPr="00366328">
        <w:rPr>
          <w:rFonts w:ascii="Times New Roman" w:eastAsia="Times New Roman" w:hAnsi="Times New Roman" w:cs="Times New Roman"/>
          <w:sz w:val="24"/>
          <w:szCs w:val="24"/>
          <w:lang w:val="en-GB" w:eastAsia="en-IN"/>
        </w:rPr>
        <w:t>Nalawade</w:t>
      </w:r>
      <w:proofErr w:type="spellEnd"/>
      <w:r w:rsidRPr="00366328">
        <w:rPr>
          <w:rFonts w:ascii="Times New Roman" w:eastAsia="Times New Roman" w:hAnsi="Times New Roman" w:cs="Times New Roman"/>
          <w:sz w:val="24"/>
          <w:szCs w:val="24"/>
          <w:lang w:val="en-GB" w:eastAsia="en-IN"/>
        </w:rPr>
        <w:t xml:space="preserve">, V., Kadam, B., Jadhav, C., </w:t>
      </w:r>
      <w:proofErr w:type="spellStart"/>
      <w:r w:rsidRPr="00366328">
        <w:rPr>
          <w:rFonts w:ascii="Times New Roman" w:eastAsia="Times New Roman" w:hAnsi="Times New Roman" w:cs="Times New Roman"/>
          <w:sz w:val="24"/>
          <w:szCs w:val="24"/>
          <w:lang w:val="en-GB" w:eastAsia="en-IN"/>
        </w:rPr>
        <w:t>Pabale</w:t>
      </w:r>
      <w:proofErr w:type="spellEnd"/>
      <w:r w:rsidRPr="00366328">
        <w:rPr>
          <w:rFonts w:ascii="Times New Roman" w:eastAsia="Times New Roman" w:hAnsi="Times New Roman" w:cs="Times New Roman"/>
          <w:sz w:val="24"/>
          <w:szCs w:val="24"/>
          <w:lang w:val="en-GB" w:eastAsia="en-IN"/>
        </w:rPr>
        <w:t xml:space="preserve">, G. and </w:t>
      </w:r>
      <w:proofErr w:type="spellStart"/>
      <w:r w:rsidRPr="00366328">
        <w:rPr>
          <w:rFonts w:ascii="Times New Roman" w:eastAsia="Times New Roman" w:hAnsi="Times New Roman" w:cs="Times New Roman"/>
          <w:sz w:val="24"/>
          <w:szCs w:val="24"/>
          <w:lang w:val="en-GB" w:eastAsia="en-IN"/>
        </w:rPr>
        <w:t>Kokane</w:t>
      </w:r>
      <w:proofErr w:type="spellEnd"/>
      <w:r w:rsidRPr="00366328">
        <w:rPr>
          <w:rFonts w:ascii="Times New Roman" w:eastAsia="Times New Roman" w:hAnsi="Times New Roman" w:cs="Times New Roman"/>
          <w:sz w:val="24"/>
          <w:szCs w:val="24"/>
          <w:lang w:val="en-GB" w:eastAsia="en-IN"/>
        </w:rPr>
        <w:t xml:space="preserve">, P. (2025). Crop Advisor: Intelligent crop recommendation system. </w:t>
      </w:r>
      <w:r w:rsidRPr="00366328">
        <w:rPr>
          <w:rFonts w:ascii="Times New Roman" w:eastAsia="Times New Roman" w:hAnsi="Times New Roman" w:cs="Times New Roman"/>
          <w:i/>
          <w:iCs/>
          <w:sz w:val="24"/>
          <w:szCs w:val="24"/>
          <w:lang w:val="en-GB" w:eastAsia="en-IN"/>
        </w:rPr>
        <w:t>Indian Journal of Agricultural Engineering</w:t>
      </w:r>
      <w:r w:rsidRPr="00366328">
        <w:rPr>
          <w:rFonts w:ascii="Times New Roman" w:eastAsia="Times New Roman" w:hAnsi="Times New Roman" w:cs="Times New Roman"/>
          <w:sz w:val="24"/>
          <w:szCs w:val="24"/>
          <w:lang w:val="en-GB" w:eastAsia="en-IN"/>
        </w:rPr>
        <w:t>, 5(1), 1–6. https://doi.org/10.54105/ijae.A1525.05010525</w:t>
      </w:r>
    </w:p>
    <w:p w14:paraId="5B1F745F" w14:textId="77777777" w:rsidR="002E58A4" w:rsidRPr="00366328" w:rsidRDefault="002E58A4" w:rsidP="002E58A4">
      <w:pPr>
        <w:rPr>
          <w:rFonts w:ascii="Times New Roman" w:eastAsia="Times New Roman" w:hAnsi="Times New Roman" w:cs="Times New Roman"/>
          <w:sz w:val="24"/>
          <w:szCs w:val="24"/>
          <w:lang w:val="en-GB" w:eastAsia="en-IN"/>
        </w:rPr>
      </w:pPr>
      <w:proofErr w:type="spellStart"/>
      <w:r w:rsidRPr="00366328">
        <w:rPr>
          <w:rFonts w:ascii="Times New Roman" w:eastAsia="Times New Roman" w:hAnsi="Times New Roman" w:cs="Times New Roman"/>
          <w:sz w:val="24"/>
          <w:szCs w:val="24"/>
          <w:lang w:val="en-GB" w:eastAsia="en-IN"/>
        </w:rPr>
        <w:t>Paliwal</w:t>
      </w:r>
      <w:proofErr w:type="spellEnd"/>
      <w:r w:rsidRPr="00366328">
        <w:rPr>
          <w:rFonts w:ascii="Times New Roman" w:eastAsia="Times New Roman" w:hAnsi="Times New Roman" w:cs="Times New Roman"/>
          <w:sz w:val="24"/>
          <w:szCs w:val="24"/>
          <w:lang w:val="en-GB" w:eastAsia="en-IN"/>
        </w:rPr>
        <w:t xml:space="preserve">, P. and Kumari, P. (2024). Transforming agriculture: A comprehensive review of mobile-based ICTs and innovations in India’s agricultural extension services, with a focus on the Multimedia Agricultural Advisory System (MAAS). </w:t>
      </w:r>
      <w:r w:rsidRPr="00366328">
        <w:rPr>
          <w:rFonts w:ascii="Times New Roman" w:eastAsia="Times New Roman" w:hAnsi="Times New Roman" w:cs="Times New Roman"/>
          <w:i/>
          <w:iCs/>
          <w:sz w:val="24"/>
          <w:szCs w:val="24"/>
          <w:lang w:val="en-GB" w:eastAsia="en-IN"/>
        </w:rPr>
        <w:t>International Journal of Agriculture Extension and Social Development</w:t>
      </w:r>
      <w:r w:rsidRPr="00366328">
        <w:rPr>
          <w:rFonts w:ascii="Times New Roman" w:eastAsia="Times New Roman" w:hAnsi="Times New Roman" w:cs="Times New Roman"/>
          <w:sz w:val="24"/>
          <w:szCs w:val="24"/>
          <w:lang w:val="en-GB" w:eastAsia="en-IN"/>
        </w:rPr>
        <w:t>, 7(2), 88–92. https://doi.org/10.33545/26180723.2024.v7.i2b.304</w:t>
      </w:r>
    </w:p>
    <w:p w14:paraId="60C03F25" w14:textId="77777777" w:rsidR="002E58A4" w:rsidRPr="00366328" w:rsidRDefault="002E58A4" w:rsidP="002E58A4">
      <w:pPr>
        <w:rPr>
          <w:rFonts w:ascii="Times New Roman" w:eastAsia="Times New Roman" w:hAnsi="Times New Roman" w:cs="Times New Roman"/>
          <w:sz w:val="24"/>
          <w:szCs w:val="24"/>
          <w:lang w:val="en-GB" w:eastAsia="en-IN"/>
        </w:rPr>
      </w:pPr>
      <w:proofErr w:type="spellStart"/>
      <w:r w:rsidRPr="00366328">
        <w:rPr>
          <w:rFonts w:ascii="Times New Roman" w:eastAsia="Times New Roman" w:hAnsi="Times New Roman" w:cs="Times New Roman"/>
          <w:sz w:val="24"/>
          <w:szCs w:val="24"/>
          <w:lang w:val="en-GB" w:eastAsia="en-IN"/>
        </w:rPr>
        <w:t>Rajkhowa</w:t>
      </w:r>
      <w:proofErr w:type="spellEnd"/>
      <w:r w:rsidRPr="00366328">
        <w:rPr>
          <w:rFonts w:ascii="Times New Roman" w:eastAsia="Times New Roman" w:hAnsi="Times New Roman" w:cs="Times New Roman"/>
          <w:sz w:val="24"/>
          <w:szCs w:val="24"/>
          <w:lang w:val="en-GB" w:eastAsia="en-IN"/>
        </w:rPr>
        <w:t xml:space="preserve">, P. and </w:t>
      </w:r>
      <w:proofErr w:type="spellStart"/>
      <w:r w:rsidRPr="00366328">
        <w:rPr>
          <w:rFonts w:ascii="Times New Roman" w:eastAsia="Times New Roman" w:hAnsi="Times New Roman" w:cs="Times New Roman"/>
          <w:sz w:val="24"/>
          <w:szCs w:val="24"/>
          <w:lang w:val="en-GB" w:eastAsia="en-IN"/>
        </w:rPr>
        <w:t>Qaim</w:t>
      </w:r>
      <w:proofErr w:type="spellEnd"/>
      <w:r w:rsidRPr="00366328">
        <w:rPr>
          <w:rFonts w:ascii="Times New Roman" w:eastAsia="Times New Roman" w:hAnsi="Times New Roman" w:cs="Times New Roman"/>
          <w:sz w:val="24"/>
          <w:szCs w:val="24"/>
          <w:lang w:val="en-GB" w:eastAsia="en-IN"/>
        </w:rPr>
        <w:t xml:space="preserve">, M. (2021). Personalised digital extension services and agricultural performance: Evidence from smallholder farmers in India. </w:t>
      </w:r>
      <w:proofErr w:type="spellStart"/>
      <w:r w:rsidRPr="00366328">
        <w:rPr>
          <w:rFonts w:ascii="Times New Roman" w:eastAsia="Times New Roman" w:hAnsi="Times New Roman" w:cs="Times New Roman"/>
          <w:i/>
          <w:iCs/>
          <w:sz w:val="24"/>
          <w:szCs w:val="24"/>
          <w:lang w:val="en-GB" w:eastAsia="en-IN"/>
        </w:rPr>
        <w:t>PLoS</w:t>
      </w:r>
      <w:proofErr w:type="spellEnd"/>
      <w:r w:rsidRPr="00366328">
        <w:rPr>
          <w:rFonts w:ascii="Times New Roman" w:eastAsia="Times New Roman" w:hAnsi="Times New Roman" w:cs="Times New Roman"/>
          <w:i/>
          <w:iCs/>
          <w:sz w:val="24"/>
          <w:szCs w:val="24"/>
          <w:lang w:val="en-GB" w:eastAsia="en-IN"/>
        </w:rPr>
        <w:t xml:space="preserve"> ONE</w:t>
      </w:r>
      <w:r w:rsidRPr="00366328">
        <w:rPr>
          <w:rFonts w:ascii="Times New Roman" w:eastAsia="Times New Roman" w:hAnsi="Times New Roman" w:cs="Times New Roman"/>
          <w:sz w:val="24"/>
          <w:szCs w:val="24"/>
          <w:lang w:val="en-GB" w:eastAsia="en-IN"/>
        </w:rPr>
        <w:t>, 16(10), e0259319. https://doi.org/10.1371/journal.pone.0259319</w:t>
      </w:r>
    </w:p>
    <w:p w14:paraId="4A435817"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Sapkota, T. B., </w:t>
      </w:r>
      <w:proofErr w:type="spellStart"/>
      <w:r w:rsidRPr="00366328">
        <w:rPr>
          <w:rFonts w:ascii="Times New Roman" w:eastAsia="Times New Roman" w:hAnsi="Times New Roman" w:cs="Times New Roman"/>
          <w:sz w:val="24"/>
          <w:szCs w:val="24"/>
          <w:lang w:val="en-GB" w:eastAsia="en-IN"/>
        </w:rPr>
        <w:t>Jat</w:t>
      </w:r>
      <w:proofErr w:type="spellEnd"/>
      <w:r w:rsidRPr="00366328">
        <w:rPr>
          <w:rFonts w:ascii="Times New Roman" w:eastAsia="Times New Roman" w:hAnsi="Times New Roman" w:cs="Times New Roman"/>
          <w:sz w:val="24"/>
          <w:szCs w:val="24"/>
          <w:lang w:val="en-GB" w:eastAsia="en-IN"/>
        </w:rPr>
        <w:t xml:space="preserve">, M. L., Rana, D. S., Khatri-Chhetri, A., </w:t>
      </w:r>
      <w:proofErr w:type="spellStart"/>
      <w:r w:rsidRPr="00366328">
        <w:rPr>
          <w:rFonts w:ascii="Times New Roman" w:eastAsia="Times New Roman" w:hAnsi="Times New Roman" w:cs="Times New Roman"/>
          <w:sz w:val="24"/>
          <w:szCs w:val="24"/>
          <w:lang w:val="en-GB" w:eastAsia="en-IN"/>
        </w:rPr>
        <w:t>Jat</w:t>
      </w:r>
      <w:proofErr w:type="spellEnd"/>
      <w:r w:rsidRPr="00366328">
        <w:rPr>
          <w:rFonts w:ascii="Times New Roman" w:eastAsia="Times New Roman" w:hAnsi="Times New Roman" w:cs="Times New Roman"/>
          <w:sz w:val="24"/>
          <w:szCs w:val="24"/>
          <w:lang w:val="en-GB" w:eastAsia="en-IN"/>
        </w:rPr>
        <w:t xml:space="preserve">, H. S., </w:t>
      </w:r>
      <w:proofErr w:type="spellStart"/>
      <w:r w:rsidRPr="00366328">
        <w:rPr>
          <w:rFonts w:ascii="Times New Roman" w:eastAsia="Times New Roman" w:hAnsi="Times New Roman" w:cs="Times New Roman"/>
          <w:sz w:val="24"/>
          <w:szCs w:val="24"/>
          <w:lang w:val="en-GB" w:eastAsia="en-IN"/>
        </w:rPr>
        <w:t>Bijarniya</w:t>
      </w:r>
      <w:proofErr w:type="spellEnd"/>
      <w:r w:rsidRPr="00366328">
        <w:rPr>
          <w:rFonts w:ascii="Times New Roman" w:eastAsia="Times New Roman" w:hAnsi="Times New Roman" w:cs="Times New Roman"/>
          <w:sz w:val="24"/>
          <w:szCs w:val="24"/>
          <w:lang w:val="en-GB" w:eastAsia="en-IN"/>
        </w:rPr>
        <w:t xml:space="preserve">, D. and Majumdar, K. (2021). Crop nutrient management using Nutrient Expert improves yield, increases farmers’ income and reduces greenhouse gas emissions. </w:t>
      </w:r>
      <w:r w:rsidRPr="00366328">
        <w:rPr>
          <w:rFonts w:ascii="Times New Roman" w:eastAsia="Times New Roman" w:hAnsi="Times New Roman" w:cs="Times New Roman"/>
          <w:i/>
          <w:iCs/>
          <w:sz w:val="24"/>
          <w:szCs w:val="24"/>
          <w:lang w:val="en-GB" w:eastAsia="en-IN"/>
        </w:rPr>
        <w:t>Scientific Reports</w:t>
      </w:r>
      <w:r w:rsidRPr="00366328">
        <w:rPr>
          <w:rFonts w:ascii="Times New Roman" w:eastAsia="Times New Roman" w:hAnsi="Times New Roman" w:cs="Times New Roman"/>
          <w:sz w:val="24"/>
          <w:szCs w:val="24"/>
          <w:lang w:val="en-GB" w:eastAsia="en-IN"/>
        </w:rPr>
        <w:t>, 11, Article no. 1564. https://doi.org/10.1038/s41598-020-79883-X</w:t>
      </w:r>
    </w:p>
    <w:p w14:paraId="1497488B" w14:textId="77777777" w:rsidR="002E58A4" w:rsidRPr="00366328" w:rsidRDefault="002E58A4" w:rsidP="002E58A4">
      <w:pPr>
        <w:rPr>
          <w:rFonts w:ascii="Times New Roman" w:eastAsia="Times New Roman" w:hAnsi="Times New Roman" w:cs="Times New Roman"/>
          <w:sz w:val="24"/>
          <w:szCs w:val="24"/>
          <w:lang w:val="en-GB" w:eastAsia="en-IN"/>
        </w:rPr>
      </w:pPr>
      <w:proofErr w:type="spellStart"/>
      <w:r w:rsidRPr="00366328">
        <w:rPr>
          <w:rFonts w:ascii="Times New Roman" w:eastAsia="Times New Roman" w:hAnsi="Times New Roman" w:cs="Times New Roman"/>
          <w:sz w:val="24"/>
          <w:szCs w:val="24"/>
          <w:lang w:val="en-GB" w:eastAsia="en-IN"/>
        </w:rPr>
        <w:t>Savary</w:t>
      </w:r>
      <w:proofErr w:type="spellEnd"/>
      <w:r w:rsidRPr="00366328">
        <w:rPr>
          <w:rFonts w:ascii="Times New Roman" w:eastAsia="Times New Roman" w:hAnsi="Times New Roman" w:cs="Times New Roman"/>
          <w:sz w:val="24"/>
          <w:szCs w:val="24"/>
          <w:lang w:val="en-GB" w:eastAsia="en-IN"/>
        </w:rPr>
        <w:t xml:space="preserve">, S., </w:t>
      </w:r>
      <w:proofErr w:type="spellStart"/>
      <w:r w:rsidRPr="00366328">
        <w:rPr>
          <w:rFonts w:ascii="Times New Roman" w:eastAsia="Times New Roman" w:hAnsi="Times New Roman" w:cs="Times New Roman"/>
          <w:sz w:val="24"/>
          <w:szCs w:val="24"/>
          <w:lang w:val="en-GB" w:eastAsia="en-IN"/>
        </w:rPr>
        <w:t>Willocquet</w:t>
      </w:r>
      <w:proofErr w:type="spellEnd"/>
      <w:r w:rsidRPr="00366328">
        <w:rPr>
          <w:rFonts w:ascii="Times New Roman" w:eastAsia="Times New Roman" w:hAnsi="Times New Roman" w:cs="Times New Roman"/>
          <w:sz w:val="24"/>
          <w:szCs w:val="24"/>
          <w:lang w:val="en-GB" w:eastAsia="en-IN"/>
        </w:rPr>
        <w:t xml:space="preserve">, L., </w:t>
      </w:r>
      <w:proofErr w:type="spellStart"/>
      <w:r w:rsidRPr="00366328">
        <w:rPr>
          <w:rFonts w:ascii="Times New Roman" w:eastAsia="Times New Roman" w:hAnsi="Times New Roman" w:cs="Times New Roman"/>
          <w:sz w:val="24"/>
          <w:szCs w:val="24"/>
          <w:lang w:val="en-GB" w:eastAsia="en-IN"/>
        </w:rPr>
        <w:t>Pethybridge</w:t>
      </w:r>
      <w:proofErr w:type="spellEnd"/>
      <w:r w:rsidRPr="00366328">
        <w:rPr>
          <w:rFonts w:ascii="Times New Roman" w:eastAsia="Times New Roman" w:hAnsi="Times New Roman" w:cs="Times New Roman"/>
          <w:sz w:val="24"/>
          <w:szCs w:val="24"/>
          <w:lang w:val="en-GB" w:eastAsia="en-IN"/>
        </w:rPr>
        <w:t xml:space="preserve">, S. J., Esker, P., McRoberts, N. and Nelson, A. (2019). The global burden of pathogens and pests on major food crops. </w:t>
      </w:r>
      <w:r w:rsidRPr="00366328">
        <w:rPr>
          <w:rFonts w:ascii="Times New Roman" w:eastAsia="Times New Roman" w:hAnsi="Times New Roman" w:cs="Times New Roman"/>
          <w:i/>
          <w:iCs/>
          <w:sz w:val="24"/>
          <w:szCs w:val="24"/>
          <w:lang w:val="en-GB" w:eastAsia="en-IN"/>
        </w:rPr>
        <w:t>Nature Ecology &amp; Evolution</w:t>
      </w:r>
      <w:r w:rsidRPr="00366328">
        <w:rPr>
          <w:rFonts w:ascii="Times New Roman" w:eastAsia="Times New Roman" w:hAnsi="Times New Roman" w:cs="Times New Roman"/>
          <w:sz w:val="24"/>
          <w:szCs w:val="24"/>
          <w:lang w:val="en-GB" w:eastAsia="en-IN"/>
        </w:rPr>
        <w:t>, 3(3), 430–439. https://doi.org/10.1038/s41559-018-0793-y</w:t>
      </w:r>
    </w:p>
    <w:p w14:paraId="0AC6BC57" w14:textId="77777777" w:rsidR="002E58A4" w:rsidRPr="00366328" w:rsidRDefault="002E58A4" w:rsidP="002E58A4">
      <w:pPr>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lastRenderedPageBreak/>
        <w:t xml:space="preserve">Sharma, S. K., Sharma, D. P. and Gaur, K. (2024). Machine learning techniques for crop yield forecasting in semi-arid (3A) zone, Rajasthan (India). </w:t>
      </w:r>
      <w:r w:rsidRPr="00366328">
        <w:rPr>
          <w:rFonts w:ascii="Times New Roman" w:eastAsia="Times New Roman" w:hAnsi="Times New Roman" w:cs="Times New Roman"/>
          <w:i/>
          <w:iCs/>
          <w:sz w:val="24"/>
          <w:szCs w:val="24"/>
          <w:lang w:val="en-GB" w:eastAsia="en-IN"/>
        </w:rPr>
        <w:t>Current Agriculture Research Journal</w:t>
      </w:r>
      <w:r w:rsidRPr="00366328">
        <w:rPr>
          <w:rFonts w:ascii="Times New Roman" w:eastAsia="Times New Roman" w:hAnsi="Times New Roman" w:cs="Times New Roman"/>
          <w:sz w:val="24"/>
          <w:szCs w:val="24"/>
          <w:lang w:val="en-GB" w:eastAsia="en-IN"/>
        </w:rPr>
        <w:t>, 11(3), 895–914.</w:t>
      </w:r>
    </w:p>
    <w:p w14:paraId="6AF6E337" w14:textId="234BEDD1" w:rsidR="00771AFA" w:rsidRDefault="00771AFA">
      <w:pPr>
        <w:rPr>
          <w:rFonts w:ascii="Times New Roman" w:eastAsia="Times New Roman" w:hAnsi="Times New Roman" w:cs="Times New Roman"/>
          <w:sz w:val="24"/>
          <w:szCs w:val="24"/>
          <w:lang w:eastAsia="en-IN"/>
        </w:rPr>
      </w:pPr>
    </w:p>
    <w:sectPr w:rsidR="00771AFA" w:rsidSect="00A1532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8835E" w14:textId="77777777" w:rsidR="00F86991" w:rsidRDefault="00F86991" w:rsidP="00F20C55">
      <w:pPr>
        <w:spacing w:after="0" w:line="240" w:lineRule="auto"/>
      </w:pPr>
      <w:r>
        <w:separator/>
      </w:r>
    </w:p>
  </w:endnote>
  <w:endnote w:type="continuationSeparator" w:id="0">
    <w:p w14:paraId="4BE48779" w14:textId="77777777" w:rsidR="00F86991" w:rsidRDefault="00F86991" w:rsidP="00F2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B546" w14:textId="77777777" w:rsidR="00F20C55" w:rsidRDefault="00F20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0D39" w14:textId="77777777" w:rsidR="00F20C55" w:rsidRDefault="00F20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69AF6" w14:textId="77777777" w:rsidR="00F20C55" w:rsidRDefault="00F2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6ACC8" w14:textId="77777777" w:rsidR="00F86991" w:rsidRDefault="00F86991" w:rsidP="00F20C55">
      <w:pPr>
        <w:spacing w:after="0" w:line="240" w:lineRule="auto"/>
      </w:pPr>
      <w:r>
        <w:separator/>
      </w:r>
    </w:p>
  </w:footnote>
  <w:footnote w:type="continuationSeparator" w:id="0">
    <w:p w14:paraId="2357955F" w14:textId="77777777" w:rsidR="00F86991" w:rsidRDefault="00F86991" w:rsidP="00F20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D9FF" w14:textId="507E7BA1" w:rsidR="00F20C55" w:rsidRDefault="000737ED">
    <w:pPr>
      <w:pStyle w:val="Header"/>
    </w:pPr>
    <w:r>
      <w:rPr>
        <w:noProof/>
      </w:rPr>
      <w:pict w14:anchorId="57180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091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64096" w14:textId="1E848A56" w:rsidR="00F20C55" w:rsidRDefault="000737ED">
    <w:pPr>
      <w:pStyle w:val="Header"/>
    </w:pPr>
    <w:r>
      <w:rPr>
        <w:noProof/>
      </w:rPr>
      <w:pict w14:anchorId="705C4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091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D746" w14:textId="487E9512" w:rsidR="00F20C55" w:rsidRDefault="000737ED">
    <w:pPr>
      <w:pStyle w:val="Header"/>
    </w:pPr>
    <w:r>
      <w:rPr>
        <w:noProof/>
      </w:rPr>
      <w:pict w14:anchorId="0F0B8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091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D2B91"/>
    <w:multiLevelType w:val="multilevel"/>
    <w:tmpl w:val="0B3C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473D9"/>
    <w:multiLevelType w:val="hybridMultilevel"/>
    <w:tmpl w:val="82FA5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E92B17"/>
    <w:multiLevelType w:val="multilevel"/>
    <w:tmpl w:val="813E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050FFB"/>
    <w:multiLevelType w:val="multilevel"/>
    <w:tmpl w:val="98660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MwMzI0NzQwtrQwtjBR0lEKTi0uzszPAykwrwUAPUPNmywAAAA="/>
  </w:docVars>
  <w:rsids>
    <w:rsidRoot w:val="00346DBD"/>
    <w:rsid w:val="00011724"/>
    <w:rsid w:val="00011DD2"/>
    <w:rsid w:val="00023CD2"/>
    <w:rsid w:val="00027C9E"/>
    <w:rsid w:val="0004722F"/>
    <w:rsid w:val="000737ED"/>
    <w:rsid w:val="000C3ECC"/>
    <w:rsid w:val="000C5DBA"/>
    <w:rsid w:val="000F6206"/>
    <w:rsid w:val="00115A6D"/>
    <w:rsid w:val="00116468"/>
    <w:rsid w:val="001203A6"/>
    <w:rsid w:val="0014460A"/>
    <w:rsid w:val="001536D2"/>
    <w:rsid w:val="00164647"/>
    <w:rsid w:val="001A4D57"/>
    <w:rsid w:val="001B211E"/>
    <w:rsid w:val="001E03B7"/>
    <w:rsid w:val="00234290"/>
    <w:rsid w:val="00240E1E"/>
    <w:rsid w:val="002A35A5"/>
    <w:rsid w:val="002E58A4"/>
    <w:rsid w:val="002F0494"/>
    <w:rsid w:val="00306333"/>
    <w:rsid w:val="00316906"/>
    <w:rsid w:val="0032612C"/>
    <w:rsid w:val="00346DBD"/>
    <w:rsid w:val="00361E12"/>
    <w:rsid w:val="00366328"/>
    <w:rsid w:val="00370731"/>
    <w:rsid w:val="0038744F"/>
    <w:rsid w:val="00393215"/>
    <w:rsid w:val="003A55FA"/>
    <w:rsid w:val="003D7BA3"/>
    <w:rsid w:val="003E53E3"/>
    <w:rsid w:val="004109F1"/>
    <w:rsid w:val="0043705D"/>
    <w:rsid w:val="00490531"/>
    <w:rsid w:val="004C0419"/>
    <w:rsid w:val="004C2AFD"/>
    <w:rsid w:val="0054549B"/>
    <w:rsid w:val="00591AD3"/>
    <w:rsid w:val="005B0456"/>
    <w:rsid w:val="005B30A7"/>
    <w:rsid w:val="00603DCA"/>
    <w:rsid w:val="006147DA"/>
    <w:rsid w:val="00615E2A"/>
    <w:rsid w:val="00616AFF"/>
    <w:rsid w:val="006530BA"/>
    <w:rsid w:val="00672711"/>
    <w:rsid w:val="00673742"/>
    <w:rsid w:val="006D1F95"/>
    <w:rsid w:val="006F5D20"/>
    <w:rsid w:val="00715A9F"/>
    <w:rsid w:val="00732BC8"/>
    <w:rsid w:val="007440BD"/>
    <w:rsid w:val="0074602A"/>
    <w:rsid w:val="00753D9B"/>
    <w:rsid w:val="00771812"/>
    <w:rsid w:val="00771AFA"/>
    <w:rsid w:val="00772DC1"/>
    <w:rsid w:val="00776CE5"/>
    <w:rsid w:val="0079337A"/>
    <w:rsid w:val="007B58A8"/>
    <w:rsid w:val="007E37ED"/>
    <w:rsid w:val="007F6723"/>
    <w:rsid w:val="00811D0E"/>
    <w:rsid w:val="0084285A"/>
    <w:rsid w:val="00861632"/>
    <w:rsid w:val="00864C38"/>
    <w:rsid w:val="008926C2"/>
    <w:rsid w:val="008C33B1"/>
    <w:rsid w:val="008D05ED"/>
    <w:rsid w:val="008E0DD4"/>
    <w:rsid w:val="009114EA"/>
    <w:rsid w:val="00994705"/>
    <w:rsid w:val="009D47FA"/>
    <w:rsid w:val="009D6047"/>
    <w:rsid w:val="009E27DF"/>
    <w:rsid w:val="00A01040"/>
    <w:rsid w:val="00A15329"/>
    <w:rsid w:val="00A162F2"/>
    <w:rsid w:val="00A30882"/>
    <w:rsid w:val="00A43F41"/>
    <w:rsid w:val="00A536CC"/>
    <w:rsid w:val="00A73C03"/>
    <w:rsid w:val="00AB24AA"/>
    <w:rsid w:val="00AB724A"/>
    <w:rsid w:val="00AC789D"/>
    <w:rsid w:val="00B04428"/>
    <w:rsid w:val="00B11A28"/>
    <w:rsid w:val="00B37173"/>
    <w:rsid w:val="00B51C19"/>
    <w:rsid w:val="00B56DFC"/>
    <w:rsid w:val="00B605AC"/>
    <w:rsid w:val="00B625AA"/>
    <w:rsid w:val="00BC03E4"/>
    <w:rsid w:val="00BC1E91"/>
    <w:rsid w:val="00C84F26"/>
    <w:rsid w:val="00C86921"/>
    <w:rsid w:val="00C944E0"/>
    <w:rsid w:val="00CC4329"/>
    <w:rsid w:val="00CC69B7"/>
    <w:rsid w:val="00CE6B67"/>
    <w:rsid w:val="00CF5344"/>
    <w:rsid w:val="00D21A72"/>
    <w:rsid w:val="00D35ACA"/>
    <w:rsid w:val="00D479AE"/>
    <w:rsid w:val="00D47C50"/>
    <w:rsid w:val="00D71BE7"/>
    <w:rsid w:val="00DB23E0"/>
    <w:rsid w:val="00DB75B5"/>
    <w:rsid w:val="00DD5610"/>
    <w:rsid w:val="00DF406C"/>
    <w:rsid w:val="00E00403"/>
    <w:rsid w:val="00E078A6"/>
    <w:rsid w:val="00E109F0"/>
    <w:rsid w:val="00E225C0"/>
    <w:rsid w:val="00E3574F"/>
    <w:rsid w:val="00E36AA9"/>
    <w:rsid w:val="00E414EF"/>
    <w:rsid w:val="00E425D4"/>
    <w:rsid w:val="00E67962"/>
    <w:rsid w:val="00E803DE"/>
    <w:rsid w:val="00E8252C"/>
    <w:rsid w:val="00E95E7D"/>
    <w:rsid w:val="00EA5434"/>
    <w:rsid w:val="00EB47CF"/>
    <w:rsid w:val="00EC0B8E"/>
    <w:rsid w:val="00F20C55"/>
    <w:rsid w:val="00F52FC1"/>
    <w:rsid w:val="00F547B9"/>
    <w:rsid w:val="00F86991"/>
    <w:rsid w:val="00F95CB5"/>
    <w:rsid w:val="00FA1151"/>
    <w:rsid w:val="00FD718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322FB"/>
  <w15:chartTrackingRefBased/>
  <w15:docId w15:val="{C92A9D19-6A47-495D-84FC-E7276AC7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ml-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5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2AF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4C2A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5AC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4C2AF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2AF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414EF"/>
    <w:rPr>
      <w:b/>
      <w:bCs/>
    </w:rPr>
  </w:style>
  <w:style w:type="character" w:styleId="Emphasis">
    <w:name w:val="Emphasis"/>
    <w:basedOn w:val="DefaultParagraphFont"/>
    <w:uiPriority w:val="20"/>
    <w:qFormat/>
    <w:rsid w:val="00E414EF"/>
    <w:rPr>
      <w:i/>
      <w:iCs/>
    </w:rPr>
  </w:style>
  <w:style w:type="character" w:styleId="Hyperlink">
    <w:name w:val="Hyperlink"/>
    <w:basedOn w:val="DefaultParagraphFont"/>
    <w:uiPriority w:val="99"/>
    <w:unhideWhenUsed/>
    <w:rsid w:val="00E414EF"/>
    <w:rPr>
      <w:color w:val="0000FF"/>
      <w:u w:val="single"/>
    </w:rPr>
  </w:style>
  <w:style w:type="character" w:customStyle="1" w:styleId="Heading1Char">
    <w:name w:val="Heading 1 Char"/>
    <w:basedOn w:val="DefaultParagraphFont"/>
    <w:link w:val="Heading1"/>
    <w:uiPriority w:val="9"/>
    <w:rsid w:val="00E425D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20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C55"/>
  </w:style>
  <w:style w:type="paragraph" w:styleId="Footer">
    <w:name w:val="footer"/>
    <w:basedOn w:val="Normal"/>
    <w:link w:val="FooterChar"/>
    <w:uiPriority w:val="99"/>
    <w:unhideWhenUsed/>
    <w:rsid w:val="00F20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C55"/>
  </w:style>
  <w:style w:type="character" w:customStyle="1" w:styleId="UnresolvedMention1">
    <w:name w:val="Unresolved Mention1"/>
    <w:basedOn w:val="DefaultParagraphFont"/>
    <w:uiPriority w:val="99"/>
    <w:semiHidden/>
    <w:unhideWhenUsed/>
    <w:rsid w:val="00D21A72"/>
    <w:rPr>
      <w:color w:val="605E5C"/>
      <w:shd w:val="clear" w:color="auto" w:fill="E1DFDD"/>
    </w:rPr>
  </w:style>
  <w:style w:type="character" w:styleId="FollowedHyperlink">
    <w:name w:val="FollowedHyperlink"/>
    <w:basedOn w:val="DefaultParagraphFont"/>
    <w:uiPriority w:val="99"/>
    <w:semiHidden/>
    <w:unhideWhenUsed/>
    <w:rsid w:val="00D21A72"/>
    <w:rPr>
      <w:color w:val="954F72" w:themeColor="followedHyperlink"/>
      <w:u w:val="single"/>
    </w:rPr>
  </w:style>
  <w:style w:type="character" w:styleId="CommentReference">
    <w:name w:val="annotation reference"/>
    <w:basedOn w:val="DefaultParagraphFont"/>
    <w:uiPriority w:val="99"/>
    <w:semiHidden/>
    <w:unhideWhenUsed/>
    <w:rsid w:val="00EA5434"/>
    <w:rPr>
      <w:sz w:val="16"/>
      <w:szCs w:val="16"/>
    </w:rPr>
  </w:style>
  <w:style w:type="paragraph" w:styleId="CommentText">
    <w:name w:val="annotation text"/>
    <w:basedOn w:val="Normal"/>
    <w:link w:val="CommentTextChar"/>
    <w:uiPriority w:val="99"/>
    <w:semiHidden/>
    <w:unhideWhenUsed/>
    <w:rsid w:val="00EA5434"/>
    <w:pPr>
      <w:spacing w:line="240" w:lineRule="auto"/>
    </w:pPr>
    <w:rPr>
      <w:sz w:val="20"/>
      <w:szCs w:val="20"/>
    </w:rPr>
  </w:style>
  <w:style w:type="character" w:customStyle="1" w:styleId="CommentTextChar">
    <w:name w:val="Comment Text Char"/>
    <w:basedOn w:val="DefaultParagraphFont"/>
    <w:link w:val="CommentText"/>
    <w:uiPriority w:val="99"/>
    <w:semiHidden/>
    <w:rsid w:val="00EA5434"/>
    <w:rPr>
      <w:sz w:val="20"/>
      <w:szCs w:val="20"/>
    </w:rPr>
  </w:style>
  <w:style w:type="paragraph" w:styleId="CommentSubject">
    <w:name w:val="annotation subject"/>
    <w:basedOn w:val="CommentText"/>
    <w:next w:val="CommentText"/>
    <w:link w:val="CommentSubjectChar"/>
    <w:uiPriority w:val="99"/>
    <w:semiHidden/>
    <w:unhideWhenUsed/>
    <w:rsid w:val="00EA5434"/>
    <w:rPr>
      <w:b/>
      <w:bCs/>
    </w:rPr>
  </w:style>
  <w:style w:type="character" w:customStyle="1" w:styleId="CommentSubjectChar">
    <w:name w:val="Comment Subject Char"/>
    <w:basedOn w:val="CommentTextChar"/>
    <w:link w:val="CommentSubject"/>
    <w:uiPriority w:val="99"/>
    <w:semiHidden/>
    <w:rsid w:val="00EA5434"/>
    <w:rPr>
      <w:b/>
      <w:bCs/>
      <w:sz w:val="20"/>
      <w:szCs w:val="20"/>
    </w:rPr>
  </w:style>
  <w:style w:type="paragraph" w:styleId="BalloonText">
    <w:name w:val="Balloon Text"/>
    <w:basedOn w:val="Normal"/>
    <w:link w:val="BalloonTextChar"/>
    <w:uiPriority w:val="99"/>
    <w:semiHidden/>
    <w:unhideWhenUsed/>
    <w:rsid w:val="00EA5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434"/>
    <w:rPr>
      <w:rFonts w:ascii="Segoe UI" w:hAnsi="Segoe UI" w:cs="Segoe UI"/>
      <w:sz w:val="18"/>
      <w:szCs w:val="18"/>
    </w:rPr>
  </w:style>
  <w:style w:type="table" w:styleId="TableGrid">
    <w:name w:val="Table Grid"/>
    <w:basedOn w:val="TableNormal"/>
    <w:uiPriority w:val="39"/>
    <w:rsid w:val="00234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15329"/>
    <w:pPr>
      <w:spacing w:after="0" w:line="240" w:lineRule="auto"/>
    </w:pPr>
    <w:rPr>
      <w:rFonts w:eastAsiaTheme="minorEastAsia"/>
      <w:lang w:val="en-US" w:bidi="ar-SA"/>
    </w:rPr>
  </w:style>
  <w:style w:type="character" w:customStyle="1" w:styleId="NoSpacingChar">
    <w:name w:val="No Spacing Char"/>
    <w:basedOn w:val="DefaultParagraphFont"/>
    <w:link w:val="NoSpacing"/>
    <w:uiPriority w:val="1"/>
    <w:rsid w:val="00A15329"/>
    <w:rPr>
      <w:rFonts w:eastAsiaTheme="minorEastAsia"/>
      <w:lang w:val="en-US" w:bidi="ar-SA"/>
    </w:rPr>
  </w:style>
  <w:style w:type="character" w:styleId="UnresolvedMention">
    <w:name w:val="Unresolved Mention"/>
    <w:basedOn w:val="DefaultParagraphFont"/>
    <w:uiPriority w:val="99"/>
    <w:semiHidden/>
    <w:unhideWhenUsed/>
    <w:rsid w:val="002E58A4"/>
    <w:rPr>
      <w:color w:val="605E5C"/>
      <w:shd w:val="clear" w:color="auto" w:fill="E1DFDD"/>
    </w:rPr>
  </w:style>
  <w:style w:type="paragraph" w:styleId="ListParagraph">
    <w:name w:val="List Paragraph"/>
    <w:basedOn w:val="Normal"/>
    <w:uiPriority w:val="34"/>
    <w:qFormat/>
    <w:rsid w:val="00366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777">
      <w:bodyDiv w:val="1"/>
      <w:marLeft w:val="0"/>
      <w:marRight w:val="0"/>
      <w:marTop w:val="0"/>
      <w:marBottom w:val="0"/>
      <w:divBdr>
        <w:top w:val="none" w:sz="0" w:space="0" w:color="auto"/>
        <w:left w:val="none" w:sz="0" w:space="0" w:color="auto"/>
        <w:bottom w:val="none" w:sz="0" w:space="0" w:color="auto"/>
        <w:right w:val="none" w:sz="0" w:space="0" w:color="auto"/>
      </w:divBdr>
    </w:div>
    <w:div w:id="344405791">
      <w:bodyDiv w:val="1"/>
      <w:marLeft w:val="0"/>
      <w:marRight w:val="0"/>
      <w:marTop w:val="0"/>
      <w:marBottom w:val="0"/>
      <w:divBdr>
        <w:top w:val="none" w:sz="0" w:space="0" w:color="auto"/>
        <w:left w:val="none" w:sz="0" w:space="0" w:color="auto"/>
        <w:bottom w:val="none" w:sz="0" w:space="0" w:color="auto"/>
        <w:right w:val="none" w:sz="0" w:space="0" w:color="auto"/>
      </w:divBdr>
    </w:div>
    <w:div w:id="356199346">
      <w:bodyDiv w:val="1"/>
      <w:marLeft w:val="0"/>
      <w:marRight w:val="0"/>
      <w:marTop w:val="0"/>
      <w:marBottom w:val="0"/>
      <w:divBdr>
        <w:top w:val="none" w:sz="0" w:space="0" w:color="auto"/>
        <w:left w:val="none" w:sz="0" w:space="0" w:color="auto"/>
        <w:bottom w:val="none" w:sz="0" w:space="0" w:color="auto"/>
        <w:right w:val="none" w:sz="0" w:space="0" w:color="auto"/>
      </w:divBdr>
      <w:divsChild>
        <w:div w:id="727610917">
          <w:marLeft w:val="0"/>
          <w:marRight w:val="0"/>
          <w:marTop w:val="0"/>
          <w:marBottom w:val="0"/>
          <w:divBdr>
            <w:top w:val="none" w:sz="0" w:space="0" w:color="auto"/>
            <w:left w:val="none" w:sz="0" w:space="0" w:color="auto"/>
            <w:bottom w:val="none" w:sz="0" w:space="0" w:color="auto"/>
            <w:right w:val="none" w:sz="0" w:space="0" w:color="auto"/>
          </w:divBdr>
          <w:divsChild>
            <w:div w:id="15375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5280">
      <w:bodyDiv w:val="1"/>
      <w:marLeft w:val="0"/>
      <w:marRight w:val="0"/>
      <w:marTop w:val="0"/>
      <w:marBottom w:val="0"/>
      <w:divBdr>
        <w:top w:val="none" w:sz="0" w:space="0" w:color="auto"/>
        <w:left w:val="none" w:sz="0" w:space="0" w:color="auto"/>
        <w:bottom w:val="none" w:sz="0" w:space="0" w:color="auto"/>
        <w:right w:val="none" w:sz="0" w:space="0" w:color="auto"/>
      </w:divBdr>
      <w:divsChild>
        <w:div w:id="444890411">
          <w:marLeft w:val="0"/>
          <w:marRight w:val="0"/>
          <w:marTop w:val="0"/>
          <w:marBottom w:val="0"/>
          <w:divBdr>
            <w:top w:val="none" w:sz="0" w:space="0" w:color="auto"/>
            <w:left w:val="none" w:sz="0" w:space="0" w:color="auto"/>
            <w:bottom w:val="none" w:sz="0" w:space="0" w:color="auto"/>
            <w:right w:val="none" w:sz="0" w:space="0" w:color="auto"/>
          </w:divBdr>
          <w:divsChild>
            <w:div w:id="17097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3147">
      <w:bodyDiv w:val="1"/>
      <w:marLeft w:val="0"/>
      <w:marRight w:val="0"/>
      <w:marTop w:val="0"/>
      <w:marBottom w:val="0"/>
      <w:divBdr>
        <w:top w:val="none" w:sz="0" w:space="0" w:color="auto"/>
        <w:left w:val="none" w:sz="0" w:space="0" w:color="auto"/>
        <w:bottom w:val="none" w:sz="0" w:space="0" w:color="auto"/>
        <w:right w:val="none" w:sz="0" w:space="0" w:color="auto"/>
      </w:divBdr>
    </w:div>
    <w:div w:id="535700657">
      <w:bodyDiv w:val="1"/>
      <w:marLeft w:val="0"/>
      <w:marRight w:val="0"/>
      <w:marTop w:val="0"/>
      <w:marBottom w:val="0"/>
      <w:divBdr>
        <w:top w:val="none" w:sz="0" w:space="0" w:color="auto"/>
        <w:left w:val="none" w:sz="0" w:space="0" w:color="auto"/>
        <w:bottom w:val="none" w:sz="0" w:space="0" w:color="auto"/>
        <w:right w:val="none" w:sz="0" w:space="0" w:color="auto"/>
      </w:divBdr>
    </w:div>
    <w:div w:id="663751436">
      <w:bodyDiv w:val="1"/>
      <w:marLeft w:val="0"/>
      <w:marRight w:val="0"/>
      <w:marTop w:val="0"/>
      <w:marBottom w:val="0"/>
      <w:divBdr>
        <w:top w:val="none" w:sz="0" w:space="0" w:color="auto"/>
        <w:left w:val="none" w:sz="0" w:space="0" w:color="auto"/>
        <w:bottom w:val="none" w:sz="0" w:space="0" w:color="auto"/>
        <w:right w:val="none" w:sz="0" w:space="0" w:color="auto"/>
      </w:divBdr>
      <w:divsChild>
        <w:div w:id="1030257537">
          <w:marLeft w:val="0"/>
          <w:marRight w:val="0"/>
          <w:marTop w:val="0"/>
          <w:marBottom w:val="0"/>
          <w:divBdr>
            <w:top w:val="none" w:sz="0" w:space="0" w:color="auto"/>
            <w:left w:val="none" w:sz="0" w:space="0" w:color="auto"/>
            <w:bottom w:val="none" w:sz="0" w:space="0" w:color="auto"/>
            <w:right w:val="none" w:sz="0" w:space="0" w:color="auto"/>
          </w:divBdr>
          <w:divsChild>
            <w:div w:id="7747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9298">
      <w:bodyDiv w:val="1"/>
      <w:marLeft w:val="0"/>
      <w:marRight w:val="0"/>
      <w:marTop w:val="0"/>
      <w:marBottom w:val="0"/>
      <w:divBdr>
        <w:top w:val="none" w:sz="0" w:space="0" w:color="auto"/>
        <w:left w:val="none" w:sz="0" w:space="0" w:color="auto"/>
        <w:bottom w:val="none" w:sz="0" w:space="0" w:color="auto"/>
        <w:right w:val="none" w:sz="0" w:space="0" w:color="auto"/>
      </w:divBdr>
    </w:div>
    <w:div w:id="713044396">
      <w:bodyDiv w:val="1"/>
      <w:marLeft w:val="0"/>
      <w:marRight w:val="0"/>
      <w:marTop w:val="0"/>
      <w:marBottom w:val="0"/>
      <w:divBdr>
        <w:top w:val="none" w:sz="0" w:space="0" w:color="auto"/>
        <w:left w:val="none" w:sz="0" w:space="0" w:color="auto"/>
        <w:bottom w:val="none" w:sz="0" w:space="0" w:color="auto"/>
        <w:right w:val="none" w:sz="0" w:space="0" w:color="auto"/>
      </w:divBdr>
    </w:div>
    <w:div w:id="800004549">
      <w:bodyDiv w:val="1"/>
      <w:marLeft w:val="0"/>
      <w:marRight w:val="0"/>
      <w:marTop w:val="0"/>
      <w:marBottom w:val="0"/>
      <w:divBdr>
        <w:top w:val="none" w:sz="0" w:space="0" w:color="auto"/>
        <w:left w:val="none" w:sz="0" w:space="0" w:color="auto"/>
        <w:bottom w:val="none" w:sz="0" w:space="0" w:color="auto"/>
        <w:right w:val="none" w:sz="0" w:space="0" w:color="auto"/>
      </w:divBdr>
    </w:div>
    <w:div w:id="855650711">
      <w:bodyDiv w:val="1"/>
      <w:marLeft w:val="0"/>
      <w:marRight w:val="0"/>
      <w:marTop w:val="0"/>
      <w:marBottom w:val="0"/>
      <w:divBdr>
        <w:top w:val="none" w:sz="0" w:space="0" w:color="auto"/>
        <w:left w:val="none" w:sz="0" w:space="0" w:color="auto"/>
        <w:bottom w:val="none" w:sz="0" w:space="0" w:color="auto"/>
        <w:right w:val="none" w:sz="0" w:space="0" w:color="auto"/>
      </w:divBdr>
    </w:div>
    <w:div w:id="859702051">
      <w:bodyDiv w:val="1"/>
      <w:marLeft w:val="0"/>
      <w:marRight w:val="0"/>
      <w:marTop w:val="0"/>
      <w:marBottom w:val="0"/>
      <w:divBdr>
        <w:top w:val="none" w:sz="0" w:space="0" w:color="auto"/>
        <w:left w:val="none" w:sz="0" w:space="0" w:color="auto"/>
        <w:bottom w:val="none" w:sz="0" w:space="0" w:color="auto"/>
        <w:right w:val="none" w:sz="0" w:space="0" w:color="auto"/>
      </w:divBdr>
    </w:div>
    <w:div w:id="884293808">
      <w:bodyDiv w:val="1"/>
      <w:marLeft w:val="0"/>
      <w:marRight w:val="0"/>
      <w:marTop w:val="0"/>
      <w:marBottom w:val="0"/>
      <w:divBdr>
        <w:top w:val="none" w:sz="0" w:space="0" w:color="auto"/>
        <w:left w:val="none" w:sz="0" w:space="0" w:color="auto"/>
        <w:bottom w:val="none" w:sz="0" w:space="0" w:color="auto"/>
        <w:right w:val="none" w:sz="0" w:space="0" w:color="auto"/>
      </w:divBdr>
    </w:div>
    <w:div w:id="1051877977">
      <w:bodyDiv w:val="1"/>
      <w:marLeft w:val="0"/>
      <w:marRight w:val="0"/>
      <w:marTop w:val="0"/>
      <w:marBottom w:val="0"/>
      <w:divBdr>
        <w:top w:val="none" w:sz="0" w:space="0" w:color="auto"/>
        <w:left w:val="none" w:sz="0" w:space="0" w:color="auto"/>
        <w:bottom w:val="none" w:sz="0" w:space="0" w:color="auto"/>
        <w:right w:val="none" w:sz="0" w:space="0" w:color="auto"/>
      </w:divBdr>
      <w:divsChild>
        <w:div w:id="905648762">
          <w:marLeft w:val="0"/>
          <w:marRight w:val="0"/>
          <w:marTop w:val="0"/>
          <w:marBottom w:val="0"/>
          <w:divBdr>
            <w:top w:val="none" w:sz="0" w:space="0" w:color="auto"/>
            <w:left w:val="none" w:sz="0" w:space="0" w:color="auto"/>
            <w:bottom w:val="none" w:sz="0" w:space="0" w:color="auto"/>
            <w:right w:val="none" w:sz="0" w:space="0" w:color="auto"/>
          </w:divBdr>
          <w:divsChild>
            <w:div w:id="7774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9259">
      <w:bodyDiv w:val="1"/>
      <w:marLeft w:val="0"/>
      <w:marRight w:val="0"/>
      <w:marTop w:val="0"/>
      <w:marBottom w:val="0"/>
      <w:divBdr>
        <w:top w:val="none" w:sz="0" w:space="0" w:color="auto"/>
        <w:left w:val="none" w:sz="0" w:space="0" w:color="auto"/>
        <w:bottom w:val="none" w:sz="0" w:space="0" w:color="auto"/>
        <w:right w:val="none" w:sz="0" w:space="0" w:color="auto"/>
      </w:divBdr>
    </w:div>
    <w:div w:id="1173032338">
      <w:bodyDiv w:val="1"/>
      <w:marLeft w:val="0"/>
      <w:marRight w:val="0"/>
      <w:marTop w:val="0"/>
      <w:marBottom w:val="0"/>
      <w:divBdr>
        <w:top w:val="none" w:sz="0" w:space="0" w:color="auto"/>
        <w:left w:val="none" w:sz="0" w:space="0" w:color="auto"/>
        <w:bottom w:val="none" w:sz="0" w:space="0" w:color="auto"/>
        <w:right w:val="none" w:sz="0" w:space="0" w:color="auto"/>
      </w:divBdr>
    </w:div>
    <w:div w:id="1327368433">
      <w:bodyDiv w:val="1"/>
      <w:marLeft w:val="0"/>
      <w:marRight w:val="0"/>
      <w:marTop w:val="0"/>
      <w:marBottom w:val="0"/>
      <w:divBdr>
        <w:top w:val="none" w:sz="0" w:space="0" w:color="auto"/>
        <w:left w:val="none" w:sz="0" w:space="0" w:color="auto"/>
        <w:bottom w:val="none" w:sz="0" w:space="0" w:color="auto"/>
        <w:right w:val="none" w:sz="0" w:space="0" w:color="auto"/>
      </w:divBdr>
    </w:div>
    <w:div w:id="1358117460">
      <w:bodyDiv w:val="1"/>
      <w:marLeft w:val="0"/>
      <w:marRight w:val="0"/>
      <w:marTop w:val="0"/>
      <w:marBottom w:val="0"/>
      <w:divBdr>
        <w:top w:val="none" w:sz="0" w:space="0" w:color="auto"/>
        <w:left w:val="none" w:sz="0" w:space="0" w:color="auto"/>
        <w:bottom w:val="none" w:sz="0" w:space="0" w:color="auto"/>
        <w:right w:val="none" w:sz="0" w:space="0" w:color="auto"/>
      </w:divBdr>
      <w:divsChild>
        <w:div w:id="2118020032">
          <w:marLeft w:val="0"/>
          <w:marRight w:val="0"/>
          <w:marTop w:val="0"/>
          <w:marBottom w:val="0"/>
          <w:divBdr>
            <w:top w:val="none" w:sz="0" w:space="0" w:color="auto"/>
            <w:left w:val="none" w:sz="0" w:space="0" w:color="auto"/>
            <w:bottom w:val="none" w:sz="0" w:space="0" w:color="auto"/>
            <w:right w:val="none" w:sz="0" w:space="0" w:color="auto"/>
          </w:divBdr>
          <w:divsChild>
            <w:div w:id="13925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19654">
      <w:bodyDiv w:val="1"/>
      <w:marLeft w:val="0"/>
      <w:marRight w:val="0"/>
      <w:marTop w:val="0"/>
      <w:marBottom w:val="0"/>
      <w:divBdr>
        <w:top w:val="none" w:sz="0" w:space="0" w:color="auto"/>
        <w:left w:val="none" w:sz="0" w:space="0" w:color="auto"/>
        <w:bottom w:val="none" w:sz="0" w:space="0" w:color="auto"/>
        <w:right w:val="none" w:sz="0" w:space="0" w:color="auto"/>
      </w:divBdr>
    </w:div>
    <w:div w:id="1468627856">
      <w:bodyDiv w:val="1"/>
      <w:marLeft w:val="0"/>
      <w:marRight w:val="0"/>
      <w:marTop w:val="0"/>
      <w:marBottom w:val="0"/>
      <w:divBdr>
        <w:top w:val="none" w:sz="0" w:space="0" w:color="auto"/>
        <w:left w:val="none" w:sz="0" w:space="0" w:color="auto"/>
        <w:bottom w:val="none" w:sz="0" w:space="0" w:color="auto"/>
        <w:right w:val="none" w:sz="0" w:space="0" w:color="auto"/>
      </w:divBdr>
    </w:div>
    <w:div w:id="1518033979">
      <w:bodyDiv w:val="1"/>
      <w:marLeft w:val="0"/>
      <w:marRight w:val="0"/>
      <w:marTop w:val="0"/>
      <w:marBottom w:val="0"/>
      <w:divBdr>
        <w:top w:val="none" w:sz="0" w:space="0" w:color="auto"/>
        <w:left w:val="none" w:sz="0" w:space="0" w:color="auto"/>
        <w:bottom w:val="none" w:sz="0" w:space="0" w:color="auto"/>
        <w:right w:val="none" w:sz="0" w:space="0" w:color="auto"/>
      </w:divBdr>
    </w:div>
    <w:div w:id="1543522484">
      <w:bodyDiv w:val="1"/>
      <w:marLeft w:val="0"/>
      <w:marRight w:val="0"/>
      <w:marTop w:val="0"/>
      <w:marBottom w:val="0"/>
      <w:divBdr>
        <w:top w:val="none" w:sz="0" w:space="0" w:color="auto"/>
        <w:left w:val="none" w:sz="0" w:space="0" w:color="auto"/>
        <w:bottom w:val="none" w:sz="0" w:space="0" w:color="auto"/>
        <w:right w:val="none" w:sz="0" w:space="0" w:color="auto"/>
      </w:divBdr>
    </w:div>
    <w:div w:id="1586307021">
      <w:bodyDiv w:val="1"/>
      <w:marLeft w:val="0"/>
      <w:marRight w:val="0"/>
      <w:marTop w:val="0"/>
      <w:marBottom w:val="0"/>
      <w:divBdr>
        <w:top w:val="none" w:sz="0" w:space="0" w:color="auto"/>
        <w:left w:val="none" w:sz="0" w:space="0" w:color="auto"/>
        <w:bottom w:val="none" w:sz="0" w:space="0" w:color="auto"/>
        <w:right w:val="none" w:sz="0" w:space="0" w:color="auto"/>
      </w:divBdr>
      <w:divsChild>
        <w:div w:id="1946500593">
          <w:marLeft w:val="0"/>
          <w:marRight w:val="0"/>
          <w:marTop w:val="0"/>
          <w:marBottom w:val="0"/>
          <w:divBdr>
            <w:top w:val="none" w:sz="0" w:space="0" w:color="auto"/>
            <w:left w:val="none" w:sz="0" w:space="0" w:color="auto"/>
            <w:bottom w:val="none" w:sz="0" w:space="0" w:color="auto"/>
            <w:right w:val="none" w:sz="0" w:space="0" w:color="auto"/>
          </w:divBdr>
          <w:divsChild>
            <w:div w:id="9895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9093">
      <w:bodyDiv w:val="1"/>
      <w:marLeft w:val="0"/>
      <w:marRight w:val="0"/>
      <w:marTop w:val="0"/>
      <w:marBottom w:val="0"/>
      <w:divBdr>
        <w:top w:val="none" w:sz="0" w:space="0" w:color="auto"/>
        <w:left w:val="none" w:sz="0" w:space="0" w:color="auto"/>
        <w:bottom w:val="none" w:sz="0" w:space="0" w:color="auto"/>
        <w:right w:val="none" w:sz="0" w:space="0" w:color="auto"/>
      </w:divBdr>
    </w:div>
    <w:div w:id="1759280285">
      <w:bodyDiv w:val="1"/>
      <w:marLeft w:val="0"/>
      <w:marRight w:val="0"/>
      <w:marTop w:val="0"/>
      <w:marBottom w:val="0"/>
      <w:divBdr>
        <w:top w:val="none" w:sz="0" w:space="0" w:color="auto"/>
        <w:left w:val="none" w:sz="0" w:space="0" w:color="auto"/>
        <w:bottom w:val="none" w:sz="0" w:space="0" w:color="auto"/>
        <w:right w:val="none" w:sz="0" w:space="0" w:color="auto"/>
      </w:divBdr>
    </w:div>
    <w:div w:id="1763523762">
      <w:bodyDiv w:val="1"/>
      <w:marLeft w:val="0"/>
      <w:marRight w:val="0"/>
      <w:marTop w:val="0"/>
      <w:marBottom w:val="0"/>
      <w:divBdr>
        <w:top w:val="none" w:sz="0" w:space="0" w:color="auto"/>
        <w:left w:val="none" w:sz="0" w:space="0" w:color="auto"/>
        <w:bottom w:val="none" w:sz="0" w:space="0" w:color="auto"/>
        <w:right w:val="none" w:sz="0" w:space="0" w:color="auto"/>
      </w:divBdr>
    </w:div>
    <w:div w:id="1812941994">
      <w:bodyDiv w:val="1"/>
      <w:marLeft w:val="0"/>
      <w:marRight w:val="0"/>
      <w:marTop w:val="0"/>
      <w:marBottom w:val="0"/>
      <w:divBdr>
        <w:top w:val="none" w:sz="0" w:space="0" w:color="auto"/>
        <w:left w:val="none" w:sz="0" w:space="0" w:color="auto"/>
        <w:bottom w:val="none" w:sz="0" w:space="0" w:color="auto"/>
        <w:right w:val="none" w:sz="0" w:space="0" w:color="auto"/>
      </w:divBdr>
    </w:div>
    <w:div w:id="1814980540">
      <w:bodyDiv w:val="1"/>
      <w:marLeft w:val="0"/>
      <w:marRight w:val="0"/>
      <w:marTop w:val="0"/>
      <w:marBottom w:val="0"/>
      <w:divBdr>
        <w:top w:val="none" w:sz="0" w:space="0" w:color="auto"/>
        <w:left w:val="none" w:sz="0" w:space="0" w:color="auto"/>
        <w:bottom w:val="none" w:sz="0" w:space="0" w:color="auto"/>
        <w:right w:val="none" w:sz="0" w:space="0" w:color="auto"/>
      </w:divBdr>
    </w:div>
    <w:div w:id="1990012241">
      <w:bodyDiv w:val="1"/>
      <w:marLeft w:val="0"/>
      <w:marRight w:val="0"/>
      <w:marTop w:val="0"/>
      <w:marBottom w:val="0"/>
      <w:divBdr>
        <w:top w:val="none" w:sz="0" w:space="0" w:color="auto"/>
        <w:left w:val="none" w:sz="0" w:space="0" w:color="auto"/>
        <w:bottom w:val="none" w:sz="0" w:space="0" w:color="auto"/>
        <w:right w:val="none" w:sz="0" w:space="0" w:color="auto"/>
      </w:divBdr>
    </w:div>
    <w:div w:id="21402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ca4985en/ca4985e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o.org/pest-and-pesticide-management/ipm/principles-and-practices/e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odi.org/documents/5186.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lay.google.com/store/apps/details?id=com.femmob&amp;hl=en_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dl.handle.net/10986/323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1413</TotalTime>
  <Pages>11</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Enhancing Agricultural Productivity and Income through ICT-Mediated Extension: A Case Study of the Farm Extension Manager App</vt:lpstr>
    </vt:vector>
  </TitlesOfParts>
  <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Agricultural Productivity and Income through ICT-Mediated Extension: A Case Study of the Farm Extension Manager App</dc:title>
  <dc:subject/>
  <dc:creator>USER</dc:creator>
  <cp:keywords/>
  <dc:description/>
  <cp:lastModifiedBy>SDI 1084</cp:lastModifiedBy>
  <cp:revision>78</cp:revision>
  <dcterms:created xsi:type="dcterms:W3CDTF">2025-07-13T06:36:00Z</dcterms:created>
  <dcterms:modified xsi:type="dcterms:W3CDTF">2025-10-07T13:52:00Z</dcterms:modified>
</cp:coreProperties>
</file>