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F66B8" w14:textId="4A893378" w:rsidR="00AE594F" w:rsidRDefault="00AE594F" w:rsidP="00E622A3">
      <w:pPr>
        <w:spacing w:after="0" w:line="240" w:lineRule="auto"/>
        <w:jc w:val="center"/>
        <w:rPr>
          <w:rFonts w:ascii="Times New Roman" w:hAnsi="Times New Roman" w:cs="Times New Roman"/>
          <w:b/>
          <w:bCs/>
          <w:i/>
          <w:iCs/>
          <w:sz w:val="28"/>
          <w:szCs w:val="28"/>
          <w:u w:val="single"/>
          <w:lang w:val="en-US"/>
        </w:rPr>
      </w:pPr>
      <w:r w:rsidRPr="00AE594F">
        <w:rPr>
          <w:rFonts w:ascii="Times New Roman" w:hAnsi="Times New Roman" w:cs="Times New Roman"/>
          <w:b/>
          <w:bCs/>
          <w:i/>
          <w:iCs/>
          <w:sz w:val="28"/>
          <w:szCs w:val="28"/>
          <w:u w:val="single"/>
          <w:lang w:val="en-US"/>
        </w:rPr>
        <w:t>Original Research Article</w:t>
      </w:r>
    </w:p>
    <w:p w14:paraId="24DBB1AE" w14:textId="77777777" w:rsidR="00AE594F" w:rsidRDefault="00AE594F" w:rsidP="00E622A3">
      <w:pPr>
        <w:spacing w:after="0" w:line="240" w:lineRule="auto"/>
        <w:jc w:val="center"/>
        <w:rPr>
          <w:rFonts w:ascii="Times New Roman" w:hAnsi="Times New Roman" w:cs="Times New Roman"/>
          <w:b/>
          <w:sz w:val="28"/>
          <w:szCs w:val="28"/>
        </w:rPr>
      </w:pPr>
    </w:p>
    <w:p w14:paraId="1C3DE7CF" w14:textId="7FD55BCB" w:rsidR="00FE6BBA" w:rsidRPr="008F2381" w:rsidRDefault="008B2B25" w:rsidP="00E622A3">
      <w:pPr>
        <w:spacing w:after="0" w:line="240" w:lineRule="auto"/>
        <w:jc w:val="center"/>
        <w:rPr>
          <w:rFonts w:ascii="Times New Roman" w:hAnsi="Times New Roman" w:cs="Times New Roman"/>
          <w:b/>
          <w:sz w:val="28"/>
          <w:szCs w:val="28"/>
        </w:rPr>
      </w:pPr>
      <w:r w:rsidRPr="008F2381">
        <w:rPr>
          <w:rFonts w:ascii="Times New Roman" w:hAnsi="Times New Roman" w:cs="Times New Roman"/>
          <w:b/>
          <w:sz w:val="28"/>
          <w:szCs w:val="28"/>
        </w:rPr>
        <w:t xml:space="preserve">Tracer Study on the Employment of </w:t>
      </w:r>
      <w:r w:rsidR="009D0D97">
        <w:rPr>
          <w:rFonts w:ascii="Times New Roman" w:hAnsi="Times New Roman" w:cs="Times New Roman"/>
          <w:b/>
          <w:sz w:val="28"/>
          <w:szCs w:val="28"/>
        </w:rPr>
        <w:t>Fisheries Graduates</w:t>
      </w:r>
      <w:r w:rsidRPr="008F2381">
        <w:rPr>
          <w:rFonts w:ascii="Times New Roman" w:hAnsi="Times New Roman" w:cs="Times New Roman"/>
          <w:b/>
          <w:sz w:val="28"/>
          <w:szCs w:val="28"/>
        </w:rPr>
        <w:t xml:space="preserve"> in Biliran Province State University</w:t>
      </w:r>
    </w:p>
    <w:p w14:paraId="318389C1" w14:textId="77777777" w:rsidR="00CF0183" w:rsidRPr="00FD5076" w:rsidRDefault="00CF0183" w:rsidP="00FD5076">
      <w:pPr>
        <w:spacing w:after="0" w:line="240" w:lineRule="auto"/>
        <w:rPr>
          <w:rFonts w:ascii="Times New Roman" w:hAnsi="Times New Roman" w:cs="Times New Roman"/>
          <w:b/>
          <w:sz w:val="24"/>
          <w:szCs w:val="24"/>
        </w:rPr>
      </w:pPr>
    </w:p>
    <w:p w14:paraId="2DE2D296" w14:textId="77777777" w:rsidR="00022316" w:rsidRPr="00830B65" w:rsidRDefault="00022316" w:rsidP="00830B65">
      <w:pPr>
        <w:spacing w:line="240" w:lineRule="auto"/>
        <w:rPr>
          <w:rFonts w:ascii="Times New Roman" w:hAnsi="Times New Roman" w:cs="Times New Roman"/>
          <w:iCs/>
          <w:sz w:val="24"/>
          <w:szCs w:val="24"/>
        </w:rPr>
      </w:pPr>
      <w:bookmarkStart w:id="0" w:name="_GoBack"/>
      <w:bookmarkEnd w:id="0"/>
    </w:p>
    <w:p w14:paraId="54286CCD" w14:textId="77777777" w:rsidR="00022316" w:rsidRPr="00FD5076" w:rsidRDefault="00022316" w:rsidP="00FD5076">
      <w:pPr>
        <w:pStyle w:val="ListParagraph"/>
        <w:spacing w:after="0" w:line="240" w:lineRule="auto"/>
        <w:ind w:left="142"/>
        <w:jc w:val="both"/>
        <w:rPr>
          <w:rFonts w:ascii="Times New Roman" w:hAnsi="Times New Roman" w:cs="Times New Roman"/>
          <w:iCs/>
          <w:sz w:val="24"/>
          <w:szCs w:val="24"/>
        </w:rPr>
      </w:pPr>
    </w:p>
    <w:p w14:paraId="7B4E65C2" w14:textId="456DDEEA" w:rsidR="009679F9" w:rsidRPr="00FD5076" w:rsidRDefault="005B7EA9" w:rsidP="00FD5076">
      <w:pPr>
        <w:spacing w:after="0" w:line="240" w:lineRule="auto"/>
        <w:jc w:val="center"/>
        <w:rPr>
          <w:rFonts w:ascii="Times New Roman" w:hAnsi="Times New Roman" w:cs="Times New Roman"/>
          <w:b/>
          <w:bCs/>
          <w:iCs/>
          <w:sz w:val="24"/>
          <w:szCs w:val="24"/>
        </w:rPr>
      </w:pPr>
      <w:r w:rsidRPr="00FD5076">
        <w:rPr>
          <w:rFonts w:ascii="Times New Roman" w:hAnsi="Times New Roman" w:cs="Times New Roman"/>
          <w:b/>
          <w:bCs/>
          <w:iCs/>
          <w:sz w:val="24"/>
          <w:szCs w:val="24"/>
        </w:rPr>
        <w:t>ABSTRACT</w:t>
      </w:r>
    </w:p>
    <w:p w14:paraId="602050A6" w14:textId="77777777" w:rsidR="00CF0183" w:rsidRPr="00FD5076" w:rsidRDefault="00CF0183" w:rsidP="00FD5076">
      <w:pPr>
        <w:spacing w:after="0" w:line="240" w:lineRule="auto"/>
        <w:jc w:val="both"/>
        <w:rPr>
          <w:rFonts w:ascii="Times New Roman" w:hAnsi="Times New Roman" w:cs="Times New Roman"/>
          <w:iCs/>
          <w:sz w:val="24"/>
          <w:szCs w:val="24"/>
        </w:rPr>
      </w:pPr>
    </w:p>
    <w:p w14:paraId="2E2DDC08" w14:textId="14E64CFF" w:rsidR="00787677" w:rsidRPr="00FD5076" w:rsidRDefault="000A16E0" w:rsidP="00FD5076">
      <w:pPr>
        <w:pStyle w:val="NoSpacing"/>
        <w:jc w:val="both"/>
        <w:rPr>
          <w:rFonts w:ascii="Times New Roman" w:hAnsi="Times New Roman" w:cs="Times New Roman"/>
          <w:sz w:val="24"/>
          <w:szCs w:val="24"/>
        </w:rPr>
      </w:pPr>
      <w:r w:rsidRPr="00FD5076">
        <w:rPr>
          <w:rFonts w:ascii="Times New Roman" w:hAnsi="Times New Roman" w:cs="Times New Roman"/>
          <w:sz w:val="24"/>
          <w:szCs w:val="24"/>
        </w:rPr>
        <w:t xml:space="preserve">This study evaluated the employability of 32 </w:t>
      </w:r>
      <w:r w:rsidR="000D2F5C">
        <w:rPr>
          <w:rFonts w:ascii="Times New Roman" w:hAnsi="Times New Roman" w:cs="Times New Roman"/>
          <w:sz w:val="24"/>
          <w:szCs w:val="24"/>
        </w:rPr>
        <w:t>f</w:t>
      </w:r>
      <w:r w:rsidRPr="00FD5076">
        <w:rPr>
          <w:rFonts w:ascii="Times New Roman" w:hAnsi="Times New Roman" w:cs="Times New Roman"/>
          <w:sz w:val="24"/>
          <w:szCs w:val="24"/>
        </w:rPr>
        <w:t>isheries (</w:t>
      </w:r>
      <w:r w:rsidR="000D2F5C">
        <w:rPr>
          <w:rFonts w:ascii="Times New Roman" w:hAnsi="Times New Roman" w:cs="Times New Roman"/>
          <w:sz w:val="24"/>
          <w:szCs w:val="24"/>
        </w:rPr>
        <w:t>BSFT/</w:t>
      </w:r>
      <w:r w:rsidRPr="00FD5076">
        <w:rPr>
          <w:rFonts w:ascii="Times New Roman" w:hAnsi="Times New Roman" w:cs="Times New Roman"/>
          <w:sz w:val="24"/>
          <w:szCs w:val="24"/>
        </w:rPr>
        <w:t xml:space="preserve">BSFi) graduates from Biliran Province State University-Biliran Campus </w:t>
      </w:r>
      <w:r w:rsidR="00450884" w:rsidRPr="00FD5076">
        <w:rPr>
          <w:rFonts w:ascii="Times New Roman" w:hAnsi="Times New Roman" w:cs="Times New Roman"/>
          <w:sz w:val="24"/>
          <w:szCs w:val="24"/>
        </w:rPr>
        <w:t xml:space="preserve">(BiPSU) </w:t>
      </w:r>
      <w:r w:rsidRPr="00FD5076">
        <w:rPr>
          <w:rFonts w:ascii="Times New Roman" w:hAnsi="Times New Roman" w:cs="Times New Roman"/>
          <w:sz w:val="24"/>
          <w:szCs w:val="24"/>
        </w:rPr>
        <w:t>(formerly Naval State University) between 2016 and 2020. The study</w:t>
      </w:r>
      <w:r w:rsidR="004323F8" w:rsidRPr="00FD5076">
        <w:rPr>
          <w:rFonts w:ascii="Times New Roman" w:hAnsi="Times New Roman" w:cs="Times New Roman"/>
          <w:sz w:val="24"/>
          <w:szCs w:val="24"/>
        </w:rPr>
        <w:t xml:space="preserve"> aimed</w:t>
      </w:r>
      <w:r w:rsidRPr="00FD5076">
        <w:rPr>
          <w:rFonts w:ascii="Times New Roman" w:hAnsi="Times New Roman" w:cs="Times New Roman"/>
          <w:sz w:val="24"/>
          <w:szCs w:val="24"/>
        </w:rPr>
        <w:t xml:space="preserve"> to describe the respondent</w:t>
      </w:r>
      <w:r w:rsidR="00450884" w:rsidRPr="00FD5076">
        <w:rPr>
          <w:rFonts w:ascii="Times New Roman" w:hAnsi="Times New Roman" w:cs="Times New Roman"/>
          <w:sz w:val="24"/>
          <w:szCs w:val="24"/>
        </w:rPr>
        <w:t>s' socio-demographic characteristics, characterize their employment status, and identify the job-related competencies they had acquired</w:t>
      </w:r>
      <w:r w:rsidRPr="00FD5076">
        <w:rPr>
          <w:rFonts w:ascii="Times New Roman" w:hAnsi="Times New Roman" w:cs="Times New Roman"/>
          <w:sz w:val="24"/>
          <w:szCs w:val="24"/>
        </w:rPr>
        <w:t xml:space="preserve">. </w:t>
      </w:r>
      <w:r w:rsidR="00787677" w:rsidRPr="00FD5076">
        <w:rPr>
          <w:rFonts w:ascii="Times New Roman" w:hAnsi="Times New Roman" w:cs="Times New Roman"/>
          <w:sz w:val="24"/>
          <w:szCs w:val="24"/>
        </w:rPr>
        <w:t>The study sample consisted of 62.5% males and 37.5% females.</w:t>
      </w:r>
      <w:r w:rsidR="00787677" w:rsidRPr="00FD5076">
        <w:rPr>
          <w:sz w:val="24"/>
          <w:szCs w:val="24"/>
        </w:rPr>
        <w:t xml:space="preserve"> </w:t>
      </w:r>
      <w:r w:rsidR="00787677" w:rsidRPr="00FD5076">
        <w:rPr>
          <w:rFonts w:ascii="Times New Roman" w:hAnsi="Times New Roman" w:cs="Times New Roman"/>
          <w:sz w:val="24"/>
          <w:szCs w:val="24"/>
        </w:rPr>
        <w:t xml:space="preserve">Among employed graduates, human relations skills were most prevalent (40%), followed by critical thinking (26.67%), communication (20%), problem-solving (6.67%), and entrepreneurial skills (6.67%). The majority (73.33%) of employed graduates held contractual positions, indicating a lack of job security. The most common employment sectors were sales (26.67%), financial intermediation (20%), wholesale and retail trade (20%), education (13%), public administration (13.33%), and manufacturing (6.67%). A significant proportion of employed graduates (40%) had only 1-6 months of job experience, while another 33.33% had worked for a year or less. Only 26.67% had been employed for two years or more. The study </w:t>
      </w:r>
      <w:r w:rsidR="00450884" w:rsidRPr="00FD5076">
        <w:rPr>
          <w:rFonts w:ascii="Times New Roman" w:hAnsi="Times New Roman" w:cs="Times New Roman"/>
          <w:sz w:val="24"/>
          <w:szCs w:val="24"/>
        </w:rPr>
        <w:t>suggests that enhancing career services and placement support for graduates is essential for improv</w:t>
      </w:r>
      <w:r w:rsidR="00787677" w:rsidRPr="00FD5076">
        <w:rPr>
          <w:rFonts w:ascii="Times New Roman" w:hAnsi="Times New Roman" w:cs="Times New Roman"/>
          <w:sz w:val="24"/>
          <w:szCs w:val="24"/>
        </w:rPr>
        <w:t>ing employment outcomes and job security.</w:t>
      </w:r>
    </w:p>
    <w:p w14:paraId="5E44EFE9" w14:textId="5023D356" w:rsidR="00CA3C8E" w:rsidRPr="00FD5076" w:rsidRDefault="000A16E0" w:rsidP="00FD5076">
      <w:pPr>
        <w:pStyle w:val="NoSpacing"/>
        <w:jc w:val="both"/>
        <w:rPr>
          <w:rFonts w:ascii="Times New Roman" w:hAnsi="Times New Roman" w:cs="Times New Roman"/>
          <w:sz w:val="24"/>
          <w:szCs w:val="24"/>
        </w:rPr>
      </w:pPr>
      <w:r w:rsidRPr="00FD5076">
        <w:rPr>
          <w:rFonts w:ascii="Times New Roman" w:hAnsi="Times New Roman" w:cs="Times New Roman"/>
          <w:b/>
          <w:bCs/>
          <w:sz w:val="24"/>
          <w:szCs w:val="24"/>
        </w:rPr>
        <w:t>Keywords</w:t>
      </w:r>
      <w:r w:rsidR="009679F9" w:rsidRPr="00FD5076">
        <w:rPr>
          <w:rFonts w:ascii="Times New Roman" w:hAnsi="Times New Roman" w:cs="Times New Roman"/>
          <w:sz w:val="24"/>
          <w:szCs w:val="24"/>
        </w:rPr>
        <w:t xml:space="preserve">: </w:t>
      </w:r>
      <w:r w:rsidR="00450884" w:rsidRPr="00FD5076">
        <w:rPr>
          <w:rFonts w:ascii="Times New Roman" w:hAnsi="Times New Roman" w:cs="Times New Roman"/>
          <w:iCs/>
          <w:sz w:val="24"/>
          <w:szCs w:val="24"/>
        </w:rPr>
        <w:t>BiPSU</w:t>
      </w:r>
      <w:r w:rsidR="005B7EA9" w:rsidRPr="00FD5076">
        <w:rPr>
          <w:rFonts w:ascii="Times New Roman" w:hAnsi="Times New Roman" w:cs="Times New Roman"/>
          <w:iCs/>
          <w:sz w:val="24"/>
          <w:szCs w:val="24"/>
        </w:rPr>
        <w:t>,</w:t>
      </w:r>
      <w:r w:rsidR="00450884" w:rsidRPr="00FD5076">
        <w:rPr>
          <w:sz w:val="24"/>
          <w:szCs w:val="24"/>
        </w:rPr>
        <w:t xml:space="preserve"> </w:t>
      </w:r>
      <w:r w:rsidR="00450884" w:rsidRPr="00FD5076">
        <w:rPr>
          <w:rFonts w:ascii="Times New Roman" w:hAnsi="Times New Roman" w:cs="Times New Roman"/>
          <w:iCs/>
          <w:sz w:val="24"/>
          <w:szCs w:val="24"/>
        </w:rPr>
        <w:t>Socio-Demographic</w:t>
      </w:r>
      <w:r w:rsidR="005B7EA9" w:rsidRPr="00FD5076">
        <w:rPr>
          <w:rFonts w:ascii="Times New Roman" w:hAnsi="Times New Roman" w:cs="Times New Roman"/>
          <w:iCs/>
          <w:sz w:val="24"/>
          <w:szCs w:val="24"/>
        </w:rPr>
        <w:t xml:space="preserve">, </w:t>
      </w:r>
      <w:r w:rsidR="00450884" w:rsidRPr="00FD5076">
        <w:rPr>
          <w:rFonts w:ascii="Times New Roman" w:hAnsi="Times New Roman" w:cs="Times New Roman"/>
          <w:iCs/>
          <w:sz w:val="24"/>
          <w:szCs w:val="24"/>
        </w:rPr>
        <w:t>Employment Status, Job-Related Competencies, Career Services, Placement Support</w:t>
      </w:r>
    </w:p>
    <w:p w14:paraId="7189A4EB" w14:textId="77777777" w:rsidR="00CA3C8E" w:rsidRPr="00FD5076" w:rsidRDefault="00CA3C8E" w:rsidP="00FD5076">
      <w:pPr>
        <w:spacing w:after="0" w:line="240" w:lineRule="auto"/>
        <w:jc w:val="both"/>
        <w:rPr>
          <w:rFonts w:ascii="Times New Roman" w:hAnsi="Times New Roman" w:cs="Times New Roman"/>
          <w:iCs/>
          <w:sz w:val="24"/>
          <w:szCs w:val="24"/>
        </w:rPr>
      </w:pPr>
    </w:p>
    <w:p w14:paraId="77BF5002" w14:textId="77777777" w:rsidR="009679F9" w:rsidRPr="00FD5076" w:rsidRDefault="009679F9" w:rsidP="00FD5076">
      <w:pPr>
        <w:spacing w:after="0" w:line="240" w:lineRule="auto"/>
        <w:jc w:val="both"/>
        <w:rPr>
          <w:rFonts w:ascii="Times New Roman" w:hAnsi="Times New Roman" w:cs="Times New Roman"/>
          <w:iCs/>
          <w:sz w:val="24"/>
          <w:szCs w:val="24"/>
        </w:rPr>
      </w:pPr>
    </w:p>
    <w:p w14:paraId="455F4CDF" w14:textId="1B31DAF3" w:rsidR="005B7EA9" w:rsidRPr="00FD5076" w:rsidRDefault="005B7EA9" w:rsidP="00FD5076">
      <w:pPr>
        <w:spacing w:after="0" w:line="240" w:lineRule="auto"/>
        <w:jc w:val="center"/>
        <w:rPr>
          <w:rFonts w:ascii="Times New Roman" w:hAnsi="Times New Roman" w:cs="Times New Roman"/>
          <w:b/>
          <w:bCs/>
          <w:sz w:val="24"/>
          <w:szCs w:val="24"/>
        </w:rPr>
      </w:pPr>
      <w:r w:rsidRPr="00FD5076">
        <w:rPr>
          <w:rFonts w:ascii="Times New Roman" w:hAnsi="Times New Roman" w:cs="Times New Roman"/>
          <w:b/>
          <w:bCs/>
          <w:sz w:val="24"/>
          <w:szCs w:val="24"/>
        </w:rPr>
        <w:t>INTRODUCTION</w:t>
      </w:r>
    </w:p>
    <w:p w14:paraId="0A4845CB" w14:textId="771ABC38" w:rsidR="008B2B25" w:rsidRPr="00FD5076" w:rsidRDefault="008B2B25" w:rsidP="00FD5076">
      <w:pPr>
        <w:spacing w:after="0" w:line="240" w:lineRule="auto"/>
        <w:ind w:firstLine="720"/>
        <w:jc w:val="both"/>
        <w:rPr>
          <w:rFonts w:ascii="Times New Roman" w:hAnsi="Times New Roman" w:cs="Times New Roman"/>
          <w:sz w:val="24"/>
          <w:szCs w:val="24"/>
        </w:rPr>
      </w:pPr>
      <w:bookmarkStart w:id="1" w:name="_Hlk205365560"/>
      <w:r w:rsidRPr="00FD5076">
        <w:rPr>
          <w:rFonts w:ascii="Times New Roman" w:hAnsi="Times New Roman" w:cs="Times New Roman"/>
          <w:sz w:val="24"/>
          <w:szCs w:val="24"/>
        </w:rPr>
        <w:t xml:space="preserve">Employability is more than just finding a job; it's about securing and maintaining fulfilling employment within a dynamic employer-employee relationship (Harvey, 2007; </w:t>
      </w:r>
      <w:proofErr w:type="spellStart"/>
      <w:r w:rsidRPr="00FD5076">
        <w:rPr>
          <w:rFonts w:ascii="Times New Roman" w:hAnsi="Times New Roman" w:cs="Times New Roman"/>
          <w:sz w:val="24"/>
          <w:szCs w:val="24"/>
        </w:rPr>
        <w:t>Garavan</w:t>
      </w:r>
      <w:proofErr w:type="spellEnd"/>
      <w:r w:rsidRPr="00FD5076">
        <w:rPr>
          <w:rFonts w:ascii="Times New Roman" w:hAnsi="Times New Roman" w:cs="Times New Roman"/>
          <w:sz w:val="24"/>
          <w:szCs w:val="24"/>
        </w:rPr>
        <w:t xml:space="preserve">, 1999). It requires the ability and willingness to remain competitive, proactively adapting to changing job roles and work environments (de Grip et al., 2024). This adaptability, especially in the </w:t>
      </w:r>
      <w:r w:rsidR="00450884" w:rsidRPr="00FD5076">
        <w:rPr>
          <w:rFonts w:ascii="Times New Roman" w:hAnsi="Times New Roman" w:cs="Times New Roman"/>
          <w:sz w:val="24"/>
          <w:szCs w:val="24"/>
        </w:rPr>
        <w:t>work context, is vital for recognizing and capitalizing on</w:t>
      </w:r>
      <w:r w:rsidRPr="00FD5076">
        <w:rPr>
          <w:rFonts w:ascii="Times New Roman" w:hAnsi="Times New Roman" w:cs="Times New Roman"/>
          <w:sz w:val="24"/>
          <w:szCs w:val="24"/>
        </w:rPr>
        <w:t xml:space="preserve"> job opportunities (Fugate et al., 2004).</w:t>
      </w:r>
    </w:p>
    <w:p w14:paraId="1207E4A7" w14:textId="215555F5" w:rsidR="00AB167D" w:rsidRPr="00FD5076" w:rsidRDefault="008B2B25" w:rsidP="00FD5076">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The Philippines boasted a 95.6% employment rate in 2023, yet unemployment remained a concern at 4.4%. </w:t>
      </w:r>
      <w:r w:rsidR="00450884" w:rsidRPr="00FD5076">
        <w:rPr>
          <w:rFonts w:ascii="Times New Roman" w:hAnsi="Times New Roman" w:cs="Times New Roman"/>
          <w:sz w:val="24"/>
          <w:szCs w:val="24"/>
        </w:rPr>
        <w:t>Unemployment disproportionately affected young adults, with 37.6% of the unemployed being</w:t>
      </w:r>
      <w:r w:rsidRPr="00FD5076">
        <w:rPr>
          <w:rFonts w:ascii="Times New Roman" w:hAnsi="Times New Roman" w:cs="Times New Roman"/>
          <w:sz w:val="24"/>
          <w:szCs w:val="24"/>
        </w:rPr>
        <w:t xml:space="preserve"> aged 15-24 and 34.5% aged 25-34. Alarmingly, a significant portion (30.9%) of the unemployed population held college degrees, and another 10.9% were undergraduates (PSA, 2025).</w:t>
      </w:r>
    </w:p>
    <w:p w14:paraId="3A994C55" w14:textId="5FE7CC0A" w:rsidR="008B2B25" w:rsidRPr="00FD5076" w:rsidRDefault="008B2B25" w:rsidP="00FD5076">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The 21st-century job market requires graduates to possess both strong employability skills and relevant technical knowledge (Ismail &amp; Mohammed, 2015). Education must prepare graduates not only for job searching and long-term employment, but also for entrepreneurial pursuits (</w:t>
      </w:r>
      <w:proofErr w:type="spellStart"/>
      <w:r w:rsidRPr="00FD5076">
        <w:rPr>
          <w:rFonts w:ascii="Times New Roman" w:hAnsi="Times New Roman" w:cs="Times New Roman"/>
          <w:sz w:val="24"/>
          <w:szCs w:val="24"/>
        </w:rPr>
        <w:t>Aranega</w:t>
      </w:r>
      <w:proofErr w:type="spellEnd"/>
      <w:r w:rsidRPr="00FD5076">
        <w:rPr>
          <w:rFonts w:ascii="Times New Roman" w:hAnsi="Times New Roman" w:cs="Times New Roman"/>
          <w:sz w:val="24"/>
          <w:szCs w:val="24"/>
        </w:rPr>
        <w:t>, 2014). Employers seek candidates with skills that directly meet their needs (</w:t>
      </w:r>
      <w:proofErr w:type="spellStart"/>
      <w:r w:rsidRPr="00FD5076">
        <w:rPr>
          <w:rFonts w:ascii="Times New Roman" w:hAnsi="Times New Roman" w:cs="Times New Roman"/>
          <w:sz w:val="24"/>
          <w:szCs w:val="24"/>
        </w:rPr>
        <w:t>Teijeiro</w:t>
      </w:r>
      <w:proofErr w:type="spellEnd"/>
      <w:r w:rsidRPr="00FD5076">
        <w:rPr>
          <w:rFonts w:ascii="Times New Roman" w:hAnsi="Times New Roman" w:cs="Times New Roman"/>
          <w:sz w:val="24"/>
          <w:szCs w:val="24"/>
        </w:rPr>
        <w:t xml:space="preserve">, </w:t>
      </w:r>
      <w:proofErr w:type="spellStart"/>
      <w:r w:rsidRPr="00FD5076">
        <w:rPr>
          <w:rFonts w:ascii="Times New Roman" w:hAnsi="Times New Roman" w:cs="Times New Roman"/>
          <w:sz w:val="24"/>
          <w:szCs w:val="24"/>
        </w:rPr>
        <w:t>Rungo</w:t>
      </w:r>
      <w:proofErr w:type="spellEnd"/>
      <w:r w:rsidRPr="00FD5076">
        <w:rPr>
          <w:rFonts w:ascii="Times New Roman" w:hAnsi="Times New Roman" w:cs="Times New Roman"/>
          <w:sz w:val="24"/>
          <w:szCs w:val="24"/>
        </w:rPr>
        <w:t>, &amp; Freire, 2013), demanding that educational institutions shift from simply imparting knowledge to fostering comprehensive skills development (Albina &amp; Sumagaysay, 2020).</w:t>
      </w:r>
    </w:p>
    <w:p w14:paraId="2B8BE009" w14:textId="1FD64AFF" w:rsidR="008B2B25" w:rsidRPr="00FD5076" w:rsidRDefault="008B2B25" w:rsidP="00FD5076">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In the Philippines, higher education institutions (HEIs) are </w:t>
      </w:r>
      <w:r w:rsidR="00450884" w:rsidRPr="00FD5076">
        <w:rPr>
          <w:rFonts w:ascii="Times New Roman" w:hAnsi="Times New Roman" w:cs="Times New Roman"/>
          <w:sz w:val="24"/>
          <w:szCs w:val="24"/>
        </w:rPr>
        <w:t>often evaluated based on the employment success of their graduate</w:t>
      </w:r>
      <w:r w:rsidRPr="00FD5076">
        <w:rPr>
          <w:rFonts w:ascii="Times New Roman" w:hAnsi="Times New Roman" w:cs="Times New Roman"/>
          <w:sz w:val="24"/>
          <w:szCs w:val="24"/>
        </w:rPr>
        <w:t>s (Cuadra et al., 2019). Tracer studies are a common method for assessing graduate employability (de Ocampo</w:t>
      </w:r>
      <w:r w:rsidR="008316A2">
        <w:rPr>
          <w:rFonts w:ascii="Times New Roman" w:hAnsi="Times New Roman" w:cs="Times New Roman"/>
          <w:sz w:val="24"/>
          <w:szCs w:val="24"/>
        </w:rPr>
        <w:t xml:space="preserve"> et al.</w:t>
      </w:r>
      <w:r w:rsidRPr="00FD5076">
        <w:rPr>
          <w:rFonts w:ascii="Times New Roman" w:hAnsi="Times New Roman" w:cs="Times New Roman"/>
          <w:sz w:val="24"/>
          <w:szCs w:val="24"/>
        </w:rPr>
        <w:t>, 2012), offering crucial data to inform policy and promote equity within higher education (Rogan &amp; Reynolds, 2016).</w:t>
      </w:r>
    </w:p>
    <w:p w14:paraId="273C221F" w14:textId="7FC7CBE0" w:rsidR="008B2B25" w:rsidRPr="00FD5076" w:rsidRDefault="008B2B25" w:rsidP="00FD5076">
      <w:pPr>
        <w:spacing w:after="0" w:line="240" w:lineRule="auto"/>
        <w:ind w:firstLine="720"/>
        <w:jc w:val="both"/>
        <w:rPr>
          <w:rFonts w:ascii="Times New Roman" w:hAnsi="Times New Roman" w:cs="Times New Roman"/>
          <w:sz w:val="24"/>
          <w:szCs w:val="24"/>
        </w:rPr>
      </w:pPr>
      <w:bookmarkStart w:id="2" w:name="_Hlk204677005"/>
      <w:r w:rsidRPr="00FD5076">
        <w:rPr>
          <w:rFonts w:ascii="Times New Roman" w:hAnsi="Times New Roman" w:cs="Times New Roman"/>
          <w:sz w:val="24"/>
          <w:szCs w:val="24"/>
        </w:rPr>
        <w:t xml:space="preserve">Biliran Province State University (BiPSU), a Level III institution, offers a Bachelor of Science in Fisheries program (formerly </w:t>
      </w:r>
      <w:r w:rsidR="00450884" w:rsidRPr="00FD5076">
        <w:rPr>
          <w:rFonts w:ascii="Times New Roman" w:hAnsi="Times New Roman" w:cs="Times New Roman"/>
          <w:sz w:val="24"/>
          <w:szCs w:val="24"/>
        </w:rPr>
        <w:t>known as the Bachelor of Science in Fishery Technology, established on</w:t>
      </w:r>
      <w:r w:rsidRPr="00FD5076">
        <w:rPr>
          <w:rFonts w:ascii="Times New Roman" w:hAnsi="Times New Roman" w:cs="Times New Roman"/>
          <w:sz w:val="24"/>
          <w:szCs w:val="24"/>
        </w:rPr>
        <w:t xml:space="preserve"> February 28, 2002). BiPSU u</w:t>
      </w:r>
      <w:r w:rsidR="00450884" w:rsidRPr="00FD5076">
        <w:rPr>
          <w:rFonts w:ascii="Times New Roman" w:hAnsi="Times New Roman" w:cs="Times New Roman"/>
          <w:sz w:val="24"/>
          <w:szCs w:val="24"/>
        </w:rPr>
        <w:t>tilizes tracer studies to evaluate curriculum effectiveness and graduate employability, primarily for internal evaluation and accreditation purposes</w:t>
      </w:r>
      <w:r w:rsidRPr="00FD5076">
        <w:rPr>
          <w:rFonts w:ascii="Times New Roman" w:hAnsi="Times New Roman" w:cs="Times New Roman"/>
          <w:sz w:val="24"/>
          <w:szCs w:val="24"/>
        </w:rPr>
        <w:t xml:space="preserve"> (e.g., AACUP requirements). While this data is currently used internally, this study expands on that by analyzing the employability of BS Fisheries graduates (2016-2020), examining their socio-demographic profiles, employment status, and job-related competencies. Publishing these findings will improve accountability and transparency, ultimately contributing to a more effective education system.</w:t>
      </w:r>
    </w:p>
    <w:bookmarkEnd w:id="1"/>
    <w:bookmarkEnd w:id="2"/>
    <w:p w14:paraId="1F65B377" w14:textId="77777777" w:rsidR="00AB167D" w:rsidRPr="00FD5076" w:rsidRDefault="00AB167D" w:rsidP="00FD5076">
      <w:pPr>
        <w:spacing w:after="0" w:line="240" w:lineRule="auto"/>
        <w:jc w:val="both"/>
        <w:rPr>
          <w:rFonts w:ascii="Times New Roman" w:hAnsi="Times New Roman" w:cs="Times New Roman"/>
          <w:sz w:val="24"/>
          <w:szCs w:val="24"/>
        </w:rPr>
      </w:pPr>
    </w:p>
    <w:p w14:paraId="3757597C" w14:textId="0ECB0B7A" w:rsidR="00415CA4" w:rsidRPr="00FD5076" w:rsidRDefault="005B7EA9" w:rsidP="00FD5076">
      <w:pPr>
        <w:spacing w:after="0" w:line="240" w:lineRule="auto"/>
        <w:jc w:val="center"/>
        <w:rPr>
          <w:rFonts w:ascii="Times New Roman" w:hAnsi="Times New Roman" w:cs="Times New Roman"/>
          <w:b/>
          <w:sz w:val="24"/>
          <w:szCs w:val="24"/>
        </w:rPr>
      </w:pPr>
      <w:r w:rsidRPr="00FD5076">
        <w:rPr>
          <w:rFonts w:ascii="Times New Roman" w:hAnsi="Times New Roman" w:cs="Times New Roman"/>
          <w:b/>
          <w:sz w:val="24"/>
          <w:szCs w:val="24"/>
        </w:rPr>
        <w:t>METHODOLOGY</w:t>
      </w:r>
    </w:p>
    <w:p w14:paraId="33E06BF9" w14:textId="7709A660" w:rsidR="005B7EA9" w:rsidRPr="00FD5076" w:rsidRDefault="005B7EA9" w:rsidP="008316A2">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This study employed a descriptive research design, following Polit and Beck (2010) definition of descriptive research as a method for observing, counting, and classifying phenomena </w:t>
      </w:r>
      <w:r w:rsidRPr="00FD5076">
        <w:rPr>
          <w:rFonts w:ascii="Times New Roman" w:hAnsi="Times New Roman" w:cs="Times New Roman"/>
          <w:sz w:val="24"/>
          <w:szCs w:val="24"/>
        </w:rPr>
        <w:lastRenderedPageBreak/>
        <w:t xml:space="preserve">to generate new information. This study </w:t>
      </w:r>
      <w:r w:rsidR="00787677" w:rsidRPr="00FD5076">
        <w:rPr>
          <w:rFonts w:ascii="Times New Roman" w:hAnsi="Times New Roman" w:cs="Times New Roman"/>
          <w:sz w:val="24"/>
          <w:szCs w:val="24"/>
        </w:rPr>
        <w:t>examines the employability of Biliran Province State University (BiPSU)-Biliran Campus graduates of the Bachelor of Science in Fisheries (BSFi) program</w:t>
      </w:r>
      <w:r w:rsidR="00450884" w:rsidRPr="00FD5076">
        <w:rPr>
          <w:rFonts w:ascii="Times New Roman" w:hAnsi="Times New Roman" w:cs="Times New Roman"/>
          <w:sz w:val="24"/>
          <w:szCs w:val="24"/>
        </w:rPr>
        <w:t>, formerly known as the Bachelor of Science in Fishery Technology (BSFT),</w:t>
      </w:r>
      <w:r w:rsidR="00787677" w:rsidRPr="00FD5076">
        <w:rPr>
          <w:rFonts w:ascii="Times New Roman" w:hAnsi="Times New Roman" w:cs="Times New Roman"/>
          <w:sz w:val="24"/>
          <w:szCs w:val="24"/>
        </w:rPr>
        <w:t xml:space="preserve"> from 2016 to 2020,</w:t>
      </w:r>
      <w:r w:rsidRPr="00FD5076">
        <w:rPr>
          <w:rFonts w:ascii="Times New Roman" w:hAnsi="Times New Roman" w:cs="Times New Roman"/>
          <w:sz w:val="24"/>
          <w:szCs w:val="24"/>
        </w:rPr>
        <w:t xml:space="preserve"> using percentages and frequencies.</w:t>
      </w:r>
    </w:p>
    <w:p w14:paraId="349D1361" w14:textId="30991C1E" w:rsidR="00477D01" w:rsidRPr="00FD5076" w:rsidRDefault="005B7EA9" w:rsidP="008316A2">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Questionnaires were distributed to all listed graduates from 2016</w:t>
      </w:r>
      <w:r w:rsidR="00787677" w:rsidRPr="00FD5076">
        <w:rPr>
          <w:rFonts w:ascii="Times New Roman" w:hAnsi="Times New Roman" w:cs="Times New Roman"/>
          <w:sz w:val="24"/>
          <w:szCs w:val="24"/>
        </w:rPr>
        <w:t xml:space="preserve"> to </w:t>
      </w:r>
      <w:r w:rsidRPr="00FD5076">
        <w:rPr>
          <w:rFonts w:ascii="Times New Roman" w:hAnsi="Times New Roman" w:cs="Times New Roman"/>
          <w:sz w:val="24"/>
          <w:szCs w:val="24"/>
        </w:rPr>
        <w:t xml:space="preserve">2020. The response rate was 84.21%, with 32 of 38 graduates returning completed questionnaires (Table 1). Data collection utilized a tracer questionnaire developed by the Commission on Higher Education (CHED). The </w:t>
      </w:r>
      <w:r w:rsidR="00D16967" w:rsidRPr="00FD5076">
        <w:rPr>
          <w:rFonts w:ascii="Times New Roman" w:hAnsi="Times New Roman" w:cs="Times New Roman"/>
          <w:sz w:val="24"/>
          <w:szCs w:val="24"/>
        </w:rPr>
        <w:t>researchers</w:t>
      </w:r>
      <w:r w:rsidRPr="00FD5076">
        <w:rPr>
          <w:rFonts w:ascii="Times New Roman" w:hAnsi="Times New Roman" w:cs="Times New Roman"/>
          <w:sz w:val="24"/>
          <w:szCs w:val="24"/>
        </w:rPr>
        <w:t xml:space="preserve"> distributed the questionnaires to the graduates. Data were encoded into Microsoft Excel, collated, and summarized. Descriptive statistics</w:t>
      </w:r>
      <w:r w:rsidR="00D73ABF" w:rsidRPr="00FD5076">
        <w:rPr>
          <w:rFonts w:ascii="Times New Roman" w:hAnsi="Times New Roman" w:cs="Times New Roman"/>
          <w:sz w:val="24"/>
          <w:szCs w:val="24"/>
        </w:rPr>
        <w:t xml:space="preserve"> were used to analyze the data, including frequency counts, percentages, and means</w:t>
      </w:r>
      <w:r w:rsidRPr="00FD5076">
        <w:rPr>
          <w:rFonts w:ascii="Times New Roman" w:hAnsi="Times New Roman" w:cs="Times New Roman"/>
          <w:sz w:val="24"/>
          <w:szCs w:val="24"/>
        </w:rPr>
        <w:t>.</w:t>
      </w:r>
    </w:p>
    <w:p w14:paraId="0819B8F0" w14:textId="77777777" w:rsidR="005B7EA9" w:rsidRPr="00FD5076" w:rsidRDefault="005B7EA9" w:rsidP="00FD5076">
      <w:pPr>
        <w:spacing w:after="0" w:line="240" w:lineRule="auto"/>
        <w:jc w:val="both"/>
        <w:rPr>
          <w:rFonts w:ascii="Times New Roman" w:hAnsi="Times New Roman" w:cs="Times New Roman"/>
          <w:sz w:val="24"/>
          <w:szCs w:val="24"/>
        </w:rPr>
      </w:pPr>
    </w:p>
    <w:p w14:paraId="08FD4955" w14:textId="7FEB5059" w:rsidR="002602EE" w:rsidRPr="00FD5076" w:rsidRDefault="002602EE" w:rsidP="00FD5076">
      <w:pPr>
        <w:spacing w:after="0" w:line="240" w:lineRule="auto"/>
        <w:jc w:val="both"/>
        <w:rPr>
          <w:rFonts w:ascii="Times New Roman" w:hAnsi="Times New Roman" w:cs="Times New Roman"/>
          <w:sz w:val="24"/>
          <w:szCs w:val="24"/>
        </w:rPr>
      </w:pPr>
      <w:bookmarkStart w:id="3" w:name="_Hlk205365702"/>
      <w:r w:rsidRPr="00FD5076">
        <w:rPr>
          <w:rFonts w:ascii="Times New Roman" w:hAnsi="Times New Roman" w:cs="Times New Roman"/>
          <w:b/>
          <w:bCs/>
          <w:sz w:val="24"/>
          <w:szCs w:val="24"/>
        </w:rPr>
        <w:t>Table 1.</w:t>
      </w:r>
      <w:r w:rsidRPr="00FD5076">
        <w:rPr>
          <w:rFonts w:ascii="Times New Roman" w:hAnsi="Times New Roman" w:cs="Times New Roman"/>
          <w:sz w:val="24"/>
          <w:szCs w:val="24"/>
        </w:rPr>
        <w:t xml:space="preserve"> Population and percentage response of graduates of BSFT</w:t>
      </w:r>
      <w:r w:rsidR="00E622A3">
        <w:rPr>
          <w:rFonts w:ascii="Times New Roman" w:hAnsi="Times New Roman" w:cs="Times New Roman"/>
          <w:sz w:val="24"/>
          <w:szCs w:val="24"/>
        </w:rPr>
        <w:t>/</w:t>
      </w:r>
      <w:r w:rsidR="00477D01" w:rsidRPr="00FD5076">
        <w:rPr>
          <w:rFonts w:ascii="Times New Roman" w:hAnsi="Times New Roman" w:cs="Times New Roman"/>
          <w:sz w:val="24"/>
          <w:szCs w:val="24"/>
        </w:rPr>
        <w:t>BSFi</w:t>
      </w:r>
    </w:p>
    <w:tbl>
      <w:tblPr>
        <w:tblStyle w:val="TableGrid"/>
        <w:tblW w:w="10207" w:type="dxa"/>
        <w:tblInd w:w="-1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418"/>
        <w:gridCol w:w="850"/>
        <w:gridCol w:w="993"/>
        <w:gridCol w:w="708"/>
        <w:gridCol w:w="851"/>
        <w:gridCol w:w="992"/>
        <w:gridCol w:w="851"/>
        <w:gridCol w:w="1134"/>
        <w:gridCol w:w="1134"/>
      </w:tblGrid>
      <w:tr w:rsidR="00477D01" w:rsidRPr="00FD5076" w14:paraId="16978330" w14:textId="77777777" w:rsidTr="005B7EA9">
        <w:tc>
          <w:tcPr>
            <w:tcW w:w="1276" w:type="dxa"/>
          </w:tcPr>
          <w:p w14:paraId="77F2F43A"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School Year</w:t>
            </w:r>
          </w:p>
        </w:tc>
        <w:tc>
          <w:tcPr>
            <w:tcW w:w="1418" w:type="dxa"/>
          </w:tcPr>
          <w:p w14:paraId="3E9057AC"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Total Graduates</w:t>
            </w:r>
          </w:p>
        </w:tc>
        <w:tc>
          <w:tcPr>
            <w:tcW w:w="1843" w:type="dxa"/>
            <w:gridSpan w:val="2"/>
          </w:tcPr>
          <w:p w14:paraId="42802C0A"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Tracked Graduates</w:t>
            </w:r>
          </w:p>
        </w:tc>
        <w:tc>
          <w:tcPr>
            <w:tcW w:w="1559" w:type="dxa"/>
            <w:gridSpan w:val="2"/>
          </w:tcPr>
          <w:p w14:paraId="4A264B35"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Not Tracked Graduates</w:t>
            </w:r>
          </w:p>
        </w:tc>
        <w:tc>
          <w:tcPr>
            <w:tcW w:w="1843" w:type="dxa"/>
            <w:gridSpan w:val="2"/>
          </w:tcPr>
          <w:p w14:paraId="3A200659"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Tracked Graduates Employed</w:t>
            </w:r>
          </w:p>
        </w:tc>
        <w:tc>
          <w:tcPr>
            <w:tcW w:w="2268" w:type="dxa"/>
            <w:gridSpan w:val="2"/>
          </w:tcPr>
          <w:p w14:paraId="79A052DB"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Tracked Graduates Unemployed</w:t>
            </w:r>
          </w:p>
        </w:tc>
      </w:tr>
      <w:tr w:rsidR="00CA7B05" w:rsidRPr="00FD5076" w14:paraId="386B18AE" w14:textId="77777777" w:rsidTr="005B7EA9">
        <w:tc>
          <w:tcPr>
            <w:tcW w:w="1276" w:type="dxa"/>
            <w:tcBorders>
              <w:bottom w:val="single" w:sz="4" w:space="0" w:color="auto"/>
            </w:tcBorders>
          </w:tcPr>
          <w:p w14:paraId="4D908401" w14:textId="77777777" w:rsidR="00CA7B05" w:rsidRPr="00FD5076" w:rsidRDefault="00CA7B05" w:rsidP="00FD5076">
            <w:pPr>
              <w:pStyle w:val="NoSpacing"/>
              <w:rPr>
                <w:rFonts w:ascii="Times New Roman" w:hAnsi="Times New Roman" w:cs="Times New Roman"/>
                <w:sz w:val="24"/>
                <w:szCs w:val="24"/>
              </w:rPr>
            </w:pPr>
          </w:p>
        </w:tc>
        <w:tc>
          <w:tcPr>
            <w:tcW w:w="1418" w:type="dxa"/>
            <w:tcBorders>
              <w:bottom w:val="single" w:sz="4" w:space="0" w:color="auto"/>
            </w:tcBorders>
          </w:tcPr>
          <w:p w14:paraId="3C2503B7" w14:textId="77777777" w:rsidR="00CA7B05" w:rsidRPr="00FD5076" w:rsidRDefault="00CA7B05" w:rsidP="00FD5076">
            <w:pPr>
              <w:pStyle w:val="NoSpacing"/>
              <w:rPr>
                <w:rFonts w:ascii="Times New Roman" w:hAnsi="Times New Roman" w:cs="Times New Roman"/>
                <w:sz w:val="24"/>
                <w:szCs w:val="24"/>
              </w:rPr>
            </w:pPr>
          </w:p>
        </w:tc>
        <w:tc>
          <w:tcPr>
            <w:tcW w:w="850" w:type="dxa"/>
            <w:tcBorders>
              <w:bottom w:val="single" w:sz="4" w:space="0" w:color="auto"/>
            </w:tcBorders>
          </w:tcPr>
          <w:p w14:paraId="730C45CA" w14:textId="77777777" w:rsidR="00CA7B05" w:rsidRPr="00FD5076" w:rsidRDefault="00CA7B0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N=32</w:t>
            </w:r>
          </w:p>
        </w:tc>
        <w:tc>
          <w:tcPr>
            <w:tcW w:w="993" w:type="dxa"/>
            <w:tcBorders>
              <w:bottom w:val="single" w:sz="4" w:space="0" w:color="auto"/>
            </w:tcBorders>
          </w:tcPr>
          <w:p w14:paraId="38DE4D12" w14:textId="77777777" w:rsidR="00CA7B05" w:rsidRPr="00FD5076" w:rsidRDefault="00CA7B0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c>
          <w:tcPr>
            <w:tcW w:w="708" w:type="dxa"/>
            <w:tcBorders>
              <w:bottom w:val="single" w:sz="4" w:space="0" w:color="auto"/>
            </w:tcBorders>
          </w:tcPr>
          <w:p w14:paraId="433F7A97"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N=6</w:t>
            </w:r>
          </w:p>
        </w:tc>
        <w:tc>
          <w:tcPr>
            <w:tcW w:w="851" w:type="dxa"/>
            <w:tcBorders>
              <w:bottom w:val="single" w:sz="4" w:space="0" w:color="auto"/>
            </w:tcBorders>
          </w:tcPr>
          <w:p w14:paraId="754EBE88"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c>
          <w:tcPr>
            <w:tcW w:w="992" w:type="dxa"/>
            <w:tcBorders>
              <w:bottom w:val="single" w:sz="4" w:space="0" w:color="auto"/>
            </w:tcBorders>
          </w:tcPr>
          <w:p w14:paraId="68F052C7"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N=15</w:t>
            </w:r>
          </w:p>
        </w:tc>
        <w:tc>
          <w:tcPr>
            <w:tcW w:w="851" w:type="dxa"/>
            <w:tcBorders>
              <w:bottom w:val="single" w:sz="4" w:space="0" w:color="auto"/>
            </w:tcBorders>
          </w:tcPr>
          <w:p w14:paraId="66A4815F"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c>
          <w:tcPr>
            <w:tcW w:w="1134" w:type="dxa"/>
            <w:tcBorders>
              <w:bottom w:val="single" w:sz="4" w:space="0" w:color="auto"/>
            </w:tcBorders>
          </w:tcPr>
          <w:p w14:paraId="5003F4A0"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N=17</w:t>
            </w:r>
          </w:p>
        </w:tc>
        <w:tc>
          <w:tcPr>
            <w:tcW w:w="1134" w:type="dxa"/>
            <w:tcBorders>
              <w:bottom w:val="single" w:sz="4" w:space="0" w:color="auto"/>
            </w:tcBorders>
          </w:tcPr>
          <w:p w14:paraId="42CC732B"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r>
      <w:tr w:rsidR="00CA7B05" w:rsidRPr="00FD5076" w14:paraId="3A9AD185" w14:textId="77777777" w:rsidTr="005B7EA9">
        <w:tc>
          <w:tcPr>
            <w:tcW w:w="1276" w:type="dxa"/>
            <w:tcBorders>
              <w:bottom w:val="nil"/>
            </w:tcBorders>
          </w:tcPr>
          <w:p w14:paraId="7F9E9FCD" w14:textId="4734AE69" w:rsidR="00CA7B05" w:rsidRPr="00FD5076" w:rsidRDefault="00351965"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2016</w:t>
            </w:r>
          </w:p>
        </w:tc>
        <w:tc>
          <w:tcPr>
            <w:tcW w:w="1418" w:type="dxa"/>
            <w:tcBorders>
              <w:bottom w:val="nil"/>
            </w:tcBorders>
          </w:tcPr>
          <w:p w14:paraId="03657E74"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850" w:type="dxa"/>
            <w:tcBorders>
              <w:bottom w:val="nil"/>
            </w:tcBorders>
          </w:tcPr>
          <w:p w14:paraId="67B0C8BB"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993" w:type="dxa"/>
            <w:tcBorders>
              <w:bottom w:val="nil"/>
            </w:tcBorders>
          </w:tcPr>
          <w:p w14:paraId="0411AEAA"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100.00</w:t>
            </w:r>
          </w:p>
        </w:tc>
        <w:tc>
          <w:tcPr>
            <w:tcW w:w="708" w:type="dxa"/>
            <w:tcBorders>
              <w:bottom w:val="nil"/>
            </w:tcBorders>
          </w:tcPr>
          <w:p w14:paraId="3566657B" w14:textId="77777777" w:rsidR="00CA7B05" w:rsidRPr="00FD5076" w:rsidRDefault="00CA7B05" w:rsidP="00FD5076">
            <w:pPr>
              <w:pStyle w:val="NoSpacing"/>
              <w:jc w:val="center"/>
              <w:rPr>
                <w:rFonts w:ascii="Times New Roman" w:hAnsi="Times New Roman" w:cs="Times New Roman"/>
                <w:sz w:val="24"/>
                <w:szCs w:val="24"/>
              </w:rPr>
            </w:pPr>
          </w:p>
        </w:tc>
        <w:tc>
          <w:tcPr>
            <w:tcW w:w="851" w:type="dxa"/>
            <w:tcBorders>
              <w:bottom w:val="nil"/>
            </w:tcBorders>
          </w:tcPr>
          <w:p w14:paraId="34500297" w14:textId="77777777" w:rsidR="00CA7B05" w:rsidRPr="00FD5076" w:rsidRDefault="00CA7B05" w:rsidP="00FD5076">
            <w:pPr>
              <w:pStyle w:val="NoSpacing"/>
              <w:jc w:val="center"/>
              <w:rPr>
                <w:rFonts w:ascii="Times New Roman" w:hAnsi="Times New Roman" w:cs="Times New Roman"/>
                <w:sz w:val="24"/>
                <w:szCs w:val="24"/>
              </w:rPr>
            </w:pPr>
          </w:p>
        </w:tc>
        <w:tc>
          <w:tcPr>
            <w:tcW w:w="992" w:type="dxa"/>
            <w:tcBorders>
              <w:bottom w:val="nil"/>
            </w:tcBorders>
          </w:tcPr>
          <w:p w14:paraId="7C802BB3"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851" w:type="dxa"/>
            <w:tcBorders>
              <w:bottom w:val="nil"/>
            </w:tcBorders>
          </w:tcPr>
          <w:p w14:paraId="5C1971DB" w14:textId="77777777" w:rsidR="00CA7B0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75.00</w:t>
            </w:r>
          </w:p>
        </w:tc>
        <w:tc>
          <w:tcPr>
            <w:tcW w:w="1134" w:type="dxa"/>
            <w:tcBorders>
              <w:bottom w:val="nil"/>
            </w:tcBorders>
          </w:tcPr>
          <w:p w14:paraId="5731B3E7" w14:textId="77777777" w:rsidR="00CA7B0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w:t>
            </w:r>
          </w:p>
        </w:tc>
        <w:tc>
          <w:tcPr>
            <w:tcW w:w="1134" w:type="dxa"/>
            <w:tcBorders>
              <w:bottom w:val="nil"/>
            </w:tcBorders>
          </w:tcPr>
          <w:p w14:paraId="28CF7A7D" w14:textId="77777777" w:rsidR="00CA7B0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25.00</w:t>
            </w:r>
          </w:p>
        </w:tc>
      </w:tr>
      <w:tr w:rsidR="00B210BA" w:rsidRPr="00FD5076" w14:paraId="66AE01FF" w14:textId="77777777" w:rsidTr="005B7EA9">
        <w:tc>
          <w:tcPr>
            <w:tcW w:w="1276" w:type="dxa"/>
            <w:tcBorders>
              <w:top w:val="nil"/>
              <w:bottom w:val="nil"/>
            </w:tcBorders>
          </w:tcPr>
          <w:p w14:paraId="6064B96D" w14:textId="055EB0AD"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2017</w:t>
            </w:r>
          </w:p>
        </w:tc>
        <w:tc>
          <w:tcPr>
            <w:tcW w:w="1418" w:type="dxa"/>
            <w:tcBorders>
              <w:top w:val="nil"/>
              <w:bottom w:val="nil"/>
            </w:tcBorders>
          </w:tcPr>
          <w:p w14:paraId="132A69D6"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850" w:type="dxa"/>
            <w:tcBorders>
              <w:top w:val="nil"/>
              <w:bottom w:val="nil"/>
            </w:tcBorders>
          </w:tcPr>
          <w:p w14:paraId="5D2AE50C"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993" w:type="dxa"/>
            <w:tcBorders>
              <w:top w:val="nil"/>
              <w:bottom w:val="nil"/>
            </w:tcBorders>
          </w:tcPr>
          <w:p w14:paraId="51A1E0F0" w14:textId="77777777" w:rsidR="00B210BA" w:rsidRPr="00FD5076" w:rsidRDefault="00B210BA" w:rsidP="00FD5076">
            <w:pPr>
              <w:jc w:val="center"/>
              <w:rPr>
                <w:sz w:val="24"/>
                <w:szCs w:val="24"/>
              </w:rPr>
            </w:pPr>
            <w:r w:rsidRPr="00FD5076">
              <w:rPr>
                <w:rFonts w:ascii="Times New Roman" w:hAnsi="Times New Roman" w:cs="Times New Roman"/>
                <w:sz w:val="24"/>
                <w:szCs w:val="24"/>
              </w:rPr>
              <w:t>100.00</w:t>
            </w:r>
          </w:p>
        </w:tc>
        <w:tc>
          <w:tcPr>
            <w:tcW w:w="708" w:type="dxa"/>
            <w:tcBorders>
              <w:top w:val="nil"/>
              <w:bottom w:val="nil"/>
            </w:tcBorders>
          </w:tcPr>
          <w:p w14:paraId="4A3F4063" w14:textId="77777777" w:rsidR="00B210BA" w:rsidRPr="00FD5076"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795F0B3" w14:textId="77777777" w:rsidR="00B210BA" w:rsidRPr="00FD5076"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4E4001F5"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2</w:t>
            </w:r>
          </w:p>
        </w:tc>
        <w:tc>
          <w:tcPr>
            <w:tcW w:w="851" w:type="dxa"/>
            <w:tcBorders>
              <w:top w:val="nil"/>
              <w:bottom w:val="nil"/>
            </w:tcBorders>
          </w:tcPr>
          <w:p w14:paraId="0897E275"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33.33</w:t>
            </w:r>
          </w:p>
        </w:tc>
        <w:tc>
          <w:tcPr>
            <w:tcW w:w="1134" w:type="dxa"/>
            <w:tcBorders>
              <w:top w:val="nil"/>
              <w:bottom w:val="nil"/>
            </w:tcBorders>
          </w:tcPr>
          <w:p w14:paraId="45D75CCC"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1134" w:type="dxa"/>
            <w:tcBorders>
              <w:top w:val="nil"/>
              <w:bottom w:val="nil"/>
            </w:tcBorders>
          </w:tcPr>
          <w:p w14:paraId="720FE41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r>
      <w:tr w:rsidR="00B210BA" w:rsidRPr="00FD5076" w14:paraId="709107CF" w14:textId="77777777" w:rsidTr="005B7EA9">
        <w:tc>
          <w:tcPr>
            <w:tcW w:w="1276" w:type="dxa"/>
            <w:tcBorders>
              <w:top w:val="nil"/>
              <w:bottom w:val="nil"/>
            </w:tcBorders>
          </w:tcPr>
          <w:p w14:paraId="3C8F83F4" w14:textId="08387AC1"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2018</w:t>
            </w:r>
          </w:p>
        </w:tc>
        <w:tc>
          <w:tcPr>
            <w:tcW w:w="1418" w:type="dxa"/>
            <w:tcBorders>
              <w:top w:val="nil"/>
              <w:bottom w:val="nil"/>
            </w:tcBorders>
          </w:tcPr>
          <w:p w14:paraId="68C60C31"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9</w:t>
            </w:r>
          </w:p>
        </w:tc>
        <w:tc>
          <w:tcPr>
            <w:tcW w:w="850" w:type="dxa"/>
            <w:tcBorders>
              <w:top w:val="nil"/>
              <w:bottom w:val="nil"/>
            </w:tcBorders>
          </w:tcPr>
          <w:p w14:paraId="10CEAADD"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9</w:t>
            </w:r>
          </w:p>
        </w:tc>
        <w:tc>
          <w:tcPr>
            <w:tcW w:w="993" w:type="dxa"/>
            <w:tcBorders>
              <w:top w:val="nil"/>
              <w:bottom w:val="nil"/>
            </w:tcBorders>
          </w:tcPr>
          <w:p w14:paraId="637DABD0" w14:textId="77777777" w:rsidR="00B210BA" w:rsidRPr="00FD5076" w:rsidRDefault="00B210BA" w:rsidP="00FD5076">
            <w:pPr>
              <w:jc w:val="center"/>
              <w:rPr>
                <w:sz w:val="24"/>
                <w:szCs w:val="24"/>
              </w:rPr>
            </w:pPr>
            <w:r w:rsidRPr="00FD5076">
              <w:rPr>
                <w:rFonts w:ascii="Times New Roman" w:hAnsi="Times New Roman" w:cs="Times New Roman"/>
                <w:sz w:val="24"/>
                <w:szCs w:val="24"/>
              </w:rPr>
              <w:t>100.00</w:t>
            </w:r>
          </w:p>
        </w:tc>
        <w:tc>
          <w:tcPr>
            <w:tcW w:w="708" w:type="dxa"/>
            <w:tcBorders>
              <w:top w:val="nil"/>
              <w:bottom w:val="nil"/>
            </w:tcBorders>
          </w:tcPr>
          <w:p w14:paraId="673527FF" w14:textId="77777777" w:rsidR="00B210BA" w:rsidRPr="00FD5076"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D4C4EE1" w14:textId="77777777" w:rsidR="00B210BA" w:rsidRPr="00FD5076"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737B077E"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w:t>
            </w:r>
          </w:p>
        </w:tc>
        <w:tc>
          <w:tcPr>
            <w:tcW w:w="851" w:type="dxa"/>
            <w:tcBorders>
              <w:top w:val="nil"/>
              <w:bottom w:val="nil"/>
            </w:tcBorders>
          </w:tcPr>
          <w:p w14:paraId="51DB736B"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55.56</w:t>
            </w:r>
          </w:p>
        </w:tc>
        <w:tc>
          <w:tcPr>
            <w:tcW w:w="1134" w:type="dxa"/>
            <w:tcBorders>
              <w:top w:val="nil"/>
              <w:bottom w:val="nil"/>
            </w:tcBorders>
          </w:tcPr>
          <w:p w14:paraId="6AE7B971"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1134" w:type="dxa"/>
            <w:tcBorders>
              <w:top w:val="nil"/>
              <w:bottom w:val="nil"/>
            </w:tcBorders>
          </w:tcPr>
          <w:p w14:paraId="56C221A1"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44.44</w:t>
            </w:r>
          </w:p>
        </w:tc>
      </w:tr>
      <w:tr w:rsidR="00351965" w:rsidRPr="00FD5076" w14:paraId="014F81B1" w14:textId="77777777" w:rsidTr="004323F8">
        <w:tc>
          <w:tcPr>
            <w:tcW w:w="1276" w:type="dxa"/>
            <w:tcBorders>
              <w:top w:val="nil"/>
              <w:bottom w:val="nil"/>
            </w:tcBorders>
          </w:tcPr>
          <w:p w14:paraId="06E586BD" w14:textId="01D41058" w:rsidR="00351965"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2019</w:t>
            </w:r>
          </w:p>
        </w:tc>
        <w:tc>
          <w:tcPr>
            <w:tcW w:w="1418" w:type="dxa"/>
            <w:tcBorders>
              <w:top w:val="nil"/>
              <w:bottom w:val="nil"/>
            </w:tcBorders>
          </w:tcPr>
          <w:p w14:paraId="2E6EC1ED"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13</w:t>
            </w:r>
          </w:p>
        </w:tc>
        <w:tc>
          <w:tcPr>
            <w:tcW w:w="850" w:type="dxa"/>
            <w:tcBorders>
              <w:top w:val="nil"/>
              <w:bottom w:val="nil"/>
            </w:tcBorders>
          </w:tcPr>
          <w:p w14:paraId="6A125C97"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w:t>
            </w:r>
          </w:p>
        </w:tc>
        <w:tc>
          <w:tcPr>
            <w:tcW w:w="993" w:type="dxa"/>
            <w:tcBorders>
              <w:top w:val="nil"/>
              <w:bottom w:val="nil"/>
            </w:tcBorders>
          </w:tcPr>
          <w:p w14:paraId="5D76EF3C"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76.92</w:t>
            </w:r>
          </w:p>
        </w:tc>
        <w:tc>
          <w:tcPr>
            <w:tcW w:w="708" w:type="dxa"/>
            <w:tcBorders>
              <w:top w:val="nil"/>
              <w:bottom w:val="nil"/>
            </w:tcBorders>
          </w:tcPr>
          <w:p w14:paraId="36C4BD98"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851" w:type="dxa"/>
            <w:tcBorders>
              <w:top w:val="nil"/>
              <w:bottom w:val="nil"/>
            </w:tcBorders>
          </w:tcPr>
          <w:p w14:paraId="34AA402B"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23.08</w:t>
            </w:r>
          </w:p>
        </w:tc>
        <w:tc>
          <w:tcPr>
            <w:tcW w:w="992" w:type="dxa"/>
            <w:tcBorders>
              <w:top w:val="nil"/>
              <w:bottom w:val="nil"/>
            </w:tcBorders>
          </w:tcPr>
          <w:p w14:paraId="026C8432"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w:t>
            </w:r>
          </w:p>
        </w:tc>
        <w:tc>
          <w:tcPr>
            <w:tcW w:w="851" w:type="dxa"/>
            <w:tcBorders>
              <w:top w:val="nil"/>
              <w:bottom w:val="nil"/>
            </w:tcBorders>
          </w:tcPr>
          <w:p w14:paraId="18182C16"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c>
          <w:tcPr>
            <w:tcW w:w="1134" w:type="dxa"/>
            <w:tcBorders>
              <w:top w:val="nil"/>
              <w:bottom w:val="nil"/>
            </w:tcBorders>
          </w:tcPr>
          <w:p w14:paraId="72600B21"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w:t>
            </w:r>
          </w:p>
        </w:tc>
        <w:tc>
          <w:tcPr>
            <w:tcW w:w="1134" w:type="dxa"/>
            <w:tcBorders>
              <w:top w:val="nil"/>
              <w:bottom w:val="nil"/>
            </w:tcBorders>
          </w:tcPr>
          <w:p w14:paraId="6997D83D"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r>
      <w:tr w:rsidR="00B210BA" w:rsidRPr="00FD5076" w14:paraId="194908E5" w14:textId="77777777" w:rsidTr="004323F8">
        <w:tc>
          <w:tcPr>
            <w:tcW w:w="1276" w:type="dxa"/>
            <w:tcBorders>
              <w:top w:val="nil"/>
              <w:bottom w:val="single" w:sz="4" w:space="0" w:color="auto"/>
            </w:tcBorders>
          </w:tcPr>
          <w:p w14:paraId="622F1B7F" w14:textId="4D854380"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2020</w:t>
            </w:r>
          </w:p>
        </w:tc>
        <w:tc>
          <w:tcPr>
            <w:tcW w:w="1418" w:type="dxa"/>
            <w:tcBorders>
              <w:top w:val="nil"/>
              <w:bottom w:val="single" w:sz="4" w:space="0" w:color="auto"/>
            </w:tcBorders>
          </w:tcPr>
          <w:p w14:paraId="443EB9D2"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850" w:type="dxa"/>
            <w:tcBorders>
              <w:top w:val="nil"/>
              <w:bottom w:val="single" w:sz="4" w:space="0" w:color="auto"/>
            </w:tcBorders>
          </w:tcPr>
          <w:p w14:paraId="356B74B2"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993" w:type="dxa"/>
            <w:tcBorders>
              <w:top w:val="nil"/>
              <w:bottom w:val="single" w:sz="4" w:space="0" w:color="auto"/>
            </w:tcBorders>
          </w:tcPr>
          <w:p w14:paraId="7668AE79"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c>
          <w:tcPr>
            <w:tcW w:w="708" w:type="dxa"/>
            <w:tcBorders>
              <w:top w:val="nil"/>
              <w:bottom w:val="single" w:sz="4" w:space="0" w:color="auto"/>
            </w:tcBorders>
          </w:tcPr>
          <w:p w14:paraId="28FA41AF"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851" w:type="dxa"/>
            <w:tcBorders>
              <w:top w:val="nil"/>
              <w:bottom w:val="single" w:sz="4" w:space="0" w:color="auto"/>
            </w:tcBorders>
          </w:tcPr>
          <w:p w14:paraId="23B69571"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c>
          <w:tcPr>
            <w:tcW w:w="992" w:type="dxa"/>
            <w:tcBorders>
              <w:top w:val="nil"/>
              <w:bottom w:val="single" w:sz="4" w:space="0" w:color="auto"/>
            </w:tcBorders>
          </w:tcPr>
          <w:p w14:paraId="2E8FD2BD"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0</w:t>
            </w:r>
          </w:p>
        </w:tc>
        <w:tc>
          <w:tcPr>
            <w:tcW w:w="851" w:type="dxa"/>
            <w:tcBorders>
              <w:top w:val="nil"/>
              <w:bottom w:val="single" w:sz="4" w:space="0" w:color="auto"/>
            </w:tcBorders>
          </w:tcPr>
          <w:p w14:paraId="5E94697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0</w:t>
            </w:r>
          </w:p>
        </w:tc>
        <w:tc>
          <w:tcPr>
            <w:tcW w:w="1134" w:type="dxa"/>
            <w:tcBorders>
              <w:top w:val="nil"/>
              <w:bottom w:val="single" w:sz="4" w:space="0" w:color="auto"/>
            </w:tcBorders>
          </w:tcPr>
          <w:p w14:paraId="7E9EB4AC"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1134" w:type="dxa"/>
            <w:tcBorders>
              <w:top w:val="nil"/>
              <w:bottom w:val="single" w:sz="4" w:space="0" w:color="auto"/>
            </w:tcBorders>
          </w:tcPr>
          <w:p w14:paraId="29861E6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100.00</w:t>
            </w:r>
          </w:p>
        </w:tc>
      </w:tr>
      <w:tr w:rsidR="00B210BA" w:rsidRPr="00FD5076" w14:paraId="6A728BC0" w14:textId="77777777" w:rsidTr="004323F8">
        <w:tc>
          <w:tcPr>
            <w:tcW w:w="1276" w:type="dxa"/>
            <w:tcBorders>
              <w:top w:val="single" w:sz="4" w:space="0" w:color="auto"/>
            </w:tcBorders>
          </w:tcPr>
          <w:p w14:paraId="21E70ADE" w14:textId="77777777"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Total</w:t>
            </w:r>
          </w:p>
        </w:tc>
        <w:tc>
          <w:tcPr>
            <w:tcW w:w="1418" w:type="dxa"/>
            <w:tcBorders>
              <w:top w:val="single" w:sz="4" w:space="0" w:color="auto"/>
            </w:tcBorders>
          </w:tcPr>
          <w:p w14:paraId="379899AD"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38</w:t>
            </w:r>
          </w:p>
        </w:tc>
        <w:tc>
          <w:tcPr>
            <w:tcW w:w="850" w:type="dxa"/>
            <w:tcBorders>
              <w:top w:val="single" w:sz="4" w:space="0" w:color="auto"/>
            </w:tcBorders>
          </w:tcPr>
          <w:p w14:paraId="744C5012"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32</w:t>
            </w:r>
          </w:p>
        </w:tc>
        <w:tc>
          <w:tcPr>
            <w:tcW w:w="993" w:type="dxa"/>
            <w:tcBorders>
              <w:top w:val="single" w:sz="4" w:space="0" w:color="auto"/>
            </w:tcBorders>
          </w:tcPr>
          <w:p w14:paraId="2EA8B4A8"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84.21</w:t>
            </w:r>
          </w:p>
        </w:tc>
        <w:tc>
          <w:tcPr>
            <w:tcW w:w="708" w:type="dxa"/>
            <w:tcBorders>
              <w:top w:val="single" w:sz="4" w:space="0" w:color="auto"/>
            </w:tcBorders>
          </w:tcPr>
          <w:p w14:paraId="19275D16"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851" w:type="dxa"/>
            <w:tcBorders>
              <w:top w:val="single" w:sz="4" w:space="0" w:color="auto"/>
            </w:tcBorders>
          </w:tcPr>
          <w:p w14:paraId="162AD67B"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15.79</w:t>
            </w:r>
          </w:p>
        </w:tc>
        <w:tc>
          <w:tcPr>
            <w:tcW w:w="992" w:type="dxa"/>
            <w:tcBorders>
              <w:top w:val="single" w:sz="4" w:space="0" w:color="auto"/>
            </w:tcBorders>
          </w:tcPr>
          <w:p w14:paraId="0472FD1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15</w:t>
            </w:r>
          </w:p>
        </w:tc>
        <w:tc>
          <w:tcPr>
            <w:tcW w:w="851" w:type="dxa"/>
            <w:tcBorders>
              <w:top w:val="single" w:sz="4" w:space="0" w:color="auto"/>
            </w:tcBorders>
          </w:tcPr>
          <w:p w14:paraId="4A63E4A5"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46.88</w:t>
            </w:r>
          </w:p>
        </w:tc>
        <w:tc>
          <w:tcPr>
            <w:tcW w:w="1134" w:type="dxa"/>
            <w:tcBorders>
              <w:top w:val="single" w:sz="4" w:space="0" w:color="auto"/>
            </w:tcBorders>
          </w:tcPr>
          <w:p w14:paraId="75477BDC"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17</w:t>
            </w:r>
          </w:p>
        </w:tc>
        <w:tc>
          <w:tcPr>
            <w:tcW w:w="1134" w:type="dxa"/>
            <w:tcBorders>
              <w:top w:val="single" w:sz="4" w:space="0" w:color="auto"/>
            </w:tcBorders>
          </w:tcPr>
          <w:p w14:paraId="526792AB"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53.12</w:t>
            </w:r>
          </w:p>
        </w:tc>
      </w:tr>
    </w:tbl>
    <w:p w14:paraId="560182E9" w14:textId="77777777" w:rsidR="007F2B77" w:rsidRPr="00FD5076" w:rsidRDefault="007F2B77" w:rsidP="00FD5076">
      <w:pPr>
        <w:spacing w:after="0" w:line="240" w:lineRule="auto"/>
        <w:jc w:val="both"/>
        <w:rPr>
          <w:rFonts w:ascii="Times New Roman" w:hAnsi="Times New Roman" w:cs="Times New Roman"/>
          <w:sz w:val="24"/>
          <w:szCs w:val="24"/>
        </w:rPr>
      </w:pPr>
    </w:p>
    <w:p w14:paraId="3375DB55" w14:textId="2E23A50E" w:rsidR="007F2B77" w:rsidRPr="00FD5076" w:rsidRDefault="00F414C9" w:rsidP="00FD5076">
      <w:pPr>
        <w:spacing w:after="0" w:line="240" w:lineRule="auto"/>
        <w:jc w:val="center"/>
        <w:rPr>
          <w:rFonts w:ascii="Times New Roman" w:hAnsi="Times New Roman" w:cs="Times New Roman"/>
          <w:b/>
          <w:sz w:val="24"/>
          <w:szCs w:val="24"/>
        </w:rPr>
      </w:pPr>
      <w:r w:rsidRPr="00FD5076">
        <w:rPr>
          <w:rFonts w:ascii="Times New Roman" w:hAnsi="Times New Roman" w:cs="Times New Roman"/>
          <w:b/>
          <w:sz w:val="24"/>
          <w:szCs w:val="24"/>
        </w:rPr>
        <w:t>RESULTS</w:t>
      </w:r>
    </w:p>
    <w:p w14:paraId="22905009" w14:textId="7B6E2FFB" w:rsidR="002624D8" w:rsidRPr="00FD5076" w:rsidRDefault="008B2B25" w:rsidP="00FD5076">
      <w:pPr>
        <w:spacing w:after="0" w:line="240" w:lineRule="auto"/>
        <w:ind w:firstLine="720"/>
        <w:jc w:val="both"/>
        <w:rPr>
          <w:rFonts w:ascii="Times New Roman" w:hAnsi="Times New Roman" w:cs="Times New Roman"/>
          <w:bCs/>
          <w:sz w:val="24"/>
          <w:szCs w:val="24"/>
        </w:rPr>
      </w:pPr>
      <w:r w:rsidRPr="00FD5076">
        <w:rPr>
          <w:rFonts w:ascii="Times New Roman" w:hAnsi="Times New Roman" w:cs="Times New Roman"/>
          <w:bCs/>
          <w:sz w:val="24"/>
          <w:szCs w:val="24"/>
        </w:rPr>
        <w:t>Table 2 presents the gender distribution and employment status of the 32 responding graduates. The sample was predominantly male (62.5%, or 20 respondents), with females comprising 37.5% (12 respondents). A significant 53.12% (17 respondents) were unemployed, while 46.88% (15 respondents) were employed.</w:t>
      </w:r>
    </w:p>
    <w:p w14:paraId="509E5355" w14:textId="77777777" w:rsidR="008B2B25" w:rsidRPr="00FD5076" w:rsidRDefault="008B2B25" w:rsidP="00FD5076">
      <w:pPr>
        <w:spacing w:after="0" w:line="240" w:lineRule="auto"/>
        <w:jc w:val="both"/>
        <w:rPr>
          <w:rFonts w:ascii="Times New Roman" w:hAnsi="Times New Roman" w:cs="Times New Roman"/>
          <w:sz w:val="24"/>
          <w:szCs w:val="24"/>
        </w:rPr>
      </w:pPr>
    </w:p>
    <w:p w14:paraId="6610C307" w14:textId="0997E09B" w:rsidR="002624D8" w:rsidRPr="00FD5076" w:rsidRDefault="002624D8" w:rsidP="00FD5076">
      <w:pPr>
        <w:spacing w:after="0" w:line="240" w:lineRule="auto"/>
        <w:jc w:val="both"/>
        <w:rPr>
          <w:rFonts w:ascii="Times New Roman" w:hAnsi="Times New Roman" w:cs="Times New Roman"/>
          <w:sz w:val="24"/>
          <w:szCs w:val="24"/>
        </w:rPr>
      </w:pPr>
      <w:r w:rsidRPr="00FD5076">
        <w:rPr>
          <w:rFonts w:ascii="Times New Roman" w:hAnsi="Times New Roman" w:cs="Times New Roman"/>
          <w:b/>
          <w:bCs/>
          <w:sz w:val="24"/>
          <w:szCs w:val="24"/>
        </w:rPr>
        <w:t xml:space="preserve">                         Table 2.</w:t>
      </w:r>
      <w:r w:rsidRPr="00FD5076">
        <w:rPr>
          <w:rFonts w:ascii="Times New Roman" w:hAnsi="Times New Roman" w:cs="Times New Roman"/>
          <w:sz w:val="24"/>
          <w:szCs w:val="24"/>
        </w:rPr>
        <w:t xml:space="preserve"> Sex and employability of the respondents</w:t>
      </w:r>
    </w:p>
    <w:tbl>
      <w:tblPr>
        <w:tblStyle w:val="TableGrid1"/>
        <w:tblW w:w="6521" w:type="dxa"/>
        <w:jc w:val="center"/>
        <w:tblBorders>
          <w:left w:val="none" w:sz="0" w:space="0" w:color="auto"/>
          <w:right w:val="none" w:sz="0" w:space="0" w:color="auto"/>
        </w:tblBorders>
        <w:tblLook w:val="04A0" w:firstRow="1" w:lastRow="0" w:firstColumn="1" w:lastColumn="0" w:noHBand="0" w:noVBand="1"/>
      </w:tblPr>
      <w:tblGrid>
        <w:gridCol w:w="1701"/>
        <w:gridCol w:w="2410"/>
        <w:gridCol w:w="2410"/>
      </w:tblGrid>
      <w:tr w:rsidR="002624D8" w:rsidRPr="00FD5076" w14:paraId="025934E1" w14:textId="77777777" w:rsidTr="002624D8">
        <w:trPr>
          <w:jc w:val="center"/>
        </w:trPr>
        <w:tc>
          <w:tcPr>
            <w:tcW w:w="1701" w:type="dxa"/>
            <w:tcBorders>
              <w:bottom w:val="nil"/>
              <w:right w:val="nil"/>
            </w:tcBorders>
          </w:tcPr>
          <w:p w14:paraId="1AE62C49"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Variable</w:t>
            </w:r>
          </w:p>
        </w:tc>
        <w:tc>
          <w:tcPr>
            <w:tcW w:w="2410" w:type="dxa"/>
            <w:tcBorders>
              <w:left w:val="nil"/>
              <w:bottom w:val="nil"/>
              <w:right w:val="nil"/>
            </w:tcBorders>
          </w:tcPr>
          <w:p w14:paraId="0B3DA9B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Frequency</w:t>
            </w:r>
          </w:p>
        </w:tc>
        <w:tc>
          <w:tcPr>
            <w:tcW w:w="2410" w:type="dxa"/>
            <w:tcBorders>
              <w:left w:val="nil"/>
              <w:bottom w:val="nil"/>
            </w:tcBorders>
          </w:tcPr>
          <w:p w14:paraId="57A57A7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Percentage</w:t>
            </w:r>
          </w:p>
        </w:tc>
      </w:tr>
      <w:tr w:rsidR="002624D8" w:rsidRPr="00FD5076" w14:paraId="2E4DE487" w14:textId="77777777" w:rsidTr="002624D8">
        <w:trPr>
          <w:jc w:val="center"/>
        </w:trPr>
        <w:tc>
          <w:tcPr>
            <w:tcW w:w="1701" w:type="dxa"/>
            <w:tcBorders>
              <w:top w:val="nil"/>
              <w:bottom w:val="single" w:sz="4" w:space="0" w:color="auto"/>
              <w:right w:val="nil"/>
            </w:tcBorders>
          </w:tcPr>
          <w:p w14:paraId="334E4DF1" w14:textId="77777777" w:rsidR="002624D8" w:rsidRPr="00FD5076" w:rsidRDefault="002624D8" w:rsidP="00FD5076">
            <w:pPr>
              <w:rPr>
                <w:rFonts w:ascii="Times New Roman" w:eastAsia="Calibri" w:hAnsi="Times New Roman" w:cs="Times New Roman"/>
                <w:sz w:val="24"/>
                <w:szCs w:val="24"/>
              </w:rPr>
            </w:pPr>
          </w:p>
        </w:tc>
        <w:tc>
          <w:tcPr>
            <w:tcW w:w="2410" w:type="dxa"/>
            <w:tcBorders>
              <w:top w:val="nil"/>
              <w:left w:val="nil"/>
              <w:bottom w:val="single" w:sz="4" w:space="0" w:color="auto"/>
              <w:right w:val="nil"/>
            </w:tcBorders>
          </w:tcPr>
          <w:p w14:paraId="5E10E4D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N=32</w:t>
            </w:r>
          </w:p>
        </w:tc>
        <w:tc>
          <w:tcPr>
            <w:tcW w:w="2410" w:type="dxa"/>
            <w:tcBorders>
              <w:top w:val="nil"/>
              <w:left w:val="nil"/>
              <w:bottom w:val="single" w:sz="4" w:space="0" w:color="auto"/>
            </w:tcBorders>
          </w:tcPr>
          <w:p w14:paraId="492868E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w:t>
            </w:r>
          </w:p>
        </w:tc>
      </w:tr>
      <w:tr w:rsidR="002624D8" w:rsidRPr="00FD5076" w14:paraId="7AE66680" w14:textId="77777777" w:rsidTr="002624D8">
        <w:trPr>
          <w:jc w:val="center"/>
        </w:trPr>
        <w:tc>
          <w:tcPr>
            <w:tcW w:w="1701" w:type="dxa"/>
            <w:tcBorders>
              <w:bottom w:val="nil"/>
              <w:right w:val="nil"/>
            </w:tcBorders>
          </w:tcPr>
          <w:p w14:paraId="7D44CAC2"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Sex</w:t>
            </w:r>
          </w:p>
        </w:tc>
        <w:tc>
          <w:tcPr>
            <w:tcW w:w="2410" w:type="dxa"/>
            <w:tcBorders>
              <w:left w:val="nil"/>
              <w:bottom w:val="nil"/>
              <w:right w:val="nil"/>
            </w:tcBorders>
          </w:tcPr>
          <w:p w14:paraId="53236BC3" w14:textId="77777777" w:rsidR="002624D8" w:rsidRPr="00FD5076" w:rsidRDefault="002624D8" w:rsidP="00FD5076">
            <w:pPr>
              <w:rPr>
                <w:rFonts w:ascii="Times New Roman" w:eastAsia="Calibri" w:hAnsi="Times New Roman" w:cs="Times New Roman"/>
                <w:sz w:val="24"/>
                <w:szCs w:val="24"/>
              </w:rPr>
            </w:pPr>
          </w:p>
        </w:tc>
        <w:tc>
          <w:tcPr>
            <w:tcW w:w="2410" w:type="dxa"/>
            <w:tcBorders>
              <w:left w:val="nil"/>
              <w:bottom w:val="nil"/>
            </w:tcBorders>
          </w:tcPr>
          <w:p w14:paraId="10E9F847" w14:textId="77777777" w:rsidR="002624D8" w:rsidRPr="00FD5076" w:rsidRDefault="002624D8" w:rsidP="00FD5076">
            <w:pPr>
              <w:rPr>
                <w:rFonts w:ascii="Times New Roman" w:eastAsia="Calibri" w:hAnsi="Times New Roman" w:cs="Times New Roman"/>
                <w:sz w:val="24"/>
                <w:szCs w:val="24"/>
              </w:rPr>
            </w:pPr>
          </w:p>
        </w:tc>
      </w:tr>
      <w:tr w:rsidR="002624D8" w:rsidRPr="00FD5076" w14:paraId="1720C4B2" w14:textId="77777777" w:rsidTr="002624D8">
        <w:trPr>
          <w:jc w:val="center"/>
        </w:trPr>
        <w:tc>
          <w:tcPr>
            <w:tcW w:w="1701" w:type="dxa"/>
            <w:tcBorders>
              <w:top w:val="nil"/>
              <w:bottom w:val="nil"/>
              <w:right w:val="nil"/>
            </w:tcBorders>
          </w:tcPr>
          <w:p w14:paraId="73F72ADE"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Male</w:t>
            </w:r>
          </w:p>
        </w:tc>
        <w:tc>
          <w:tcPr>
            <w:tcW w:w="2410" w:type="dxa"/>
            <w:tcBorders>
              <w:top w:val="nil"/>
              <w:left w:val="nil"/>
              <w:bottom w:val="nil"/>
              <w:right w:val="nil"/>
            </w:tcBorders>
          </w:tcPr>
          <w:p w14:paraId="6C3475E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w:t>
            </w:r>
          </w:p>
        </w:tc>
        <w:tc>
          <w:tcPr>
            <w:tcW w:w="2410" w:type="dxa"/>
            <w:tcBorders>
              <w:top w:val="nil"/>
              <w:left w:val="nil"/>
              <w:bottom w:val="nil"/>
            </w:tcBorders>
          </w:tcPr>
          <w:p w14:paraId="339C882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62.6</w:t>
            </w:r>
          </w:p>
        </w:tc>
      </w:tr>
      <w:tr w:rsidR="002624D8" w:rsidRPr="00FD5076" w14:paraId="587CCAE7" w14:textId="77777777" w:rsidTr="002624D8">
        <w:trPr>
          <w:jc w:val="center"/>
        </w:trPr>
        <w:tc>
          <w:tcPr>
            <w:tcW w:w="1701" w:type="dxa"/>
            <w:tcBorders>
              <w:top w:val="nil"/>
              <w:bottom w:val="single" w:sz="4" w:space="0" w:color="auto"/>
              <w:right w:val="nil"/>
            </w:tcBorders>
          </w:tcPr>
          <w:p w14:paraId="5F26A9CB"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Female</w:t>
            </w:r>
          </w:p>
        </w:tc>
        <w:tc>
          <w:tcPr>
            <w:tcW w:w="2410" w:type="dxa"/>
            <w:tcBorders>
              <w:top w:val="nil"/>
              <w:left w:val="nil"/>
              <w:bottom w:val="single" w:sz="4" w:space="0" w:color="auto"/>
              <w:right w:val="nil"/>
            </w:tcBorders>
          </w:tcPr>
          <w:p w14:paraId="694CB55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12</w:t>
            </w:r>
          </w:p>
        </w:tc>
        <w:tc>
          <w:tcPr>
            <w:tcW w:w="2410" w:type="dxa"/>
            <w:tcBorders>
              <w:top w:val="nil"/>
              <w:left w:val="nil"/>
              <w:bottom w:val="single" w:sz="4" w:space="0" w:color="auto"/>
            </w:tcBorders>
          </w:tcPr>
          <w:p w14:paraId="3ED6FB8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37.5</w:t>
            </w:r>
          </w:p>
        </w:tc>
      </w:tr>
      <w:tr w:rsidR="002624D8" w:rsidRPr="00FD5076" w14:paraId="2283A723" w14:textId="77777777" w:rsidTr="002624D8">
        <w:trPr>
          <w:jc w:val="center"/>
        </w:trPr>
        <w:tc>
          <w:tcPr>
            <w:tcW w:w="1701" w:type="dxa"/>
            <w:tcBorders>
              <w:top w:val="single" w:sz="4" w:space="0" w:color="auto"/>
              <w:bottom w:val="single" w:sz="4" w:space="0" w:color="auto"/>
              <w:right w:val="nil"/>
            </w:tcBorders>
          </w:tcPr>
          <w:p w14:paraId="4680DDBA"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2410" w:type="dxa"/>
            <w:tcBorders>
              <w:top w:val="single" w:sz="4" w:space="0" w:color="auto"/>
              <w:left w:val="nil"/>
              <w:bottom w:val="single" w:sz="4" w:space="0" w:color="auto"/>
              <w:right w:val="nil"/>
            </w:tcBorders>
          </w:tcPr>
          <w:p w14:paraId="58C7124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32</w:t>
            </w:r>
          </w:p>
        </w:tc>
        <w:tc>
          <w:tcPr>
            <w:tcW w:w="2410" w:type="dxa"/>
            <w:tcBorders>
              <w:top w:val="single" w:sz="4" w:space="0" w:color="auto"/>
              <w:left w:val="nil"/>
              <w:bottom w:val="single" w:sz="4" w:space="0" w:color="auto"/>
            </w:tcBorders>
          </w:tcPr>
          <w:p w14:paraId="6815AC6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r w:rsidR="002624D8" w:rsidRPr="00FD5076" w14:paraId="62F3B53E" w14:textId="77777777" w:rsidTr="002624D8">
        <w:trPr>
          <w:jc w:val="center"/>
        </w:trPr>
        <w:tc>
          <w:tcPr>
            <w:tcW w:w="1701" w:type="dxa"/>
            <w:tcBorders>
              <w:bottom w:val="nil"/>
              <w:right w:val="nil"/>
            </w:tcBorders>
          </w:tcPr>
          <w:p w14:paraId="2FAFBAA4"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Employability</w:t>
            </w:r>
          </w:p>
        </w:tc>
        <w:tc>
          <w:tcPr>
            <w:tcW w:w="2410" w:type="dxa"/>
            <w:tcBorders>
              <w:left w:val="nil"/>
              <w:bottom w:val="nil"/>
              <w:right w:val="nil"/>
            </w:tcBorders>
          </w:tcPr>
          <w:p w14:paraId="0397DFA7" w14:textId="77777777" w:rsidR="002624D8" w:rsidRPr="00FD5076" w:rsidRDefault="002624D8" w:rsidP="00FD5076">
            <w:pPr>
              <w:jc w:val="center"/>
              <w:rPr>
                <w:rFonts w:ascii="Times New Roman" w:eastAsia="Calibri" w:hAnsi="Times New Roman" w:cs="Times New Roman"/>
                <w:sz w:val="24"/>
                <w:szCs w:val="24"/>
              </w:rPr>
            </w:pPr>
          </w:p>
        </w:tc>
        <w:tc>
          <w:tcPr>
            <w:tcW w:w="2410" w:type="dxa"/>
            <w:tcBorders>
              <w:left w:val="nil"/>
              <w:bottom w:val="nil"/>
            </w:tcBorders>
          </w:tcPr>
          <w:p w14:paraId="746BB460" w14:textId="77777777" w:rsidR="002624D8" w:rsidRPr="00FD5076" w:rsidRDefault="002624D8" w:rsidP="00FD5076">
            <w:pPr>
              <w:jc w:val="center"/>
              <w:rPr>
                <w:rFonts w:ascii="Times New Roman" w:eastAsia="Calibri" w:hAnsi="Times New Roman" w:cs="Times New Roman"/>
                <w:sz w:val="24"/>
                <w:szCs w:val="24"/>
              </w:rPr>
            </w:pPr>
          </w:p>
        </w:tc>
      </w:tr>
      <w:tr w:rsidR="002624D8" w:rsidRPr="00FD5076" w14:paraId="24B6F869" w14:textId="77777777" w:rsidTr="002624D8">
        <w:trPr>
          <w:jc w:val="center"/>
        </w:trPr>
        <w:tc>
          <w:tcPr>
            <w:tcW w:w="1701" w:type="dxa"/>
            <w:tcBorders>
              <w:top w:val="nil"/>
              <w:bottom w:val="nil"/>
              <w:right w:val="nil"/>
            </w:tcBorders>
          </w:tcPr>
          <w:p w14:paraId="3A7CFACB"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Employed</w:t>
            </w:r>
          </w:p>
        </w:tc>
        <w:tc>
          <w:tcPr>
            <w:tcW w:w="2410" w:type="dxa"/>
            <w:tcBorders>
              <w:top w:val="nil"/>
              <w:left w:val="nil"/>
              <w:bottom w:val="nil"/>
              <w:right w:val="nil"/>
            </w:tcBorders>
          </w:tcPr>
          <w:p w14:paraId="67AE0D78"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2410" w:type="dxa"/>
            <w:tcBorders>
              <w:top w:val="nil"/>
              <w:left w:val="nil"/>
              <w:bottom w:val="nil"/>
            </w:tcBorders>
          </w:tcPr>
          <w:p w14:paraId="1B4798A0"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46.88</w:t>
            </w:r>
          </w:p>
        </w:tc>
      </w:tr>
      <w:tr w:rsidR="002624D8" w:rsidRPr="00FD5076" w14:paraId="1FF9E10B" w14:textId="77777777" w:rsidTr="002624D8">
        <w:trPr>
          <w:jc w:val="center"/>
        </w:trPr>
        <w:tc>
          <w:tcPr>
            <w:tcW w:w="1701" w:type="dxa"/>
            <w:tcBorders>
              <w:top w:val="nil"/>
              <w:bottom w:val="single" w:sz="4" w:space="0" w:color="auto"/>
              <w:right w:val="nil"/>
            </w:tcBorders>
          </w:tcPr>
          <w:p w14:paraId="1A649629"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Unemployed</w:t>
            </w:r>
          </w:p>
        </w:tc>
        <w:tc>
          <w:tcPr>
            <w:tcW w:w="2410" w:type="dxa"/>
            <w:tcBorders>
              <w:top w:val="nil"/>
              <w:left w:val="nil"/>
              <w:bottom w:val="single" w:sz="4" w:space="0" w:color="auto"/>
              <w:right w:val="nil"/>
            </w:tcBorders>
          </w:tcPr>
          <w:p w14:paraId="1FE1575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17</w:t>
            </w:r>
          </w:p>
        </w:tc>
        <w:tc>
          <w:tcPr>
            <w:tcW w:w="2410" w:type="dxa"/>
            <w:tcBorders>
              <w:top w:val="nil"/>
              <w:left w:val="nil"/>
              <w:bottom w:val="single" w:sz="4" w:space="0" w:color="auto"/>
            </w:tcBorders>
          </w:tcPr>
          <w:p w14:paraId="22E0AA8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53.12</w:t>
            </w:r>
          </w:p>
        </w:tc>
      </w:tr>
      <w:tr w:rsidR="002624D8" w:rsidRPr="00FD5076" w14:paraId="326A6988" w14:textId="77777777" w:rsidTr="002624D8">
        <w:trPr>
          <w:jc w:val="center"/>
        </w:trPr>
        <w:tc>
          <w:tcPr>
            <w:tcW w:w="1701" w:type="dxa"/>
            <w:tcBorders>
              <w:top w:val="single" w:sz="4" w:space="0" w:color="auto"/>
              <w:right w:val="nil"/>
            </w:tcBorders>
          </w:tcPr>
          <w:p w14:paraId="503B3617"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2410" w:type="dxa"/>
            <w:tcBorders>
              <w:top w:val="single" w:sz="4" w:space="0" w:color="auto"/>
              <w:left w:val="nil"/>
              <w:right w:val="nil"/>
            </w:tcBorders>
          </w:tcPr>
          <w:p w14:paraId="0A96FB0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32</w:t>
            </w:r>
          </w:p>
        </w:tc>
        <w:tc>
          <w:tcPr>
            <w:tcW w:w="2410" w:type="dxa"/>
            <w:tcBorders>
              <w:top w:val="single" w:sz="4" w:space="0" w:color="auto"/>
              <w:left w:val="nil"/>
            </w:tcBorders>
          </w:tcPr>
          <w:p w14:paraId="5D2A14B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bl>
    <w:p w14:paraId="6FF76026" w14:textId="77777777" w:rsidR="002624D8" w:rsidRPr="00FD5076" w:rsidRDefault="002624D8" w:rsidP="00FD5076">
      <w:pPr>
        <w:tabs>
          <w:tab w:val="left" w:pos="2203"/>
        </w:tabs>
        <w:spacing w:after="0" w:line="240" w:lineRule="auto"/>
        <w:jc w:val="both"/>
        <w:rPr>
          <w:rFonts w:ascii="Times New Roman" w:hAnsi="Times New Roman" w:cs="Times New Roman"/>
          <w:sz w:val="24"/>
          <w:szCs w:val="24"/>
        </w:rPr>
      </w:pPr>
    </w:p>
    <w:p w14:paraId="688ED48D" w14:textId="3DF5F3BC" w:rsidR="002624D8" w:rsidRPr="00FD5076"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Table 3 details the competency skills, employment status, sector, and job tenure of the BS Fisheries graduates. Human relations skills were most prevalent (40%), followed by critical thinking (26.67%), communication (20%), and problem-solving/entrepreneurial skills (both at 6.67%). Among the 15 employed graduates, most (73.33%) held contractual positions, with a smaller percentage self-employed (13.33%) or in regular/permanent or temporary roles (6.67% each) (Table </w:t>
      </w:r>
      <w:r w:rsidR="00FF229F">
        <w:rPr>
          <w:rFonts w:ascii="Times New Roman" w:hAnsi="Times New Roman" w:cs="Times New Roman"/>
          <w:sz w:val="24"/>
          <w:szCs w:val="24"/>
        </w:rPr>
        <w:t>3</w:t>
      </w:r>
      <w:r w:rsidRPr="00FD5076">
        <w:rPr>
          <w:rFonts w:ascii="Times New Roman" w:hAnsi="Times New Roman" w:cs="Times New Roman"/>
          <w:sz w:val="24"/>
          <w:szCs w:val="24"/>
        </w:rPr>
        <w:t>). Employment sectors included sales (26.67%), financial intermediation (20%), wholesale/retail trade (20%), education (13%), public administration (13.33%), and manufacturing (6.67%). Job tenure was short, with 40% having 1-6 months of experience, 33.33% less than a year, and only 26.67% two years or more.</w:t>
      </w:r>
    </w:p>
    <w:p w14:paraId="1FFF5B96" w14:textId="77777777" w:rsidR="008B2B25" w:rsidRPr="00FD5076" w:rsidRDefault="008B2B25" w:rsidP="00730839">
      <w:pPr>
        <w:pStyle w:val="NoSpacing"/>
        <w:jc w:val="both"/>
        <w:rPr>
          <w:rFonts w:ascii="Times New Roman" w:hAnsi="Times New Roman" w:cs="Times New Roman"/>
          <w:sz w:val="24"/>
          <w:szCs w:val="24"/>
        </w:rPr>
      </w:pPr>
    </w:p>
    <w:p w14:paraId="3FD64D56" w14:textId="017656F4" w:rsidR="002624D8" w:rsidRPr="00FD5076" w:rsidRDefault="002624D8" w:rsidP="00FD5076">
      <w:pPr>
        <w:spacing w:line="240" w:lineRule="auto"/>
        <w:jc w:val="both"/>
        <w:rPr>
          <w:rFonts w:ascii="Calibri" w:eastAsia="Calibri" w:hAnsi="Calibri" w:cs="Times New Roman"/>
          <w:kern w:val="2"/>
          <w:sz w:val="24"/>
          <w:szCs w:val="24"/>
          <w14:ligatures w14:val="standardContextual"/>
        </w:rPr>
      </w:pPr>
      <w:r w:rsidRPr="00FD5076">
        <w:rPr>
          <w:rFonts w:ascii="Times New Roman" w:eastAsia="Calibri" w:hAnsi="Times New Roman" w:cs="Times New Roman"/>
          <w:b/>
          <w:bCs/>
          <w:sz w:val="24"/>
          <w:szCs w:val="24"/>
        </w:rPr>
        <w:t>Table 3.</w:t>
      </w:r>
      <w:r w:rsidRPr="00FD5076">
        <w:rPr>
          <w:rFonts w:ascii="Times New Roman" w:eastAsia="Calibri" w:hAnsi="Times New Roman" w:cs="Times New Roman"/>
          <w:sz w:val="24"/>
          <w:szCs w:val="24"/>
        </w:rPr>
        <w:t xml:space="preserve"> Frequency distribution of BSFT/BSFi graduates tracer respondents </w:t>
      </w:r>
    </w:p>
    <w:tbl>
      <w:tblPr>
        <w:tblStyle w:val="TableGrid4"/>
        <w:tblW w:w="0" w:type="auto"/>
        <w:jc w:val="center"/>
        <w:tblBorders>
          <w:insideV w:val="none" w:sz="0" w:space="0" w:color="auto"/>
        </w:tblBorders>
        <w:tblLook w:val="04A0" w:firstRow="1" w:lastRow="0" w:firstColumn="1" w:lastColumn="0" w:noHBand="0" w:noVBand="1"/>
      </w:tblPr>
      <w:tblGrid>
        <w:gridCol w:w="5812"/>
        <w:gridCol w:w="1701"/>
        <w:gridCol w:w="1571"/>
      </w:tblGrid>
      <w:tr w:rsidR="002624D8" w:rsidRPr="00FD5076" w14:paraId="1884AF90" w14:textId="77777777" w:rsidTr="00192BA8">
        <w:trPr>
          <w:jc w:val="center"/>
        </w:trPr>
        <w:tc>
          <w:tcPr>
            <w:tcW w:w="5812" w:type="dxa"/>
            <w:tcBorders>
              <w:left w:val="nil"/>
              <w:bottom w:val="nil"/>
            </w:tcBorders>
          </w:tcPr>
          <w:p w14:paraId="1B61AF44"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Variable</w:t>
            </w:r>
          </w:p>
        </w:tc>
        <w:tc>
          <w:tcPr>
            <w:tcW w:w="1701" w:type="dxa"/>
            <w:tcBorders>
              <w:bottom w:val="nil"/>
            </w:tcBorders>
          </w:tcPr>
          <w:p w14:paraId="0D8D8113"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Frequency</w:t>
            </w:r>
          </w:p>
        </w:tc>
        <w:tc>
          <w:tcPr>
            <w:tcW w:w="1571" w:type="dxa"/>
            <w:tcBorders>
              <w:bottom w:val="nil"/>
              <w:right w:val="nil"/>
            </w:tcBorders>
          </w:tcPr>
          <w:p w14:paraId="089D605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Percentage</w:t>
            </w:r>
          </w:p>
        </w:tc>
      </w:tr>
      <w:tr w:rsidR="002624D8" w:rsidRPr="00FD5076" w14:paraId="7912201F" w14:textId="77777777" w:rsidTr="00192BA8">
        <w:trPr>
          <w:jc w:val="center"/>
        </w:trPr>
        <w:tc>
          <w:tcPr>
            <w:tcW w:w="5812" w:type="dxa"/>
            <w:tcBorders>
              <w:top w:val="nil"/>
              <w:left w:val="nil"/>
              <w:bottom w:val="single" w:sz="4" w:space="0" w:color="auto"/>
            </w:tcBorders>
          </w:tcPr>
          <w:p w14:paraId="354FDA44" w14:textId="77777777" w:rsidR="002624D8" w:rsidRPr="00FD5076" w:rsidRDefault="002624D8" w:rsidP="00FD5076">
            <w:pPr>
              <w:rPr>
                <w:rFonts w:ascii="Times New Roman" w:eastAsia="Calibri" w:hAnsi="Times New Roman" w:cs="Times New Roman"/>
                <w:sz w:val="24"/>
                <w:szCs w:val="24"/>
              </w:rPr>
            </w:pPr>
          </w:p>
        </w:tc>
        <w:tc>
          <w:tcPr>
            <w:tcW w:w="1701" w:type="dxa"/>
            <w:tcBorders>
              <w:top w:val="nil"/>
              <w:bottom w:val="single" w:sz="4" w:space="0" w:color="auto"/>
            </w:tcBorders>
          </w:tcPr>
          <w:p w14:paraId="537529F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N=15</w:t>
            </w:r>
          </w:p>
        </w:tc>
        <w:tc>
          <w:tcPr>
            <w:tcW w:w="1571" w:type="dxa"/>
            <w:tcBorders>
              <w:top w:val="nil"/>
              <w:bottom w:val="single" w:sz="4" w:space="0" w:color="auto"/>
              <w:right w:val="nil"/>
            </w:tcBorders>
          </w:tcPr>
          <w:p w14:paraId="50D7923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w:t>
            </w:r>
          </w:p>
        </w:tc>
      </w:tr>
      <w:tr w:rsidR="002624D8" w:rsidRPr="00FD5076" w14:paraId="0F93BB85" w14:textId="77777777" w:rsidTr="00192BA8">
        <w:trPr>
          <w:jc w:val="center"/>
        </w:trPr>
        <w:tc>
          <w:tcPr>
            <w:tcW w:w="5812" w:type="dxa"/>
            <w:tcBorders>
              <w:left w:val="nil"/>
              <w:bottom w:val="nil"/>
            </w:tcBorders>
          </w:tcPr>
          <w:p w14:paraId="47675007"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Competency skills</w:t>
            </w:r>
          </w:p>
        </w:tc>
        <w:tc>
          <w:tcPr>
            <w:tcW w:w="1701" w:type="dxa"/>
            <w:tcBorders>
              <w:bottom w:val="nil"/>
            </w:tcBorders>
          </w:tcPr>
          <w:p w14:paraId="617605AA" w14:textId="77777777" w:rsidR="002624D8" w:rsidRPr="00FD5076" w:rsidRDefault="002624D8" w:rsidP="00FD5076">
            <w:pPr>
              <w:jc w:val="center"/>
              <w:rPr>
                <w:rFonts w:ascii="Times New Roman" w:eastAsia="Calibri" w:hAnsi="Times New Roman" w:cs="Times New Roman"/>
                <w:sz w:val="24"/>
                <w:szCs w:val="24"/>
              </w:rPr>
            </w:pPr>
          </w:p>
        </w:tc>
        <w:tc>
          <w:tcPr>
            <w:tcW w:w="1571" w:type="dxa"/>
            <w:tcBorders>
              <w:bottom w:val="nil"/>
              <w:right w:val="nil"/>
            </w:tcBorders>
          </w:tcPr>
          <w:p w14:paraId="07C444E5" w14:textId="77777777" w:rsidR="002624D8" w:rsidRPr="00FD5076" w:rsidRDefault="002624D8" w:rsidP="00FD5076">
            <w:pPr>
              <w:jc w:val="center"/>
              <w:rPr>
                <w:rFonts w:ascii="Times New Roman" w:eastAsia="Calibri" w:hAnsi="Times New Roman" w:cs="Times New Roman"/>
                <w:sz w:val="24"/>
                <w:szCs w:val="24"/>
              </w:rPr>
            </w:pPr>
          </w:p>
        </w:tc>
      </w:tr>
      <w:tr w:rsidR="002624D8" w:rsidRPr="00FD5076" w14:paraId="35FAD753" w14:textId="77777777" w:rsidTr="00192BA8">
        <w:trPr>
          <w:jc w:val="center"/>
        </w:trPr>
        <w:tc>
          <w:tcPr>
            <w:tcW w:w="5812" w:type="dxa"/>
            <w:tcBorders>
              <w:top w:val="nil"/>
              <w:left w:val="nil"/>
              <w:bottom w:val="nil"/>
            </w:tcBorders>
          </w:tcPr>
          <w:p w14:paraId="318D84E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Communication Skills</w:t>
            </w:r>
          </w:p>
        </w:tc>
        <w:tc>
          <w:tcPr>
            <w:tcW w:w="1701" w:type="dxa"/>
            <w:tcBorders>
              <w:top w:val="nil"/>
              <w:bottom w:val="nil"/>
            </w:tcBorders>
          </w:tcPr>
          <w:p w14:paraId="1D2F81F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w:t>
            </w:r>
          </w:p>
        </w:tc>
        <w:tc>
          <w:tcPr>
            <w:tcW w:w="1571" w:type="dxa"/>
            <w:tcBorders>
              <w:top w:val="nil"/>
              <w:bottom w:val="nil"/>
              <w:right w:val="nil"/>
            </w:tcBorders>
          </w:tcPr>
          <w:p w14:paraId="429A56A5"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20.00</w:t>
            </w:r>
          </w:p>
        </w:tc>
      </w:tr>
      <w:tr w:rsidR="002624D8" w:rsidRPr="00FD5076" w14:paraId="64022C27" w14:textId="77777777" w:rsidTr="00192BA8">
        <w:trPr>
          <w:jc w:val="center"/>
        </w:trPr>
        <w:tc>
          <w:tcPr>
            <w:tcW w:w="5812" w:type="dxa"/>
            <w:tcBorders>
              <w:top w:val="nil"/>
              <w:left w:val="nil"/>
              <w:bottom w:val="nil"/>
            </w:tcBorders>
          </w:tcPr>
          <w:p w14:paraId="73236DC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Critical Thinking Skills</w:t>
            </w:r>
          </w:p>
        </w:tc>
        <w:tc>
          <w:tcPr>
            <w:tcW w:w="1701" w:type="dxa"/>
            <w:tcBorders>
              <w:top w:val="nil"/>
              <w:bottom w:val="nil"/>
            </w:tcBorders>
          </w:tcPr>
          <w:p w14:paraId="313686D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w:t>
            </w:r>
          </w:p>
        </w:tc>
        <w:tc>
          <w:tcPr>
            <w:tcW w:w="1571" w:type="dxa"/>
            <w:tcBorders>
              <w:top w:val="nil"/>
              <w:bottom w:val="nil"/>
              <w:right w:val="nil"/>
            </w:tcBorders>
          </w:tcPr>
          <w:p w14:paraId="13DEC39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26.67</w:t>
            </w:r>
          </w:p>
        </w:tc>
      </w:tr>
      <w:tr w:rsidR="002624D8" w:rsidRPr="00FD5076" w14:paraId="7B922326" w14:textId="77777777" w:rsidTr="00192BA8">
        <w:trPr>
          <w:jc w:val="center"/>
        </w:trPr>
        <w:tc>
          <w:tcPr>
            <w:tcW w:w="5812" w:type="dxa"/>
            <w:tcBorders>
              <w:top w:val="nil"/>
              <w:left w:val="nil"/>
              <w:bottom w:val="nil"/>
            </w:tcBorders>
          </w:tcPr>
          <w:p w14:paraId="4264CC2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Entrepreneurial Skills</w:t>
            </w:r>
          </w:p>
        </w:tc>
        <w:tc>
          <w:tcPr>
            <w:tcW w:w="1701" w:type="dxa"/>
            <w:tcBorders>
              <w:top w:val="nil"/>
              <w:bottom w:val="nil"/>
            </w:tcBorders>
          </w:tcPr>
          <w:p w14:paraId="2FF7E06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bottom w:val="nil"/>
              <w:right w:val="nil"/>
            </w:tcBorders>
          </w:tcPr>
          <w:p w14:paraId="5368EE7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7DC9068B" w14:textId="77777777" w:rsidTr="00192BA8">
        <w:trPr>
          <w:jc w:val="center"/>
        </w:trPr>
        <w:tc>
          <w:tcPr>
            <w:tcW w:w="5812" w:type="dxa"/>
            <w:tcBorders>
              <w:top w:val="nil"/>
              <w:left w:val="nil"/>
              <w:bottom w:val="nil"/>
            </w:tcBorders>
          </w:tcPr>
          <w:p w14:paraId="305B5EAB"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Human Relations Skills</w:t>
            </w:r>
          </w:p>
        </w:tc>
        <w:tc>
          <w:tcPr>
            <w:tcW w:w="1701" w:type="dxa"/>
            <w:tcBorders>
              <w:top w:val="nil"/>
              <w:bottom w:val="nil"/>
            </w:tcBorders>
          </w:tcPr>
          <w:p w14:paraId="3C4B955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w:t>
            </w:r>
          </w:p>
        </w:tc>
        <w:tc>
          <w:tcPr>
            <w:tcW w:w="1571" w:type="dxa"/>
            <w:tcBorders>
              <w:top w:val="nil"/>
              <w:bottom w:val="nil"/>
              <w:right w:val="nil"/>
            </w:tcBorders>
          </w:tcPr>
          <w:p w14:paraId="3AAC446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40.00</w:t>
            </w:r>
          </w:p>
        </w:tc>
      </w:tr>
      <w:tr w:rsidR="002624D8" w:rsidRPr="00FD5076" w14:paraId="3B05C51E" w14:textId="77777777" w:rsidTr="00192BA8">
        <w:trPr>
          <w:jc w:val="center"/>
        </w:trPr>
        <w:tc>
          <w:tcPr>
            <w:tcW w:w="5812" w:type="dxa"/>
            <w:tcBorders>
              <w:top w:val="nil"/>
              <w:left w:val="nil"/>
            </w:tcBorders>
          </w:tcPr>
          <w:p w14:paraId="240D0E9D"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Problem-Solving Skills</w:t>
            </w:r>
          </w:p>
        </w:tc>
        <w:tc>
          <w:tcPr>
            <w:tcW w:w="1701" w:type="dxa"/>
            <w:tcBorders>
              <w:top w:val="nil"/>
            </w:tcBorders>
          </w:tcPr>
          <w:p w14:paraId="23F66A4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right w:val="nil"/>
            </w:tcBorders>
          </w:tcPr>
          <w:p w14:paraId="3F5856C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6C3C8A2B" w14:textId="77777777" w:rsidTr="00192BA8">
        <w:trPr>
          <w:jc w:val="center"/>
        </w:trPr>
        <w:tc>
          <w:tcPr>
            <w:tcW w:w="5812" w:type="dxa"/>
            <w:tcBorders>
              <w:top w:val="nil"/>
              <w:left w:val="nil"/>
              <w:bottom w:val="single" w:sz="4" w:space="0" w:color="auto"/>
            </w:tcBorders>
          </w:tcPr>
          <w:p w14:paraId="6767EBE9"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lastRenderedPageBreak/>
              <w:t>Total</w:t>
            </w:r>
          </w:p>
        </w:tc>
        <w:tc>
          <w:tcPr>
            <w:tcW w:w="1701" w:type="dxa"/>
            <w:tcBorders>
              <w:top w:val="nil"/>
              <w:bottom w:val="single" w:sz="4" w:space="0" w:color="auto"/>
            </w:tcBorders>
          </w:tcPr>
          <w:p w14:paraId="18D2259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top w:val="nil"/>
              <w:bottom w:val="single" w:sz="4" w:space="0" w:color="auto"/>
              <w:right w:val="nil"/>
            </w:tcBorders>
          </w:tcPr>
          <w:p w14:paraId="50F89A1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w:t>
            </w:r>
          </w:p>
        </w:tc>
      </w:tr>
      <w:tr w:rsidR="002624D8" w:rsidRPr="00FD5076" w14:paraId="0ADE43D5" w14:textId="77777777" w:rsidTr="00192BA8">
        <w:trPr>
          <w:jc w:val="center"/>
        </w:trPr>
        <w:tc>
          <w:tcPr>
            <w:tcW w:w="5812" w:type="dxa"/>
            <w:tcBorders>
              <w:left w:val="nil"/>
              <w:bottom w:val="nil"/>
            </w:tcBorders>
          </w:tcPr>
          <w:p w14:paraId="698D92B2"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Tenure Status</w:t>
            </w:r>
          </w:p>
        </w:tc>
        <w:tc>
          <w:tcPr>
            <w:tcW w:w="1701" w:type="dxa"/>
            <w:tcBorders>
              <w:bottom w:val="nil"/>
            </w:tcBorders>
          </w:tcPr>
          <w:p w14:paraId="7741B943" w14:textId="77777777" w:rsidR="002624D8" w:rsidRPr="00FD5076" w:rsidRDefault="002624D8" w:rsidP="00FD5076">
            <w:pPr>
              <w:rPr>
                <w:rFonts w:ascii="Times New Roman" w:eastAsia="Calibri" w:hAnsi="Times New Roman" w:cs="Times New Roman"/>
                <w:sz w:val="24"/>
                <w:szCs w:val="24"/>
              </w:rPr>
            </w:pPr>
          </w:p>
        </w:tc>
        <w:tc>
          <w:tcPr>
            <w:tcW w:w="1571" w:type="dxa"/>
            <w:tcBorders>
              <w:bottom w:val="nil"/>
              <w:right w:val="nil"/>
            </w:tcBorders>
          </w:tcPr>
          <w:p w14:paraId="2F6D302F" w14:textId="77777777" w:rsidR="002624D8" w:rsidRPr="00FD5076" w:rsidRDefault="002624D8" w:rsidP="00FD5076">
            <w:pPr>
              <w:rPr>
                <w:rFonts w:ascii="Times New Roman" w:eastAsia="Calibri" w:hAnsi="Times New Roman" w:cs="Times New Roman"/>
                <w:sz w:val="24"/>
                <w:szCs w:val="24"/>
              </w:rPr>
            </w:pPr>
          </w:p>
        </w:tc>
      </w:tr>
      <w:tr w:rsidR="002624D8" w:rsidRPr="00FD5076" w14:paraId="0F01F79C" w14:textId="77777777" w:rsidTr="00192BA8">
        <w:trPr>
          <w:jc w:val="center"/>
        </w:trPr>
        <w:tc>
          <w:tcPr>
            <w:tcW w:w="5812" w:type="dxa"/>
            <w:tcBorders>
              <w:top w:val="nil"/>
              <w:left w:val="nil"/>
              <w:bottom w:val="nil"/>
            </w:tcBorders>
          </w:tcPr>
          <w:p w14:paraId="0BDD042B"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Regular Permanent</w:t>
            </w:r>
          </w:p>
        </w:tc>
        <w:tc>
          <w:tcPr>
            <w:tcW w:w="1701" w:type="dxa"/>
            <w:tcBorders>
              <w:top w:val="nil"/>
              <w:bottom w:val="nil"/>
            </w:tcBorders>
          </w:tcPr>
          <w:p w14:paraId="38F5AB88"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bottom w:val="nil"/>
              <w:right w:val="nil"/>
            </w:tcBorders>
          </w:tcPr>
          <w:p w14:paraId="43C245F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0420F1B0" w14:textId="77777777" w:rsidTr="00192BA8">
        <w:trPr>
          <w:jc w:val="center"/>
        </w:trPr>
        <w:tc>
          <w:tcPr>
            <w:tcW w:w="5812" w:type="dxa"/>
            <w:tcBorders>
              <w:top w:val="nil"/>
              <w:left w:val="nil"/>
              <w:bottom w:val="nil"/>
            </w:tcBorders>
          </w:tcPr>
          <w:p w14:paraId="5984D2F8" w14:textId="7C5A3E4D"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Part</w:t>
            </w:r>
            <w:r w:rsidR="00382DED" w:rsidRPr="00FD5076">
              <w:rPr>
                <w:rFonts w:ascii="Times New Roman" w:eastAsia="Calibri" w:hAnsi="Times New Roman" w:cs="Times New Roman"/>
                <w:sz w:val="24"/>
                <w:szCs w:val="24"/>
              </w:rPr>
              <w:t>-</w:t>
            </w:r>
            <w:r w:rsidRPr="00FD5076">
              <w:rPr>
                <w:rFonts w:ascii="Times New Roman" w:eastAsia="Calibri" w:hAnsi="Times New Roman" w:cs="Times New Roman"/>
                <w:sz w:val="24"/>
                <w:szCs w:val="24"/>
              </w:rPr>
              <w:t>Time</w:t>
            </w:r>
          </w:p>
        </w:tc>
        <w:tc>
          <w:tcPr>
            <w:tcW w:w="1701" w:type="dxa"/>
            <w:tcBorders>
              <w:top w:val="nil"/>
              <w:bottom w:val="nil"/>
            </w:tcBorders>
          </w:tcPr>
          <w:p w14:paraId="579E4FE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bottom w:val="nil"/>
              <w:right w:val="nil"/>
            </w:tcBorders>
          </w:tcPr>
          <w:p w14:paraId="6F6B582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4E33688B" w14:textId="77777777" w:rsidTr="00192BA8">
        <w:trPr>
          <w:jc w:val="center"/>
        </w:trPr>
        <w:tc>
          <w:tcPr>
            <w:tcW w:w="5812" w:type="dxa"/>
            <w:tcBorders>
              <w:top w:val="nil"/>
              <w:left w:val="nil"/>
              <w:bottom w:val="nil"/>
            </w:tcBorders>
          </w:tcPr>
          <w:p w14:paraId="7EE49E9D"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Contractual/JO</w:t>
            </w:r>
          </w:p>
        </w:tc>
        <w:tc>
          <w:tcPr>
            <w:tcW w:w="1701" w:type="dxa"/>
            <w:tcBorders>
              <w:top w:val="nil"/>
              <w:bottom w:val="nil"/>
            </w:tcBorders>
          </w:tcPr>
          <w:p w14:paraId="23A5D74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11</w:t>
            </w:r>
          </w:p>
        </w:tc>
        <w:tc>
          <w:tcPr>
            <w:tcW w:w="1571" w:type="dxa"/>
            <w:tcBorders>
              <w:top w:val="nil"/>
              <w:bottom w:val="nil"/>
              <w:right w:val="nil"/>
            </w:tcBorders>
          </w:tcPr>
          <w:p w14:paraId="2C40D4E0"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73.33</w:t>
            </w:r>
          </w:p>
        </w:tc>
      </w:tr>
      <w:tr w:rsidR="002624D8" w:rsidRPr="00FD5076" w14:paraId="06865BD7" w14:textId="77777777" w:rsidTr="00192BA8">
        <w:trPr>
          <w:jc w:val="center"/>
        </w:trPr>
        <w:tc>
          <w:tcPr>
            <w:tcW w:w="5812" w:type="dxa"/>
            <w:tcBorders>
              <w:top w:val="nil"/>
              <w:left w:val="nil"/>
              <w:bottom w:val="nil"/>
            </w:tcBorders>
          </w:tcPr>
          <w:p w14:paraId="253E8E2A"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Self Employed</w:t>
            </w:r>
          </w:p>
        </w:tc>
        <w:tc>
          <w:tcPr>
            <w:tcW w:w="1701" w:type="dxa"/>
            <w:tcBorders>
              <w:top w:val="nil"/>
              <w:bottom w:val="nil"/>
            </w:tcBorders>
          </w:tcPr>
          <w:p w14:paraId="6BE0A9C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w:t>
            </w:r>
          </w:p>
        </w:tc>
        <w:tc>
          <w:tcPr>
            <w:tcW w:w="1571" w:type="dxa"/>
            <w:tcBorders>
              <w:top w:val="nil"/>
              <w:bottom w:val="nil"/>
              <w:right w:val="nil"/>
            </w:tcBorders>
          </w:tcPr>
          <w:p w14:paraId="24DE7DA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13.33</w:t>
            </w:r>
          </w:p>
        </w:tc>
      </w:tr>
      <w:tr w:rsidR="002624D8" w:rsidRPr="00FD5076" w14:paraId="63B0F13F" w14:textId="77777777" w:rsidTr="00192BA8">
        <w:trPr>
          <w:jc w:val="center"/>
        </w:trPr>
        <w:tc>
          <w:tcPr>
            <w:tcW w:w="5812" w:type="dxa"/>
            <w:tcBorders>
              <w:left w:val="nil"/>
              <w:bottom w:val="single" w:sz="4" w:space="0" w:color="auto"/>
            </w:tcBorders>
          </w:tcPr>
          <w:p w14:paraId="6B7DEC1E" w14:textId="77777777" w:rsidR="002624D8" w:rsidRPr="00FD5076" w:rsidRDefault="002624D8" w:rsidP="00FD5076">
            <w:pPr>
              <w:ind w:left="720" w:hanging="720"/>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bottom w:val="single" w:sz="4" w:space="0" w:color="auto"/>
            </w:tcBorders>
          </w:tcPr>
          <w:p w14:paraId="58D830C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bottom w:val="single" w:sz="4" w:space="0" w:color="auto"/>
              <w:right w:val="nil"/>
            </w:tcBorders>
          </w:tcPr>
          <w:p w14:paraId="78D3780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r w:rsidR="002624D8" w:rsidRPr="00FD5076" w14:paraId="651194A8" w14:textId="77777777" w:rsidTr="00192BA8">
        <w:trPr>
          <w:jc w:val="center"/>
        </w:trPr>
        <w:tc>
          <w:tcPr>
            <w:tcW w:w="5812" w:type="dxa"/>
            <w:tcBorders>
              <w:left w:val="nil"/>
              <w:bottom w:val="single" w:sz="4" w:space="0" w:color="auto"/>
              <w:right w:val="nil"/>
            </w:tcBorders>
          </w:tcPr>
          <w:p w14:paraId="1623E105"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Field of Specialization</w:t>
            </w:r>
          </w:p>
          <w:p w14:paraId="797C3C34"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Education</w:t>
            </w:r>
          </w:p>
          <w:p w14:paraId="2E1E8A5B"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Sales Clerk</w:t>
            </w:r>
          </w:p>
          <w:p w14:paraId="64AE9B73"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Financial Intermediation</w:t>
            </w:r>
          </w:p>
          <w:p w14:paraId="198E752E"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Manufacturing</w:t>
            </w:r>
          </w:p>
          <w:p w14:paraId="0932167E"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Public Administration and Defense; Compulsory Social      Security</w:t>
            </w:r>
          </w:p>
          <w:p w14:paraId="61959CC3" w14:textId="77777777" w:rsidR="002624D8" w:rsidRPr="00FD5076" w:rsidRDefault="002624D8" w:rsidP="00FD5076">
            <w:pPr>
              <w:ind w:left="323"/>
              <w:rPr>
                <w:rFonts w:ascii="Times New Roman" w:eastAsia="Calibri" w:hAnsi="Times New Roman" w:cs="Times New Roman"/>
                <w:sz w:val="24"/>
                <w:szCs w:val="24"/>
              </w:rPr>
            </w:pPr>
            <w:r w:rsidRPr="00FD5076">
              <w:rPr>
                <w:rFonts w:ascii="Times New Roman" w:eastAsia="Calibri" w:hAnsi="Times New Roman" w:cs="Times New Roman"/>
                <w:sz w:val="24"/>
                <w:szCs w:val="24"/>
              </w:rPr>
              <w:t>Wholesale and Retail Trade, Personal and Household Goods</w:t>
            </w:r>
          </w:p>
        </w:tc>
        <w:tc>
          <w:tcPr>
            <w:tcW w:w="1701" w:type="dxa"/>
            <w:tcBorders>
              <w:left w:val="nil"/>
              <w:bottom w:val="single" w:sz="4" w:space="0" w:color="auto"/>
              <w:right w:val="nil"/>
            </w:tcBorders>
          </w:tcPr>
          <w:p w14:paraId="43ABDF7F" w14:textId="77777777" w:rsidR="002624D8" w:rsidRPr="00FD5076" w:rsidRDefault="002624D8" w:rsidP="00FD5076">
            <w:pPr>
              <w:jc w:val="center"/>
              <w:rPr>
                <w:rFonts w:ascii="Times New Roman" w:eastAsia="Calibri" w:hAnsi="Times New Roman" w:cs="Times New Roman"/>
                <w:sz w:val="24"/>
                <w:szCs w:val="24"/>
              </w:rPr>
            </w:pPr>
          </w:p>
          <w:p w14:paraId="33A9F23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w:t>
            </w:r>
          </w:p>
          <w:p w14:paraId="19BEE59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w:t>
            </w:r>
          </w:p>
          <w:p w14:paraId="4B7B1DC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w:t>
            </w:r>
          </w:p>
          <w:p w14:paraId="4D33785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p w14:paraId="4A9DBD1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w:t>
            </w:r>
          </w:p>
          <w:p w14:paraId="206CCAE4" w14:textId="77777777" w:rsidR="002624D8" w:rsidRPr="00FD5076" w:rsidRDefault="002624D8" w:rsidP="00FD5076">
            <w:pPr>
              <w:jc w:val="center"/>
              <w:rPr>
                <w:rFonts w:ascii="Times New Roman" w:eastAsia="Calibri" w:hAnsi="Times New Roman" w:cs="Times New Roman"/>
                <w:sz w:val="24"/>
                <w:szCs w:val="24"/>
              </w:rPr>
            </w:pPr>
          </w:p>
          <w:p w14:paraId="08B0600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w:t>
            </w:r>
          </w:p>
        </w:tc>
        <w:tc>
          <w:tcPr>
            <w:tcW w:w="1571" w:type="dxa"/>
            <w:tcBorders>
              <w:left w:val="nil"/>
              <w:bottom w:val="single" w:sz="4" w:space="0" w:color="auto"/>
              <w:right w:val="nil"/>
            </w:tcBorders>
          </w:tcPr>
          <w:p w14:paraId="715FAB4D" w14:textId="77777777" w:rsidR="002624D8" w:rsidRPr="00FD5076" w:rsidRDefault="002624D8" w:rsidP="00FD5076">
            <w:pPr>
              <w:jc w:val="center"/>
              <w:rPr>
                <w:rFonts w:ascii="Times New Roman" w:eastAsia="Calibri" w:hAnsi="Times New Roman" w:cs="Times New Roman"/>
                <w:sz w:val="24"/>
                <w:szCs w:val="24"/>
              </w:rPr>
            </w:pPr>
          </w:p>
          <w:p w14:paraId="7E3B97D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13.33</w:t>
            </w:r>
          </w:p>
          <w:p w14:paraId="4F3DF2E5"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26.67</w:t>
            </w:r>
          </w:p>
          <w:p w14:paraId="169C0D8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20.00</w:t>
            </w:r>
          </w:p>
          <w:p w14:paraId="7BC0328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p w14:paraId="175E9B1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13.33</w:t>
            </w:r>
          </w:p>
          <w:p w14:paraId="2370908F" w14:textId="77777777" w:rsidR="002624D8" w:rsidRPr="00FD5076" w:rsidRDefault="002624D8" w:rsidP="00FD5076">
            <w:pPr>
              <w:jc w:val="center"/>
              <w:rPr>
                <w:rFonts w:ascii="Times New Roman" w:eastAsia="Calibri" w:hAnsi="Times New Roman" w:cs="Times New Roman"/>
                <w:sz w:val="24"/>
                <w:szCs w:val="24"/>
              </w:rPr>
            </w:pPr>
          </w:p>
          <w:p w14:paraId="30667134"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20.00</w:t>
            </w:r>
          </w:p>
        </w:tc>
      </w:tr>
      <w:tr w:rsidR="002624D8" w:rsidRPr="00FD5076" w14:paraId="53651A11" w14:textId="77777777" w:rsidTr="00192BA8">
        <w:trPr>
          <w:jc w:val="center"/>
        </w:trPr>
        <w:tc>
          <w:tcPr>
            <w:tcW w:w="5812" w:type="dxa"/>
            <w:tcBorders>
              <w:left w:val="nil"/>
              <w:bottom w:val="single" w:sz="4" w:space="0" w:color="auto"/>
              <w:right w:val="nil"/>
            </w:tcBorders>
          </w:tcPr>
          <w:p w14:paraId="6E80D6C8"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left w:val="nil"/>
              <w:bottom w:val="single" w:sz="4" w:space="0" w:color="auto"/>
              <w:right w:val="nil"/>
            </w:tcBorders>
          </w:tcPr>
          <w:p w14:paraId="5FBCAA1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left w:val="nil"/>
              <w:bottom w:val="single" w:sz="4" w:space="0" w:color="auto"/>
              <w:right w:val="nil"/>
            </w:tcBorders>
          </w:tcPr>
          <w:p w14:paraId="63D73DA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r w:rsidR="002624D8" w:rsidRPr="00FD5076" w14:paraId="643F5678" w14:textId="77777777" w:rsidTr="00192BA8">
        <w:trPr>
          <w:jc w:val="center"/>
        </w:trPr>
        <w:tc>
          <w:tcPr>
            <w:tcW w:w="5812" w:type="dxa"/>
            <w:tcBorders>
              <w:left w:val="nil"/>
              <w:right w:val="nil"/>
            </w:tcBorders>
          </w:tcPr>
          <w:p w14:paraId="68A5D55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Duration of Job Service</w:t>
            </w:r>
          </w:p>
          <w:p w14:paraId="3CF567C8" w14:textId="77777777" w:rsidR="002624D8" w:rsidRPr="00FD5076" w:rsidRDefault="002624D8" w:rsidP="00FD5076">
            <w:pPr>
              <w:ind w:hanging="103"/>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1 to 6 months</w:t>
            </w:r>
          </w:p>
          <w:p w14:paraId="2D9B37F4" w14:textId="77777777" w:rsidR="002624D8" w:rsidRPr="00FD5076" w:rsidRDefault="002624D8" w:rsidP="00FD5076">
            <w:pPr>
              <w:ind w:hanging="103"/>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1 year to less than 2 years</w:t>
            </w:r>
          </w:p>
          <w:p w14:paraId="36BE4C61" w14:textId="77777777" w:rsidR="002624D8" w:rsidRPr="00FD5076" w:rsidRDefault="002624D8" w:rsidP="00FD5076">
            <w:pPr>
              <w:ind w:hanging="103"/>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2 years and above</w:t>
            </w:r>
          </w:p>
        </w:tc>
        <w:tc>
          <w:tcPr>
            <w:tcW w:w="1701" w:type="dxa"/>
            <w:tcBorders>
              <w:left w:val="nil"/>
              <w:right w:val="nil"/>
            </w:tcBorders>
          </w:tcPr>
          <w:p w14:paraId="3D84FCAE" w14:textId="77777777" w:rsidR="002624D8" w:rsidRPr="00FD5076" w:rsidRDefault="002624D8" w:rsidP="00FD5076">
            <w:pPr>
              <w:jc w:val="center"/>
              <w:rPr>
                <w:rFonts w:ascii="Times New Roman" w:eastAsia="Calibri" w:hAnsi="Times New Roman" w:cs="Times New Roman"/>
                <w:sz w:val="24"/>
                <w:szCs w:val="24"/>
              </w:rPr>
            </w:pPr>
          </w:p>
          <w:p w14:paraId="31DE7814"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w:t>
            </w:r>
          </w:p>
          <w:p w14:paraId="3EB15B13"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5</w:t>
            </w:r>
          </w:p>
          <w:p w14:paraId="34FFD08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w:t>
            </w:r>
          </w:p>
        </w:tc>
        <w:tc>
          <w:tcPr>
            <w:tcW w:w="1571" w:type="dxa"/>
            <w:tcBorders>
              <w:left w:val="nil"/>
              <w:right w:val="nil"/>
            </w:tcBorders>
          </w:tcPr>
          <w:p w14:paraId="54EEAE38" w14:textId="77777777" w:rsidR="002624D8" w:rsidRPr="00FD5076" w:rsidRDefault="002624D8" w:rsidP="00FD5076">
            <w:pPr>
              <w:jc w:val="center"/>
              <w:rPr>
                <w:rFonts w:ascii="Times New Roman" w:eastAsia="Calibri" w:hAnsi="Times New Roman" w:cs="Times New Roman"/>
                <w:sz w:val="24"/>
                <w:szCs w:val="24"/>
              </w:rPr>
            </w:pPr>
          </w:p>
          <w:p w14:paraId="639E6D83"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40.00</w:t>
            </w:r>
          </w:p>
          <w:p w14:paraId="4FDC2C4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33.33</w:t>
            </w:r>
          </w:p>
          <w:p w14:paraId="4C9AA88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26.67</w:t>
            </w:r>
          </w:p>
        </w:tc>
      </w:tr>
      <w:tr w:rsidR="002624D8" w:rsidRPr="00FD5076" w14:paraId="71D9F7F9" w14:textId="77777777" w:rsidTr="00192BA8">
        <w:trPr>
          <w:jc w:val="center"/>
        </w:trPr>
        <w:tc>
          <w:tcPr>
            <w:tcW w:w="5812" w:type="dxa"/>
            <w:tcBorders>
              <w:left w:val="nil"/>
              <w:right w:val="nil"/>
            </w:tcBorders>
          </w:tcPr>
          <w:p w14:paraId="6CE5323A"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left w:val="nil"/>
              <w:right w:val="nil"/>
            </w:tcBorders>
          </w:tcPr>
          <w:p w14:paraId="2FC4C5D8"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left w:val="nil"/>
              <w:right w:val="nil"/>
            </w:tcBorders>
          </w:tcPr>
          <w:p w14:paraId="2AE6C32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bl>
    <w:p w14:paraId="76F24A2D" w14:textId="77777777" w:rsidR="00F414C9" w:rsidRPr="00FD5076" w:rsidRDefault="00F414C9" w:rsidP="00FD5076">
      <w:pPr>
        <w:pStyle w:val="NoSpacing"/>
        <w:rPr>
          <w:rFonts w:ascii="Times New Roman" w:hAnsi="Times New Roman" w:cs="Times New Roman"/>
          <w:sz w:val="24"/>
          <w:szCs w:val="24"/>
        </w:rPr>
      </w:pPr>
    </w:p>
    <w:p w14:paraId="58768EC8" w14:textId="0636FB5F" w:rsidR="000A16E0" w:rsidRPr="00FD5076" w:rsidRDefault="000A16E0" w:rsidP="00FD5076">
      <w:pPr>
        <w:pStyle w:val="NoSpacing"/>
        <w:rPr>
          <w:rFonts w:ascii="Times New Roman" w:hAnsi="Times New Roman" w:cs="Times New Roman"/>
          <w:sz w:val="24"/>
          <w:szCs w:val="24"/>
        </w:rPr>
      </w:pPr>
    </w:p>
    <w:p w14:paraId="713A6D07" w14:textId="49723532" w:rsidR="00450884" w:rsidRPr="00FD5076" w:rsidRDefault="00450884" w:rsidP="00FD5076">
      <w:pPr>
        <w:pStyle w:val="NoSpacing"/>
        <w:ind w:firstLine="720"/>
        <w:jc w:val="center"/>
        <w:rPr>
          <w:rFonts w:ascii="Times New Roman" w:hAnsi="Times New Roman" w:cs="Times New Roman"/>
          <w:b/>
          <w:bCs/>
          <w:sz w:val="24"/>
          <w:szCs w:val="24"/>
        </w:rPr>
      </w:pPr>
      <w:r w:rsidRPr="00FD5076">
        <w:rPr>
          <w:rFonts w:ascii="Times New Roman" w:hAnsi="Times New Roman" w:cs="Times New Roman"/>
          <w:b/>
          <w:bCs/>
          <w:sz w:val="24"/>
          <w:szCs w:val="24"/>
        </w:rPr>
        <w:t>DISCUSSION</w:t>
      </w:r>
    </w:p>
    <w:p w14:paraId="105D0833" w14:textId="7AE2FE15" w:rsidR="008B2B25"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Tracer studies are </w:t>
      </w:r>
      <w:r w:rsidR="00450884" w:rsidRPr="00FD5076">
        <w:rPr>
          <w:rFonts w:ascii="Times New Roman" w:hAnsi="Times New Roman" w:cs="Times New Roman"/>
          <w:sz w:val="24"/>
          <w:szCs w:val="24"/>
        </w:rPr>
        <w:t>crucial for assessing the effectiveness of higher education institutions (HEIs), particularly in terms of</w:t>
      </w:r>
      <w:r w:rsidRPr="00FD5076">
        <w:rPr>
          <w:rFonts w:ascii="Times New Roman" w:hAnsi="Times New Roman" w:cs="Times New Roman"/>
          <w:sz w:val="24"/>
          <w:szCs w:val="24"/>
        </w:rPr>
        <w:t xml:space="preserve"> graduate employability (</w:t>
      </w:r>
      <w:proofErr w:type="spellStart"/>
      <w:r w:rsidRPr="00FD5076">
        <w:rPr>
          <w:rFonts w:ascii="Times New Roman" w:hAnsi="Times New Roman" w:cs="Times New Roman"/>
          <w:sz w:val="24"/>
          <w:szCs w:val="24"/>
        </w:rPr>
        <w:t>Malahay</w:t>
      </w:r>
      <w:proofErr w:type="spellEnd"/>
      <w:r w:rsidRPr="00FD5076">
        <w:rPr>
          <w:rFonts w:ascii="Times New Roman" w:hAnsi="Times New Roman" w:cs="Times New Roman"/>
          <w:sz w:val="24"/>
          <w:szCs w:val="24"/>
        </w:rPr>
        <w:t xml:space="preserve"> &amp; </w:t>
      </w:r>
      <w:proofErr w:type="spellStart"/>
      <w:r w:rsidRPr="00FD5076">
        <w:rPr>
          <w:rFonts w:ascii="Times New Roman" w:hAnsi="Times New Roman" w:cs="Times New Roman"/>
          <w:sz w:val="24"/>
          <w:szCs w:val="24"/>
        </w:rPr>
        <w:t>Saing</w:t>
      </w:r>
      <w:proofErr w:type="spellEnd"/>
      <w:r w:rsidRPr="00FD5076">
        <w:rPr>
          <w:rFonts w:ascii="Times New Roman" w:hAnsi="Times New Roman" w:cs="Times New Roman"/>
          <w:sz w:val="24"/>
          <w:szCs w:val="24"/>
        </w:rPr>
        <w:t xml:space="preserve">, 2018; </w:t>
      </w:r>
      <w:proofErr w:type="spellStart"/>
      <w:r w:rsidRPr="00FD5076">
        <w:rPr>
          <w:rFonts w:ascii="Times New Roman" w:hAnsi="Times New Roman" w:cs="Times New Roman"/>
          <w:sz w:val="24"/>
          <w:szCs w:val="24"/>
        </w:rPr>
        <w:t>Dzomeku</w:t>
      </w:r>
      <w:proofErr w:type="spellEnd"/>
      <w:r w:rsidRPr="00FD5076">
        <w:rPr>
          <w:rFonts w:ascii="Times New Roman" w:hAnsi="Times New Roman" w:cs="Times New Roman"/>
          <w:sz w:val="24"/>
          <w:szCs w:val="24"/>
        </w:rPr>
        <w:t xml:space="preserve"> et al., 2024). They allow HEIs to gauge program effectiveness by examining graduates' employment experiences (Chandra et al., 2013). This study analyzes the employability of 32 Bachelor of Science in Fisheries (BSFi) graduates from Biliran Province State University-Biliran Campus (formerly Naval State University) between 2016 and 2020.</w:t>
      </w:r>
    </w:p>
    <w:p w14:paraId="0932F002" w14:textId="77777777" w:rsidR="00EE7383" w:rsidRPr="00FD5076" w:rsidRDefault="00EE7383" w:rsidP="00FD5076">
      <w:pPr>
        <w:pStyle w:val="NoSpacing"/>
        <w:ind w:firstLine="720"/>
        <w:jc w:val="both"/>
        <w:rPr>
          <w:rFonts w:ascii="Times New Roman" w:hAnsi="Times New Roman" w:cs="Times New Roman"/>
          <w:sz w:val="24"/>
          <w:szCs w:val="24"/>
        </w:rPr>
      </w:pPr>
    </w:p>
    <w:p w14:paraId="16CD95C0" w14:textId="041351DC" w:rsidR="008B2B25"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This study found that the majority of responding BS Fisheries graduates (62.6%) were male, reflecting a similar gender imbalance in BiPSU's fisheries program enrollment (37.5% female). The relatively small number of graduates (2016-2020) compared to other programs may be due to BiPSU's remote island location and the limited recruitment pool (Biliran and nearby Leyte municipalities). Low student retention rates may also be a factor, possibly stemming from a misconception among prospective students that the program focuses solely on fishing techniques rather than its broader, more complex curriculum. Other studies support this gender imbalance in fisheries programs: Rosaldo (2024) found a slight male majority (54.43%) among BS Fisheries graduates at a Calabarzon State College and University (2019-2022), and Montaño &amp; Salvador (2012) reported a similar trend at Western Palawan University. </w:t>
      </w:r>
      <w:r w:rsidR="00450884" w:rsidRPr="00FD5076">
        <w:rPr>
          <w:rFonts w:ascii="Times New Roman" w:hAnsi="Times New Roman" w:cs="Times New Roman"/>
          <w:sz w:val="24"/>
          <w:szCs w:val="24"/>
        </w:rPr>
        <w:t>It</w:t>
      </w:r>
      <w:r w:rsidRPr="00FD5076">
        <w:rPr>
          <w:rFonts w:ascii="Times New Roman" w:hAnsi="Times New Roman" w:cs="Times New Roman"/>
          <w:sz w:val="24"/>
          <w:szCs w:val="24"/>
        </w:rPr>
        <w:t xml:space="preserve"> contrasts with the national trend of higher female college completion rates in the Philippines (Quismundo, 2012), which has yet to translate to equal representation in the workforce.</w:t>
      </w:r>
    </w:p>
    <w:p w14:paraId="40B9EF8A" w14:textId="77777777" w:rsidR="00EE7383" w:rsidRPr="00FD5076" w:rsidRDefault="00EE7383" w:rsidP="00FD5076">
      <w:pPr>
        <w:pStyle w:val="NoSpacing"/>
        <w:ind w:firstLine="720"/>
        <w:jc w:val="both"/>
        <w:rPr>
          <w:rFonts w:ascii="Times New Roman" w:hAnsi="Times New Roman" w:cs="Times New Roman"/>
          <w:sz w:val="24"/>
          <w:szCs w:val="24"/>
        </w:rPr>
      </w:pPr>
    </w:p>
    <w:p w14:paraId="5365E904" w14:textId="76A6D543" w:rsidR="008B2B25" w:rsidRPr="00FD5076"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This study reveals that most employed BSFi graduates (73.33%) held contractual positions outside the fisheries field, with only a small number (13.33%) employed in academia (regular/part-time). </w:t>
      </w:r>
      <w:r w:rsidR="00450884" w:rsidRPr="00FD5076">
        <w:rPr>
          <w:rFonts w:ascii="Times New Roman" w:hAnsi="Times New Roman" w:cs="Times New Roman"/>
          <w:sz w:val="24"/>
          <w:szCs w:val="24"/>
        </w:rPr>
        <w:t>It</w:t>
      </w:r>
      <w:r w:rsidRPr="00FD5076">
        <w:rPr>
          <w:rFonts w:ascii="Times New Roman" w:hAnsi="Times New Roman" w:cs="Times New Roman"/>
          <w:sz w:val="24"/>
          <w:szCs w:val="24"/>
        </w:rPr>
        <w:t xml:space="preserve"> is likely due to low participation and success rates in the fisheries licensure examination during the study period (2016-2020). Limited exam participation (2, 1, and 1 </w:t>
      </w:r>
      <w:proofErr w:type="gramStart"/>
      <w:r w:rsidRPr="00FD5076">
        <w:rPr>
          <w:rFonts w:ascii="Times New Roman" w:hAnsi="Times New Roman" w:cs="Times New Roman"/>
          <w:sz w:val="24"/>
          <w:szCs w:val="24"/>
        </w:rPr>
        <w:t>takers</w:t>
      </w:r>
      <w:proofErr w:type="gramEnd"/>
      <w:r w:rsidRPr="00FD5076">
        <w:rPr>
          <w:rFonts w:ascii="Times New Roman" w:hAnsi="Times New Roman" w:cs="Times New Roman"/>
          <w:sz w:val="24"/>
          <w:szCs w:val="24"/>
        </w:rPr>
        <w:t xml:space="preserve"> in 2017, 2018, and 2019</w:t>
      </w:r>
      <w:r w:rsidR="00450884" w:rsidRPr="00FD5076">
        <w:rPr>
          <w:rFonts w:ascii="Times New Roman" w:hAnsi="Times New Roman" w:cs="Times New Roman"/>
          <w:sz w:val="24"/>
          <w:szCs w:val="24"/>
        </w:rPr>
        <w:t>,</w:t>
      </w:r>
      <w:r w:rsidRPr="00FD5076">
        <w:rPr>
          <w:rFonts w:ascii="Times New Roman" w:hAnsi="Times New Roman" w:cs="Times New Roman"/>
          <w:sz w:val="24"/>
          <w:szCs w:val="24"/>
        </w:rPr>
        <w:t xml:space="preserve"> respectively, with only 2 passing overall) and the cancellation of the 2020 exam due to the COVID-19 pandemic significantly impacted employment prospects. While the BSFi program aims to equip graduates for diverse roles in both </w:t>
      </w:r>
      <w:r w:rsidR="00450884" w:rsidRPr="00FD5076">
        <w:rPr>
          <w:rFonts w:ascii="Times New Roman" w:hAnsi="Times New Roman" w:cs="Times New Roman"/>
          <w:sz w:val="24"/>
          <w:szCs w:val="24"/>
        </w:rPr>
        <w:t>the public and private sectors (Montaño &amp; Salvador, 2012), passing the licensure exam is crucial for securing permanent employment in fisheries-related fields</w:t>
      </w:r>
      <w:r w:rsidRPr="00FD5076">
        <w:rPr>
          <w:rFonts w:ascii="Times New Roman" w:hAnsi="Times New Roman" w:cs="Times New Roman"/>
          <w:sz w:val="24"/>
          <w:szCs w:val="24"/>
        </w:rPr>
        <w:t xml:space="preserve">. </w:t>
      </w:r>
      <w:r w:rsidR="00590B10">
        <w:rPr>
          <w:rFonts w:ascii="Times New Roman" w:hAnsi="Times New Roman" w:cs="Times New Roman"/>
          <w:sz w:val="24"/>
          <w:szCs w:val="24"/>
        </w:rPr>
        <w:t>This finding aligns with those</w:t>
      </w:r>
      <w:r w:rsidRPr="00FD5076">
        <w:rPr>
          <w:rFonts w:ascii="Times New Roman" w:hAnsi="Times New Roman" w:cs="Times New Roman"/>
          <w:sz w:val="24"/>
          <w:szCs w:val="24"/>
        </w:rPr>
        <w:t xml:space="preserve"> from Partido State University, where most fisheries graduates also held contractual positions (Tria &amp; Bocacao, 2022). Despite this, BiPSU graduates demonstrated valuable skills, particularly </w:t>
      </w:r>
      <w:r w:rsidR="00450884" w:rsidRPr="00FD5076">
        <w:rPr>
          <w:rFonts w:ascii="Times New Roman" w:hAnsi="Times New Roman" w:cs="Times New Roman"/>
          <w:sz w:val="24"/>
          <w:szCs w:val="24"/>
        </w:rPr>
        <w:t>in human relation</w:t>
      </w:r>
      <w:r w:rsidRPr="00FD5076">
        <w:rPr>
          <w:rFonts w:ascii="Times New Roman" w:hAnsi="Times New Roman" w:cs="Times New Roman"/>
          <w:sz w:val="24"/>
          <w:szCs w:val="24"/>
        </w:rPr>
        <w:t>s, making them employable in various sectors. However, the short tenure of many contractual employees (73.33% lasting 1-6 months, 1 year, or less than 2 years) highlights the competitive job market and limited job availability (Ahmad et al., 2012; Albina &amp; Sumagaysay, 2020), further underscored by the high unemployment rate among respondents (53.12%). Montaño and Salvador (2012) also highlighted that graduates from Western Philippines University were well-prepared for work</w:t>
      </w:r>
      <w:r w:rsidR="00450884" w:rsidRPr="00FD5076">
        <w:rPr>
          <w:rFonts w:ascii="Times New Roman" w:hAnsi="Times New Roman" w:cs="Times New Roman"/>
          <w:sz w:val="24"/>
          <w:szCs w:val="24"/>
        </w:rPr>
        <w:t>. Still,</w:t>
      </w:r>
      <w:r w:rsidRPr="00FD5076">
        <w:rPr>
          <w:rFonts w:ascii="Times New Roman" w:hAnsi="Times New Roman" w:cs="Times New Roman"/>
          <w:sz w:val="24"/>
          <w:szCs w:val="24"/>
        </w:rPr>
        <w:t xml:space="preserve"> this study </w:t>
      </w:r>
      <w:r w:rsidRPr="00FD5076">
        <w:rPr>
          <w:rFonts w:ascii="Times New Roman" w:hAnsi="Times New Roman" w:cs="Times New Roman"/>
          <w:sz w:val="24"/>
          <w:szCs w:val="24"/>
        </w:rPr>
        <w:lastRenderedPageBreak/>
        <w:t>shows that this is not necessarily translating into long-term, stable employment for BiPSU graduates.</w:t>
      </w:r>
    </w:p>
    <w:bookmarkEnd w:id="3"/>
    <w:p w14:paraId="51770155" w14:textId="77777777" w:rsidR="00787677" w:rsidRPr="00FD5076" w:rsidRDefault="00787677" w:rsidP="00FD5076">
      <w:pPr>
        <w:pStyle w:val="NoSpacing"/>
        <w:jc w:val="both"/>
        <w:rPr>
          <w:rFonts w:ascii="Times New Roman" w:hAnsi="Times New Roman" w:cs="Times New Roman"/>
          <w:b/>
          <w:bCs/>
          <w:sz w:val="24"/>
          <w:szCs w:val="24"/>
        </w:rPr>
      </w:pPr>
    </w:p>
    <w:p w14:paraId="53B90AED" w14:textId="0914B7FC" w:rsidR="00787677" w:rsidRPr="00FD5076" w:rsidRDefault="00450884" w:rsidP="00FD5076">
      <w:pPr>
        <w:pStyle w:val="NoSpacing"/>
        <w:jc w:val="center"/>
        <w:rPr>
          <w:rFonts w:ascii="Times New Roman" w:hAnsi="Times New Roman" w:cs="Times New Roman"/>
          <w:b/>
          <w:bCs/>
          <w:sz w:val="24"/>
          <w:szCs w:val="24"/>
        </w:rPr>
      </w:pPr>
      <w:r w:rsidRPr="00FD5076">
        <w:rPr>
          <w:rFonts w:ascii="Times New Roman" w:hAnsi="Times New Roman" w:cs="Times New Roman"/>
          <w:b/>
          <w:bCs/>
          <w:sz w:val="24"/>
          <w:szCs w:val="24"/>
        </w:rPr>
        <w:t>CONCLUSION</w:t>
      </w:r>
    </w:p>
    <w:p w14:paraId="0E8B9432" w14:textId="0BF2A142" w:rsidR="00E90B31" w:rsidRPr="00FD5076" w:rsidRDefault="00787677" w:rsidP="00FD5076">
      <w:pPr>
        <w:pStyle w:val="NoSpacing"/>
        <w:ind w:firstLine="720"/>
        <w:jc w:val="both"/>
        <w:rPr>
          <w:rFonts w:ascii="Times New Roman" w:hAnsi="Times New Roman" w:cs="Times New Roman"/>
          <w:sz w:val="24"/>
          <w:szCs w:val="24"/>
        </w:rPr>
      </w:pPr>
      <w:bookmarkStart w:id="4" w:name="_Hlk205366530"/>
      <w:bookmarkStart w:id="5" w:name="_Hlk205885843"/>
      <w:r w:rsidRPr="00FD5076">
        <w:rPr>
          <w:rFonts w:ascii="Times New Roman" w:hAnsi="Times New Roman" w:cs="Times New Roman"/>
          <w:sz w:val="24"/>
          <w:szCs w:val="24"/>
        </w:rPr>
        <w:t>This study reveals key insights into the employment experiences of BS Fisheries graduates</w:t>
      </w:r>
      <w:r w:rsidR="00D16967" w:rsidRPr="00FD5076">
        <w:rPr>
          <w:sz w:val="24"/>
          <w:szCs w:val="24"/>
        </w:rPr>
        <w:t xml:space="preserve"> from the </w:t>
      </w:r>
      <w:r w:rsidR="00D16967" w:rsidRPr="00FD5076">
        <w:rPr>
          <w:rFonts w:ascii="Times New Roman" w:hAnsi="Times New Roman" w:cs="Times New Roman"/>
          <w:sz w:val="24"/>
          <w:szCs w:val="24"/>
        </w:rPr>
        <w:t>Biliran Province State University-Biliran Campus</w:t>
      </w:r>
      <w:r w:rsidRPr="00FD5076">
        <w:rPr>
          <w:rFonts w:ascii="Times New Roman" w:hAnsi="Times New Roman" w:cs="Times New Roman"/>
          <w:sz w:val="24"/>
          <w:szCs w:val="24"/>
        </w:rPr>
        <w:t xml:space="preserve">. </w:t>
      </w:r>
      <w:r w:rsidR="00450884" w:rsidRPr="00FD5076">
        <w:rPr>
          <w:rFonts w:ascii="Times New Roman" w:hAnsi="Times New Roman" w:cs="Times New Roman"/>
          <w:sz w:val="24"/>
          <w:szCs w:val="24"/>
        </w:rPr>
        <w:t>Although a slight gender imbalance was present in the sample (62.5% male, 37.5% female), the analysis primarily</w:t>
      </w:r>
      <w:r w:rsidRPr="00FD5076">
        <w:rPr>
          <w:rFonts w:ascii="Times New Roman" w:hAnsi="Times New Roman" w:cs="Times New Roman"/>
          <w:sz w:val="24"/>
          <w:szCs w:val="24"/>
        </w:rPr>
        <w:t xml:space="preserve"> focused on skills and employment trends. Human relations skills were the most common among employed graduates (40%), highlighting their importance in securing jobs. However, a concerningly high percentage (73.33%) held precarious contractual positions, indicating a lack of job security. Employment was distributed across </w:t>
      </w:r>
      <w:r w:rsidR="00450884" w:rsidRPr="00FD5076">
        <w:rPr>
          <w:rFonts w:ascii="Times New Roman" w:hAnsi="Times New Roman" w:cs="Times New Roman"/>
          <w:sz w:val="24"/>
          <w:szCs w:val="24"/>
        </w:rPr>
        <w:t>various sectors, with sales, finance, and trade being the most</w:t>
      </w:r>
      <w:r w:rsidRPr="00FD5076">
        <w:rPr>
          <w:rFonts w:ascii="Times New Roman" w:hAnsi="Times New Roman" w:cs="Times New Roman"/>
          <w:sz w:val="24"/>
          <w:szCs w:val="24"/>
        </w:rPr>
        <w:t xml:space="preserve"> prominent. Furthermore, a large proportion of employed graduates (73.33%) had limited job tenure, with </w:t>
      </w:r>
      <w:r w:rsidR="00450884" w:rsidRPr="00FD5076">
        <w:rPr>
          <w:rFonts w:ascii="Times New Roman" w:hAnsi="Times New Roman" w:cs="Times New Roman"/>
          <w:sz w:val="24"/>
          <w:szCs w:val="24"/>
        </w:rPr>
        <w:t>most having less than a year of experience</w:t>
      </w:r>
      <w:r w:rsidRPr="00FD5076">
        <w:rPr>
          <w:rFonts w:ascii="Times New Roman" w:hAnsi="Times New Roman" w:cs="Times New Roman"/>
          <w:sz w:val="24"/>
          <w:szCs w:val="24"/>
        </w:rPr>
        <w:t>. These findings underscore the critical need for enhanced career services and placement support to improve both employment outcomes and job security for BS Fisheries graduates.</w:t>
      </w:r>
    </w:p>
    <w:bookmarkEnd w:id="4"/>
    <w:p w14:paraId="072EE837" w14:textId="77777777" w:rsidR="001F42E4" w:rsidRPr="00FD5076" w:rsidRDefault="001F42E4" w:rsidP="00FD5076">
      <w:pPr>
        <w:pStyle w:val="NoSpacing"/>
        <w:ind w:firstLine="720"/>
        <w:jc w:val="both"/>
        <w:rPr>
          <w:rFonts w:ascii="Times New Roman" w:hAnsi="Times New Roman" w:cs="Times New Roman"/>
          <w:sz w:val="24"/>
          <w:szCs w:val="24"/>
        </w:rPr>
      </w:pPr>
    </w:p>
    <w:bookmarkEnd w:id="5"/>
    <w:p w14:paraId="0232D67E" w14:textId="77777777" w:rsidR="001073F7" w:rsidRPr="00FD5076" w:rsidRDefault="001073F7" w:rsidP="00B7505D">
      <w:pPr>
        <w:pStyle w:val="NoSpacing"/>
        <w:jc w:val="both"/>
        <w:rPr>
          <w:rFonts w:ascii="Times New Roman" w:hAnsi="Times New Roman" w:cs="Times New Roman"/>
          <w:sz w:val="24"/>
          <w:szCs w:val="24"/>
        </w:rPr>
      </w:pPr>
    </w:p>
    <w:p w14:paraId="49235209" w14:textId="030FCF47" w:rsidR="001F6F00" w:rsidRPr="00FD5076" w:rsidRDefault="000A16E0" w:rsidP="00FD5076">
      <w:pPr>
        <w:pStyle w:val="NoSpacing"/>
        <w:jc w:val="center"/>
        <w:rPr>
          <w:rFonts w:ascii="Times New Roman" w:hAnsi="Times New Roman" w:cs="Times New Roman"/>
          <w:b/>
          <w:bCs/>
          <w:sz w:val="24"/>
          <w:szCs w:val="24"/>
        </w:rPr>
      </w:pPr>
      <w:r w:rsidRPr="00FD5076">
        <w:rPr>
          <w:rFonts w:ascii="Times New Roman" w:hAnsi="Times New Roman" w:cs="Times New Roman"/>
          <w:b/>
          <w:bCs/>
          <w:sz w:val="24"/>
          <w:szCs w:val="24"/>
        </w:rPr>
        <w:t>REFERENCES</w:t>
      </w:r>
    </w:p>
    <w:p w14:paraId="0FBFE60F" w14:textId="5F53B4A2"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Ahmad, K., Zainal, N. F. A., Idris, S., &amp; Rahmat, M. (</w:t>
      </w:r>
      <w:r w:rsidRPr="00590B10">
        <w:rPr>
          <w:rFonts w:ascii="Times New Roman" w:eastAsia="Calibri" w:hAnsi="Times New Roman" w:cs="Times New Roman"/>
          <w:sz w:val="24"/>
          <w:szCs w:val="24"/>
        </w:rPr>
        <w:t xml:space="preserve">2012). Relationship between employability and program outcomes achievement. </w:t>
      </w:r>
      <w:r w:rsidRPr="00590B10">
        <w:rPr>
          <w:rFonts w:ascii="Times New Roman" w:eastAsia="Calibri" w:hAnsi="Times New Roman" w:cs="Times New Roman"/>
          <w:i/>
          <w:iCs/>
          <w:sz w:val="24"/>
          <w:szCs w:val="24"/>
        </w:rPr>
        <w:t>Procedia – Social and Behavioral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59</w:t>
      </w:r>
      <w:r w:rsidRPr="00590B10">
        <w:rPr>
          <w:rFonts w:ascii="Times New Roman" w:eastAsia="Calibri" w:hAnsi="Times New Roman" w:cs="Times New Roman"/>
          <w:sz w:val="24"/>
          <w:szCs w:val="24"/>
        </w:rPr>
        <w:t xml:space="preserve">, 254–263. </w:t>
      </w:r>
      <w:hyperlink r:id="rId8" w:history="1">
        <w:r w:rsidRPr="00590B10">
          <w:rPr>
            <w:rFonts w:ascii="Times New Roman" w:eastAsia="Calibri" w:hAnsi="Times New Roman" w:cs="Times New Roman"/>
            <w:color w:val="0563C1"/>
            <w:sz w:val="24"/>
            <w:szCs w:val="24"/>
            <w:u w:val="single"/>
          </w:rPr>
          <w:t>https://doi.org/10.1016/j.sbspro.2012.09.273</w:t>
        </w:r>
      </w:hyperlink>
      <w:r w:rsidRPr="00590B10">
        <w:rPr>
          <w:rFonts w:ascii="Times New Roman" w:eastAsia="Calibri" w:hAnsi="Times New Roman" w:cs="Times New Roman"/>
          <w:sz w:val="24"/>
          <w:szCs w:val="24"/>
        </w:rPr>
        <w:t xml:space="preserve"> </w:t>
      </w:r>
    </w:p>
    <w:p w14:paraId="4A37EA76" w14:textId="6A28C3B9"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Albina, A. C., &amp; Sumagaysay, L. P. (2020). Employability tracer study of Information Technology Education graduates from a state university in the Philippines. </w:t>
      </w:r>
      <w:r w:rsidRPr="00590B10">
        <w:rPr>
          <w:rFonts w:ascii="Times New Roman" w:eastAsia="Calibri" w:hAnsi="Times New Roman" w:cs="Times New Roman"/>
          <w:i/>
          <w:iCs/>
          <w:sz w:val="24"/>
          <w:szCs w:val="24"/>
        </w:rPr>
        <w:t>Social Sciences and Humanities Open</w:t>
      </w:r>
      <w:r w:rsidRPr="00590B10">
        <w:rPr>
          <w:rFonts w:ascii="Times New Roman" w:eastAsia="Calibri" w:hAnsi="Times New Roman" w:cs="Times New Roman"/>
          <w:sz w:val="24"/>
          <w:szCs w:val="24"/>
        </w:rPr>
        <w:t xml:space="preserve">, 2(1). </w:t>
      </w:r>
      <w:hyperlink r:id="rId9" w:history="1">
        <w:r w:rsidRPr="00590B10">
          <w:rPr>
            <w:rFonts w:ascii="Times New Roman" w:eastAsia="Calibri" w:hAnsi="Times New Roman" w:cs="Times New Roman"/>
            <w:color w:val="0563C1"/>
            <w:sz w:val="24"/>
            <w:szCs w:val="24"/>
            <w:u w:val="single"/>
          </w:rPr>
          <w:t>https://doi.org/10.1016/j.ssaho.2020.100055</w:t>
        </w:r>
      </w:hyperlink>
      <w:r w:rsidRPr="00590B10">
        <w:rPr>
          <w:rFonts w:ascii="Times New Roman" w:eastAsia="Calibri" w:hAnsi="Times New Roman" w:cs="Times New Roman"/>
          <w:sz w:val="24"/>
          <w:szCs w:val="24"/>
        </w:rPr>
        <w:t xml:space="preserve"> </w:t>
      </w:r>
    </w:p>
    <w:p w14:paraId="5E2A9173" w14:textId="77777777" w:rsidR="00450884" w:rsidRPr="00590B10" w:rsidRDefault="00450884" w:rsidP="006535F7">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Aranega, S. (2014). Competencies for employability: How can they be developed and assessed in initial training? </w:t>
      </w:r>
      <w:r w:rsidRPr="00590B10">
        <w:rPr>
          <w:rFonts w:ascii="Times New Roman" w:eastAsia="Calibri" w:hAnsi="Times New Roman" w:cs="Times New Roman"/>
          <w:i/>
          <w:iCs/>
          <w:sz w:val="24"/>
          <w:szCs w:val="24"/>
        </w:rPr>
        <w:t>Procedia – Social and Behavioral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139</w:t>
      </w:r>
      <w:r w:rsidRPr="00590B10">
        <w:rPr>
          <w:rFonts w:ascii="Times New Roman" w:eastAsia="Calibri" w:hAnsi="Times New Roman" w:cs="Times New Roman"/>
          <w:sz w:val="24"/>
          <w:szCs w:val="24"/>
        </w:rPr>
        <w:t xml:space="preserve">, 366–372. </w:t>
      </w:r>
      <w:hyperlink r:id="rId10" w:history="1">
        <w:r w:rsidRPr="00590B10">
          <w:rPr>
            <w:rFonts w:ascii="Times New Roman" w:eastAsia="Calibri" w:hAnsi="Times New Roman" w:cs="Times New Roman"/>
            <w:color w:val="0563C1"/>
            <w:sz w:val="24"/>
            <w:szCs w:val="24"/>
            <w:u w:val="single"/>
          </w:rPr>
          <w:t>https://doi.org/10.1016/j.sbspro.2014.08.015</w:t>
        </w:r>
      </w:hyperlink>
    </w:p>
    <w:p w14:paraId="786F5025" w14:textId="6A81D1A9"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Cuadra, L. J., Aure, M. R. K., &amp; Gonzaga, G. L. (2019). The use of tracer study in improving undergraduate programs in the university. </w:t>
      </w:r>
      <w:r w:rsidRPr="00590B10">
        <w:rPr>
          <w:rFonts w:ascii="Times New Roman" w:eastAsia="Calibri" w:hAnsi="Times New Roman" w:cs="Times New Roman"/>
          <w:i/>
          <w:iCs/>
          <w:sz w:val="24"/>
          <w:szCs w:val="24"/>
        </w:rPr>
        <w:t>Asia Pacific Higher Education Research Journal</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6</w:t>
      </w:r>
      <w:r w:rsidRPr="00590B10">
        <w:rPr>
          <w:rFonts w:ascii="Times New Roman" w:eastAsia="Calibri" w:hAnsi="Times New Roman" w:cs="Times New Roman"/>
          <w:sz w:val="24"/>
          <w:szCs w:val="24"/>
        </w:rPr>
        <w:t xml:space="preserve">(1), 13-25. </w:t>
      </w:r>
      <w:hyperlink r:id="rId11" w:history="1">
        <w:r w:rsidRPr="00590B10">
          <w:rPr>
            <w:rFonts w:ascii="Times New Roman" w:eastAsia="Calibri" w:hAnsi="Times New Roman" w:cs="Times New Roman"/>
            <w:color w:val="0563C1"/>
            <w:sz w:val="24"/>
            <w:szCs w:val="24"/>
            <w:u w:val="single"/>
          </w:rPr>
          <w:t>https://doi.org/10.56278/apherj.v6i1.1315</w:t>
        </w:r>
      </w:hyperlink>
      <w:r w:rsidRPr="00590B10">
        <w:rPr>
          <w:rFonts w:ascii="Times New Roman" w:eastAsia="Calibri" w:hAnsi="Times New Roman" w:cs="Times New Roman"/>
          <w:sz w:val="24"/>
          <w:szCs w:val="24"/>
        </w:rPr>
        <w:t xml:space="preserve"> </w:t>
      </w:r>
    </w:p>
    <w:p w14:paraId="1C8A16D4" w14:textId="10B368E3"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lang w:val="nl-BE"/>
        </w:rPr>
        <w:t xml:space="preserve">Chandra, R., Ruhama, S., &amp; Sarjono, M. W. (2013). </w:t>
      </w:r>
      <w:r w:rsidRPr="00590B10">
        <w:rPr>
          <w:rFonts w:ascii="Times New Roman" w:eastAsia="Calibri" w:hAnsi="Times New Roman" w:cs="Times New Roman"/>
          <w:sz w:val="24"/>
          <w:szCs w:val="24"/>
        </w:rPr>
        <w:t>Exploring tracer study service in career center web site of Indonesia higher education</w:t>
      </w:r>
      <w:r w:rsidRPr="00590B10">
        <w:rPr>
          <w:rFonts w:ascii="Times New Roman" w:eastAsia="Calibri" w:hAnsi="Times New Roman" w:cs="Times New Roman"/>
          <w:i/>
          <w:iCs/>
          <w:sz w:val="24"/>
          <w:szCs w:val="24"/>
        </w:rPr>
        <w:t>. International Journal of Computer Science and Information Security</w:t>
      </w:r>
      <w:r w:rsidR="00A62C54">
        <w:rPr>
          <w:rFonts w:ascii="Times New Roman" w:eastAsia="Calibri" w:hAnsi="Times New Roman" w:cs="Times New Roman"/>
          <w:sz w:val="24"/>
          <w:szCs w:val="24"/>
        </w:rPr>
        <w:t>,</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11</w:t>
      </w:r>
      <w:r w:rsidRPr="00590B10">
        <w:rPr>
          <w:rFonts w:ascii="Times New Roman" w:eastAsia="Calibri" w:hAnsi="Times New Roman" w:cs="Times New Roman"/>
          <w:sz w:val="24"/>
          <w:szCs w:val="24"/>
        </w:rPr>
        <w:t xml:space="preserve"> (3), 36-39. </w:t>
      </w:r>
      <w:hyperlink r:id="rId12" w:history="1">
        <w:r w:rsidRPr="00590B10">
          <w:rPr>
            <w:rFonts w:ascii="Times New Roman" w:eastAsia="Calibri" w:hAnsi="Times New Roman" w:cs="Times New Roman"/>
            <w:color w:val="0563C1"/>
            <w:sz w:val="24"/>
            <w:szCs w:val="24"/>
            <w:u w:val="single"/>
          </w:rPr>
          <w:t>https://core.ac.uk/download/pdf/143963031.pdf</w:t>
        </w:r>
      </w:hyperlink>
      <w:r w:rsidRPr="00590B10">
        <w:rPr>
          <w:rFonts w:ascii="Times New Roman" w:eastAsia="Calibri" w:hAnsi="Times New Roman" w:cs="Times New Roman"/>
          <w:sz w:val="24"/>
          <w:szCs w:val="24"/>
        </w:rPr>
        <w:t xml:space="preserve"> </w:t>
      </w:r>
    </w:p>
    <w:p w14:paraId="5C8F059A" w14:textId="115535A9"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lang w:val="nl-BE"/>
        </w:rPr>
        <w:t xml:space="preserve">de Ocampo, M.B., Bagano, A. J., &amp; Tan, A. (2012). </w:t>
      </w:r>
      <w:r w:rsidRPr="00590B10">
        <w:rPr>
          <w:rFonts w:ascii="Times New Roman" w:eastAsia="Calibri" w:hAnsi="Times New Roman" w:cs="Times New Roman"/>
          <w:sz w:val="24"/>
          <w:szCs w:val="24"/>
        </w:rPr>
        <w:t xml:space="preserve">Culture of entrepreneurship versus employment. 2012 Fifth Taiwan-Philippines Academic Conference Digital Humanities and Cultural Studies. Aletheia University, New Taipei City, Taiwan. </w:t>
      </w:r>
      <w:hyperlink r:id="rId13" w:history="1">
        <w:r w:rsidRPr="00590B10">
          <w:rPr>
            <w:rFonts w:ascii="Times New Roman" w:eastAsia="Calibri" w:hAnsi="Times New Roman" w:cs="Times New Roman"/>
            <w:color w:val="0563C1"/>
            <w:sz w:val="24"/>
            <w:szCs w:val="24"/>
            <w:u w:val="single"/>
          </w:rPr>
          <w:t>https://www.academia.edu/36131668/Culture_of_Entrepreneurship_versus_Employment</w:t>
        </w:r>
      </w:hyperlink>
      <w:r w:rsidRPr="00590B10">
        <w:rPr>
          <w:rFonts w:ascii="Times New Roman" w:eastAsia="Calibri" w:hAnsi="Times New Roman" w:cs="Times New Roman"/>
          <w:sz w:val="24"/>
          <w:szCs w:val="24"/>
        </w:rPr>
        <w:t xml:space="preserve"> </w:t>
      </w:r>
    </w:p>
    <w:p w14:paraId="4DAF10AB" w14:textId="0CF85224"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lang w:val="nl-BE"/>
        </w:rPr>
        <w:t xml:space="preserve">de Grip, A., van Loo, J., &amp; Sanders, J. (2004). </w:t>
      </w:r>
      <w:r w:rsidRPr="00590B10">
        <w:rPr>
          <w:rFonts w:ascii="Times New Roman" w:eastAsia="Calibri" w:hAnsi="Times New Roman" w:cs="Times New Roman"/>
          <w:sz w:val="24"/>
          <w:szCs w:val="24"/>
        </w:rPr>
        <w:t xml:space="preserve">The industry employability index: Taking account of supply and demand characteristics. </w:t>
      </w:r>
      <w:r w:rsidRPr="00590B10">
        <w:rPr>
          <w:rFonts w:ascii="Times New Roman" w:eastAsia="Calibri" w:hAnsi="Times New Roman" w:cs="Times New Roman"/>
          <w:i/>
          <w:iCs/>
          <w:sz w:val="24"/>
          <w:szCs w:val="24"/>
        </w:rPr>
        <w:t xml:space="preserve">International </w:t>
      </w:r>
      <w:proofErr w:type="spellStart"/>
      <w:r w:rsidRPr="00590B10">
        <w:rPr>
          <w:rFonts w:ascii="Times New Roman" w:eastAsia="Calibri" w:hAnsi="Times New Roman" w:cs="Times New Roman"/>
          <w:i/>
          <w:iCs/>
          <w:sz w:val="24"/>
          <w:szCs w:val="24"/>
        </w:rPr>
        <w:t>Labour</w:t>
      </w:r>
      <w:proofErr w:type="spellEnd"/>
      <w:r w:rsidRPr="00590B10">
        <w:rPr>
          <w:rFonts w:ascii="Times New Roman" w:eastAsia="Calibri" w:hAnsi="Times New Roman" w:cs="Times New Roman"/>
          <w:i/>
          <w:iCs/>
          <w:sz w:val="24"/>
          <w:szCs w:val="24"/>
        </w:rPr>
        <w:t xml:space="preserve"> Review</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143</w:t>
      </w:r>
      <w:r w:rsidRPr="00590B10">
        <w:rPr>
          <w:rFonts w:ascii="Times New Roman" w:eastAsia="Calibri" w:hAnsi="Times New Roman" w:cs="Times New Roman"/>
          <w:sz w:val="24"/>
          <w:szCs w:val="24"/>
        </w:rPr>
        <w:t xml:space="preserve"> (3), 211–233. </w:t>
      </w:r>
      <w:hyperlink r:id="rId14" w:history="1">
        <w:r w:rsidRPr="00590B10">
          <w:rPr>
            <w:rFonts w:ascii="Times New Roman" w:eastAsia="Calibri" w:hAnsi="Times New Roman" w:cs="Times New Roman"/>
            <w:color w:val="0563C1"/>
            <w:sz w:val="24"/>
            <w:szCs w:val="24"/>
            <w:u w:val="single"/>
          </w:rPr>
          <w:t>https://doi.org/10.1111/j.1564-913X.2004.tb00269.x</w:t>
        </w:r>
      </w:hyperlink>
      <w:r w:rsidRPr="00590B10">
        <w:rPr>
          <w:rFonts w:ascii="Times New Roman" w:eastAsia="Calibri" w:hAnsi="Times New Roman" w:cs="Times New Roman"/>
          <w:sz w:val="24"/>
          <w:szCs w:val="24"/>
        </w:rPr>
        <w:t xml:space="preserve"> </w:t>
      </w:r>
    </w:p>
    <w:p w14:paraId="5DBB1923" w14:textId="2D73D5F8" w:rsidR="00450884" w:rsidRPr="00590B10" w:rsidRDefault="00450884" w:rsidP="00FD5076">
      <w:pPr>
        <w:spacing w:after="0" w:line="240" w:lineRule="auto"/>
        <w:ind w:left="567" w:hanging="567"/>
        <w:jc w:val="both"/>
        <w:rPr>
          <w:rFonts w:ascii="Calibri" w:eastAsia="Calibri" w:hAnsi="Calibri" w:cs="Times New Roman"/>
          <w:sz w:val="24"/>
          <w:szCs w:val="24"/>
        </w:rPr>
      </w:pPr>
      <w:proofErr w:type="spellStart"/>
      <w:r w:rsidRPr="00590B10">
        <w:rPr>
          <w:rFonts w:ascii="Times New Roman" w:eastAsia="Calibri" w:hAnsi="Times New Roman" w:cs="Times New Roman"/>
          <w:sz w:val="24"/>
          <w:szCs w:val="24"/>
        </w:rPr>
        <w:t>Dzomeku</w:t>
      </w:r>
      <w:proofErr w:type="spellEnd"/>
      <w:r w:rsidRPr="00590B10">
        <w:rPr>
          <w:rFonts w:ascii="Times New Roman" w:eastAsia="Calibri" w:hAnsi="Times New Roman" w:cs="Times New Roman"/>
          <w:sz w:val="24"/>
          <w:szCs w:val="24"/>
        </w:rPr>
        <w:t xml:space="preserve">, V. M., Kusi Amponsah, A., Boateng, E. A., Antwi, J., </w:t>
      </w:r>
      <w:proofErr w:type="spellStart"/>
      <w:r w:rsidRPr="00590B10">
        <w:rPr>
          <w:rFonts w:ascii="Times New Roman" w:eastAsia="Calibri" w:hAnsi="Times New Roman" w:cs="Times New Roman"/>
          <w:sz w:val="24"/>
          <w:szCs w:val="24"/>
        </w:rPr>
        <w:t>Adoliwine</w:t>
      </w:r>
      <w:proofErr w:type="spellEnd"/>
      <w:r w:rsidRPr="00590B10">
        <w:rPr>
          <w:rFonts w:ascii="Times New Roman" w:eastAsia="Calibri" w:hAnsi="Times New Roman" w:cs="Times New Roman"/>
          <w:sz w:val="24"/>
          <w:szCs w:val="24"/>
        </w:rPr>
        <w:t xml:space="preserve"> </w:t>
      </w:r>
      <w:proofErr w:type="spellStart"/>
      <w:r w:rsidRPr="00590B10">
        <w:rPr>
          <w:rFonts w:ascii="Times New Roman" w:eastAsia="Calibri" w:hAnsi="Times New Roman" w:cs="Times New Roman"/>
          <w:sz w:val="24"/>
          <w:szCs w:val="24"/>
        </w:rPr>
        <w:t>Amooba</w:t>
      </w:r>
      <w:proofErr w:type="spellEnd"/>
      <w:r w:rsidRPr="00590B10">
        <w:rPr>
          <w:rFonts w:ascii="Times New Roman" w:eastAsia="Calibri" w:hAnsi="Times New Roman" w:cs="Times New Roman"/>
          <w:sz w:val="24"/>
          <w:szCs w:val="24"/>
        </w:rPr>
        <w:t xml:space="preserve">, P., Deo Gracious, P., Armah, J., &amp; Bam, V. (2024). Tracer study to assess the employability of graduates and quality of a nursing program: A descriptive cross-sectional survey. </w:t>
      </w:r>
      <w:r w:rsidRPr="00590B10">
        <w:rPr>
          <w:rFonts w:ascii="Times New Roman" w:eastAsia="Calibri" w:hAnsi="Times New Roman" w:cs="Times New Roman"/>
          <w:i/>
          <w:iCs/>
          <w:sz w:val="24"/>
          <w:szCs w:val="24"/>
        </w:rPr>
        <w:t>International Journal of Africa Nursing Sciences</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20</w:t>
      </w:r>
      <w:r w:rsidRPr="00590B10">
        <w:rPr>
          <w:rFonts w:ascii="Times New Roman" w:eastAsia="Calibri" w:hAnsi="Times New Roman" w:cs="Times New Roman"/>
          <w:sz w:val="24"/>
          <w:szCs w:val="24"/>
        </w:rPr>
        <w:t xml:space="preserve">, 100673 </w:t>
      </w:r>
      <w:hyperlink r:id="rId15" w:history="1">
        <w:r w:rsidRPr="00590B10">
          <w:rPr>
            <w:rFonts w:ascii="Times New Roman" w:eastAsia="Calibri" w:hAnsi="Times New Roman" w:cs="Times New Roman"/>
            <w:color w:val="0563C1"/>
            <w:sz w:val="24"/>
            <w:szCs w:val="24"/>
            <w:u w:val="single"/>
          </w:rPr>
          <w:t>https://doi.org/10.1016/j.ijans.2024.100673</w:t>
        </w:r>
      </w:hyperlink>
    </w:p>
    <w:p w14:paraId="04550796" w14:textId="4FE448FC" w:rsidR="00450884" w:rsidRPr="00590B10" w:rsidRDefault="00450884" w:rsidP="00FD5076">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Fugate, M., Kinicki, A. J., &amp; Ashforth, B. E. (2004). Employability: A psycho-social construct, its dimensions, and applications. </w:t>
      </w:r>
      <w:r w:rsidRPr="00590B10">
        <w:rPr>
          <w:rFonts w:ascii="Times New Roman" w:eastAsia="Calibri" w:hAnsi="Times New Roman" w:cs="Times New Roman"/>
          <w:i/>
          <w:iCs/>
          <w:sz w:val="24"/>
          <w:szCs w:val="24"/>
        </w:rPr>
        <w:t>Journal of Vocational Behavior</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65</w:t>
      </w:r>
      <w:r w:rsidRPr="00590B10">
        <w:rPr>
          <w:rFonts w:ascii="Times New Roman" w:eastAsia="Calibri" w:hAnsi="Times New Roman" w:cs="Times New Roman"/>
          <w:sz w:val="24"/>
          <w:szCs w:val="24"/>
        </w:rPr>
        <w:t xml:space="preserve"> (1), 14–38. </w:t>
      </w:r>
      <w:hyperlink r:id="rId16" w:history="1">
        <w:r w:rsidRPr="00590B10">
          <w:rPr>
            <w:rFonts w:ascii="Times New Roman" w:eastAsia="Calibri" w:hAnsi="Times New Roman" w:cs="Times New Roman"/>
            <w:color w:val="0563C1"/>
            <w:sz w:val="24"/>
            <w:szCs w:val="24"/>
            <w:u w:val="single"/>
          </w:rPr>
          <w:t>https://doi.org/10.1016/j.jvb.2003.10.005</w:t>
        </w:r>
      </w:hyperlink>
    </w:p>
    <w:p w14:paraId="12EE724A" w14:textId="03D0C6BD"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Garavan, T. N. (1999). Employability, the emerging new deal? </w:t>
      </w:r>
      <w:r w:rsidRPr="00590B10">
        <w:rPr>
          <w:rFonts w:ascii="Times New Roman" w:eastAsia="Calibri" w:hAnsi="Times New Roman" w:cs="Times New Roman"/>
          <w:i/>
          <w:iCs/>
          <w:sz w:val="24"/>
          <w:szCs w:val="24"/>
        </w:rPr>
        <w:t>Journal of European Industrial Training</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23</w:t>
      </w:r>
      <w:r w:rsidRPr="00590B10">
        <w:rPr>
          <w:rFonts w:ascii="Times New Roman" w:eastAsia="Calibri" w:hAnsi="Times New Roman" w:cs="Times New Roman"/>
          <w:sz w:val="24"/>
          <w:szCs w:val="24"/>
        </w:rPr>
        <w:t xml:space="preserve"> (1). </w:t>
      </w:r>
      <w:hyperlink r:id="rId17" w:history="1">
        <w:r w:rsidRPr="00590B10">
          <w:rPr>
            <w:rFonts w:ascii="Times New Roman" w:eastAsia="Calibri" w:hAnsi="Times New Roman" w:cs="Times New Roman"/>
            <w:color w:val="0563C1"/>
            <w:sz w:val="24"/>
            <w:szCs w:val="24"/>
            <w:u w:val="single"/>
          </w:rPr>
          <w:t>https://doi.org/10.1108/jeit.1999.00323aaa.001</w:t>
        </w:r>
      </w:hyperlink>
      <w:r w:rsidRPr="00590B10">
        <w:rPr>
          <w:rFonts w:ascii="Times New Roman" w:eastAsia="Calibri" w:hAnsi="Times New Roman" w:cs="Times New Roman"/>
          <w:sz w:val="24"/>
          <w:szCs w:val="24"/>
        </w:rPr>
        <w:t xml:space="preserve"> </w:t>
      </w:r>
    </w:p>
    <w:p w14:paraId="7210A897" w14:textId="7B64F64E"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Harvey, L. (2007). On employability. </w:t>
      </w:r>
      <w:r w:rsidRPr="00590B10">
        <w:rPr>
          <w:rFonts w:ascii="Times New Roman" w:eastAsia="Calibri" w:hAnsi="Times New Roman" w:cs="Times New Roman"/>
          <w:i/>
          <w:iCs/>
          <w:sz w:val="24"/>
          <w:szCs w:val="24"/>
        </w:rPr>
        <w:t>Higher Education Academy</w:t>
      </w:r>
      <w:r w:rsidRPr="00590B10">
        <w:rPr>
          <w:rFonts w:ascii="Times New Roman" w:eastAsia="Calibri" w:hAnsi="Times New Roman" w:cs="Times New Roman"/>
          <w:sz w:val="24"/>
          <w:szCs w:val="24"/>
        </w:rPr>
        <w:t>, 1–3.</w:t>
      </w:r>
    </w:p>
    <w:p w14:paraId="6FF7A4C0" w14:textId="6B4A10A2" w:rsidR="00450884" w:rsidRPr="00590B10" w:rsidRDefault="00450884" w:rsidP="00FD5076">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Ismail, S., &amp; Mohammed, D. S. (2015). Employability skills in TVET curriculum in Nigeria federal Universities of technology. </w:t>
      </w:r>
      <w:r w:rsidRPr="00590B10">
        <w:rPr>
          <w:rFonts w:ascii="Times New Roman" w:eastAsia="Calibri" w:hAnsi="Times New Roman" w:cs="Times New Roman"/>
          <w:i/>
          <w:iCs/>
          <w:sz w:val="24"/>
          <w:szCs w:val="24"/>
        </w:rPr>
        <w:t>Procedia – Social and Behavioral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204</w:t>
      </w:r>
      <w:r w:rsidRPr="00590B10">
        <w:rPr>
          <w:rFonts w:ascii="Times New Roman" w:eastAsia="Calibri" w:hAnsi="Times New Roman" w:cs="Times New Roman"/>
          <w:sz w:val="24"/>
          <w:szCs w:val="24"/>
        </w:rPr>
        <w:t xml:space="preserve">, 73–80. </w:t>
      </w:r>
      <w:hyperlink r:id="rId18" w:history="1">
        <w:r w:rsidRPr="00590B10">
          <w:rPr>
            <w:rFonts w:ascii="Times New Roman" w:eastAsia="Calibri" w:hAnsi="Times New Roman" w:cs="Times New Roman"/>
            <w:color w:val="0563C1"/>
            <w:sz w:val="24"/>
            <w:szCs w:val="24"/>
            <w:u w:val="single"/>
          </w:rPr>
          <w:t>https://doi.org/10.1016/j.sbspro.2015.08.111</w:t>
        </w:r>
      </w:hyperlink>
    </w:p>
    <w:p w14:paraId="4536E1F0" w14:textId="735B411D"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proofErr w:type="spellStart"/>
      <w:r w:rsidRPr="00590B10">
        <w:rPr>
          <w:rFonts w:ascii="Times New Roman" w:eastAsia="Calibri" w:hAnsi="Times New Roman" w:cs="Times New Roman"/>
          <w:sz w:val="24"/>
          <w:szCs w:val="24"/>
        </w:rPr>
        <w:t>Malahay</w:t>
      </w:r>
      <w:proofErr w:type="spellEnd"/>
      <w:r w:rsidRPr="00590B10">
        <w:rPr>
          <w:rFonts w:ascii="Times New Roman" w:eastAsia="Calibri" w:hAnsi="Times New Roman" w:cs="Times New Roman"/>
          <w:sz w:val="24"/>
          <w:szCs w:val="24"/>
        </w:rPr>
        <w:t>, R. S., &amp; Saing, P. M. (2018). A tracer study of Bachelor of Science in computer science graduates of Negros Oriental State University-</w:t>
      </w:r>
      <w:proofErr w:type="spellStart"/>
      <w:r w:rsidRPr="00590B10">
        <w:rPr>
          <w:rFonts w:ascii="Times New Roman" w:eastAsia="Calibri" w:hAnsi="Times New Roman" w:cs="Times New Roman"/>
          <w:sz w:val="24"/>
          <w:szCs w:val="24"/>
        </w:rPr>
        <w:t>Guihulngan</w:t>
      </w:r>
      <w:proofErr w:type="spellEnd"/>
      <w:r w:rsidRPr="00590B10">
        <w:rPr>
          <w:rFonts w:ascii="Times New Roman" w:eastAsia="Calibri" w:hAnsi="Times New Roman" w:cs="Times New Roman"/>
          <w:sz w:val="24"/>
          <w:szCs w:val="24"/>
        </w:rPr>
        <w:t xml:space="preserve"> City Campus, Philippines. </w:t>
      </w:r>
      <w:r w:rsidRPr="00590B10">
        <w:rPr>
          <w:rFonts w:ascii="Times New Roman" w:eastAsia="Calibri" w:hAnsi="Times New Roman" w:cs="Times New Roman"/>
          <w:i/>
          <w:iCs/>
          <w:sz w:val="24"/>
          <w:szCs w:val="24"/>
        </w:rPr>
        <w:t>International Journal of Applied Research</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4</w:t>
      </w:r>
      <w:r w:rsidRPr="00590B10">
        <w:rPr>
          <w:rFonts w:ascii="Times New Roman" w:eastAsia="Calibri" w:hAnsi="Times New Roman" w:cs="Times New Roman"/>
          <w:sz w:val="24"/>
          <w:szCs w:val="24"/>
        </w:rPr>
        <w:t xml:space="preserve">(12), 44–46. </w:t>
      </w:r>
    </w:p>
    <w:p w14:paraId="765110B8" w14:textId="136D1243"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Montaño, E. N., &amp; Salvador, N. S. (2012). Competencies in the Workplace of the Bachelor of Science in Fisheries Graduates of the Western Philippines University. </w:t>
      </w:r>
      <w:r w:rsidRPr="00590B10">
        <w:rPr>
          <w:rFonts w:ascii="Times New Roman" w:eastAsia="Calibri" w:hAnsi="Times New Roman" w:cs="Times New Roman"/>
          <w:i/>
          <w:iCs/>
          <w:sz w:val="24"/>
          <w:szCs w:val="24"/>
        </w:rPr>
        <w:t>JPAIR Multidisciplinary Research Journal</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9</w:t>
      </w:r>
      <w:r w:rsidRPr="00590B10">
        <w:rPr>
          <w:rFonts w:ascii="Times New Roman" w:eastAsia="Calibri" w:hAnsi="Times New Roman" w:cs="Times New Roman"/>
          <w:sz w:val="24"/>
          <w:szCs w:val="24"/>
        </w:rPr>
        <w:t xml:space="preserve">(1), 39-53. </w:t>
      </w:r>
      <w:hyperlink r:id="rId19" w:history="1">
        <w:r w:rsidRPr="00590B10">
          <w:rPr>
            <w:rFonts w:ascii="Times New Roman" w:eastAsia="Calibri" w:hAnsi="Times New Roman" w:cs="Times New Roman"/>
            <w:color w:val="0563C1"/>
            <w:sz w:val="24"/>
            <w:szCs w:val="24"/>
            <w:u w:val="single"/>
          </w:rPr>
          <w:t>https://doi.org/10.7719/jpair.v9i1.16</w:t>
        </w:r>
      </w:hyperlink>
      <w:r w:rsidRPr="00590B10">
        <w:rPr>
          <w:rFonts w:ascii="Times New Roman" w:eastAsia="Calibri" w:hAnsi="Times New Roman" w:cs="Times New Roman"/>
          <w:sz w:val="24"/>
          <w:szCs w:val="24"/>
        </w:rPr>
        <w:t xml:space="preserve"> </w:t>
      </w:r>
    </w:p>
    <w:p w14:paraId="2D94EF37" w14:textId="5A624E1C"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PSA (2025). Unemployment Rate in October 2024 was Estimated at 3.9 Percent. Retrieved from </w:t>
      </w:r>
      <w:hyperlink r:id="rId20" w:history="1">
        <w:r w:rsidRPr="00590B10">
          <w:rPr>
            <w:rFonts w:ascii="Times New Roman" w:eastAsia="Calibri" w:hAnsi="Times New Roman" w:cs="Times New Roman"/>
            <w:color w:val="0563C1"/>
            <w:sz w:val="24"/>
            <w:szCs w:val="24"/>
            <w:u w:val="single"/>
          </w:rPr>
          <w:t>https://psa.gov.ph/statistics/labor-force-survey</w:t>
        </w:r>
      </w:hyperlink>
      <w:r w:rsidRPr="00590B10">
        <w:rPr>
          <w:rFonts w:ascii="Times New Roman" w:eastAsia="Calibri" w:hAnsi="Times New Roman" w:cs="Times New Roman"/>
          <w:sz w:val="24"/>
          <w:szCs w:val="24"/>
        </w:rPr>
        <w:t xml:space="preserve">  </w:t>
      </w:r>
    </w:p>
    <w:p w14:paraId="1DC5A3F6" w14:textId="085B63BD"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lastRenderedPageBreak/>
        <w:t xml:space="preserve">Polit, D. F., &amp; Beck, C.T. (2010). </w:t>
      </w:r>
      <w:r w:rsidRPr="00A62C54">
        <w:rPr>
          <w:rFonts w:ascii="Times New Roman" w:eastAsia="Calibri" w:hAnsi="Times New Roman" w:cs="Times New Roman"/>
          <w:i/>
          <w:iCs/>
          <w:sz w:val="24"/>
          <w:szCs w:val="24"/>
        </w:rPr>
        <w:t>Essentials of Nursing Research: Appraising Evidence for Nursing Practice</w:t>
      </w:r>
      <w:r w:rsidRPr="00590B10">
        <w:rPr>
          <w:rFonts w:ascii="Times New Roman" w:eastAsia="Calibri" w:hAnsi="Times New Roman" w:cs="Times New Roman"/>
          <w:sz w:val="24"/>
          <w:szCs w:val="24"/>
        </w:rPr>
        <w:t xml:space="preserve">. 7th Edition, Wolters Kluwer Health/Lippincott Williams &amp; Wilkins, Philadelphia. </w:t>
      </w:r>
    </w:p>
    <w:p w14:paraId="40F539E7" w14:textId="350DFBCA"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Rogan, M., &amp; Reynolds, J. (2016). Schooling inequality, higher education and the labor market: Evidence from a graduate tracer study in the Eastern Cape, South Africa. </w:t>
      </w:r>
      <w:r w:rsidRPr="00590B10">
        <w:rPr>
          <w:rFonts w:ascii="Times New Roman" w:eastAsia="Calibri" w:hAnsi="Times New Roman" w:cs="Times New Roman"/>
          <w:i/>
          <w:iCs/>
          <w:sz w:val="24"/>
          <w:szCs w:val="24"/>
        </w:rPr>
        <w:t>Development Southern Africa</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33</w:t>
      </w:r>
      <w:r w:rsidRPr="00590B10">
        <w:rPr>
          <w:rFonts w:ascii="Times New Roman" w:eastAsia="Calibri" w:hAnsi="Times New Roman" w:cs="Times New Roman"/>
          <w:sz w:val="24"/>
          <w:szCs w:val="24"/>
        </w:rPr>
        <w:t xml:space="preserve">(3), 343-360. </w:t>
      </w:r>
      <w:hyperlink r:id="rId21" w:history="1">
        <w:r w:rsidRPr="00590B10">
          <w:rPr>
            <w:rFonts w:ascii="Times New Roman" w:eastAsia="Calibri" w:hAnsi="Times New Roman" w:cs="Times New Roman"/>
            <w:color w:val="0563C1"/>
            <w:sz w:val="24"/>
            <w:szCs w:val="24"/>
            <w:u w:val="single"/>
          </w:rPr>
          <w:t>https://doi.org/10.1080/0376835X.2016.1153454</w:t>
        </w:r>
      </w:hyperlink>
      <w:r w:rsidRPr="00590B10">
        <w:rPr>
          <w:rFonts w:ascii="Times New Roman" w:eastAsia="Calibri" w:hAnsi="Times New Roman" w:cs="Times New Roman"/>
          <w:sz w:val="24"/>
          <w:szCs w:val="24"/>
        </w:rPr>
        <w:t xml:space="preserve"> </w:t>
      </w:r>
    </w:p>
    <w:p w14:paraId="1BE166EF" w14:textId="79A2D1A1"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Rosaldo, E.A. (2024). Employability of Bachelor of Science in Fisheries graduates in Calabarzon- Input for curriculum. </w:t>
      </w:r>
      <w:r w:rsidRPr="00590B10">
        <w:rPr>
          <w:rFonts w:ascii="Times New Roman" w:eastAsia="Calibri" w:hAnsi="Times New Roman" w:cs="Times New Roman"/>
          <w:i/>
          <w:iCs/>
          <w:sz w:val="24"/>
          <w:szCs w:val="24"/>
        </w:rPr>
        <w:t>ISGR Journal of Arts, Humanities and Social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2</w:t>
      </w:r>
      <w:r w:rsidRPr="00590B10">
        <w:rPr>
          <w:rFonts w:ascii="Times New Roman" w:eastAsia="Calibri" w:hAnsi="Times New Roman" w:cs="Times New Roman"/>
          <w:sz w:val="24"/>
          <w:szCs w:val="24"/>
        </w:rPr>
        <w:t>(3), 572-577.</w:t>
      </w:r>
      <w:r w:rsidR="001F42E4" w:rsidRPr="00590B10">
        <w:rPr>
          <w:rFonts w:ascii="Times New Roman" w:eastAsia="Calibri" w:hAnsi="Times New Roman" w:cs="Times New Roman"/>
          <w:sz w:val="24"/>
          <w:szCs w:val="24"/>
        </w:rPr>
        <w:t xml:space="preserve"> </w:t>
      </w:r>
      <w:hyperlink r:id="rId22" w:history="1">
        <w:r w:rsidR="001F42E4" w:rsidRPr="00590B10">
          <w:rPr>
            <w:rStyle w:val="Hyperlink"/>
            <w:rFonts w:ascii="Times New Roman" w:eastAsia="Calibri" w:hAnsi="Times New Roman" w:cs="Times New Roman"/>
            <w:sz w:val="24"/>
            <w:szCs w:val="24"/>
          </w:rPr>
          <w:t>https://doi.org/10.5281/zenodo.12593351</w:t>
        </w:r>
      </w:hyperlink>
      <w:r w:rsidR="001F42E4" w:rsidRPr="00590B10">
        <w:rPr>
          <w:rFonts w:ascii="Times New Roman" w:eastAsia="Calibri" w:hAnsi="Times New Roman" w:cs="Times New Roman"/>
          <w:sz w:val="24"/>
          <w:szCs w:val="24"/>
        </w:rPr>
        <w:t xml:space="preserve">  </w:t>
      </w:r>
    </w:p>
    <w:p w14:paraId="15D3C2EE" w14:textId="5B921F7D" w:rsidR="00450884" w:rsidRPr="00590B10" w:rsidRDefault="00450884" w:rsidP="00FD5076">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Tria, L. V., &amp; Bocacao, H. R. (2022). Tracer study of Bachelor of Science in Fisheries graduates of Partido State University (PSU) </w:t>
      </w:r>
      <w:proofErr w:type="spellStart"/>
      <w:r w:rsidRPr="00590B10">
        <w:rPr>
          <w:rFonts w:ascii="Times New Roman" w:eastAsia="Calibri" w:hAnsi="Times New Roman" w:cs="Times New Roman"/>
          <w:sz w:val="24"/>
          <w:szCs w:val="24"/>
        </w:rPr>
        <w:t>Sagñay</w:t>
      </w:r>
      <w:proofErr w:type="spellEnd"/>
      <w:r w:rsidRPr="00590B10">
        <w:rPr>
          <w:rFonts w:ascii="Times New Roman" w:eastAsia="Calibri" w:hAnsi="Times New Roman" w:cs="Times New Roman"/>
          <w:sz w:val="24"/>
          <w:szCs w:val="24"/>
        </w:rPr>
        <w:t xml:space="preserve"> Campus. </w:t>
      </w:r>
      <w:r w:rsidRPr="00590B10">
        <w:rPr>
          <w:rFonts w:ascii="Times New Roman" w:eastAsia="Calibri" w:hAnsi="Times New Roman" w:cs="Times New Roman"/>
          <w:i/>
          <w:iCs/>
          <w:sz w:val="24"/>
          <w:szCs w:val="24"/>
        </w:rPr>
        <w:t>The American Journal of Humanities and Social Sciences Research</w:t>
      </w:r>
      <w:r w:rsidRPr="00590B10">
        <w:rPr>
          <w:rFonts w:ascii="Times New Roman" w:eastAsia="Calibri" w:hAnsi="Times New Roman" w:cs="Times New Roman"/>
          <w:sz w:val="24"/>
          <w:szCs w:val="24"/>
        </w:rPr>
        <w:t xml:space="preserve">, </w:t>
      </w:r>
      <w:r w:rsidR="00A62C54" w:rsidRPr="00A62C54">
        <w:rPr>
          <w:rFonts w:ascii="Times New Roman" w:eastAsia="Calibri" w:hAnsi="Times New Roman" w:cs="Times New Roman"/>
          <w:i/>
          <w:iCs/>
          <w:sz w:val="24"/>
          <w:szCs w:val="24"/>
        </w:rPr>
        <w:t>5</w:t>
      </w:r>
      <w:r w:rsidR="00A62C54">
        <w:rPr>
          <w:rFonts w:ascii="Times New Roman" w:eastAsia="Calibri" w:hAnsi="Times New Roman" w:cs="Times New Roman"/>
          <w:sz w:val="24"/>
          <w:szCs w:val="24"/>
        </w:rPr>
        <w:t xml:space="preserve">(5), </w:t>
      </w:r>
      <w:r w:rsidRPr="00590B10">
        <w:rPr>
          <w:rFonts w:ascii="Times New Roman" w:eastAsia="Calibri" w:hAnsi="Times New Roman" w:cs="Times New Roman"/>
          <w:sz w:val="24"/>
          <w:szCs w:val="24"/>
        </w:rPr>
        <w:t xml:space="preserve">29–39. </w:t>
      </w:r>
      <w:hyperlink r:id="rId23" w:history="1">
        <w:r w:rsidRPr="00590B10">
          <w:rPr>
            <w:rFonts w:ascii="Times New Roman" w:eastAsia="Calibri" w:hAnsi="Times New Roman" w:cs="Times New Roman"/>
            <w:color w:val="0563C1"/>
            <w:sz w:val="24"/>
            <w:szCs w:val="24"/>
            <w:u w:val="single"/>
          </w:rPr>
          <w:t>https://doi.org/10.56805/ajhssr.2022.5.5.104</w:t>
        </w:r>
      </w:hyperlink>
    </w:p>
    <w:p w14:paraId="6543D35C" w14:textId="59B1E1B5"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Teijeiro, M., </w:t>
      </w:r>
      <w:proofErr w:type="spellStart"/>
      <w:r w:rsidRPr="00590B10">
        <w:rPr>
          <w:rFonts w:ascii="Times New Roman" w:eastAsia="Calibri" w:hAnsi="Times New Roman" w:cs="Times New Roman"/>
          <w:sz w:val="24"/>
          <w:szCs w:val="24"/>
        </w:rPr>
        <w:t>Rungo</w:t>
      </w:r>
      <w:proofErr w:type="spellEnd"/>
      <w:r w:rsidRPr="00590B10">
        <w:rPr>
          <w:rFonts w:ascii="Times New Roman" w:eastAsia="Calibri" w:hAnsi="Times New Roman" w:cs="Times New Roman"/>
          <w:sz w:val="24"/>
          <w:szCs w:val="24"/>
        </w:rPr>
        <w:t xml:space="preserve">, P., &amp; Freire, J. (2013). Graduate competencies and employability: The impact of matching firms’ needs and personal attainments. Economics of Education Review, </w:t>
      </w:r>
      <w:r w:rsidRPr="00A62C54">
        <w:rPr>
          <w:rFonts w:ascii="Times New Roman" w:eastAsia="Calibri" w:hAnsi="Times New Roman" w:cs="Times New Roman"/>
          <w:i/>
          <w:iCs/>
          <w:sz w:val="24"/>
          <w:szCs w:val="24"/>
        </w:rPr>
        <w:t>34</w:t>
      </w:r>
      <w:r w:rsidRPr="00590B10">
        <w:rPr>
          <w:rFonts w:ascii="Times New Roman" w:eastAsia="Calibri" w:hAnsi="Times New Roman" w:cs="Times New Roman"/>
          <w:sz w:val="24"/>
          <w:szCs w:val="24"/>
        </w:rPr>
        <w:t xml:space="preserve">, 286–295. </w:t>
      </w:r>
      <w:hyperlink r:id="rId24" w:history="1">
        <w:r w:rsidRPr="00590B10">
          <w:rPr>
            <w:rFonts w:ascii="Times New Roman" w:eastAsia="Calibri" w:hAnsi="Times New Roman" w:cs="Times New Roman"/>
            <w:color w:val="0563C1"/>
            <w:sz w:val="24"/>
            <w:szCs w:val="24"/>
            <w:u w:val="single"/>
          </w:rPr>
          <w:t>https://doi.org/10.1016/j.econedurev.2013.01.003</w:t>
        </w:r>
      </w:hyperlink>
      <w:r w:rsidRPr="00590B10">
        <w:rPr>
          <w:rFonts w:ascii="Times New Roman" w:eastAsia="Calibri" w:hAnsi="Times New Roman" w:cs="Times New Roman"/>
          <w:sz w:val="24"/>
          <w:szCs w:val="24"/>
        </w:rPr>
        <w:t xml:space="preserve"> </w:t>
      </w:r>
    </w:p>
    <w:p w14:paraId="76106562" w14:textId="3F952C4D" w:rsidR="00450884" w:rsidRPr="00FD5076"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Quismundo, T. (2012</w:t>
      </w:r>
      <w:r w:rsidR="00A62C54">
        <w:rPr>
          <w:rFonts w:ascii="Times New Roman" w:eastAsia="Calibri" w:hAnsi="Times New Roman" w:cs="Times New Roman"/>
          <w:sz w:val="24"/>
          <w:szCs w:val="24"/>
        </w:rPr>
        <w:t>, May 31</w:t>
      </w:r>
      <w:r w:rsidRPr="00590B10">
        <w:rPr>
          <w:rFonts w:ascii="Times New Roman" w:eastAsia="Calibri" w:hAnsi="Times New Roman" w:cs="Times New Roman"/>
          <w:sz w:val="24"/>
          <w:szCs w:val="24"/>
        </w:rPr>
        <w:t>). C</w:t>
      </w:r>
      <w:r w:rsidRPr="00FD5076">
        <w:rPr>
          <w:rFonts w:ascii="Times New Roman" w:eastAsia="Calibri" w:hAnsi="Times New Roman" w:cs="Times New Roman"/>
          <w:sz w:val="24"/>
          <w:szCs w:val="24"/>
        </w:rPr>
        <w:t xml:space="preserve">HED: There’s gender gap in college, work. </w:t>
      </w:r>
      <w:r w:rsidRPr="00FD5076">
        <w:rPr>
          <w:rFonts w:ascii="Times New Roman" w:eastAsia="Calibri" w:hAnsi="Times New Roman" w:cs="Times New Roman"/>
          <w:i/>
          <w:iCs/>
          <w:sz w:val="24"/>
          <w:szCs w:val="24"/>
        </w:rPr>
        <w:t>Philippine Daily Inquirer</w:t>
      </w:r>
      <w:r w:rsidRPr="00FD5076">
        <w:rPr>
          <w:rFonts w:ascii="Times New Roman" w:eastAsia="Calibri" w:hAnsi="Times New Roman" w:cs="Times New Roman"/>
          <w:sz w:val="24"/>
          <w:szCs w:val="24"/>
        </w:rPr>
        <w:t xml:space="preserve">. </w:t>
      </w:r>
      <w:hyperlink r:id="rId25" w:history="1">
        <w:r w:rsidR="00A62C54" w:rsidRPr="00A32365">
          <w:rPr>
            <w:rStyle w:val="Hyperlink"/>
            <w:rFonts w:ascii="Times New Roman" w:eastAsia="Calibri" w:hAnsi="Times New Roman" w:cs="Times New Roman"/>
            <w:sz w:val="24"/>
            <w:szCs w:val="24"/>
          </w:rPr>
          <w:t>http://newsinfo.inquirer.net/204499/ched-theres-gender-gap-in-college-work</w:t>
        </w:r>
      </w:hyperlink>
      <w:r w:rsidRPr="00FD5076">
        <w:rPr>
          <w:rFonts w:ascii="Times New Roman" w:eastAsia="Calibri" w:hAnsi="Times New Roman" w:cs="Times New Roman"/>
          <w:sz w:val="24"/>
          <w:szCs w:val="24"/>
        </w:rPr>
        <w:t xml:space="preserve">. </w:t>
      </w:r>
    </w:p>
    <w:p w14:paraId="144D3DAA" w14:textId="77777777" w:rsidR="00CF177F" w:rsidRPr="00FD5076" w:rsidRDefault="00CF177F" w:rsidP="00FD5076">
      <w:pPr>
        <w:pStyle w:val="NoSpacing"/>
        <w:jc w:val="both"/>
        <w:rPr>
          <w:rFonts w:ascii="Times New Roman" w:hAnsi="Times New Roman" w:cs="Times New Roman"/>
          <w:sz w:val="24"/>
          <w:szCs w:val="24"/>
        </w:rPr>
      </w:pPr>
    </w:p>
    <w:sectPr w:rsidR="00CF177F" w:rsidRPr="00FD5076" w:rsidSect="00477D01">
      <w:headerReference w:type="even" r:id="rId26"/>
      <w:headerReference w:type="default" r:id="rId27"/>
      <w:footerReference w:type="even" r:id="rId28"/>
      <w:footerReference w:type="default" r:id="rId29"/>
      <w:headerReference w:type="first" r:id="rId30"/>
      <w:footerReference w:type="first" r:id="rId3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D623B" w14:textId="77777777" w:rsidR="00EF3505" w:rsidRDefault="00EF3505" w:rsidP="00245A14">
      <w:pPr>
        <w:spacing w:after="0" w:line="240" w:lineRule="auto"/>
      </w:pPr>
      <w:r>
        <w:separator/>
      </w:r>
    </w:p>
  </w:endnote>
  <w:endnote w:type="continuationSeparator" w:id="0">
    <w:p w14:paraId="58830C9B" w14:textId="77777777" w:rsidR="00EF3505" w:rsidRDefault="00EF3505" w:rsidP="0024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088A" w14:textId="77777777" w:rsidR="00C16CDF" w:rsidRDefault="00C1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F8C1" w14:textId="77777777" w:rsidR="00C16CDF" w:rsidRDefault="00C16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2924" w14:textId="77777777" w:rsidR="00C16CDF" w:rsidRDefault="00C1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5848E" w14:textId="77777777" w:rsidR="00EF3505" w:rsidRDefault="00EF3505" w:rsidP="00245A14">
      <w:pPr>
        <w:spacing w:after="0" w:line="240" w:lineRule="auto"/>
      </w:pPr>
      <w:r>
        <w:separator/>
      </w:r>
    </w:p>
  </w:footnote>
  <w:footnote w:type="continuationSeparator" w:id="0">
    <w:p w14:paraId="791F9049" w14:textId="77777777" w:rsidR="00EF3505" w:rsidRDefault="00EF3505" w:rsidP="0024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1D8D" w14:textId="6AE424DD" w:rsidR="00C16CDF" w:rsidRDefault="00C16CDF">
    <w:pPr>
      <w:pStyle w:val="Header"/>
    </w:pPr>
    <w:r>
      <w:rPr>
        <w:noProof/>
      </w:rPr>
      <w:pict w14:anchorId="03764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5902" w14:textId="5B8E66B4" w:rsidR="00C16CDF" w:rsidRDefault="00C16CDF">
    <w:pPr>
      <w:pStyle w:val="Header"/>
    </w:pPr>
    <w:r>
      <w:rPr>
        <w:noProof/>
      </w:rPr>
      <w:pict w14:anchorId="0E9A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2DC9" w14:textId="7D7FFE9D" w:rsidR="00C16CDF" w:rsidRDefault="00C16CDF">
    <w:pPr>
      <w:pStyle w:val="Header"/>
    </w:pPr>
    <w:r>
      <w:rPr>
        <w:noProof/>
      </w:rPr>
      <w:pict w14:anchorId="3BE93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52526"/>
    <w:multiLevelType w:val="hybridMultilevel"/>
    <w:tmpl w:val="CEF29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2NzIyNjAwMjI0MDJR0lEKTi0uzszPAykwtKgFAEXHdYYtAAAA"/>
  </w:docVars>
  <w:rsids>
    <w:rsidRoot w:val="00CF0183"/>
    <w:rsid w:val="0000297B"/>
    <w:rsid w:val="00016A51"/>
    <w:rsid w:val="00022316"/>
    <w:rsid w:val="0002312D"/>
    <w:rsid w:val="00031342"/>
    <w:rsid w:val="00035C39"/>
    <w:rsid w:val="00040BC5"/>
    <w:rsid w:val="0004317D"/>
    <w:rsid w:val="00076BA2"/>
    <w:rsid w:val="00095786"/>
    <w:rsid w:val="000A16E0"/>
    <w:rsid w:val="000C03F3"/>
    <w:rsid w:val="000D2F5C"/>
    <w:rsid w:val="000E0FDA"/>
    <w:rsid w:val="000E6ADB"/>
    <w:rsid w:val="0010284E"/>
    <w:rsid w:val="001073F7"/>
    <w:rsid w:val="001512C2"/>
    <w:rsid w:val="0016552B"/>
    <w:rsid w:val="00180AFA"/>
    <w:rsid w:val="0019060A"/>
    <w:rsid w:val="001B2872"/>
    <w:rsid w:val="001D6698"/>
    <w:rsid w:val="001E625C"/>
    <w:rsid w:val="001F42E4"/>
    <w:rsid w:val="001F6F00"/>
    <w:rsid w:val="00211BA4"/>
    <w:rsid w:val="002248E3"/>
    <w:rsid w:val="002262EE"/>
    <w:rsid w:val="002278C2"/>
    <w:rsid w:val="00242662"/>
    <w:rsid w:val="00245A14"/>
    <w:rsid w:val="0025432C"/>
    <w:rsid w:val="002558AB"/>
    <w:rsid w:val="002602EE"/>
    <w:rsid w:val="00260F7B"/>
    <w:rsid w:val="002624D8"/>
    <w:rsid w:val="002670B5"/>
    <w:rsid w:val="00293204"/>
    <w:rsid w:val="002963A9"/>
    <w:rsid w:val="002C155A"/>
    <w:rsid w:val="002D45D9"/>
    <w:rsid w:val="00307554"/>
    <w:rsid w:val="00311253"/>
    <w:rsid w:val="00330355"/>
    <w:rsid w:val="00351965"/>
    <w:rsid w:val="00352D16"/>
    <w:rsid w:val="00362093"/>
    <w:rsid w:val="00364BBD"/>
    <w:rsid w:val="003657E5"/>
    <w:rsid w:val="00380EB5"/>
    <w:rsid w:val="00382DED"/>
    <w:rsid w:val="00391B19"/>
    <w:rsid w:val="003A414F"/>
    <w:rsid w:val="003F67A1"/>
    <w:rsid w:val="0040060A"/>
    <w:rsid w:val="00415CA4"/>
    <w:rsid w:val="00431FC6"/>
    <w:rsid w:val="004323F8"/>
    <w:rsid w:val="00441BC5"/>
    <w:rsid w:val="004428B9"/>
    <w:rsid w:val="00443CC2"/>
    <w:rsid w:val="00450884"/>
    <w:rsid w:val="00477D01"/>
    <w:rsid w:val="004B2D36"/>
    <w:rsid w:val="004E35F7"/>
    <w:rsid w:val="004F00EB"/>
    <w:rsid w:val="00516EDC"/>
    <w:rsid w:val="00533F30"/>
    <w:rsid w:val="00553C0F"/>
    <w:rsid w:val="00557B41"/>
    <w:rsid w:val="00585761"/>
    <w:rsid w:val="00590B10"/>
    <w:rsid w:val="005935BB"/>
    <w:rsid w:val="00595950"/>
    <w:rsid w:val="005B7EA9"/>
    <w:rsid w:val="005C07C7"/>
    <w:rsid w:val="005C59AC"/>
    <w:rsid w:val="005E56D9"/>
    <w:rsid w:val="005F2228"/>
    <w:rsid w:val="00615985"/>
    <w:rsid w:val="0063307A"/>
    <w:rsid w:val="00634ED2"/>
    <w:rsid w:val="00640DE6"/>
    <w:rsid w:val="006459E6"/>
    <w:rsid w:val="006535F7"/>
    <w:rsid w:val="006A1742"/>
    <w:rsid w:val="006D2E48"/>
    <w:rsid w:val="006F106E"/>
    <w:rsid w:val="006F2B6C"/>
    <w:rsid w:val="006F493C"/>
    <w:rsid w:val="006F7EDF"/>
    <w:rsid w:val="00730839"/>
    <w:rsid w:val="0074462D"/>
    <w:rsid w:val="007852C3"/>
    <w:rsid w:val="00785D42"/>
    <w:rsid w:val="00786016"/>
    <w:rsid w:val="00787677"/>
    <w:rsid w:val="007B40DC"/>
    <w:rsid w:val="007C18D6"/>
    <w:rsid w:val="007C5B46"/>
    <w:rsid w:val="007D0F72"/>
    <w:rsid w:val="007F2B77"/>
    <w:rsid w:val="00804655"/>
    <w:rsid w:val="00830B65"/>
    <w:rsid w:val="008316A2"/>
    <w:rsid w:val="00842280"/>
    <w:rsid w:val="008667D0"/>
    <w:rsid w:val="0087598E"/>
    <w:rsid w:val="008804A7"/>
    <w:rsid w:val="008A3B44"/>
    <w:rsid w:val="008B2B25"/>
    <w:rsid w:val="008F06AE"/>
    <w:rsid w:val="008F2381"/>
    <w:rsid w:val="009109C3"/>
    <w:rsid w:val="009110BC"/>
    <w:rsid w:val="009477CB"/>
    <w:rsid w:val="00950292"/>
    <w:rsid w:val="00962BD8"/>
    <w:rsid w:val="009679F9"/>
    <w:rsid w:val="009761D7"/>
    <w:rsid w:val="009A7F80"/>
    <w:rsid w:val="009D0D97"/>
    <w:rsid w:val="009D5361"/>
    <w:rsid w:val="009F619E"/>
    <w:rsid w:val="00A02950"/>
    <w:rsid w:val="00A179C7"/>
    <w:rsid w:val="00A24D57"/>
    <w:rsid w:val="00A579C6"/>
    <w:rsid w:val="00A62C54"/>
    <w:rsid w:val="00A84843"/>
    <w:rsid w:val="00AB1309"/>
    <w:rsid w:val="00AB167D"/>
    <w:rsid w:val="00AC0A5B"/>
    <w:rsid w:val="00AC2E25"/>
    <w:rsid w:val="00AE594F"/>
    <w:rsid w:val="00AF7058"/>
    <w:rsid w:val="00B02EED"/>
    <w:rsid w:val="00B210BA"/>
    <w:rsid w:val="00B2118B"/>
    <w:rsid w:val="00B21B82"/>
    <w:rsid w:val="00B4665F"/>
    <w:rsid w:val="00B649BE"/>
    <w:rsid w:val="00B7505D"/>
    <w:rsid w:val="00B85781"/>
    <w:rsid w:val="00B941FE"/>
    <w:rsid w:val="00BA18E7"/>
    <w:rsid w:val="00BA49DD"/>
    <w:rsid w:val="00BD5260"/>
    <w:rsid w:val="00C071C7"/>
    <w:rsid w:val="00C16CDF"/>
    <w:rsid w:val="00C22C1B"/>
    <w:rsid w:val="00C2729F"/>
    <w:rsid w:val="00C47B20"/>
    <w:rsid w:val="00C6395E"/>
    <w:rsid w:val="00C65359"/>
    <w:rsid w:val="00C75344"/>
    <w:rsid w:val="00C9058E"/>
    <w:rsid w:val="00CA3C8E"/>
    <w:rsid w:val="00CA7B05"/>
    <w:rsid w:val="00CD76F0"/>
    <w:rsid w:val="00CF0183"/>
    <w:rsid w:val="00CF177F"/>
    <w:rsid w:val="00D15B2F"/>
    <w:rsid w:val="00D16967"/>
    <w:rsid w:val="00D73ABF"/>
    <w:rsid w:val="00DB4246"/>
    <w:rsid w:val="00DD4882"/>
    <w:rsid w:val="00DF676F"/>
    <w:rsid w:val="00E04A6E"/>
    <w:rsid w:val="00E11F1A"/>
    <w:rsid w:val="00E17072"/>
    <w:rsid w:val="00E27177"/>
    <w:rsid w:val="00E56135"/>
    <w:rsid w:val="00E57F05"/>
    <w:rsid w:val="00E60054"/>
    <w:rsid w:val="00E622A3"/>
    <w:rsid w:val="00E62436"/>
    <w:rsid w:val="00E7112C"/>
    <w:rsid w:val="00E90B31"/>
    <w:rsid w:val="00E9391E"/>
    <w:rsid w:val="00ED63FF"/>
    <w:rsid w:val="00EE078B"/>
    <w:rsid w:val="00EE7383"/>
    <w:rsid w:val="00EF2C22"/>
    <w:rsid w:val="00EF2D4C"/>
    <w:rsid w:val="00EF3505"/>
    <w:rsid w:val="00EF6F86"/>
    <w:rsid w:val="00F414C9"/>
    <w:rsid w:val="00F41760"/>
    <w:rsid w:val="00F42E24"/>
    <w:rsid w:val="00F43B8C"/>
    <w:rsid w:val="00F54ED4"/>
    <w:rsid w:val="00F630E4"/>
    <w:rsid w:val="00FA0303"/>
    <w:rsid w:val="00FD5076"/>
    <w:rsid w:val="00FE6BBA"/>
    <w:rsid w:val="00FF0FC3"/>
    <w:rsid w:val="00FF229F"/>
    <w:rsid w:val="00FF72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D5BCC"/>
  <w15:chartTrackingRefBased/>
  <w15:docId w15:val="{9CD38C7E-0AAE-45AB-AE77-9D81E18A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14"/>
  </w:style>
  <w:style w:type="paragraph" w:styleId="Footer">
    <w:name w:val="footer"/>
    <w:basedOn w:val="Normal"/>
    <w:link w:val="FooterChar"/>
    <w:uiPriority w:val="99"/>
    <w:unhideWhenUsed/>
    <w:rsid w:val="0024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14"/>
  </w:style>
  <w:style w:type="table" w:styleId="TableGrid">
    <w:name w:val="Table Grid"/>
    <w:basedOn w:val="TableNormal"/>
    <w:uiPriority w:val="39"/>
    <w:rsid w:val="0047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D01"/>
    <w:pPr>
      <w:spacing w:after="0" w:line="240" w:lineRule="auto"/>
    </w:pPr>
  </w:style>
  <w:style w:type="table" w:customStyle="1" w:styleId="TableGrid1">
    <w:name w:val="Table Grid1"/>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14C9"/>
    <w:rPr>
      <w:color w:val="0563C1" w:themeColor="hyperlink"/>
      <w:u w:val="single"/>
    </w:rPr>
  </w:style>
  <w:style w:type="character" w:styleId="UnresolvedMention">
    <w:name w:val="Unresolved Mention"/>
    <w:basedOn w:val="DefaultParagraphFont"/>
    <w:uiPriority w:val="99"/>
    <w:semiHidden/>
    <w:unhideWhenUsed/>
    <w:rsid w:val="00F414C9"/>
    <w:rPr>
      <w:color w:val="605E5C"/>
      <w:shd w:val="clear" w:color="auto" w:fill="E1DFDD"/>
    </w:rPr>
  </w:style>
  <w:style w:type="paragraph" w:styleId="ListParagraph">
    <w:name w:val="List Paragraph"/>
    <w:basedOn w:val="Normal"/>
    <w:uiPriority w:val="34"/>
    <w:qFormat/>
    <w:rsid w:val="008B2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36131668/Culture_of_Entrepreneurship_versus_Employment" TargetMode="External"/><Relationship Id="rId18" Type="http://schemas.openxmlformats.org/officeDocument/2006/relationships/hyperlink" Target="https://doi.org/10.1016/j.sbspro.2015.08.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376835X.2016.1153454" TargetMode="External"/><Relationship Id="rId7" Type="http://schemas.openxmlformats.org/officeDocument/2006/relationships/endnotes" Target="endnotes.xml"/><Relationship Id="rId12" Type="http://schemas.openxmlformats.org/officeDocument/2006/relationships/hyperlink" Target="https://core.ac.uk/download/pdf/143963031.pdf" TargetMode="External"/><Relationship Id="rId17" Type="http://schemas.openxmlformats.org/officeDocument/2006/relationships/hyperlink" Target="https://doi.org/10.1108/jeit.1999.00323aaa.001" TargetMode="External"/><Relationship Id="rId25" Type="http://schemas.openxmlformats.org/officeDocument/2006/relationships/hyperlink" Target="http://newsinfo.inquirer.net/204499/ched-theres-gender-gap-in-colleg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vb.2003.10.005" TargetMode="External"/><Relationship Id="rId20" Type="http://schemas.openxmlformats.org/officeDocument/2006/relationships/hyperlink" Target="https://psa.gov.ph/statistics/labor-force-surve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78/apherj.v6i1.1315" TargetMode="External"/><Relationship Id="rId24" Type="http://schemas.openxmlformats.org/officeDocument/2006/relationships/hyperlink" Target="https://doi.org/10.1016/j.econedurev.2013.01.0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jans.2024.100673" TargetMode="External"/><Relationship Id="rId23" Type="http://schemas.openxmlformats.org/officeDocument/2006/relationships/hyperlink" Target="https://doi.org/10.56805/ajhssr.2022.5.5.104" TargetMode="External"/><Relationship Id="rId28" Type="http://schemas.openxmlformats.org/officeDocument/2006/relationships/footer" Target="footer1.xml"/><Relationship Id="rId10" Type="http://schemas.openxmlformats.org/officeDocument/2006/relationships/hyperlink" Target="https://doi.org/10.1016/j.sbspro.2014.08.015" TargetMode="External"/><Relationship Id="rId19" Type="http://schemas.openxmlformats.org/officeDocument/2006/relationships/hyperlink" Target="https://doi.org/10.7719/jpair.v9i1.1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saho.2020.100055" TargetMode="External"/><Relationship Id="rId14" Type="http://schemas.openxmlformats.org/officeDocument/2006/relationships/hyperlink" Target="https://doi.org/10.1111/j.1564-913X.2004.tb00269.x" TargetMode="External"/><Relationship Id="rId22" Type="http://schemas.openxmlformats.org/officeDocument/2006/relationships/hyperlink" Target="https://doi.org/10.5281/zenodo.1259335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sbspro.2012.09.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3D90-E3EA-4A8B-B3A9-151A3958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5</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44</cp:revision>
  <dcterms:created xsi:type="dcterms:W3CDTF">2025-01-31T06:24:00Z</dcterms:created>
  <dcterms:modified xsi:type="dcterms:W3CDTF">2025-09-06T07:36:00Z</dcterms:modified>
</cp:coreProperties>
</file>