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00526" w14:textId="2424A6D1" w:rsidR="00352764" w:rsidRDefault="00740504">
      <w:pPr>
        <w:jc w:val="both"/>
        <w:rPr>
          <w:rFonts w:ascii="Times New Roman" w:hAnsi="Times New Roman" w:cs="Times New Roman"/>
          <w:b/>
          <w:bCs/>
          <w:sz w:val="28"/>
          <w:szCs w:val="28"/>
        </w:rPr>
      </w:pPr>
      <w:r>
        <w:rPr>
          <w:rFonts w:ascii="Times New Roman" w:hAnsi="Times New Roman" w:cs="Times New Roman"/>
          <w:b/>
          <w:bCs/>
          <w:sz w:val="28"/>
          <w:szCs w:val="28"/>
        </w:rPr>
        <w:t xml:space="preserve">Genotype x Environment Interaction and Stability Analysis of </w:t>
      </w:r>
      <w:proofErr w:type="spellStart"/>
      <w:r>
        <w:rPr>
          <w:rFonts w:ascii="Times New Roman" w:hAnsi="Times New Roman" w:cs="Times New Roman"/>
          <w:b/>
          <w:bCs/>
          <w:sz w:val="28"/>
          <w:szCs w:val="28"/>
        </w:rPr>
        <w:t>Mungbean</w:t>
      </w:r>
      <w:proofErr w:type="spellEnd"/>
      <w:r>
        <w:rPr>
          <w:rFonts w:ascii="Times New Roman" w:hAnsi="Times New Roman" w:cs="Times New Roman"/>
          <w:b/>
          <w:bCs/>
          <w:sz w:val="28"/>
          <w:szCs w:val="28"/>
        </w:rPr>
        <w:t xml:space="preserve"> Genotypes for </w:t>
      </w:r>
      <w:r w:rsidR="00C13D98" w:rsidRPr="00640B27">
        <w:rPr>
          <w:rFonts w:ascii="Times New Roman" w:hAnsi="Times New Roman" w:cs="Times New Roman"/>
          <w:b/>
          <w:bCs/>
          <w:sz w:val="28"/>
          <w:szCs w:val="28"/>
          <w:highlight w:val="yellow"/>
        </w:rPr>
        <w:t>Yield</w:t>
      </w:r>
      <w:r w:rsidR="00C13D98">
        <w:rPr>
          <w:rFonts w:ascii="Times New Roman" w:hAnsi="Times New Roman" w:cs="Times New Roman"/>
          <w:b/>
          <w:bCs/>
          <w:sz w:val="28"/>
          <w:szCs w:val="28"/>
        </w:rPr>
        <w:t xml:space="preserve"> </w:t>
      </w:r>
      <w:r>
        <w:rPr>
          <w:rFonts w:ascii="Times New Roman" w:hAnsi="Times New Roman" w:cs="Times New Roman"/>
          <w:b/>
          <w:bCs/>
          <w:sz w:val="28"/>
          <w:szCs w:val="28"/>
        </w:rPr>
        <w:t xml:space="preserve">and </w:t>
      </w:r>
      <w:r w:rsidR="00C13D98" w:rsidRPr="00640B27">
        <w:rPr>
          <w:rFonts w:ascii="Times New Roman" w:hAnsi="Times New Roman" w:cs="Times New Roman"/>
          <w:b/>
          <w:bCs/>
          <w:sz w:val="28"/>
          <w:szCs w:val="28"/>
          <w:highlight w:val="yellow"/>
        </w:rPr>
        <w:t>Its Attributing Traits</w:t>
      </w:r>
    </w:p>
    <w:p w14:paraId="3BD2389B" w14:textId="77777777" w:rsidR="00165A68" w:rsidRDefault="00165A68">
      <w:pPr>
        <w:ind w:firstLine="720"/>
        <w:jc w:val="both"/>
        <w:rPr>
          <w:rFonts w:ascii="Times New Roman" w:hAnsi="Times New Roman" w:cs="Times New Roman"/>
          <w:b/>
          <w:bCs/>
          <w:sz w:val="28"/>
          <w:szCs w:val="28"/>
        </w:rPr>
      </w:pPr>
    </w:p>
    <w:p w14:paraId="0AD255D3" w14:textId="77777777" w:rsidR="00352764" w:rsidRDefault="00740504">
      <w:pPr>
        <w:ind w:firstLine="720"/>
        <w:jc w:val="both"/>
        <w:rPr>
          <w:rFonts w:ascii="Times New Roman" w:hAnsi="Times New Roman" w:cs="Times New Roman"/>
          <w:b/>
          <w:bCs/>
          <w:sz w:val="28"/>
          <w:szCs w:val="28"/>
        </w:rPr>
      </w:pPr>
      <w:r>
        <w:rPr>
          <w:rFonts w:ascii="Times New Roman" w:hAnsi="Times New Roman" w:cs="Times New Roman"/>
          <w:b/>
          <w:bCs/>
          <w:sz w:val="28"/>
          <w:szCs w:val="28"/>
        </w:rPr>
        <w:t>Abstract</w:t>
      </w:r>
    </w:p>
    <w:p w14:paraId="42332604" w14:textId="40AE855C" w:rsidR="00352764" w:rsidRDefault="00AE6579" w:rsidP="008C48C6">
      <w:pPr>
        <w:ind w:firstLine="720"/>
        <w:jc w:val="both"/>
        <w:rPr>
          <w:rFonts w:ascii="Times New Roman" w:hAnsi="Times New Roman" w:cs="Times New Roman"/>
          <w:sz w:val="28"/>
          <w:szCs w:val="28"/>
        </w:rPr>
      </w:pPr>
      <w:proofErr w:type="spellStart"/>
      <w:r w:rsidRPr="00640B27">
        <w:rPr>
          <w:rFonts w:ascii="Times New Roman" w:hAnsi="Times New Roman" w:cs="Times New Roman"/>
          <w:sz w:val="28"/>
          <w:szCs w:val="28"/>
          <w:highlight w:val="yellow"/>
        </w:rPr>
        <w:t>Mungbean</w:t>
      </w:r>
      <w:proofErr w:type="spellEnd"/>
      <w:r w:rsidRPr="00640B27">
        <w:rPr>
          <w:rFonts w:ascii="Times New Roman" w:hAnsi="Times New Roman" w:cs="Times New Roman"/>
          <w:sz w:val="28"/>
          <w:szCs w:val="28"/>
          <w:highlight w:val="yellow"/>
        </w:rPr>
        <w:t xml:space="preserve"> (</w:t>
      </w:r>
      <w:r w:rsidRPr="00640B27">
        <w:rPr>
          <w:rFonts w:ascii="Times New Roman" w:hAnsi="Times New Roman" w:cs="Times New Roman"/>
          <w:i/>
          <w:iCs/>
          <w:sz w:val="28"/>
          <w:szCs w:val="28"/>
          <w:highlight w:val="yellow"/>
        </w:rPr>
        <w:t>Vigna radiata</w:t>
      </w:r>
      <w:r w:rsidRPr="00640B27">
        <w:rPr>
          <w:rFonts w:ascii="Times New Roman" w:hAnsi="Times New Roman" w:cs="Times New Roman"/>
          <w:sz w:val="28"/>
          <w:szCs w:val="28"/>
          <w:highlight w:val="yellow"/>
        </w:rPr>
        <w:t xml:space="preserve"> L. Wilczek), also known as green gram, is a warm-season annual legume </w:t>
      </w:r>
      <w:proofErr w:type="spellStart"/>
      <w:r w:rsidRPr="00640B27">
        <w:rPr>
          <w:rFonts w:ascii="Times New Roman" w:hAnsi="Times New Roman" w:cs="Times New Roman"/>
          <w:sz w:val="28"/>
          <w:szCs w:val="28"/>
          <w:highlight w:val="yellow"/>
        </w:rPr>
        <w:t>characterised</w:t>
      </w:r>
      <w:proofErr w:type="spellEnd"/>
      <w:r w:rsidRPr="00640B27">
        <w:rPr>
          <w:rFonts w:ascii="Times New Roman" w:hAnsi="Times New Roman" w:cs="Times New Roman"/>
          <w:sz w:val="28"/>
          <w:szCs w:val="28"/>
          <w:highlight w:val="yellow"/>
        </w:rPr>
        <w:t xml:space="preserve"> by rapid growth.</w:t>
      </w:r>
      <w:r w:rsidRPr="00AE6579">
        <w:rPr>
          <w:rFonts w:ascii="Times New Roman" w:hAnsi="Times New Roman" w:cs="Times New Roman"/>
          <w:sz w:val="28"/>
          <w:szCs w:val="28"/>
        </w:rPr>
        <w:t xml:space="preserve"> </w:t>
      </w:r>
      <w:r w:rsidR="008C48C6" w:rsidRPr="00640B27">
        <w:rPr>
          <w:rFonts w:ascii="Times New Roman" w:hAnsi="Times New Roman" w:cs="Times New Roman"/>
          <w:sz w:val="28"/>
          <w:szCs w:val="28"/>
          <w:highlight w:val="yellow"/>
        </w:rPr>
        <w:t xml:space="preserve">This study aims to investigate the genotype and environment interaction and stability analysis of </w:t>
      </w:r>
      <w:proofErr w:type="spellStart"/>
      <w:r w:rsidR="008C48C6" w:rsidRPr="00640B27">
        <w:rPr>
          <w:rFonts w:ascii="Times New Roman" w:hAnsi="Times New Roman" w:cs="Times New Roman"/>
          <w:sz w:val="28"/>
          <w:szCs w:val="28"/>
          <w:highlight w:val="yellow"/>
        </w:rPr>
        <w:t>mungbean</w:t>
      </w:r>
      <w:proofErr w:type="spellEnd"/>
      <w:r w:rsidR="008C48C6" w:rsidRPr="00640B27">
        <w:rPr>
          <w:rFonts w:ascii="Times New Roman" w:hAnsi="Times New Roman" w:cs="Times New Roman"/>
          <w:sz w:val="28"/>
          <w:szCs w:val="28"/>
          <w:highlight w:val="yellow"/>
        </w:rPr>
        <w:t xml:space="preserve"> genotypes for yield and its attributing traits.</w:t>
      </w:r>
      <w:r w:rsidR="008C48C6">
        <w:rPr>
          <w:rFonts w:ascii="Times New Roman" w:hAnsi="Times New Roman" w:cs="Times New Roman"/>
          <w:sz w:val="28"/>
          <w:szCs w:val="28"/>
        </w:rPr>
        <w:t xml:space="preserve"> </w:t>
      </w:r>
      <w:r w:rsidR="00740504">
        <w:rPr>
          <w:rFonts w:ascii="Times New Roman" w:hAnsi="Times New Roman" w:cs="Times New Roman"/>
          <w:sz w:val="28"/>
          <w:szCs w:val="28"/>
        </w:rPr>
        <w:t xml:space="preserve">In this study, a total of 40 </w:t>
      </w:r>
      <w:proofErr w:type="spellStart"/>
      <w:r w:rsidR="00740504">
        <w:rPr>
          <w:rFonts w:ascii="Times New Roman" w:hAnsi="Times New Roman" w:cs="Times New Roman"/>
          <w:sz w:val="28"/>
          <w:szCs w:val="28"/>
        </w:rPr>
        <w:t>mungbean</w:t>
      </w:r>
      <w:proofErr w:type="spellEnd"/>
      <w:r w:rsidR="00740504">
        <w:rPr>
          <w:rFonts w:ascii="Times New Roman" w:hAnsi="Times New Roman" w:cs="Times New Roman"/>
          <w:sz w:val="28"/>
          <w:szCs w:val="28"/>
        </w:rPr>
        <w:t xml:space="preserve"> genotypes were examined for stability analysis. </w:t>
      </w:r>
      <w:r w:rsidR="008C48C6" w:rsidRPr="00640B27">
        <w:rPr>
          <w:rFonts w:ascii="Times New Roman" w:hAnsi="Times New Roman" w:cs="Times New Roman"/>
          <w:sz w:val="28"/>
          <w:szCs w:val="28"/>
          <w:highlight w:val="yellow"/>
        </w:rPr>
        <w:t>The present investigation was carried out at Student’s Instructional Farm, Chandra Shekhar Azad University of Agriculture and Technology, Kanpur- 208 002 (U.P.) during summer 2022, kharif 2022 and summer 2023.</w:t>
      </w:r>
      <w:r w:rsidR="008C48C6">
        <w:rPr>
          <w:rFonts w:ascii="Times New Roman" w:hAnsi="Times New Roman" w:cs="Times New Roman"/>
          <w:sz w:val="28"/>
          <w:szCs w:val="28"/>
        </w:rPr>
        <w:t xml:space="preserve"> </w:t>
      </w:r>
      <w:r w:rsidR="00740504">
        <w:rPr>
          <w:rFonts w:ascii="Times New Roman" w:hAnsi="Times New Roman" w:cs="Times New Roman"/>
          <w:sz w:val="28"/>
          <w:szCs w:val="28"/>
        </w:rPr>
        <w:t xml:space="preserve">The pooled analysis of variance conducted across three distinct environments revealed that the genotypic (G) variance was significant for several traits, including days to 50% flowering, days to maturity, plant height, number of primary branches per plant, number of pod clusters per plant, pod length, number of seeds per pod, 100-seed weight, biological yield per plant, seed yield per plant, and protein content. The analysis of G x E interactions revealed that G x E (L) interactions were found to be highly significant for the traits: days to 50% flowering, days to maturity, plant height, number of pod clusters per plant, pod length, number of seeds per pod, biological yield per plant, harvest index, and seed yield per plant. In this study, forty genotypes, exhibiting mean values either above or below the </w:t>
      </w:r>
      <w:r w:rsidR="00EA496F" w:rsidRPr="00640B27">
        <w:rPr>
          <w:rFonts w:ascii="Times New Roman" w:hAnsi="Times New Roman" w:cs="Times New Roman"/>
          <w:sz w:val="28"/>
          <w:szCs w:val="28"/>
          <w:highlight w:val="yellow"/>
        </w:rPr>
        <w:t>total mean</w:t>
      </w:r>
      <w:r w:rsidR="00740504">
        <w:rPr>
          <w:rFonts w:ascii="Times New Roman" w:hAnsi="Times New Roman" w:cs="Times New Roman"/>
          <w:sz w:val="28"/>
          <w:szCs w:val="28"/>
        </w:rPr>
        <w:t xml:space="preserve">, were </w:t>
      </w:r>
      <w:proofErr w:type="spellStart"/>
      <w:r w:rsidR="00C13D98" w:rsidRPr="00640B27">
        <w:rPr>
          <w:rFonts w:ascii="Times New Roman" w:hAnsi="Times New Roman" w:cs="Times New Roman"/>
          <w:sz w:val="28"/>
          <w:szCs w:val="28"/>
          <w:highlight w:val="yellow"/>
        </w:rPr>
        <w:t>categorised</w:t>
      </w:r>
      <w:proofErr w:type="spellEnd"/>
      <w:r w:rsidR="00C13D98" w:rsidRPr="00640B27">
        <w:rPr>
          <w:rFonts w:ascii="Times New Roman" w:hAnsi="Times New Roman" w:cs="Times New Roman"/>
          <w:sz w:val="28"/>
          <w:szCs w:val="28"/>
          <w:highlight w:val="yellow"/>
        </w:rPr>
        <w:t xml:space="preserve"> </w:t>
      </w:r>
      <w:r w:rsidR="00740504">
        <w:rPr>
          <w:rFonts w:ascii="Times New Roman" w:hAnsi="Times New Roman" w:cs="Times New Roman"/>
          <w:sz w:val="28"/>
          <w:szCs w:val="28"/>
        </w:rPr>
        <w:t xml:space="preserve">into four groups based on stability parameters, specifically </w:t>
      </w:r>
      <w:r w:rsidR="00C13D98" w:rsidRPr="00640B27">
        <w:rPr>
          <w:rFonts w:ascii="Times New Roman" w:hAnsi="Times New Roman" w:cs="Times New Roman"/>
          <w:sz w:val="28"/>
          <w:szCs w:val="28"/>
          <w:highlight w:val="yellow"/>
        </w:rPr>
        <w:t xml:space="preserve">the </w:t>
      </w:r>
      <w:r w:rsidR="00740504">
        <w:rPr>
          <w:rFonts w:ascii="Times New Roman" w:hAnsi="Times New Roman" w:cs="Times New Roman"/>
          <w:sz w:val="28"/>
          <w:szCs w:val="28"/>
        </w:rPr>
        <w:t xml:space="preserve">regression coefficient and squared deviation. Group I includes genotypes that possess a desirable mean and a regression coefficient close to one, accompanied by a non-significant squared deviation. Group II comprises genotypes with a regression coefficient significantly less than one and a non-significant squared deviation, indicating their adaptability to </w:t>
      </w:r>
      <w:proofErr w:type="spellStart"/>
      <w:r w:rsidR="00C13D98" w:rsidRPr="00640B27">
        <w:rPr>
          <w:rFonts w:ascii="Times New Roman" w:hAnsi="Times New Roman" w:cs="Times New Roman"/>
          <w:sz w:val="28"/>
          <w:szCs w:val="28"/>
          <w:highlight w:val="yellow"/>
        </w:rPr>
        <w:t>unfavourable</w:t>
      </w:r>
      <w:proofErr w:type="spellEnd"/>
      <w:r w:rsidR="00C13D98" w:rsidRPr="00640B27">
        <w:rPr>
          <w:rFonts w:ascii="Times New Roman" w:hAnsi="Times New Roman" w:cs="Times New Roman"/>
          <w:sz w:val="28"/>
          <w:szCs w:val="28"/>
          <w:highlight w:val="yellow"/>
        </w:rPr>
        <w:t xml:space="preserve"> </w:t>
      </w:r>
      <w:r w:rsidR="00740504">
        <w:rPr>
          <w:rFonts w:ascii="Times New Roman" w:hAnsi="Times New Roman" w:cs="Times New Roman"/>
          <w:sz w:val="28"/>
          <w:szCs w:val="28"/>
        </w:rPr>
        <w:t xml:space="preserve">environments. Additionally, genotypes with a regression coefficient significantly greater than one are also included in Group II, suggesting their suitability for </w:t>
      </w:r>
      <w:proofErr w:type="spellStart"/>
      <w:r w:rsidR="00C13D98" w:rsidRPr="00640B27">
        <w:rPr>
          <w:rFonts w:ascii="Times New Roman" w:hAnsi="Times New Roman" w:cs="Times New Roman"/>
          <w:sz w:val="28"/>
          <w:szCs w:val="28"/>
          <w:highlight w:val="yellow"/>
        </w:rPr>
        <w:t>favourable</w:t>
      </w:r>
      <w:proofErr w:type="spellEnd"/>
      <w:r w:rsidR="00C13D98" w:rsidRPr="00640B27">
        <w:rPr>
          <w:rFonts w:ascii="Times New Roman" w:hAnsi="Times New Roman" w:cs="Times New Roman"/>
          <w:sz w:val="28"/>
          <w:szCs w:val="28"/>
          <w:highlight w:val="yellow"/>
        </w:rPr>
        <w:t xml:space="preserve"> </w:t>
      </w:r>
      <w:r w:rsidR="00740504">
        <w:rPr>
          <w:rFonts w:ascii="Times New Roman" w:hAnsi="Times New Roman" w:cs="Times New Roman"/>
          <w:sz w:val="28"/>
          <w:szCs w:val="28"/>
        </w:rPr>
        <w:t xml:space="preserve">conditions. Conversely, genotypes classified in Groups III and IV cannot be reliably predicted due to their significant squared deviation, regardless of their regression coefficient </w:t>
      </w:r>
      <w:r w:rsidR="00740504">
        <w:rPr>
          <w:rFonts w:ascii="Times New Roman" w:hAnsi="Times New Roman" w:cs="Times New Roman"/>
          <w:sz w:val="28"/>
          <w:szCs w:val="28"/>
        </w:rPr>
        <w:lastRenderedPageBreak/>
        <w:t xml:space="preserve">values. The genotypes KM 2195, NM13 5, NM1705, SML1839, and SML1723 were found stable for yield and </w:t>
      </w:r>
      <w:r w:rsidR="00C13D98" w:rsidRPr="00640B27">
        <w:rPr>
          <w:rFonts w:ascii="Times New Roman" w:hAnsi="Times New Roman" w:cs="Times New Roman"/>
          <w:sz w:val="28"/>
          <w:szCs w:val="28"/>
          <w:highlight w:val="yellow"/>
        </w:rPr>
        <w:t>yield-related</w:t>
      </w:r>
      <w:r w:rsidR="00740504">
        <w:rPr>
          <w:rFonts w:ascii="Times New Roman" w:hAnsi="Times New Roman" w:cs="Times New Roman"/>
          <w:sz w:val="28"/>
          <w:szCs w:val="28"/>
        </w:rPr>
        <w:t xml:space="preserve"> traits.</w:t>
      </w:r>
    </w:p>
    <w:p w14:paraId="3F46414B" w14:textId="77777777" w:rsidR="00352764" w:rsidRDefault="00352764">
      <w:pPr>
        <w:jc w:val="both"/>
        <w:rPr>
          <w:rFonts w:ascii="Times New Roman" w:hAnsi="Times New Roman" w:cs="Times New Roman"/>
          <w:sz w:val="28"/>
          <w:szCs w:val="28"/>
        </w:rPr>
      </w:pPr>
    </w:p>
    <w:p w14:paraId="0543ABEC" w14:textId="54695D47" w:rsidR="00352764" w:rsidRDefault="00812C2A">
      <w:pPr>
        <w:jc w:val="both"/>
        <w:rPr>
          <w:rFonts w:ascii="Times New Roman" w:hAnsi="Times New Roman" w:cs="Times New Roman"/>
          <w:sz w:val="28"/>
          <w:szCs w:val="28"/>
        </w:rPr>
      </w:pPr>
      <w:r w:rsidRPr="00640B27">
        <w:rPr>
          <w:rFonts w:ascii="Times New Roman" w:hAnsi="Times New Roman" w:cs="Times New Roman"/>
          <w:sz w:val="28"/>
          <w:szCs w:val="28"/>
          <w:highlight w:val="yellow"/>
        </w:rPr>
        <w:t xml:space="preserve">Keywords: </w:t>
      </w:r>
      <w:proofErr w:type="spellStart"/>
      <w:r w:rsidRPr="00640B27">
        <w:rPr>
          <w:rFonts w:ascii="Times New Roman" w:hAnsi="Times New Roman" w:cs="Times New Roman"/>
          <w:sz w:val="28"/>
          <w:szCs w:val="28"/>
          <w:highlight w:val="yellow"/>
        </w:rPr>
        <w:t>Mungbean</w:t>
      </w:r>
      <w:proofErr w:type="spellEnd"/>
      <w:r w:rsidRPr="00640B27">
        <w:rPr>
          <w:rFonts w:ascii="Times New Roman" w:hAnsi="Times New Roman" w:cs="Times New Roman"/>
          <w:sz w:val="28"/>
          <w:szCs w:val="28"/>
          <w:highlight w:val="yellow"/>
        </w:rPr>
        <w:t>; Pulses; Global Consumption; Malnutrition; Genotype</w:t>
      </w:r>
    </w:p>
    <w:p w14:paraId="10272FC4" w14:textId="77777777" w:rsidR="00165A68" w:rsidRDefault="00165A68">
      <w:pPr>
        <w:jc w:val="both"/>
        <w:rPr>
          <w:rFonts w:ascii="Times New Roman" w:hAnsi="Times New Roman" w:cs="Times New Roman"/>
          <w:sz w:val="28"/>
          <w:szCs w:val="28"/>
        </w:rPr>
      </w:pPr>
    </w:p>
    <w:p w14:paraId="4A601A11" w14:textId="77777777" w:rsidR="00165A68" w:rsidRDefault="00165A68">
      <w:pPr>
        <w:jc w:val="both"/>
        <w:rPr>
          <w:rFonts w:ascii="Times New Roman" w:hAnsi="Times New Roman" w:cs="Times New Roman"/>
          <w:sz w:val="28"/>
          <w:szCs w:val="28"/>
        </w:rPr>
      </w:pPr>
    </w:p>
    <w:p w14:paraId="63D4C9ED" w14:textId="77777777" w:rsidR="00165A68" w:rsidRDefault="00165A68">
      <w:pPr>
        <w:jc w:val="both"/>
        <w:rPr>
          <w:rFonts w:ascii="Times New Roman" w:hAnsi="Times New Roman" w:cs="Times New Roman"/>
          <w:sz w:val="28"/>
          <w:szCs w:val="28"/>
        </w:rPr>
      </w:pPr>
    </w:p>
    <w:p w14:paraId="75537B6F" w14:textId="77777777" w:rsidR="00352764" w:rsidRDefault="00740504">
      <w:pPr>
        <w:jc w:val="both"/>
        <w:rPr>
          <w:rFonts w:ascii="Times New Roman" w:hAnsi="Times New Roman" w:cs="Times New Roman"/>
          <w:b/>
          <w:bCs/>
          <w:sz w:val="28"/>
          <w:szCs w:val="28"/>
        </w:rPr>
      </w:pPr>
      <w:r>
        <w:rPr>
          <w:rFonts w:ascii="Times New Roman" w:hAnsi="Times New Roman" w:cs="Times New Roman"/>
          <w:b/>
          <w:bCs/>
          <w:sz w:val="28"/>
          <w:szCs w:val="28"/>
        </w:rPr>
        <w:t>Introduction</w:t>
      </w:r>
    </w:p>
    <w:p w14:paraId="1EB35892" w14:textId="5F24F955" w:rsidR="00352764" w:rsidRDefault="00740504">
      <w:pPr>
        <w:pStyle w:val="Title"/>
        <w:spacing w:line="360" w:lineRule="auto"/>
        <w:ind w:firstLine="718"/>
        <w:jc w:val="both"/>
        <w:rPr>
          <w:b w:val="0"/>
          <w:bCs w:val="0"/>
          <w:sz w:val="24"/>
          <w:szCs w:val="24"/>
        </w:rPr>
      </w:pPr>
      <w:r>
        <w:rPr>
          <w:b w:val="0"/>
          <w:bCs w:val="0"/>
          <w:sz w:val="24"/>
          <w:szCs w:val="24"/>
        </w:rPr>
        <w:t xml:space="preserve">India is the world's largest producer and consumer of pulses, accounting for 36.8% of the global cultivated area, 24.2% of global production, and 27% of global consumption. </w:t>
      </w:r>
      <w:r w:rsidR="00766136" w:rsidRPr="00640B27">
        <w:rPr>
          <w:b w:val="0"/>
          <w:bCs w:val="0"/>
          <w:sz w:val="24"/>
          <w:szCs w:val="24"/>
          <w:highlight w:val="yellow"/>
        </w:rPr>
        <w:t xml:space="preserve">In India, pulses are a crucial part of the diet and a major economic asset. India, being the largest producer of pulses in the world, uses this crop to boost its export revenues, highlighting its economic importance.  Specifically, pulses have twice the amount of protein as wheat and three times as much as rice, making them a vital part of the Indian diet (Kumar </w:t>
      </w:r>
      <w:r w:rsidR="00766136" w:rsidRPr="00640B27">
        <w:rPr>
          <w:b w:val="0"/>
          <w:bCs w:val="0"/>
          <w:i/>
          <w:iCs/>
          <w:sz w:val="24"/>
          <w:szCs w:val="24"/>
          <w:highlight w:val="yellow"/>
        </w:rPr>
        <w:t>et al</w:t>
      </w:r>
      <w:r w:rsidR="00766136" w:rsidRPr="00640B27">
        <w:rPr>
          <w:b w:val="0"/>
          <w:bCs w:val="0"/>
          <w:sz w:val="24"/>
          <w:szCs w:val="24"/>
          <w:highlight w:val="yellow"/>
        </w:rPr>
        <w:t>., 2024</w:t>
      </w:r>
      <w:r w:rsidR="001E6CCA">
        <w:rPr>
          <w:b w:val="0"/>
          <w:bCs w:val="0"/>
          <w:sz w:val="24"/>
          <w:szCs w:val="24"/>
          <w:highlight w:val="yellow"/>
        </w:rPr>
        <w:t xml:space="preserve">; </w:t>
      </w:r>
      <w:r w:rsidR="001E6CCA" w:rsidRPr="00640B27">
        <w:rPr>
          <w:b w:val="0"/>
          <w:bCs w:val="0"/>
          <w:sz w:val="24"/>
          <w:szCs w:val="24"/>
          <w:highlight w:val="yellow"/>
        </w:rPr>
        <w:t>Agarwal, 2024</w:t>
      </w:r>
      <w:r w:rsidR="00766136" w:rsidRPr="00640B27">
        <w:rPr>
          <w:b w:val="0"/>
          <w:bCs w:val="0"/>
          <w:sz w:val="24"/>
          <w:szCs w:val="24"/>
          <w:highlight w:val="yellow"/>
        </w:rPr>
        <w:t>).</w:t>
      </w:r>
      <w:r w:rsidR="00766136" w:rsidRPr="00766136">
        <w:rPr>
          <w:b w:val="0"/>
          <w:bCs w:val="0"/>
          <w:sz w:val="24"/>
          <w:szCs w:val="24"/>
        </w:rPr>
        <w:t xml:space="preserve"> </w:t>
      </w:r>
      <w:r>
        <w:rPr>
          <w:b w:val="0"/>
          <w:bCs w:val="0"/>
          <w:sz w:val="24"/>
          <w:szCs w:val="24"/>
        </w:rPr>
        <w:t xml:space="preserve">The country produces approximately 80% of the world's pigeon pea, 65% of chickpea, 37% of lentil, and 65– 70% of mung bean/urad bean. Pulses, known for their high grain protein content, are a crucial component of India's predominantly vegetarian diet. They play a vital role in addressing protein deficiency and malnutrition, especially among the underprivileged. </w:t>
      </w:r>
      <w:proofErr w:type="spellStart"/>
      <w:r>
        <w:rPr>
          <w:b w:val="0"/>
          <w:bCs w:val="0"/>
          <w:sz w:val="24"/>
          <w:szCs w:val="24"/>
        </w:rPr>
        <w:t>Mungbean</w:t>
      </w:r>
      <w:proofErr w:type="spellEnd"/>
      <w:r>
        <w:rPr>
          <w:b w:val="0"/>
          <w:bCs w:val="0"/>
          <w:sz w:val="24"/>
          <w:szCs w:val="24"/>
        </w:rPr>
        <w:t xml:space="preserve"> (</w:t>
      </w:r>
      <w:r>
        <w:rPr>
          <w:b w:val="0"/>
          <w:bCs w:val="0"/>
          <w:i/>
          <w:iCs/>
          <w:sz w:val="24"/>
          <w:szCs w:val="24"/>
        </w:rPr>
        <w:t>Vigna radiata</w:t>
      </w:r>
      <w:r>
        <w:rPr>
          <w:b w:val="0"/>
          <w:bCs w:val="0"/>
          <w:sz w:val="24"/>
          <w:szCs w:val="24"/>
        </w:rPr>
        <w:t xml:space="preserve"> L. Wilczek), also known as green gram, is a warm-season annual legume </w:t>
      </w:r>
      <w:proofErr w:type="spellStart"/>
      <w:r w:rsidR="00C13D98" w:rsidRPr="00640B27">
        <w:rPr>
          <w:b w:val="0"/>
          <w:bCs w:val="0"/>
          <w:sz w:val="24"/>
          <w:szCs w:val="24"/>
          <w:highlight w:val="yellow"/>
        </w:rPr>
        <w:t>characterised</w:t>
      </w:r>
      <w:proofErr w:type="spellEnd"/>
      <w:r w:rsidR="00C13D98" w:rsidRPr="00640B27">
        <w:rPr>
          <w:b w:val="0"/>
          <w:bCs w:val="0"/>
          <w:sz w:val="24"/>
          <w:szCs w:val="24"/>
          <w:highlight w:val="yellow"/>
        </w:rPr>
        <w:t xml:space="preserve"> </w:t>
      </w:r>
      <w:r>
        <w:rPr>
          <w:b w:val="0"/>
          <w:bCs w:val="0"/>
          <w:sz w:val="24"/>
          <w:szCs w:val="24"/>
        </w:rPr>
        <w:t xml:space="preserve">by rapid growth. </w:t>
      </w:r>
      <w:r w:rsidR="001E6CCA" w:rsidRPr="00640B27">
        <w:rPr>
          <w:b w:val="0"/>
          <w:bCs w:val="0"/>
          <w:sz w:val="24"/>
          <w:szCs w:val="24"/>
          <w:highlight w:val="yellow"/>
        </w:rPr>
        <w:t xml:space="preserve">The crop thrives in hot and humid weather conditions, with an optimal temperature range of 28°–35°C, and is mainly cultivated under rainfed environments. However, the rising global temperature has posed a serious threat to </w:t>
      </w:r>
      <w:proofErr w:type="spellStart"/>
      <w:r w:rsidR="001E6CCA" w:rsidRPr="00640B27">
        <w:rPr>
          <w:b w:val="0"/>
          <w:bCs w:val="0"/>
          <w:sz w:val="24"/>
          <w:szCs w:val="24"/>
          <w:highlight w:val="yellow"/>
        </w:rPr>
        <w:t>mungbean</w:t>
      </w:r>
      <w:proofErr w:type="spellEnd"/>
      <w:r w:rsidR="001E6CCA" w:rsidRPr="00640B27">
        <w:rPr>
          <w:b w:val="0"/>
          <w:bCs w:val="0"/>
          <w:sz w:val="24"/>
          <w:szCs w:val="24"/>
          <w:highlight w:val="yellow"/>
        </w:rPr>
        <w:t xml:space="preserve"> cultivation (Bhardwaj </w:t>
      </w:r>
      <w:r w:rsidR="001E6CCA" w:rsidRPr="00640B27">
        <w:rPr>
          <w:b w:val="0"/>
          <w:bCs w:val="0"/>
          <w:i/>
          <w:iCs/>
          <w:sz w:val="24"/>
          <w:szCs w:val="24"/>
          <w:highlight w:val="yellow"/>
        </w:rPr>
        <w:t>et al</w:t>
      </w:r>
      <w:r w:rsidR="001E6CCA" w:rsidRPr="00640B27">
        <w:rPr>
          <w:b w:val="0"/>
          <w:bCs w:val="0"/>
          <w:sz w:val="24"/>
          <w:szCs w:val="24"/>
          <w:highlight w:val="yellow"/>
        </w:rPr>
        <w:t>., 2023).</w:t>
      </w:r>
      <w:r w:rsidR="001E6CCA" w:rsidRPr="001E6CCA">
        <w:rPr>
          <w:b w:val="0"/>
          <w:bCs w:val="0"/>
          <w:sz w:val="24"/>
          <w:szCs w:val="24"/>
        </w:rPr>
        <w:t xml:space="preserve"> </w:t>
      </w:r>
      <w:r>
        <w:rPr>
          <w:b w:val="0"/>
          <w:bCs w:val="0"/>
          <w:sz w:val="24"/>
          <w:szCs w:val="24"/>
        </w:rPr>
        <w:t xml:space="preserve">It has a short life span of 75–90 days and a small genome of 579 Mb, with a diploid chromosome number of 2n=2x=22 </w:t>
      </w:r>
      <w:r>
        <w:rPr>
          <w:sz w:val="24"/>
          <w:szCs w:val="24"/>
        </w:rPr>
        <w:t>(</w:t>
      </w:r>
      <w:proofErr w:type="spellStart"/>
      <w:r>
        <w:rPr>
          <w:sz w:val="24"/>
          <w:szCs w:val="24"/>
        </w:rPr>
        <w:t>Arumuganathan</w:t>
      </w:r>
      <w:proofErr w:type="spellEnd"/>
      <w:r>
        <w:rPr>
          <w:sz w:val="24"/>
          <w:szCs w:val="24"/>
        </w:rPr>
        <w:t xml:space="preserve"> and Earle, 1991; Kang </w:t>
      </w:r>
      <w:r>
        <w:rPr>
          <w:i/>
          <w:iCs/>
          <w:sz w:val="24"/>
          <w:szCs w:val="24"/>
        </w:rPr>
        <w:t>et al</w:t>
      </w:r>
      <w:r>
        <w:rPr>
          <w:sz w:val="24"/>
          <w:szCs w:val="24"/>
        </w:rPr>
        <w:t xml:space="preserve">., 2014; Liu M. S. </w:t>
      </w:r>
      <w:r>
        <w:rPr>
          <w:i/>
          <w:iCs/>
          <w:sz w:val="24"/>
          <w:szCs w:val="24"/>
        </w:rPr>
        <w:t>et al</w:t>
      </w:r>
      <w:r>
        <w:rPr>
          <w:sz w:val="24"/>
          <w:szCs w:val="24"/>
        </w:rPr>
        <w:t>., 2016)</w:t>
      </w:r>
      <w:r>
        <w:rPr>
          <w:b w:val="0"/>
          <w:bCs w:val="0"/>
          <w:sz w:val="24"/>
          <w:szCs w:val="24"/>
        </w:rPr>
        <w:t xml:space="preserve">. This plant can grow and </w:t>
      </w:r>
      <w:r w:rsidR="00C13D98" w:rsidRPr="00640B27">
        <w:rPr>
          <w:b w:val="0"/>
          <w:bCs w:val="0"/>
          <w:sz w:val="24"/>
          <w:szCs w:val="24"/>
          <w:highlight w:val="yellow"/>
        </w:rPr>
        <w:t xml:space="preserve">produce </w:t>
      </w:r>
      <w:r>
        <w:rPr>
          <w:b w:val="0"/>
          <w:bCs w:val="0"/>
          <w:sz w:val="24"/>
          <w:szCs w:val="24"/>
        </w:rPr>
        <w:t xml:space="preserve">well in various soil types and </w:t>
      </w:r>
      <w:r w:rsidR="00C13D98" w:rsidRPr="00640B27">
        <w:rPr>
          <w:b w:val="0"/>
          <w:bCs w:val="0"/>
          <w:sz w:val="24"/>
          <w:szCs w:val="24"/>
          <w:highlight w:val="yellow"/>
        </w:rPr>
        <w:t xml:space="preserve">altitudes </w:t>
      </w:r>
      <w:r>
        <w:rPr>
          <w:b w:val="0"/>
          <w:bCs w:val="0"/>
          <w:sz w:val="24"/>
          <w:szCs w:val="24"/>
        </w:rPr>
        <w:t xml:space="preserve">below 500 m asl, </w:t>
      </w:r>
      <w:r w:rsidR="00C13D98" w:rsidRPr="00640B27">
        <w:rPr>
          <w:b w:val="0"/>
          <w:bCs w:val="0"/>
          <w:sz w:val="24"/>
          <w:szCs w:val="24"/>
          <w:highlight w:val="yellow"/>
        </w:rPr>
        <w:t xml:space="preserve">is </w:t>
      </w:r>
      <w:r>
        <w:rPr>
          <w:b w:val="0"/>
          <w:bCs w:val="0"/>
          <w:sz w:val="24"/>
          <w:szCs w:val="24"/>
        </w:rPr>
        <w:t xml:space="preserve">tolerant to drought </w:t>
      </w:r>
      <w:r>
        <w:rPr>
          <w:sz w:val="24"/>
          <w:szCs w:val="24"/>
        </w:rPr>
        <w:t>(Ghanbari and Javan, 2015)</w:t>
      </w:r>
      <w:r>
        <w:rPr>
          <w:b w:val="0"/>
          <w:bCs w:val="0"/>
          <w:sz w:val="24"/>
          <w:szCs w:val="24"/>
        </w:rPr>
        <w:t xml:space="preserve">, and </w:t>
      </w:r>
      <w:r w:rsidR="00C13D98" w:rsidRPr="00640B27">
        <w:rPr>
          <w:b w:val="0"/>
          <w:bCs w:val="0"/>
          <w:sz w:val="24"/>
          <w:szCs w:val="24"/>
          <w:highlight w:val="yellow"/>
        </w:rPr>
        <w:t xml:space="preserve">has </w:t>
      </w:r>
      <w:r>
        <w:rPr>
          <w:b w:val="0"/>
          <w:bCs w:val="0"/>
          <w:sz w:val="24"/>
          <w:szCs w:val="24"/>
        </w:rPr>
        <w:t>potential for cultivation in low light intensity</w:t>
      </w:r>
      <w:r w:rsidR="00C13D98">
        <w:rPr>
          <w:b w:val="0"/>
          <w:bCs w:val="0"/>
          <w:sz w:val="24"/>
          <w:szCs w:val="24"/>
        </w:rPr>
        <w:t>,</w:t>
      </w:r>
      <w:r>
        <w:rPr>
          <w:b w:val="0"/>
          <w:bCs w:val="0"/>
          <w:sz w:val="24"/>
          <w:szCs w:val="24"/>
        </w:rPr>
        <w:t xml:space="preserve"> such as intercropping with higher canopy plants </w:t>
      </w:r>
      <w:r>
        <w:rPr>
          <w:sz w:val="24"/>
          <w:szCs w:val="24"/>
        </w:rPr>
        <w:t xml:space="preserve">(Sundari and </w:t>
      </w:r>
      <w:proofErr w:type="spellStart"/>
      <w:r>
        <w:rPr>
          <w:sz w:val="24"/>
          <w:szCs w:val="24"/>
        </w:rPr>
        <w:t>Mutmaidah</w:t>
      </w:r>
      <w:proofErr w:type="spellEnd"/>
      <w:r>
        <w:rPr>
          <w:sz w:val="24"/>
          <w:szCs w:val="24"/>
        </w:rPr>
        <w:t>, 2017)</w:t>
      </w:r>
      <w:r>
        <w:rPr>
          <w:b w:val="0"/>
          <w:bCs w:val="0"/>
          <w:sz w:val="24"/>
          <w:szCs w:val="24"/>
        </w:rPr>
        <w:t xml:space="preserve">. Yield potential of </w:t>
      </w:r>
      <w:r w:rsidR="00EA496F" w:rsidRPr="00640B27">
        <w:rPr>
          <w:b w:val="0"/>
          <w:bCs w:val="0"/>
          <w:sz w:val="24"/>
          <w:szCs w:val="24"/>
          <w:highlight w:val="yellow"/>
        </w:rPr>
        <w:t xml:space="preserve">mung </w:t>
      </w:r>
      <w:proofErr w:type="spellStart"/>
      <w:r w:rsidR="00EA496F" w:rsidRPr="00640B27">
        <w:rPr>
          <w:b w:val="0"/>
          <w:bCs w:val="0"/>
          <w:sz w:val="24"/>
          <w:szCs w:val="24"/>
          <w:highlight w:val="yellow"/>
        </w:rPr>
        <w:t>bean</w:t>
      </w:r>
      <w:r>
        <w:rPr>
          <w:b w:val="0"/>
          <w:bCs w:val="0"/>
          <w:sz w:val="24"/>
          <w:szCs w:val="24"/>
        </w:rPr>
        <w:t>is</w:t>
      </w:r>
      <w:proofErr w:type="spellEnd"/>
      <w:r>
        <w:rPr>
          <w:b w:val="0"/>
          <w:bCs w:val="0"/>
          <w:sz w:val="24"/>
          <w:szCs w:val="24"/>
        </w:rPr>
        <w:t xml:space="preserve"> </w:t>
      </w:r>
      <w:r w:rsidR="00C13D98" w:rsidRPr="00640B27">
        <w:rPr>
          <w:b w:val="0"/>
          <w:bCs w:val="0"/>
          <w:sz w:val="24"/>
          <w:szCs w:val="24"/>
          <w:highlight w:val="yellow"/>
        </w:rPr>
        <w:t xml:space="preserve">staggeringly </w:t>
      </w:r>
      <w:r>
        <w:rPr>
          <w:b w:val="0"/>
          <w:bCs w:val="0"/>
          <w:sz w:val="24"/>
          <w:szCs w:val="24"/>
        </w:rPr>
        <w:t xml:space="preserve">low, primarily due to low yield potential of the available varieties with indeterminate habit, flower and fruit drop, poor </w:t>
      </w:r>
      <w:r>
        <w:rPr>
          <w:b w:val="0"/>
          <w:bCs w:val="0"/>
          <w:sz w:val="24"/>
          <w:szCs w:val="24"/>
        </w:rPr>
        <w:lastRenderedPageBreak/>
        <w:t>source-sink relationship, poor harvest Index and lack of cold and moisture stress. The main hindrance for breeding in the crop lies with narrow genetic variability and sensitivity to a variety of biotic and abiotic stresses.</w:t>
      </w:r>
    </w:p>
    <w:p w14:paraId="6159ADA2" w14:textId="77777777" w:rsidR="00352764" w:rsidRDefault="00740504">
      <w:pPr>
        <w:pStyle w:val="Title"/>
        <w:spacing w:line="360" w:lineRule="auto"/>
        <w:ind w:firstLine="718"/>
        <w:jc w:val="both"/>
        <w:rPr>
          <w:b w:val="0"/>
          <w:bCs w:val="0"/>
          <w:sz w:val="24"/>
          <w:szCs w:val="24"/>
        </w:rPr>
      </w:pPr>
      <w:r>
        <w:rPr>
          <w:b w:val="0"/>
          <w:bCs w:val="0"/>
          <w:sz w:val="24"/>
          <w:szCs w:val="24"/>
        </w:rPr>
        <w:t xml:space="preserve">The genotype (G), environment (E), and their interactions (G×E) significantly influence plant phenotypes </w:t>
      </w:r>
      <w:r>
        <w:rPr>
          <w:sz w:val="24"/>
          <w:szCs w:val="24"/>
        </w:rPr>
        <w:t>(Chahal and Gosal, 2003</w:t>
      </w:r>
      <w:r>
        <w:rPr>
          <w:b w:val="0"/>
          <w:bCs w:val="0"/>
          <w:sz w:val="24"/>
          <w:szCs w:val="24"/>
        </w:rPr>
        <w:t xml:space="preserve"> and </w:t>
      </w:r>
      <w:proofErr w:type="spellStart"/>
      <w:r>
        <w:rPr>
          <w:sz w:val="24"/>
          <w:szCs w:val="24"/>
        </w:rPr>
        <w:t>Ghaed</w:t>
      </w:r>
      <w:proofErr w:type="spellEnd"/>
      <w:r>
        <w:rPr>
          <w:sz w:val="24"/>
          <w:szCs w:val="24"/>
        </w:rPr>
        <w:t xml:space="preserve">-Rahimi </w:t>
      </w:r>
      <w:r>
        <w:rPr>
          <w:i/>
          <w:iCs/>
          <w:sz w:val="24"/>
          <w:szCs w:val="24"/>
        </w:rPr>
        <w:t>et al</w:t>
      </w:r>
      <w:r>
        <w:rPr>
          <w:sz w:val="24"/>
          <w:szCs w:val="24"/>
        </w:rPr>
        <w:t>., 2015)</w:t>
      </w:r>
      <w:r>
        <w:rPr>
          <w:b w:val="0"/>
          <w:bCs w:val="0"/>
          <w:sz w:val="24"/>
          <w:szCs w:val="24"/>
        </w:rPr>
        <w:t xml:space="preserve">. G×E interactions result in varying responses among genotypes to environmental changes, impacting decisions in plant breeding, such as identifying suitable environments, resource allocation, germplasm selection, and developing breeding strategies </w:t>
      </w:r>
      <w:r>
        <w:rPr>
          <w:sz w:val="24"/>
          <w:szCs w:val="24"/>
        </w:rPr>
        <w:t>(Zakir, 2018)</w:t>
      </w:r>
      <w:r>
        <w:rPr>
          <w:b w:val="0"/>
          <w:bCs w:val="0"/>
          <w:sz w:val="24"/>
          <w:szCs w:val="24"/>
        </w:rPr>
        <w:t xml:space="preserve">. Since green gram is cultivated under diverse environmental conditions, where G×E interaction is significant, identifying well-adapted genotypes is a key component of breeding programs. </w:t>
      </w:r>
    </w:p>
    <w:p w14:paraId="4866FC76" w14:textId="77777777" w:rsidR="00352764" w:rsidRDefault="00740504">
      <w:pPr>
        <w:pStyle w:val="Title"/>
        <w:spacing w:line="360" w:lineRule="auto"/>
        <w:jc w:val="both"/>
        <w:rPr>
          <w:sz w:val="24"/>
          <w:szCs w:val="24"/>
        </w:rPr>
      </w:pPr>
      <w:r>
        <w:rPr>
          <w:rFonts w:eastAsia="SimSun"/>
          <w:sz w:val="28"/>
          <w:szCs w:val="28"/>
        </w:rPr>
        <w:t>Materials &amp; Methods</w:t>
      </w:r>
    </w:p>
    <w:p w14:paraId="31F02830" w14:textId="287E1C47" w:rsidR="00352764" w:rsidRDefault="00740504">
      <w:pPr>
        <w:ind w:firstLine="2"/>
        <w:jc w:val="both"/>
        <w:rPr>
          <w:rFonts w:ascii="Times New Roman" w:hAnsi="Times New Roman" w:cs="Times New Roman"/>
          <w:b/>
          <w:bCs/>
          <w:sz w:val="28"/>
          <w:szCs w:val="28"/>
        </w:rPr>
      </w:pPr>
      <w:r>
        <w:rPr>
          <w:rFonts w:ascii="Times New Roman" w:hAnsi="Times New Roman" w:cs="Times New Roman"/>
          <w:sz w:val="24"/>
          <w:szCs w:val="24"/>
        </w:rPr>
        <w:t xml:space="preserve"> </w:t>
      </w:r>
      <w:r>
        <w:rPr>
          <w:rFonts w:ascii="Times New Roman" w:hAnsi="Times New Roman" w:cs="Times New Roman"/>
          <w:sz w:val="24"/>
          <w:szCs w:val="24"/>
        </w:rPr>
        <w:tab/>
        <w:t>The present investigation</w:t>
      </w:r>
      <w:r w:rsidR="00C13D98">
        <w:rPr>
          <w:rFonts w:ascii="Times New Roman" w:hAnsi="Times New Roman" w:cs="Times New Roman"/>
          <w:sz w:val="24"/>
          <w:szCs w:val="24"/>
        </w:rPr>
        <w:t>,</w:t>
      </w:r>
      <w:r>
        <w:rPr>
          <w:rFonts w:ascii="Times New Roman" w:hAnsi="Times New Roman" w:cs="Times New Roman"/>
          <w:sz w:val="24"/>
          <w:szCs w:val="24"/>
        </w:rPr>
        <w:t xml:space="preserve"> entitled </w:t>
      </w:r>
      <w:r>
        <w:rPr>
          <w:rFonts w:ascii="Times New Roman" w:hAnsi="Times New Roman" w:cs="Times New Roman"/>
          <w:b/>
          <w:sz w:val="24"/>
          <w:szCs w:val="24"/>
        </w:rPr>
        <w:t>“</w:t>
      </w:r>
      <w:r>
        <w:rPr>
          <w:rFonts w:ascii="Times New Roman" w:hAnsi="Times New Roman" w:cs="Times New Roman"/>
          <w:b/>
          <w:bCs/>
          <w:sz w:val="24"/>
          <w:szCs w:val="24"/>
        </w:rPr>
        <w:t xml:space="preserve">Genotype x Environment Interaction and Stability Analysis of </w:t>
      </w:r>
      <w:proofErr w:type="spellStart"/>
      <w:r>
        <w:rPr>
          <w:rFonts w:ascii="Times New Roman" w:hAnsi="Times New Roman" w:cs="Times New Roman"/>
          <w:b/>
          <w:bCs/>
          <w:sz w:val="24"/>
          <w:szCs w:val="24"/>
        </w:rPr>
        <w:t>Mungbean</w:t>
      </w:r>
      <w:proofErr w:type="spellEnd"/>
      <w:r>
        <w:rPr>
          <w:rFonts w:ascii="Times New Roman" w:hAnsi="Times New Roman" w:cs="Times New Roman"/>
          <w:b/>
          <w:bCs/>
          <w:sz w:val="24"/>
          <w:szCs w:val="24"/>
        </w:rPr>
        <w:t xml:space="preserve"> Genotypes for yield and its attributing traits</w:t>
      </w:r>
      <w:r>
        <w:rPr>
          <w:rFonts w:ascii="Times New Roman" w:hAnsi="Times New Roman" w:cs="Times New Roman"/>
          <w:b/>
          <w:sz w:val="24"/>
          <w:szCs w:val="24"/>
        </w:rPr>
        <w:t>”</w:t>
      </w:r>
      <w:r w:rsidR="00C13D98">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was carried out at Student’s Instructional Farm, Chandra Shekhar Azad University of Agriculture and Technology, Kanpur- 208 002 (U.P.) during summer 2022, </w:t>
      </w:r>
      <w:r>
        <w:rPr>
          <w:rFonts w:ascii="Times New Roman" w:hAnsi="Times New Roman" w:cs="Times New Roman"/>
          <w:i/>
          <w:iCs/>
          <w:sz w:val="24"/>
          <w:szCs w:val="24"/>
        </w:rPr>
        <w:t xml:space="preserve">kharif </w:t>
      </w:r>
      <w:r>
        <w:rPr>
          <w:rFonts w:ascii="Times New Roman" w:hAnsi="Times New Roman" w:cs="Times New Roman"/>
          <w:sz w:val="24"/>
          <w:szCs w:val="24"/>
        </w:rPr>
        <w:t>2022</w:t>
      </w:r>
      <w:r>
        <w:rPr>
          <w:rFonts w:ascii="Times New Roman" w:hAnsi="Times New Roman" w:cs="Times New Roman"/>
          <w:i/>
          <w:iCs/>
          <w:sz w:val="24"/>
          <w:szCs w:val="24"/>
        </w:rPr>
        <w:t xml:space="preserve"> </w:t>
      </w:r>
      <w:r>
        <w:rPr>
          <w:rFonts w:ascii="Times New Roman" w:hAnsi="Times New Roman" w:cs="Times New Roman"/>
          <w:sz w:val="24"/>
          <w:szCs w:val="24"/>
        </w:rPr>
        <w:t>and summer 2023.</w:t>
      </w:r>
    </w:p>
    <w:p w14:paraId="654293CD" w14:textId="77777777" w:rsidR="00352764" w:rsidRDefault="00740504">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p>
    <w:p w14:paraId="462CFB8F" w14:textId="3884022E" w:rsidR="00352764" w:rsidRDefault="00740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Geographically, the research farm is situated at 26.28 </w:t>
      </w:r>
      <w:r>
        <w:rPr>
          <w:rFonts w:ascii="Times New Roman" w:hAnsi="Times New Roman" w:cs="Times New Roman"/>
          <w:sz w:val="24"/>
          <w:szCs w:val="24"/>
          <w:vertAlign w:val="superscript"/>
        </w:rPr>
        <w:t>◦</w:t>
      </w:r>
      <w:r>
        <w:rPr>
          <w:rFonts w:ascii="Times New Roman" w:hAnsi="Times New Roman" w:cs="Times New Roman"/>
          <w:sz w:val="24"/>
          <w:szCs w:val="24"/>
        </w:rPr>
        <w:t xml:space="preserve">N latitude, 80.20 </w:t>
      </w:r>
      <w:r>
        <w:rPr>
          <w:rFonts w:ascii="Times New Roman" w:hAnsi="Times New Roman" w:cs="Times New Roman"/>
          <w:sz w:val="24"/>
          <w:szCs w:val="24"/>
          <w:vertAlign w:val="superscript"/>
        </w:rPr>
        <w:t>◦</w:t>
      </w:r>
      <w:r>
        <w:rPr>
          <w:rFonts w:ascii="Times New Roman" w:hAnsi="Times New Roman" w:cs="Times New Roman"/>
          <w:sz w:val="24"/>
          <w:szCs w:val="24"/>
        </w:rPr>
        <w:t>E longitude and about 126 meters above the sea level</w:t>
      </w:r>
      <w:r w:rsidR="00C13D98">
        <w:rPr>
          <w:rFonts w:ascii="Times New Roman" w:hAnsi="Times New Roman" w:cs="Times New Roman"/>
          <w:sz w:val="24"/>
          <w:szCs w:val="24"/>
        </w:rPr>
        <w:t>,</w:t>
      </w:r>
      <w:r>
        <w:rPr>
          <w:rFonts w:ascii="Times New Roman" w:hAnsi="Times New Roman" w:cs="Times New Roman"/>
          <w:sz w:val="24"/>
          <w:szCs w:val="24"/>
        </w:rPr>
        <w:t xml:space="preserve"> lying in the lower Ganges-Yamuna doab at the bank of </w:t>
      </w:r>
      <w:r w:rsidR="00C13D98" w:rsidRPr="00640B27">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Ganges River. This place falls in the Central Plain zone of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-ecological </w:t>
      </w:r>
      <w:r w:rsidR="00C13D98" w:rsidRPr="00640B27">
        <w:rPr>
          <w:rFonts w:ascii="Times New Roman" w:hAnsi="Times New Roman" w:cs="Times New Roman"/>
          <w:sz w:val="24"/>
          <w:szCs w:val="24"/>
          <w:highlight w:val="yellow"/>
        </w:rPr>
        <w:t>sub-region</w:t>
      </w:r>
      <w:r w:rsidRPr="00640B27">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(ICAR) and Upper Gangetic Plain Zone of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-Climatic zone (Planning Commission).</w:t>
      </w:r>
    </w:p>
    <w:p w14:paraId="46BB7FDB" w14:textId="3B547302" w:rsidR="00352764" w:rsidRDefault="00740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soil type of this site is deep, loamy</w:t>
      </w:r>
      <w:r w:rsidR="00C13D98">
        <w:rPr>
          <w:rFonts w:ascii="Times New Roman" w:hAnsi="Times New Roman" w:cs="Times New Roman"/>
          <w:sz w:val="24"/>
          <w:szCs w:val="24"/>
        </w:rPr>
        <w:t>,</w:t>
      </w:r>
      <w:r>
        <w:rPr>
          <w:rFonts w:ascii="Times New Roman" w:hAnsi="Times New Roman" w:cs="Times New Roman"/>
          <w:sz w:val="24"/>
          <w:szCs w:val="24"/>
        </w:rPr>
        <w:t xml:space="preserve"> with proper irrigation and drainage </w:t>
      </w:r>
      <w:r w:rsidR="00C13D98" w:rsidRPr="00640B27">
        <w:rPr>
          <w:rFonts w:ascii="Times New Roman" w:hAnsi="Times New Roman" w:cs="Times New Roman"/>
          <w:sz w:val="24"/>
          <w:szCs w:val="24"/>
          <w:highlight w:val="yellow"/>
        </w:rPr>
        <w:t>facilities</w:t>
      </w:r>
      <w:r w:rsidR="00C13D98">
        <w:rPr>
          <w:rFonts w:ascii="Times New Roman" w:hAnsi="Times New Roman" w:cs="Times New Roman"/>
          <w:sz w:val="24"/>
          <w:szCs w:val="24"/>
        </w:rPr>
        <w:t xml:space="preserve">, </w:t>
      </w:r>
      <w:r>
        <w:rPr>
          <w:rFonts w:ascii="Times New Roman" w:hAnsi="Times New Roman" w:cs="Times New Roman"/>
          <w:sz w:val="24"/>
          <w:szCs w:val="24"/>
        </w:rPr>
        <w:t xml:space="preserve">which is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for raising </w:t>
      </w:r>
      <w:r w:rsidR="00C13D98" w:rsidRPr="00640B27">
        <w:rPr>
          <w:rFonts w:ascii="Times New Roman" w:hAnsi="Times New Roman" w:cs="Times New Roman"/>
          <w:sz w:val="24"/>
          <w:szCs w:val="24"/>
          <w:highlight w:val="yellow"/>
        </w:rPr>
        <w:t xml:space="preserve">a </w:t>
      </w:r>
      <w:r>
        <w:rPr>
          <w:rFonts w:ascii="Times New Roman" w:hAnsi="Times New Roman" w:cs="Times New Roman"/>
          <w:sz w:val="24"/>
          <w:szCs w:val="24"/>
        </w:rPr>
        <w:t xml:space="preserve">good crop. The soil type is sandy loam. The annual rainfall is about 1270 mm. The climate of </w:t>
      </w:r>
      <w:r w:rsidR="00C13D98" w:rsidRPr="00640B27">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district Kanpur is semi-arid with </w:t>
      </w:r>
      <w:r w:rsidR="00AE6579" w:rsidRPr="00640B27">
        <w:rPr>
          <w:rFonts w:ascii="Times New Roman" w:hAnsi="Times New Roman" w:cs="Times New Roman"/>
          <w:sz w:val="24"/>
          <w:szCs w:val="24"/>
          <w:highlight w:val="yellow"/>
        </w:rPr>
        <w:t>a</w:t>
      </w:r>
      <w:r w:rsidR="00AE6579">
        <w:rPr>
          <w:rFonts w:ascii="Times New Roman" w:hAnsi="Times New Roman" w:cs="Times New Roman"/>
          <w:sz w:val="24"/>
          <w:szCs w:val="24"/>
        </w:rPr>
        <w:t xml:space="preserve"> </w:t>
      </w:r>
      <w:r>
        <w:rPr>
          <w:rFonts w:ascii="Times New Roman" w:hAnsi="Times New Roman" w:cs="Times New Roman"/>
          <w:sz w:val="24"/>
          <w:szCs w:val="24"/>
        </w:rPr>
        <w:t xml:space="preserve">hot summer and </w:t>
      </w:r>
      <w:r w:rsidR="00AE6579" w:rsidRPr="00640B27">
        <w:rPr>
          <w:rFonts w:ascii="Times New Roman" w:hAnsi="Times New Roman" w:cs="Times New Roman"/>
          <w:sz w:val="24"/>
          <w:szCs w:val="24"/>
          <w:highlight w:val="yellow"/>
        </w:rPr>
        <w:t>a</w:t>
      </w:r>
      <w:r w:rsidR="00AE6579">
        <w:rPr>
          <w:rFonts w:ascii="Times New Roman" w:hAnsi="Times New Roman" w:cs="Times New Roman"/>
          <w:sz w:val="24"/>
          <w:szCs w:val="24"/>
        </w:rPr>
        <w:t xml:space="preserve"> </w:t>
      </w:r>
      <w:r>
        <w:rPr>
          <w:rFonts w:ascii="Times New Roman" w:hAnsi="Times New Roman" w:cs="Times New Roman"/>
          <w:sz w:val="24"/>
          <w:szCs w:val="24"/>
        </w:rPr>
        <w:t xml:space="preserve">cold winter. </w:t>
      </w:r>
    </w:p>
    <w:p w14:paraId="2224C569" w14:textId="77777777" w:rsidR="00352764" w:rsidRDefault="007405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Basic material for the present investigation consists of forty genotypes viz., KM 2364, KM 2419, KM 2438, KM 2439, KM 2448, KM 2449, KM 2450, KM 2452, HUM 230, IPM 208, IPM 325, IPM 604, SML 1839, SML 1723, PUSA 2071, PUSA 2072, NM 1705, NM 1903, PDM 139, IPM 02-3, KM 2195, PM  1603, PM 1609, NM 13-5, NM 13-9, SML 2015, SML 2016, IPM1802, IPM 1803, IPM 1902, PDM 11, KM 2428, KM 2429, KM 2430, KM 2431, KM 2432, KM 2433, KM 2435, KM 2436 and KM 2443 which were collected from germplasm maintained at Legume Section of C. S. Azad University of Agriculture and Technology, Kanpur. </w:t>
      </w:r>
    </w:p>
    <w:p w14:paraId="77B6003E" w14:textId="01298F5A" w:rsidR="00352764" w:rsidRDefault="00740504">
      <w:pPr>
        <w:spacing w:after="0" w:line="360" w:lineRule="auto"/>
        <w:jc w:val="both"/>
        <w:rPr>
          <w:sz w:val="28"/>
          <w:szCs w:val="28"/>
        </w:rPr>
      </w:pPr>
      <w:r>
        <w:rPr>
          <w:rFonts w:ascii="Times New Roman" w:hAnsi="Times New Roman" w:cs="Times New Roman"/>
          <w:sz w:val="24"/>
          <w:szCs w:val="24"/>
        </w:rPr>
        <w:lastRenderedPageBreak/>
        <w:tab/>
        <w:t>Selected 40 lines were grown in three environments</w:t>
      </w:r>
      <w:r w:rsidR="00C13D9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i.e.</w:t>
      </w:r>
      <w:r>
        <w:rPr>
          <w:rFonts w:ascii="Times New Roman" w:hAnsi="Times New Roman" w:cs="Times New Roman"/>
          <w:sz w:val="24"/>
          <w:szCs w:val="24"/>
        </w:rPr>
        <w:t xml:space="preserve"> summer 2022 (E</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i/>
          <w:iCs/>
          <w:sz w:val="24"/>
          <w:szCs w:val="24"/>
        </w:rPr>
        <w:t>Kharif</w:t>
      </w:r>
      <w:r>
        <w:rPr>
          <w:rFonts w:ascii="Times New Roman" w:hAnsi="Times New Roman" w:cs="Times New Roman"/>
          <w:sz w:val="24"/>
          <w:szCs w:val="24"/>
        </w:rPr>
        <w:t xml:space="preserve"> 2022(E</w:t>
      </w:r>
      <w:r>
        <w:rPr>
          <w:rFonts w:ascii="Times New Roman" w:hAnsi="Times New Roman" w:cs="Times New Roman"/>
          <w:sz w:val="24"/>
          <w:szCs w:val="24"/>
          <w:vertAlign w:val="subscript"/>
        </w:rPr>
        <w:t>2</w:t>
      </w:r>
      <w:r>
        <w:rPr>
          <w:rFonts w:ascii="Times New Roman" w:hAnsi="Times New Roman" w:cs="Times New Roman"/>
          <w:sz w:val="24"/>
          <w:szCs w:val="24"/>
        </w:rPr>
        <w:t>) and summer 2023 (E</w:t>
      </w:r>
      <w:r>
        <w:rPr>
          <w:rFonts w:ascii="Times New Roman" w:hAnsi="Times New Roman" w:cs="Times New Roman"/>
          <w:sz w:val="24"/>
          <w:szCs w:val="24"/>
          <w:vertAlign w:val="subscript"/>
        </w:rPr>
        <w:t>3</w:t>
      </w:r>
      <w:r>
        <w:rPr>
          <w:rFonts w:ascii="Times New Roman" w:hAnsi="Times New Roman" w:cs="Times New Roman"/>
          <w:sz w:val="24"/>
          <w:szCs w:val="24"/>
        </w:rPr>
        <w:t>)</w:t>
      </w:r>
      <w:r w:rsidR="00C13D98">
        <w:rPr>
          <w:rFonts w:ascii="Times New Roman" w:hAnsi="Times New Roman" w:cs="Times New Roman"/>
          <w:sz w:val="24"/>
          <w:szCs w:val="24"/>
        </w:rPr>
        <w:t>,</w:t>
      </w:r>
      <w:r>
        <w:rPr>
          <w:rFonts w:ascii="Times New Roman" w:hAnsi="Times New Roman" w:cs="Times New Roman"/>
          <w:sz w:val="24"/>
          <w:szCs w:val="24"/>
        </w:rPr>
        <w:t xml:space="preserve"> in </w:t>
      </w:r>
      <w:r w:rsidR="00C13D98" w:rsidRPr="00640B27">
        <w:rPr>
          <w:rFonts w:ascii="Times New Roman" w:hAnsi="Times New Roman" w:cs="Times New Roman"/>
          <w:sz w:val="24"/>
          <w:szCs w:val="24"/>
          <w:highlight w:val="yellow"/>
        </w:rPr>
        <w:t>a</w:t>
      </w:r>
      <w:r w:rsidR="00C13D98">
        <w:rPr>
          <w:rFonts w:ascii="Times New Roman" w:hAnsi="Times New Roman" w:cs="Times New Roman"/>
          <w:sz w:val="24"/>
          <w:szCs w:val="24"/>
        </w:rPr>
        <w:t xml:space="preserve"> </w:t>
      </w:r>
      <w:proofErr w:type="spellStart"/>
      <w:r w:rsidR="00C13D98" w:rsidRPr="00640B27">
        <w:rPr>
          <w:rFonts w:ascii="Times New Roman" w:hAnsi="Times New Roman" w:cs="Times New Roman"/>
          <w:sz w:val="24"/>
          <w:szCs w:val="24"/>
          <w:highlight w:val="yellow"/>
        </w:rPr>
        <w:t>randomised</w:t>
      </w:r>
      <w:proofErr w:type="spellEnd"/>
      <w:r w:rsidR="00C13D98">
        <w:rPr>
          <w:rFonts w:ascii="Times New Roman" w:hAnsi="Times New Roman" w:cs="Times New Roman"/>
          <w:sz w:val="24"/>
          <w:szCs w:val="24"/>
        </w:rPr>
        <w:t xml:space="preserve"> </w:t>
      </w:r>
      <w:r>
        <w:rPr>
          <w:rFonts w:ascii="Times New Roman" w:hAnsi="Times New Roman" w:cs="Times New Roman"/>
          <w:sz w:val="24"/>
          <w:szCs w:val="24"/>
        </w:rPr>
        <w:t xml:space="preserve">block design in three replications with spacing of 30 x 10 cm. Each line had row length of 4 m. Data recorded on Days to 50% flowering, Days to maturity, Plant height (cm), Number of Primary branches per plant, Number of pod clusters per plant, Number of pods per plant, Pod length (cm), Number of seeds per pod, 100-seed weight (g), Biological yield per plant (g), Harvest Index (%), Seed yield per plant (g), Protein Content (%). The experimental data collected on all the characters </w:t>
      </w:r>
      <w:r w:rsidR="00C13D98" w:rsidRPr="00640B27">
        <w:rPr>
          <w:rFonts w:ascii="Times New Roman" w:hAnsi="Times New Roman" w:cs="Times New Roman"/>
          <w:sz w:val="24"/>
          <w:szCs w:val="24"/>
          <w:highlight w:val="yellow"/>
        </w:rPr>
        <w:t xml:space="preserve">with </w:t>
      </w:r>
      <w:r>
        <w:rPr>
          <w:rFonts w:ascii="Times New Roman" w:hAnsi="Times New Roman" w:cs="Times New Roman"/>
          <w:sz w:val="24"/>
          <w:szCs w:val="24"/>
        </w:rPr>
        <w:t xml:space="preserve">respect </w:t>
      </w:r>
      <w:r w:rsidR="00C13D98" w:rsidRPr="00640B27">
        <w:rPr>
          <w:rFonts w:ascii="Times New Roman" w:hAnsi="Times New Roman" w:cs="Times New Roman"/>
          <w:sz w:val="24"/>
          <w:szCs w:val="24"/>
          <w:highlight w:val="yellow"/>
        </w:rPr>
        <w:t xml:space="preserve">to </w:t>
      </w:r>
      <w:r>
        <w:rPr>
          <w:rFonts w:ascii="Times New Roman" w:hAnsi="Times New Roman" w:cs="Times New Roman"/>
          <w:sz w:val="24"/>
          <w:szCs w:val="24"/>
        </w:rPr>
        <w:t xml:space="preserve">four experiments of the present study were compiled by taking the mean values over five randomly selected plants in each plot in each replication. It was then subjected to stability analysis as per </w:t>
      </w:r>
      <w:r w:rsidR="00C13D98" w:rsidRPr="00640B27">
        <w:rPr>
          <w:rFonts w:ascii="Times New Roman" w:hAnsi="Times New Roman" w:cs="Times New Roman"/>
          <w:sz w:val="24"/>
          <w:szCs w:val="24"/>
          <w:highlight w:val="yellow"/>
        </w:rPr>
        <w:t xml:space="preserve">the </w:t>
      </w:r>
      <w:r>
        <w:rPr>
          <w:rFonts w:ascii="Times New Roman" w:hAnsi="Times New Roman" w:cs="Times New Roman"/>
          <w:b/>
          <w:sz w:val="24"/>
          <w:szCs w:val="24"/>
        </w:rPr>
        <w:t xml:space="preserve">Eberhart and Russell Model </w:t>
      </w:r>
      <w:r w:rsidR="00205057">
        <w:rPr>
          <w:rFonts w:ascii="Times New Roman" w:hAnsi="Times New Roman" w:cs="Times New Roman"/>
          <w:b/>
          <w:sz w:val="24"/>
          <w:szCs w:val="24"/>
        </w:rPr>
        <w:t>(</w:t>
      </w:r>
      <w:r>
        <w:rPr>
          <w:rFonts w:ascii="Times New Roman" w:hAnsi="Times New Roman" w:cs="Times New Roman"/>
          <w:b/>
          <w:sz w:val="24"/>
          <w:szCs w:val="24"/>
        </w:rPr>
        <w:t>1966</w:t>
      </w:r>
      <w:r w:rsidR="00205057">
        <w:rPr>
          <w:rFonts w:ascii="Times New Roman" w:hAnsi="Times New Roman" w:cs="Times New Roman"/>
          <w:b/>
          <w:sz w:val="24"/>
          <w:szCs w:val="24"/>
        </w:rPr>
        <w:t>)</w:t>
      </w:r>
      <w:r>
        <w:rPr>
          <w:rFonts w:ascii="Times New Roman" w:hAnsi="Times New Roman" w:cs="Times New Roman"/>
          <w:b/>
          <w:sz w:val="24"/>
          <w:szCs w:val="24"/>
        </w:rPr>
        <w:t xml:space="preserve">. </w:t>
      </w:r>
    </w:p>
    <w:p w14:paraId="1C344615" w14:textId="77777777" w:rsidR="00352764" w:rsidRDefault="00740504">
      <w:pPr>
        <w:jc w:val="both"/>
        <w:rPr>
          <w:rFonts w:ascii="Times New Roman" w:hAnsi="Times New Roman" w:cs="Times New Roman"/>
          <w:b/>
          <w:bCs/>
          <w:sz w:val="28"/>
          <w:szCs w:val="28"/>
        </w:rPr>
      </w:pPr>
      <w:r>
        <w:rPr>
          <w:rFonts w:ascii="Times New Roman" w:hAnsi="Times New Roman" w:cs="Times New Roman"/>
          <w:b/>
          <w:bCs/>
          <w:sz w:val="28"/>
          <w:szCs w:val="28"/>
        </w:rPr>
        <w:t>Result and Discussion</w:t>
      </w:r>
    </w:p>
    <w:p w14:paraId="1C715B56" w14:textId="326D3382" w:rsidR="00352764" w:rsidRDefault="0074050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phenotype of an organism is determined by the combined effect of its genotype and environment</w:t>
      </w:r>
      <w:r w:rsidR="00C13D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interact with each other. For many years, crop breeders have been focused on developing genotypes that demonstrate higher yields, </w:t>
      </w:r>
      <w:proofErr w:type="spellStart"/>
      <w:r w:rsidR="00C13D98" w:rsidRPr="00640B27">
        <w:rPr>
          <w:rFonts w:ascii="Times New Roman" w:eastAsia="Times New Roman" w:hAnsi="Times New Roman" w:cs="Times New Roman"/>
          <w:sz w:val="24"/>
          <w:szCs w:val="24"/>
          <w:highlight w:val="yellow"/>
        </w:rPr>
        <w:t>favourable</w:t>
      </w:r>
      <w:proofErr w:type="spellEnd"/>
      <w:r w:rsidR="00C13D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quality traits, and other advantageous characteristics across various environmental conditions. </w:t>
      </w:r>
    </w:p>
    <w:p w14:paraId="43C9C590" w14:textId="77777777" w:rsidR="00352764" w:rsidRDefault="0074050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interaction between genotype and environment (</w:t>
      </w:r>
      <w:proofErr w:type="spellStart"/>
      <w:r>
        <w:rPr>
          <w:rFonts w:ascii="Times New Roman" w:eastAsia="Times New Roman" w:hAnsi="Times New Roman" w:cs="Times New Roman"/>
          <w:sz w:val="24"/>
          <w:szCs w:val="24"/>
        </w:rPr>
        <w:t>GxE</w:t>
      </w:r>
      <w:proofErr w:type="spellEnd"/>
      <w:r>
        <w:rPr>
          <w:rFonts w:ascii="Times New Roman" w:eastAsia="Times New Roman" w:hAnsi="Times New Roman" w:cs="Times New Roman"/>
          <w:sz w:val="24"/>
          <w:szCs w:val="24"/>
        </w:rPr>
        <w:t>) presents a significant challenge in selecting for broad adaptability in most breeding initiatives. Seed yield, being a polygenic trait, is affected by both genetic and environmental interactions throughout all growth stages of the plant (</w:t>
      </w:r>
      <w:r>
        <w:rPr>
          <w:rFonts w:ascii="Times New Roman" w:eastAsia="Times New Roman" w:hAnsi="Times New Roman" w:cs="Times New Roman"/>
          <w:b/>
          <w:bCs/>
          <w:sz w:val="24"/>
          <w:szCs w:val="24"/>
        </w:rPr>
        <w:t xml:space="preserve">Simmonds </w:t>
      </w:r>
      <w:r>
        <w:rPr>
          <w:rFonts w:ascii="Times New Roman" w:eastAsia="Times New Roman" w:hAnsi="Times New Roman" w:cs="Times New Roman"/>
          <w:b/>
          <w:bCs/>
          <w:i/>
          <w:iCs/>
          <w:sz w:val="24"/>
          <w:szCs w:val="24"/>
        </w:rPr>
        <w:t>et al</w:t>
      </w:r>
      <w:r>
        <w:rPr>
          <w:rFonts w:ascii="Times New Roman" w:eastAsia="Times New Roman" w:hAnsi="Times New Roman" w:cs="Times New Roman"/>
          <w:b/>
          <w:bCs/>
          <w:sz w:val="24"/>
          <w:szCs w:val="24"/>
        </w:rPr>
        <w:t>., 2014</w:t>
      </w:r>
      <w:r>
        <w:rPr>
          <w:rFonts w:ascii="Times New Roman" w:eastAsia="Times New Roman" w:hAnsi="Times New Roman" w:cs="Times New Roman"/>
          <w:sz w:val="24"/>
          <w:szCs w:val="24"/>
        </w:rPr>
        <w:t xml:space="preserve">). </w:t>
      </w:r>
    </w:p>
    <w:p w14:paraId="2EACFE8E" w14:textId="0246DE17" w:rsidR="00352764" w:rsidRDefault="0074050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key attribute for selecting or recommending new genotypes in plant breeding programs is the stability of performance regarding economically important traits, which is influenced by both genotype and environmental conditions. These effects are not always additive, indicating the presence of genotype x environment (G x E) interactions. Such interactions can lead to variable performance of genotypes across different environments. Notable G x E interactions </w:t>
      </w:r>
      <w:r w:rsidR="00C13D98" w:rsidRPr="00640B27">
        <w:rPr>
          <w:rFonts w:ascii="Times New Roman" w:eastAsia="Times New Roman" w:hAnsi="Times New Roman" w:cs="Times New Roman"/>
          <w:sz w:val="24"/>
          <w:szCs w:val="24"/>
          <w:highlight w:val="yellow"/>
        </w:rPr>
        <w:t xml:space="preserve">arise </w:t>
      </w:r>
      <w:r>
        <w:rPr>
          <w:rFonts w:ascii="Times New Roman" w:eastAsia="Times New Roman" w:hAnsi="Times New Roman" w:cs="Times New Roman"/>
          <w:sz w:val="24"/>
          <w:szCs w:val="24"/>
        </w:rPr>
        <w:t>from variations in the magnitude of differences among the genotypes in diverse environments or shifts in their relative rankings (</w:t>
      </w:r>
      <w:r>
        <w:rPr>
          <w:rFonts w:ascii="Times New Roman" w:eastAsia="Times New Roman" w:hAnsi="Times New Roman" w:cs="Times New Roman"/>
          <w:b/>
          <w:bCs/>
          <w:sz w:val="24"/>
          <w:szCs w:val="24"/>
        </w:rPr>
        <w:t>Falconer, 1952; Fernandez, 1991</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Peto (1982</w:t>
      </w:r>
      <w:r>
        <w:rPr>
          <w:rFonts w:ascii="Times New Roman" w:eastAsia="Times New Roman" w:hAnsi="Times New Roman" w:cs="Times New Roman"/>
          <w:sz w:val="24"/>
          <w:szCs w:val="24"/>
        </w:rPr>
        <w:t xml:space="preserve">) </w:t>
      </w:r>
      <w:proofErr w:type="spellStart"/>
      <w:r w:rsidR="00C13D98" w:rsidRPr="00640B27">
        <w:rPr>
          <w:rFonts w:ascii="Times New Roman" w:eastAsia="Times New Roman" w:hAnsi="Times New Roman" w:cs="Times New Roman"/>
          <w:sz w:val="24"/>
          <w:szCs w:val="24"/>
          <w:highlight w:val="yellow"/>
        </w:rPr>
        <w:t>categorised</w:t>
      </w:r>
      <w:proofErr w:type="spellEnd"/>
      <w:r w:rsidR="00C13D98" w:rsidRPr="00640B27">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these G x E interactions into two types: qualitative (changes in rank) and quantitative (absolute differences among genotypes). The presence of G x E complicates the identification of the best-performing and most stable genotypes, making it a critical factor in plant breeding programs, as it can hinder progress from selection in any single environment (</w:t>
      </w:r>
      <w:r>
        <w:rPr>
          <w:rFonts w:ascii="Times New Roman" w:eastAsia="Times New Roman" w:hAnsi="Times New Roman" w:cs="Times New Roman"/>
          <w:b/>
          <w:bCs/>
          <w:sz w:val="24"/>
          <w:szCs w:val="24"/>
        </w:rPr>
        <w:t>Hill, 1975; Yau, 1995</w:t>
      </w:r>
      <w:r>
        <w:rPr>
          <w:rFonts w:ascii="Times New Roman" w:eastAsia="Times New Roman" w:hAnsi="Times New Roman" w:cs="Times New Roman"/>
          <w:sz w:val="24"/>
          <w:szCs w:val="24"/>
        </w:rPr>
        <w:t xml:space="preserve">). </w:t>
      </w:r>
    </w:p>
    <w:p w14:paraId="3DAE4DE0" w14:textId="77777777" w:rsidR="00352764" w:rsidRDefault="0074050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a total of 40 </w:t>
      </w:r>
      <w:proofErr w:type="spellStart"/>
      <w:r>
        <w:rPr>
          <w:rFonts w:ascii="Times New Roman" w:eastAsia="Times New Roman" w:hAnsi="Times New Roman" w:cs="Times New Roman"/>
          <w:sz w:val="24"/>
          <w:szCs w:val="24"/>
        </w:rPr>
        <w:t>mungbean</w:t>
      </w:r>
      <w:proofErr w:type="spellEnd"/>
      <w:r>
        <w:rPr>
          <w:rFonts w:ascii="Times New Roman" w:eastAsia="Times New Roman" w:hAnsi="Times New Roman" w:cs="Times New Roman"/>
          <w:sz w:val="24"/>
          <w:szCs w:val="24"/>
        </w:rPr>
        <w:t xml:space="preserve"> genotypes were examined using stability analysis. The stability of these genotypes was evaluated based on the model established by </w:t>
      </w:r>
      <w:r>
        <w:rPr>
          <w:rFonts w:ascii="Times New Roman" w:eastAsia="Times New Roman" w:hAnsi="Times New Roman" w:cs="Times New Roman"/>
          <w:b/>
          <w:bCs/>
          <w:sz w:val="24"/>
          <w:szCs w:val="24"/>
        </w:rPr>
        <w:t>Eberhart and Russell (1966)</w:t>
      </w:r>
      <w:r>
        <w:rPr>
          <w:rFonts w:ascii="Times New Roman" w:eastAsia="Times New Roman" w:hAnsi="Times New Roman" w:cs="Times New Roman"/>
          <w:sz w:val="24"/>
          <w:szCs w:val="24"/>
        </w:rPr>
        <w:t xml:space="preserve">. The pooled analysis of variance conducted across three distinct environments revealed that the genotypic (G) variance was significant for several traits, including days to 50% </w:t>
      </w:r>
      <w:r>
        <w:rPr>
          <w:rFonts w:ascii="Times New Roman" w:eastAsia="Times New Roman" w:hAnsi="Times New Roman" w:cs="Times New Roman"/>
          <w:sz w:val="24"/>
          <w:szCs w:val="24"/>
        </w:rPr>
        <w:lastRenderedPageBreak/>
        <w:t xml:space="preserve">flowering, days to maturity, plant height, number of primary branches per plant, number of pod clusters per plant, pod length, number of seeds per pod, 100-seed weight, biological yield per plant, seed yield per plant, and protein content. The analysis of G x E interactions revealed that the E(L) interaction effects were significant for several traits, including days to 50% flowering, days to maturity, plant height, number of pod clusters per plant, number of pods per plant, pod length, number of seeds per pod, biological yield per plant, harvest index, and seed yield per plant. Additionally, G x E (L) interactions were found to be highly significant for the same traits: days to 50% flowering, days to maturity, plant height, number of pod clusters per plant, pod length, number of seeds per pod, biological yield per plant, harvest index, and seed yield per plant. </w:t>
      </w:r>
    </w:p>
    <w:p w14:paraId="62EE5E5E" w14:textId="77777777" w:rsidR="00352764" w:rsidRDefault="0074050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 pooled deviation effects were not significant for any of the traits examined. Furthermore, the partitioning of variance, specifically E+(</w:t>
      </w:r>
      <w:proofErr w:type="spellStart"/>
      <w:r>
        <w:rPr>
          <w:rFonts w:ascii="Times New Roman" w:eastAsia="Times New Roman" w:hAnsi="Times New Roman" w:cs="Times New Roman"/>
          <w:sz w:val="24"/>
          <w:szCs w:val="24"/>
        </w:rPr>
        <w:t>GxE</w:t>
      </w:r>
      <w:proofErr w:type="spellEnd"/>
      <w:r>
        <w:rPr>
          <w:rFonts w:ascii="Times New Roman" w:eastAsia="Times New Roman" w:hAnsi="Times New Roman" w:cs="Times New Roman"/>
          <w:sz w:val="24"/>
          <w:szCs w:val="24"/>
        </w:rPr>
        <w:t xml:space="preserve">) interactions, also showed significant results for days to 50% flowering, days to maturity, plant height, number of pod clusters per plant, pod length, biological yield per plant, harvest index, and seed yield per plant. These findings are consistent with previous studies conducted by </w:t>
      </w:r>
      <w:proofErr w:type="spellStart"/>
      <w:r>
        <w:rPr>
          <w:rFonts w:ascii="Times New Roman" w:eastAsia="Times New Roman" w:hAnsi="Times New Roman" w:cs="Times New Roman"/>
          <w:b/>
          <w:bCs/>
          <w:sz w:val="24"/>
          <w:szCs w:val="24"/>
        </w:rPr>
        <w:t>Kamannavar</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i/>
          <w:iCs/>
          <w:sz w:val="24"/>
          <w:szCs w:val="24"/>
        </w:rPr>
        <w:t>et al</w:t>
      </w:r>
      <w:r>
        <w:rPr>
          <w:rFonts w:ascii="Times New Roman" w:eastAsia="Times New Roman" w:hAnsi="Times New Roman" w:cs="Times New Roman"/>
          <w:b/>
          <w:bCs/>
          <w:sz w:val="24"/>
          <w:szCs w:val="24"/>
        </w:rPr>
        <w:t xml:space="preserve">. (2011), Kumar </w:t>
      </w:r>
      <w:r>
        <w:rPr>
          <w:rFonts w:ascii="Times New Roman" w:eastAsia="Times New Roman" w:hAnsi="Times New Roman" w:cs="Times New Roman"/>
          <w:sz w:val="24"/>
          <w:szCs w:val="24"/>
        </w:rPr>
        <w:t xml:space="preserve">and </w:t>
      </w:r>
      <w:r>
        <w:rPr>
          <w:rFonts w:ascii="Times New Roman" w:eastAsia="Times New Roman" w:hAnsi="Times New Roman" w:cs="Times New Roman"/>
          <w:b/>
          <w:bCs/>
          <w:sz w:val="24"/>
          <w:szCs w:val="24"/>
        </w:rPr>
        <w:t xml:space="preserve">Konda (2014) </w:t>
      </w:r>
      <w:r>
        <w:rPr>
          <w:rFonts w:ascii="Times New Roman" w:eastAsia="Times New Roman" w:hAnsi="Times New Roman" w:cs="Times New Roman"/>
          <w:sz w:val="24"/>
          <w:szCs w:val="24"/>
        </w:rPr>
        <w:t>and</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Kuchanur</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i/>
          <w:iCs/>
          <w:sz w:val="24"/>
          <w:szCs w:val="24"/>
        </w:rPr>
        <w:t>et al</w:t>
      </w:r>
      <w:r>
        <w:rPr>
          <w:rFonts w:ascii="Times New Roman" w:eastAsia="Times New Roman" w:hAnsi="Times New Roman" w:cs="Times New Roman"/>
          <w:b/>
          <w:bCs/>
          <w:sz w:val="24"/>
          <w:szCs w:val="24"/>
        </w:rPr>
        <w:t>. (2018)</w:t>
      </w:r>
      <w:r>
        <w:rPr>
          <w:rFonts w:ascii="Times New Roman" w:eastAsia="Times New Roman" w:hAnsi="Times New Roman" w:cs="Times New Roman"/>
          <w:sz w:val="24"/>
          <w:szCs w:val="24"/>
        </w:rPr>
        <w:t>.</w:t>
      </w:r>
    </w:p>
    <w:p w14:paraId="6DA72DBD" w14:textId="2778FC83" w:rsidR="00352764" w:rsidRDefault="0074050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Crop improvement efforts are heavily reliant on the identification of superior and stable genotypes. A superior genotype is </w:t>
      </w:r>
      <w:proofErr w:type="spellStart"/>
      <w:r w:rsidR="00AE6579" w:rsidRPr="00640B27">
        <w:rPr>
          <w:rFonts w:ascii="Times New Roman" w:eastAsia="Times New Roman" w:hAnsi="Times New Roman" w:cs="Times New Roman"/>
          <w:sz w:val="24"/>
          <w:szCs w:val="24"/>
          <w:highlight w:val="yellow"/>
        </w:rPr>
        <w:t>characterised</w:t>
      </w:r>
      <w:proofErr w:type="spellEnd"/>
      <w:r w:rsidR="00AE6579" w:rsidRPr="00640B27">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by its high yield potential in </w:t>
      </w:r>
      <w:proofErr w:type="spellStart"/>
      <w:r w:rsidR="00AE6579" w:rsidRPr="00640B27">
        <w:rPr>
          <w:rFonts w:ascii="Times New Roman" w:eastAsia="Times New Roman" w:hAnsi="Times New Roman" w:cs="Times New Roman"/>
          <w:sz w:val="24"/>
          <w:szCs w:val="24"/>
          <w:highlight w:val="yellow"/>
        </w:rPr>
        <w:t>favourable</w:t>
      </w:r>
      <w:proofErr w:type="spellEnd"/>
      <w:r w:rsidR="00AE6579" w:rsidRPr="00640B27">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conditions, while a stable genotype demonstrates consistent performance with minimal interaction effects. In this study, forty genotypes, exhibiting mean values either above or below the grand mean, were </w:t>
      </w:r>
      <w:proofErr w:type="spellStart"/>
      <w:r w:rsidR="00C13D98" w:rsidRPr="00640B27">
        <w:rPr>
          <w:rFonts w:ascii="Times New Roman" w:eastAsia="Times New Roman" w:hAnsi="Times New Roman" w:cs="Times New Roman"/>
          <w:sz w:val="24"/>
          <w:szCs w:val="24"/>
          <w:highlight w:val="yellow"/>
        </w:rPr>
        <w:t>categorised</w:t>
      </w:r>
      <w:proofErr w:type="spellEnd"/>
      <w:r w:rsidR="00C13D98" w:rsidRPr="00640B27">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into four groups based on stability parameters, specifically regression coefficient and squared deviation, following the methodologies established by </w:t>
      </w:r>
      <w:r>
        <w:rPr>
          <w:rFonts w:ascii="Times New Roman" w:eastAsia="Times New Roman" w:hAnsi="Times New Roman" w:cs="Times New Roman"/>
          <w:b/>
          <w:bCs/>
          <w:sz w:val="24"/>
          <w:szCs w:val="24"/>
        </w:rPr>
        <w:t xml:space="preserve">Mehra </w:t>
      </w:r>
      <w:r>
        <w:rPr>
          <w:rFonts w:ascii="Times New Roman" w:eastAsia="Times New Roman" w:hAnsi="Times New Roman" w:cs="Times New Roman"/>
          <w:sz w:val="24"/>
          <w:szCs w:val="24"/>
        </w:rPr>
        <w:t xml:space="preserve">and </w:t>
      </w:r>
      <w:r>
        <w:rPr>
          <w:rFonts w:ascii="Times New Roman" w:eastAsia="Times New Roman" w:hAnsi="Times New Roman" w:cs="Times New Roman"/>
          <w:b/>
          <w:bCs/>
          <w:sz w:val="24"/>
          <w:szCs w:val="24"/>
        </w:rPr>
        <w:t>Ramanujam (1979)</w:t>
      </w:r>
      <w:r>
        <w:rPr>
          <w:rFonts w:ascii="Times New Roman" w:eastAsia="Times New Roman" w:hAnsi="Times New Roman" w:cs="Times New Roman"/>
          <w:sz w:val="24"/>
          <w:szCs w:val="24"/>
        </w:rPr>
        <w:t xml:space="preserve"> as shown in </w:t>
      </w:r>
      <w:r>
        <w:rPr>
          <w:rFonts w:ascii="Times New Roman" w:eastAsia="Times New Roman" w:hAnsi="Times New Roman" w:cs="Times New Roman"/>
          <w:b/>
          <w:bCs/>
          <w:sz w:val="24"/>
          <w:szCs w:val="24"/>
        </w:rPr>
        <w:t>Table 1</w:t>
      </w:r>
      <w:r>
        <w:rPr>
          <w:rFonts w:ascii="Times New Roman" w:eastAsia="Times New Roman" w:hAnsi="Times New Roman" w:cs="Times New Roman"/>
          <w:sz w:val="24"/>
          <w:szCs w:val="24"/>
        </w:rPr>
        <w:t>.</w:t>
      </w:r>
    </w:p>
    <w:p w14:paraId="41929396" w14:textId="0ADE4116" w:rsidR="00352764" w:rsidRPr="00640B27" w:rsidRDefault="00740504" w:rsidP="00640B27">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I includes genotypes that possess a desirable mean and a regression coefficient close to one, accompanied by a non-significant squared deviation. Group II comprises genotypes with a regression coefficient significantly less than one and a non-significant squared deviation, indicating their adaptability to </w:t>
      </w:r>
      <w:proofErr w:type="spellStart"/>
      <w:r w:rsidR="00C13D98" w:rsidRPr="00640B27">
        <w:rPr>
          <w:rFonts w:ascii="Times New Roman" w:eastAsia="Times New Roman" w:hAnsi="Times New Roman" w:cs="Times New Roman"/>
          <w:sz w:val="24"/>
          <w:szCs w:val="24"/>
          <w:highlight w:val="yellow"/>
        </w:rPr>
        <w:t>unfavourable</w:t>
      </w:r>
      <w:proofErr w:type="spellEnd"/>
      <w:r w:rsidR="00C13D98" w:rsidRPr="00640B27">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environments. Additionally, genotypes with a regression coefficient significantly greater than one are also included in Group II, suggesting their suitability for </w:t>
      </w:r>
      <w:proofErr w:type="spellStart"/>
      <w:r w:rsidR="00C13D98" w:rsidRPr="00640B27">
        <w:rPr>
          <w:rFonts w:ascii="Times New Roman" w:eastAsia="Times New Roman" w:hAnsi="Times New Roman" w:cs="Times New Roman"/>
          <w:sz w:val="24"/>
          <w:szCs w:val="24"/>
          <w:highlight w:val="yellow"/>
        </w:rPr>
        <w:t>favourable</w:t>
      </w:r>
      <w:proofErr w:type="spellEnd"/>
      <w:r w:rsidR="00C13D98" w:rsidRPr="00640B27">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conditions. Conversely, genotypes classified in Groups III and IV cannot be reliably predicted due to their significant squared deviation, regardless of their regression coefficient values. Based on the classification presented in </w:t>
      </w:r>
      <w:r>
        <w:rPr>
          <w:rFonts w:ascii="Times New Roman" w:eastAsia="Times New Roman" w:hAnsi="Times New Roman" w:cs="Times New Roman"/>
          <w:b/>
          <w:bCs/>
          <w:sz w:val="24"/>
          <w:szCs w:val="24"/>
        </w:rPr>
        <w:t>Table 1</w:t>
      </w:r>
      <w:r>
        <w:rPr>
          <w:rFonts w:ascii="Times New Roman" w:eastAsia="Times New Roman" w:hAnsi="Times New Roman" w:cs="Times New Roman"/>
          <w:sz w:val="24"/>
          <w:szCs w:val="24"/>
        </w:rPr>
        <w:t>, the genotypes KM 2195, NM13 5, NM1705, SML1839, and SML1723 demonstrated stability across 8, 10, 10, 9, and 8 traits, respectively, during the study. In group II (bi1)</w:t>
      </w:r>
      <w:r w:rsidR="00C13D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displayed stability in </w:t>
      </w:r>
      <w:proofErr w:type="spellStart"/>
      <w:r w:rsidR="00C13D98" w:rsidRPr="00640B27">
        <w:rPr>
          <w:rFonts w:ascii="Times New Roman" w:eastAsia="Times New Roman" w:hAnsi="Times New Roman" w:cs="Times New Roman"/>
          <w:sz w:val="24"/>
          <w:szCs w:val="24"/>
          <w:highlight w:val="yellow"/>
        </w:rPr>
        <w:t>favourable</w:t>
      </w:r>
      <w:proofErr w:type="spellEnd"/>
      <w:r w:rsidR="00C13D98" w:rsidRPr="00640B27">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conditions for seed yield per plant. These findings align with previous studies conducted by </w:t>
      </w:r>
      <w:r>
        <w:rPr>
          <w:rFonts w:ascii="Times New Roman" w:eastAsia="Times New Roman" w:hAnsi="Times New Roman" w:cs="Times New Roman"/>
          <w:b/>
          <w:bCs/>
          <w:sz w:val="24"/>
          <w:szCs w:val="24"/>
        </w:rPr>
        <w:t xml:space="preserve">Abbas </w:t>
      </w:r>
      <w:r>
        <w:rPr>
          <w:rFonts w:ascii="Times New Roman" w:eastAsia="Times New Roman" w:hAnsi="Times New Roman" w:cs="Times New Roman"/>
          <w:b/>
          <w:bCs/>
          <w:i/>
          <w:iCs/>
          <w:sz w:val="24"/>
          <w:szCs w:val="24"/>
        </w:rPr>
        <w:t>et al.</w:t>
      </w:r>
      <w:r>
        <w:rPr>
          <w:rFonts w:ascii="Times New Roman" w:eastAsia="Times New Roman" w:hAnsi="Times New Roman" w:cs="Times New Roman"/>
          <w:b/>
          <w:bCs/>
          <w:sz w:val="24"/>
          <w:szCs w:val="24"/>
        </w:rPr>
        <w:t xml:space="preserve"> (2008) </w:t>
      </w:r>
      <w:r>
        <w:rPr>
          <w:rFonts w:ascii="Times New Roman" w:eastAsia="Times New Roman" w:hAnsi="Times New Roman" w:cs="Times New Roman"/>
          <w:sz w:val="24"/>
          <w:szCs w:val="24"/>
        </w:rPr>
        <w:t>and</w:t>
      </w:r>
      <w:r>
        <w:rPr>
          <w:rFonts w:ascii="Times New Roman" w:eastAsia="Times New Roman" w:hAnsi="Times New Roman" w:cs="Times New Roman"/>
          <w:b/>
          <w:bCs/>
          <w:sz w:val="24"/>
          <w:szCs w:val="24"/>
        </w:rPr>
        <w:t xml:space="preserve"> Kumari </w:t>
      </w:r>
      <w:r>
        <w:rPr>
          <w:rFonts w:ascii="Times New Roman" w:eastAsia="Times New Roman" w:hAnsi="Times New Roman" w:cs="Times New Roman"/>
          <w:b/>
          <w:bCs/>
          <w:i/>
          <w:iCs/>
          <w:sz w:val="24"/>
          <w:szCs w:val="24"/>
        </w:rPr>
        <w:t>et al</w:t>
      </w:r>
      <w:r>
        <w:rPr>
          <w:rFonts w:ascii="Times New Roman" w:eastAsia="Times New Roman" w:hAnsi="Times New Roman" w:cs="Times New Roman"/>
          <w:b/>
          <w:bCs/>
          <w:sz w:val="24"/>
          <w:szCs w:val="24"/>
        </w:rPr>
        <w:t>. (2022).</w:t>
      </w:r>
    </w:p>
    <w:p w14:paraId="0D3A6DC5" w14:textId="77777777" w:rsidR="00DD6FE4" w:rsidRDefault="00DD6FE4" w:rsidP="00AE6579">
      <w:pPr>
        <w:jc w:val="both"/>
        <w:rPr>
          <w:rFonts w:ascii="Times New Roman" w:eastAsia="Times New Roman" w:hAnsi="Times New Roman" w:cs="Times New Roman"/>
          <w:b/>
          <w:bCs/>
          <w:sz w:val="24"/>
          <w:szCs w:val="24"/>
          <w:highlight w:val="yellow"/>
        </w:rPr>
      </w:pPr>
    </w:p>
    <w:p w14:paraId="198F3B01" w14:textId="77777777" w:rsidR="00DD6FE4" w:rsidRDefault="00DD6FE4" w:rsidP="00AE6579">
      <w:pPr>
        <w:jc w:val="both"/>
        <w:rPr>
          <w:rFonts w:ascii="Times New Roman" w:eastAsia="Times New Roman" w:hAnsi="Times New Roman" w:cs="Times New Roman"/>
          <w:b/>
          <w:bCs/>
          <w:sz w:val="24"/>
          <w:szCs w:val="24"/>
          <w:highlight w:val="yellow"/>
        </w:rPr>
      </w:pPr>
    </w:p>
    <w:p w14:paraId="04F47889" w14:textId="1591E873" w:rsidR="00AE6579" w:rsidRPr="00640B27" w:rsidRDefault="00AE6579" w:rsidP="00AE6579">
      <w:pPr>
        <w:jc w:val="both"/>
        <w:rPr>
          <w:rFonts w:ascii="Times New Roman" w:eastAsia="Times New Roman" w:hAnsi="Times New Roman" w:cs="Times New Roman"/>
          <w:b/>
          <w:bCs/>
          <w:sz w:val="24"/>
          <w:szCs w:val="24"/>
          <w:highlight w:val="yellow"/>
        </w:rPr>
      </w:pPr>
      <w:r w:rsidRPr="00640B27">
        <w:rPr>
          <w:rFonts w:ascii="Times New Roman" w:eastAsia="Times New Roman" w:hAnsi="Times New Roman" w:cs="Times New Roman"/>
          <w:b/>
          <w:bCs/>
          <w:sz w:val="24"/>
          <w:szCs w:val="24"/>
          <w:highlight w:val="yellow"/>
        </w:rPr>
        <w:lastRenderedPageBreak/>
        <w:t>Conclusion:</w:t>
      </w:r>
    </w:p>
    <w:p w14:paraId="75C1F415" w14:textId="11F81458" w:rsidR="00AE6579" w:rsidRPr="00640B27" w:rsidRDefault="008C48C6" w:rsidP="00640B2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In conclusion</w:t>
      </w:r>
      <w:r w:rsidR="00AE6579" w:rsidRPr="00640B27">
        <w:rPr>
          <w:rFonts w:ascii="Times New Roman" w:eastAsia="Times New Roman" w:hAnsi="Times New Roman" w:cs="Times New Roman"/>
          <w:sz w:val="24"/>
          <w:szCs w:val="24"/>
          <w:highlight w:val="yellow"/>
        </w:rPr>
        <w:t xml:space="preserve">, genotypes classified in Groups III and IV cannot be reliably predicted due to their significant squared deviation, regardless of their regression coefficient values. The genotypes KM 2195, NM13 5, NM1705, SML1839, and SML1723 were found </w:t>
      </w:r>
      <w:r>
        <w:rPr>
          <w:rFonts w:ascii="Times New Roman" w:eastAsia="Times New Roman" w:hAnsi="Times New Roman" w:cs="Times New Roman"/>
          <w:sz w:val="24"/>
          <w:szCs w:val="24"/>
          <w:highlight w:val="yellow"/>
        </w:rPr>
        <w:t xml:space="preserve">to be </w:t>
      </w:r>
      <w:r w:rsidR="00AE6579" w:rsidRPr="00640B27">
        <w:rPr>
          <w:rFonts w:ascii="Times New Roman" w:eastAsia="Times New Roman" w:hAnsi="Times New Roman" w:cs="Times New Roman"/>
          <w:sz w:val="24"/>
          <w:szCs w:val="24"/>
          <w:highlight w:val="yellow"/>
        </w:rPr>
        <w:t xml:space="preserve">stable for yield and </w:t>
      </w:r>
      <w:r w:rsidR="00AE6579">
        <w:rPr>
          <w:rFonts w:ascii="Times New Roman" w:eastAsia="Times New Roman" w:hAnsi="Times New Roman" w:cs="Times New Roman"/>
          <w:sz w:val="24"/>
          <w:szCs w:val="24"/>
          <w:highlight w:val="yellow"/>
        </w:rPr>
        <w:t>yield-related</w:t>
      </w:r>
      <w:r w:rsidR="00AE6579" w:rsidRPr="00640B27">
        <w:rPr>
          <w:rFonts w:ascii="Times New Roman" w:eastAsia="Times New Roman" w:hAnsi="Times New Roman" w:cs="Times New Roman"/>
          <w:sz w:val="24"/>
          <w:szCs w:val="24"/>
          <w:highlight w:val="yellow"/>
        </w:rPr>
        <w:t xml:space="preserve"> traits.</w:t>
      </w:r>
    </w:p>
    <w:p w14:paraId="2F34B8EF" w14:textId="77777777" w:rsidR="00D15ED8" w:rsidRDefault="00D15ED8">
      <w:pPr>
        <w:ind w:firstLine="720"/>
        <w:jc w:val="both"/>
        <w:rPr>
          <w:rFonts w:ascii="Times New Roman" w:eastAsia="Times New Roman" w:hAnsi="Times New Roman" w:cs="Times New Roman"/>
          <w:b/>
          <w:bCs/>
          <w:sz w:val="24"/>
          <w:szCs w:val="24"/>
        </w:rPr>
      </w:pPr>
    </w:p>
    <w:p w14:paraId="14A781B1" w14:textId="77777777" w:rsidR="00D15ED8" w:rsidRPr="00046C34" w:rsidRDefault="00D15ED8" w:rsidP="00D15ED8">
      <w:pPr>
        <w:rPr>
          <w:rFonts w:eastAsia="Calibri" w:cs="Times New Roman"/>
          <w:kern w:val="2"/>
          <w:highlight w:val="yellow"/>
        </w:rPr>
      </w:pPr>
      <w:bookmarkStart w:id="0" w:name="_Hlk204003461"/>
      <w:r w:rsidRPr="00046C34">
        <w:rPr>
          <w:rFonts w:eastAsia="Calibri" w:cs="Times New Roman"/>
          <w:kern w:val="2"/>
          <w:highlight w:val="yellow"/>
        </w:rPr>
        <w:t>Disclaimer (Artificial intelligence)</w:t>
      </w:r>
    </w:p>
    <w:p w14:paraId="7927271C" w14:textId="77777777" w:rsidR="00D15ED8" w:rsidRPr="00046C34" w:rsidRDefault="00D15ED8" w:rsidP="00D15ED8">
      <w:pPr>
        <w:rPr>
          <w:rFonts w:eastAsia="Calibri" w:cs="Times New Roman"/>
          <w:kern w:val="2"/>
          <w:highlight w:val="yellow"/>
        </w:rPr>
      </w:pPr>
      <w:r w:rsidRPr="00046C34">
        <w:rPr>
          <w:rFonts w:eastAsia="Calibri" w:cs="Times New Roman"/>
          <w:kern w:val="2"/>
          <w:highlight w:val="yellow"/>
        </w:rPr>
        <w:t xml:space="preserve">Option 1: </w:t>
      </w:r>
    </w:p>
    <w:p w14:paraId="6E1445C5" w14:textId="77777777" w:rsidR="00D15ED8" w:rsidRPr="00046C34" w:rsidRDefault="00D15ED8" w:rsidP="00D15ED8">
      <w:pPr>
        <w:rPr>
          <w:rFonts w:eastAsia="Calibri" w:cs="Times New Roman"/>
          <w:kern w:val="2"/>
          <w:highlight w:val="yellow"/>
        </w:rPr>
      </w:pPr>
      <w:r w:rsidRPr="00046C34">
        <w:rPr>
          <w:rFonts w:eastAsia="Calibri" w:cs="Times New Roman"/>
          <w:kern w:val="2"/>
          <w:highlight w:val="yellow"/>
        </w:rPr>
        <w:t xml:space="preserve">Author(s) hereby </w:t>
      </w:r>
      <w:proofErr w:type="gramStart"/>
      <w:r w:rsidRPr="00046C34">
        <w:rPr>
          <w:rFonts w:eastAsia="Calibri" w:cs="Times New Roman"/>
          <w:kern w:val="2"/>
          <w:highlight w:val="yellow"/>
        </w:rPr>
        <w:t>declare</w:t>
      </w:r>
      <w:proofErr w:type="gramEnd"/>
      <w:r w:rsidRPr="00046C34">
        <w:rPr>
          <w:rFonts w:eastAsia="Calibri" w:cs="Times New Roman"/>
          <w:kern w:val="2"/>
          <w:highlight w:val="yellow"/>
        </w:rPr>
        <w:t xml:space="preserve"> that NO generative AI technologies such as Large Language Models (ChatGPT, COPILOT, etc.) and text-to-image generators have been used during the writing or editing of this manuscript. </w:t>
      </w:r>
    </w:p>
    <w:p w14:paraId="1AC58649" w14:textId="77777777" w:rsidR="00D15ED8" w:rsidRPr="00046C34" w:rsidRDefault="00D15ED8" w:rsidP="00D15ED8">
      <w:pPr>
        <w:rPr>
          <w:rFonts w:eastAsia="Calibri" w:cs="Times New Roman"/>
          <w:kern w:val="2"/>
          <w:highlight w:val="yellow"/>
        </w:rPr>
      </w:pPr>
      <w:r w:rsidRPr="00046C34">
        <w:rPr>
          <w:rFonts w:eastAsia="Calibri" w:cs="Times New Roman"/>
          <w:kern w:val="2"/>
          <w:highlight w:val="yellow"/>
        </w:rPr>
        <w:t xml:space="preserve">Option 2: </w:t>
      </w:r>
    </w:p>
    <w:p w14:paraId="26BD71C4" w14:textId="77777777" w:rsidR="00D15ED8" w:rsidRPr="00046C34" w:rsidRDefault="00D15ED8" w:rsidP="00D15ED8">
      <w:pPr>
        <w:rPr>
          <w:rFonts w:eastAsia="Calibri" w:cs="Times New Roman"/>
          <w:kern w:val="2"/>
          <w:highlight w:val="yellow"/>
        </w:rPr>
      </w:pPr>
      <w:r w:rsidRPr="00046C34">
        <w:rPr>
          <w:rFonts w:eastAsia="Calibri" w:cs="Times New Roman"/>
          <w:kern w:val="2"/>
          <w:highlight w:val="yellow"/>
        </w:rPr>
        <w:t xml:space="preserve">Author(s) hereby </w:t>
      </w:r>
      <w:proofErr w:type="gramStart"/>
      <w:r w:rsidRPr="00046C34">
        <w:rPr>
          <w:rFonts w:eastAsia="Calibri" w:cs="Times New Roman"/>
          <w:kern w:val="2"/>
          <w:highlight w:val="yellow"/>
        </w:rPr>
        <w:t>declare</w:t>
      </w:r>
      <w:proofErr w:type="gramEnd"/>
      <w:r w:rsidRPr="00046C34">
        <w:rPr>
          <w:rFonts w:eastAsia="Calibri" w:cs="Times New Roman"/>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CC23E79" w14:textId="77777777" w:rsidR="00D15ED8" w:rsidRPr="00046C34" w:rsidRDefault="00D15ED8" w:rsidP="00D15ED8">
      <w:pPr>
        <w:rPr>
          <w:rFonts w:eastAsia="Calibri" w:cs="Times New Roman"/>
          <w:kern w:val="2"/>
          <w:highlight w:val="yellow"/>
        </w:rPr>
      </w:pPr>
      <w:r w:rsidRPr="00046C34">
        <w:rPr>
          <w:rFonts w:eastAsia="Calibri" w:cs="Times New Roman"/>
          <w:kern w:val="2"/>
          <w:highlight w:val="yellow"/>
        </w:rPr>
        <w:t>Details of the AI usage are given below:</w:t>
      </w:r>
    </w:p>
    <w:p w14:paraId="52E392BB" w14:textId="77777777" w:rsidR="00D15ED8" w:rsidRPr="00046C34" w:rsidRDefault="00D15ED8" w:rsidP="00D15ED8">
      <w:pPr>
        <w:rPr>
          <w:rFonts w:eastAsia="Calibri" w:cs="Times New Roman"/>
          <w:kern w:val="2"/>
          <w:highlight w:val="yellow"/>
        </w:rPr>
      </w:pPr>
      <w:r w:rsidRPr="00046C34">
        <w:rPr>
          <w:rFonts w:eastAsia="Calibri" w:cs="Times New Roman"/>
          <w:kern w:val="2"/>
          <w:highlight w:val="yellow"/>
        </w:rPr>
        <w:t>1.</w:t>
      </w:r>
    </w:p>
    <w:p w14:paraId="7F80E38D" w14:textId="77777777" w:rsidR="00D15ED8" w:rsidRPr="00046C34" w:rsidRDefault="00D15ED8" w:rsidP="00D15ED8">
      <w:pPr>
        <w:rPr>
          <w:rFonts w:eastAsia="Calibri" w:cs="Times New Roman"/>
          <w:kern w:val="2"/>
          <w:highlight w:val="yellow"/>
        </w:rPr>
      </w:pPr>
      <w:r w:rsidRPr="00046C34">
        <w:rPr>
          <w:rFonts w:eastAsia="Calibri" w:cs="Times New Roman"/>
          <w:kern w:val="2"/>
          <w:highlight w:val="yellow"/>
        </w:rPr>
        <w:t>2.</w:t>
      </w:r>
    </w:p>
    <w:p w14:paraId="0EA68D57" w14:textId="77777777" w:rsidR="00D15ED8" w:rsidRDefault="00D15ED8" w:rsidP="00D15ED8">
      <w:pPr>
        <w:rPr>
          <w:rFonts w:eastAsia="Calibri" w:cs="Times New Roman"/>
          <w:kern w:val="2"/>
          <w:highlight w:val="yellow"/>
        </w:rPr>
      </w:pPr>
      <w:r w:rsidRPr="00046C34">
        <w:rPr>
          <w:rFonts w:eastAsia="Calibri" w:cs="Times New Roman"/>
          <w:kern w:val="2"/>
          <w:highlight w:val="yellow"/>
        </w:rPr>
        <w:t>3.</w:t>
      </w:r>
    </w:p>
    <w:bookmarkEnd w:id="0"/>
    <w:p w14:paraId="2688F27D" w14:textId="77777777" w:rsidR="00D15ED8" w:rsidRDefault="00D15ED8">
      <w:pPr>
        <w:ind w:firstLine="720"/>
        <w:jc w:val="both"/>
        <w:rPr>
          <w:rFonts w:ascii="Times New Roman" w:eastAsia="Times New Roman" w:hAnsi="Times New Roman" w:cs="Times New Roman"/>
          <w:b/>
          <w:bCs/>
          <w:sz w:val="24"/>
          <w:szCs w:val="24"/>
        </w:rPr>
      </w:pPr>
    </w:p>
    <w:p w14:paraId="6ECB5B81" w14:textId="77777777" w:rsidR="00D15ED8" w:rsidRDefault="00D15ED8">
      <w:pPr>
        <w:ind w:firstLine="720"/>
        <w:jc w:val="both"/>
        <w:rPr>
          <w:rFonts w:ascii="Times New Roman" w:eastAsia="Times New Roman" w:hAnsi="Times New Roman" w:cs="Times New Roman"/>
          <w:b/>
          <w:bCs/>
          <w:sz w:val="24"/>
          <w:szCs w:val="24"/>
        </w:rPr>
      </w:pPr>
    </w:p>
    <w:p w14:paraId="0A82699D" w14:textId="77777777" w:rsidR="00D15ED8" w:rsidRDefault="00D15ED8">
      <w:pPr>
        <w:ind w:firstLine="720"/>
        <w:jc w:val="both"/>
        <w:rPr>
          <w:rFonts w:ascii="Times New Roman" w:eastAsia="Times New Roman" w:hAnsi="Times New Roman" w:cs="Times New Roman"/>
          <w:b/>
          <w:bCs/>
          <w:sz w:val="24"/>
          <w:szCs w:val="24"/>
        </w:rPr>
      </w:pPr>
    </w:p>
    <w:p w14:paraId="481A685A" w14:textId="77777777" w:rsidR="00352764" w:rsidRDefault="00740504">
      <w:pPr>
        <w:jc w:val="both"/>
        <w:rPr>
          <w:rFonts w:ascii="Times New Roman" w:hAnsi="Times New Roman" w:cs="Times New Roman"/>
          <w:b/>
          <w:bCs/>
          <w:sz w:val="28"/>
          <w:szCs w:val="28"/>
        </w:rPr>
      </w:pPr>
      <w:r>
        <w:rPr>
          <w:rFonts w:ascii="Times New Roman" w:hAnsi="Times New Roman" w:cs="Times New Roman"/>
          <w:b/>
          <w:bCs/>
          <w:sz w:val="28"/>
          <w:szCs w:val="28"/>
        </w:rPr>
        <w:t xml:space="preserve">References </w:t>
      </w:r>
    </w:p>
    <w:p w14:paraId="38222701" w14:textId="77777777" w:rsidR="00352764" w:rsidRDefault="00740504">
      <w:pPr>
        <w:jc w:val="both"/>
      </w:pPr>
      <w:proofErr w:type="spellStart"/>
      <w:r>
        <w:t>Arumuganathan</w:t>
      </w:r>
      <w:proofErr w:type="spellEnd"/>
      <w:r>
        <w:t>, K., and Earle, E. D. (1991). Nuclear DNA content of some important plant species. Plant Mol. Biol. Rep. 9, 208–218.</w:t>
      </w:r>
    </w:p>
    <w:p w14:paraId="113F10D5" w14:textId="77777777" w:rsidR="00352764" w:rsidRDefault="00740504">
      <w:pPr>
        <w:jc w:val="both"/>
      </w:pPr>
      <w:r>
        <w:t xml:space="preserve">Abbas, G., Babar, M. A, Shah, T. M. and Haq, M. A. (2008). Stability analysis for seed yield in </w:t>
      </w:r>
      <w:proofErr w:type="spellStart"/>
      <w:r>
        <w:t>mungbean</w:t>
      </w:r>
      <w:proofErr w:type="spellEnd"/>
      <w:r>
        <w:t>. J. of Agricultural Res., 46:223-228.</w:t>
      </w:r>
    </w:p>
    <w:p w14:paraId="3B756916" w14:textId="77777777" w:rsidR="00352764" w:rsidRDefault="00740504">
      <w:pPr>
        <w:jc w:val="both"/>
      </w:pPr>
      <w:r>
        <w:lastRenderedPageBreak/>
        <w:t xml:space="preserve">Chahal, G. S., Gosal, S.S. (2003). Principles and Procedure of Plant Breeding. </w:t>
      </w:r>
      <w:proofErr w:type="spellStart"/>
      <w:r>
        <w:t>Narosa</w:t>
      </w:r>
      <w:proofErr w:type="spellEnd"/>
      <w:r>
        <w:t xml:space="preserve"> Publishing House, Delhi.</w:t>
      </w:r>
    </w:p>
    <w:p w14:paraId="224D4331" w14:textId="77777777" w:rsidR="00352764" w:rsidRDefault="00740504">
      <w:pPr>
        <w:jc w:val="both"/>
      </w:pPr>
      <w:r>
        <w:t>Eberhart, S. A. and Russell, W. A. (1966). Stability parameters for comparing varieties. Crop Sci., 6 (1): 36-40.</w:t>
      </w:r>
    </w:p>
    <w:p w14:paraId="09176C3F" w14:textId="77777777" w:rsidR="00352764" w:rsidRDefault="00740504">
      <w:pPr>
        <w:jc w:val="both"/>
      </w:pPr>
      <w:r>
        <w:t>Falconer, D. S. (1952). The problem of environment and selection. The American Naturalist, 86: 293-298.</w:t>
      </w:r>
    </w:p>
    <w:p w14:paraId="62A05E43" w14:textId="77777777" w:rsidR="00352764" w:rsidRDefault="00740504">
      <w:pPr>
        <w:jc w:val="both"/>
      </w:pPr>
      <w:r>
        <w:t>Fernandez, G. C. J. (1991). Analysis of genotype x environment interaction by stability estimates. Horticulture Sci., 26(8): 947-950.</w:t>
      </w:r>
    </w:p>
    <w:p w14:paraId="3D4D2514" w14:textId="77777777" w:rsidR="00352764" w:rsidRDefault="00740504">
      <w:pPr>
        <w:jc w:val="both"/>
      </w:pPr>
      <w:r>
        <w:t>Ghanbari, M. and Javan, S. M. (2015). Study the response of mung bean genotypes to drought stress by multivariate analysis. Int. J. of Ag. Innovations and Res., 3(4), pp.2319-1473.</w:t>
      </w:r>
    </w:p>
    <w:p w14:paraId="539449F4" w14:textId="77777777" w:rsidR="00352764" w:rsidRDefault="00740504">
      <w:pPr>
        <w:jc w:val="both"/>
      </w:pPr>
      <w:r>
        <w:t xml:space="preserve">Ghaed-Rahimi, L., Heidari, B. and </w:t>
      </w:r>
      <w:proofErr w:type="spellStart"/>
      <w:r>
        <w:t>Dadkhodaie</w:t>
      </w:r>
      <w:proofErr w:type="spellEnd"/>
      <w:r>
        <w:t xml:space="preserve"> A. (2014). Genotype × environment interactions for wheat grain yield and antioxidant changes in association with drought stress. Arch Agron Soil Sci. 61(2):153–171.</w:t>
      </w:r>
    </w:p>
    <w:p w14:paraId="7AE5FFBC" w14:textId="77777777" w:rsidR="00352764" w:rsidRDefault="00740504">
      <w:pPr>
        <w:jc w:val="both"/>
      </w:pPr>
      <w:r>
        <w:t>Hill, J. (1975). Genotype-environment-a challenge for plant breeding. J. of Ag. Sci., 85: 477-493.</w:t>
      </w:r>
    </w:p>
    <w:p w14:paraId="6490D74A" w14:textId="77777777" w:rsidR="00352764" w:rsidRDefault="00740504">
      <w:pPr>
        <w:jc w:val="both"/>
      </w:pPr>
      <w:proofErr w:type="spellStart"/>
      <w:r>
        <w:t>Kamannavar</w:t>
      </w:r>
      <w:proofErr w:type="spellEnd"/>
      <w:r>
        <w:t xml:space="preserve">, P.Y., Vijaykumar, A.G., </w:t>
      </w:r>
      <w:proofErr w:type="spellStart"/>
      <w:r>
        <w:t>Revanappa</w:t>
      </w:r>
      <w:proofErr w:type="spellEnd"/>
      <w:r>
        <w:t xml:space="preserve">, S.B., </w:t>
      </w:r>
      <w:proofErr w:type="spellStart"/>
      <w:r>
        <w:t>Ganajaxi</w:t>
      </w:r>
      <w:proofErr w:type="spellEnd"/>
      <w:r>
        <w:t xml:space="preserve">, M., Kumar, A., </w:t>
      </w:r>
      <w:proofErr w:type="spellStart"/>
      <w:r>
        <w:t>Kuchanur</w:t>
      </w:r>
      <w:proofErr w:type="spellEnd"/>
      <w:r>
        <w:t xml:space="preserve">, P.H. and </w:t>
      </w:r>
      <w:proofErr w:type="spellStart"/>
      <w:r>
        <w:t>Salimath</w:t>
      </w:r>
      <w:proofErr w:type="spellEnd"/>
      <w:r>
        <w:t xml:space="preserve">, P.M. (2011). Genotype × Environment interaction in </w:t>
      </w:r>
      <w:proofErr w:type="spellStart"/>
      <w:r>
        <w:t>mungbean</w:t>
      </w:r>
      <w:proofErr w:type="spellEnd"/>
      <w:r>
        <w:t xml:space="preserve"> (Vigna radiata L. Wilczek) cultivars grown in different </w:t>
      </w:r>
      <w:proofErr w:type="spellStart"/>
      <w:r>
        <w:t>agro</w:t>
      </w:r>
      <w:proofErr w:type="spellEnd"/>
      <w:r>
        <w:t>-climatic zones in Karnataka. Electronic J. of Plant Breeding, 2:501-505.</w:t>
      </w:r>
    </w:p>
    <w:p w14:paraId="23A025CD" w14:textId="77777777" w:rsidR="00352764" w:rsidRDefault="00740504">
      <w:pPr>
        <w:jc w:val="both"/>
      </w:pPr>
      <w:r>
        <w:t xml:space="preserve">Kang, Y. J., Kim, S. K., Kim, M. Y., Lestari, P., Kim, K. H., Ha, B. K., Jun, T. H., Hwang, W. J., Lee, T., Lee, J. and Shim, S. (2014). Genome sequence of </w:t>
      </w:r>
      <w:proofErr w:type="spellStart"/>
      <w:r>
        <w:t>mungbean</w:t>
      </w:r>
      <w:proofErr w:type="spellEnd"/>
      <w:r>
        <w:t xml:space="preserve"> and insights into evolution within Vigna species. Nature communications, 5(1),5443.</w:t>
      </w:r>
    </w:p>
    <w:p w14:paraId="51D6DCDF" w14:textId="77777777" w:rsidR="00352764" w:rsidRDefault="00740504">
      <w:pPr>
        <w:jc w:val="both"/>
      </w:pPr>
      <w:r>
        <w:t xml:space="preserve">Kumar, A.B. and Konda, C.R. (2014). Genotype and environment interaction and stability analysis for seed yield in yellow </w:t>
      </w:r>
      <w:proofErr w:type="spellStart"/>
      <w:r>
        <w:t>mungbean</w:t>
      </w:r>
      <w:proofErr w:type="spellEnd"/>
      <w:r>
        <w:t xml:space="preserve"> (Vigna radiata L.). J. of Applied Natural Sci., 6:782-785.</w:t>
      </w:r>
    </w:p>
    <w:p w14:paraId="3AE44814" w14:textId="77777777" w:rsidR="00352764" w:rsidRDefault="00740504">
      <w:pPr>
        <w:jc w:val="both"/>
      </w:pPr>
      <w:proofErr w:type="spellStart"/>
      <w:r>
        <w:t>Kuchanur</w:t>
      </w:r>
      <w:proofErr w:type="spellEnd"/>
      <w:r>
        <w:t xml:space="preserve">, P. H., Konda, C. R., </w:t>
      </w:r>
      <w:proofErr w:type="spellStart"/>
      <w:r>
        <w:t>Channayya</w:t>
      </w:r>
      <w:proofErr w:type="spellEnd"/>
      <w:r>
        <w:t xml:space="preserve">, H. and Vijayakumar, A. G. (2018). Stability of </w:t>
      </w:r>
      <w:proofErr w:type="spellStart"/>
      <w:r>
        <w:t>mungbean</w:t>
      </w:r>
      <w:proofErr w:type="spellEnd"/>
      <w:r>
        <w:t xml:space="preserve"> (Vigna radiata L. Wilczek) genotypes for seed yield during summer. Legume Res., 41:602-605.</w:t>
      </w:r>
    </w:p>
    <w:p w14:paraId="62AE04C6" w14:textId="77777777" w:rsidR="00352764" w:rsidRDefault="00740504">
      <w:pPr>
        <w:jc w:val="both"/>
      </w:pPr>
      <w:r>
        <w:t xml:space="preserve">Kumari, V., Kumawat, P., Rajput, S. S., Kunwar, R., Gupta, D., and Kumhar, B. L. (2022). Stability analysis in green gram (Vigna radiata (L.) Wilczek) for </w:t>
      </w:r>
      <w:proofErr w:type="spellStart"/>
      <w:r>
        <w:t>agro</w:t>
      </w:r>
      <w:proofErr w:type="spellEnd"/>
      <w:r>
        <w:t xml:space="preserve"> morphological traits. Int. J. of Tropical Agri., 40(1/2): 167-171.</w:t>
      </w:r>
    </w:p>
    <w:p w14:paraId="48FA1425" w14:textId="77777777" w:rsidR="00352764" w:rsidRDefault="00740504">
      <w:pPr>
        <w:jc w:val="both"/>
      </w:pPr>
      <w:r>
        <w:t xml:space="preserve">Liu, M. S., Kuo, T. C. Y., Ko, C. Y., Wu, D. C., Li, K. Y., Lin, W. J., Lin, C. P., Wang, Y. W., </w:t>
      </w:r>
      <w:proofErr w:type="spellStart"/>
      <w:r>
        <w:t>Schafleitner</w:t>
      </w:r>
      <w:proofErr w:type="spellEnd"/>
      <w:r>
        <w:t xml:space="preserve">, R., Lo, H. F. and Chen, C.Y. (2016). Genomic and transcriptomic comparison of nucleotide variations for insights into bruchid resistance of </w:t>
      </w:r>
      <w:proofErr w:type="spellStart"/>
      <w:r>
        <w:t>mungbean</w:t>
      </w:r>
      <w:proofErr w:type="spellEnd"/>
      <w:r>
        <w:t xml:space="preserve"> (Vigna radiata [L.] R. Wilczek). BMC Plant Biology, 16: 1-16.</w:t>
      </w:r>
    </w:p>
    <w:p w14:paraId="3CE39EB7" w14:textId="77777777" w:rsidR="00352764" w:rsidRDefault="00740504">
      <w:pPr>
        <w:jc w:val="both"/>
      </w:pPr>
      <w:r>
        <w:t>Mehra, R. B., and Ramanujam, S. (1979). Adaptation in segregating populations of Bengal gram. Indian J. Genet. Plant Breed.; 39 (3): 492-500.</w:t>
      </w:r>
    </w:p>
    <w:p w14:paraId="034CB311" w14:textId="77777777" w:rsidR="00352764" w:rsidRDefault="00740504">
      <w:pPr>
        <w:jc w:val="both"/>
      </w:pPr>
      <w:r>
        <w:t xml:space="preserve">Peto, R. (1982). Statistical aspects of cancer trials. In: </w:t>
      </w:r>
      <w:proofErr w:type="spellStart"/>
      <w:r>
        <w:t>Halnan</w:t>
      </w:r>
      <w:proofErr w:type="spellEnd"/>
      <w:r>
        <w:t xml:space="preserve"> EE (Ed.), Treatment of Cancer. Chapman and Hall, London, pp. 867-871.</w:t>
      </w:r>
    </w:p>
    <w:p w14:paraId="307E4BD3" w14:textId="77777777" w:rsidR="00352764" w:rsidRDefault="00740504">
      <w:pPr>
        <w:jc w:val="both"/>
      </w:pPr>
      <w:r>
        <w:lastRenderedPageBreak/>
        <w:t xml:space="preserve">Sundari, T., and </w:t>
      </w:r>
      <w:proofErr w:type="spellStart"/>
      <w:r>
        <w:t>Mutmaidah</w:t>
      </w:r>
      <w:proofErr w:type="spellEnd"/>
      <w:r>
        <w:t>, D. S. (2017). Suitability of soybean promising lines for maize + soybean intercropping. (In Indonesian.) J. Agron. Indonesia, 46, 40–47.</w:t>
      </w:r>
    </w:p>
    <w:p w14:paraId="782F9D6A" w14:textId="77777777" w:rsidR="00352764" w:rsidRDefault="00740504">
      <w:pPr>
        <w:jc w:val="both"/>
      </w:pPr>
      <w:r>
        <w:t xml:space="preserve">Simmonds, J., Scott, P., Waite, M. L., Turner, A. S., Brinton, J., Korzun, V., Snape, J. and </w:t>
      </w:r>
      <w:proofErr w:type="spellStart"/>
      <w:r>
        <w:t>Uauy</w:t>
      </w:r>
      <w:proofErr w:type="spellEnd"/>
      <w:r>
        <w:t xml:space="preserve">, C. (2014). Identification and independent validation of a stable yield and thousand grain weight QTL on chromosome 6A of </w:t>
      </w:r>
      <w:proofErr w:type="spellStart"/>
      <w:r>
        <w:t>hexaploid</w:t>
      </w:r>
      <w:proofErr w:type="spellEnd"/>
      <w:r>
        <w:t xml:space="preserve"> wheat (Triticum aestivum L.). BMC Plant Biology, 14: 191.</w:t>
      </w:r>
    </w:p>
    <w:p w14:paraId="55B6F274" w14:textId="77777777" w:rsidR="00352764" w:rsidRDefault="00740504">
      <w:pPr>
        <w:jc w:val="both"/>
      </w:pPr>
      <w:r>
        <w:t>Yau, S. K. (1995). Regression and AMMI analyses of genotype x environment interactions: An empirical comparison. Agronomy J., 87: 121-126.</w:t>
      </w:r>
    </w:p>
    <w:p w14:paraId="66802B39" w14:textId="77777777" w:rsidR="00352764" w:rsidRDefault="00740504">
      <w:pPr>
        <w:jc w:val="both"/>
      </w:pPr>
      <w:r>
        <w:t>Zakir, M. (2018). Review on genotype X environment interaction in plant breeding and agronomic stability of crops. J. of Biology, Ag. and Healthcare, 8(12), 14-21.</w:t>
      </w:r>
    </w:p>
    <w:p w14:paraId="050DB5AB" w14:textId="0BCD70E7" w:rsidR="00766136" w:rsidRDefault="00766136">
      <w:pPr>
        <w:jc w:val="both"/>
      </w:pPr>
      <w:r w:rsidRPr="00640B27">
        <w:rPr>
          <w:highlight w:val="yellow"/>
        </w:rPr>
        <w:t>Kumar, M., Singh, G., Singh, S., &amp; Mishra, A. (2024). Performance of the major pulses crop in India: Growth and instability. Asian Journal of Research in Crop Science, 9(4), 348–357.</w:t>
      </w:r>
      <w:r>
        <w:t xml:space="preserve">  </w:t>
      </w:r>
    </w:p>
    <w:p w14:paraId="37B78454" w14:textId="77777777" w:rsidR="001E6CCA" w:rsidRDefault="001E6CCA">
      <w:pPr>
        <w:jc w:val="both"/>
      </w:pPr>
    </w:p>
    <w:p w14:paraId="4E00EB12" w14:textId="1172154F" w:rsidR="001E6CCA" w:rsidRDefault="001E6CCA">
      <w:pPr>
        <w:jc w:val="both"/>
      </w:pPr>
      <w:r w:rsidRPr="00640B27">
        <w:rPr>
          <w:highlight w:val="yellow"/>
        </w:rPr>
        <w:t xml:space="preserve">Agarwal, D., Devra, S. J., &amp; </w:t>
      </w:r>
      <w:proofErr w:type="spellStart"/>
      <w:r w:rsidRPr="00640B27">
        <w:rPr>
          <w:highlight w:val="yellow"/>
        </w:rPr>
        <w:t>Siddharajsinh</w:t>
      </w:r>
      <w:proofErr w:type="spellEnd"/>
      <w:r w:rsidRPr="00640B27">
        <w:rPr>
          <w:highlight w:val="yellow"/>
        </w:rPr>
        <w:t>, R. R. (2024). Pulses in India: Comprehensive analysis of production, challenges, and strategic vision for 2030. Journal of Experimental Agriculture International, 46(11), 293–304.</w:t>
      </w:r>
      <w:r>
        <w:t xml:space="preserve">  </w:t>
      </w:r>
    </w:p>
    <w:p w14:paraId="73888744" w14:textId="77777777" w:rsidR="001E6CCA" w:rsidRDefault="001E6CCA">
      <w:pPr>
        <w:jc w:val="both"/>
      </w:pPr>
    </w:p>
    <w:p w14:paraId="7E8BAC06" w14:textId="79E3E9E9" w:rsidR="001E6CCA" w:rsidRDefault="001E6CCA">
      <w:pPr>
        <w:jc w:val="both"/>
      </w:pPr>
      <w:r w:rsidRPr="00640B27">
        <w:rPr>
          <w:highlight w:val="yellow"/>
        </w:rPr>
        <w:t xml:space="preserve">Bhardwaj, R., Lone, J. K., Pandey, R., Mondal, N., Dhandapani, R., Meena, S. K., ... &amp; </w:t>
      </w:r>
      <w:proofErr w:type="spellStart"/>
      <w:r w:rsidRPr="00640B27">
        <w:rPr>
          <w:highlight w:val="yellow"/>
        </w:rPr>
        <w:t>Gayacharan</w:t>
      </w:r>
      <w:proofErr w:type="spellEnd"/>
      <w:r w:rsidRPr="00640B27">
        <w:rPr>
          <w:highlight w:val="yellow"/>
        </w:rPr>
        <w:t xml:space="preserve">. (2023). Insights into morphological and physio-biochemical adaptive responses in </w:t>
      </w:r>
      <w:proofErr w:type="spellStart"/>
      <w:r w:rsidRPr="00640B27">
        <w:rPr>
          <w:highlight w:val="yellow"/>
        </w:rPr>
        <w:t>mungbean</w:t>
      </w:r>
      <w:proofErr w:type="spellEnd"/>
      <w:r w:rsidRPr="00640B27">
        <w:rPr>
          <w:highlight w:val="yellow"/>
        </w:rPr>
        <w:t xml:space="preserve"> (Vigna radiata L.) under heat stress. Frontiers in Genetics, 14, 1206451.</w:t>
      </w:r>
      <w:r>
        <w:t xml:space="preserve">  </w:t>
      </w:r>
    </w:p>
    <w:p w14:paraId="5E0716CD" w14:textId="77777777" w:rsidR="00352764" w:rsidRDefault="00352764">
      <w:pPr>
        <w:jc w:val="both"/>
      </w:pPr>
    </w:p>
    <w:p w14:paraId="5102A24B" w14:textId="77777777" w:rsidR="00352764" w:rsidRDefault="00352764">
      <w:pPr>
        <w:jc w:val="both"/>
        <w:rPr>
          <w:rFonts w:ascii="Times New Roman" w:hAnsi="Times New Roman" w:cs="Times New Roman"/>
          <w:b/>
          <w:bCs/>
          <w:sz w:val="28"/>
          <w:szCs w:val="28"/>
        </w:rPr>
      </w:pPr>
    </w:p>
    <w:p w14:paraId="6D18FFB2" w14:textId="77777777" w:rsidR="00352764" w:rsidRDefault="00352764">
      <w:pPr>
        <w:spacing w:after="160" w:line="259" w:lineRule="auto"/>
        <w:rPr>
          <w:rFonts w:ascii="Times New Roman" w:hAnsi="Times New Roman" w:cs="Times New Roman"/>
          <w:b/>
          <w:bCs/>
          <w:sz w:val="28"/>
          <w:szCs w:val="28"/>
        </w:rPr>
        <w:sectPr w:rsidR="003527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73163171" w14:textId="77777777" w:rsidR="00352764" w:rsidRDefault="0074050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1Grouping of </w:t>
      </w:r>
      <w:proofErr w:type="spellStart"/>
      <w:r>
        <w:rPr>
          <w:rFonts w:ascii="Times New Roman" w:hAnsi="Times New Roman" w:cs="Times New Roman"/>
          <w:b/>
          <w:bCs/>
          <w:sz w:val="24"/>
          <w:szCs w:val="24"/>
        </w:rPr>
        <w:t>mungbean</w:t>
      </w:r>
      <w:proofErr w:type="spellEnd"/>
      <w:r>
        <w:rPr>
          <w:rFonts w:ascii="Times New Roman" w:hAnsi="Times New Roman" w:cs="Times New Roman"/>
          <w:b/>
          <w:bCs/>
          <w:sz w:val="24"/>
          <w:szCs w:val="24"/>
        </w:rPr>
        <w:t xml:space="preserve"> genotypes based on Eberhart and Russell’s model stability parameters</w:t>
      </w:r>
    </w:p>
    <w:tbl>
      <w:tblPr>
        <w:tblStyle w:val="TableGrid"/>
        <w:tblW w:w="14128" w:type="dxa"/>
        <w:tblLook w:val="04A0" w:firstRow="1" w:lastRow="0" w:firstColumn="1" w:lastColumn="0" w:noHBand="0" w:noVBand="1"/>
      </w:tblPr>
      <w:tblGrid>
        <w:gridCol w:w="1555"/>
        <w:gridCol w:w="5219"/>
        <w:gridCol w:w="1178"/>
        <w:gridCol w:w="1275"/>
        <w:gridCol w:w="2534"/>
        <w:gridCol w:w="2367"/>
      </w:tblGrid>
      <w:tr w:rsidR="00352764" w14:paraId="0C5C705E" w14:textId="77777777">
        <w:trPr>
          <w:trHeight w:val="294"/>
        </w:trPr>
        <w:tc>
          <w:tcPr>
            <w:tcW w:w="1555" w:type="dxa"/>
            <w:vMerge w:val="restart"/>
          </w:tcPr>
          <w:p w14:paraId="3573BDE7" w14:textId="77777777"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Trait</w:t>
            </w:r>
          </w:p>
        </w:tc>
        <w:tc>
          <w:tcPr>
            <w:tcW w:w="5219" w:type="dxa"/>
            <w:vMerge w:val="restart"/>
          </w:tcPr>
          <w:p w14:paraId="34491884" w14:textId="77777777"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Group I</w:t>
            </w:r>
          </w:p>
        </w:tc>
        <w:tc>
          <w:tcPr>
            <w:tcW w:w="2453" w:type="dxa"/>
            <w:gridSpan w:val="2"/>
          </w:tcPr>
          <w:p w14:paraId="733E525F" w14:textId="77777777"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Group II</w:t>
            </w:r>
          </w:p>
        </w:tc>
        <w:tc>
          <w:tcPr>
            <w:tcW w:w="2534" w:type="dxa"/>
            <w:vMerge w:val="restart"/>
          </w:tcPr>
          <w:p w14:paraId="38EAFF39" w14:textId="77777777"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Group III</w:t>
            </w:r>
          </w:p>
        </w:tc>
        <w:tc>
          <w:tcPr>
            <w:tcW w:w="2367" w:type="dxa"/>
            <w:vMerge w:val="restart"/>
          </w:tcPr>
          <w:p w14:paraId="2A4DF929" w14:textId="77777777"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Group IV</w:t>
            </w:r>
          </w:p>
        </w:tc>
      </w:tr>
      <w:tr w:rsidR="00352764" w14:paraId="1F0E0462" w14:textId="77777777">
        <w:trPr>
          <w:trHeight w:val="278"/>
        </w:trPr>
        <w:tc>
          <w:tcPr>
            <w:tcW w:w="1555" w:type="dxa"/>
            <w:vMerge/>
          </w:tcPr>
          <w:p w14:paraId="514F6ACA" w14:textId="77777777" w:rsidR="00352764" w:rsidRDefault="00352764">
            <w:pPr>
              <w:spacing w:line="360" w:lineRule="auto"/>
              <w:jc w:val="both"/>
              <w:rPr>
                <w:rFonts w:ascii="Times New Roman" w:hAnsi="Times New Roman" w:cs="Times New Roman"/>
                <w:b/>
                <w:bCs/>
                <w:sz w:val="20"/>
                <w:szCs w:val="20"/>
              </w:rPr>
            </w:pPr>
          </w:p>
        </w:tc>
        <w:tc>
          <w:tcPr>
            <w:tcW w:w="5219" w:type="dxa"/>
            <w:vMerge/>
          </w:tcPr>
          <w:p w14:paraId="6EC09A67" w14:textId="77777777" w:rsidR="00352764" w:rsidRDefault="00352764">
            <w:pPr>
              <w:spacing w:line="360" w:lineRule="auto"/>
              <w:jc w:val="both"/>
              <w:rPr>
                <w:rFonts w:ascii="Times New Roman" w:hAnsi="Times New Roman" w:cs="Times New Roman"/>
                <w:sz w:val="20"/>
                <w:szCs w:val="20"/>
              </w:rPr>
            </w:pPr>
          </w:p>
        </w:tc>
        <w:tc>
          <w:tcPr>
            <w:tcW w:w="1178" w:type="dxa"/>
          </w:tcPr>
          <w:p w14:paraId="6DF04525" w14:textId="77777777" w:rsidR="00352764" w:rsidRDefault="00740504">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(bi&lt;1)</w:t>
            </w:r>
          </w:p>
        </w:tc>
        <w:tc>
          <w:tcPr>
            <w:tcW w:w="1275" w:type="dxa"/>
          </w:tcPr>
          <w:p w14:paraId="359993A7" w14:textId="77777777" w:rsidR="00352764" w:rsidRDefault="00740504">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(bi&gt;1)</w:t>
            </w:r>
          </w:p>
        </w:tc>
        <w:tc>
          <w:tcPr>
            <w:tcW w:w="2534" w:type="dxa"/>
            <w:vMerge/>
          </w:tcPr>
          <w:p w14:paraId="5FC24735" w14:textId="77777777" w:rsidR="00352764" w:rsidRDefault="00352764">
            <w:pPr>
              <w:spacing w:line="360" w:lineRule="auto"/>
              <w:jc w:val="both"/>
              <w:rPr>
                <w:rFonts w:ascii="Times New Roman" w:hAnsi="Times New Roman" w:cs="Times New Roman"/>
                <w:sz w:val="20"/>
                <w:szCs w:val="20"/>
              </w:rPr>
            </w:pPr>
          </w:p>
        </w:tc>
        <w:tc>
          <w:tcPr>
            <w:tcW w:w="2367" w:type="dxa"/>
            <w:vMerge/>
          </w:tcPr>
          <w:p w14:paraId="3B32986B" w14:textId="77777777" w:rsidR="00352764" w:rsidRDefault="00352764">
            <w:pPr>
              <w:spacing w:line="360" w:lineRule="auto"/>
              <w:jc w:val="both"/>
              <w:rPr>
                <w:rFonts w:ascii="Times New Roman" w:hAnsi="Times New Roman" w:cs="Times New Roman"/>
                <w:sz w:val="20"/>
                <w:szCs w:val="20"/>
              </w:rPr>
            </w:pPr>
          </w:p>
        </w:tc>
      </w:tr>
      <w:tr w:rsidR="00352764" w14:paraId="4F9A2631" w14:textId="77777777">
        <w:trPr>
          <w:trHeight w:val="530"/>
        </w:trPr>
        <w:tc>
          <w:tcPr>
            <w:tcW w:w="1555" w:type="dxa"/>
          </w:tcPr>
          <w:p w14:paraId="77CAF053" w14:textId="77777777"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Days to 50 % flowering</w:t>
            </w:r>
          </w:p>
        </w:tc>
        <w:tc>
          <w:tcPr>
            <w:tcW w:w="5219" w:type="dxa"/>
          </w:tcPr>
          <w:p w14:paraId="3F72A05B"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78" w:type="dxa"/>
          </w:tcPr>
          <w:p w14:paraId="2B7E94CF"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14:paraId="321F8332"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901" w:type="dxa"/>
            <w:gridSpan w:val="2"/>
          </w:tcPr>
          <w:p w14:paraId="7DF8DF44"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All genotypes</w:t>
            </w:r>
          </w:p>
        </w:tc>
      </w:tr>
      <w:tr w:rsidR="00352764" w14:paraId="5310E454" w14:textId="77777777">
        <w:trPr>
          <w:trHeight w:val="696"/>
        </w:trPr>
        <w:tc>
          <w:tcPr>
            <w:tcW w:w="1555" w:type="dxa"/>
          </w:tcPr>
          <w:p w14:paraId="67B8149E" w14:textId="77777777"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Days to maturity</w:t>
            </w:r>
          </w:p>
        </w:tc>
        <w:tc>
          <w:tcPr>
            <w:tcW w:w="5219" w:type="dxa"/>
          </w:tcPr>
          <w:p w14:paraId="1BFBE40B"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KM2195, KM2435, NM13-5, NM13-9, NM1705, PDM139, SML1839 and SML2015</w:t>
            </w:r>
          </w:p>
        </w:tc>
        <w:tc>
          <w:tcPr>
            <w:tcW w:w="1178" w:type="dxa"/>
          </w:tcPr>
          <w:p w14:paraId="29682A07"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KM2439</w:t>
            </w:r>
          </w:p>
          <w:p w14:paraId="1C211295"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PUSA2071</w:t>
            </w:r>
          </w:p>
          <w:p w14:paraId="3BD28EE8"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KM2431</w:t>
            </w:r>
          </w:p>
        </w:tc>
        <w:tc>
          <w:tcPr>
            <w:tcW w:w="1275" w:type="dxa"/>
          </w:tcPr>
          <w:p w14:paraId="17C13DA4"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KM2443</w:t>
            </w:r>
          </w:p>
        </w:tc>
        <w:tc>
          <w:tcPr>
            <w:tcW w:w="4901" w:type="dxa"/>
            <w:gridSpan w:val="2"/>
          </w:tcPr>
          <w:p w14:paraId="6B666A82"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HUM230, IPM1802, IPM1902, IPM2-3, IPM604, KM2419, KM2428, KM2432, KM2438, KM2439, KM2449, KM2452, NM1903, PM1603 and PM1609</w:t>
            </w:r>
          </w:p>
        </w:tc>
      </w:tr>
      <w:tr w:rsidR="00352764" w14:paraId="5863B43E" w14:textId="77777777">
        <w:trPr>
          <w:trHeight w:val="952"/>
        </w:trPr>
        <w:tc>
          <w:tcPr>
            <w:tcW w:w="1555" w:type="dxa"/>
          </w:tcPr>
          <w:p w14:paraId="4A1441F5" w14:textId="77777777"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Plant Height</w:t>
            </w:r>
          </w:p>
        </w:tc>
        <w:tc>
          <w:tcPr>
            <w:tcW w:w="5219" w:type="dxa"/>
          </w:tcPr>
          <w:p w14:paraId="06332CDF"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IPM1902, IPM208, IPM604, KM2195, KM2364, KM2428, KM2448, KM2449, KM2450, KM2452, NM13-9, NM1705, PM1603, SML1723, SML1839 and SML2015</w:t>
            </w:r>
          </w:p>
        </w:tc>
        <w:tc>
          <w:tcPr>
            <w:tcW w:w="1178" w:type="dxa"/>
          </w:tcPr>
          <w:p w14:paraId="744D2AD2"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PUSA2071, PUSA2072</w:t>
            </w:r>
          </w:p>
        </w:tc>
        <w:tc>
          <w:tcPr>
            <w:tcW w:w="1275" w:type="dxa"/>
          </w:tcPr>
          <w:p w14:paraId="4F70A2E3"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901" w:type="dxa"/>
            <w:gridSpan w:val="2"/>
          </w:tcPr>
          <w:p w14:paraId="2F25CE2F"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IPM2-3, IPM325, KM2429, KM2431, NM1903, PDM11 and PM1609</w:t>
            </w:r>
          </w:p>
        </w:tc>
      </w:tr>
      <w:tr w:rsidR="00352764" w14:paraId="1EC99B5A" w14:textId="77777777">
        <w:trPr>
          <w:trHeight w:val="702"/>
        </w:trPr>
        <w:tc>
          <w:tcPr>
            <w:tcW w:w="1555" w:type="dxa"/>
          </w:tcPr>
          <w:p w14:paraId="0406A032" w14:textId="77777777"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Number of primary branches per plant</w:t>
            </w:r>
          </w:p>
        </w:tc>
        <w:tc>
          <w:tcPr>
            <w:tcW w:w="5219" w:type="dxa"/>
          </w:tcPr>
          <w:p w14:paraId="0D3C4056"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HUM230, IPM1802, IPM1803, KM2195, KM2431, KM2439, KM2443, KM2450, NM13-5, NM1705, NM1903, PDM139, PM1609 and SML1723</w:t>
            </w:r>
          </w:p>
        </w:tc>
        <w:tc>
          <w:tcPr>
            <w:tcW w:w="1178" w:type="dxa"/>
          </w:tcPr>
          <w:p w14:paraId="5B7CD01F"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14:paraId="5E492DE5"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901" w:type="dxa"/>
            <w:gridSpan w:val="2"/>
          </w:tcPr>
          <w:p w14:paraId="387294F7"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IPM1902, IPM2-3, IPM208, IPM604, KM2429, KM2449, KM2452, NM13-9 and PUSA2072</w:t>
            </w:r>
          </w:p>
        </w:tc>
      </w:tr>
      <w:tr w:rsidR="00352764" w14:paraId="61EA22AF" w14:textId="77777777">
        <w:trPr>
          <w:trHeight w:val="1496"/>
        </w:trPr>
        <w:tc>
          <w:tcPr>
            <w:tcW w:w="1555" w:type="dxa"/>
          </w:tcPr>
          <w:p w14:paraId="37599A72" w14:textId="77777777"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Number of pod clusters per plant</w:t>
            </w:r>
          </w:p>
        </w:tc>
        <w:tc>
          <w:tcPr>
            <w:tcW w:w="5219" w:type="dxa"/>
          </w:tcPr>
          <w:p w14:paraId="0386DD96"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HUM230, IPM1802, IPM1803, IPM1902, IPM2-3, IPM208, IPM604, KM2195, KM2429, KM2436, KM2438, KM2443, KM2452, NM13-5, NM1705, NM1903, PDM11, PDM139, PM1603, PM1609, SML1839 and SML2016</w:t>
            </w:r>
          </w:p>
        </w:tc>
        <w:tc>
          <w:tcPr>
            <w:tcW w:w="1178" w:type="dxa"/>
          </w:tcPr>
          <w:p w14:paraId="67EF729F"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14:paraId="680D2144"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SML1723</w:t>
            </w:r>
          </w:p>
        </w:tc>
        <w:tc>
          <w:tcPr>
            <w:tcW w:w="4901" w:type="dxa"/>
            <w:gridSpan w:val="2"/>
          </w:tcPr>
          <w:p w14:paraId="5AC20FEF"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KM2428, KM2448 and PUSA2071</w:t>
            </w:r>
          </w:p>
        </w:tc>
      </w:tr>
      <w:tr w:rsidR="00352764" w14:paraId="0B901804" w14:textId="77777777">
        <w:trPr>
          <w:trHeight w:val="368"/>
        </w:trPr>
        <w:tc>
          <w:tcPr>
            <w:tcW w:w="1555" w:type="dxa"/>
          </w:tcPr>
          <w:p w14:paraId="6E416BC3" w14:textId="77777777"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Number of </w:t>
            </w:r>
            <w:r>
              <w:rPr>
                <w:rFonts w:ascii="Times New Roman" w:hAnsi="Times New Roman" w:cs="Times New Roman"/>
                <w:b/>
                <w:bCs/>
                <w:sz w:val="20"/>
                <w:szCs w:val="20"/>
              </w:rPr>
              <w:lastRenderedPageBreak/>
              <w:t>pods per plant</w:t>
            </w:r>
          </w:p>
        </w:tc>
        <w:tc>
          <w:tcPr>
            <w:tcW w:w="5219" w:type="dxa"/>
          </w:tcPr>
          <w:p w14:paraId="5ED01006"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IPM1802, IPM2-3, KM2419, KM2429, KM2436, KM2438, KM2448, KM2452, NM13-5, NM13-9, NM1705, NM1903, </w:t>
            </w:r>
            <w:r>
              <w:rPr>
                <w:rFonts w:ascii="Times New Roman" w:hAnsi="Times New Roman" w:cs="Times New Roman"/>
                <w:sz w:val="20"/>
                <w:szCs w:val="20"/>
              </w:rPr>
              <w:lastRenderedPageBreak/>
              <w:t>PDM139, PM1603, PM1609, SML1723 and SML2015</w:t>
            </w:r>
          </w:p>
        </w:tc>
        <w:tc>
          <w:tcPr>
            <w:tcW w:w="1178" w:type="dxa"/>
          </w:tcPr>
          <w:p w14:paraId="6F039D81"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IPM1803 and </w:t>
            </w:r>
            <w:r>
              <w:rPr>
                <w:rFonts w:ascii="Times New Roman" w:hAnsi="Times New Roman" w:cs="Times New Roman"/>
                <w:sz w:val="20"/>
                <w:szCs w:val="20"/>
              </w:rPr>
              <w:lastRenderedPageBreak/>
              <w:t>KM2431</w:t>
            </w:r>
          </w:p>
        </w:tc>
        <w:tc>
          <w:tcPr>
            <w:tcW w:w="1275" w:type="dxa"/>
          </w:tcPr>
          <w:p w14:paraId="78BE4A35"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4901" w:type="dxa"/>
            <w:gridSpan w:val="2"/>
          </w:tcPr>
          <w:p w14:paraId="3731C645"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IPM208, KM2195, KM2428, KM2435, KM2439 and </w:t>
            </w:r>
            <w:r>
              <w:rPr>
                <w:rFonts w:ascii="Times New Roman" w:hAnsi="Times New Roman" w:cs="Times New Roman"/>
                <w:sz w:val="20"/>
                <w:szCs w:val="20"/>
              </w:rPr>
              <w:lastRenderedPageBreak/>
              <w:t>SML2016</w:t>
            </w:r>
          </w:p>
        </w:tc>
      </w:tr>
      <w:tr w:rsidR="00352764" w14:paraId="19157EB2" w14:textId="77777777">
        <w:trPr>
          <w:trHeight w:val="841"/>
        </w:trPr>
        <w:tc>
          <w:tcPr>
            <w:tcW w:w="1555" w:type="dxa"/>
          </w:tcPr>
          <w:p w14:paraId="31F607DA" w14:textId="77777777"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Pod length</w:t>
            </w:r>
          </w:p>
        </w:tc>
        <w:tc>
          <w:tcPr>
            <w:tcW w:w="5219" w:type="dxa"/>
          </w:tcPr>
          <w:p w14:paraId="46980B17"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color w:val="000000"/>
                <w:sz w:val="20"/>
                <w:szCs w:val="20"/>
              </w:rPr>
              <w:t>HUM230</w:t>
            </w:r>
            <w:r>
              <w:rPr>
                <w:rFonts w:ascii="Times New Roman" w:hAnsi="Times New Roman" w:cs="Times New Roman"/>
                <w:sz w:val="20"/>
                <w:szCs w:val="20"/>
              </w:rPr>
              <w:t xml:space="preserve">, </w:t>
            </w:r>
            <w:r>
              <w:rPr>
                <w:rFonts w:ascii="Times New Roman" w:hAnsi="Times New Roman" w:cs="Times New Roman"/>
                <w:color w:val="000000"/>
                <w:sz w:val="20"/>
                <w:szCs w:val="20"/>
              </w:rPr>
              <w:t>IPM1802</w:t>
            </w:r>
            <w:r>
              <w:rPr>
                <w:rFonts w:ascii="Times New Roman" w:hAnsi="Times New Roman" w:cs="Times New Roman"/>
                <w:sz w:val="20"/>
                <w:szCs w:val="20"/>
              </w:rPr>
              <w:t xml:space="preserve">, </w:t>
            </w:r>
            <w:r>
              <w:rPr>
                <w:rFonts w:ascii="Times New Roman" w:hAnsi="Times New Roman" w:cs="Times New Roman"/>
                <w:color w:val="000000"/>
                <w:sz w:val="20"/>
                <w:szCs w:val="20"/>
              </w:rPr>
              <w:t>KM2195</w:t>
            </w:r>
            <w:r>
              <w:rPr>
                <w:rFonts w:ascii="Times New Roman" w:hAnsi="Times New Roman" w:cs="Times New Roman"/>
                <w:sz w:val="20"/>
                <w:szCs w:val="20"/>
              </w:rPr>
              <w:t xml:space="preserve">, </w:t>
            </w:r>
            <w:r>
              <w:rPr>
                <w:rFonts w:ascii="Times New Roman" w:hAnsi="Times New Roman" w:cs="Times New Roman"/>
                <w:color w:val="000000"/>
                <w:sz w:val="20"/>
                <w:szCs w:val="20"/>
              </w:rPr>
              <w:t>KM2435</w:t>
            </w:r>
            <w:r>
              <w:rPr>
                <w:rFonts w:ascii="Times New Roman" w:hAnsi="Times New Roman" w:cs="Times New Roman"/>
                <w:sz w:val="20"/>
                <w:szCs w:val="20"/>
              </w:rPr>
              <w:t xml:space="preserve">, </w:t>
            </w:r>
            <w:r>
              <w:rPr>
                <w:rFonts w:ascii="Times New Roman" w:hAnsi="Times New Roman" w:cs="Times New Roman"/>
                <w:color w:val="000000"/>
                <w:sz w:val="20"/>
                <w:szCs w:val="20"/>
              </w:rPr>
              <w:t>KM2436</w:t>
            </w:r>
            <w:r>
              <w:rPr>
                <w:rFonts w:ascii="Times New Roman" w:hAnsi="Times New Roman" w:cs="Times New Roman"/>
                <w:sz w:val="20"/>
                <w:szCs w:val="20"/>
              </w:rPr>
              <w:t xml:space="preserve">, </w:t>
            </w:r>
            <w:r>
              <w:rPr>
                <w:rFonts w:ascii="Times New Roman" w:hAnsi="Times New Roman" w:cs="Times New Roman"/>
                <w:color w:val="000000"/>
                <w:sz w:val="20"/>
                <w:szCs w:val="20"/>
              </w:rPr>
              <w:t>KM2443</w:t>
            </w:r>
            <w:r>
              <w:rPr>
                <w:rFonts w:ascii="Times New Roman" w:hAnsi="Times New Roman" w:cs="Times New Roman"/>
                <w:sz w:val="20"/>
                <w:szCs w:val="20"/>
              </w:rPr>
              <w:t xml:space="preserve">, </w:t>
            </w:r>
            <w:r>
              <w:rPr>
                <w:rFonts w:ascii="Times New Roman" w:hAnsi="Times New Roman" w:cs="Times New Roman"/>
                <w:color w:val="000000"/>
                <w:sz w:val="20"/>
                <w:szCs w:val="20"/>
              </w:rPr>
              <w:t>KM2450</w:t>
            </w:r>
            <w:r>
              <w:rPr>
                <w:rFonts w:ascii="Times New Roman" w:hAnsi="Times New Roman" w:cs="Times New Roman"/>
                <w:sz w:val="20"/>
                <w:szCs w:val="20"/>
              </w:rPr>
              <w:t xml:space="preserve">, </w:t>
            </w:r>
            <w:r>
              <w:rPr>
                <w:rFonts w:ascii="Times New Roman" w:hAnsi="Times New Roman" w:cs="Times New Roman"/>
                <w:color w:val="000000"/>
                <w:sz w:val="20"/>
                <w:szCs w:val="20"/>
              </w:rPr>
              <w:t>NM1705</w:t>
            </w:r>
            <w:r>
              <w:rPr>
                <w:rFonts w:ascii="Times New Roman" w:hAnsi="Times New Roman" w:cs="Times New Roman"/>
                <w:sz w:val="20"/>
                <w:szCs w:val="20"/>
              </w:rPr>
              <w:t xml:space="preserve">, </w:t>
            </w:r>
            <w:r>
              <w:rPr>
                <w:rFonts w:ascii="Times New Roman" w:hAnsi="Times New Roman" w:cs="Times New Roman"/>
                <w:color w:val="000000"/>
                <w:sz w:val="20"/>
                <w:szCs w:val="20"/>
              </w:rPr>
              <w:t>NM1903</w:t>
            </w:r>
            <w:r>
              <w:rPr>
                <w:rFonts w:ascii="Times New Roman" w:hAnsi="Times New Roman" w:cs="Times New Roman"/>
                <w:sz w:val="20"/>
                <w:szCs w:val="20"/>
              </w:rPr>
              <w:t xml:space="preserve">, </w:t>
            </w:r>
            <w:r>
              <w:rPr>
                <w:rFonts w:ascii="Times New Roman" w:hAnsi="Times New Roman" w:cs="Times New Roman"/>
                <w:color w:val="000000"/>
                <w:sz w:val="20"/>
                <w:szCs w:val="20"/>
              </w:rPr>
              <w:t>SML1723</w:t>
            </w:r>
            <w:r>
              <w:rPr>
                <w:rFonts w:ascii="Times New Roman" w:hAnsi="Times New Roman" w:cs="Times New Roman"/>
                <w:sz w:val="20"/>
                <w:szCs w:val="20"/>
              </w:rPr>
              <w:t xml:space="preserve"> and </w:t>
            </w:r>
            <w:r>
              <w:rPr>
                <w:rFonts w:ascii="Times New Roman" w:hAnsi="Times New Roman" w:cs="Times New Roman"/>
                <w:color w:val="000000"/>
                <w:sz w:val="20"/>
                <w:szCs w:val="20"/>
              </w:rPr>
              <w:t>SML2016</w:t>
            </w:r>
          </w:p>
        </w:tc>
        <w:tc>
          <w:tcPr>
            <w:tcW w:w="1178" w:type="dxa"/>
          </w:tcPr>
          <w:p w14:paraId="51EE437A"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PDM11</w:t>
            </w:r>
          </w:p>
        </w:tc>
        <w:tc>
          <w:tcPr>
            <w:tcW w:w="1275" w:type="dxa"/>
          </w:tcPr>
          <w:p w14:paraId="3C9F7C28"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901" w:type="dxa"/>
            <w:gridSpan w:val="2"/>
          </w:tcPr>
          <w:p w14:paraId="4D6AE665"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IPM1803, IPM208, KM2364, KM2428, KM2430, KM2432, KM2438, KM2439, NM13-9, PUSA2071 and SML1839</w:t>
            </w:r>
          </w:p>
        </w:tc>
      </w:tr>
      <w:tr w:rsidR="00352764" w14:paraId="01557720" w14:textId="77777777">
        <w:trPr>
          <w:trHeight w:val="1366"/>
        </w:trPr>
        <w:tc>
          <w:tcPr>
            <w:tcW w:w="1555" w:type="dxa"/>
          </w:tcPr>
          <w:p w14:paraId="68AA2982" w14:textId="77777777"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Number of seeds per pod</w:t>
            </w:r>
          </w:p>
        </w:tc>
        <w:tc>
          <w:tcPr>
            <w:tcW w:w="5219" w:type="dxa"/>
          </w:tcPr>
          <w:p w14:paraId="63075EEE"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HUM230, IPM1802, IPM1803, IPM1902, IPM208, KM2428, KM2429, KM2432, KM2433, KM2435, KM2436, KM2438, KM2443, KM2450, NM13-5, NM1705, PM1603, PM1609, SML1723, SML1839 and SML2016</w:t>
            </w:r>
          </w:p>
        </w:tc>
        <w:tc>
          <w:tcPr>
            <w:tcW w:w="1178" w:type="dxa"/>
          </w:tcPr>
          <w:p w14:paraId="2CD1B039"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14:paraId="0362336F"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NM1903 and PDM139</w:t>
            </w:r>
          </w:p>
        </w:tc>
        <w:tc>
          <w:tcPr>
            <w:tcW w:w="4901" w:type="dxa"/>
            <w:gridSpan w:val="2"/>
          </w:tcPr>
          <w:p w14:paraId="695BC9B1"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KM2195 and PDM11</w:t>
            </w:r>
          </w:p>
        </w:tc>
      </w:tr>
      <w:tr w:rsidR="00352764" w14:paraId="3561A6BF" w14:textId="77777777">
        <w:trPr>
          <w:trHeight w:val="368"/>
        </w:trPr>
        <w:tc>
          <w:tcPr>
            <w:tcW w:w="1555" w:type="dxa"/>
          </w:tcPr>
          <w:p w14:paraId="46C7C8B6" w14:textId="77777777"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100 seed weight</w:t>
            </w:r>
          </w:p>
        </w:tc>
        <w:tc>
          <w:tcPr>
            <w:tcW w:w="5219" w:type="dxa"/>
          </w:tcPr>
          <w:p w14:paraId="796BCFE6"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HUM230, IPM1802, IPM1902, IPM2-3, IPM208, IPM325, KM2195, KM2439, KM2443, KM2450, NM13-5, PDM139, PM1603, PUSA2071, PUSA2072, SML1723, SML1839 and SML2015</w:t>
            </w:r>
          </w:p>
        </w:tc>
        <w:tc>
          <w:tcPr>
            <w:tcW w:w="1178" w:type="dxa"/>
          </w:tcPr>
          <w:p w14:paraId="3813916F"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14:paraId="61BF11EF"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901" w:type="dxa"/>
            <w:gridSpan w:val="2"/>
          </w:tcPr>
          <w:p w14:paraId="7A1FEA04"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IPM604, KM2431, KM2435, KM2438, NM13-9, NM1705, NM1903 and SML2016</w:t>
            </w:r>
          </w:p>
        </w:tc>
      </w:tr>
      <w:tr w:rsidR="00352764" w14:paraId="54601FB7" w14:textId="77777777">
        <w:trPr>
          <w:trHeight w:val="644"/>
        </w:trPr>
        <w:tc>
          <w:tcPr>
            <w:tcW w:w="1555" w:type="dxa"/>
          </w:tcPr>
          <w:p w14:paraId="7E46BAA2" w14:textId="77777777"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Biological yield per plant</w:t>
            </w:r>
          </w:p>
        </w:tc>
        <w:tc>
          <w:tcPr>
            <w:tcW w:w="5219" w:type="dxa"/>
          </w:tcPr>
          <w:p w14:paraId="7A72E377"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IPM325, KM2195, KM2431, KM2438, NM13-5, NM1705, PDM11, PM1609, PUSA2071 and SML1839</w:t>
            </w:r>
          </w:p>
        </w:tc>
        <w:tc>
          <w:tcPr>
            <w:tcW w:w="1178" w:type="dxa"/>
          </w:tcPr>
          <w:p w14:paraId="248D4DEF"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IPM604</w:t>
            </w:r>
          </w:p>
        </w:tc>
        <w:tc>
          <w:tcPr>
            <w:tcW w:w="1275" w:type="dxa"/>
          </w:tcPr>
          <w:p w14:paraId="5BF38D7C"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IPM2-3</w:t>
            </w:r>
          </w:p>
        </w:tc>
        <w:tc>
          <w:tcPr>
            <w:tcW w:w="4901" w:type="dxa"/>
            <w:gridSpan w:val="2"/>
          </w:tcPr>
          <w:p w14:paraId="2987A8B6"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HUM230, IPM1802, IPM208, KM2429, KM2436, KM2448, KM2449, KM2452, NM13-9, PM1603 and SML1723</w:t>
            </w:r>
          </w:p>
        </w:tc>
      </w:tr>
      <w:tr w:rsidR="00352764" w14:paraId="250C6E2F" w14:textId="77777777">
        <w:trPr>
          <w:trHeight w:val="730"/>
        </w:trPr>
        <w:tc>
          <w:tcPr>
            <w:tcW w:w="1555" w:type="dxa"/>
          </w:tcPr>
          <w:p w14:paraId="06AD81E8" w14:textId="77777777"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Harvest index</w:t>
            </w:r>
          </w:p>
        </w:tc>
        <w:tc>
          <w:tcPr>
            <w:tcW w:w="5219" w:type="dxa"/>
          </w:tcPr>
          <w:p w14:paraId="495D4D44"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IPM1902, IPM2-3, KM2429, KM2430, KM2439, KM2450, NM13-5, NM1903, PUSA2072, SML1839, SML2015 and SML2016</w:t>
            </w:r>
          </w:p>
        </w:tc>
        <w:tc>
          <w:tcPr>
            <w:tcW w:w="1178" w:type="dxa"/>
          </w:tcPr>
          <w:p w14:paraId="1B69F515"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KM2433 and NM1705</w:t>
            </w:r>
          </w:p>
        </w:tc>
        <w:tc>
          <w:tcPr>
            <w:tcW w:w="1275" w:type="dxa"/>
          </w:tcPr>
          <w:p w14:paraId="4AEBF621"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IPM1802</w:t>
            </w:r>
          </w:p>
        </w:tc>
        <w:tc>
          <w:tcPr>
            <w:tcW w:w="4901" w:type="dxa"/>
            <w:gridSpan w:val="2"/>
          </w:tcPr>
          <w:p w14:paraId="594E1F1D"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IPM208, KM2195, KM2432, KM2435, KM2438, KM2452 and PM1609</w:t>
            </w:r>
          </w:p>
        </w:tc>
      </w:tr>
      <w:tr w:rsidR="00352764" w14:paraId="3C806FCB" w14:textId="77777777">
        <w:trPr>
          <w:trHeight w:val="368"/>
        </w:trPr>
        <w:tc>
          <w:tcPr>
            <w:tcW w:w="1555" w:type="dxa"/>
          </w:tcPr>
          <w:p w14:paraId="68EBC1F6" w14:textId="77777777"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Seed yield per plant</w:t>
            </w:r>
          </w:p>
        </w:tc>
        <w:tc>
          <w:tcPr>
            <w:tcW w:w="5219" w:type="dxa"/>
          </w:tcPr>
          <w:p w14:paraId="377CDFBF"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IPM1802, IPM1902, IPM208, KM2430, KM2432, KM2450, NM13-5, NM1705, NM1903, PUSA2072, SML1723, SML1839 and SML2015</w:t>
            </w:r>
          </w:p>
        </w:tc>
        <w:tc>
          <w:tcPr>
            <w:tcW w:w="1178" w:type="dxa"/>
          </w:tcPr>
          <w:p w14:paraId="4CA07302"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KM2433</w:t>
            </w:r>
          </w:p>
        </w:tc>
        <w:tc>
          <w:tcPr>
            <w:tcW w:w="1275" w:type="dxa"/>
          </w:tcPr>
          <w:p w14:paraId="4268FEA6"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KM2449</w:t>
            </w:r>
          </w:p>
        </w:tc>
        <w:tc>
          <w:tcPr>
            <w:tcW w:w="4901" w:type="dxa"/>
            <w:gridSpan w:val="2"/>
          </w:tcPr>
          <w:p w14:paraId="50FE07DC"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HUM230, IPM1803, IPM2-3, IPM604, KM2195, KM2364, KM2419, KM2429, KM2436, KM2438, KM2439, NM13-9, PDM11, PM1609, PUSA2071 and SML2016</w:t>
            </w:r>
          </w:p>
        </w:tc>
      </w:tr>
      <w:tr w:rsidR="00352764" w14:paraId="13A02E86" w14:textId="77777777">
        <w:trPr>
          <w:trHeight w:val="368"/>
        </w:trPr>
        <w:tc>
          <w:tcPr>
            <w:tcW w:w="1555" w:type="dxa"/>
          </w:tcPr>
          <w:p w14:paraId="264D95AA" w14:textId="77777777"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Protein content</w:t>
            </w:r>
          </w:p>
        </w:tc>
        <w:tc>
          <w:tcPr>
            <w:tcW w:w="5219" w:type="dxa"/>
          </w:tcPr>
          <w:p w14:paraId="09736936"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IPM208, KM2195, KM2429, KM2432, KM2448, NM13-5, NM1705, NM1903, PM1603, PUSA2071, PUSA2072, SML1723, SML1839 and SML2015</w:t>
            </w:r>
          </w:p>
        </w:tc>
        <w:tc>
          <w:tcPr>
            <w:tcW w:w="1178" w:type="dxa"/>
          </w:tcPr>
          <w:p w14:paraId="2B97F6EA"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IPM1802 and KM2452</w:t>
            </w:r>
          </w:p>
        </w:tc>
        <w:tc>
          <w:tcPr>
            <w:tcW w:w="1275" w:type="dxa"/>
          </w:tcPr>
          <w:p w14:paraId="7FE82E9E"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KM2431, KM2450, PDM11 and PM1609</w:t>
            </w:r>
          </w:p>
        </w:tc>
        <w:tc>
          <w:tcPr>
            <w:tcW w:w="4901" w:type="dxa"/>
            <w:gridSpan w:val="2"/>
          </w:tcPr>
          <w:p w14:paraId="09516BC6" w14:textId="77777777"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IPM325 and KM2438</w:t>
            </w:r>
          </w:p>
        </w:tc>
      </w:tr>
    </w:tbl>
    <w:p w14:paraId="032588E0" w14:textId="77777777" w:rsidR="00352764" w:rsidRDefault="00352764">
      <w:pPr>
        <w:jc w:val="both"/>
        <w:rPr>
          <w:rFonts w:ascii="Times New Roman" w:hAnsi="Times New Roman" w:cs="Times New Roman"/>
          <w:b/>
          <w:bCs/>
          <w:sz w:val="28"/>
          <w:szCs w:val="28"/>
        </w:rPr>
      </w:pPr>
    </w:p>
    <w:sectPr w:rsidR="0035276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C407" w14:textId="77777777" w:rsidR="009231C5" w:rsidRDefault="009231C5" w:rsidP="00165A68">
      <w:pPr>
        <w:spacing w:after="0" w:line="240" w:lineRule="auto"/>
      </w:pPr>
      <w:r>
        <w:separator/>
      </w:r>
    </w:p>
  </w:endnote>
  <w:endnote w:type="continuationSeparator" w:id="0">
    <w:p w14:paraId="7240BF9E" w14:textId="77777777" w:rsidR="009231C5" w:rsidRDefault="009231C5" w:rsidP="00165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84E6" w14:textId="77777777" w:rsidR="00165A68" w:rsidRDefault="00165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B383" w14:textId="77777777" w:rsidR="00165A68" w:rsidRDefault="00165A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DA7C" w14:textId="77777777" w:rsidR="00165A68" w:rsidRDefault="00165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4AE8F" w14:textId="77777777" w:rsidR="009231C5" w:rsidRDefault="009231C5" w:rsidP="00165A68">
      <w:pPr>
        <w:spacing w:after="0" w:line="240" w:lineRule="auto"/>
      </w:pPr>
      <w:r>
        <w:separator/>
      </w:r>
    </w:p>
  </w:footnote>
  <w:footnote w:type="continuationSeparator" w:id="0">
    <w:p w14:paraId="4E60B4C4" w14:textId="77777777" w:rsidR="009231C5" w:rsidRDefault="009231C5" w:rsidP="00165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98D3" w14:textId="77777777" w:rsidR="00165A68" w:rsidRDefault="00000000">
    <w:pPr>
      <w:pStyle w:val="Header"/>
    </w:pPr>
    <w:r>
      <w:rPr>
        <w:noProof/>
      </w:rPr>
      <w:pict w14:anchorId="3A41C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310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1DB3" w14:textId="77777777" w:rsidR="00165A68" w:rsidRDefault="00000000">
    <w:pPr>
      <w:pStyle w:val="Header"/>
    </w:pPr>
    <w:r>
      <w:rPr>
        <w:noProof/>
      </w:rPr>
      <w:pict w14:anchorId="08072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310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BAA2" w14:textId="77777777" w:rsidR="00165A68" w:rsidRDefault="00000000">
    <w:pPr>
      <w:pStyle w:val="Header"/>
    </w:pPr>
    <w:r>
      <w:rPr>
        <w:noProof/>
      </w:rPr>
      <w:pict w14:anchorId="15B34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310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wMzIzMDUzNDGyNDdV0lEKTi0uzszPAykwqgUAL7qvNywAAAA="/>
  </w:docVars>
  <w:rsids>
    <w:rsidRoot w:val="00352764"/>
    <w:rsid w:val="00165A68"/>
    <w:rsid w:val="001E6CCA"/>
    <w:rsid w:val="00205057"/>
    <w:rsid w:val="00352764"/>
    <w:rsid w:val="004B3E7E"/>
    <w:rsid w:val="005E68F4"/>
    <w:rsid w:val="00640B27"/>
    <w:rsid w:val="00740504"/>
    <w:rsid w:val="00766136"/>
    <w:rsid w:val="00812C2A"/>
    <w:rsid w:val="00824333"/>
    <w:rsid w:val="008C48C6"/>
    <w:rsid w:val="009231C5"/>
    <w:rsid w:val="00950342"/>
    <w:rsid w:val="00AE6579"/>
    <w:rsid w:val="00B62BD6"/>
    <w:rsid w:val="00C13D98"/>
    <w:rsid w:val="00C469D2"/>
    <w:rsid w:val="00D15ED8"/>
    <w:rsid w:val="00DD6FE4"/>
    <w:rsid w:val="00EA49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B3817"/>
  <w15:docId w15:val="{64F02E9D-3059-4183-B75C-C99BCECE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SimSun"/>
    </w:rPr>
  </w:style>
  <w:style w:type="paragraph" w:styleId="Heading1">
    <w:name w:val="heading 1"/>
    <w:basedOn w:val="Normal"/>
    <w:next w:val="Normal"/>
    <w:link w:val="Heading1Char"/>
    <w:uiPriority w:val="9"/>
    <w:qFormat/>
    <w:pPr>
      <w:keepNext/>
      <w:keepLines/>
      <w:spacing w:before="480" w:after="0"/>
      <w:outlineLvl w:val="0"/>
    </w:pPr>
    <w:rPr>
      <w:rFonts w:ascii="Calibri Light" w:hAnsi="Calibri Light"/>
      <w:b/>
      <w:bCs/>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Mangal"/>
      <w:b/>
      <w:bCs/>
      <w:color w:val="2F5496"/>
      <w:sz w:val="28"/>
      <w:szCs w:val="28"/>
    </w:rPr>
  </w:style>
  <w:style w:type="paragraph" w:styleId="NoSpacing">
    <w:name w:val="No Spacing"/>
    <w:uiPriority w:val="1"/>
    <w:qFormat/>
    <w:pPr>
      <w:spacing w:after="0" w:line="240" w:lineRule="auto"/>
    </w:pPr>
    <w:rPr>
      <w:rFonts w:eastAsia="SimSun"/>
    </w:rPr>
  </w:style>
  <w:style w:type="paragraph" w:styleId="ListParagraph">
    <w:name w:val="List Paragraph"/>
    <w:basedOn w:val="Normal"/>
    <w:uiPriority w:val="34"/>
    <w:qFormat/>
    <w:pPr>
      <w:ind w:left="720"/>
      <w:contextualSpacing/>
    </w:pPr>
  </w:style>
  <w:style w:type="paragraph" w:styleId="Title">
    <w:name w:val="Title"/>
    <w:basedOn w:val="Normal"/>
    <w:link w:val="TitleChar"/>
    <w:uiPriority w:val="10"/>
    <w:qFormat/>
    <w:pPr>
      <w:widowControl w:val="0"/>
      <w:autoSpaceDE w:val="0"/>
      <w:autoSpaceDN w:val="0"/>
      <w:spacing w:after="0" w:line="240" w:lineRule="auto"/>
      <w:ind w:left="2"/>
    </w:pPr>
    <w:rPr>
      <w:rFonts w:ascii="Times New Roman" w:eastAsia="Times New Roman" w:hAnsi="Times New Roman" w:cs="Times New Roman"/>
      <w:b/>
      <w:bCs/>
      <w:sz w:val="36"/>
      <w:szCs w:val="36"/>
    </w:rPr>
  </w:style>
  <w:style w:type="character" w:customStyle="1" w:styleId="TitleChar">
    <w:name w:val="Title Char"/>
    <w:basedOn w:val="DefaultParagraphFont"/>
    <w:link w:val="Title"/>
    <w:uiPriority w:val="10"/>
    <w:rPr>
      <w:rFonts w:ascii="Times New Roman" w:eastAsia="Times New Roman" w:hAnsi="Times New Roman" w:cs="Times New Roman"/>
      <w:b/>
      <w:bCs/>
      <w:sz w:val="36"/>
      <w:szCs w:val="3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rPr>
  </w:style>
  <w:style w:type="table" w:styleId="TableGrid">
    <w:name w:val="Table Grid"/>
    <w:basedOn w:val="TableNormal"/>
    <w:uiPriority w:val="39"/>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rFonts w:ascii="Times New Roman" w:eastAsia="SimSun" w:hAnsi="Times New Roman" w:cs="Times New Roman"/>
      <w:color w:val="0563C1"/>
      <w:sz w:val="21"/>
      <w:u w:val="single"/>
    </w:rPr>
  </w:style>
  <w:style w:type="paragraph" w:styleId="Header">
    <w:name w:val="header"/>
    <w:basedOn w:val="Normal"/>
    <w:link w:val="HeaderChar"/>
    <w:uiPriority w:val="99"/>
    <w:unhideWhenUsed/>
    <w:rsid w:val="00165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68"/>
    <w:rPr>
      <w:rFonts w:eastAsia="SimSun"/>
    </w:rPr>
  </w:style>
  <w:style w:type="paragraph" w:styleId="Footer">
    <w:name w:val="footer"/>
    <w:basedOn w:val="Normal"/>
    <w:link w:val="FooterChar"/>
    <w:uiPriority w:val="99"/>
    <w:unhideWhenUsed/>
    <w:rsid w:val="00165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68"/>
    <w:rPr>
      <w:rFonts w:eastAsia="SimSun"/>
    </w:rPr>
  </w:style>
  <w:style w:type="paragraph" w:styleId="Revision">
    <w:name w:val="Revision"/>
    <w:hidden/>
    <w:uiPriority w:val="99"/>
    <w:semiHidden/>
    <w:rsid w:val="00C13D98"/>
    <w:pPr>
      <w:spacing w:after="0" w:line="240" w:lineRule="auto"/>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11</Pages>
  <Words>3226</Words>
  <Characters>18136</Characters>
  <Application>Microsoft Office Word</Application>
  <DocSecurity>0</DocSecurity>
  <Lines>394</Lines>
  <Paragraphs>154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KANHAIYA LAL</dc:creator>
  <cp:lastModifiedBy>Editor Acc 101</cp:lastModifiedBy>
  <cp:revision>9</cp:revision>
  <dcterms:created xsi:type="dcterms:W3CDTF">2025-08-30T09:06:00Z</dcterms:created>
  <dcterms:modified xsi:type="dcterms:W3CDTF">2025-09-11T12:37:00Z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f26dfd9b7cd54ab28c67ca605ae8e904</vt:lpwstr>
  </property>
  <property fmtid="{D5CDD505-2E9C-101B-9397-08002B2CF9AE}" pid="3" name="GrammarlyDocumentId">
    <vt:lpwstr>637e272a-4b95-412f-98ca-a9bc676ebc39</vt:lpwstr>
  </property>
</Properties>
</file>