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F1684" w14:textId="77777777" w:rsidR="002907B8" w:rsidRDefault="002907B8" w:rsidP="00D64B70">
      <w:pPr>
        <w:jc w:val="both"/>
        <w:rPr>
          <w:rFonts w:ascii="Times New Roman" w:hAnsi="Times New Roman" w:cs="Times New Roman"/>
        </w:rPr>
      </w:pPr>
    </w:p>
    <w:p w14:paraId="633751F6" w14:textId="5B4E6B07" w:rsidR="00B044C9" w:rsidRDefault="00B044C9" w:rsidP="00B044C9">
      <w:pPr>
        <w:jc w:val="center"/>
        <w:rPr>
          <w:rFonts w:ascii="Times New Roman" w:hAnsi="Times New Roman" w:cs="Times New Roman"/>
          <w:b/>
          <w:bCs/>
        </w:rPr>
      </w:pPr>
      <w:r w:rsidRPr="00B044C9">
        <w:rPr>
          <w:rFonts w:ascii="Times New Roman" w:hAnsi="Times New Roman" w:cs="Times New Roman"/>
          <w:b/>
          <w:bCs/>
        </w:rPr>
        <w:t>Beyond Traditional Chemistry: Pioneering Green Synthesis in Pharmaceuticals</w:t>
      </w:r>
    </w:p>
    <w:p w14:paraId="3EC467E2" w14:textId="77777777" w:rsidR="00DA7AF7" w:rsidRPr="00DA7AF7" w:rsidRDefault="00DA7AF7" w:rsidP="00DA7AF7">
      <w:pPr>
        <w:jc w:val="center"/>
        <w:rPr>
          <w:rFonts w:ascii="Times New Roman" w:hAnsi="Times New Roman" w:cs="Times New Roman"/>
          <w:b/>
          <w:bCs/>
        </w:rPr>
      </w:pPr>
    </w:p>
    <w:p w14:paraId="497D04BF" w14:textId="77777777" w:rsidR="007B14CD" w:rsidRDefault="007B14CD" w:rsidP="00B044C9">
      <w:pPr>
        <w:jc w:val="both"/>
        <w:rPr>
          <w:rFonts w:ascii="Times New Roman" w:hAnsi="Times New Roman" w:cs="Times New Roman"/>
          <w:b/>
          <w:bCs/>
        </w:rPr>
      </w:pPr>
    </w:p>
    <w:p w14:paraId="42B3BD98" w14:textId="721FD00A" w:rsidR="00B044C9" w:rsidRPr="00B044C9" w:rsidRDefault="00B044C9" w:rsidP="00B044C9">
      <w:pPr>
        <w:jc w:val="both"/>
        <w:rPr>
          <w:rFonts w:ascii="Times New Roman" w:hAnsi="Times New Roman" w:cs="Times New Roman"/>
          <w:b/>
          <w:bCs/>
        </w:rPr>
      </w:pPr>
      <w:r w:rsidRPr="00B044C9">
        <w:rPr>
          <w:rFonts w:ascii="Times New Roman" w:hAnsi="Times New Roman" w:cs="Times New Roman"/>
          <w:b/>
          <w:bCs/>
        </w:rPr>
        <w:t>Abstract</w:t>
      </w:r>
    </w:p>
    <w:p w14:paraId="047D43D8" w14:textId="77777777" w:rsidR="00B044C9" w:rsidRPr="00B044C9" w:rsidRDefault="00B044C9" w:rsidP="00B044C9">
      <w:pPr>
        <w:jc w:val="both"/>
        <w:rPr>
          <w:rFonts w:ascii="Times New Roman" w:hAnsi="Times New Roman" w:cs="Times New Roman"/>
        </w:rPr>
      </w:pPr>
      <w:r w:rsidRPr="00B044C9">
        <w:rPr>
          <w:rFonts w:ascii="Times New Roman" w:hAnsi="Times New Roman" w:cs="Times New Roman"/>
        </w:rPr>
        <w:t>Green chemistry principles are increasingly essential for sustainable pharmaceutical synthesis, aiming to reduce environmental impact while maintaining efficiency and product quality. This review systematically examines recent advances in green synthetic strategies, including solvent alternatives, catalytic approaches (</w:t>
      </w:r>
      <w:proofErr w:type="spellStart"/>
      <w:r w:rsidRPr="00B044C9">
        <w:rPr>
          <w:rFonts w:ascii="Times New Roman" w:hAnsi="Times New Roman" w:cs="Times New Roman"/>
        </w:rPr>
        <w:t>biocatalysis</w:t>
      </w:r>
      <w:proofErr w:type="spellEnd"/>
      <w:r w:rsidRPr="00B044C9">
        <w:rPr>
          <w:rFonts w:ascii="Times New Roman" w:hAnsi="Times New Roman" w:cs="Times New Roman"/>
        </w:rPr>
        <w:t xml:space="preserve">, </w:t>
      </w:r>
      <w:proofErr w:type="spellStart"/>
      <w:r w:rsidRPr="00B044C9">
        <w:rPr>
          <w:rFonts w:ascii="Times New Roman" w:hAnsi="Times New Roman" w:cs="Times New Roman"/>
        </w:rPr>
        <w:t>organocatalysis</w:t>
      </w:r>
      <w:proofErr w:type="spellEnd"/>
      <w:r w:rsidRPr="00B044C9">
        <w:rPr>
          <w:rFonts w:ascii="Times New Roman" w:hAnsi="Times New Roman" w:cs="Times New Roman"/>
        </w:rPr>
        <w:t>, transition metal catalysis), and process intensification techniques such as flow chemistry. Data were collected from peer-reviewed journals indexed in Scopus and PubMed over the past decade, focusing on innovative methodologies, industrial applications, and sustainability assessment tools.</w:t>
      </w:r>
    </w:p>
    <w:p w14:paraId="54A05DDB" w14:textId="5DDBF431" w:rsidR="00B044C9" w:rsidRPr="00B044C9" w:rsidRDefault="00B044C9" w:rsidP="00B044C9">
      <w:pPr>
        <w:jc w:val="both"/>
        <w:rPr>
          <w:rFonts w:ascii="Times New Roman" w:hAnsi="Times New Roman" w:cs="Times New Roman"/>
        </w:rPr>
      </w:pPr>
      <w:r w:rsidRPr="00B044C9">
        <w:rPr>
          <w:rFonts w:ascii="Times New Roman" w:hAnsi="Times New Roman" w:cs="Times New Roman"/>
        </w:rPr>
        <w:t xml:space="preserve">The results highlight significant progress in adopting green solvents like water and supercritical CO₂, which lower toxicity and waste. Catalysis methods, especially </w:t>
      </w:r>
      <w:proofErr w:type="spellStart"/>
      <w:r w:rsidRPr="00B044C9">
        <w:rPr>
          <w:rFonts w:ascii="Times New Roman" w:hAnsi="Times New Roman" w:cs="Times New Roman"/>
        </w:rPr>
        <w:t>biocatalysis</w:t>
      </w:r>
      <w:proofErr w:type="spellEnd"/>
      <w:r w:rsidRPr="00B044C9">
        <w:rPr>
          <w:rFonts w:ascii="Times New Roman" w:hAnsi="Times New Roman" w:cs="Times New Roman"/>
        </w:rPr>
        <w:t xml:space="preserve"> and </w:t>
      </w:r>
      <w:proofErr w:type="spellStart"/>
      <w:r w:rsidRPr="00B044C9">
        <w:rPr>
          <w:rFonts w:ascii="Times New Roman" w:hAnsi="Times New Roman" w:cs="Times New Roman"/>
        </w:rPr>
        <w:t>organocatalysis</w:t>
      </w:r>
      <w:proofErr w:type="spellEnd"/>
      <w:r w:rsidRPr="00B044C9">
        <w:rPr>
          <w:rFonts w:ascii="Times New Roman" w:hAnsi="Times New Roman" w:cs="Times New Roman"/>
        </w:rPr>
        <w:t>, provide high selectivity and milder reaction conditions, reducing hazardous by-products. Flow chemistry enables continuous processing with enhanced safety and efficiency. Moreover, sustainability metrics</w:t>
      </w:r>
      <w:r>
        <w:rPr>
          <w:rFonts w:ascii="Times New Roman" w:hAnsi="Times New Roman" w:cs="Times New Roman"/>
        </w:rPr>
        <w:t xml:space="preserve"> </w:t>
      </w:r>
      <w:r w:rsidRPr="00B044C9">
        <w:rPr>
          <w:rFonts w:ascii="Times New Roman" w:hAnsi="Times New Roman" w:cs="Times New Roman"/>
        </w:rPr>
        <w:t>such as atom economy, E-factor, and process mass intensity</w:t>
      </w:r>
      <w:r>
        <w:rPr>
          <w:rFonts w:ascii="Times New Roman" w:hAnsi="Times New Roman" w:cs="Times New Roman"/>
        </w:rPr>
        <w:t xml:space="preserve"> </w:t>
      </w:r>
      <w:r w:rsidRPr="00B044C9">
        <w:rPr>
          <w:rFonts w:ascii="Times New Roman" w:hAnsi="Times New Roman" w:cs="Times New Roman"/>
        </w:rPr>
        <w:t>alongside life cycle assessment (LCA), offer quantitative means to evaluate and optimize environmental performance.</w:t>
      </w:r>
    </w:p>
    <w:p w14:paraId="273D70BA" w14:textId="77777777" w:rsidR="00B044C9" w:rsidRPr="00B044C9" w:rsidRDefault="00B044C9" w:rsidP="00B044C9">
      <w:pPr>
        <w:jc w:val="both"/>
        <w:rPr>
          <w:rFonts w:ascii="Times New Roman" w:hAnsi="Times New Roman" w:cs="Times New Roman"/>
        </w:rPr>
      </w:pPr>
      <w:r w:rsidRPr="00B044C9">
        <w:rPr>
          <w:rFonts w:ascii="Times New Roman" w:hAnsi="Times New Roman" w:cs="Times New Roman"/>
        </w:rPr>
        <w:t>Despite these advances, challenges remain in catalyst scalability, regulatory compliance, economic feasibility, and broader industrial implementation. Emerging trends including artificial intelligence-driven route design, enzyme engineering, and circular chemistry hold promise to address these barriers. The integration of green chemistry with digital tools and sustainability metrics facilitates data-driven process development and supports regulatory and corporate sustainability goals.</w:t>
      </w:r>
    </w:p>
    <w:p w14:paraId="7B1A650F" w14:textId="77777777" w:rsidR="00B044C9" w:rsidRPr="00B044C9" w:rsidRDefault="00B044C9" w:rsidP="00B044C9">
      <w:pPr>
        <w:jc w:val="both"/>
        <w:rPr>
          <w:rFonts w:ascii="Times New Roman" w:hAnsi="Times New Roman" w:cs="Times New Roman"/>
        </w:rPr>
      </w:pPr>
      <w:r w:rsidRPr="00B044C9">
        <w:rPr>
          <w:rFonts w:ascii="Times New Roman" w:hAnsi="Times New Roman" w:cs="Times New Roman"/>
        </w:rPr>
        <w:t>In conclusion, green chemistry is transforming pharmaceutical manufacturing toward a more sustainable future, balancing ecological responsibility with innovation and efficiency. This review provides comprehensive insights and practical guidance for researchers and industry professionals aiming to advance sustainable pharmaceutical synthesis.</w:t>
      </w:r>
    </w:p>
    <w:p w14:paraId="2C803B57" w14:textId="77777777" w:rsidR="00B044C9" w:rsidRDefault="00B044C9" w:rsidP="002907B8">
      <w:pPr>
        <w:jc w:val="both"/>
        <w:rPr>
          <w:rFonts w:ascii="Times New Roman" w:hAnsi="Times New Roman" w:cs="Times New Roman"/>
          <w:b/>
          <w:bCs/>
        </w:rPr>
      </w:pPr>
    </w:p>
    <w:p w14:paraId="42587C0B" w14:textId="5C2BE9A1" w:rsidR="00B044C9" w:rsidRDefault="00B044C9" w:rsidP="00B044C9">
      <w:pPr>
        <w:jc w:val="both"/>
        <w:rPr>
          <w:rFonts w:ascii="Times New Roman" w:hAnsi="Times New Roman" w:cs="Times New Roman"/>
        </w:rPr>
      </w:pPr>
      <w:r>
        <w:rPr>
          <w:rFonts w:ascii="Times New Roman" w:hAnsi="Times New Roman" w:cs="Times New Roman"/>
          <w:b/>
          <w:bCs/>
        </w:rPr>
        <w:t xml:space="preserve">Keywords - </w:t>
      </w:r>
      <w:r w:rsidRPr="00B044C9">
        <w:rPr>
          <w:rFonts w:ascii="Times New Roman" w:hAnsi="Times New Roman" w:cs="Times New Roman"/>
        </w:rPr>
        <w:t xml:space="preserve">Green Chemistry, Pharmaceutical Synthesis, </w:t>
      </w:r>
      <w:proofErr w:type="spellStart"/>
      <w:proofErr w:type="gramStart"/>
      <w:r w:rsidRPr="00B044C9">
        <w:rPr>
          <w:rFonts w:ascii="Times New Roman" w:hAnsi="Times New Roman" w:cs="Times New Roman"/>
        </w:rPr>
        <w:t>Biocatalysis</w:t>
      </w:r>
      <w:proofErr w:type="spellEnd"/>
      <w:r w:rsidRPr="00B044C9">
        <w:rPr>
          <w:rFonts w:ascii="Times New Roman" w:hAnsi="Times New Roman" w:cs="Times New Roman"/>
        </w:rPr>
        <w:t xml:space="preserve"> ,</w:t>
      </w:r>
      <w:proofErr w:type="gramEnd"/>
      <w:r w:rsidRPr="00B044C9">
        <w:rPr>
          <w:rFonts w:ascii="Times New Roman" w:hAnsi="Times New Roman" w:cs="Times New Roman"/>
        </w:rPr>
        <w:t xml:space="preserve"> </w:t>
      </w:r>
      <w:proofErr w:type="spellStart"/>
      <w:r w:rsidRPr="00B044C9">
        <w:rPr>
          <w:rFonts w:ascii="Times New Roman" w:hAnsi="Times New Roman" w:cs="Times New Roman"/>
        </w:rPr>
        <w:t>Organocatalysis</w:t>
      </w:r>
      <w:proofErr w:type="spellEnd"/>
      <w:r w:rsidRPr="00B044C9">
        <w:rPr>
          <w:rFonts w:ascii="Times New Roman" w:hAnsi="Times New Roman" w:cs="Times New Roman"/>
        </w:rPr>
        <w:t>, Flow Chemistry , Sustainable Catalysis, Green Solvents</w:t>
      </w:r>
    </w:p>
    <w:p w14:paraId="1BAEA1F4" w14:textId="1587C6AA" w:rsidR="007B14CD" w:rsidRDefault="007B14CD" w:rsidP="00B044C9">
      <w:pPr>
        <w:jc w:val="both"/>
        <w:rPr>
          <w:rFonts w:ascii="Times New Roman" w:hAnsi="Times New Roman" w:cs="Times New Roman"/>
          <w:b/>
          <w:bCs/>
        </w:rPr>
      </w:pPr>
    </w:p>
    <w:p w14:paraId="14DD2401" w14:textId="77777777" w:rsidR="007B14CD" w:rsidRPr="00B044C9" w:rsidRDefault="007B14CD" w:rsidP="00B044C9">
      <w:pPr>
        <w:jc w:val="both"/>
        <w:rPr>
          <w:rFonts w:ascii="Times New Roman" w:hAnsi="Times New Roman" w:cs="Times New Roman"/>
          <w:b/>
          <w:bCs/>
        </w:rPr>
      </w:pPr>
    </w:p>
    <w:p w14:paraId="5CD999EE" w14:textId="77777777" w:rsidR="00B044C9" w:rsidRDefault="00B044C9" w:rsidP="002907B8">
      <w:pPr>
        <w:jc w:val="both"/>
        <w:rPr>
          <w:rFonts w:ascii="Times New Roman" w:hAnsi="Times New Roman" w:cs="Times New Roman"/>
          <w:b/>
          <w:bCs/>
        </w:rPr>
      </w:pPr>
    </w:p>
    <w:p w14:paraId="4A9D3434" w14:textId="2443ECA1" w:rsidR="002907B8" w:rsidRPr="002907B8" w:rsidRDefault="002907B8" w:rsidP="002907B8">
      <w:pPr>
        <w:jc w:val="both"/>
        <w:rPr>
          <w:rFonts w:ascii="Times New Roman" w:hAnsi="Times New Roman" w:cs="Times New Roman"/>
          <w:b/>
          <w:bCs/>
        </w:rPr>
      </w:pPr>
      <w:r w:rsidRPr="002907B8">
        <w:rPr>
          <w:rFonts w:ascii="Times New Roman" w:hAnsi="Times New Roman" w:cs="Times New Roman"/>
          <w:b/>
          <w:bCs/>
        </w:rPr>
        <w:t>Introduction</w:t>
      </w:r>
    </w:p>
    <w:p w14:paraId="0BE88151" w14:textId="13258B31" w:rsidR="002907B8" w:rsidRPr="002907B8" w:rsidRDefault="002907B8" w:rsidP="002907B8">
      <w:pPr>
        <w:jc w:val="both"/>
        <w:rPr>
          <w:rFonts w:ascii="Times New Roman" w:hAnsi="Times New Roman" w:cs="Times New Roman"/>
        </w:rPr>
      </w:pPr>
      <w:r w:rsidRPr="002907B8">
        <w:rPr>
          <w:rFonts w:ascii="Times New Roman" w:hAnsi="Times New Roman" w:cs="Times New Roman"/>
        </w:rPr>
        <w:t>The pharmaceutical industry is under increasing pressure to reduce its environmental footprint while maintaining efficiency in drug development. Conventional synthetic routes are often associated with high energy demands, hazardous reagents, and excessive solvent use, all of which contribute to significant ecological and health risks. On average, pharmaceutical processes generate 25 to 100 kg of waste per kilogram of active pharmaceutical ingredient (API) produced</w:t>
      </w:r>
      <w:r>
        <w:rPr>
          <w:rFonts w:ascii="Times New Roman" w:hAnsi="Times New Roman" w:cs="Times New Roman"/>
        </w:rPr>
        <w:t xml:space="preserve"> </w:t>
      </w:r>
      <w:r w:rsidRPr="002907B8">
        <w:rPr>
          <w:rFonts w:ascii="Times New Roman" w:hAnsi="Times New Roman" w:cs="Times New Roman"/>
        </w:rPr>
        <w:t>far higher than in other chemical sectors [01]. Additionally, many of these synthetic methods involve multistep reactions with poor atom economy and minimal regard for environmental impact [02].</w:t>
      </w:r>
    </w:p>
    <w:p w14:paraId="71B5AC68" w14:textId="3FCD4EB1" w:rsidR="002907B8" w:rsidRPr="002907B8" w:rsidRDefault="002907B8" w:rsidP="002907B8">
      <w:pPr>
        <w:jc w:val="both"/>
        <w:rPr>
          <w:rFonts w:ascii="Times New Roman" w:hAnsi="Times New Roman" w:cs="Times New Roman"/>
        </w:rPr>
      </w:pPr>
      <w:r w:rsidRPr="002907B8">
        <w:rPr>
          <w:rFonts w:ascii="Times New Roman" w:hAnsi="Times New Roman" w:cs="Times New Roman"/>
          <w:b/>
          <w:bCs/>
        </w:rPr>
        <w:t>Green chemistry</w:t>
      </w:r>
      <w:r w:rsidRPr="002907B8">
        <w:rPr>
          <w:rFonts w:ascii="Times New Roman" w:hAnsi="Times New Roman" w:cs="Times New Roman"/>
        </w:rPr>
        <w:t xml:space="preserve"> offers a transformative approach to chemical design and manufacturing. It is based on 12 core principles that aim to minimize the generation and use of hazardous substances from the outset of a process, rather than treating waste after its formation [03]. These principles include the use of safer solvents, energy efficiency, renewable feedstocks, catalysis, and inherently safer chemistry for accident prevention [04]. Among the key metrics for evaluating green processes, the </w:t>
      </w:r>
      <w:r w:rsidRPr="002907B8">
        <w:rPr>
          <w:rFonts w:ascii="Times New Roman" w:hAnsi="Times New Roman" w:cs="Times New Roman"/>
          <w:i/>
          <w:iCs/>
        </w:rPr>
        <w:t>Environmental factor</w:t>
      </w:r>
      <w:r w:rsidRPr="002907B8">
        <w:rPr>
          <w:rFonts w:ascii="Times New Roman" w:hAnsi="Times New Roman" w:cs="Times New Roman"/>
        </w:rPr>
        <w:t xml:space="preserve"> (E-factor)</w:t>
      </w:r>
      <w:r>
        <w:rPr>
          <w:rFonts w:ascii="Times New Roman" w:hAnsi="Times New Roman" w:cs="Times New Roman"/>
        </w:rPr>
        <w:t xml:space="preserve"> </w:t>
      </w:r>
      <w:r w:rsidRPr="002907B8">
        <w:rPr>
          <w:rFonts w:ascii="Times New Roman" w:hAnsi="Times New Roman" w:cs="Times New Roman"/>
        </w:rPr>
        <w:t>which is the ratio of waste to product</w:t>
      </w:r>
      <w:r>
        <w:rPr>
          <w:rFonts w:ascii="Times New Roman" w:hAnsi="Times New Roman" w:cs="Times New Roman"/>
        </w:rPr>
        <w:t xml:space="preserve"> </w:t>
      </w:r>
      <w:r w:rsidRPr="002907B8">
        <w:rPr>
          <w:rFonts w:ascii="Times New Roman" w:hAnsi="Times New Roman" w:cs="Times New Roman"/>
        </w:rPr>
        <w:t>has been widely adopted. While bulk chemical production may have E-factors below 5, pharmaceutical processes often exceed 25, clearly demonstrating the need for more sustainable practices [05].</w:t>
      </w:r>
    </w:p>
    <w:p w14:paraId="61A40385" w14:textId="73C8194E" w:rsidR="002907B8" w:rsidRPr="002907B8" w:rsidRDefault="002907B8" w:rsidP="002907B8">
      <w:pPr>
        <w:jc w:val="both"/>
        <w:rPr>
          <w:rFonts w:ascii="Times New Roman" w:hAnsi="Times New Roman" w:cs="Times New Roman"/>
        </w:rPr>
      </w:pPr>
      <w:r w:rsidRPr="002907B8">
        <w:rPr>
          <w:rFonts w:ascii="Times New Roman" w:hAnsi="Times New Roman" w:cs="Times New Roman"/>
        </w:rPr>
        <w:t>Recent advancements demonstrate that green chemistry is not just a theoretical ideal but a practical necessity in modern pharmaceutical synthesis. For instance, Merck &amp; Co. redesigned the synthesis of sitagliptin, replacing a rhodium-based catalyst with a transaminase enzyme. This modification not only increased yield and reduced cost but also eliminated the need for hazardous reagents and significantly cut down waste generation [06]. This case illustrates how integrating biocatalysis</w:t>
      </w:r>
      <w:r>
        <w:rPr>
          <w:rFonts w:ascii="Times New Roman" w:hAnsi="Times New Roman" w:cs="Times New Roman"/>
        </w:rPr>
        <w:t xml:space="preserve"> </w:t>
      </w:r>
      <w:r w:rsidRPr="002907B8">
        <w:rPr>
          <w:rFonts w:ascii="Times New Roman" w:hAnsi="Times New Roman" w:cs="Times New Roman"/>
        </w:rPr>
        <w:t>a key green chemistry tool</w:t>
      </w:r>
      <w:r>
        <w:rPr>
          <w:rFonts w:ascii="Times New Roman" w:hAnsi="Times New Roman" w:cs="Times New Roman"/>
        </w:rPr>
        <w:t xml:space="preserve"> </w:t>
      </w:r>
      <w:r w:rsidRPr="002907B8">
        <w:rPr>
          <w:rFonts w:ascii="Times New Roman" w:hAnsi="Times New Roman" w:cs="Times New Roman"/>
        </w:rPr>
        <w:t>into industrial processes can yield both ecological and economic benefits.</w:t>
      </w:r>
    </w:p>
    <w:p w14:paraId="6C27FB53" w14:textId="77777777" w:rsidR="002907B8" w:rsidRPr="002907B8" w:rsidRDefault="002907B8" w:rsidP="002907B8">
      <w:pPr>
        <w:jc w:val="both"/>
        <w:rPr>
          <w:rFonts w:ascii="Times New Roman" w:hAnsi="Times New Roman" w:cs="Times New Roman"/>
        </w:rPr>
      </w:pPr>
      <w:r w:rsidRPr="002907B8">
        <w:rPr>
          <w:rFonts w:ascii="Times New Roman" w:hAnsi="Times New Roman" w:cs="Times New Roman"/>
        </w:rPr>
        <w:t>Biocatalysis, which uses natural catalysts such as enzymes and microorganisms, has become increasingly prominent due to its specificity, operational simplicity, and alignment with green principles. It allows for reactions to occur under mild conditions (e.g., room temperature and atmospheric pressure), significantly reducing energy input and by-product formation [07]. Industrial applications include the synthesis of chiral intermediates for statins, beta-blockers, and antivirals, showcasing the scalability and utility of this approach [08].</w:t>
      </w:r>
    </w:p>
    <w:p w14:paraId="54E1A293" w14:textId="77777777" w:rsidR="002907B8" w:rsidRPr="002907B8" w:rsidRDefault="002907B8" w:rsidP="002907B8">
      <w:pPr>
        <w:jc w:val="both"/>
        <w:rPr>
          <w:rFonts w:ascii="Times New Roman" w:hAnsi="Times New Roman" w:cs="Times New Roman"/>
        </w:rPr>
      </w:pPr>
      <w:r w:rsidRPr="002907B8">
        <w:rPr>
          <w:rFonts w:ascii="Times New Roman" w:hAnsi="Times New Roman" w:cs="Times New Roman"/>
        </w:rPr>
        <w:t>Another significant development is the application of continuous flow chemistry, which offers safer and more efficient processes than traditional batch methods. Flow reactors enable precise control over reaction parameters, faster reactions, and better scalability, all while reducing solvent usage and waste generation [09]. These methods also align well with process intensification strategies that are increasingly being adopted across pharmaceutical manufacturing to meet both regulatory and sustainability goals.</w:t>
      </w:r>
    </w:p>
    <w:p w14:paraId="6F26D251" w14:textId="77777777" w:rsidR="002907B8" w:rsidRPr="002907B8" w:rsidRDefault="002907B8" w:rsidP="002907B8">
      <w:pPr>
        <w:jc w:val="both"/>
        <w:rPr>
          <w:rFonts w:ascii="Times New Roman" w:hAnsi="Times New Roman" w:cs="Times New Roman"/>
        </w:rPr>
      </w:pPr>
      <w:r w:rsidRPr="002907B8">
        <w:rPr>
          <w:rFonts w:ascii="Times New Roman" w:hAnsi="Times New Roman" w:cs="Times New Roman"/>
        </w:rPr>
        <w:lastRenderedPageBreak/>
        <w:t>In summary, green chemistry approaches are increasingly being integrated into pharmaceutical synthesis to address challenges related to environmental sustainability, process efficiency, and safety. This review explores the evolution and application of green chemistry in pharmaceutical synthesis, including key principles, biocatalysis, catalytic strategies, green solvents, and industry-driven innovations that contribute to cleaner, safer, and more efficient drug development.</w:t>
      </w:r>
    </w:p>
    <w:p w14:paraId="3B225431" w14:textId="77777777" w:rsidR="002907B8" w:rsidRPr="002907B8" w:rsidRDefault="002907B8" w:rsidP="002907B8">
      <w:pPr>
        <w:jc w:val="both"/>
        <w:rPr>
          <w:rFonts w:ascii="Times New Roman" w:hAnsi="Times New Roman" w:cs="Times New Roman"/>
          <w:b/>
          <w:bCs/>
        </w:rPr>
      </w:pPr>
      <w:r w:rsidRPr="002907B8">
        <w:rPr>
          <w:rFonts w:ascii="Times New Roman" w:hAnsi="Times New Roman" w:cs="Times New Roman"/>
          <w:b/>
          <w:bCs/>
        </w:rPr>
        <w:t>Principles of Green Chemistry and Metrics</w:t>
      </w:r>
    </w:p>
    <w:p w14:paraId="2F04AFB9" w14:textId="77777777" w:rsidR="002907B8" w:rsidRPr="002907B8" w:rsidRDefault="002907B8" w:rsidP="002907B8">
      <w:pPr>
        <w:jc w:val="both"/>
        <w:rPr>
          <w:rFonts w:ascii="Times New Roman" w:hAnsi="Times New Roman" w:cs="Times New Roman"/>
        </w:rPr>
      </w:pPr>
      <w:r w:rsidRPr="002907B8">
        <w:rPr>
          <w:rFonts w:ascii="Times New Roman" w:hAnsi="Times New Roman" w:cs="Times New Roman"/>
        </w:rPr>
        <w:t>Green chemistry is built on twelve foundational principles that guide the development of environmentally responsible and resource-efficient chemical processes. Introduced by Anastas and Warner in 1998, these principles have become essential in redesigning pharmaceutical synthesis to minimize ecological impact while maintaining product quality and process efficiency [10]. Key tenets include waste prevention, atom economy, safer solvents and auxiliaries, energy efficiency, renewable feedstocks, and the use of catalysis. In the context of pharmaceuticals, these principles are not only scientifically valid but increasingly vital due to regulatory, economic, and environmental pressures.</w:t>
      </w:r>
    </w:p>
    <w:p w14:paraId="61D61077" w14:textId="5F115739" w:rsidR="002907B8" w:rsidRPr="002907B8" w:rsidRDefault="002907B8" w:rsidP="002907B8">
      <w:pPr>
        <w:jc w:val="both"/>
        <w:rPr>
          <w:rFonts w:ascii="Times New Roman" w:hAnsi="Times New Roman" w:cs="Times New Roman"/>
        </w:rPr>
      </w:pPr>
      <w:r w:rsidRPr="002907B8">
        <w:rPr>
          <w:rFonts w:ascii="Times New Roman" w:hAnsi="Times New Roman" w:cs="Times New Roman"/>
        </w:rPr>
        <w:t>Among the most widely used quantitative tools derived from these principles is the E-factor, which measures the mass of waste generated per unit mass of product. Lower E-factors signify cleaner processes, and while bulk chemical industries typically achieve E-factors below 5, pharmaceutical processes often range from 25 to over 100</w:t>
      </w:r>
      <w:r>
        <w:rPr>
          <w:rFonts w:ascii="Times New Roman" w:hAnsi="Times New Roman" w:cs="Times New Roman"/>
        </w:rPr>
        <w:t xml:space="preserve"> </w:t>
      </w:r>
      <w:r w:rsidRPr="002907B8">
        <w:rPr>
          <w:rFonts w:ascii="Times New Roman" w:hAnsi="Times New Roman" w:cs="Times New Roman"/>
        </w:rPr>
        <w:t>highlighting the pressing need for greener synthetic alternatives [11]. Another widely used metric is atom economy, which assesses how efficiently reactants are incorporated into the final product. A high atom economy indicates a streamlined process with minimal generation of side products or waste. In recent years, additional metrics such as process mass intensity (PMI) and life-cycle assessments (LCA) have gained traction for providing a more holistic view of a process's sustainability, extending beyond the chemical reaction to include raw material sourcing, energy usage, and waste treatment [11].</w:t>
      </w:r>
    </w:p>
    <w:p w14:paraId="6C429146" w14:textId="77777777" w:rsidR="002907B8" w:rsidRPr="002907B8" w:rsidRDefault="002907B8" w:rsidP="002907B8">
      <w:pPr>
        <w:jc w:val="both"/>
        <w:rPr>
          <w:rFonts w:ascii="Times New Roman" w:hAnsi="Times New Roman" w:cs="Times New Roman"/>
        </w:rPr>
      </w:pPr>
      <w:r w:rsidRPr="002907B8">
        <w:rPr>
          <w:rFonts w:ascii="Times New Roman" w:hAnsi="Times New Roman" w:cs="Times New Roman"/>
        </w:rPr>
        <w:t>The pharmaceutical industry has adopted various green synthetic strategies based on these principles. Solvent-free reactions, or those employing benign alternatives like water, ethanol, and supercritical carbon dioxide, are increasingly common. Additionally, techniques such as multicomponent reactions (MCRs) and one-pot syntheses reduce the need for multiple purification steps, improving both atom economy and overall process efficiency [10]. Similarly, continuous flow chemistry and process intensification allow for better control of reaction parameters, reduced solvent volumes, and lower energy consumption, making them ideal for scaling up green synthesis methods.</w:t>
      </w:r>
    </w:p>
    <w:p w14:paraId="50CC27C9" w14:textId="7CADEBF7" w:rsidR="002907B8" w:rsidRPr="002907B8" w:rsidRDefault="002907B8" w:rsidP="002907B8">
      <w:pPr>
        <w:jc w:val="both"/>
        <w:rPr>
          <w:rFonts w:ascii="Times New Roman" w:hAnsi="Times New Roman" w:cs="Times New Roman"/>
        </w:rPr>
      </w:pPr>
      <w:r w:rsidRPr="002907B8">
        <w:rPr>
          <w:rFonts w:ascii="Times New Roman" w:hAnsi="Times New Roman" w:cs="Times New Roman"/>
        </w:rPr>
        <w:t>The integration of green chemistry metrics and principles into the design phase of pharmaceutical development is no longer optional</w:t>
      </w:r>
      <w:r>
        <w:rPr>
          <w:rFonts w:ascii="Times New Roman" w:hAnsi="Times New Roman" w:cs="Times New Roman"/>
        </w:rPr>
        <w:t xml:space="preserve"> </w:t>
      </w:r>
      <w:r w:rsidRPr="002907B8">
        <w:rPr>
          <w:rFonts w:ascii="Times New Roman" w:hAnsi="Times New Roman" w:cs="Times New Roman"/>
        </w:rPr>
        <w:t>it is a strategic imperative. By adopting a “benign by design” approach, pharmaceutical scientists are now beginning to consider environmental impact alongside pharmacological performance when designing new drug candidates [11]. This shift supports the creation of cleaner, safer, and more sustainable manufacturing routes while meeting global expectations for environmental responsibility.</w:t>
      </w:r>
    </w:p>
    <w:p w14:paraId="6F0DAB68" w14:textId="77777777" w:rsidR="002907B8" w:rsidRDefault="002907B8" w:rsidP="00D64B70">
      <w:pPr>
        <w:jc w:val="both"/>
        <w:rPr>
          <w:rFonts w:ascii="Times New Roman" w:hAnsi="Times New Roman" w:cs="Times New Roman"/>
        </w:rPr>
      </w:pPr>
    </w:p>
    <w:tbl>
      <w:tblPr>
        <w:tblStyle w:val="TableGrid"/>
        <w:tblW w:w="5044" w:type="pct"/>
        <w:tblLook w:val="04A0" w:firstRow="1" w:lastRow="0" w:firstColumn="1" w:lastColumn="0" w:noHBand="0" w:noVBand="1"/>
      </w:tblPr>
      <w:tblGrid>
        <w:gridCol w:w="1987"/>
        <w:gridCol w:w="2538"/>
        <w:gridCol w:w="2704"/>
        <w:gridCol w:w="2203"/>
      </w:tblGrid>
      <w:tr w:rsidR="002907B8" w:rsidRPr="002907B8" w14:paraId="77ED887D" w14:textId="77777777" w:rsidTr="002907B8">
        <w:trPr>
          <w:trHeight w:val="621"/>
        </w:trPr>
        <w:tc>
          <w:tcPr>
            <w:tcW w:w="1053" w:type="pct"/>
            <w:hideMark/>
          </w:tcPr>
          <w:p w14:paraId="3831D069" w14:textId="77777777" w:rsidR="002907B8" w:rsidRPr="002907B8" w:rsidRDefault="002907B8" w:rsidP="002907B8">
            <w:pPr>
              <w:spacing w:line="278" w:lineRule="auto"/>
              <w:jc w:val="both"/>
              <w:rPr>
                <w:rFonts w:ascii="Times New Roman" w:hAnsi="Times New Roman" w:cs="Times New Roman"/>
                <w:b/>
                <w:bCs/>
              </w:rPr>
            </w:pPr>
            <w:r w:rsidRPr="002907B8">
              <w:rPr>
                <w:rFonts w:ascii="Times New Roman" w:hAnsi="Times New Roman" w:cs="Times New Roman"/>
                <w:b/>
                <w:bCs/>
              </w:rPr>
              <w:t>Principle / Metric</w:t>
            </w:r>
          </w:p>
        </w:tc>
        <w:tc>
          <w:tcPr>
            <w:tcW w:w="1345" w:type="pct"/>
            <w:hideMark/>
          </w:tcPr>
          <w:p w14:paraId="6A151FB0" w14:textId="77777777" w:rsidR="002907B8" w:rsidRPr="002907B8" w:rsidRDefault="002907B8" w:rsidP="002907B8">
            <w:pPr>
              <w:spacing w:line="278" w:lineRule="auto"/>
              <w:jc w:val="both"/>
              <w:rPr>
                <w:rFonts w:ascii="Times New Roman" w:hAnsi="Times New Roman" w:cs="Times New Roman"/>
                <w:b/>
                <w:bCs/>
              </w:rPr>
            </w:pPr>
            <w:r w:rsidRPr="002907B8">
              <w:rPr>
                <w:rFonts w:ascii="Times New Roman" w:hAnsi="Times New Roman" w:cs="Times New Roman"/>
                <w:b/>
                <w:bCs/>
              </w:rPr>
              <w:t>Description</w:t>
            </w:r>
          </w:p>
        </w:tc>
        <w:tc>
          <w:tcPr>
            <w:tcW w:w="1433" w:type="pct"/>
            <w:hideMark/>
          </w:tcPr>
          <w:p w14:paraId="476D9115" w14:textId="77777777" w:rsidR="002907B8" w:rsidRPr="002907B8" w:rsidRDefault="002907B8" w:rsidP="002907B8">
            <w:pPr>
              <w:spacing w:line="278" w:lineRule="auto"/>
              <w:jc w:val="both"/>
              <w:rPr>
                <w:rFonts w:ascii="Times New Roman" w:hAnsi="Times New Roman" w:cs="Times New Roman"/>
                <w:b/>
                <w:bCs/>
              </w:rPr>
            </w:pPr>
            <w:r w:rsidRPr="002907B8">
              <w:rPr>
                <w:rFonts w:ascii="Times New Roman" w:hAnsi="Times New Roman" w:cs="Times New Roman"/>
                <w:b/>
                <w:bCs/>
              </w:rPr>
              <w:t>Application in Pharma Synthesis</w:t>
            </w:r>
          </w:p>
        </w:tc>
        <w:tc>
          <w:tcPr>
            <w:tcW w:w="1168" w:type="pct"/>
            <w:hideMark/>
          </w:tcPr>
          <w:p w14:paraId="5163ACEB" w14:textId="77777777" w:rsidR="002907B8" w:rsidRPr="002907B8" w:rsidRDefault="002907B8" w:rsidP="002907B8">
            <w:pPr>
              <w:spacing w:line="278" w:lineRule="auto"/>
              <w:jc w:val="both"/>
              <w:rPr>
                <w:rFonts w:ascii="Times New Roman" w:hAnsi="Times New Roman" w:cs="Times New Roman"/>
                <w:b/>
                <w:bCs/>
              </w:rPr>
            </w:pPr>
            <w:r w:rsidRPr="002907B8">
              <w:rPr>
                <w:rFonts w:ascii="Times New Roman" w:hAnsi="Times New Roman" w:cs="Times New Roman"/>
                <w:b/>
                <w:bCs/>
              </w:rPr>
              <w:t>Benefits</w:t>
            </w:r>
          </w:p>
        </w:tc>
      </w:tr>
      <w:tr w:rsidR="002907B8" w:rsidRPr="002907B8" w14:paraId="29179AFC" w14:textId="77777777" w:rsidTr="002907B8">
        <w:trPr>
          <w:trHeight w:val="1131"/>
        </w:trPr>
        <w:tc>
          <w:tcPr>
            <w:tcW w:w="1053" w:type="pct"/>
            <w:hideMark/>
          </w:tcPr>
          <w:p w14:paraId="6E9A0A6F"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Waste Prevention</w:t>
            </w:r>
          </w:p>
        </w:tc>
        <w:tc>
          <w:tcPr>
            <w:tcW w:w="1345" w:type="pct"/>
            <w:hideMark/>
          </w:tcPr>
          <w:p w14:paraId="268F3B3D"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Avoiding waste generation rather than treating it afterward</w:t>
            </w:r>
          </w:p>
        </w:tc>
        <w:tc>
          <w:tcPr>
            <w:tcW w:w="1433" w:type="pct"/>
            <w:hideMark/>
          </w:tcPr>
          <w:p w14:paraId="5FE050D3"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Process redesign to minimize by-products</w:t>
            </w:r>
          </w:p>
        </w:tc>
        <w:tc>
          <w:tcPr>
            <w:tcW w:w="1168" w:type="pct"/>
            <w:hideMark/>
          </w:tcPr>
          <w:p w14:paraId="3B899B4D"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Reduces environmental impact and disposal costs</w:t>
            </w:r>
          </w:p>
        </w:tc>
      </w:tr>
      <w:tr w:rsidR="002907B8" w:rsidRPr="002907B8" w14:paraId="39F62352" w14:textId="77777777" w:rsidTr="002907B8">
        <w:trPr>
          <w:trHeight w:val="1131"/>
        </w:trPr>
        <w:tc>
          <w:tcPr>
            <w:tcW w:w="1053" w:type="pct"/>
            <w:hideMark/>
          </w:tcPr>
          <w:p w14:paraId="09A1905D"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Atom Economy</w:t>
            </w:r>
          </w:p>
        </w:tc>
        <w:tc>
          <w:tcPr>
            <w:tcW w:w="1345" w:type="pct"/>
            <w:hideMark/>
          </w:tcPr>
          <w:p w14:paraId="162BF8F5"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Maximizing incorporation of all materials into the final product</w:t>
            </w:r>
          </w:p>
        </w:tc>
        <w:tc>
          <w:tcPr>
            <w:tcW w:w="1433" w:type="pct"/>
            <w:hideMark/>
          </w:tcPr>
          <w:p w14:paraId="2FFA992F"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One-pot reactions, MCRs</w:t>
            </w:r>
          </w:p>
        </w:tc>
        <w:tc>
          <w:tcPr>
            <w:tcW w:w="1168" w:type="pct"/>
            <w:hideMark/>
          </w:tcPr>
          <w:p w14:paraId="3BD3732C"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Enhances material efficiency</w:t>
            </w:r>
          </w:p>
        </w:tc>
      </w:tr>
      <w:tr w:rsidR="002907B8" w:rsidRPr="002907B8" w14:paraId="5FCE8232" w14:textId="77777777" w:rsidTr="002907B8">
        <w:trPr>
          <w:trHeight w:val="1131"/>
        </w:trPr>
        <w:tc>
          <w:tcPr>
            <w:tcW w:w="1053" w:type="pct"/>
            <w:hideMark/>
          </w:tcPr>
          <w:p w14:paraId="32B5CD71"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Safer Solvents and Auxiliaries</w:t>
            </w:r>
          </w:p>
        </w:tc>
        <w:tc>
          <w:tcPr>
            <w:tcW w:w="1345" w:type="pct"/>
            <w:hideMark/>
          </w:tcPr>
          <w:p w14:paraId="03973AED"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Using non-toxic, biodegradable, or no solvents</w:t>
            </w:r>
          </w:p>
        </w:tc>
        <w:tc>
          <w:tcPr>
            <w:tcW w:w="1433" w:type="pct"/>
            <w:hideMark/>
          </w:tcPr>
          <w:p w14:paraId="5BBC4587"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Replacement of organic solvents with water, ethanol, or supercritical CO₂</w:t>
            </w:r>
          </w:p>
        </w:tc>
        <w:tc>
          <w:tcPr>
            <w:tcW w:w="1168" w:type="pct"/>
            <w:hideMark/>
          </w:tcPr>
          <w:p w14:paraId="60C4250E"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Lowers toxicity and solvent waste</w:t>
            </w:r>
          </w:p>
        </w:tc>
      </w:tr>
      <w:tr w:rsidR="002907B8" w:rsidRPr="002907B8" w14:paraId="7A48199D" w14:textId="77777777" w:rsidTr="002907B8">
        <w:trPr>
          <w:trHeight w:val="875"/>
        </w:trPr>
        <w:tc>
          <w:tcPr>
            <w:tcW w:w="1053" w:type="pct"/>
            <w:hideMark/>
          </w:tcPr>
          <w:p w14:paraId="10659886"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Energy Efficiency</w:t>
            </w:r>
          </w:p>
        </w:tc>
        <w:tc>
          <w:tcPr>
            <w:tcW w:w="1345" w:type="pct"/>
            <w:hideMark/>
          </w:tcPr>
          <w:p w14:paraId="249916C9"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Conducting reactions at ambient temperature and pressure</w:t>
            </w:r>
          </w:p>
        </w:tc>
        <w:tc>
          <w:tcPr>
            <w:tcW w:w="1433" w:type="pct"/>
            <w:hideMark/>
          </w:tcPr>
          <w:p w14:paraId="200BE926"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Microwave-assisted synthesis, flow chemistry</w:t>
            </w:r>
          </w:p>
        </w:tc>
        <w:tc>
          <w:tcPr>
            <w:tcW w:w="1168" w:type="pct"/>
            <w:hideMark/>
          </w:tcPr>
          <w:p w14:paraId="03FC1F44"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Reduces energy consumption</w:t>
            </w:r>
          </w:p>
        </w:tc>
      </w:tr>
      <w:tr w:rsidR="002907B8" w:rsidRPr="002907B8" w14:paraId="313104BB" w14:textId="77777777" w:rsidTr="002907B8">
        <w:trPr>
          <w:trHeight w:val="875"/>
        </w:trPr>
        <w:tc>
          <w:tcPr>
            <w:tcW w:w="1053" w:type="pct"/>
            <w:hideMark/>
          </w:tcPr>
          <w:p w14:paraId="3B0B98CB"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Renewable Feedstocks</w:t>
            </w:r>
          </w:p>
        </w:tc>
        <w:tc>
          <w:tcPr>
            <w:tcW w:w="1345" w:type="pct"/>
            <w:hideMark/>
          </w:tcPr>
          <w:p w14:paraId="46F167DB"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Using materials derived from renewable sources</w:t>
            </w:r>
          </w:p>
        </w:tc>
        <w:tc>
          <w:tcPr>
            <w:tcW w:w="1433" w:type="pct"/>
            <w:hideMark/>
          </w:tcPr>
          <w:p w14:paraId="362A1AAB"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Biomass-derived starting materials</w:t>
            </w:r>
          </w:p>
        </w:tc>
        <w:tc>
          <w:tcPr>
            <w:tcW w:w="1168" w:type="pct"/>
            <w:hideMark/>
          </w:tcPr>
          <w:p w14:paraId="084DF15C"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Promotes sustainability and reduces dependency</w:t>
            </w:r>
          </w:p>
        </w:tc>
      </w:tr>
      <w:tr w:rsidR="002907B8" w:rsidRPr="002907B8" w14:paraId="07CAFE65" w14:textId="77777777" w:rsidTr="002907B8">
        <w:trPr>
          <w:trHeight w:val="875"/>
        </w:trPr>
        <w:tc>
          <w:tcPr>
            <w:tcW w:w="1053" w:type="pct"/>
            <w:hideMark/>
          </w:tcPr>
          <w:p w14:paraId="408F3726"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Catalysis</w:t>
            </w:r>
          </w:p>
        </w:tc>
        <w:tc>
          <w:tcPr>
            <w:tcW w:w="1345" w:type="pct"/>
            <w:hideMark/>
          </w:tcPr>
          <w:p w14:paraId="51439601"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Using catalysts instead of stoichiometric reagents</w:t>
            </w:r>
          </w:p>
        </w:tc>
        <w:tc>
          <w:tcPr>
            <w:tcW w:w="1433" w:type="pct"/>
            <w:hideMark/>
          </w:tcPr>
          <w:p w14:paraId="28DE7F1A"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Biocatalysis, metal catalysis</w:t>
            </w:r>
          </w:p>
        </w:tc>
        <w:tc>
          <w:tcPr>
            <w:tcW w:w="1168" w:type="pct"/>
            <w:hideMark/>
          </w:tcPr>
          <w:p w14:paraId="7ABEE102"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Improves selectivity, reduces waste</w:t>
            </w:r>
          </w:p>
        </w:tc>
      </w:tr>
      <w:tr w:rsidR="002907B8" w:rsidRPr="002907B8" w14:paraId="567F861E" w14:textId="77777777" w:rsidTr="002907B8">
        <w:trPr>
          <w:trHeight w:val="1131"/>
        </w:trPr>
        <w:tc>
          <w:tcPr>
            <w:tcW w:w="1053" w:type="pct"/>
            <w:hideMark/>
          </w:tcPr>
          <w:p w14:paraId="118E1521"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Process Intensification</w:t>
            </w:r>
          </w:p>
        </w:tc>
        <w:tc>
          <w:tcPr>
            <w:tcW w:w="1345" w:type="pct"/>
            <w:hideMark/>
          </w:tcPr>
          <w:p w14:paraId="12CD3B74"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Improving efficiency through continuous flow or in-line monitoring</w:t>
            </w:r>
          </w:p>
        </w:tc>
        <w:tc>
          <w:tcPr>
            <w:tcW w:w="1433" w:type="pct"/>
            <w:hideMark/>
          </w:tcPr>
          <w:p w14:paraId="666E87E9"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Continuous manufacturing, PAT implementation</w:t>
            </w:r>
          </w:p>
        </w:tc>
        <w:tc>
          <w:tcPr>
            <w:tcW w:w="1168" w:type="pct"/>
            <w:hideMark/>
          </w:tcPr>
          <w:p w14:paraId="3960ED61"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Streamlines processes and reduces variability</w:t>
            </w:r>
          </w:p>
        </w:tc>
      </w:tr>
      <w:tr w:rsidR="002907B8" w:rsidRPr="002907B8" w14:paraId="4DE5F2E0" w14:textId="77777777" w:rsidTr="002907B8">
        <w:trPr>
          <w:trHeight w:val="875"/>
        </w:trPr>
        <w:tc>
          <w:tcPr>
            <w:tcW w:w="1053" w:type="pct"/>
            <w:hideMark/>
          </w:tcPr>
          <w:p w14:paraId="75490B9B"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E-factor</w:t>
            </w:r>
          </w:p>
        </w:tc>
        <w:tc>
          <w:tcPr>
            <w:tcW w:w="1345" w:type="pct"/>
            <w:hideMark/>
          </w:tcPr>
          <w:p w14:paraId="0E4F29EE"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Ratio of total waste generated to product obtained</w:t>
            </w:r>
          </w:p>
        </w:tc>
        <w:tc>
          <w:tcPr>
            <w:tcW w:w="1433" w:type="pct"/>
            <w:hideMark/>
          </w:tcPr>
          <w:p w14:paraId="0E08433D"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Widely used in process evaluation</w:t>
            </w:r>
          </w:p>
        </w:tc>
        <w:tc>
          <w:tcPr>
            <w:tcW w:w="1168" w:type="pct"/>
            <w:hideMark/>
          </w:tcPr>
          <w:p w14:paraId="6E084257"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Quantifies process cleanliness</w:t>
            </w:r>
          </w:p>
        </w:tc>
      </w:tr>
      <w:tr w:rsidR="002907B8" w:rsidRPr="002907B8" w14:paraId="2825464E" w14:textId="77777777" w:rsidTr="002907B8">
        <w:trPr>
          <w:trHeight w:val="875"/>
        </w:trPr>
        <w:tc>
          <w:tcPr>
            <w:tcW w:w="1053" w:type="pct"/>
            <w:hideMark/>
          </w:tcPr>
          <w:p w14:paraId="09A34B2D"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Atom Economy (Metric)</w:t>
            </w:r>
          </w:p>
        </w:tc>
        <w:tc>
          <w:tcPr>
            <w:tcW w:w="1345" w:type="pct"/>
            <w:hideMark/>
          </w:tcPr>
          <w:p w14:paraId="5887C1FB"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Percentage of reactants converted to desired product</w:t>
            </w:r>
          </w:p>
        </w:tc>
        <w:tc>
          <w:tcPr>
            <w:tcW w:w="1433" w:type="pct"/>
            <w:hideMark/>
          </w:tcPr>
          <w:p w14:paraId="6B29A2B5"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Applied in route selection</w:t>
            </w:r>
          </w:p>
        </w:tc>
        <w:tc>
          <w:tcPr>
            <w:tcW w:w="1168" w:type="pct"/>
            <w:hideMark/>
          </w:tcPr>
          <w:p w14:paraId="3753E281"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Measures synthesis efficiency</w:t>
            </w:r>
          </w:p>
        </w:tc>
      </w:tr>
      <w:tr w:rsidR="002907B8" w:rsidRPr="002907B8" w14:paraId="7AD416A3" w14:textId="77777777" w:rsidTr="002907B8">
        <w:trPr>
          <w:trHeight w:val="621"/>
        </w:trPr>
        <w:tc>
          <w:tcPr>
            <w:tcW w:w="1053" w:type="pct"/>
            <w:hideMark/>
          </w:tcPr>
          <w:p w14:paraId="3906F734"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PMI (Process Mass Intensity)</w:t>
            </w:r>
          </w:p>
        </w:tc>
        <w:tc>
          <w:tcPr>
            <w:tcW w:w="1345" w:type="pct"/>
            <w:hideMark/>
          </w:tcPr>
          <w:p w14:paraId="5B4649B3"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Total mass input per mass of product</w:t>
            </w:r>
          </w:p>
        </w:tc>
        <w:tc>
          <w:tcPr>
            <w:tcW w:w="1433" w:type="pct"/>
            <w:hideMark/>
          </w:tcPr>
          <w:p w14:paraId="328640A1"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Evaluates solvents, reagents, workups</w:t>
            </w:r>
          </w:p>
        </w:tc>
        <w:tc>
          <w:tcPr>
            <w:tcW w:w="1168" w:type="pct"/>
            <w:hideMark/>
          </w:tcPr>
          <w:p w14:paraId="636A29D7"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Enables full process comparison</w:t>
            </w:r>
          </w:p>
        </w:tc>
      </w:tr>
      <w:tr w:rsidR="002907B8" w:rsidRPr="002907B8" w14:paraId="2BB228AC" w14:textId="77777777" w:rsidTr="002907B8">
        <w:trPr>
          <w:trHeight w:val="875"/>
        </w:trPr>
        <w:tc>
          <w:tcPr>
            <w:tcW w:w="1053" w:type="pct"/>
            <w:hideMark/>
          </w:tcPr>
          <w:p w14:paraId="35755CE2"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b/>
                <w:bCs/>
              </w:rPr>
              <w:t>LCA (Life Cycle Assessment)</w:t>
            </w:r>
          </w:p>
        </w:tc>
        <w:tc>
          <w:tcPr>
            <w:tcW w:w="1345" w:type="pct"/>
            <w:hideMark/>
          </w:tcPr>
          <w:p w14:paraId="727912B4"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Assesses environmental impact across entire process life cycle</w:t>
            </w:r>
          </w:p>
        </w:tc>
        <w:tc>
          <w:tcPr>
            <w:tcW w:w="1433" w:type="pct"/>
            <w:hideMark/>
          </w:tcPr>
          <w:p w14:paraId="29CF83F8"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Incorporates raw material sourcing, energy, and emissions</w:t>
            </w:r>
          </w:p>
        </w:tc>
        <w:tc>
          <w:tcPr>
            <w:tcW w:w="1168" w:type="pct"/>
            <w:hideMark/>
          </w:tcPr>
          <w:p w14:paraId="19068F3F" w14:textId="77777777" w:rsidR="002907B8" w:rsidRPr="002907B8" w:rsidRDefault="002907B8" w:rsidP="002907B8">
            <w:pPr>
              <w:spacing w:line="278" w:lineRule="auto"/>
              <w:jc w:val="both"/>
              <w:rPr>
                <w:rFonts w:ascii="Times New Roman" w:hAnsi="Times New Roman" w:cs="Times New Roman"/>
              </w:rPr>
            </w:pPr>
            <w:r w:rsidRPr="002907B8">
              <w:rPr>
                <w:rFonts w:ascii="Times New Roman" w:hAnsi="Times New Roman" w:cs="Times New Roman"/>
              </w:rPr>
              <w:t>Guides sustainable decision-making</w:t>
            </w:r>
          </w:p>
        </w:tc>
      </w:tr>
    </w:tbl>
    <w:p w14:paraId="65E41B39" w14:textId="07876DAD" w:rsidR="002907B8" w:rsidRPr="007B15F4" w:rsidRDefault="004C4DCF" w:rsidP="004C4DCF">
      <w:pPr>
        <w:jc w:val="center"/>
        <w:rPr>
          <w:rFonts w:ascii="Times New Roman" w:hAnsi="Times New Roman" w:cs="Times New Roman"/>
          <w:b/>
          <w:bCs/>
        </w:rPr>
      </w:pPr>
      <w:r w:rsidRPr="007B15F4">
        <w:rPr>
          <w:rFonts w:ascii="Times New Roman" w:hAnsi="Times New Roman" w:cs="Times New Roman"/>
          <w:b/>
          <w:bCs/>
        </w:rPr>
        <w:lastRenderedPageBreak/>
        <w:t>Table 1. Summary of Green Chemistry Principles and Metrics in Pharmaceutical Synthesis</w:t>
      </w:r>
    </w:p>
    <w:p w14:paraId="084918A8" w14:textId="304F169C" w:rsidR="0091340A" w:rsidRPr="007B15F4" w:rsidRDefault="0091340A" w:rsidP="004C4DCF">
      <w:pPr>
        <w:jc w:val="center"/>
        <w:rPr>
          <w:rFonts w:ascii="Times New Roman" w:hAnsi="Times New Roman" w:cs="Times New Roman"/>
          <w:b/>
          <w:bCs/>
        </w:rPr>
      </w:pPr>
      <w:r w:rsidRPr="007B15F4">
        <w:rPr>
          <w:rFonts w:ascii="Times New Roman" w:hAnsi="Times New Roman" w:cs="Times New Roman"/>
          <w:b/>
          <w:bCs/>
        </w:rPr>
        <w:t xml:space="preserve">Fig .1 </w:t>
      </w:r>
    </w:p>
    <w:p w14:paraId="302B40F7" w14:textId="46DFB3AD" w:rsidR="002907B8" w:rsidRDefault="004C4DCF" w:rsidP="00D64B70">
      <w:pPr>
        <w:jc w:val="both"/>
        <w:rPr>
          <w:rFonts w:ascii="Times New Roman" w:hAnsi="Times New Roman" w:cs="Times New Roman"/>
        </w:rPr>
      </w:pPr>
      <w:r>
        <w:rPr>
          <w:rFonts w:ascii="Times New Roman" w:hAnsi="Times New Roman" w:cs="Times New Roman"/>
          <w:noProof/>
        </w:rPr>
        <w:drawing>
          <wp:inline distT="0" distB="0" distL="0" distR="0" wp14:anchorId="0EFCDC9A" wp14:editId="7A311863">
            <wp:extent cx="5943600" cy="3962400"/>
            <wp:effectExtent l="0" t="0" r="0" b="0"/>
            <wp:docPr id="73046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61507" name="Picture 730461507"/>
                    <pic:cNvPicPr/>
                  </pic:nvPicPr>
                  <pic:blipFill>
                    <a:blip r:embed="rId7"/>
                    <a:stretch>
                      <a:fillRect/>
                    </a:stretch>
                  </pic:blipFill>
                  <pic:spPr>
                    <a:xfrm>
                      <a:off x="0" y="0"/>
                      <a:ext cx="5943600" cy="3962400"/>
                    </a:xfrm>
                    <a:prstGeom prst="rect">
                      <a:avLst/>
                    </a:prstGeom>
                  </pic:spPr>
                </pic:pic>
              </a:graphicData>
            </a:graphic>
          </wp:inline>
        </w:drawing>
      </w:r>
    </w:p>
    <w:p w14:paraId="6331FC7C" w14:textId="77777777" w:rsidR="002907B8" w:rsidRDefault="002907B8" w:rsidP="00D64B70">
      <w:pPr>
        <w:jc w:val="both"/>
        <w:rPr>
          <w:rFonts w:ascii="Times New Roman" w:hAnsi="Times New Roman" w:cs="Times New Roman"/>
        </w:rPr>
      </w:pPr>
    </w:p>
    <w:p w14:paraId="70DBFE3C" w14:textId="77777777" w:rsidR="002907B8" w:rsidRDefault="002907B8" w:rsidP="00D64B70">
      <w:pPr>
        <w:jc w:val="both"/>
        <w:rPr>
          <w:rFonts w:ascii="Times New Roman" w:hAnsi="Times New Roman" w:cs="Times New Roman"/>
        </w:rPr>
      </w:pPr>
    </w:p>
    <w:p w14:paraId="4B50D652" w14:textId="77777777" w:rsidR="004C4DCF" w:rsidRPr="004C4DCF" w:rsidRDefault="004C4DCF" w:rsidP="004C4DCF">
      <w:pPr>
        <w:jc w:val="both"/>
        <w:rPr>
          <w:rFonts w:ascii="Times New Roman" w:hAnsi="Times New Roman" w:cs="Times New Roman"/>
          <w:b/>
          <w:bCs/>
        </w:rPr>
      </w:pPr>
      <w:r w:rsidRPr="004C4DCF">
        <w:rPr>
          <w:rFonts w:ascii="Times New Roman" w:hAnsi="Times New Roman" w:cs="Times New Roman"/>
          <w:b/>
          <w:bCs/>
        </w:rPr>
        <w:t>Green Synthesis Strategies and Solvent Alternatives</w:t>
      </w:r>
    </w:p>
    <w:p w14:paraId="773AE6A5"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t>Green synthesis strategies have gained significant traction in pharmaceutical manufacturing as industries aim to mitigate environmental impact, improve process efficiency, and comply with increasingly stringent regulatory frameworks. At the core of these strategies lies the adoption of greener solvents and innovative reaction conditions that collectively reduce hazardous waste generation and energy consumption.</w:t>
      </w:r>
    </w:p>
    <w:p w14:paraId="29AF467F"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t>Traditional pharmaceutical synthesis often relies heavily on volatile organic solvents such as dichloromethane, benzene, and toluene, which pose serious health risks and environmental concerns. These solvents contribute to significant hazardous waste and volatile organic compound (VOC) emissions, complicating waste management and increasing overall process costs [12]. The shift towards greener solvents thus represents a fundamental step in reducing the environmental footprint of drug manufacturing.</w:t>
      </w:r>
    </w:p>
    <w:p w14:paraId="44304809"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lastRenderedPageBreak/>
        <w:t>Water is considered the most environmentally benign solvent due to its non-toxic, non-flammable nature and abundance. However, its limited solubility for many organic compounds has historically restricted its use. Recent advances in reaction engineering and catalyst design, including micellar catalysis and phase-transfer catalysts, have overcome many solubility challenges, enabling water to act as an effective solvent or co-solvent in a variety of pharmaceutical syntheses [13].</w:t>
      </w:r>
    </w:p>
    <w:p w14:paraId="0B484934"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t>Supercritical carbon dioxide (</w:t>
      </w:r>
      <w:proofErr w:type="spellStart"/>
      <w:r w:rsidRPr="004C4DCF">
        <w:rPr>
          <w:rFonts w:ascii="Times New Roman" w:hAnsi="Times New Roman" w:cs="Times New Roman"/>
        </w:rPr>
        <w:t>scCO</w:t>
      </w:r>
      <w:proofErr w:type="spellEnd"/>
      <w:r w:rsidRPr="004C4DCF">
        <w:rPr>
          <w:rFonts w:ascii="Times New Roman" w:hAnsi="Times New Roman" w:cs="Times New Roman"/>
        </w:rPr>
        <w:t xml:space="preserve">₂) is another attractive solvent, offering unique tunable solvency, non-flammability, and ease of removal by simple depressurization. </w:t>
      </w:r>
      <w:proofErr w:type="spellStart"/>
      <w:r w:rsidRPr="004C4DCF">
        <w:rPr>
          <w:rFonts w:ascii="Times New Roman" w:hAnsi="Times New Roman" w:cs="Times New Roman"/>
        </w:rPr>
        <w:t>scCO</w:t>
      </w:r>
      <w:proofErr w:type="spellEnd"/>
      <w:r w:rsidRPr="004C4DCF">
        <w:rPr>
          <w:rFonts w:ascii="Times New Roman" w:hAnsi="Times New Roman" w:cs="Times New Roman"/>
        </w:rPr>
        <w:t>₂ has been successfully employed in extraction processes, asymmetric catalysis, and polymerization reactions in pharmaceutical applications, dramatically reducing solvent residues and waste [14]. Its mild critical temperature and pressure make it suitable for thermally sensitive molecules, preserving drug integrity while facilitating greener processing.</w:t>
      </w:r>
    </w:p>
    <w:p w14:paraId="6F2D11C0"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t>Ionic liquids (ILs) and deep eutectic solvents (DESs) have emerged as innovative alternatives that address several limitations of conventional solvents. Ionic liquids are salts that remain liquid at relatively low temperatures and are characterized by negligible vapor pressure, high thermal stability, and excellent solvation abilities. DESs, a subclass of ILs formed by hydrogen bond donors and acceptors, are similarly tunable and biodegradable, often derived from renewable components such as choline chloride and natural acids [15]. Both ILs and DESs enhance catalyst stability and recyclability, allowing for efficient catalytic cycles and reducing the consumption of hazardous reagents.</w:t>
      </w:r>
    </w:p>
    <w:p w14:paraId="2F0EE5FE"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t>Beyond solvent replacement, energy-efficient synthetic methods such as microwave-assisted and ultrasound-assisted synthesis have revolutionized green chemistry. Microwave irradiation accelerates molecular vibrations, dramatically reducing reaction times from hours to minutes and often enabling solvent-free or aqueous-phase conditions [16]. Ultrasound irradiation enhances mass transfer and reaction rates through acoustic cavitation, further lowering energy demands and improving yields. These technologies also support scaling up by offering precise control over reaction parameters and minimizing side reactions.</w:t>
      </w:r>
    </w:p>
    <w:p w14:paraId="699A02D5" w14:textId="3774391C" w:rsidR="004C4DCF" w:rsidRPr="004C4DCF" w:rsidRDefault="004C4DCF" w:rsidP="004C4DCF">
      <w:pPr>
        <w:jc w:val="both"/>
        <w:rPr>
          <w:rFonts w:ascii="Times New Roman" w:hAnsi="Times New Roman" w:cs="Times New Roman"/>
        </w:rPr>
      </w:pPr>
      <w:r w:rsidRPr="004C4DCF">
        <w:rPr>
          <w:rFonts w:ascii="Times New Roman" w:hAnsi="Times New Roman" w:cs="Times New Roman"/>
        </w:rPr>
        <w:t>Another pivotal green synthesis strategy is mechanochemistry, which involves chemical transformations induced by mechanical force</w:t>
      </w:r>
      <w:r w:rsidR="008F5028">
        <w:rPr>
          <w:rFonts w:ascii="Times New Roman" w:hAnsi="Times New Roman" w:cs="Times New Roman"/>
        </w:rPr>
        <w:t xml:space="preserve"> </w:t>
      </w:r>
      <w:r w:rsidRPr="004C4DCF">
        <w:rPr>
          <w:rFonts w:ascii="Times New Roman" w:hAnsi="Times New Roman" w:cs="Times New Roman"/>
        </w:rPr>
        <w:t>often via ball milling</w:t>
      </w:r>
      <w:r w:rsidR="008F5028">
        <w:rPr>
          <w:rFonts w:ascii="Times New Roman" w:hAnsi="Times New Roman" w:cs="Times New Roman"/>
        </w:rPr>
        <w:t xml:space="preserve"> </w:t>
      </w:r>
      <w:r w:rsidRPr="004C4DCF">
        <w:rPr>
          <w:rFonts w:ascii="Times New Roman" w:hAnsi="Times New Roman" w:cs="Times New Roman"/>
        </w:rPr>
        <w:t>eliminating or drastically reducing the need for solvents altogether. This approach has been successfully applied to the synthesis of active pharmaceutical ingredients (APIs), offering high yields, simplified purification, and reduced waste [16].</w:t>
      </w:r>
    </w:p>
    <w:p w14:paraId="546BA31C" w14:textId="77777777" w:rsidR="004C4DCF" w:rsidRPr="004C4DCF" w:rsidRDefault="004C4DCF" w:rsidP="004C4DCF">
      <w:pPr>
        <w:jc w:val="both"/>
        <w:rPr>
          <w:rFonts w:ascii="Times New Roman" w:hAnsi="Times New Roman" w:cs="Times New Roman"/>
        </w:rPr>
      </w:pPr>
      <w:r w:rsidRPr="004C4DCF">
        <w:rPr>
          <w:rFonts w:ascii="Times New Roman" w:hAnsi="Times New Roman" w:cs="Times New Roman"/>
        </w:rPr>
        <w:t>Crucially, biocatalysis integrates enzymatic or whole-cell catalysts into pharmaceutical syntheses, capitalizing on their remarkable selectivity, mild operating conditions, and biodegradability. Enzymatic transformations often proceed under ambient temperature and pressure, reducing the need for hazardous chemicals and energy-intensive steps. This approach is especially beneficial for producing chiral intermediates, a common challenge in drug development [17]. Advances in protein engineering and immobilization techniques have expanded enzyme stability and reusability, making biocatalysis a cornerstone of sustainable pharmaceutical manufacturing.</w:t>
      </w:r>
    </w:p>
    <w:p w14:paraId="405D3B12" w14:textId="4BE4A346" w:rsidR="004C4DCF" w:rsidRPr="004C4DCF" w:rsidRDefault="004C4DCF" w:rsidP="004C4DCF">
      <w:pPr>
        <w:jc w:val="both"/>
        <w:rPr>
          <w:rFonts w:ascii="Times New Roman" w:hAnsi="Times New Roman" w:cs="Times New Roman"/>
        </w:rPr>
      </w:pPr>
      <w:r w:rsidRPr="004C4DCF">
        <w:rPr>
          <w:rFonts w:ascii="Times New Roman" w:hAnsi="Times New Roman" w:cs="Times New Roman"/>
        </w:rPr>
        <w:lastRenderedPageBreak/>
        <w:t>Together, these green synthesis strategies</w:t>
      </w:r>
      <w:r w:rsidR="008F5028">
        <w:rPr>
          <w:rFonts w:ascii="Times New Roman" w:hAnsi="Times New Roman" w:cs="Times New Roman"/>
        </w:rPr>
        <w:t xml:space="preserve"> </w:t>
      </w:r>
      <w:r w:rsidRPr="004C4DCF">
        <w:rPr>
          <w:rFonts w:ascii="Times New Roman" w:hAnsi="Times New Roman" w:cs="Times New Roman"/>
        </w:rPr>
        <w:t>ranging from solvent innovation to cutting-edge energy-efficient and catalytic techniques</w:t>
      </w:r>
      <w:r w:rsidR="008F5028">
        <w:rPr>
          <w:rFonts w:ascii="Times New Roman" w:hAnsi="Times New Roman" w:cs="Times New Roman"/>
        </w:rPr>
        <w:t xml:space="preserve"> </w:t>
      </w:r>
      <w:r w:rsidRPr="004C4DCF">
        <w:rPr>
          <w:rFonts w:ascii="Times New Roman" w:hAnsi="Times New Roman" w:cs="Times New Roman"/>
        </w:rPr>
        <w:t>are transforming pharmaceutical manufacturing. Their adoption supports not only compliance with environmental regulations but also economic advantages through reduced waste treatment costs, improved safety profiles, and enhanced process robustness.</w:t>
      </w:r>
    </w:p>
    <w:p w14:paraId="4E266855" w14:textId="77777777" w:rsidR="00331C56" w:rsidRPr="00331C56" w:rsidRDefault="00331C56" w:rsidP="00331C56">
      <w:pPr>
        <w:jc w:val="both"/>
        <w:rPr>
          <w:rFonts w:ascii="Times New Roman" w:hAnsi="Times New Roman" w:cs="Times New Roman"/>
          <w:b/>
          <w:bCs/>
        </w:rPr>
      </w:pPr>
      <w:r w:rsidRPr="00331C56">
        <w:rPr>
          <w:rFonts w:ascii="Times New Roman" w:hAnsi="Times New Roman" w:cs="Times New Roman"/>
          <w:b/>
          <w:bCs/>
        </w:rPr>
        <w:t>Biocatalysis in Green Pharmaceutical Synthesis</w:t>
      </w:r>
    </w:p>
    <w:p w14:paraId="327D5414" w14:textId="698DFE31" w:rsidR="00331C56" w:rsidRPr="00331C56" w:rsidRDefault="00331C56" w:rsidP="00331C56">
      <w:pPr>
        <w:jc w:val="both"/>
        <w:rPr>
          <w:rFonts w:ascii="Times New Roman" w:hAnsi="Times New Roman" w:cs="Times New Roman"/>
        </w:rPr>
      </w:pPr>
      <w:r w:rsidRPr="00331C56">
        <w:rPr>
          <w:rFonts w:ascii="Times New Roman" w:hAnsi="Times New Roman" w:cs="Times New Roman"/>
        </w:rPr>
        <w:t>Biocatalysis has emerged as one of the most promising and impactful strategies for achieving green and sustainable pharmaceutical synthesis. Utilizing enzymes or whole-cell systems, biocatalysis enables chemical transformations under mild, aqueous conditions, often with exceptional chemo-, regio-, and stereoselectivity. These features not only reduce energy consumption and hazardous waste but also simplify purification and enhance product yields</w:t>
      </w:r>
      <w:r>
        <w:rPr>
          <w:rFonts w:ascii="Times New Roman" w:hAnsi="Times New Roman" w:cs="Times New Roman"/>
        </w:rPr>
        <w:t xml:space="preserve"> </w:t>
      </w:r>
      <w:r w:rsidRPr="00331C56">
        <w:rPr>
          <w:rFonts w:ascii="Times New Roman" w:hAnsi="Times New Roman" w:cs="Times New Roman"/>
        </w:rPr>
        <w:t>key objectives in green chemistry [18].</w:t>
      </w:r>
    </w:p>
    <w:p w14:paraId="0D0F5CE2" w14:textId="40FDA764" w:rsidR="00331C56" w:rsidRPr="00331C56" w:rsidRDefault="00331C56" w:rsidP="00331C56">
      <w:pPr>
        <w:jc w:val="both"/>
        <w:rPr>
          <w:rFonts w:ascii="Times New Roman" w:hAnsi="Times New Roman" w:cs="Times New Roman"/>
        </w:rPr>
      </w:pPr>
      <w:r w:rsidRPr="00331C56">
        <w:rPr>
          <w:rFonts w:ascii="Times New Roman" w:hAnsi="Times New Roman" w:cs="Times New Roman"/>
        </w:rPr>
        <w:t>One of the major advantages of biocatalysis is its ability to replace traditional metal-based catalysts, which are often toxic, expensive, and environmentally burdensome. Enzymes</w:t>
      </w:r>
      <w:r>
        <w:rPr>
          <w:rFonts w:ascii="Times New Roman" w:hAnsi="Times New Roman" w:cs="Times New Roman"/>
        </w:rPr>
        <w:t xml:space="preserve"> </w:t>
      </w:r>
      <w:r w:rsidRPr="00331C56">
        <w:rPr>
          <w:rFonts w:ascii="Times New Roman" w:hAnsi="Times New Roman" w:cs="Times New Roman"/>
        </w:rPr>
        <w:t>such as transaminases, oxidoreductases, hydrolases, and lyases</w:t>
      </w:r>
      <w:r>
        <w:rPr>
          <w:rFonts w:ascii="Times New Roman" w:hAnsi="Times New Roman" w:cs="Times New Roman"/>
        </w:rPr>
        <w:t xml:space="preserve"> </w:t>
      </w:r>
      <w:r w:rsidRPr="00331C56">
        <w:rPr>
          <w:rFonts w:ascii="Times New Roman" w:hAnsi="Times New Roman" w:cs="Times New Roman"/>
        </w:rPr>
        <w:t xml:space="preserve">offer a biodegradable, non-toxic alternative capable of catalyzing reactions with minimal by-products and under near-ambient conditions [19]. These properties are particularly valuable in the synthesis of chiral drug intermediates, where high enantioselectivity is critical. For example, the enzymatic resolution of racemic alcohols or amines using lipases or </w:t>
      </w:r>
      <w:proofErr w:type="spellStart"/>
      <w:r w:rsidRPr="00331C56">
        <w:rPr>
          <w:rFonts w:ascii="Times New Roman" w:hAnsi="Times New Roman" w:cs="Times New Roman"/>
        </w:rPr>
        <w:t>ketoreductases</w:t>
      </w:r>
      <w:proofErr w:type="spellEnd"/>
      <w:r w:rsidRPr="00331C56">
        <w:rPr>
          <w:rFonts w:ascii="Times New Roman" w:hAnsi="Times New Roman" w:cs="Times New Roman"/>
        </w:rPr>
        <w:t xml:space="preserve"> has become a standard practice in the synthesis of β-blockers, antidepressants, and statins [20].</w:t>
      </w:r>
    </w:p>
    <w:p w14:paraId="216B06DF"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Recent innovations in protein engineering and directed evolution have significantly enhanced the stability, activity, and substrate specificity of biocatalysts, allowing them to function in non-natural environments such as organic solvents or high-temperature conditions. This progress has expanded the range of applicable substrates and reactions, bridging the gap between traditional organic synthesis and enzyme-catalyzed transformations [21]. Immobilization technologies have further improved the reusability and operational stability of enzymes, reducing process costs and enabling continuous-flow applications, which are highly desirable for industrial-scale synthesis [22].</w:t>
      </w:r>
    </w:p>
    <w:p w14:paraId="21F35867"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Several pharmaceutical companies have successfully implemented biocatalysis in commercial drug manufacturing. Notably, Merck’s synthesis of sitagliptin, a diabetes drug, was improved by replacing a rhodium-catalyzed asymmetric hydrogenation with a transaminase-catalyzed amination. This change not only eliminated the use of heavy metals but also increased yield and significantly reduced waste generation [23]. Another example includes the enzymatic preparation of pregabalin intermediates using engineered ω-transaminases, showcasing how tailored biocatalysts can streamline complex synthesis pathways [24].</w:t>
      </w:r>
    </w:p>
    <w:p w14:paraId="0F933486" w14:textId="77777777" w:rsidR="00331C56" w:rsidRDefault="00331C56" w:rsidP="00331C56">
      <w:pPr>
        <w:jc w:val="both"/>
        <w:rPr>
          <w:rFonts w:ascii="Times New Roman" w:hAnsi="Times New Roman" w:cs="Times New Roman"/>
        </w:rPr>
      </w:pPr>
      <w:r w:rsidRPr="00331C56">
        <w:rPr>
          <w:rFonts w:ascii="Times New Roman" w:hAnsi="Times New Roman" w:cs="Times New Roman"/>
        </w:rPr>
        <w:t xml:space="preserve">The integration of biocatalysis into early drug development and process design is now seen as a strategic imperative. When applied from the outset, enzymes can influence synthetic route selection, reduce the number of steps, and improve overall sustainability. As computational tools and databases for enzyme discovery continue to evolve, the identification of novel biocatalysts for </w:t>
      </w:r>
      <w:r w:rsidRPr="00331C56">
        <w:rPr>
          <w:rFonts w:ascii="Times New Roman" w:hAnsi="Times New Roman" w:cs="Times New Roman"/>
        </w:rPr>
        <w:lastRenderedPageBreak/>
        <w:t>new-to-nature reactions is becoming faster and more efficient, further embedding biocatalysis into modern green chemistry toolkits [25].</w:t>
      </w:r>
    </w:p>
    <w:p w14:paraId="143AC9B9" w14:textId="77777777" w:rsidR="00331C56" w:rsidRPr="00331C56" w:rsidRDefault="00331C56" w:rsidP="00331C56">
      <w:pPr>
        <w:jc w:val="both"/>
        <w:rPr>
          <w:rFonts w:ascii="Times New Roman" w:hAnsi="Times New Roman" w:cs="Times New Roman"/>
          <w:b/>
          <w:bCs/>
        </w:rPr>
      </w:pPr>
      <w:r w:rsidRPr="00331C56">
        <w:rPr>
          <w:rFonts w:ascii="Times New Roman" w:hAnsi="Times New Roman" w:cs="Times New Roman"/>
          <w:b/>
          <w:bCs/>
        </w:rPr>
        <w:t>Catalysis in Green Pharmaceutical Synthesis</w:t>
      </w:r>
    </w:p>
    <w:p w14:paraId="2E598D7C" w14:textId="631BB506" w:rsidR="00331C56" w:rsidRPr="00331C56" w:rsidRDefault="00331C56" w:rsidP="00331C56">
      <w:pPr>
        <w:jc w:val="both"/>
        <w:rPr>
          <w:rFonts w:ascii="Times New Roman" w:hAnsi="Times New Roman" w:cs="Times New Roman"/>
          <w:b/>
          <w:bCs/>
        </w:rPr>
      </w:pPr>
      <w:r w:rsidRPr="00331C56">
        <w:rPr>
          <w:rFonts w:ascii="Times New Roman" w:hAnsi="Times New Roman" w:cs="Times New Roman"/>
          <w:b/>
          <w:bCs/>
        </w:rPr>
        <w:t>Overview of Catalysis: Importance in Green Chemistry</w:t>
      </w:r>
    </w:p>
    <w:p w14:paraId="3C958844" w14:textId="4A9526FD" w:rsidR="00331C56" w:rsidRPr="00331C56" w:rsidRDefault="00331C56" w:rsidP="00331C56">
      <w:pPr>
        <w:jc w:val="both"/>
        <w:rPr>
          <w:rFonts w:ascii="Times New Roman" w:hAnsi="Times New Roman" w:cs="Times New Roman"/>
        </w:rPr>
      </w:pPr>
      <w:r w:rsidRPr="00331C56">
        <w:rPr>
          <w:rFonts w:ascii="Times New Roman" w:hAnsi="Times New Roman" w:cs="Times New Roman"/>
        </w:rPr>
        <w:t>Catalysis lies at the heart of green chemistry and plays a crucial role in the sustainable synthesis of pharmaceuticals. By definition, a catalyst is a substance that increases the rate of a chemical reaction without itself being consumed in the process. This ability to accelerate reactions without being used up allows for repeated usage, reducing the need for excess reagents and enabling lower-energy, higher-efficiency processes</w:t>
      </w:r>
      <w:r>
        <w:rPr>
          <w:rFonts w:ascii="Times New Roman" w:hAnsi="Times New Roman" w:cs="Times New Roman"/>
        </w:rPr>
        <w:t xml:space="preserve"> </w:t>
      </w:r>
      <w:r w:rsidRPr="00331C56">
        <w:rPr>
          <w:rFonts w:ascii="Times New Roman" w:hAnsi="Times New Roman" w:cs="Times New Roman"/>
        </w:rPr>
        <w:t>key principles in green chemistry [26].</w:t>
      </w:r>
    </w:p>
    <w:p w14:paraId="4F9977B6"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One of the primary environmental advantages of catalysis is its ability to significantly reduce energy requirements. Catalyzed reactions often proceed under milder temperatures and pressures than their uncatalyzed counterparts. For example, enzymatic or metal-catalyzed reactions can be conducted at room temperature, minimizing the need for energy-intensive heating or cooling, and thereby lowering the carbon footprint of the process [27].</w:t>
      </w:r>
    </w:p>
    <w:p w14:paraId="4D92673E" w14:textId="0A50D476" w:rsidR="00331C56" w:rsidRPr="00331C56" w:rsidRDefault="00331C56" w:rsidP="00331C56">
      <w:pPr>
        <w:jc w:val="both"/>
        <w:rPr>
          <w:rFonts w:ascii="Times New Roman" w:hAnsi="Times New Roman" w:cs="Times New Roman"/>
        </w:rPr>
      </w:pPr>
      <w:r w:rsidRPr="00331C56">
        <w:rPr>
          <w:rFonts w:ascii="Times New Roman" w:hAnsi="Times New Roman" w:cs="Times New Roman"/>
        </w:rPr>
        <w:t>In addition to energy efficiency, catalysis improves selectivity, which is especially vital in pharmaceutical synthesis. High chemo-, regio-, and stereoselectivity reduces the formation of unwanted by-products, improving overall yields and decreasing the need for extensive downstream purification. This not only conserves materials and solvents but also diminishes the generation of hazardous waste [28]. For instance, asymmetric catalysis enables the selective formation of one enantiomer over another</w:t>
      </w:r>
      <w:r>
        <w:rPr>
          <w:rFonts w:ascii="Times New Roman" w:hAnsi="Times New Roman" w:cs="Times New Roman"/>
        </w:rPr>
        <w:t xml:space="preserve"> </w:t>
      </w:r>
      <w:r w:rsidRPr="00331C56">
        <w:rPr>
          <w:rFonts w:ascii="Times New Roman" w:hAnsi="Times New Roman" w:cs="Times New Roman"/>
        </w:rPr>
        <w:t>crucial in the development of chiral drugs, where biological activity is often enantioselective [29].</w:t>
      </w:r>
    </w:p>
    <w:p w14:paraId="048FA578"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b/>
          <w:bCs/>
        </w:rPr>
        <w:t>Catalyst recyclability and reusability</w:t>
      </w:r>
      <w:r w:rsidRPr="00331C56">
        <w:rPr>
          <w:rFonts w:ascii="Times New Roman" w:hAnsi="Times New Roman" w:cs="Times New Roman"/>
        </w:rPr>
        <w:t xml:space="preserve"> further enhance the sustainability of catalytic processes. Many homogeneous and heterogeneous catalysts can be recovered and reused multiple times without significant loss in activity, reducing the consumption of valuable metals and raw materials. Immobilized enzymes and supported metal catalysts are increasingly used in industrial processes for this purpose, aligning with the principle of resource efficiency [30].</w:t>
      </w:r>
    </w:p>
    <w:p w14:paraId="15CBAE4F"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From an economic perspective, catalytic processes offer cost savings by decreasing reagent use, reducing waste disposal requirements, and shortening production times. These benefits are particularly relevant in large-scale pharmaceutical production, where raw material costs and environmental compliance are significant concerns [31].</w:t>
      </w:r>
    </w:p>
    <w:p w14:paraId="41EACBA4"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Moreover, catalysis supports process intensification and miniaturization, enabling reactions to be integrated into continuous-flow systems. These setups improve heat and mass transfer, enhance reaction control, and allow for safer scaling, especially for exothermic or hazardous transformations. Continuous catalysis, particularly using immobilized enzymes or flow-compatible metal catalysts, is now considered a best practice in green manufacturing [32].</w:t>
      </w:r>
    </w:p>
    <w:p w14:paraId="0B1F413E" w14:textId="77777777" w:rsidR="00331C56" w:rsidRPr="00331C56" w:rsidRDefault="00331C56" w:rsidP="00331C56">
      <w:pPr>
        <w:jc w:val="both"/>
        <w:rPr>
          <w:rFonts w:ascii="Times New Roman" w:hAnsi="Times New Roman" w:cs="Times New Roman"/>
          <w:b/>
          <w:bCs/>
        </w:rPr>
      </w:pPr>
      <w:r w:rsidRPr="00331C56">
        <w:rPr>
          <w:rFonts w:ascii="Times New Roman" w:hAnsi="Times New Roman" w:cs="Times New Roman"/>
          <w:b/>
          <w:bCs/>
        </w:rPr>
        <w:t>13.2 Transition Metal Catalysis in Green Pharmaceutical Synthesis</w:t>
      </w:r>
    </w:p>
    <w:p w14:paraId="4916A231"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lastRenderedPageBreak/>
        <w:t>Transition metal catalysis has long been a pillar of synthetic organic chemistry and plays a central role in the development of many active pharmaceutical ingredients (APIs). Metals such as palladium (Pd), copper (Cu), and ruthenium (Ru) are widely used to catalyze essential bond-forming reactions, including carbon–carbon (C–C) and carbon–nitrogen (C–N) coupling reactions. These transformations are critical for constructing complex drug-like molecules with high selectivity and efficiency [33].</w:t>
      </w:r>
    </w:p>
    <w:p w14:paraId="04591443"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One of the most notable contributions is the palladium-catalyzed cross-coupling reactions, including Suzuki–Miyaura, Heck, and Buchwald–Hartwig couplings. These reactions enable the formation of aryl–aryl and aryl–amine linkages under mild conditions with excellent functional group tolerance [34]. For example, the Suzuki coupling has been widely adopted in the synthesis of kinase inhibitors, antiviral agents, and other heterocyclic drugs due to its robustness and scalability [35].</w:t>
      </w:r>
    </w:p>
    <w:p w14:paraId="686AF560"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 xml:space="preserve">Copper catalysis, particularly Cu(I)-catalyzed </w:t>
      </w:r>
      <w:proofErr w:type="spellStart"/>
      <w:r w:rsidRPr="00331C56">
        <w:rPr>
          <w:rFonts w:ascii="Times New Roman" w:hAnsi="Times New Roman" w:cs="Times New Roman"/>
        </w:rPr>
        <w:t>azide</w:t>
      </w:r>
      <w:proofErr w:type="spellEnd"/>
      <w:r w:rsidRPr="00331C56">
        <w:rPr>
          <w:rFonts w:ascii="Times New Roman" w:hAnsi="Times New Roman" w:cs="Times New Roman"/>
        </w:rPr>
        <w:t>-alkyne cycloaddition (</w:t>
      </w:r>
      <w:proofErr w:type="spellStart"/>
      <w:r w:rsidRPr="00331C56">
        <w:rPr>
          <w:rFonts w:ascii="Times New Roman" w:hAnsi="Times New Roman" w:cs="Times New Roman"/>
        </w:rPr>
        <w:t>CuAAC</w:t>
      </w:r>
      <w:proofErr w:type="spellEnd"/>
      <w:r w:rsidRPr="00331C56">
        <w:rPr>
          <w:rFonts w:ascii="Times New Roman" w:hAnsi="Times New Roman" w:cs="Times New Roman"/>
        </w:rPr>
        <w:t>), has become indispensable for synthesizing triazole-containing molecules, many of which exhibit potent bioactivity. This “click” reaction is praised for its modularity, high yields, and biocompatibility, making it ideal for pharmaceutical and medicinal chemistry applications [36].</w:t>
      </w:r>
    </w:p>
    <w:p w14:paraId="6A545610"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Ruthenium-based catalysts have found applications in olefin metathesis, oxidation, and hydrogenation reactions, offering high efficiency in transforming complex functional groups under mild conditions [37]. Their tolerance to water and oxygen has made them attractive for large-scale applications, especially in continuous flow or aqueous-phase systems.</w:t>
      </w:r>
    </w:p>
    <w:p w14:paraId="40769D1F"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However, despite their synthetic utility, transition metal catalysts pose significant environmental and regulatory challenges. Many of these metals are toxic, scarce, and expensive, raising concerns about sustainability and safety, particularly when trace metal residues must be tightly controlled in final pharmaceutical products. Recovery and reuse of metal catalysts, while possible, can be technically complex and not always economically viable [38].</w:t>
      </w:r>
    </w:p>
    <w:p w14:paraId="5BC03A12" w14:textId="34C25F03" w:rsidR="00331C56" w:rsidRPr="00331C56" w:rsidRDefault="00331C56" w:rsidP="00331C56">
      <w:pPr>
        <w:jc w:val="both"/>
        <w:rPr>
          <w:rFonts w:ascii="Times New Roman" w:hAnsi="Times New Roman" w:cs="Times New Roman"/>
        </w:rPr>
      </w:pPr>
      <w:r w:rsidRPr="00331C56">
        <w:rPr>
          <w:rFonts w:ascii="Times New Roman" w:hAnsi="Times New Roman" w:cs="Times New Roman"/>
        </w:rPr>
        <w:t>To address these issues, green chemistry encourages the development of heterogeneous or supported metal catalysts, ligand-free systems, and low-loading catalytic methods that minimize metal leaching and simplify purification. Moreover, integrating these systems into flow reactors allows for better catalyst control, reduced contamination, and improved scalability, thereby making metal catalysis more compatible with green pharmaceutical goals [39].</w:t>
      </w:r>
    </w:p>
    <w:p w14:paraId="7880BD05" w14:textId="59628CDA" w:rsidR="00331C56" w:rsidRPr="00331C56" w:rsidRDefault="00331C56" w:rsidP="00331C56">
      <w:pPr>
        <w:jc w:val="both"/>
        <w:rPr>
          <w:rFonts w:ascii="Times New Roman" w:hAnsi="Times New Roman" w:cs="Times New Roman"/>
          <w:b/>
          <w:bCs/>
        </w:rPr>
      </w:pPr>
      <w:proofErr w:type="spellStart"/>
      <w:r w:rsidRPr="00331C56">
        <w:rPr>
          <w:rFonts w:ascii="Times New Roman" w:hAnsi="Times New Roman" w:cs="Times New Roman"/>
          <w:b/>
          <w:bCs/>
        </w:rPr>
        <w:t>Organocatalysis</w:t>
      </w:r>
      <w:proofErr w:type="spellEnd"/>
      <w:r w:rsidRPr="00331C56">
        <w:rPr>
          <w:rFonts w:ascii="Times New Roman" w:hAnsi="Times New Roman" w:cs="Times New Roman"/>
          <w:b/>
          <w:bCs/>
        </w:rPr>
        <w:t>: A Metal-Free Alternative</w:t>
      </w:r>
    </w:p>
    <w:p w14:paraId="7DE06C03" w14:textId="32B96F15" w:rsidR="00331C56" w:rsidRPr="00331C56" w:rsidRDefault="00331C56" w:rsidP="00331C56">
      <w:pPr>
        <w:jc w:val="both"/>
        <w:rPr>
          <w:rFonts w:ascii="Times New Roman" w:hAnsi="Times New Roman" w:cs="Times New Roman"/>
        </w:rPr>
      </w:pPr>
      <w:proofErr w:type="spellStart"/>
      <w:r w:rsidRPr="00331C56">
        <w:rPr>
          <w:rFonts w:ascii="Times New Roman" w:hAnsi="Times New Roman" w:cs="Times New Roman"/>
        </w:rPr>
        <w:t>Organocatalysis</w:t>
      </w:r>
      <w:proofErr w:type="spellEnd"/>
      <w:r>
        <w:rPr>
          <w:rFonts w:ascii="Times New Roman" w:hAnsi="Times New Roman" w:cs="Times New Roman"/>
        </w:rPr>
        <w:t xml:space="preserve"> </w:t>
      </w:r>
      <w:r w:rsidRPr="00331C56">
        <w:rPr>
          <w:rFonts w:ascii="Times New Roman" w:hAnsi="Times New Roman" w:cs="Times New Roman"/>
        </w:rPr>
        <w:t>the use of small organic molecules as catalysts</w:t>
      </w:r>
      <w:r>
        <w:rPr>
          <w:rFonts w:ascii="Times New Roman" w:hAnsi="Times New Roman" w:cs="Times New Roman"/>
        </w:rPr>
        <w:t xml:space="preserve"> </w:t>
      </w:r>
      <w:r w:rsidRPr="00331C56">
        <w:rPr>
          <w:rFonts w:ascii="Times New Roman" w:hAnsi="Times New Roman" w:cs="Times New Roman"/>
        </w:rPr>
        <w:t xml:space="preserve">has emerged as a promising alternative to transition metal catalysis in the quest for greener pharmaceutical synthesis. Unlike their metal-based counterparts, </w:t>
      </w:r>
      <w:proofErr w:type="spellStart"/>
      <w:r w:rsidRPr="00331C56">
        <w:rPr>
          <w:rFonts w:ascii="Times New Roman" w:hAnsi="Times New Roman" w:cs="Times New Roman"/>
        </w:rPr>
        <w:t>organocatalysts</w:t>
      </w:r>
      <w:proofErr w:type="spellEnd"/>
      <w:r w:rsidRPr="00331C56">
        <w:rPr>
          <w:rFonts w:ascii="Times New Roman" w:hAnsi="Times New Roman" w:cs="Times New Roman"/>
        </w:rPr>
        <w:t xml:space="preserve"> are typically non-toxic, biodegradable, and stable under ambient conditions, aligning well with the principles of green chemistry [40].</w:t>
      </w:r>
    </w:p>
    <w:p w14:paraId="259CB164" w14:textId="494F8E7E" w:rsidR="00331C56" w:rsidRPr="00331C56" w:rsidRDefault="00331C56" w:rsidP="00331C56">
      <w:pPr>
        <w:jc w:val="both"/>
        <w:rPr>
          <w:rFonts w:ascii="Times New Roman" w:hAnsi="Times New Roman" w:cs="Times New Roman"/>
        </w:rPr>
      </w:pPr>
      <w:proofErr w:type="spellStart"/>
      <w:r w:rsidRPr="00331C56">
        <w:rPr>
          <w:rFonts w:ascii="Times New Roman" w:hAnsi="Times New Roman" w:cs="Times New Roman"/>
        </w:rPr>
        <w:lastRenderedPageBreak/>
        <w:t>Organocatalysts</w:t>
      </w:r>
      <w:proofErr w:type="spellEnd"/>
      <w:r w:rsidRPr="00331C56">
        <w:rPr>
          <w:rFonts w:ascii="Times New Roman" w:hAnsi="Times New Roman" w:cs="Times New Roman"/>
        </w:rPr>
        <w:t xml:space="preserve"> operate via various mechanisms, including enamine catalysis, iminium catalysis, Brønsted acid/base catalysis, and hydrogen bonding. Commonly used </w:t>
      </w:r>
      <w:proofErr w:type="spellStart"/>
      <w:r w:rsidRPr="00331C56">
        <w:rPr>
          <w:rFonts w:ascii="Times New Roman" w:hAnsi="Times New Roman" w:cs="Times New Roman"/>
        </w:rPr>
        <w:t>organocatalysts</w:t>
      </w:r>
      <w:proofErr w:type="spellEnd"/>
      <w:r w:rsidRPr="00331C56">
        <w:rPr>
          <w:rFonts w:ascii="Times New Roman" w:hAnsi="Times New Roman" w:cs="Times New Roman"/>
        </w:rPr>
        <w:t xml:space="preserve"> include proline, </w:t>
      </w:r>
      <w:proofErr w:type="spellStart"/>
      <w:r w:rsidRPr="00331C56">
        <w:rPr>
          <w:rFonts w:ascii="Times New Roman" w:hAnsi="Times New Roman" w:cs="Times New Roman"/>
        </w:rPr>
        <w:t>diarylprolinol</w:t>
      </w:r>
      <w:proofErr w:type="spellEnd"/>
      <w:r w:rsidRPr="00331C56">
        <w:rPr>
          <w:rFonts w:ascii="Times New Roman" w:hAnsi="Times New Roman" w:cs="Times New Roman"/>
        </w:rPr>
        <w:t xml:space="preserve"> silyl ethers, thioureas, and imidazolidinones. These catalysts enable a broad range of reactions</w:t>
      </w:r>
      <w:r>
        <w:rPr>
          <w:rFonts w:ascii="Times New Roman" w:hAnsi="Times New Roman" w:cs="Times New Roman"/>
        </w:rPr>
        <w:t xml:space="preserve"> </w:t>
      </w:r>
      <w:r w:rsidRPr="00331C56">
        <w:rPr>
          <w:rFonts w:ascii="Times New Roman" w:hAnsi="Times New Roman" w:cs="Times New Roman"/>
        </w:rPr>
        <w:t xml:space="preserve">such as aldol, Michael, </w:t>
      </w:r>
      <w:proofErr w:type="spellStart"/>
      <w:r w:rsidRPr="00331C56">
        <w:rPr>
          <w:rFonts w:ascii="Times New Roman" w:hAnsi="Times New Roman" w:cs="Times New Roman"/>
        </w:rPr>
        <w:t>Mannich</w:t>
      </w:r>
      <w:proofErr w:type="spellEnd"/>
      <w:r w:rsidRPr="00331C56">
        <w:rPr>
          <w:rFonts w:ascii="Times New Roman" w:hAnsi="Times New Roman" w:cs="Times New Roman"/>
        </w:rPr>
        <w:t>, and Diels</w:t>
      </w:r>
      <w:r w:rsidR="007B15F4">
        <w:rPr>
          <w:rFonts w:ascii="Times New Roman" w:hAnsi="Times New Roman" w:cs="Times New Roman"/>
        </w:rPr>
        <w:t xml:space="preserve"> </w:t>
      </w:r>
      <w:r w:rsidRPr="00331C56">
        <w:rPr>
          <w:rFonts w:ascii="Times New Roman" w:hAnsi="Times New Roman" w:cs="Times New Roman"/>
        </w:rPr>
        <w:t>Alder reactions</w:t>
      </w:r>
      <w:r>
        <w:rPr>
          <w:rFonts w:ascii="Times New Roman" w:hAnsi="Times New Roman" w:cs="Times New Roman"/>
        </w:rPr>
        <w:t xml:space="preserve"> </w:t>
      </w:r>
      <w:r w:rsidRPr="00331C56">
        <w:rPr>
          <w:rFonts w:ascii="Times New Roman" w:hAnsi="Times New Roman" w:cs="Times New Roman"/>
        </w:rPr>
        <w:t>with high enantioselectivity and under mild, aqueous, or solvent-free conditions [41].</w:t>
      </w:r>
    </w:p>
    <w:p w14:paraId="074E1E60"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 xml:space="preserve">One of the major benefits of </w:t>
      </w:r>
      <w:proofErr w:type="spellStart"/>
      <w:r w:rsidRPr="00331C56">
        <w:rPr>
          <w:rFonts w:ascii="Times New Roman" w:hAnsi="Times New Roman" w:cs="Times New Roman"/>
        </w:rPr>
        <w:t>organocatalysis</w:t>
      </w:r>
      <w:proofErr w:type="spellEnd"/>
      <w:r w:rsidRPr="00331C56">
        <w:rPr>
          <w:rFonts w:ascii="Times New Roman" w:hAnsi="Times New Roman" w:cs="Times New Roman"/>
        </w:rPr>
        <w:t xml:space="preserve"> is the elimination of toxic metal residues, which simplifies downstream purification and reduces environmental risk. This is particularly valuable for drugs intended for parenteral or pediatric use, where trace metal contamination must be avoided. Furthermore, </w:t>
      </w:r>
      <w:proofErr w:type="spellStart"/>
      <w:r w:rsidRPr="00331C56">
        <w:rPr>
          <w:rFonts w:ascii="Times New Roman" w:hAnsi="Times New Roman" w:cs="Times New Roman"/>
        </w:rPr>
        <w:t>organocatalysts</w:t>
      </w:r>
      <w:proofErr w:type="spellEnd"/>
      <w:r w:rsidRPr="00331C56">
        <w:rPr>
          <w:rFonts w:ascii="Times New Roman" w:hAnsi="Times New Roman" w:cs="Times New Roman"/>
        </w:rPr>
        <w:t xml:space="preserve"> are often air- and moisture-stable, allowing for simpler handling and storage compared to sensitive metal catalysts [42].</w:t>
      </w:r>
    </w:p>
    <w:p w14:paraId="5AF00292" w14:textId="77777777" w:rsidR="00331C56" w:rsidRPr="00331C56" w:rsidRDefault="00331C56" w:rsidP="00331C56">
      <w:pPr>
        <w:jc w:val="both"/>
        <w:rPr>
          <w:rFonts w:ascii="Times New Roman" w:hAnsi="Times New Roman" w:cs="Times New Roman"/>
        </w:rPr>
      </w:pPr>
      <w:proofErr w:type="spellStart"/>
      <w:r w:rsidRPr="00331C56">
        <w:rPr>
          <w:rFonts w:ascii="Times New Roman" w:hAnsi="Times New Roman" w:cs="Times New Roman"/>
        </w:rPr>
        <w:t>Organocatalysis</w:t>
      </w:r>
      <w:proofErr w:type="spellEnd"/>
      <w:r w:rsidRPr="00331C56">
        <w:rPr>
          <w:rFonts w:ascii="Times New Roman" w:hAnsi="Times New Roman" w:cs="Times New Roman"/>
        </w:rPr>
        <w:t xml:space="preserve"> also supports asymmetric synthesis, making it a key tool in the preparation of chiral intermediates. For example, proline-catalyzed asymmetric aldol reactions have been used to prepare β-hydroxy ketones with high enantioselectivity, while thiourea-based catalysts are employed in nucleophilic additions and cycloadditions to form complex scaffolds [43]. These capabilities are vital in drug development, where stereochemistry often dictates biological activity.</w:t>
      </w:r>
    </w:p>
    <w:p w14:paraId="449F6FA2"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Importantly, many organocatalytic reactions are amenable to scale-up and have been successfully implemented in industrial processes. They also integrate well with flow chemistry and multi-component reactions (MCRs), further enhancing their green profile by reducing steps, time, and resource consumption [44].</w:t>
      </w:r>
    </w:p>
    <w:p w14:paraId="338A7677"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 xml:space="preserve">While </w:t>
      </w:r>
      <w:proofErr w:type="spellStart"/>
      <w:r w:rsidRPr="00331C56">
        <w:rPr>
          <w:rFonts w:ascii="Times New Roman" w:hAnsi="Times New Roman" w:cs="Times New Roman"/>
        </w:rPr>
        <w:t>organocatalysis</w:t>
      </w:r>
      <w:proofErr w:type="spellEnd"/>
      <w:r w:rsidRPr="00331C56">
        <w:rPr>
          <w:rFonts w:ascii="Times New Roman" w:hAnsi="Times New Roman" w:cs="Times New Roman"/>
        </w:rPr>
        <w:t xml:space="preserve"> generally suffers from lower turnover frequencies and higher catalyst loadings compared to metal catalysis, ongoing research in catalyst design, immobilization, and recycling is addressing these limitations. The field continues to evolve rapidly, driven by a growing demand for environmentally benign and economically viable synthetic routes.</w:t>
      </w:r>
    </w:p>
    <w:tbl>
      <w:tblPr>
        <w:tblStyle w:val="TableGrid"/>
        <w:tblW w:w="0" w:type="auto"/>
        <w:tblLook w:val="04A0" w:firstRow="1" w:lastRow="0" w:firstColumn="1" w:lastColumn="0" w:noHBand="0" w:noVBand="1"/>
      </w:tblPr>
      <w:tblGrid>
        <w:gridCol w:w="2701"/>
        <w:gridCol w:w="3141"/>
        <w:gridCol w:w="3508"/>
      </w:tblGrid>
      <w:tr w:rsidR="00331C56" w:rsidRPr="00331C56" w14:paraId="577DABBD" w14:textId="77777777" w:rsidTr="00331C56">
        <w:tc>
          <w:tcPr>
            <w:tcW w:w="0" w:type="auto"/>
            <w:hideMark/>
          </w:tcPr>
          <w:p w14:paraId="0E6193D8" w14:textId="77777777" w:rsidR="00331C56" w:rsidRPr="00331C56" w:rsidRDefault="00331C56" w:rsidP="00331C56">
            <w:pPr>
              <w:spacing w:after="160" w:line="278" w:lineRule="auto"/>
              <w:jc w:val="both"/>
              <w:rPr>
                <w:rFonts w:ascii="Times New Roman" w:hAnsi="Times New Roman" w:cs="Times New Roman"/>
                <w:b/>
                <w:bCs/>
              </w:rPr>
            </w:pPr>
            <w:r w:rsidRPr="00331C56">
              <w:rPr>
                <w:rFonts w:ascii="Times New Roman" w:hAnsi="Times New Roman" w:cs="Times New Roman"/>
                <w:b/>
                <w:bCs/>
              </w:rPr>
              <w:t>Parameter</w:t>
            </w:r>
          </w:p>
        </w:tc>
        <w:tc>
          <w:tcPr>
            <w:tcW w:w="0" w:type="auto"/>
            <w:hideMark/>
          </w:tcPr>
          <w:p w14:paraId="507172E0" w14:textId="77777777" w:rsidR="00331C56" w:rsidRPr="00331C56" w:rsidRDefault="00331C56" w:rsidP="00331C56">
            <w:pPr>
              <w:spacing w:after="160" w:line="278" w:lineRule="auto"/>
              <w:jc w:val="both"/>
              <w:rPr>
                <w:rFonts w:ascii="Times New Roman" w:hAnsi="Times New Roman" w:cs="Times New Roman"/>
                <w:b/>
                <w:bCs/>
              </w:rPr>
            </w:pPr>
            <w:r w:rsidRPr="00331C56">
              <w:rPr>
                <w:rFonts w:ascii="Times New Roman" w:hAnsi="Times New Roman" w:cs="Times New Roman"/>
                <w:b/>
                <w:bCs/>
              </w:rPr>
              <w:t>Transition Metal Catalysis</w:t>
            </w:r>
          </w:p>
        </w:tc>
        <w:tc>
          <w:tcPr>
            <w:tcW w:w="0" w:type="auto"/>
            <w:hideMark/>
          </w:tcPr>
          <w:p w14:paraId="2B50D810" w14:textId="77777777" w:rsidR="00331C56" w:rsidRPr="00331C56" w:rsidRDefault="00331C56" w:rsidP="00331C56">
            <w:pPr>
              <w:spacing w:after="160" w:line="278" w:lineRule="auto"/>
              <w:jc w:val="both"/>
              <w:rPr>
                <w:rFonts w:ascii="Times New Roman" w:hAnsi="Times New Roman" w:cs="Times New Roman"/>
                <w:b/>
                <w:bCs/>
              </w:rPr>
            </w:pPr>
            <w:proofErr w:type="spellStart"/>
            <w:r w:rsidRPr="00331C56">
              <w:rPr>
                <w:rFonts w:ascii="Times New Roman" w:hAnsi="Times New Roman" w:cs="Times New Roman"/>
                <w:b/>
                <w:bCs/>
              </w:rPr>
              <w:t>Organocatalysis</w:t>
            </w:r>
            <w:proofErr w:type="spellEnd"/>
          </w:p>
        </w:tc>
      </w:tr>
      <w:tr w:rsidR="00331C56" w:rsidRPr="00331C56" w14:paraId="7555AB5D" w14:textId="77777777" w:rsidTr="00331C56">
        <w:tc>
          <w:tcPr>
            <w:tcW w:w="0" w:type="auto"/>
            <w:hideMark/>
          </w:tcPr>
          <w:p w14:paraId="0B3247E8"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Catalysts Used</w:t>
            </w:r>
          </w:p>
        </w:tc>
        <w:tc>
          <w:tcPr>
            <w:tcW w:w="0" w:type="auto"/>
            <w:hideMark/>
          </w:tcPr>
          <w:p w14:paraId="22FD4562" w14:textId="77777777" w:rsidR="00331C56" w:rsidRPr="00F35F1B" w:rsidRDefault="00331C56" w:rsidP="00331C56">
            <w:pPr>
              <w:spacing w:after="160" w:line="278" w:lineRule="auto"/>
              <w:jc w:val="both"/>
              <w:rPr>
                <w:rFonts w:ascii="Times New Roman" w:hAnsi="Times New Roman" w:cs="Times New Roman"/>
                <w:lang w:val="nb-NO"/>
              </w:rPr>
            </w:pPr>
            <w:r w:rsidRPr="00F35F1B">
              <w:rPr>
                <w:rFonts w:ascii="Times New Roman" w:hAnsi="Times New Roman" w:cs="Times New Roman"/>
                <w:lang w:val="nb-NO"/>
              </w:rPr>
              <w:t>Pd, Cu, Ru, Ni, Rh, etc.</w:t>
            </w:r>
          </w:p>
        </w:tc>
        <w:tc>
          <w:tcPr>
            <w:tcW w:w="0" w:type="auto"/>
            <w:hideMark/>
          </w:tcPr>
          <w:p w14:paraId="695B799F"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Small organic molecules (e.g., proline, thioureas, imidazolidinones)</w:t>
            </w:r>
          </w:p>
        </w:tc>
      </w:tr>
      <w:tr w:rsidR="00331C56" w:rsidRPr="00331C56" w14:paraId="65B5BC5B" w14:textId="77777777" w:rsidTr="00331C56">
        <w:tc>
          <w:tcPr>
            <w:tcW w:w="0" w:type="auto"/>
            <w:hideMark/>
          </w:tcPr>
          <w:p w14:paraId="729C107C"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Common Reactions</w:t>
            </w:r>
          </w:p>
        </w:tc>
        <w:tc>
          <w:tcPr>
            <w:tcW w:w="0" w:type="auto"/>
            <w:hideMark/>
          </w:tcPr>
          <w:p w14:paraId="68314F11"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C–C, C–N, C–O bond formation (e.g., Suzuki, Heck, Buchwald)</w:t>
            </w:r>
          </w:p>
        </w:tc>
        <w:tc>
          <w:tcPr>
            <w:tcW w:w="0" w:type="auto"/>
            <w:hideMark/>
          </w:tcPr>
          <w:p w14:paraId="46B34047"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 xml:space="preserve">Aldol, Michael, </w:t>
            </w:r>
            <w:proofErr w:type="spellStart"/>
            <w:r w:rsidRPr="00331C56">
              <w:rPr>
                <w:rFonts w:ascii="Times New Roman" w:hAnsi="Times New Roman" w:cs="Times New Roman"/>
              </w:rPr>
              <w:t>Mannich</w:t>
            </w:r>
            <w:proofErr w:type="spellEnd"/>
            <w:r w:rsidRPr="00331C56">
              <w:rPr>
                <w:rFonts w:ascii="Times New Roman" w:hAnsi="Times New Roman" w:cs="Times New Roman"/>
              </w:rPr>
              <w:t>, Diels–Alder, enamine/iminium reactions</w:t>
            </w:r>
          </w:p>
        </w:tc>
      </w:tr>
      <w:tr w:rsidR="00331C56" w:rsidRPr="00331C56" w14:paraId="0D9200B0" w14:textId="77777777" w:rsidTr="00331C56">
        <w:tc>
          <w:tcPr>
            <w:tcW w:w="0" w:type="auto"/>
            <w:hideMark/>
          </w:tcPr>
          <w:p w14:paraId="0807E3BA"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Toxicity Concerns</w:t>
            </w:r>
          </w:p>
        </w:tc>
        <w:tc>
          <w:tcPr>
            <w:tcW w:w="0" w:type="auto"/>
            <w:hideMark/>
          </w:tcPr>
          <w:p w14:paraId="31B802EE"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Moderate to high (especially heavy metals like Pd, Rh)</w:t>
            </w:r>
          </w:p>
        </w:tc>
        <w:tc>
          <w:tcPr>
            <w:tcW w:w="0" w:type="auto"/>
            <w:hideMark/>
          </w:tcPr>
          <w:p w14:paraId="7B552C50"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 xml:space="preserve">Low toxicity; </w:t>
            </w:r>
            <w:proofErr w:type="gramStart"/>
            <w:r w:rsidRPr="00331C56">
              <w:rPr>
                <w:rFonts w:ascii="Times New Roman" w:hAnsi="Times New Roman" w:cs="Times New Roman"/>
              </w:rPr>
              <w:t>typically</w:t>
            </w:r>
            <w:proofErr w:type="gramEnd"/>
            <w:r w:rsidRPr="00331C56">
              <w:rPr>
                <w:rFonts w:ascii="Times New Roman" w:hAnsi="Times New Roman" w:cs="Times New Roman"/>
              </w:rPr>
              <w:t xml:space="preserve"> biodegradable and non-metallic</w:t>
            </w:r>
          </w:p>
        </w:tc>
      </w:tr>
      <w:tr w:rsidR="00331C56" w:rsidRPr="00331C56" w14:paraId="31171527" w14:textId="77777777" w:rsidTr="00331C56">
        <w:tc>
          <w:tcPr>
            <w:tcW w:w="0" w:type="auto"/>
            <w:hideMark/>
          </w:tcPr>
          <w:p w14:paraId="35310AB9"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Residue Control in API</w:t>
            </w:r>
          </w:p>
        </w:tc>
        <w:tc>
          <w:tcPr>
            <w:tcW w:w="0" w:type="auto"/>
            <w:hideMark/>
          </w:tcPr>
          <w:p w14:paraId="35752A2F"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Requires strict purification to meet regulatory limits</w:t>
            </w:r>
          </w:p>
        </w:tc>
        <w:tc>
          <w:tcPr>
            <w:tcW w:w="0" w:type="auto"/>
            <w:hideMark/>
          </w:tcPr>
          <w:p w14:paraId="6AE011C8"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Minimal purification required due to low toxicity</w:t>
            </w:r>
          </w:p>
        </w:tc>
      </w:tr>
      <w:tr w:rsidR="00331C56" w:rsidRPr="00331C56" w14:paraId="07DA201A" w14:textId="77777777" w:rsidTr="00331C56">
        <w:tc>
          <w:tcPr>
            <w:tcW w:w="0" w:type="auto"/>
            <w:hideMark/>
          </w:tcPr>
          <w:p w14:paraId="5D93376F"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lastRenderedPageBreak/>
              <w:t>Environmental Impact</w:t>
            </w:r>
          </w:p>
        </w:tc>
        <w:tc>
          <w:tcPr>
            <w:tcW w:w="0" w:type="auto"/>
            <w:hideMark/>
          </w:tcPr>
          <w:p w14:paraId="73C274FD"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Depends on metal used and recycling efficiency</w:t>
            </w:r>
          </w:p>
        </w:tc>
        <w:tc>
          <w:tcPr>
            <w:tcW w:w="0" w:type="auto"/>
            <w:hideMark/>
          </w:tcPr>
          <w:p w14:paraId="060EFBAF"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Generally environmentally benign</w:t>
            </w:r>
          </w:p>
        </w:tc>
      </w:tr>
      <w:tr w:rsidR="00331C56" w:rsidRPr="00331C56" w14:paraId="70BBDE62" w14:textId="77777777" w:rsidTr="00331C56">
        <w:tc>
          <w:tcPr>
            <w:tcW w:w="0" w:type="auto"/>
            <w:hideMark/>
          </w:tcPr>
          <w:p w14:paraId="560E2969"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Reaction Conditions</w:t>
            </w:r>
          </w:p>
        </w:tc>
        <w:tc>
          <w:tcPr>
            <w:tcW w:w="0" w:type="auto"/>
            <w:hideMark/>
          </w:tcPr>
          <w:p w14:paraId="7857822C"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Often requires inert atmosphere or specific solvents</w:t>
            </w:r>
          </w:p>
        </w:tc>
        <w:tc>
          <w:tcPr>
            <w:tcW w:w="0" w:type="auto"/>
            <w:hideMark/>
          </w:tcPr>
          <w:p w14:paraId="5029DACE"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Mild (ambient temperature, aqueous/solvent-free conditions)</w:t>
            </w:r>
          </w:p>
        </w:tc>
      </w:tr>
      <w:tr w:rsidR="00331C56" w:rsidRPr="00331C56" w14:paraId="46D03C13" w14:textId="77777777" w:rsidTr="00331C56">
        <w:tc>
          <w:tcPr>
            <w:tcW w:w="0" w:type="auto"/>
            <w:hideMark/>
          </w:tcPr>
          <w:p w14:paraId="724F55BA"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Catalyst Recovery/Reusability</w:t>
            </w:r>
          </w:p>
        </w:tc>
        <w:tc>
          <w:tcPr>
            <w:tcW w:w="0" w:type="auto"/>
            <w:hideMark/>
          </w:tcPr>
          <w:p w14:paraId="6898B1C9"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Possible but complex (especially for homogeneous catalysts)</w:t>
            </w:r>
          </w:p>
        </w:tc>
        <w:tc>
          <w:tcPr>
            <w:tcW w:w="0" w:type="auto"/>
            <w:hideMark/>
          </w:tcPr>
          <w:p w14:paraId="44E9578B"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Often challenging but improving with immobilized systems</w:t>
            </w:r>
          </w:p>
        </w:tc>
      </w:tr>
      <w:tr w:rsidR="00331C56" w:rsidRPr="00331C56" w14:paraId="0E6CDF9A" w14:textId="77777777" w:rsidTr="00331C56">
        <w:tc>
          <w:tcPr>
            <w:tcW w:w="0" w:type="auto"/>
            <w:hideMark/>
          </w:tcPr>
          <w:p w14:paraId="3D9D70CE"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Metal-Free Process</w:t>
            </w:r>
          </w:p>
        </w:tc>
        <w:tc>
          <w:tcPr>
            <w:tcW w:w="0" w:type="auto"/>
            <w:hideMark/>
          </w:tcPr>
          <w:p w14:paraId="5BFD68C0"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No</w:t>
            </w:r>
          </w:p>
        </w:tc>
        <w:tc>
          <w:tcPr>
            <w:tcW w:w="0" w:type="auto"/>
            <w:hideMark/>
          </w:tcPr>
          <w:p w14:paraId="23A86664"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Yes</w:t>
            </w:r>
          </w:p>
        </w:tc>
      </w:tr>
      <w:tr w:rsidR="00331C56" w:rsidRPr="00331C56" w14:paraId="4594A84C" w14:textId="77777777" w:rsidTr="00331C56">
        <w:tc>
          <w:tcPr>
            <w:tcW w:w="0" w:type="auto"/>
            <w:hideMark/>
          </w:tcPr>
          <w:p w14:paraId="01CABF30"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Enantioselectivity</w:t>
            </w:r>
          </w:p>
        </w:tc>
        <w:tc>
          <w:tcPr>
            <w:tcW w:w="0" w:type="auto"/>
            <w:hideMark/>
          </w:tcPr>
          <w:p w14:paraId="5A15364E"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Achievable with chiral ligands</w:t>
            </w:r>
          </w:p>
        </w:tc>
        <w:tc>
          <w:tcPr>
            <w:tcW w:w="0" w:type="auto"/>
            <w:hideMark/>
          </w:tcPr>
          <w:p w14:paraId="7AD12C12"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 xml:space="preserve">High with chiral </w:t>
            </w:r>
            <w:proofErr w:type="spellStart"/>
            <w:r w:rsidRPr="00331C56">
              <w:rPr>
                <w:rFonts w:ascii="Times New Roman" w:hAnsi="Times New Roman" w:cs="Times New Roman"/>
              </w:rPr>
              <w:t>organocatalysts</w:t>
            </w:r>
            <w:proofErr w:type="spellEnd"/>
          </w:p>
        </w:tc>
      </w:tr>
      <w:tr w:rsidR="00331C56" w:rsidRPr="00331C56" w14:paraId="1109604A" w14:textId="77777777" w:rsidTr="00331C56">
        <w:tc>
          <w:tcPr>
            <w:tcW w:w="0" w:type="auto"/>
            <w:hideMark/>
          </w:tcPr>
          <w:p w14:paraId="73094BE4"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Cost of Catalyst</w:t>
            </w:r>
          </w:p>
        </w:tc>
        <w:tc>
          <w:tcPr>
            <w:tcW w:w="0" w:type="auto"/>
            <w:hideMark/>
          </w:tcPr>
          <w:p w14:paraId="46B15354"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Often expensive (especially noble metals)</w:t>
            </w:r>
          </w:p>
        </w:tc>
        <w:tc>
          <w:tcPr>
            <w:tcW w:w="0" w:type="auto"/>
            <w:hideMark/>
          </w:tcPr>
          <w:p w14:paraId="1BD68DC4"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Generally lower cost</w:t>
            </w:r>
          </w:p>
        </w:tc>
      </w:tr>
      <w:tr w:rsidR="00331C56" w:rsidRPr="00331C56" w14:paraId="01E5743B" w14:textId="77777777" w:rsidTr="00331C56">
        <w:tc>
          <w:tcPr>
            <w:tcW w:w="0" w:type="auto"/>
            <w:hideMark/>
          </w:tcPr>
          <w:p w14:paraId="2FBFA052"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Industrial Applications</w:t>
            </w:r>
          </w:p>
        </w:tc>
        <w:tc>
          <w:tcPr>
            <w:tcW w:w="0" w:type="auto"/>
            <w:hideMark/>
          </w:tcPr>
          <w:p w14:paraId="65762E6C"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Widely used; scalable with proper controls</w:t>
            </w:r>
          </w:p>
        </w:tc>
        <w:tc>
          <w:tcPr>
            <w:tcW w:w="0" w:type="auto"/>
            <w:hideMark/>
          </w:tcPr>
          <w:p w14:paraId="01DFCDC3"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Increasingly adopted; suitable for flow and green processes</w:t>
            </w:r>
          </w:p>
        </w:tc>
      </w:tr>
      <w:tr w:rsidR="00331C56" w:rsidRPr="00331C56" w14:paraId="41931319" w14:textId="77777777" w:rsidTr="00331C56">
        <w:tc>
          <w:tcPr>
            <w:tcW w:w="0" w:type="auto"/>
            <w:hideMark/>
          </w:tcPr>
          <w:p w14:paraId="5AA8AC5D"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b/>
                <w:bCs/>
              </w:rPr>
              <w:t>Green Chemistry Score</w:t>
            </w:r>
          </w:p>
        </w:tc>
        <w:tc>
          <w:tcPr>
            <w:tcW w:w="0" w:type="auto"/>
            <w:hideMark/>
          </w:tcPr>
          <w:p w14:paraId="13E94DB7"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Moderate (depends on metal, ligands, and process design)</w:t>
            </w:r>
          </w:p>
        </w:tc>
        <w:tc>
          <w:tcPr>
            <w:tcW w:w="0" w:type="auto"/>
            <w:hideMark/>
          </w:tcPr>
          <w:p w14:paraId="785720D2" w14:textId="77777777" w:rsidR="00331C56" w:rsidRPr="00331C56" w:rsidRDefault="00331C56" w:rsidP="00331C56">
            <w:pPr>
              <w:spacing w:after="160" w:line="278" w:lineRule="auto"/>
              <w:jc w:val="both"/>
              <w:rPr>
                <w:rFonts w:ascii="Times New Roman" w:hAnsi="Times New Roman" w:cs="Times New Roman"/>
              </w:rPr>
            </w:pPr>
            <w:r w:rsidRPr="00331C56">
              <w:rPr>
                <w:rFonts w:ascii="Times New Roman" w:hAnsi="Times New Roman" w:cs="Times New Roman"/>
              </w:rPr>
              <w:t>High (due to metal-free, low-toxicity profile)</w:t>
            </w:r>
          </w:p>
        </w:tc>
      </w:tr>
    </w:tbl>
    <w:p w14:paraId="2991A37A" w14:textId="2AD10216" w:rsidR="004C4DCF" w:rsidRPr="007B15F4" w:rsidRDefault="00331C56" w:rsidP="00331C56">
      <w:pPr>
        <w:jc w:val="center"/>
        <w:rPr>
          <w:rFonts w:ascii="Times New Roman" w:hAnsi="Times New Roman" w:cs="Times New Roman"/>
          <w:b/>
          <w:bCs/>
        </w:rPr>
      </w:pPr>
      <w:r w:rsidRPr="007B15F4">
        <w:rPr>
          <w:rFonts w:ascii="Times New Roman" w:hAnsi="Times New Roman" w:cs="Times New Roman"/>
          <w:b/>
          <w:bCs/>
        </w:rPr>
        <w:t xml:space="preserve">Table 2. Comparison of Transition Metal Catalysis vs. </w:t>
      </w:r>
      <w:proofErr w:type="spellStart"/>
      <w:r w:rsidRPr="007B15F4">
        <w:rPr>
          <w:rFonts w:ascii="Times New Roman" w:hAnsi="Times New Roman" w:cs="Times New Roman"/>
          <w:b/>
          <w:bCs/>
        </w:rPr>
        <w:t>Organocatalysis</w:t>
      </w:r>
      <w:proofErr w:type="spellEnd"/>
      <w:r w:rsidRPr="007B15F4">
        <w:rPr>
          <w:rFonts w:ascii="Times New Roman" w:hAnsi="Times New Roman" w:cs="Times New Roman"/>
          <w:b/>
          <w:bCs/>
        </w:rPr>
        <w:t xml:space="preserve"> in Green Pharmaceutical Synthesis</w:t>
      </w:r>
    </w:p>
    <w:p w14:paraId="705FE857" w14:textId="77777777" w:rsidR="00331C56" w:rsidRPr="00331C56" w:rsidRDefault="00331C56" w:rsidP="00331C56">
      <w:pPr>
        <w:jc w:val="both"/>
        <w:rPr>
          <w:rFonts w:ascii="Times New Roman" w:hAnsi="Times New Roman" w:cs="Times New Roman"/>
          <w:b/>
          <w:bCs/>
        </w:rPr>
      </w:pPr>
      <w:r w:rsidRPr="00331C56">
        <w:rPr>
          <w:rFonts w:ascii="Times New Roman" w:hAnsi="Times New Roman" w:cs="Times New Roman"/>
          <w:b/>
          <w:bCs/>
        </w:rPr>
        <w:t>Case Studies in Industrial Green Synthesis</w:t>
      </w:r>
    </w:p>
    <w:p w14:paraId="2A61321D" w14:textId="77777777" w:rsidR="00331C56" w:rsidRPr="00331C56" w:rsidRDefault="00331C56" w:rsidP="00331C56">
      <w:pPr>
        <w:jc w:val="both"/>
        <w:rPr>
          <w:rFonts w:ascii="Times New Roman" w:hAnsi="Times New Roman" w:cs="Times New Roman"/>
        </w:rPr>
      </w:pPr>
      <w:r w:rsidRPr="00331C56">
        <w:rPr>
          <w:rFonts w:ascii="Times New Roman" w:hAnsi="Times New Roman" w:cs="Times New Roman"/>
        </w:rPr>
        <w:t>Industrial implementation of green chemistry principles has shifted from conceptual advocacy to practical necessity in pharmaceutical manufacturing. Regulatory pressures, environmental sustainability goals, and cost efficiency have driven leading pharmaceutical companies to adopt greener synthetic strategies. This section presents selected real-world case studies that highlight the integration of green synthesis, particularly emphasizing improvements in atom economy, solvent use, energy reduction, and environmental impact minimization.</w:t>
      </w:r>
    </w:p>
    <w:p w14:paraId="1EE368DF"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Sitagliptin – Enzymatic Amination Replacing Metal Catalysis</w:t>
      </w:r>
    </w:p>
    <w:p w14:paraId="153B0716"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Merck’s synthesis of sitagliptin, a DPP-4 inhibitor for type 2 diabetes, is a landmark example of green biocatalysis in industry. Originally, the synthesis involved a rhodium-catalyzed asymmetric hydrogenation, which posed toxicity concerns and required high pressure and costly ligands. In 2010, Merck replaced this step with an engineered transaminase enzyme, enabling enantioselective amination under mild, aqueous conditions [45].</w:t>
      </w:r>
    </w:p>
    <w:p w14:paraId="148B82D4"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This biocatalytic approach:</w:t>
      </w:r>
    </w:p>
    <w:p w14:paraId="4726BC75" w14:textId="77777777" w:rsidR="00200A8C" w:rsidRPr="00200A8C" w:rsidRDefault="00200A8C" w:rsidP="00200A8C">
      <w:pPr>
        <w:numPr>
          <w:ilvl w:val="0"/>
          <w:numId w:val="10"/>
        </w:numPr>
        <w:jc w:val="both"/>
        <w:rPr>
          <w:rFonts w:ascii="Times New Roman" w:hAnsi="Times New Roman" w:cs="Times New Roman"/>
        </w:rPr>
      </w:pPr>
      <w:r w:rsidRPr="00200A8C">
        <w:rPr>
          <w:rFonts w:ascii="Times New Roman" w:hAnsi="Times New Roman" w:cs="Times New Roman"/>
        </w:rPr>
        <w:t>Improved yield from 66% to 83%</w:t>
      </w:r>
    </w:p>
    <w:p w14:paraId="3418AC3F" w14:textId="77777777" w:rsidR="00200A8C" w:rsidRPr="00200A8C" w:rsidRDefault="00200A8C" w:rsidP="00200A8C">
      <w:pPr>
        <w:numPr>
          <w:ilvl w:val="0"/>
          <w:numId w:val="10"/>
        </w:numPr>
        <w:jc w:val="both"/>
        <w:rPr>
          <w:rFonts w:ascii="Times New Roman" w:hAnsi="Times New Roman" w:cs="Times New Roman"/>
        </w:rPr>
      </w:pPr>
      <w:r w:rsidRPr="00200A8C">
        <w:rPr>
          <w:rFonts w:ascii="Times New Roman" w:hAnsi="Times New Roman" w:cs="Times New Roman"/>
        </w:rPr>
        <w:lastRenderedPageBreak/>
        <w:t>Eliminated the use of heavy metals</w:t>
      </w:r>
    </w:p>
    <w:p w14:paraId="3194BB43" w14:textId="77777777" w:rsidR="00200A8C" w:rsidRPr="00200A8C" w:rsidRDefault="00200A8C" w:rsidP="00200A8C">
      <w:pPr>
        <w:numPr>
          <w:ilvl w:val="0"/>
          <w:numId w:val="10"/>
        </w:numPr>
        <w:jc w:val="both"/>
        <w:rPr>
          <w:rFonts w:ascii="Times New Roman" w:hAnsi="Times New Roman" w:cs="Times New Roman"/>
        </w:rPr>
      </w:pPr>
      <w:r w:rsidRPr="00200A8C">
        <w:rPr>
          <w:rFonts w:ascii="Times New Roman" w:hAnsi="Times New Roman" w:cs="Times New Roman"/>
        </w:rPr>
        <w:t>Reduced waste by over 19%</w:t>
      </w:r>
    </w:p>
    <w:p w14:paraId="31E0D308" w14:textId="77777777" w:rsidR="00200A8C" w:rsidRPr="00200A8C" w:rsidRDefault="00200A8C" w:rsidP="00200A8C">
      <w:pPr>
        <w:numPr>
          <w:ilvl w:val="0"/>
          <w:numId w:val="10"/>
        </w:numPr>
        <w:jc w:val="both"/>
        <w:rPr>
          <w:rFonts w:ascii="Times New Roman" w:hAnsi="Times New Roman" w:cs="Times New Roman"/>
        </w:rPr>
      </w:pPr>
      <w:r w:rsidRPr="00200A8C">
        <w:rPr>
          <w:rFonts w:ascii="Times New Roman" w:hAnsi="Times New Roman" w:cs="Times New Roman"/>
        </w:rPr>
        <w:t>Enabled water as a benign solvent</w:t>
      </w:r>
    </w:p>
    <w:p w14:paraId="14087E36" w14:textId="208AD3BD" w:rsidR="00200A8C" w:rsidRPr="00200A8C" w:rsidRDefault="00200A8C" w:rsidP="00200A8C">
      <w:pPr>
        <w:jc w:val="both"/>
        <w:rPr>
          <w:rFonts w:ascii="Times New Roman" w:hAnsi="Times New Roman" w:cs="Times New Roman"/>
        </w:rPr>
      </w:pPr>
      <w:r w:rsidRPr="00200A8C">
        <w:rPr>
          <w:rFonts w:ascii="Times New Roman" w:hAnsi="Times New Roman" w:cs="Times New Roman"/>
        </w:rPr>
        <w:t xml:space="preserve">The process won the </w:t>
      </w:r>
      <w:r w:rsidRPr="007B15F4">
        <w:rPr>
          <w:rFonts w:ascii="Times New Roman" w:hAnsi="Times New Roman" w:cs="Times New Roman"/>
        </w:rPr>
        <w:t>EPA Presidential Green Chemistry Challenge Award,</w:t>
      </w:r>
      <w:r w:rsidRPr="00200A8C">
        <w:rPr>
          <w:rFonts w:ascii="Times New Roman" w:hAnsi="Times New Roman" w:cs="Times New Roman"/>
        </w:rPr>
        <w:t xml:space="preserve"> underscoring the industrial and environmental impact of enzyme-driven synthesis [46].</w:t>
      </w:r>
    </w:p>
    <w:p w14:paraId="24DEAB18"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14.2 Atorvastatin – Asymmetric Hydrogenation and Flow Synthesis</w:t>
      </w:r>
    </w:p>
    <w:p w14:paraId="0D568A85" w14:textId="1B7B9E80" w:rsidR="00200A8C" w:rsidRPr="00200A8C" w:rsidRDefault="00200A8C" w:rsidP="00200A8C">
      <w:pPr>
        <w:jc w:val="both"/>
        <w:rPr>
          <w:rFonts w:ascii="Times New Roman" w:hAnsi="Times New Roman" w:cs="Times New Roman"/>
        </w:rPr>
      </w:pPr>
      <w:r w:rsidRPr="00200A8C">
        <w:rPr>
          <w:rFonts w:ascii="Times New Roman" w:hAnsi="Times New Roman" w:cs="Times New Roman"/>
        </w:rPr>
        <w:t>Pfizer’s blockbuster drug atorvastatin (Lipitor) relies heavily on asymmetric hydrogenation for the synthesis of its chiral intermediates. Early processes required high catalyst loadings and generated metal waste. Subsequent development introduced ruthenium</w:t>
      </w:r>
      <w:r w:rsidR="00F35F1B">
        <w:rPr>
          <w:rFonts w:ascii="Times New Roman" w:hAnsi="Times New Roman" w:cs="Times New Roman"/>
        </w:rPr>
        <w:t xml:space="preserve"> </w:t>
      </w:r>
      <w:r w:rsidRPr="00200A8C">
        <w:rPr>
          <w:rFonts w:ascii="Times New Roman" w:hAnsi="Times New Roman" w:cs="Times New Roman"/>
        </w:rPr>
        <w:t>and rhodium-catalyzed hydrogenations with enhanced turnover numbers (TONs) and ligand recycling, reducing both metal consumption and purification costs [47].</w:t>
      </w:r>
    </w:p>
    <w:p w14:paraId="1F19876E" w14:textId="0CCB4E08" w:rsidR="00200A8C" w:rsidRPr="00200A8C" w:rsidRDefault="00200A8C" w:rsidP="00200A8C">
      <w:pPr>
        <w:jc w:val="both"/>
        <w:rPr>
          <w:rFonts w:ascii="Times New Roman" w:hAnsi="Times New Roman" w:cs="Times New Roman"/>
        </w:rPr>
      </w:pPr>
      <w:r w:rsidRPr="00200A8C">
        <w:rPr>
          <w:rFonts w:ascii="Times New Roman" w:hAnsi="Times New Roman" w:cs="Times New Roman"/>
        </w:rPr>
        <w:t>Furthermore, process intensification was achieved through flow chemistry, improving heat transfer and enabling safer scale-up. This combination reduced waste, improved throughput, and enhanced safety.</w:t>
      </w:r>
    </w:p>
    <w:p w14:paraId="316D5856" w14:textId="4E18E786"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14.3 Artemisinin Semi-Synthetic Biosynthesis Using Fermentation</w:t>
      </w:r>
    </w:p>
    <w:p w14:paraId="4AE298C2"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 xml:space="preserve">Artemisinin, a key antimalarial compound, was historically extracted from the plant </w:t>
      </w:r>
      <w:r w:rsidRPr="00200A8C">
        <w:rPr>
          <w:rFonts w:ascii="Times New Roman" w:hAnsi="Times New Roman" w:cs="Times New Roman"/>
          <w:i/>
          <w:iCs/>
        </w:rPr>
        <w:t>Artemisia annua</w:t>
      </w:r>
      <w:r w:rsidRPr="00200A8C">
        <w:rPr>
          <w:rFonts w:ascii="Times New Roman" w:hAnsi="Times New Roman" w:cs="Times New Roman"/>
        </w:rPr>
        <w:t xml:space="preserve">, which suffered from seasonal variability and high cost. A collaborative effort led by Amyris and Sanofi resulted in the semi-synthetic production of artemisinin using engineered </w:t>
      </w:r>
      <w:r w:rsidRPr="00200A8C">
        <w:rPr>
          <w:rFonts w:ascii="Times New Roman" w:hAnsi="Times New Roman" w:cs="Times New Roman"/>
          <w:i/>
          <w:iCs/>
        </w:rPr>
        <w:t>Saccharomyces cerevisiae</w:t>
      </w:r>
      <w:r w:rsidRPr="00200A8C">
        <w:rPr>
          <w:rFonts w:ascii="Times New Roman" w:hAnsi="Times New Roman" w:cs="Times New Roman"/>
        </w:rPr>
        <w:t xml:space="preserve"> yeast strains to biosynthesize </w:t>
      </w:r>
      <w:proofErr w:type="spellStart"/>
      <w:r w:rsidRPr="00200A8C">
        <w:rPr>
          <w:rFonts w:ascii="Times New Roman" w:hAnsi="Times New Roman" w:cs="Times New Roman"/>
        </w:rPr>
        <w:t>artemisinic</w:t>
      </w:r>
      <w:proofErr w:type="spellEnd"/>
      <w:r w:rsidRPr="00200A8C">
        <w:rPr>
          <w:rFonts w:ascii="Times New Roman" w:hAnsi="Times New Roman" w:cs="Times New Roman"/>
        </w:rPr>
        <w:t xml:space="preserve"> acid, which is chemically converted to artemisinin [48].</w:t>
      </w:r>
    </w:p>
    <w:p w14:paraId="720B292F"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This innovation:</w:t>
      </w:r>
    </w:p>
    <w:p w14:paraId="3137E0B1" w14:textId="77777777" w:rsidR="00200A8C" w:rsidRPr="00200A8C" w:rsidRDefault="00200A8C" w:rsidP="00200A8C">
      <w:pPr>
        <w:numPr>
          <w:ilvl w:val="0"/>
          <w:numId w:val="11"/>
        </w:numPr>
        <w:jc w:val="both"/>
        <w:rPr>
          <w:rFonts w:ascii="Times New Roman" w:hAnsi="Times New Roman" w:cs="Times New Roman"/>
        </w:rPr>
      </w:pPr>
      <w:r w:rsidRPr="00200A8C">
        <w:rPr>
          <w:rFonts w:ascii="Times New Roman" w:hAnsi="Times New Roman" w:cs="Times New Roman"/>
        </w:rPr>
        <w:t>Enabled year-round, scalable production</w:t>
      </w:r>
    </w:p>
    <w:p w14:paraId="47B3C070" w14:textId="77777777" w:rsidR="00200A8C" w:rsidRPr="00200A8C" w:rsidRDefault="00200A8C" w:rsidP="00200A8C">
      <w:pPr>
        <w:numPr>
          <w:ilvl w:val="0"/>
          <w:numId w:val="11"/>
        </w:numPr>
        <w:jc w:val="both"/>
        <w:rPr>
          <w:rFonts w:ascii="Times New Roman" w:hAnsi="Times New Roman" w:cs="Times New Roman"/>
        </w:rPr>
      </w:pPr>
      <w:r w:rsidRPr="00200A8C">
        <w:rPr>
          <w:rFonts w:ascii="Times New Roman" w:hAnsi="Times New Roman" w:cs="Times New Roman"/>
        </w:rPr>
        <w:t>Reduced dependency on agricultural land</w:t>
      </w:r>
    </w:p>
    <w:p w14:paraId="55EA763B" w14:textId="77777777" w:rsidR="00200A8C" w:rsidRPr="00200A8C" w:rsidRDefault="00200A8C" w:rsidP="00200A8C">
      <w:pPr>
        <w:numPr>
          <w:ilvl w:val="0"/>
          <w:numId w:val="11"/>
        </w:numPr>
        <w:jc w:val="both"/>
        <w:rPr>
          <w:rFonts w:ascii="Times New Roman" w:hAnsi="Times New Roman" w:cs="Times New Roman"/>
        </w:rPr>
      </w:pPr>
      <w:r w:rsidRPr="00200A8C">
        <w:rPr>
          <w:rFonts w:ascii="Times New Roman" w:hAnsi="Times New Roman" w:cs="Times New Roman"/>
        </w:rPr>
        <w:t>Lowered production costs and stabilized global supply</w:t>
      </w:r>
    </w:p>
    <w:p w14:paraId="1EC6A4B4" w14:textId="77777777" w:rsidR="00200A8C" w:rsidRPr="00200A8C" w:rsidRDefault="00200A8C" w:rsidP="00200A8C">
      <w:pPr>
        <w:numPr>
          <w:ilvl w:val="0"/>
          <w:numId w:val="11"/>
        </w:numPr>
        <w:jc w:val="both"/>
        <w:rPr>
          <w:rFonts w:ascii="Times New Roman" w:hAnsi="Times New Roman" w:cs="Times New Roman"/>
        </w:rPr>
      </w:pPr>
      <w:r w:rsidRPr="00200A8C">
        <w:rPr>
          <w:rFonts w:ascii="Times New Roman" w:hAnsi="Times New Roman" w:cs="Times New Roman"/>
        </w:rPr>
        <w:t>Was supported by the Bill &amp; Melinda Gates Foundation for global health access</w:t>
      </w:r>
    </w:p>
    <w:p w14:paraId="0D660591" w14:textId="17D8C329" w:rsidR="00200A8C" w:rsidRPr="00200A8C" w:rsidRDefault="00200A8C" w:rsidP="00200A8C">
      <w:pPr>
        <w:jc w:val="both"/>
        <w:rPr>
          <w:rFonts w:ascii="Times New Roman" w:hAnsi="Times New Roman" w:cs="Times New Roman"/>
        </w:rPr>
      </w:pPr>
      <w:r w:rsidRPr="00200A8C">
        <w:rPr>
          <w:rFonts w:ascii="Times New Roman" w:hAnsi="Times New Roman" w:cs="Times New Roman"/>
        </w:rPr>
        <w:t>This case exemplifies how synthetic biology, integrated with green chemistry, can solve complex pharmaceutical supply challenges.</w:t>
      </w:r>
    </w:p>
    <w:p w14:paraId="1DF051F6"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14.4 Ibuprofen – The BHC Green Route</w:t>
      </w:r>
    </w:p>
    <w:p w14:paraId="27850C61"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The traditional synthesis of ibuprofen involved a six-step process with poor atom economy and large amounts of waste. The Boots–Hoechst–Celanese (BHC) process, developed in the 1990s, reduced the synthesis to three steps with &gt;99% atom economy using catalytic hydrogenation and acylation [49].</w:t>
      </w:r>
    </w:p>
    <w:p w14:paraId="3638C00D"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lastRenderedPageBreak/>
        <w:t>Key improvements include:</w:t>
      </w:r>
    </w:p>
    <w:p w14:paraId="3A2C9242" w14:textId="77777777" w:rsidR="00200A8C" w:rsidRPr="00200A8C" w:rsidRDefault="00200A8C" w:rsidP="00200A8C">
      <w:pPr>
        <w:numPr>
          <w:ilvl w:val="0"/>
          <w:numId w:val="12"/>
        </w:numPr>
        <w:jc w:val="both"/>
        <w:rPr>
          <w:rFonts w:ascii="Times New Roman" w:hAnsi="Times New Roman" w:cs="Times New Roman"/>
        </w:rPr>
      </w:pPr>
      <w:r w:rsidRPr="00200A8C">
        <w:rPr>
          <w:rFonts w:ascii="Times New Roman" w:hAnsi="Times New Roman" w:cs="Times New Roman"/>
        </w:rPr>
        <w:t>Use of heterogeneous catalysts (e.g., Pd/C)</w:t>
      </w:r>
    </w:p>
    <w:p w14:paraId="5AF3B827" w14:textId="77777777" w:rsidR="00200A8C" w:rsidRPr="00200A8C" w:rsidRDefault="00200A8C" w:rsidP="00200A8C">
      <w:pPr>
        <w:numPr>
          <w:ilvl w:val="0"/>
          <w:numId w:val="12"/>
        </w:numPr>
        <w:jc w:val="both"/>
        <w:rPr>
          <w:rFonts w:ascii="Times New Roman" w:hAnsi="Times New Roman" w:cs="Times New Roman"/>
        </w:rPr>
      </w:pPr>
      <w:r w:rsidRPr="00200A8C">
        <w:rPr>
          <w:rFonts w:ascii="Times New Roman" w:hAnsi="Times New Roman" w:cs="Times New Roman"/>
        </w:rPr>
        <w:t>Elimination of stoichiometric oxidants</w:t>
      </w:r>
    </w:p>
    <w:p w14:paraId="52ECA9A0" w14:textId="77777777" w:rsidR="00200A8C" w:rsidRPr="00200A8C" w:rsidRDefault="00200A8C" w:rsidP="00200A8C">
      <w:pPr>
        <w:numPr>
          <w:ilvl w:val="0"/>
          <w:numId w:val="12"/>
        </w:numPr>
        <w:jc w:val="both"/>
        <w:rPr>
          <w:rFonts w:ascii="Times New Roman" w:hAnsi="Times New Roman" w:cs="Times New Roman"/>
        </w:rPr>
      </w:pPr>
      <w:r w:rsidRPr="00200A8C">
        <w:rPr>
          <w:rFonts w:ascii="Times New Roman" w:hAnsi="Times New Roman" w:cs="Times New Roman"/>
        </w:rPr>
        <w:t>Minimized solvent use</w:t>
      </w:r>
    </w:p>
    <w:p w14:paraId="5C3449D2" w14:textId="77777777" w:rsidR="00200A8C" w:rsidRPr="00200A8C" w:rsidRDefault="00200A8C" w:rsidP="00200A8C">
      <w:pPr>
        <w:numPr>
          <w:ilvl w:val="0"/>
          <w:numId w:val="12"/>
        </w:numPr>
        <w:jc w:val="both"/>
        <w:rPr>
          <w:rFonts w:ascii="Times New Roman" w:hAnsi="Times New Roman" w:cs="Times New Roman"/>
        </w:rPr>
      </w:pPr>
      <w:r w:rsidRPr="00200A8C">
        <w:rPr>
          <w:rFonts w:ascii="Times New Roman" w:hAnsi="Times New Roman" w:cs="Times New Roman"/>
        </w:rPr>
        <w:t>Significant reduction in by-product formation</w:t>
      </w:r>
    </w:p>
    <w:p w14:paraId="080FB336" w14:textId="7CA1505E" w:rsidR="00200A8C" w:rsidRPr="00200A8C" w:rsidRDefault="00200A8C" w:rsidP="00200A8C">
      <w:pPr>
        <w:jc w:val="both"/>
        <w:rPr>
          <w:rFonts w:ascii="Times New Roman" w:hAnsi="Times New Roman" w:cs="Times New Roman"/>
        </w:rPr>
      </w:pPr>
      <w:r w:rsidRPr="00200A8C">
        <w:rPr>
          <w:rFonts w:ascii="Times New Roman" w:hAnsi="Times New Roman" w:cs="Times New Roman"/>
        </w:rPr>
        <w:t>This became one of the earliest and most celebrated examples of industrial green synthesis.</w:t>
      </w:r>
    </w:p>
    <w:p w14:paraId="5D5ACE0C"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14.5 Brivaracetam – Continuous Flow and Catalysis Integration</w:t>
      </w:r>
    </w:p>
    <w:p w14:paraId="7F9F7B5F"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UCB Pharma’s development of brivaracetam, an antiepileptic drug, incorporated flow synthesis, catalysis, and solvent recycling to reduce environmental impact. The synthesis employed Buchwald–Hartwig cross-coupling, optimized under continuous flow conditions, significantly reducing solvent volume and improving product purity [50].</w:t>
      </w:r>
    </w:p>
    <w:p w14:paraId="244CE3A0"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The green features included:</w:t>
      </w:r>
    </w:p>
    <w:p w14:paraId="34C52B32" w14:textId="77777777" w:rsidR="00200A8C" w:rsidRPr="00200A8C" w:rsidRDefault="00200A8C" w:rsidP="00200A8C">
      <w:pPr>
        <w:numPr>
          <w:ilvl w:val="0"/>
          <w:numId w:val="13"/>
        </w:numPr>
        <w:jc w:val="both"/>
        <w:rPr>
          <w:rFonts w:ascii="Times New Roman" w:hAnsi="Times New Roman" w:cs="Times New Roman"/>
        </w:rPr>
      </w:pPr>
      <w:r w:rsidRPr="00200A8C">
        <w:rPr>
          <w:rFonts w:ascii="Times New Roman" w:hAnsi="Times New Roman" w:cs="Times New Roman"/>
        </w:rPr>
        <w:t>Use of low catalyst loadings</w:t>
      </w:r>
    </w:p>
    <w:p w14:paraId="0B16EE3D" w14:textId="77777777" w:rsidR="00200A8C" w:rsidRPr="00200A8C" w:rsidRDefault="00200A8C" w:rsidP="00200A8C">
      <w:pPr>
        <w:numPr>
          <w:ilvl w:val="0"/>
          <w:numId w:val="13"/>
        </w:numPr>
        <w:jc w:val="both"/>
        <w:rPr>
          <w:rFonts w:ascii="Times New Roman" w:hAnsi="Times New Roman" w:cs="Times New Roman"/>
        </w:rPr>
      </w:pPr>
      <w:r w:rsidRPr="00200A8C">
        <w:rPr>
          <w:rFonts w:ascii="Times New Roman" w:hAnsi="Times New Roman" w:cs="Times New Roman"/>
        </w:rPr>
        <w:t>Solvent recovery exceeding 80%</w:t>
      </w:r>
    </w:p>
    <w:p w14:paraId="09BE622B" w14:textId="77777777" w:rsidR="00200A8C" w:rsidRPr="00200A8C" w:rsidRDefault="00200A8C" w:rsidP="00200A8C">
      <w:pPr>
        <w:numPr>
          <w:ilvl w:val="0"/>
          <w:numId w:val="13"/>
        </w:numPr>
        <w:jc w:val="both"/>
        <w:rPr>
          <w:rFonts w:ascii="Times New Roman" w:hAnsi="Times New Roman" w:cs="Times New Roman"/>
        </w:rPr>
      </w:pPr>
      <w:r w:rsidRPr="00200A8C">
        <w:rPr>
          <w:rFonts w:ascii="Times New Roman" w:hAnsi="Times New Roman" w:cs="Times New Roman"/>
        </w:rPr>
        <w:t>Elimination of hazardous reagents</w:t>
      </w:r>
    </w:p>
    <w:p w14:paraId="67C8D473" w14:textId="77777777" w:rsidR="00200A8C" w:rsidRPr="00200A8C" w:rsidRDefault="00200A8C" w:rsidP="00200A8C">
      <w:pPr>
        <w:numPr>
          <w:ilvl w:val="0"/>
          <w:numId w:val="13"/>
        </w:numPr>
        <w:jc w:val="both"/>
        <w:rPr>
          <w:rFonts w:ascii="Times New Roman" w:hAnsi="Times New Roman" w:cs="Times New Roman"/>
        </w:rPr>
      </w:pPr>
      <w:r w:rsidRPr="00200A8C">
        <w:rPr>
          <w:rFonts w:ascii="Times New Roman" w:hAnsi="Times New Roman" w:cs="Times New Roman"/>
        </w:rPr>
        <w:t>Streamlined downstream processing</w:t>
      </w:r>
    </w:p>
    <w:tbl>
      <w:tblPr>
        <w:tblStyle w:val="TableGrid"/>
        <w:tblW w:w="0" w:type="auto"/>
        <w:tblLook w:val="04A0" w:firstRow="1" w:lastRow="0" w:firstColumn="1" w:lastColumn="0" w:noHBand="0" w:noVBand="1"/>
      </w:tblPr>
      <w:tblGrid>
        <w:gridCol w:w="1629"/>
        <w:gridCol w:w="1522"/>
        <w:gridCol w:w="2232"/>
        <w:gridCol w:w="2729"/>
        <w:gridCol w:w="1238"/>
      </w:tblGrid>
      <w:tr w:rsidR="00200A8C" w:rsidRPr="00200A8C" w14:paraId="669D385B" w14:textId="77777777" w:rsidTr="00200A8C">
        <w:tc>
          <w:tcPr>
            <w:tcW w:w="0" w:type="auto"/>
            <w:hideMark/>
          </w:tcPr>
          <w:p w14:paraId="4C665A21"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Drug</w:t>
            </w:r>
          </w:p>
        </w:tc>
        <w:tc>
          <w:tcPr>
            <w:tcW w:w="0" w:type="auto"/>
            <w:hideMark/>
          </w:tcPr>
          <w:p w14:paraId="0D9C7E5B"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Company</w:t>
            </w:r>
          </w:p>
        </w:tc>
        <w:tc>
          <w:tcPr>
            <w:tcW w:w="0" w:type="auto"/>
            <w:hideMark/>
          </w:tcPr>
          <w:p w14:paraId="47A81EC8"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Green Strategy Applied</w:t>
            </w:r>
          </w:p>
        </w:tc>
        <w:tc>
          <w:tcPr>
            <w:tcW w:w="0" w:type="auto"/>
            <w:hideMark/>
          </w:tcPr>
          <w:p w14:paraId="17B1C190"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Key Improvements</w:t>
            </w:r>
          </w:p>
        </w:tc>
        <w:tc>
          <w:tcPr>
            <w:tcW w:w="0" w:type="auto"/>
            <w:hideMark/>
          </w:tcPr>
          <w:p w14:paraId="195B822A"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Reference</w:t>
            </w:r>
          </w:p>
        </w:tc>
      </w:tr>
      <w:tr w:rsidR="00200A8C" w:rsidRPr="00200A8C" w14:paraId="518A91D5" w14:textId="77777777" w:rsidTr="00200A8C">
        <w:tc>
          <w:tcPr>
            <w:tcW w:w="0" w:type="auto"/>
            <w:hideMark/>
          </w:tcPr>
          <w:p w14:paraId="3887F69E"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Sitagliptin</w:t>
            </w:r>
          </w:p>
        </w:tc>
        <w:tc>
          <w:tcPr>
            <w:tcW w:w="0" w:type="auto"/>
            <w:hideMark/>
          </w:tcPr>
          <w:p w14:paraId="530CD307"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Merck</w:t>
            </w:r>
          </w:p>
        </w:tc>
        <w:tc>
          <w:tcPr>
            <w:tcW w:w="0" w:type="auto"/>
            <w:hideMark/>
          </w:tcPr>
          <w:p w14:paraId="2E08A642"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Enzymatic transaminase replacing Rh-catalysis</w:t>
            </w:r>
          </w:p>
        </w:tc>
        <w:tc>
          <w:tcPr>
            <w:tcW w:w="0" w:type="auto"/>
            <w:hideMark/>
          </w:tcPr>
          <w:p w14:paraId="1CDF0F57"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 Yield (66% → 83%), no heavy metals, aqueous medium, ↓ waste by 19%</w:t>
            </w:r>
          </w:p>
        </w:tc>
        <w:tc>
          <w:tcPr>
            <w:tcW w:w="0" w:type="auto"/>
            <w:hideMark/>
          </w:tcPr>
          <w:p w14:paraId="345C3C85"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[45], [46]</w:t>
            </w:r>
          </w:p>
        </w:tc>
      </w:tr>
      <w:tr w:rsidR="00200A8C" w:rsidRPr="00200A8C" w14:paraId="2C00BB71" w14:textId="77777777" w:rsidTr="00200A8C">
        <w:tc>
          <w:tcPr>
            <w:tcW w:w="0" w:type="auto"/>
            <w:hideMark/>
          </w:tcPr>
          <w:p w14:paraId="4C097836"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Atorvastatin</w:t>
            </w:r>
          </w:p>
        </w:tc>
        <w:tc>
          <w:tcPr>
            <w:tcW w:w="0" w:type="auto"/>
            <w:hideMark/>
          </w:tcPr>
          <w:p w14:paraId="225595AC"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Pfizer</w:t>
            </w:r>
          </w:p>
        </w:tc>
        <w:tc>
          <w:tcPr>
            <w:tcW w:w="0" w:type="auto"/>
            <w:hideMark/>
          </w:tcPr>
          <w:p w14:paraId="485BAA18"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Asymmetric hydrogenation, flow chemistry</w:t>
            </w:r>
          </w:p>
        </w:tc>
        <w:tc>
          <w:tcPr>
            <w:tcW w:w="0" w:type="auto"/>
            <w:hideMark/>
          </w:tcPr>
          <w:p w14:paraId="7F9946E9"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High enantioselectivity, catalyst recycling, safer scale-up, ↓ cost</w:t>
            </w:r>
          </w:p>
        </w:tc>
        <w:tc>
          <w:tcPr>
            <w:tcW w:w="0" w:type="auto"/>
            <w:hideMark/>
          </w:tcPr>
          <w:p w14:paraId="364263F0"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[47]</w:t>
            </w:r>
          </w:p>
        </w:tc>
      </w:tr>
      <w:tr w:rsidR="00200A8C" w:rsidRPr="00200A8C" w14:paraId="547126FB" w14:textId="77777777" w:rsidTr="00200A8C">
        <w:tc>
          <w:tcPr>
            <w:tcW w:w="0" w:type="auto"/>
            <w:hideMark/>
          </w:tcPr>
          <w:p w14:paraId="33239BF1"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Artemisinin</w:t>
            </w:r>
          </w:p>
        </w:tc>
        <w:tc>
          <w:tcPr>
            <w:tcW w:w="0" w:type="auto"/>
            <w:hideMark/>
          </w:tcPr>
          <w:p w14:paraId="782247BC"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Amyris / Sanofi</w:t>
            </w:r>
          </w:p>
        </w:tc>
        <w:tc>
          <w:tcPr>
            <w:tcW w:w="0" w:type="auto"/>
            <w:hideMark/>
          </w:tcPr>
          <w:p w14:paraId="5626F9AC"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Biosynthesis via engineered yeast + chemical conversion</w:t>
            </w:r>
          </w:p>
        </w:tc>
        <w:tc>
          <w:tcPr>
            <w:tcW w:w="0" w:type="auto"/>
            <w:hideMark/>
          </w:tcPr>
          <w:p w14:paraId="3045176C"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Stable year-round supply, renewable feedstocks, ↓ agricultural dependency</w:t>
            </w:r>
          </w:p>
        </w:tc>
        <w:tc>
          <w:tcPr>
            <w:tcW w:w="0" w:type="auto"/>
            <w:hideMark/>
          </w:tcPr>
          <w:p w14:paraId="65A05F33"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[48]</w:t>
            </w:r>
          </w:p>
        </w:tc>
      </w:tr>
      <w:tr w:rsidR="00200A8C" w:rsidRPr="00200A8C" w14:paraId="347F57F7" w14:textId="77777777" w:rsidTr="00200A8C">
        <w:tc>
          <w:tcPr>
            <w:tcW w:w="0" w:type="auto"/>
            <w:hideMark/>
          </w:tcPr>
          <w:p w14:paraId="13F143E7"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Ibuprofen</w:t>
            </w:r>
          </w:p>
        </w:tc>
        <w:tc>
          <w:tcPr>
            <w:tcW w:w="0" w:type="auto"/>
            <w:hideMark/>
          </w:tcPr>
          <w:p w14:paraId="29C6AACB"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Boots–Hoechst–</w:t>
            </w:r>
            <w:r w:rsidRPr="00200A8C">
              <w:rPr>
                <w:rFonts w:ascii="Times New Roman" w:hAnsi="Times New Roman" w:cs="Times New Roman"/>
              </w:rPr>
              <w:lastRenderedPageBreak/>
              <w:t>Celanese (BHC)</w:t>
            </w:r>
          </w:p>
        </w:tc>
        <w:tc>
          <w:tcPr>
            <w:tcW w:w="0" w:type="auto"/>
            <w:hideMark/>
          </w:tcPr>
          <w:p w14:paraId="4592F83A"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lastRenderedPageBreak/>
              <w:t>Shortened synthesis using catalytic steps</w:t>
            </w:r>
          </w:p>
        </w:tc>
        <w:tc>
          <w:tcPr>
            <w:tcW w:w="0" w:type="auto"/>
            <w:hideMark/>
          </w:tcPr>
          <w:p w14:paraId="324991AD"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 xml:space="preserve">Atom economy &gt;99%, fewer steps, </w:t>
            </w:r>
            <w:r w:rsidRPr="00200A8C">
              <w:rPr>
                <w:rFonts w:ascii="Times New Roman" w:hAnsi="Times New Roman" w:cs="Times New Roman"/>
              </w:rPr>
              <w:lastRenderedPageBreak/>
              <w:t>heterogeneous catalysis, ↓ by-products</w:t>
            </w:r>
          </w:p>
        </w:tc>
        <w:tc>
          <w:tcPr>
            <w:tcW w:w="0" w:type="auto"/>
            <w:hideMark/>
          </w:tcPr>
          <w:p w14:paraId="4B667410"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lastRenderedPageBreak/>
              <w:t>[49]</w:t>
            </w:r>
          </w:p>
        </w:tc>
      </w:tr>
      <w:tr w:rsidR="00200A8C" w:rsidRPr="00200A8C" w14:paraId="26595B76" w14:textId="77777777" w:rsidTr="00200A8C">
        <w:tc>
          <w:tcPr>
            <w:tcW w:w="0" w:type="auto"/>
            <w:hideMark/>
          </w:tcPr>
          <w:p w14:paraId="145E6385"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Brivaracetam</w:t>
            </w:r>
          </w:p>
        </w:tc>
        <w:tc>
          <w:tcPr>
            <w:tcW w:w="0" w:type="auto"/>
            <w:hideMark/>
          </w:tcPr>
          <w:p w14:paraId="041C8F0E"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UCB Pharma</w:t>
            </w:r>
          </w:p>
        </w:tc>
        <w:tc>
          <w:tcPr>
            <w:tcW w:w="0" w:type="auto"/>
            <w:hideMark/>
          </w:tcPr>
          <w:p w14:paraId="56A8C63B"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Flow chemistry, Buchwald–Hartwig cross-coupling</w:t>
            </w:r>
          </w:p>
        </w:tc>
        <w:tc>
          <w:tcPr>
            <w:tcW w:w="0" w:type="auto"/>
            <w:hideMark/>
          </w:tcPr>
          <w:p w14:paraId="23C99D7A"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Low catalyst loading, solvent recycling (&gt;80%), safer and greener workup</w:t>
            </w:r>
          </w:p>
        </w:tc>
        <w:tc>
          <w:tcPr>
            <w:tcW w:w="0" w:type="auto"/>
            <w:hideMark/>
          </w:tcPr>
          <w:p w14:paraId="08AB1536"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[50]</w:t>
            </w:r>
          </w:p>
        </w:tc>
      </w:tr>
    </w:tbl>
    <w:p w14:paraId="3A4CFBCE" w14:textId="77777777" w:rsidR="002907B8" w:rsidRDefault="002907B8" w:rsidP="00D64B70">
      <w:pPr>
        <w:jc w:val="both"/>
        <w:rPr>
          <w:rFonts w:ascii="Times New Roman" w:hAnsi="Times New Roman" w:cs="Times New Roman"/>
        </w:rPr>
      </w:pPr>
    </w:p>
    <w:p w14:paraId="588304BC" w14:textId="193BCBC0" w:rsidR="002907B8" w:rsidRDefault="00200A8C" w:rsidP="00200A8C">
      <w:pPr>
        <w:jc w:val="center"/>
        <w:rPr>
          <w:rFonts w:ascii="Times New Roman" w:hAnsi="Times New Roman" w:cs="Times New Roman"/>
        </w:rPr>
      </w:pPr>
      <w:r w:rsidRPr="00200A8C">
        <w:rPr>
          <w:rFonts w:ascii="Times New Roman" w:hAnsi="Times New Roman" w:cs="Times New Roman"/>
        </w:rPr>
        <w:t>Table 3. Case Studies in Industrial Green Pharmaceutical Synthesis</w:t>
      </w:r>
    </w:p>
    <w:p w14:paraId="5D509DA1"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Sustainability Metrics and Life Cycle Assessment in Green Chemistry</w:t>
      </w:r>
    </w:p>
    <w:p w14:paraId="78BC0905"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Quantifying the environmental impact of chemical processes is essential to ensure that "green" innovations deliver measurable improvements. In pharmaceutical synthesis, sustainability metrics and Life Cycle Assessment (LCA) are powerful tools for evaluating the environmental, economic, and social performance of synthetic routes. These approaches support decision-making in research, development, and manufacturing by identifying opportunities to reduce waste, energy consumption, and emissions.</w:t>
      </w:r>
    </w:p>
    <w:p w14:paraId="7655119C"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Green Chemistry Metrics</w:t>
      </w:r>
    </w:p>
    <w:p w14:paraId="38918482" w14:textId="77777777" w:rsidR="00200A8C" w:rsidRDefault="00200A8C" w:rsidP="00200A8C">
      <w:pPr>
        <w:jc w:val="both"/>
        <w:rPr>
          <w:rFonts w:ascii="Times New Roman" w:hAnsi="Times New Roman" w:cs="Times New Roman"/>
        </w:rPr>
      </w:pPr>
      <w:r w:rsidRPr="00200A8C">
        <w:rPr>
          <w:rFonts w:ascii="Times New Roman" w:hAnsi="Times New Roman" w:cs="Times New Roman"/>
        </w:rPr>
        <w:t>Several quantitative metrics have been developed to assess the greenness of chemical reactions and processes. Key among them are:</w:t>
      </w:r>
    </w:p>
    <w:p w14:paraId="5E93AA0A" w14:textId="3DAC19F7" w:rsidR="0066177C" w:rsidRPr="00200A8C" w:rsidRDefault="0066177C" w:rsidP="00200A8C">
      <w:pPr>
        <w:jc w:val="both"/>
        <w:rPr>
          <w:rFonts w:ascii="Times New Roman" w:hAnsi="Times New Roman" w:cs="Times New Roman"/>
        </w:rPr>
      </w:pPr>
      <w:r>
        <w:rPr>
          <w:rFonts w:ascii="Times New Roman" w:hAnsi="Times New Roman" w:cs="Times New Roman"/>
        </w:rPr>
        <w:t>List 1</w:t>
      </w:r>
      <w:r w:rsidR="00360878">
        <w:rPr>
          <w:rFonts w:ascii="Times New Roman" w:hAnsi="Times New Roman" w:cs="Times New Roman"/>
        </w:rPr>
        <w:t xml:space="preserve"> </w:t>
      </w:r>
      <w:r w:rsidR="00360878" w:rsidRPr="00360878">
        <w:rPr>
          <w:rFonts w:ascii="Times New Roman" w:hAnsi="Times New Roman" w:cs="Times New Roman"/>
        </w:rPr>
        <w:t xml:space="preserve">Several quantitative metrics </w:t>
      </w:r>
      <w:r w:rsidR="00360878">
        <w:rPr>
          <w:rFonts w:ascii="Times New Roman" w:hAnsi="Times New Roman" w:cs="Times New Roman"/>
        </w:rPr>
        <w:t>with their definition and purpose</w:t>
      </w:r>
    </w:p>
    <w:tbl>
      <w:tblPr>
        <w:tblStyle w:val="TableGrid"/>
        <w:tblW w:w="0" w:type="auto"/>
        <w:tblLook w:val="04A0" w:firstRow="1" w:lastRow="0" w:firstColumn="1" w:lastColumn="0" w:noHBand="0" w:noVBand="1"/>
      </w:tblPr>
      <w:tblGrid>
        <w:gridCol w:w="2561"/>
        <w:gridCol w:w="6789"/>
      </w:tblGrid>
      <w:tr w:rsidR="00200A8C" w:rsidRPr="00200A8C" w14:paraId="6F519493" w14:textId="77777777" w:rsidTr="00200A8C">
        <w:tc>
          <w:tcPr>
            <w:tcW w:w="0" w:type="auto"/>
            <w:hideMark/>
          </w:tcPr>
          <w:p w14:paraId="28CFA06B"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Metric</w:t>
            </w:r>
          </w:p>
        </w:tc>
        <w:tc>
          <w:tcPr>
            <w:tcW w:w="0" w:type="auto"/>
            <w:hideMark/>
          </w:tcPr>
          <w:p w14:paraId="4049EE8E"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Definition / Purpose</w:t>
            </w:r>
          </w:p>
        </w:tc>
      </w:tr>
      <w:tr w:rsidR="00200A8C" w:rsidRPr="00200A8C" w14:paraId="2E957106" w14:textId="77777777" w:rsidTr="00200A8C">
        <w:tc>
          <w:tcPr>
            <w:tcW w:w="0" w:type="auto"/>
            <w:hideMark/>
          </w:tcPr>
          <w:p w14:paraId="27BDC730"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Atom Economy (AE)</w:t>
            </w:r>
          </w:p>
        </w:tc>
        <w:tc>
          <w:tcPr>
            <w:tcW w:w="0" w:type="auto"/>
            <w:hideMark/>
          </w:tcPr>
          <w:p w14:paraId="368F329D"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Measures the proportion of reactant atoms incorporated into the final product [51].</w:t>
            </w:r>
          </w:p>
        </w:tc>
      </w:tr>
      <w:tr w:rsidR="00200A8C" w:rsidRPr="00200A8C" w14:paraId="185FDC06" w14:textId="77777777" w:rsidTr="00200A8C">
        <w:tc>
          <w:tcPr>
            <w:tcW w:w="0" w:type="auto"/>
            <w:hideMark/>
          </w:tcPr>
          <w:p w14:paraId="361DD1AA"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E-factor</w:t>
            </w:r>
          </w:p>
        </w:tc>
        <w:tc>
          <w:tcPr>
            <w:tcW w:w="0" w:type="auto"/>
            <w:hideMark/>
          </w:tcPr>
          <w:p w14:paraId="31014279"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Calculates the mass of waste per mass of product. Lower values indicate cleaner processes [52].</w:t>
            </w:r>
          </w:p>
        </w:tc>
      </w:tr>
      <w:tr w:rsidR="00200A8C" w:rsidRPr="00200A8C" w14:paraId="00ACA2D6" w14:textId="77777777" w:rsidTr="00200A8C">
        <w:tc>
          <w:tcPr>
            <w:tcW w:w="0" w:type="auto"/>
            <w:hideMark/>
          </w:tcPr>
          <w:p w14:paraId="30889145"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Process Mass Intensity (PMI)</w:t>
            </w:r>
          </w:p>
        </w:tc>
        <w:tc>
          <w:tcPr>
            <w:tcW w:w="0" w:type="auto"/>
            <w:hideMark/>
          </w:tcPr>
          <w:p w14:paraId="0239DBA9"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Total mass of all materials used (solvents, reagents, catalysts) per kg of product [53].</w:t>
            </w:r>
          </w:p>
        </w:tc>
      </w:tr>
      <w:tr w:rsidR="00200A8C" w:rsidRPr="00200A8C" w14:paraId="6773D2DC" w14:textId="77777777" w:rsidTr="00200A8C">
        <w:tc>
          <w:tcPr>
            <w:tcW w:w="0" w:type="auto"/>
            <w:hideMark/>
          </w:tcPr>
          <w:p w14:paraId="79EFA74F"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Carbon Efficiency</w:t>
            </w:r>
          </w:p>
        </w:tc>
        <w:tc>
          <w:tcPr>
            <w:tcW w:w="0" w:type="auto"/>
            <w:hideMark/>
          </w:tcPr>
          <w:p w14:paraId="79F2820B"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Ratio of carbon in the final product to carbon in all reactants [54].</w:t>
            </w:r>
          </w:p>
        </w:tc>
      </w:tr>
      <w:tr w:rsidR="00200A8C" w:rsidRPr="00200A8C" w14:paraId="33D81A65" w14:textId="77777777" w:rsidTr="00200A8C">
        <w:tc>
          <w:tcPr>
            <w:tcW w:w="0" w:type="auto"/>
            <w:hideMark/>
          </w:tcPr>
          <w:p w14:paraId="616D2D4B" w14:textId="77777777" w:rsidR="00200A8C" w:rsidRPr="00200A8C" w:rsidRDefault="00200A8C" w:rsidP="00200A8C">
            <w:pPr>
              <w:spacing w:after="160" w:line="278" w:lineRule="auto"/>
              <w:jc w:val="both"/>
              <w:rPr>
                <w:rFonts w:ascii="Times New Roman" w:hAnsi="Times New Roman" w:cs="Times New Roman"/>
              </w:rPr>
            </w:pPr>
            <w:proofErr w:type="spellStart"/>
            <w:r w:rsidRPr="00200A8C">
              <w:rPr>
                <w:rFonts w:ascii="Times New Roman" w:hAnsi="Times New Roman" w:cs="Times New Roman"/>
                <w:b/>
                <w:bCs/>
              </w:rPr>
              <w:t>EcoScale</w:t>
            </w:r>
            <w:proofErr w:type="spellEnd"/>
          </w:p>
        </w:tc>
        <w:tc>
          <w:tcPr>
            <w:tcW w:w="0" w:type="auto"/>
            <w:hideMark/>
          </w:tcPr>
          <w:p w14:paraId="346F7B40"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Scores reactions based on yield, safety, cost, and environmental impact [55].</w:t>
            </w:r>
          </w:p>
        </w:tc>
      </w:tr>
    </w:tbl>
    <w:p w14:paraId="44C3817B" w14:textId="15C51114" w:rsidR="002907B8" w:rsidRDefault="00200A8C" w:rsidP="00D64B70">
      <w:pPr>
        <w:jc w:val="both"/>
        <w:rPr>
          <w:rFonts w:ascii="Times New Roman" w:hAnsi="Times New Roman" w:cs="Times New Roman"/>
        </w:rPr>
      </w:pPr>
      <w:r w:rsidRPr="00200A8C">
        <w:rPr>
          <w:rFonts w:ascii="Times New Roman" w:hAnsi="Times New Roman" w:cs="Times New Roman"/>
        </w:rPr>
        <w:t>These metrics are most informative when used in combination, as a single number rarely captures the full sustainability profile of a process.</w:t>
      </w:r>
    </w:p>
    <w:p w14:paraId="13FE554D"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Process Mass Intensity (PMI): A Preferred Industry Metric</w:t>
      </w:r>
    </w:p>
    <w:p w14:paraId="1F1B189B"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lastRenderedPageBreak/>
        <w:t>PMI is one of the most widely adopted metrics in the pharmaceutical industry due to its simplicity and broad applicability. Unlike the E-factor, PMI accounts for all materials used in the process, including solvents and auxiliary agents, offering a more holistic view of material efficiency. Companies such as Pfizer, GlaxoSmithKline, and AstraZeneca now use PMI dashboards in early-stage development to guide greener route selection [56].</w:t>
      </w:r>
    </w:p>
    <w:p w14:paraId="6D8BBD89"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A PMI value below 50 is considered good for active pharmaceutical ingredient (API) manufacturing, while &lt;10 is targeted in highly optimized processes. Strategies to reduce PMI include:</w:t>
      </w:r>
    </w:p>
    <w:p w14:paraId="24F318B2" w14:textId="77777777" w:rsidR="00200A8C" w:rsidRPr="00200A8C" w:rsidRDefault="00200A8C" w:rsidP="00200A8C">
      <w:pPr>
        <w:numPr>
          <w:ilvl w:val="0"/>
          <w:numId w:val="14"/>
        </w:numPr>
        <w:jc w:val="both"/>
        <w:rPr>
          <w:rFonts w:ascii="Times New Roman" w:hAnsi="Times New Roman" w:cs="Times New Roman"/>
        </w:rPr>
      </w:pPr>
      <w:r w:rsidRPr="00200A8C">
        <w:rPr>
          <w:rFonts w:ascii="Times New Roman" w:hAnsi="Times New Roman" w:cs="Times New Roman"/>
        </w:rPr>
        <w:t>Switching to solvent-free or aqueous systems</w:t>
      </w:r>
    </w:p>
    <w:p w14:paraId="1D073C1C" w14:textId="77777777" w:rsidR="00200A8C" w:rsidRPr="00200A8C" w:rsidRDefault="00200A8C" w:rsidP="00200A8C">
      <w:pPr>
        <w:numPr>
          <w:ilvl w:val="0"/>
          <w:numId w:val="14"/>
        </w:numPr>
        <w:jc w:val="both"/>
        <w:rPr>
          <w:rFonts w:ascii="Times New Roman" w:hAnsi="Times New Roman" w:cs="Times New Roman"/>
        </w:rPr>
      </w:pPr>
      <w:r w:rsidRPr="00200A8C">
        <w:rPr>
          <w:rFonts w:ascii="Times New Roman" w:hAnsi="Times New Roman" w:cs="Times New Roman"/>
        </w:rPr>
        <w:t>Minimizing work-up steps</w:t>
      </w:r>
    </w:p>
    <w:p w14:paraId="3999B0AD" w14:textId="77777777" w:rsidR="00200A8C" w:rsidRPr="00200A8C" w:rsidRDefault="00200A8C" w:rsidP="00200A8C">
      <w:pPr>
        <w:numPr>
          <w:ilvl w:val="0"/>
          <w:numId w:val="14"/>
        </w:numPr>
        <w:jc w:val="both"/>
        <w:rPr>
          <w:rFonts w:ascii="Times New Roman" w:hAnsi="Times New Roman" w:cs="Times New Roman"/>
        </w:rPr>
      </w:pPr>
      <w:r w:rsidRPr="00200A8C">
        <w:rPr>
          <w:rFonts w:ascii="Times New Roman" w:hAnsi="Times New Roman" w:cs="Times New Roman"/>
        </w:rPr>
        <w:t>Integrating flow chemistry and telescoped reactions</w:t>
      </w:r>
    </w:p>
    <w:p w14:paraId="581BA0A8" w14:textId="77777777" w:rsidR="00200A8C" w:rsidRPr="00200A8C" w:rsidRDefault="00200A8C" w:rsidP="00200A8C">
      <w:pPr>
        <w:numPr>
          <w:ilvl w:val="0"/>
          <w:numId w:val="14"/>
        </w:numPr>
        <w:jc w:val="both"/>
        <w:rPr>
          <w:rFonts w:ascii="Times New Roman" w:hAnsi="Times New Roman" w:cs="Times New Roman"/>
        </w:rPr>
      </w:pPr>
      <w:r w:rsidRPr="00200A8C">
        <w:rPr>
          <w:rFonts w:ascii="Times New Roman" w:hAnsi="Times New Roman" w:cs="Times New Roman"/>
        </w:rPr>
        <w:t>Reducing purification stages</w:t>
      </w:r>
    </w:p>
    <w:p w14:paraId="7C6FF5C5"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Life Cycle Assessment (LCA)</w:t>
      </w:r>
    </w:p>
    <w:p w14:paraId="6E3478AE" w14:textId="6C6C27B2" w:rsidR="00200A8C" w:rsidRPr="00200A8C" w:rsidRDefault="00200A8C" w:rsidP="00200A8C">
      <w:pPr>
        <w:jc w:val="both"/>
        <w:rPr>
          <w:rFonts w:ascii="Times New Roman" w:hAnsi="Times New Roman" w:cs="Times New Roman"/>
        </w:rPr>
      </w:pPr>
      <w:r w:rsidRPr="00200A8C">
        <w:rPr>
          <w:rFonts w:ascii="Times New Roman" w:hAnsi="Times New Roman" w:cs="Times New Roman"/>
        </w:rPr>
        <w:t>While green chemistry metrics focus on the process itself, Life Cycle Assessment (LCA) evaluates the environmental footprint across the entire life cycle from raw material extraction to manufacturing, distribution, use, and disposal. This systems-level approach is crucial for identifying hidden environmental costs or trade-offs that process metrics may overlook [57].</w:t>
      </w:r>
    </w:p>
    <w:p w14:paraId="6E069DA0"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Key LCA Stages in Pharma:</w:t>
      </w:r>
    </w:p>
    <w:p w14:paraId="0ED9EB0E" w14:textId="77777777" w:rsidR="00200A8C" w:rsidRPr="00200A8C" w:rsidRDefault="00200A8C" w:rsidP="00200A8C">
      <w:pPr>
        <w:numPr>
          <w:ilvl w:val="0"/>
          <w:numId w:val="15"/>
        </w:numPr>
        <w:jc w:val="both"/>
        <w:rPr>
          <w:rFonts w:ascii="Times New Roman" w:hAnsi="Times New Roman" w:cs="Times New Roman"/>
        </w:rPr>
      </w:pPr>
      <w:r w:rsidRPr="00200A8C">
        <w:rPr>
          <w:rFonts w:ascii="Times New Roman" w:hAnsi="Times New Roman" w:cs="Times New Roman"/>
        </w:rPr>
        <w:t>Raw Material Sourcing – impact of mining, agriculture, or fermentation</w:t>
      </w:r>
    </w:p>
    <w:p w14:paraId="591B292A" w14:textId="77777777" w:rsidR="00200A8C" w:rsidRPr="00200A8C" w:rsidRDefault="00200A8C" w:rsidP="00200A8C">
      <w:pPr>
        <w:numPr>
          <w:ilvl w:val="0"/>
          <w:numId w:val="15"/>
        </w:numPr>
        <w:jc w:val="both"/>
        <w:rPr>
          <w:rFonts w:ascii="Times New Roman" w:hAnsi="Times New Roman" w:cs="Times New Roman"/>
        </w:rPr>
      </w:pPr>
      <w:r w:rsidRPr="00200A8C">
        <w:rPr>
          <w:rFonts w:ascii="Times New Roman" w:hAnsi="Times New Roman" w:cs="Times New Roman"/>
        </w:rPr>
        <w:t>Process Manufacturing – energy, solvents, emissions, waste</w:t>
      </w:r>
    </w:p>
    <w:p w14:paraId="02070920" w14:textId="77777777" w:rsidR="00200A8C" w:rsidRPr="00200A8C" w:rsidRDefault="00200A8C" w:rsidP="00200A8C">
      <w:pPr>
        <w:numPr>
          <w:ilvl w:val="0"/>
          <w:numId w:val="15"/>
        </w:numPr>
        <w:jc w:val="both"/>
        <w:rPr>
          <w:rFonts w:ascii="Times New Roman" w:hAnsi="Times New Roman" w:cs="Times New Roman"/>
        </w:rPr>
      </w:pPr>
      <w:r w:rsidRPr="00200A8C">
        <w:rPr>
          <w:rFonts w:ascii="Times New Roman" w:hAnsi="Times New Roman" w:cs="Times New Roman"/>
        </w:rPr>
        <w:t>Formulation and Packaging – water use, plastics, recyclability</w:t>
      </w:r>
    </w:p>
    <w:p w14:paraId="62F5D46F" w14:textId="77777777" w:rsidR="00200A8C" w:rsidRPr="00200A8C" w:rsidRDefault="00200A8C" w:rsidP="00200A8C">
      <w:pPr>
        <w:numPr>
          <w:ilvl w:val="0"/>
          <w:numId w:val="15"/>
        </w:numPr>
        <w:jc w:val="both"/>
        <w:rPr>
          <w:rFonts w:ascii="Times New Roman" w:hAnsi="Times New Roman" w:cs="Times New Roman"/>
        </w:rPr>
      </w:pPr>
      <w:r w:rsidRPr="00200A8C">
        <w:rPr>
          <w:rFonts w:ascii="Times New Roman" w:hAnsi="Times New Roman" w:cs="Times New Roman"/>
        </w:rPr>
        <w:t>Distribution and Use – transport emissions, shelf life</w:t>
      </w:r>
    </w:p>
    <w:p w14:paraId="0BE38EEE" w14:textId="77777777" w:rsidR="00200A8C" w:rsidRPr="00200A8C" w:rsidRDefault="00200A8C" w:rsidP="00200A8C">
      <w:pPr>
        <w:numPr>
          <w:ilvl w:val="0"/>
          <w:numId w:val="15"/>
        </w:numPr>
        <w:jc w:val="both"/>
        <w:rPr>
          <w:rFonts w:ascii="Times New Roman" w:hAnsi="Times New Roman" w:cs="Times New Roman"/>
        </w:rPr>
      </w:pPr>
      <w:r w:rsidRPr="00200A8C">
        <w:rPr>
          <w:rFonts w:ascii="Times New Roman" w:hAnsi="Times New Roman" w:cs="Times New Roman"/>
        </w:rPr>
        <w:t>End-of-Life – degradation, toxicity of waste or by-products</w:t>
      </w:r>
    </w:p>
    <w:p w14:paraId="720B249B" w14:textId="6A4EC570" w:rsidR="00200A8C" w:rsidRPr="00200A8C" w:rsidRDefault="00200A8C" w:rsidP="00200A8C">
      <w:pPr>
        <w:jc w:val="both"/>
        <w:rPr>
          <w:rFonts w:ascii="Times New Roman" w:hAnsi="Times New Roman" w:cs="Times New Roman"/>
        </w:rPr>
      </w:pPr>
      <w:r w:rsidRPr="00200A8C">
        <w:rPr>
          <w:rFonts w:ascii="Times New Roman" w:hAnsi="Times New Roman" w:cs="Times New Roman"/>
        </w:rPr>
        <w:t xml:space="preserve">LCA tools such as </w:t>
      </w:r>
      <w:proofErr w:type="spellStart"/>
      <w:r w:rsidRPr="00200A8C">
        <w:rPr>
          <w:rFonts w:ascii="Times New Roman" w:hAnsi="Times New Roman" w:cs="Times New Roman"/>
        </w:rPr>
        <w:t>GaBi</w:t>
      </w:r>
      <w:proofErr w:type="spellEnd"/>
      <w:r w:rsidRPr="00200A8C">
        <w:rPr>
          <w:rFonts w:ascii="Times New Roman" w:hAnsi="Times New Roman" w:cs="Times New Roman"/>
        </w:rPr>
        <w:t xml:space="preserve">, </w:t>
      </w:r>
      <w:proofErr w:type="spellStart"/>
      <w:r w:rsidRPr="00200A8C">
        <w:rPr>
          <w:rFonts w:ascii="Times New Roman" w:hAnsi="Times New Roman" w:cs="Times New Roman"/>
        </w:rPr>
        <w:t>SimaPro</w:t>
      </w:r>
      <w:proofErr w:type="spellEnd"/>
      <w:r w:rsidRPr="00200A8C">
        <w:rPr>
          <w:rFonts w:ascii="Times New Roman" w:hAnsi="Times New Roman" w:cs="Times New Roman"/>
        </w:rPr>
        <w:t xml:space="preserve">, and </w:t>
      </w:r>
      <w:proofErr w:type="spellStart"/>
      <w:r w:rsidRPr="00200A8C">
        <w:rPr>
          <w:rFonts w:ascii="Times New Roman" w:hAnsi="Times New Roman" w:cs="Times New Roman"/>
        </w:rPr>
        <w:t>OpenLCA</w:t>
      </w:r>
      <w:proofErr w:type="spellEnd"/>
      <w:r w:rsidRPr="00200A8C">
        <w:rPr>
          <w:rFonts w:ascii="Times New Roman" w:hAnsi="Times New Roman" w:cs="Times New Roman"/>
        </w:rPr>
        <w:t xml:space="preserve"> are used to model these stages based on inventory databases (e.g., </w:t>
      </w:r>
      <w:proofErr w:type="spellStart"/>
      <w:r w:rsidRPr="00200A8C">
        <w:rPr>
          <w:rFonts w:ascii="Times New Roman" w:hAnsi="Times New Roman" w:cs="Times New Roman"/>
        </w:rPr>
        <w:t>Ecoinvent</w:t>
      </w:r>
      <w:proofErr w:type="spellEnd"/>
      <w:r w:rsidRPr="00200A8C">
        <w:rPr>
          <w:rFonts w:ascii="Times New Roman" w:hAnsi="Times New Roman" w:cs="Times New Roman"/>
        </w:rPr>
        <w:t>). LCA can reveal scenarios where a "green" reagent may have a high environmental cost due to non-renewable sourcing or toxic degradation products [58].</w:t>
      </w:r>
    </w:p>
    <w:p w14:paraId="308840CD"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15.4 Integration into Decision-Making</w:t>
      </w:r>
    </w:p>
    <w:p w14:paraId="762AC0ED" w14:textId="76D5A138" w:rsidR="00200A8C" w:rsidRPr="00200A8C" w:rsidRDefault="00200A8C" w:rsidP="00200A8C">
      <w:pPr>
        <w:jc w:val="both"/>
        <w:rPr>
          <w:rFonts w:ascii="Times New Roman" w:hAnsi="Times New Roman" w:cs="Times New Roman"/>
        </w:rPr>
      </w:pPr>
      <w:r w:rsidRPr="00200A8C">
        <w:rPr>
          <w:rFonts w:ascii="Times New Roman" w:hAnsi="Times New Roman" w:cs="Times New Roman"/>
        </w:rPr>
        <w:t>For maximum impact, sustainability metrics and LCA must be integrated early in the development pipeline</w:t>
      </w:r>
      <w:r>
        <w:rPr>
          <w:rFonts w:ascii="Times New Roman" w:hAnsi="Times New Roman" w:cs="Times New Roman"/>
        </w:rPr>
        <w:t xml:space="preserve"> </w:t>
      </w:r>
      <w:r w:rsidRPr="00200A8C">
        <w:rPr>
          <w:rFonts w:ascii="Times New Roman" w:hAnsi="Times New Roman" w:cs="Times New Roman"/>
        </w:rPr>
        <w:t>not just at scale-up. Several pharmaceutical companies now employ Green Chemistry Performance Indicators (GCPIs) and toolkits to guide synthetic planning, optimize supply chains, and meet ESG goals.</w:t>
      </w:r>
    </w:p>
    <w:p w14:paraId="613836BC"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lastRenderedPageBreak/>
        <w:t>The ACS Green Chemistry Institute Pharmaceutical Roundtable provides free calculators, solvent selection guides, and LCA resources to support greener synthesis planning and metric benchmarking [59].</w:t>
      </w:r>
    </w:p>
    <w:tbl>
      <w:tblPr>
        <w:tblStyle w:val="TableGrid"/>
        <w:tblW w:w="0" w:type="auto"/>
        <w:tblLook w:val="04A0" w:firstRow="1" w:lastRow="0" w:firstColumn="1" w:lastColumn="0" w:noHBand="0" w:noVBand="1"/>
      </w:tblPr>
      <w:tblGrid>
        <w:gridCol w:w="2689"/>
        <w:gridCol w:w="3414"/>
        <w:gridCol w:w="3247"/>
      </w:tblGrid>
      <w:tr w:rsidR="00200A8C" w:rsidRPr="00200A8C" w14:paraId="1A3BFB8D" w14:textId="77777777" w:rsidTr="00200A8C">
        <w:tc>
          <w:tcPr>
            <w:tcW w:w="0" w:type="auto"/>
            <w:hideMark/>
          </w:tcPr>
          <w:p w14:paraId="53367BC7"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Metric / Tool</w:t>
            </w:r>
          </w:p>
        </w:tc>
        <w:tc>
          <w:tcPr>
            <w:tcW w:w="0" w:type="auto"/>
            <w:hideMark/>
          </w:tcPr>
          <w:p w14:paraId="6C37732E"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Purpose</w:t>
            </w:r>
          </w:p>
        </w:tc>
        <w:tc>
          <w:tcPr>
            <w:tcW w:w="0" w:type="auto"/>
            <w:hideMark/>
          </w:tcPr>
          <w:p w14:paraId="264AAF83" w14:textId="77777777" w:rsidR="00200A8C" w:rsidRPr="00200A8C" w:rsidRDefault="00200A8C" w:rsidP="00200A8C">
            <w:pPr>
              <w:spacing w:after="160" w:line="278" w:lineRule="auto"/>
              <w:jc w:val="both"/>
              <w:rPr>
                <w:rFonts w:ascii="Times New Roman" w:hAnsi="Times New Roman" w:cs="Times New Roman"/>
                <w:b/>
                <w:bCs/>
              </w:rPr>
            </w:pPr>
            <w:r w:rsidRPr="00200A8C">
              <w:rPr>
                <w:rFonts w:ascii="Times New Roman" w:hAnsi="Times New Roman" w:cs="Times New Roman"/>
                <w:b/>
                <w:bCs/>
              </w:rPr>
              <w:t>Key Features / Benefits</w:t>
            </w:r>
          </w:p>
        </w:tc>
      </w:tr>
      <w:tr w:rsidR="00200A8C" w:rsidRPr="00200A8C" w14:paraId="03965785" w14:textId="77777777" w:rsidTr="00200A8C">
        <w:tc>
          <w:tcPr>
            <w:tcW w:w="0" w:type="auto"/>
            <w:hideMark/>
          </w:tcPr>
          <w:p w14:paraId="0A2E043A"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Atom Economy (AE)</w:t>
            </w:r>
          </w:p>
        </w:tc>
        <w:tc>
          <w:tcPr>
            <w:tcW w:w="0" w:type="auto"/>
            <w:hideMark/>
          </w:tcPr>
          <w:p w14:paraId="2264DACC"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Evaluates how efficiently atoms of reactants are incorporated into products</w:t>
            </w:r>
          </w:p>
        </w:tc>
        <w:tc>
          <w:tcPr>
            <w:tcW w:w="0" w:type="auto"/>
            <w:hideMark/>
          </w:tcPr>
          <w:p w14:paraId="122A80A8"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Encourages fewer by-products; ideal is 100% [51]</w:t>
            </w:r>
          </w:p>
        </w:tc>
      </w:tr>
      <w:tr w:rsidR="00200A8C" w:rsidRPr="00200A8C" w14:paraId="74C8728C" w14:textId="77777777" w:rsidTr="00200A8C">
        <w:tc>
          <w:tcPr>
            <w:tcW w:w="0" w:type="auto"/>
            <w:hideMark/>
          </w:tcPr>
          <w:p w14:paraId="39A83C6B"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E-factor</w:t>
            </w:r>
          </w:p>
        </w:tc>
        <w:tc>
          <w:tcPr>
            <w:tcW w:w="0" w:type="auto"/>
            <w:hideMark/>
          </w:tcPr>
          <w:p w14:paraId="0622AA12"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Measures waste generated per unit of product</w:t>
            </w:r>
          </w:p>
        </w:tc>
        <w:tc>
          <w:tcPr>
            <w:tcW w:w="0" w:type="auto"/>
            <w:hideMark/>
          </w:tcPr>
          <w:p w14:paraId="7AE315CE"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Lower E-factor indicates a cleaner process [52]</w:t>
            </w:r>
          </w:p>
        </w:tc>
      </w:tr>
      <w:tr w:rsidR="00200A8C" w:rsidRPr="00200A8C" w14:paraId="62442889" w14:textId="77777777" w:rsidTr="00200A8C">
        <w:tc>
          <w:tcPr>
            <w:tcW w:w="0" w:type="auto"/>
            <w:hideMark/>
          </w:tcPr>
          <w:p w14:paraId="48DF68A8"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Process Mass Intensity (PMI)</w:t>
            </w:r>
          </w:p>
        </w:tc>
        <w:tc>
          <w:tcPr>
            <w:tcW w:w="0" w:type="auto"/>
            <w:hideMark/>
          </w:tcPr>
          <w:p w14:paraId="3DBEE25A"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Total mass of all materials (reagents, solvents, etc.) per kg of product</w:t>
            </w:r>
          </w:p>
        </w:tc>
        <w:tc>
          <w:tcPr>
            <w:tcW w:w="0" w:type="auto"/>
            <w:hideMark/>
          </w:tcPr>
          <w:p w14:paraId="5EFE710F"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Holistic, widely used in pharma industry [53]</w:t>
            </w:r>
          </w:p>
        </w:tc>
      </w:tr>
      <w:tr w:rsidR="00200A8C" w:rsidRPr="00200A8C" w14:paraId="6A7B740D" w14:textId="77777777" w:rsidTr="00200A8C">
        <w:tc>
          <w:tcPr>
            <w:tcW w:w="0" w:type="auto"/>
            <w:hideMark/>
          </w:tcPr>
          <w:p w14:paraId="6BD3F2AC"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Carbon Efficiency</w:t>
            </w:r>
          </w:p>
        </w:tc>
        <w:tc>
          <w:tcPr>
            <w:tcW w:w="0" w:type="auto"/>
            <w:hideMark/>
          </w:tcPr>
          <w:p w14:paraId="3D11A7B2"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Measures how much carbon from reactants is retained in the product</w:t>
            </w:r>
          </w:p>
        </w:tc>
        <w:tc>
          <w:tcPr>
            <w:tcW w:w="0" w:type="auto"/>
            <w:hideMark/>
          </w:tcPr>
          <w:p w14:paraId="695B3134"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Focuses on minimizing carbon waste [54]</w:t>
            </w:r>
          </w:p>
        </w:tc>
      </w:tr>
      <w:tr w:rsidR="00200A8C" w:rsidRPr="00200A8C" w14:paraId="243879E2" w14:textId="77777777" w:rsidTr="00200A8C">
        <w:tc>
          <w:tcPr>
            <w:tcW w:w="0" w:type="auto"/>
            <w:hideMark/>
          </w:tcPr>
          <w:p w14:paraId="1D200099" w14:textId="77777777" w:rsidR="00200A8C" w:rsidRPr="00200A8C" w:rsidRDefault="00200A8C" w:rsidP="00200A8C">
            <w:pPr>
              <w:spacing w:after="160" w:line="278" w:lineRule="auto"/>
              <w:jc w:val="both"/>
              <w:rPr>
                <w:rFonts w:ascii="Times New Roman" w:hAnsi="Times New Roman" w:cs="Times New Roman"/>
              </w:rPr>
            </w:pPr>
            <w:proofErr w:type="spellStart"/>
            <w:r w:rsidRPr="00200A8C">
              <w:rPr>
                <w:rFonts w:ascii="Times New Roman" w:hAnsi="Times New Roman" w:cs="Times New Roman"/>
                <w:b/>
                <w:bCs/>
              </w:rPr>
              <w:t>EcoScale</w:t>
            </w:r>
            <w:proofErr w:type="spellEnd"/>
          </w:p>
        </w:tc>
        <w:tc>
          <w:tcPr>
            <w:tcW w:w="0" w:type="auto"/>
            <w:hideMark/>
          </w:tcPr>
          <w:p w14:paraId="6FC3BA4E"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Semi-quantitative score based on yield, cost, safety, and environmental impact</w:t>
            </w:r>
          </w:p>
        </w:tc>
        <w:tc>
          <w:tcPr>
            <w:tcW w:w="0" w:type="auto"/>
            <w:hideMark/>
          </w:tcPr>
          <w:p w14:paraId="42CF428A"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Useful in comparing alternative routes [55]</w:t>
            </w:r>
          </w:p>
        </w:tc>
      </w:tr>
      <w:tr w:rsidR="00200A8C" w:rsidRPr="00200A8C" w14:paraId="3686BE22" w14:textId="77777777" w:rsidTr="00200A8C">
        <w:tc>
          <w:tcPr>
            <w:tcW w:w="0" w:type="auto"/>
            <w:hideMark/>
          </w:tcPr>
          <w:p w14:paraId="25A88D19"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Life Cycle Assessment (LCA)</w:t>
            </w:r>
          </w:p>
        </w:tc>
        <w:tc>
          <w:tcPr>
            <w:tcW w:w="0" w:type="auto"/>
            <w:hideMark/>
          </w:tcPr>
          <w:p w14:paraId="4E39C230"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Evaluates total environmental impact from raw material to disposal</w:t>
            </w:r>
          </w:p>
        </w:tc>
        <w:tc>
          <w:tcPr>
            <w:tcW w:w="0" w:type="auto"/>
            <w:hideMark/>
          </w:tcPr>
          <w:p w14:paraId="18DB7791"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System-level analysis; identifies upstream and downstream impacts [57], [58]</w:t>
            </w:r>
          </w:p>
        </w:tc>
      </w:tr>
      <w:tr w:rsidR="00200A8C" w:rsidRPr="00200A8C" w14:paraId="729EA7DB" w14:textId="77777777" w:rsidTr="00200A8C">
        <w:tc>
          <w:tcPr>
            <w:tcW w:w="0" w:type="auto"/>
            <w:hideMark/>
          </w:tcPr>
          <w:p w14:paraId="6A38EAA0"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Green Chemistry Performance Indicators (GCPIs)</w:t>
            </w:r>
          </w:p>
        </w:tc>
        <w:tc>
          <w:tcPr>
            <w:tcW w:w="0" w:type="auto"/>
            <w:hideMark/>
          </w:tcPr>
          <w:p w14:paraId="248DF8E2"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Internal benchmarks for sustainability across projects</w:t>
            </w:r>
          </w:p>
        </w:tc>
        <w:tc>
          <w:tcPr>
            <w:tcW w:w="0" w:type="auto"/>
            <w:hideMark/>
          </w:tcPr>
          <w:p w14:paraId="7591BA22"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Used by pharma companies for early-stage decision-making [56], [59]</w:t>
            </w:r>
          </w:p>
        </w:tc>
      </w:tr>
      <w:tr w:rsidR="00200A8C" w:rsidRPr="00200A8C" w14:paraId="76311F95" w14:textId="77777777" w:rsidTr="00200A8C">
        <w:tc>
          <w:tcPr>
            <w:tcW w:w="0" w:type="auto"/>
            <w:hideMark/>
          </w:tcPr>
          <w:p w14:paraId="4B9A5FFD"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b/>
                <w:bCs/>
              </w:rPr>
              <w:t>ACS GCI PR Toolkit</w:t>
            </w:r>
          </w:p>
        </w:tc>
        <w:tc>
          <w:tcPr>
            <w:tcW w:w="0" w:type="auto"/>
            <w:hideMark/>
          </w:tcPr>
          <w:p w14:paraId="7C61483F"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Tools and calculators for evaluating and improving green processes</w:t>
            </w:r>
          </w:p>
        </w:tc>
        <w:tc>
          <w:tcPr>
            <w:tcW w:w="0" w:type="auto"/>
            <w:hideMark/>
          </w:tcPr>
          <w:p w14:paraId="3B1D82D6" w14:textId="77777777" w:rsidR="00200A8C" w:rsidRPr="00200A8C" w:rsidRDefault="00200A8C" w:rsidP="00200A8C">
            <w:pPr>
              <w:spacing w:after="160" w:line="278" w:lineRule="auto"/>
              <w:jc w:val="both"/>
              <w:rPr>
                <w:rFonts w:ascii="Times New Roman" w:hAnsi="Times New Roman" w:cs="Times New Roman"/>
              </w:rPr>
            </w:pPr>
            <w:r w:rsidRPr="00200A8C">
              <w:rPr>
                <w:rFonts w:ascii="Times New Roman" w:hAnsi="Times New Roman" w:cs="Times New Roman"/>
              </w:rPr>
              <w:t>Industry-standard resources for synthesis planning [59]</w:t>
            </w:r>
          </w:p>
        </w:tc>
      </w:tr>
    </w:tbl>
    <w:p w14:paraId="2E4727B4" w14:textId="77777777" w:rsidR="002907B8" w:rsidRDefault="002907B8" w:rsidP="00D64B70">
      <w:pPr>
        <w:jc w:val="both"/>
        <w:rPr>
          <w:rFonts w:ascii="Times New Roman" w:hAnsi="Times New Roman" w:cs="Times New Roman"/>
        </w:rPr>
      </w:pPr>
    </w:p>
    <w:p w14:paraId="58798FC0" w14:textId="6749245A" w:rsidR="002907B8" w:rsidRPr="00097316" w:rsidRDefault="00200A8C" w:rsidP="00200A8C">
      <w:pPr>
        <w:jc w:val="center"/>
        <w:rPr>
          <w:rFonts w:ascii="Times New Roman" w:hAnsi="Times New Roman" w:cs="Times New Roman"/>
          <w:b/>
          <w:bCs/>
        </w:rPr>
      </w:pPr>
      <w:r w:rsidRPr="00097316">
        <w:rPr>
          <w:rFonts w:ascii="Times New Roman" w:hAnsi="Times New Roman" w:cs="Times New Roman"/>
          <w:b/>
          <w:bCs/>
        </w:rPr>
        <w:t>Table 4. Summary of Sustainability Metrics and Life Cycle Assessment Tools in Green Chemistry</w:t>
      </w:r>
    </w:p>
    <w:p w14:paraId="7DC3F726"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16. Challenges and Future Outlook in Green Pharmaceutical Synthesis</w:t>
      </w:r>
    </w:p>
    <w:p w14:paraId="6AC6CB21" w14:textId="6E7CC9FA" w:rsidR="00200A8C" w:rsidRPr="00200A8C" w:rsidRDefault="00200A8C" w:rsidP="00200A8C">
      <w:pPr>
        <w:jc w:val="both"/>
        <w:rPr>
          <w:rFonts w:ascii="Times New Roman" w:hAnsi="Times New Roman" w:cs="Times New Roman"/>
        </w:rPr>
      </w:pPr>
      <w:r w:rsidRPr="00200A8C">
        <w:rPr>
          <w:rFonts w:ascii="Times New Roman" w:hAnsi="Times New Roman" w:cs="Times New Roman"/>
        </w:rPr>
        <w:t xml:space="preserve">Despite the considerable progress in developing and adopting green chemistry strategies within the pharmaceutical industry, several </w:t>
      </w:r>
      <w:r w:rsidRPr="00F35F1B">
        <w:rPr>
          <w:rFonts w:ascii="Times New Roman" w:hAnsi="Times New Roman" w:cs="Times New Roman"/>
        </w:rPr>
        <w:t xml:space="preserve">practical, technical, economic, and regulatory challenges still </w:t>
      </w:r>
      <w:r w:rsidRPr="00F35F1B">
        <w:rPr>
          <w:rFonts w:ascii="Times New Roman" w:hAnsi="Times New Roman" w:cs="Times New Roman"/>
        </w:rPr>
        <w:lastRenderedPageBreak/>
        <w:t>hinder the full realization of sustainable drug development. This section discusses these barriers and provides insights into emerging trends and future directions to overcome them</w:t>
      </w:r>
      <w:r w:rsidRPr="00200A8C">
        <w:rPr>
          <w:rFonts w:ascii="Times New Roman" w:hAnsi="Times New Roman" w:cs="Times New Roman"/>
        </w:rPr>
        <w:t>.</w:t>
      </w:r>
    </w:p>
    <w:p w14:paraId="676B9DEF" w14:textId="1DBE6DA8"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Current Challenges</w:t>
      </w:r>
    </w:p>
    <w:p w14:paraId="2696B7DC"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 Technical Limitations of Green Reagents and Catalysts</w:t>
      </w:r>
    </w:p>
    <w:p w14:paraId="7F184B2F"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 xml:space="preserve">While enzymatic, organocatalytic, and heterogeneous systems offer green advantages, they often suffer from limited substrate scopes, lower turnover numbers, and stability issues. For example, many biocatalysts cannot withstand harsh industrial conditions such as high temperatures, organic solvents, or extremes of </w:t>
      </w:r>
      <w:proofErr w:type="spellStart"/>
      <w:r w:rsidRPr="00200A8C">
        <w:rPr>
          <w:rFonts w:ascii="Times New Roman" w:hAnsi="Times New Roman" w:cs="Times New Roman"/>
        </w:rPr>
        <w:t>pH.</w:t>
      </w:r>
      <w:proofErr w:type="spellEnd"/>
      <w:r w:rsidRPr="00200A8C">
        <w:rPr>
          <w:rFonts w:ascii="Times New Roman" w:hAnsi="Times New Roman" w:cs="Times New Roman"/>
        </w:rPr>
        <w:t xml:space="preserve"> Similarly, </w:t>
      </w:r>
      <w:proofErr w:type="spellStart"/>
      <w:r w:rsidRPr="00200A8C">
        <w:rPr>
          <w:rFonts w:ascii="Times New Roman" w:hAnsi="Times New Roman" w:cs="Times New Roman"/>
        </w:rPr>
        <w:t>organocatalysts</w:t>
      </w:r>
      <w:proofErr w:type="spellEnd"/>
      <w:r w:rsidRPr="00200A8C">
        <w:rPr>
          <w:rFonts w:ascii="Times New Roman" w:hAnsi="Times New Roman" w:cs="Times New Roman"/>
        </w:rPr>
        <w:t xml:space="preserve"> often require higher loadings and longer reaction times compared to traditional metal-based systems [60].</w:t>
      </w:r>
    </w:p>
    <w:p w14:paraId="6209493A"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2. Scalability and Process Integration</w:t>
      </w:r>
    </w:p>
    <w:p w14:paraId="194B195A"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Processes that work well on a laboratory scale may encounter scaling issues in production. Flow chemistry, biocatalysis, and telescoped reactions often require reengineering of equipment, specialized training, and process control systems that may not be readily available or economically feasible for all companies [61].</w:t>
      </w:r>
    </w:p>
    <w:p w14:paraId="71185F05"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3. Regulatory and Quality Concerns</w:t>
      </w:r>
    </w:p>
    <w:p w14:paraId="4F022E0A"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Incorporating new green methodologies must comply with strict Good Manufacturing Practice (GMP) and regulatory guidelines. Metal contamination, enzyme residues, or novel reaction by-products may require additional validation or purification, increasing complexity and cost [62]. Additionally, change management for approved drug processes is slow and tightly regulated, limiting green upgrades for existing drugs.</w:t>
      </w:r>
    </w:p>
    <w:p w14:paraId="21AD0CC7"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4. Economic and Market Constraints</w:t>
      </w:r>
    </w:p>
    <w:p w14:paraId="06CFEB4A"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While green chemistry is cost-effective long-term, the upfront investment in R&amp;D, training, and infrastructure can be significant. Small and medium-sized enterprises (SMEs) may struggle with resource limitations. Furthermore, market-driven priorities, such as speed to market or IP protection, often override sustainability considerations during early development [63].</w:t>
      </w:r>
    </w:p>
    <w:p w14:paraId="718223D0"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5. Limited Awareness and Cultural Resistance</w:t>
      </w:r>
    </w:p>
    <w:p w14:paraId="54D95633" w14:textId="5F74CFFA" w:rsidR="00200A8C" w:rsidRPr="00200A8C" w:rsidRDefault="00200A8C" w:rsidP="00200A8C">
      <w:pPr>
        <w:jc w:val="both"/>
        <w:rPr>
          <w:rFonts w:ascii="Times New Roman" w:hAnsi="Times New Roman" w:cs="Times New Roman"/>
        </w:rPr>
      </w:pPr>
      <w:r w:rsidRPr="00200A8C">
        <w:rPr>
          <w:rFonts w:ascii="Times New Roman" w:hAnsi="Times New Roman" w:cs="Times New Roman"/>
        </w:rPr>
        <w:t>Many chemists still lack sufficient training in green chemistry metrics, tools, and thinking. In some environments, organizational inertia or risk aversion can hinder the adoption of unfamiliar green strategies, even when benefits are clear [64].</w:t>
      </w:r>
    </w:p>
    <w:p w14:paraId="30CCBB65" w14:textId="1F5B97BE"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Future Outlook</w:t>
      </w:r>
    </w:p>
    <w:p w14:paraId="393DD581"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Despite these challenges, several positive trends indicate a promising future for green pharmaceutical synthesis:</w:t>
      </w:r>
    </w:p>
    <w:p w14:paraId="1434781A"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1. Artificial Intelligence and Digital Tools</w:t>
      </w:r>
    </w:p>
    <w:p w14:paraId="3BF046CD"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lastRenderedPageBreak/>
        <w:t>The integration of AI, machine learning (ML), and cheminformatics is accelerating green chemistry innovation. These technologies are increasingly used to predict reaction outcomes, optimize catalyst selection, and design greener routes with improved efficiency and lower environmental impact [65].</w:t>
      </w:r>
    </w:p>
    <w:p w14:paraId="0BD8F9A6"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2. Advancements in Biocatalysis and Enzyme Engineering</w:t>
      </w:r>
    </w:p>
    <w:p w14:paraId="1DEDFA3F"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Recent breakthroughs in directed evolution and enzyme immobilization have significantly expanded the applicability of biocatalysts. Enzymes are now being engineered for robustness, substrate tolerance, and solvent compatibility, making them more viable for industrial-scale synthesis [66].</w:t>
      </w:r>
    </w:p>
    <w:p w14:paraId="4DA60B6B"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3. Circular Chemistry and Renewable Feedstocks</w:t>
      </w:r>
    </w:p>
    <w:p w14:paraId="7610DB1D"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There is a growing push toward circular chemistry, where waste is reused, and bio-based or recycled feedstocks replace petrochemical derivatives. Advances in biomass valorization and CO₂ utilization offer new opportunities for greener, more sustainable starting materials [67].</w:t>
      </w:r>
    </w:p>
    <w:p w14:paraId="7FB2E02B"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4. Policy and Corporate Commitments</w:t>
      </w:r>
    </w:p>
    <w:p w14:paraId="0C4EBC8C"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Stricter environmental regulations and ESG (Environmental, Social, Governance) reporting standards are compelling pharmaceutical companies to adopt green processes. Several large firms now publish sustainability reports and adhere to carbon-neutral or zero-waste goals, accelerating the institutional adoption of green chemistry [68].</w:t>
      </w:r>
    </w:p>
    <w:p w14:paraId="43A40221"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5. Education and Workforce Development</w:t>
      </w:r>
    </w:p>
    <w:p w14:paraId="05F27978"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Green chemistry is becoming a core topic in academic and industrial training programs. Integration into curricula, workshops, and industry consortiums (e.g., the ACS Green Chemistry Institute Pharmaceutical Roundtable) is building a new generation of chemists equipped to design and implement sustainable processes [69].</w:t>
      </w:r>
    </w:p>
    <w:p w14:paraId="556CEF7B" w14:textId="77777777" w:rsidR="00200A8C" w:rsidRPr="00200A8C" w:rsidRDefault="00200A8C" w:rsidP="00200A8C">
      <w:pPr>
        <w:jc w:val="both"/>
        <w:rPr>
          <w:rFonts w:ascii="Times New Roman" w:hAnsi="Times New Roman" w:cs="Times New Roman"/>
          <w:b/>
          <w:bCs/>
        </w:rPr>
      </w:pPr>
      <w:r w:rsidRPr="00200A8C">
        <w:rPr>
          <w:rFonts w:ascii="Times New Roman" w:hAnsi="Times New Roman" w:cs="Times New Roman"/>
          <w:b/>
          <w:bCs/>
        </w:rPr>
        <w:t>Conclusion</w:t>
      </w:r>
    </w:p>
    <w:p w14:paraId="4F2C251D" w14:textId="29ED899E" w:rsidR="00200A8C" w:rsidRPr="00200A8C" w:rsidRDefault="00200A8C" w:rsidP="00200A8C">
      <w:pPr>
        <w:jc w:val="both"/>
        <w:rPr>
          <w:rFonts w:ascii="Times New Roman" w:hAnsi="Times New Roman" w:cs="Times New Roman"/>
        </w:rPr>
      </w:pPr>
      <w:r w:rsidRPr="00200A8C">
        <w:rPr>
          <w:rFonts w:ascii="Times New Roman" w:hAnsi="Times New Roman" w:cs="Times New Roman"/>
        </w:rPr>
        <w:t>Green chemistry has evolved from a theoretical concept into a vital framework that is actively transforming pharmaceutical synthesis. The application of green principles</w:t>
      </w:r>
      <w:r>
        <w:rPr>
          <w:rFonts w:ascii="Times New Roman" w:hAnsi="Times New Roman" w:cs="Times New Roman"/>
        </w:rPr>
        <w:t xml:space="preserve"> </w:t>
      </w:r>
      <w:r w:rsidRPr="00200A8C">
        <w:rPr>
          <w:rFonts w:ascii="Times New Roman" w:hAnsi="Times New Roman" w:cs="Times New Roman"/>
        </w:rPr>
        <w:t>ranging from atom economy and solvent selection to biocatalysis and continuous flow processes</w:t>
      </w:r>
      <w:r>
        <w:rPr>
          <w:rFonts w:ascii="Times New Roman" w:hAnsi="Times New Roman" w:cs="Times New Roman"/>
        </w:rPr>
        <w:t xml:space="preserve"> </w:t>
      </w:r>
      <w:r w:rsidRPr="00200A8C">
        <w:rPr>
          <w:rFonts w:ascii="Times New Roman" w:hAnsi="Times New Roman" w:cs="Times New Roman"/>
        </w:rPr>
        <w:t>has demonstrated significant potential to enhance efficiency, reduce environmental impact, and improve the safety and sustainability of drug manufacturing.</w:t>
      </w:r>
    </w:p>
    <w:p w14:paraId="6B98A4CC"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 xml:space="preserve">This review has highlighted the integration of green metrics, the use of renewable feedstocks, solvent-free systems, </w:t>
      </w:r>
      <w:proofErr w:type="spellStart"/>
      <w:r w:rsidRPr="00200A8C">
        <w:rPr>
          <w:rFonts w:ascii="Times New Roman" w:hAnsi="Times New Roman" w:cs="Times New Roman"/>
        </w:rPr>
        <w:t>biocatalysis</w:t>
      </w:r>
      <w:proofErr w:type="spellEnd"/>
      <w:r w:rsidRPr="00200A8C">
        <w:rPr>
          <w:rFonts w:ascii="Times New Roman" w:hAnsi="Times New Roman" w:cs="Times New Roman"/>
        </w:rPr>
        <w:t xml:space="preserve">, </w:t>
      </w:r>
      <w:proofErr w:type="spellStart"/>
      <w:r w:rsidRPr="00200A8C">
        <w:rPr>
          <w:rFonts w:ascii="Times New Roman" w:hAnsi="Times New Roman" w:cs="Times New Roman"/>
        </w:rPr>
        <w:t>organocatalysis</w:t>
      </w:r>
      <w:proofErr w:type="spellEnd"/>
      <w:r w:rsidRPr="00200A8C">
        <w:rPr>
          <w:rFonts w:ascii="Times New Roman" w:hAnsi="Times New Roman" w:cs="Times New Roman"/>
        </w:rPr>
        <w:t>, and sustainable catalysis as core elements shaping modern pharmaceutical processes. The inclusion of case studies such as sitagliptin, ibuprofen, and artemisinin demonstrates that green chemistry is not only scientifically viable but also economically beneficial and scalable.</w:t>
      </w:r>
    </w:p>
    <w:p w14:paraId="59F70917"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lastRenderedPageBreak/>
        <w:t>However, substantial challenges remain, including technical barriers, regulatory hurdles, and economic constraints. Overcoming these will require continued innovation in catalyst design, broader adoption of AI-driven route planning, and institutional support for greener infrastructure and education. Furthermore, the implementation of Life Cycle Assessment (LCA) and sustainability metrics will remain crucial for evaluating the long-term environmental impact of pharmaceutical synthesis.</w:t>
      </w:r>
    </w:p>
    <w:p w14:paraId="75248F3E" w14:textId="77777777" w:rsidR="00200A8C" w:rsidRPr="00200A8C" w:rsidRDefault="00200A8C" w:rsidP="00200A8C">
      <w:pPr>
        <w:jc w:val="both"/>
        <w:rPr>
          <w:rFonts w:ascii="Times New Roman" w:hAnsi="Times New Roman" w:cs="Times New Roman"/>
        </w:rPr>
      </w:pPr>
      <w:r w:rsidRPr="00200A8C">
        <w:rPr>
          <w:rFonts w:ascii="Times New Roman" w:hAnsi="Times New Roman" w:cs="Times New Roman"/>
        </w:rPr>
        <w:t>Looking forward, the pharmaceutical industry is increasingly aligning with sustainability goals, supported by stricter environmental regulations and growing societal demand for eco-conscious practices. As technology advances and cross-disciplinary collaborations expand, green chemistry is set to become the default standard for pharmaceutical innovation, not just an alternative pathway.</w:t>
      </w:r>
    </w:p>
    <w:p w14:paraId="16984034" w14:textId="64582E57" w:rsidR="00200A8C" w:rsidRPr="00200A8C" w:rsidRDefault="00200A8C" w:rsidP="00200A8C">
      <w:pPr>
        <w:jc w:val="both"/>
        <w:rPr>
          <w:rFonts w:ascii="Times New Roman" w:hAnsi="Times New Roman" w:cs="Times New Roman"/>
        </w:rPr>
      </w:pPr>
      <w:r w:rsidRPr="00200A8C">
        <w:rPr>
          <w:rFonts w:ascii="Times New Roman" w:hAnsi="Times New Roman" w:cs="Times New Roman"/>
        </w:rPr>
        <w:t>By embedding green principles into the core of drug development, the pharmaceutical industry can simultaneously drive scientific excellence and environmental stewardship</w:t>
      </w:r>
      <w:r>
        <w:rPr>
          <w:rFonts w:ascii="Times New Roman" w:hAnsi="Times New Roman" w:cs="Times New Roman"/>
        </w:rPr>
        <w:t xml:space="preserve"> </w:t>
      </w:r>
      <w:r w:rsidRPr="00200A8C">
        <w:rPr>
          <w:rFonts w:ascii="Times New Roman" w:hAnsi="Times New Roman" w:cs="Times New Roman"/>
        </w:rPr>
        <w:t>paving the way for a more sustainable, responsible future in global healthcare.</w:t>
      </w:r>
    </w:p>
    <w:p w14:paraId="002F98F8" w14:textId="77777777" w:rsidR="00E15F1D" w:rsidRPr="00740879" w:rsidRDefault="00E15F1D" w:rsidP="00E15F1D">
      <w:pPr>
        <w:rPr>
          <w:highlight w:val="yellow"/>
        </w:rPr>
      </w:pPr>
      <w:r w:rsidRPr="00740879">
        <w:rPr>
          <w:highlight w:val="yellow"/>
        </w:rPr>
        <w:t>Disclaimer (Artificial intelligence)</w:t>
      </w:r>
    </w:p>
    <w:p w14:paraId="135C76F3" w14:textId="37EE1CAE" w:rsidR="00E15F1D" w:rsidRPr="00740879" w:rsidRDefault="00E15F1D" w:rsidP="00E15F1D">
      <w:pPr>
        <w:rPr>
          <w:highlight w:val="yellow"/>
        </w:rPr>
      </w:pPr>
      <w:r w:rsidRPr="00740879">
        <w:rPr>
          <w:highlight w:val="yellow"/>
        </w:rPr>
        <w:t xml:space="preserve">Author(s) hereby declare that NO generative AI technologies such as Large Language Models and text-to-image generators have been used during the writing or editing of this manuscript. </w:t>
      </w:r>
    </w:p>
    <w:p w14:paraId="746FBDF9" w14:textId="77777777" w:rsidR="002907B8" w:rsidRDefault="002907B8" w:rsidP="00D64B70">
      <w:pPr>
        <w:jc w:val="both"/>
        <w:rPr>
          <w:rFonts w:ascii="Times New Roman" w:hAnsi="Times New Roman" w:cs="Times New Roman"/>
        </w:rPr>
      </w:pPr>
    </w:p>
    <w:p w14:paraId="03332569" w14:textId="20F7FF03" w:rsidR="002907B8" w:rsidRDefault="00F35F1B" w:rsidP="002907B8">
      <w:pPr>
        <w:jc w:val="both"/>
        <w:rPr>
          <w:rFonts w:ascii="Times New Roman" w:hAnsi="Times New Roman" w:cs="Times New Roman"/>
        </w:rPr>
      </w:pPr>
      <w:r>
        <w:rPr>
          <w:rFonts w:ascii="Times New Roman" w:hAnsi="Times New Roman" w:cs="Times New Roman"/>
        </w:rPr>
        <w:t>References</w:t>
      </w:r>
      <w:r w:rsidR="002907B8">
        <w:rPr>
          <w:rFonts w:ascii="Times New Roman" w:hAnsi="Times New Roman" w:cs="Times New Roman"/>
        </w:rPr>
        <w:t xml:space="preserve"> – </w:t>
      </w:r>
    </w:p>
    <w:p w14:paraId="3D8F4684" w14:textId="158E3872" w:rsidR="002907B8" w:rsidRPr="002907B8" w:rsidRDefault="002907B8" w:rsidP="002907B8">
      <w:pPr>
        <w:pStyle w:val="ListParagraph"/>
        <w:numPr>
          <w:ilvl w:val="0"/>
          <w:numId w:val="9"/>
        </w:numPr>
        <w:jc w:val="both"/>
        <w:rPr>
          <w:rFonts w:ascii="Times New Roman" w:hAnsi="Times New Roman" w:cs="Times New Roman"/>
        </w:rPr>
      </w:pPr>
      <w:r w:rsidRPr="002907B8">
        <w:rPr>
          <w:rFonts w:ascii="Times New Roman" w:hAnsi="Times New Roman" w:cs="Times New Roman"/>
        </w:rPr>
        <w:t xml:space="preserve">Sheldon RA. The E factor: fifteen years on. </w:t>
      </w:r>
      <w:r w:rsidRPr="002907B8">
        <w:rPr>
          <w:rFonts w:ascii="Times New Roman" w:hAnsi="Times New Roman" w:cs="Times New Roman"/>
          <w:i/>
          <w:iCs/>
        </w:rPr>
        <w:t>Green Chem</w:t>
      </w:r>
      <w:r w:rsidRPr="002907B8">
        <w:rPr>
          <w:rFonts w:ascii="Times New Roman" w:hAnsi="Times New Roman" w:cs="Times New Roman"/>
        </w:rPr>
        <w:t>. 2007;9(12):1273–83.</w:t>
      </w:r>
    </w:p>
    <w:p w14:paraId="3C90FC3D" w14:textId="3C2178D0" w:rsidR="002907B8" w:rsidRPr="002907B8" w:rsidRDefault="002907B8" w:rsidP="002907B8">
      <w:pPr>
        <w:pStyle w:val="ListParagraph"/>
        <w:numPr>
          <w:ilvl w:val="0"/>
          <w:numId w:val="9"/>
        </w:numPr>
        <w:jc w:val="both"/>
        <w:rPr>
          <w:rFonts w:ascii="Times New Roman" w:hAnsi="Times New Roman" w:cs="Times New Roman"/>
        </w:rPr>
      </w:pPr>
      <w:r w:rsidRPr="002907B8">
        <w:rPr>
          <w:rFonts w:ascii="Times New Roman" w:hAnsi="Times New Roman" w:cs="Times New Roman"/>
        </w:rPr>
        <w:t xml:space="preserve">Tucker JL. Green chemistry, green economics, and process optimization. </w:t>
      </w:r>
      <w:r w:rsidRPr="002907B8">
        <w:rPr>
          <w:rFonts w:ascii="Times New Roman" w:hAnsi="Times New Roman" w:cs="Times New Roman"/>
          <w:i/>
          <w:iCs/>
        </w:rPr>
        <w:t>Org Process Res Dev</w:t>
      </w:r>
      <w:r w:rsidRPr="002907B8">
        <w:rPr>
          <w:rFonts w:ascii="Times New Roman" w:hAnsi="Times New Roman" w:cs="Times New Roman"/>
        </w:rPr>
        <w:t>. 2006;10(2):315–9.</w:t>
      </w:r>
    </w:p>
    <w:p w14:paraId="2129722D" w14:textId="6F18CD1F" w:rsidR="002907B8" w:rsidRPr="002907B8" w:rsidRDefault="002907B8" w:rsidP="002907B8">
      <w:pPr>
        <w:pStyle w:val="ListParagraph"/>
        <w:numPr>
          <w:ilvl w:val="0"/>
          <w:numId w:val="9"/>
        </w:numPr>
        <w:jc w:val="both"/>
        <w:rPr>
          <w:rFonts w:ascii="Times New Roman" w:hAnsi="Times New Roman" w:cs="Times New Roman"/>
        </w:rPr>
      </w:pPr>
      <w:r w:rsidRPr="002907B8">
        <w:rPr>
          <w:rFonts w:ascii="Times New Roman" w:hAnsi="Times New Roman" w:cs="Times New Roman"/>
        </w:rPr>
        <w:t xml:space="preserve">Anastas PT, Warner JC. </w:t>
      </w:r>
      <w:r w:rsidRPr="002907B8">
        <w:rPr>
          <w:rFonts w:ascii="Times New Roman" w:hAnsi="Times New Roman" w:cs="Times New Roman"/>
          <w:i/>
          <w:iCs/>
        </w:rPr>
        <w:t>Green Chemistry: Theory and Practice</w:t>
      </w:r>
      <w:r w:rsidRPr="002907B8">
        <w:rPr>
          <w:rFonts w:ascii="Times New Roman" w:hAnsi="Times New Roman" w:cs="Times New Roman"/>
        </w:rPr>
        <w:t>. Oxford University Press; 1998.</w:t>
      </w:r>
    </w:p>
    <w:p w14:paraId="075367C1" w14:textId="77777777" w:rsidR="00A62E40" w:rsidRDefault="00A62E40" w:rsidP="002907B8">
      <w:pPr>
        <w:pStyle w:val="ListParagraph"/>
        <w:numPr>
          <w:ilvl w:val="0"/>
          <w:numId w:val="9"/>
        </w:numPr>
        <w:jc w:val="both"/>
        <w:rPr>
          <w:rFonts w:ascii="Times New Roman" w:hAnsi="Times New Roman" w:cs="Times New Roman"/>
        </w:rPr>
      </w:pPr>
      <w:proofErr w:type="spellStart"/>
      <w:r w:rsidRPr="00A62E40">
        <w:rPr>
          <w:rFonts w:ascii="Times New Roman" w:hAnsi="Times New Roman" w:cs="Times New Roman"/>
        </w:rPr>
        <w:t>Federsel</w:t>
      </w:r>
      <w:proofErr w:type="spellEnd"/>
      <w:r w:rsidRPr="00A62E40">
        <w:rPr>
          <w:rFonts w:ascii="Times New Roman" w:hAnsi="Times New Roman" w:cs="Times New Roman"/>
        </w:rPr>
        <w:t xml:space="preserve">, H. J. (2013). </w:t>
      </w:r>
      <w:proofErr w:type="spellStart"/>
      <w:r w:rsidRPr="00A62E40">
        <w:rPr>
          <w:rFonts w:ascii="Times New Roman" w:hAnsi="Times New Roman" w:cs="Times New Roman"/>
        </w:rPr>
        <w:t>En</w:t>
      </w:r>
      <w:proofErr w:type="spellEnd"/>
      <w:r w:rsidRPr="00A62E40">
        <w:rPr>
          <w:rFonts w:ascii="Times New Roman" w:hAnsi="Times New Roman" w:cs="Times New Roman"/>
        </w:rPr>
        <w:t xml:space="preserve"> route to full implementation: driving the green chemistry agenda in the pharmaceutical industry. Green Chemistry, 15(11), 3105-3115. </w:t>
      </w:r>
    </w:p>
    <w:p w14:paraId="04DC5DA6" w14:textId="1CA1D41F" w:rsidR="002907B8" w:rsidRPr="002907B8" w:rsidRDefault="002907B8" w:rsidP="002907B8">
      <w:pPr>
        <w:pStyle w:val="ListParagraph"/>
        <w:numPr>
          <w:ilvl w:val="0"/>
          <w:numId w:val="9"/>
        </w:numPr>
        <w:jc w:val="both"/>
        <w:rPr>
          <w:rFonts w:ascii="Times New Roman" w:hAnsi="Times New Roman" w:cs="Times New Roman"/>
        </w:rPr>
      </w:pPr>
      <w:r w:rsidRPr="002907B8">
        <w:rPr>
          <w:rFonts w:ascii="Times New Roman" w:hAnsi="Times New Roman" w:cs="Times New Roman"/>
        </w:rPr>
        <w:t xml:space="preserve">Constable DJC, </w:t>
      </w:r>
      <w:proofErr w:type="spellStart"/>
      <w:r w:rsidRPr="002907B8">
        <w:rPr>
          <w:rFonts w:ascii="Times New Roman" w:hAnsi="Times New Roman" w:cs="Times New Roman"/>
        </w:rPr>
        <w:t>Curzons</w:t>
      </w:r>
      <w:proofErr w:type="spellEnd"/>
      <w:r w:rsidRPr="002907B8">
        <w:rPr>
          <w:rFonts w:ascii="Times New Roman" w:hAnsi="Times New Roman" w:cs="Times New Roman"/>
        </w:rPr>
        <w:t xml:space="preserve"> AD, Cunningham VL. Metrics to 'green' chemistry - which are the best? </w:t>
      </w:r>
      <w:r w:rsidRPr="002907B8">
        <w:rPr>
          <w:rFonts w:ascii="Times New Roman" w:hAnsi="Times New Roman" w:cs="Times New Roman"/>
          <w:i/>
          <w:iCs/>
        </w:rPr>
        <w:t>Green Chem</w:t>
      </w:r>
      <w:r w:rsidRPr="002907B8">
        <w:rPr>
          <w:rFonts w:ascii="Times New Roman" w:hAnsi="Times New Roman" w:cs="Times New Roman"/>
        </w:rPr>
        <w:t>. 2002;4(6):521–7.</w:t>
      </w:r>
    </w:p>
    <w:p w14:paraId="15014D20" w14:textId="5F6280D1" w:rsidR="002907B8" w:rsidRPr="002907B8" w:rsidRDefault="002907B8" w:rsidP="002907B8">
      <w:pPr>
        <w:pStyle w:val="ListParagraph"/>
        <w:numPr>
          <w:ilvl w:val="0"/>
          <w:numId w:val="9"/>
        </w:numPr>
        <w:jc w:val="both"/>
        <w:rPr>
          <w:rFonts w:ascii="Times New Roman" w:hAnsi="Times New Roman" w:cs="Times New Roman"/>
        </w:rPr>
      </w:pPr>
      <w:r w:rsidRPr="00F35F1B">
        <w:rPr>
          <w:rFonts w:ascii="Times New Roman" w:hAnsi="Times New Roman" w:cs="Times New Roman"/>
          <w:lang w:val="nb-NO"/>
        </w:rPr>
        <w:t xml:space="preserve">Huffman MA, Fryszkowska A, Alvizo O, Borra-Garske M, Campos KR, Canada KA, et al. </w:t>
      </w:r>
      <w:r w:rsidRPr="002907B8">
        <w:rPr>
          <w:rFonts w:ascii="Times New Roman" w:hAnsi="Times New Roman" w:cs="Times New Roman"/>
        </w:rPr>
        <w:t xml:space="preserve">Design of an in vitro biocatalytic cascade for the manufacture of </w:t>
      </w:r>
      <w:proofErr w:type="spellStart"/>
      <w:r w:rsidRPr="002907B8">
        <w:rPr>
          <w:rFonts w:ascii="Times New Roman" w:hAnsi="Times New Roman" w:cs="Times New Roman"/>
        </w:rPr>
        <w:t>islatravir</w:t>
      </w:r>
      <w:proofErr w:type="spellEnd"/>
      <w:r w:rsidRPr="002907B8">
        <w:rPr>
          <w:rFonts w:ascii="Times New Roman" w:hAnsi="Times New Roman" w:cs="Times New Roman"/>
        </w:rPr>
        <w:t xml:space="preserve">. </w:t>
      </w:r>
      <w:r w:rsidRPr="002907B8">
        <w:rPr>
          <w:rFonts w:ascii="Times New Roman" w:hAnsi="Times New Roman" w:cs="Times New Roman"/>
          <w:i/>
          <w:iCs/>
        </w:rPr>
        <w:t>Science</w:t>
      </w:r>
      <w:r w:rsidRPr="002907B8">
        <w:rPr>
          <w:rFonts w:ascii="Times New Roman" w:hAnsi="Times New Roman" w:cs="Times New Roman"/>
        </w:rPr>
        <w:t>. 2019;366(6470):1255–9.</w:t>
      </w:r>
    </w:p>
    <w:p w14:paraId="6DF8715B" w14:textId="2958770F" w:rsidR="002907B8" w:rsidRPr="002907B8" w:rsidRDefault="002907B8" w:rsidP="002907B8">
      <w:pPr>
        <w:pStyle w:val="ListParagraph"/>
        <w:numPr>
          <w:ilvl w:val="0"/>
          <w:numId w:val="9"/>
        </w:numPr>
        <w:jc w:val="both"/>
        <w:rPr>
          <w:rFonts w:ascii="Times New Roman" w:hAnsi="Times New Roman" w:cs="Times New Roman"/>
        </w:rPr>
      </w:pPr>
      <w:r w:rsidRPr="002907B8">
        <w:rPr>
          <w:rFonts w:ascii="Times New Roman" w:hAnsi="Times New Roman" w:cs="Times New Roman"/>
        </w:rPr>
        <w:t xml:space="preserve">Pollard DJ, Woodley JM. Biocatalysis for pharmaceutical intermediates: the future is now. </w:t>
      </w:r>
      <w:r w:rsidRPr="002907B8">
        <w:rPr>
          <w:rFonts w:ascii="Times New Roman" w:hAnsi="Times New Roman" w:cs="Times New Roman"/>
          <w:i/>
          <w:iCs/>
        </w:rPr>
        <w:t xml:space="preserve">Trends </w:t>
      </w:r>
      <w:proofErr w:type="spellStart"/>
      <w:r w:rsidRPr="002907B8">
        <w:rPr>
          <w:rFonts w:ascii="Times New Roman" w:hAnsi="Times New Roman" w:cs="Times New Roman"/>
          <w:i/>
          <w:iCs/>
        </w:rPr>
        <w:t>Biotechnol</w:t>
      </w:r>
      <w:proofErr w:type="spellEnd"/>
      <w:r w:rsidRPr="002907B8">
        <w:rPr>
          <w:rFonts w:ascii="Times New Roman" w:hAnsi="Times New Roman" w:cs="Times New Roman"/>
        </w:rPr>
        <w:t>. 2007;25(2):66–73.</w:t>
      </w:r>
    </w:p>
    <w:p w14:paraId="6F219AC1" w14:textId="46254E4D" w:rsidR="002907B8" w:rsidRPr="002907B8" w:rsidRDefault="002907B8" w:rsidP="002907B8">
      <w:pPr>
        <w:pStyle w:val="ListParagraph"/>
        <w:numPr>
          <w:ilvl w:val="0"/>
          <w:numId w:val="9"/>
        </w:numPr>
        <w:jc w:val="both"/>
        <w:rPr>
          <w:rFonts w:ascii="Times New Roman" w:hAnsi="Times New Roman" w:cs="Times New Roman"/>
        </w:rPr>
      </w:pPr>
      <w:proofErr w:type="spellStart"/>
      <w:r w:rsidRPr="002907B8">
        <w:rPr>
          <w:rFonts w:ascii="Times New Roman" w:hAnsi="Times New Roman" w:cs="Times New Roman"/>
        </w:rPr>
        <w:t>Schrittwieser</w:t>
      </w:r>
      <w:proofErr w:type="spellEnd"/>
      <w:r w:rsidRPr="002907B8">
        <w:rPr>
          <w:rFonts w:ascii="Times New Roman" w:hAnsi="Times New Roman" w:cs="Times New Roman"/>
        </w:rPr>
        <w:t xml:space="preserve"> JH, </w:t>
      </w:r>
      <w:proofErr w:type="spellStart"/>
      <w:r w:rsidRPr="002907B8">
        <w:rPr>
          <w:rFonts w:ascii="Times New Roman" w:hAnsi="Times New Roman" w:cs="Times New Roman"/>
        </w:rPr>
        <w:t>Velikogne</w:t>
      </w:r>
      <w:proofErr w:type="spellEnd"/>
      <w:r w:rsidRPr="002907B8">
        <w:rPr>
          <w:rFonts w:ascii="Times New Roman" w:hAnsi="Times New Roman" w:cs="Times New Roman"/>
        </w:rPr>
        <w:t xml:space="preserve"> S, Hall M, Kroutil W. Artificial biocatalytic linear cascades for organic synthesis. </w:t>
      </w:r>
      <w:r w:rsidRPr="002907B8">
        <w:rPr>
          <w:rFonts w:ascii="Times New Roman" w:hAnsi="Times New Roman" w:cs="Times New Roman"/>
          <w:i/>
          <w:iCs/>
        </w:rPr>
        <w:t>Chem Rev</w:t>
      </w:r>
      <w:r w:rsidRPr="002907B8">
        <w:rPr>
          <w:rFonts w:ascii="Times New Roman" w:hAnsi="Times New Roman" w:cs="Times New Roman"/>
        </w:rPr>
        <w:t>. 2018;118(1):270–348.</w:t>
      </w:r>
    </w:p>
    <w:p w14:paraId="773AD120" w14:textId="63F9BB75" w:rsidR="002907B8" w:rsidRDefault="002907B8" w:rsidP="002907B8">
      <w:pPr>
        <w:pStyle w:val="ListParagraph"/>
        <w:numPr>
          <w:ilvl w:val="0"/>
          <w:numId w:val="9"/>
        </w:numPr>
        <w:jc w:val="both"/>
        <w:rPr>
          <w:rFonts w:ascii="Times New Roman" w:hAnsi="Times New Roman" w:cs="Times New Roman"/>
        </w:rPr>
      </w:pPr>
      <w:r w:rsidRPr="002907B8">
        <w:rPr>
          <w:rFonts w:ascii="Times New Roman" w:hAnsi="Times New Roman" w:cs="Times New Roman"/>
        </w:rPr>
        <w:t xml:space="preserve">Wegner J, </w:t>
      </w:r>
      <w:proofErr w:type="spellStart"/>
      <w:r w:rsidRPr="002907B8">
        <w:rPr>
          <w:rFonts w:ascii="Times New Roman" w:hAnsi="Times New Roman" w:cs="Times New Roman"/>
        </w:rPr>
        <w:t>Ceylan</w:t>
      </w:r>
      <w:proofErr w:type="spellEnd"/>
      <w:r w:rsidRPr="002907B8">
        <w:rPr>
          <w:rFonts w:ascii="Times New Roman" w:hAnsi="Times New Roman" w:cs="Times New Roman"/>
        </w:rPr>
        <w:t xml:space="preserve"> S, </w:t>
      </w:r>
      <w:proofErr w:type="spellStart"/>
      <w:r w:rsidRPr="002907B8">
        <w:rPr>
          <w:rFonts w:ascii="Times New Roman" w:hAnsi="Times New Roman" w:cs="Times New Roman"/>
        </w:rPr>
        <w:t>Kirschning</w:t>
      </w:r>
      <w:proofErr w:type="spellEnd"/>
      <w:r w:rsidRPr="002907B8">
        <w:rPr>
          <w:rFonts w:ascii="Times New Roman" w:hAnsi="Times New Roman" w:cs="Times New Roman"/>
        </w:rPr>
        <w:t xml:space="preserve"> A. Flow chemistry – a key enabling technology for (multistep) organic synthesis. </w:t>
      </w:r>
      <w:r w:rsidRPr="002907B8">
        <w:rPr>
          <w:rFonts w:ascii="Times New Roman" w:hAnsi="Times New Roman" w:cs="Times New Roman"/>
          <w:i/>
          <w:iCs/>
        </w:rPr>
        <w:t xml:space="preserve">Adv Synth </w:t>
      </w:r>
      <w:proofErr w:type="spellStart"/>
      <w:r w:rsidRPr="002907B8">
        <w:rPr>
          <w:rFonts w:ascii="Times New Roman" w:hAnsi="Times New Roman" w:cs="Times New Roman"/>
          <w:i/>
          <w:iCs/>
        </w:rPr>
        <w:t>Catal</w:t>
      </w:r>
      <w:proofErr w:type="spellEnd"/>
      <w:r w:rsidRPr="002907B8">
        <w:rPr>
          <w:rFonts w:ascii="Times New Roman" w:hAnsi="Times New Roman" w:cs="Times New Roman"/>
        </w:rPr>
        <w:t>. 2012;354(1):17–57.</w:t>
      </w:r>
    </w:p>
    <w:p w14:paraId="61A24EC4" w14:textId="77777777" w:rsidR="00097316" w:rsidRPr="00097316" w:rsidRDefault="00097316" w:rsidP="002907B8">
      <w:pPr>
        <w:pStyle w:val="NormalWeb"/>
        <w:numPr>
          <w:ilvl w:val="0"/>
          <w:numId w:val="9"/>
        </w:numPr>
      </w:pPr>
      <w:r w:rsidRPr="00097316">
        <w:lastRenderedPageBreak/>
        <w:t xml:space="preserve">Kar S, Sanderson H, Roy K, </w:t>
      </w:r>
      <w:proofErr w:type="spellStart"/>
      <w:r w:rsidRPr="00097316">
        <w:t>Benfenati</w:t>
      </w:r>
      <w:proofErr w:type="spellEnd"/>
      <w:r w:rsidRPr="00097316">
        <w:t xml:space="preserve"> E, </w:t>
      </w:r>
      <w:proofErr w:type="spellStart"/>
      <w:r w:rsidRPr="00097316">
        <w:t>Leszczynski</w:t>
      </w:r>
      <w:proofErr w:type="spellEnd"/>
      <w:r w:rsidRPr="00097316">
        <w:t xml:space="preserve"> J. Green Chemistry in the Synthesis of Pharmaceuticals. </w:t>
      </w:r>
      <w:r w:rsidRPr="00097316">
        <w:rPr>
          <w:i/>
          <w:iCs/>
          <w:lang w:val="nb-NO"/>
        </w:rPr>
        <w:t>Chem Rev.</w:t>
      </w:r>
      <w:r w:rsidRPr="00097316">
        <w:rPr>
          <w:lang w:val="nb-NO"/>
        </w:rPr>
        <w:t xml:space="preserve"> 2022;122(3):3637</w:t>
      </w:r>
      <w:r w:rsidRPr="00097316">
        <w:rPr>
          <w:lang w:val="nb-NO"/>
        </w:rPr>
        <w:noBreakHyphen/>
        <w:t>3710.</w:t>
      </w:r>
    </w:p>
    <w:p w14:paraId="1AD080D6" w14:textId="14998C26" w:rsidR="002907B8" w:rsidRDefault="002907B8" w:rsidP="002907B8">
      <w:pPr>
        <w:pStyle w:val="NormalWeb"/>
        <w:numPr>
          <w:ilvl w:val="0"/>
          <w:numId w:val="9"/>
        </w:numPr>
      </w:pPr>
      <w:r w:rsidRPr="00F35F1B">
        <w:rPr>
          <w:lang w:val="nb-NO"/>
        </w:rPr>
        <w:t xml:space="preserve">Vidaurre R, Bramke I, Puhlmann N, Owen SF, Angst D, Moermond C, et al. </w:t>
      </w:r>
      <w:r>
        <w:t xml:space="preserve">Design of greener drugs: aligning parameters in pharmaceutical R&amp;D and drivers for environmental impact. </w:t>
      </w:r>
      <w:r>
        <w:rPr>
          <w:rStyle w:val="Emphasis"/>
          <w:rFonts w:eastAsiaTheme="majorEastAsia"/>
        </w:rPr>
        <w:t xml:space="preserve">Drug </w:t>
      </w:r>
      <w:proofErr w:type="spellStart"/>
      <w:r>
        <w:rPr>
          <w:rStyle w:val="Emphasis"/>
          <w:rFonts w:eastAsiaTheme="majorEastAsia"/>
        </w:rPr>
        <w:t>Discov</w:t>
      </w:r>
      <w:proofErr w:type="spellEnd"/>
      <w:r>
        <w:rPr>
          <w:rStyle w:val="Emphasis"/>
          <w:rFonts w:eastAsiaTheme="majorEastAsia"/>
        </w:rPr>
        <w:t xml:space="preserve"> Today</w:t>
      </w:r>
      <w:r>
        <w:t>. 2024;29(7):104022.</w:t>
      </w:r>
    </w:p>
    <w:p w14:paraId="75BAB856" w14:textId="3B34FBAB" w:rsidR="004C4DCF" w:rsidRDefault="004C4DCF" w:rsidP="004C4DCF">
      <w:pPr>
        <w:pStyle w:val="NormalWeb"/>
        <w:numPr>
          <w:ilvl w:val="0"/>
          <w:numId w:val="9"/>
        </w:numPr>
      </w:pPr>
      <w:r>
        <w:t xml:space="preserve">Clark JH. Green solvents for sustainable organic synthesis: state of the art. </w:t>
      </w:r>
      <w:r>
        <w:rPr>
          <w:rStyle w:val="Emphasis"/>
          <w:rFonts w:eastAsiaTheme="majorEastAsia"/>
        </w:rPr>
        <w:t>Green Chem</w:t>
      </w:r>
      <w:r>
        <w:t>. 2020;22(3):639–52.</w:t>
      </w:r>
    </w:p>
    <w:p w14:paraId="289AE060" w14:textId="77777777" w:rsidR="00097316" w:rsidRDefault="00097316" w:rsidP="004C4DCF">
      <w:pPr>
        <w:pStyle w:val="NormalWeb"/>
        <w:numPr>
          <w:ilvl w:val="0"/>
          <w:numId w:val="9"/>
        </w:numPr>
      </w:pPr>
      <w:r w:rsidRPr="00097316">
        <w:t xml:space="preserve">Kasi V, El Sayed </w:t>
      </w:r>
      <w:proofErr w:type="spellStart"/>
      <w:r w:rsidRPr="00097316">
        <w:t>Abdelsalam</w:t>
      </w:r>
      <w:proofErr w:type="spellEnd"/>
      <w:r w:rsidRPr="00097316">
        <w:t xml:space="preserve"> </w:t>
      </w:r>
      <w:proofErr w:type="spellStart"/>
      <w:r w:rsidRPr="00097316">
        <w:t>Zaki</w:t>
      </w:r>
      <w:proofErr w:type="spellEnd"/>
      <w:r w:rsidRPr="00097316">
        <w:t xml:space="preserve"> M, </w:t>
      </w:r>
      <w:proofErr w:type="spellStart"/>
      <w:r w:rsidRPr="00097316">
        <w:t>Nabisahebgari</w:t>
      </w:r>
      <w:proofErr w:type="spellEnd"/>
      <w:r w:rsidRPr="00097316">
        <w:t xml:space="preserve"> HB, Shaik H, Chang S</w:t>
      </w:r>
      <w:r w:rsidRPr="00097316">
        <w:noBreakHyphen/>
        <w:t>K, Wong LS, et al. Magnetic Nanoparticle</w:t>
      </w:r>
      <w:r w:rsidRPr="00097316">
        <w:noBreakHyphen/>
      </w:r>
      <w:proofErr w:type="spellStart"/>
      <w:r w:rsidRPr="00097316">
        <w:t>Catalysed</w:t>
      </w:r>
      <w:proofErr w:type="spellEnd"/>
      <w:r w:rsidRPr="00097316">
        <w:t xml:space="preserve"> One</w:t>
      </w:r>
      <w:r w:rsidRPr="00097316">
        <w:noBreakHyphen/>
        <w:t xml:space="preserve">Pot Multicomponent Reactions (MCRs): A Green Chemistry Approach. </w:t>
      </w:r>
      <w:r w:rsidRPr="00097316">
        <w:rPr>
          <w:i/>
          <w:iCs/>
        </w:rPr>
        <w:t>Catalysts.</w:t>
      </w:r>
      <w:r w:rsidRPr="00097316">
        <w:t xml:space="preserve"> 2025;15(9):800</w:t>
      </w:r>
    </w:p>
    <w:p w14:paraId="59FDB4F0" w14:textId="3CADD871" w:rsidR="004C4DCF" w:rsidRDefault="00097316" w:rsidP="004C4DCF">
      <w:pPr>
        <w:pStyle w:val="NormalWeb"/>
        <w:numPr>
          <w:ilvl w:val="0"/>
          <w:numId w:val="9"/>
        </w:numPr>
      </w:pPr>
      <w:r w:rsidRPr="00097316">
        <w:t>“Advanced green synthesis: Solvent</w:t>
      </w:r>
      <w:r w:rsidRPr="00097316">
        <w:noBreakHyphen/>
        <w:t>free and catalyst</w:t>
      </w:r>
      <w:r w:rsidRPr="00097316">
        <w:noBreakHyphen/>
        <w:t xml:space="preserve">free reaction.” </w:t>
      </w:r>
      <w:r w:rsidRPr="00097316">
        <w:rPr>
          <w:i/>
          <w:iCs/>
        </w:rPr>
        <w:t>Green Synthesis and Catalysis.</w:t>
      </w:r>
      <w:r w:rsidRPr="00097316">
        <w:t xml:space="preserve"> 2025;6(1):36</w:t>
      </w:r>
      <w:r w:rsidRPr="00097316">
        <w:noBreakHyphen/>
        <w:t>66</w:t>
      </w:r>
      <w:r w:rsidR="004C4DCF">
        <w:t>.</w:t>
      </w:r>
    </w:p>
    <w:p w14:paraId="75135146" w14:textId="78DA1ABF" w:rsidR="004C4DCF" w:rsidRDefault="004C4DCF" w:rsidP="004C4DCF">
      <w:pPr>
        <w:pStyle w:val="NormalWeb"/>
        <w:numPr>
          <w:ilvl w:val="0"/>
          <w:numId w:val="9"/>
        </w:numPr>
      </w:pPr>
      <w:r>
        <w:t xml:space="preserve">Smith EL, Abbott AP, Ryder KS. Deep eutectic solvents (DESs) and their applications. </w:t>
      </w:r>
      <w:r>
        <w:rPr>
          <w:rStyle w:val="Emphasis"/>
          <w:rFonts w:eastAsiaTheme="majorEastAsia"/>
        </w:rPr>
        <w:t>Chem Rev</w:t>
      </w:r>
      <w:r>
        <w:t>. 2014;114(21):11060–82.</w:t>
      </w:r>
    </w:p>
    <w:p w14:paraId="7CE23E14" w14:textId="77777777" w:rsidR="00097316" w:rsidRDefault="00097316" w:rsidP="004C4DCF">
      <w:pPr>
        <w:pStyle w:val="NormalWeb"/>
        <w:numPr>
          <w:ilvl w:val="0"/>
          <w:numId w:val="9"/>
        </w:numPr>
      </w:pPr>
      <w:r w:rsidRPr="00097316">
        <w:t>“Green and Eco</w:t>
      </w:r>
      <w:r w:rsidRPr="00097316">
        <w:noBreakHyphen/>
        <w:t>Friendly Multicomponent Synthesis of 2</w:t>
      </w:r>
      <w:r w:rsidRPr="00097316">
        <w:noBreakHyphen/>
        <w:t xml:space="preserve">Hydroxypyridines Under Free Solvent Conditions.” </w:t>
      </w:r>
      <w:r w:rsidRPr="00097316">
        <w:rPr>
          <w:i/>
          <w:iCs/>
        </w:rPr>
        <w:t>Green and Sustainable Chemistry.</w:t>
      </w:r>
      <w:r w:rsidRPr="00097316">
        <w:t xml:space="preserve"> 2024;14(1):109.</w:t>
      </w:r>
    </w:p>
    <w:p w14:paraId="08FA4B3B" w14:textId="07D476E7" w:rsidR="004C4DCF" w:rsidRDefault="004C4DCF" w:rsidP="004C4DCF">
      <w:pPr>
        <w:pStyle w:val="NormalWeb"/>
        <w:numPr>
          <w:ilvl w:val="0"/>
          <w:numId w:val="9"/>
        </w:numPr>
      </w:pPr>
      <w:r>
        <w:t xml:space="preserve">Patel RN. Biocatalysis: synthesis of chiral intermediates for pharmaceuticals. </w:t>
      </w:r>
      <w:r>
        <w:rPr>
          <w:rStyle w:val="Emphasis"/>
          <w:rFonts w:eastAsiaTheme="majorEastAsia"/>
        </w:rPr>
        <w:t xml:space="preserve">Adv Synth </w:t>
      </w:r>
      <w:proofErr w:type="spellStart"/>
      <w:r>
        <w:rPr>
          <w:rStyle w:val="Emphasis"/>
          <w:rFonts w:eastAsiaTheme="majorEastAsia"/>
        </w:rPr>
        <w:t>Catal</w:t>
      </w:r>
      <w:proofErr w:type="spellEnd"/>
      <w:r>
        <w:t>. 2018;360(3):540–74.</w:t>
      </w:r>
    </w:p>
    <w:p w14:paraId="648E5CD1" w14:textId="77777777" w:rsidR="00331C56" w:rsidRDefault="00331C56" w:rsidP="00331C56">
      <w:pPr>
        <w:pStyle w:val="NormalWeb"/>
        <w:numPr>
          <w:ilvl w:val="0"/>
          <w:numId w:val="9"/>
        </w:numPr>
      </w:pPr>
      <w:proofErr w:type="gramStart"/>
      <w:r>
        <w:rPr>
          <w:rFonts w:hAnsi="Symbol"/>
        </w:rPr>
        <w:t></w:t>
      </w:r>
      <w:r>
        <w:t xml:space="preserve">  Sheldon</w:t>
      </w:r>
      <w:proofErr w:type="gramEnd"/>
      <w:r>
        <w:t xml:space="preserve"> RA, Woodley JM. Role of biocatalysis in sustainable chemistry. </w:t>
      </w:r>
      <w:r>
        <w:rPr>
          <w:rStyle w:val="Emphasis"/>
          <w:rFonts w:eastAsiaTheme="majorEastAsia"/>
        </w:rPr>
        <w:t>Chem Rev</w:t>
      </w:r>
      <w:r>
        <w:t>. 2018;118(2):801–38.</w:t>
      </w:r>
    </w:p>
    <w:p w14:paraId="448BB656" w14:textId="77777777" w:rsidR="00331C56" w:rsidRDefault="00331C56" w:rsidP="00331C56">
      <w:pPr>
        <w:pStyle w:val="NormalWeb"/>
        <w:numPr>
          <w:ilvl w:val="0"/>
          <w:numId w:val="9"/>
        </w:numPr>
      </w:pPr>
      <w:proofErr w:type="gramStart"/>
      <w:r>
        <w:rPr>
          <w:rFonts w:hAnsi="Symbol"/>
        </w:rPr>
        <w:t></w:t>
      </w:r>
      <w:r>
        <w:t xml:space="preserve">  </w:t>
      </w:r>
      <w:proofErr w:type="spellStart"/>
      <w:r>
        <w:t>Bornscheuer</w:t>
      </w:r>
      <w:proofErr w:type="spellEnd"/>
      <w:proofErr w:type="gramEnd"/>
      <w:r>
        <w:t xml:space="preserve"> UT, Huisman GW, Kazlauskas RJ, Lutz S, Moore JC, Robins K. Engineering the third wave of biocatalysis. </w:t>
      </w:r>
      <w:r>
        <w:rPr>
          <w:rStyle w:val="Emphasis"/>
          <w:rFonts w:eastAsiaTheme="majorEastAsia"/>
        </w:rPr>
        <w:t>Nature</w:t>
      </w:r>
      <w:r>
        <w:t>. 2012;485(7397):185–94.</w:t>
      </w:r>
    </w:p>
    <w:p w14:paraId="3EDED71C" w14:textId="77777777" w:rsidR="00331C56" w:rsidRDefault="00331C56" w:rsidP="00331C56">
      <w:pPr>
        <w:pStyle w:val="NormalWeb"/>
        <w:numPr>
          <w:ilvl w:val="0"/>
          <w:numId w:val="9"/>
        </w:numPr>
      </w:pPr>
      <w:proofErr w:type="gramStart"/>
      <w:r>
        <w:rPr>
          <w:rFonts w:hAnsi="Symbol"/>
        </w:rPr>
        <w:t></w:t>
      </w:r>
      <w:r>
        <w:t xml:space="preserve">  Patel</w:t>
      </w:r>
      <w:proofErr w:type="gramEnd"/>
      <w:r>
        <w:t xml:space="preserve"> RN. Biocatalytic synthesis of chiral pharmaceutical intermediates. </w:t>
      </w:r>
      <w:proofErr w:type="spellStart"/>
      <w:r>
        <w:rPr>
          <w:rStyle w:val="Emphasis"/>
          <w:rFonts w:eastAsiaTheme="majorEastAsia"/>
        </w:rPr>
        <w:t>Biotechnol</w:t>
      </w:r>
      <w:proofErr w:type="spellEnd"/>
      <w:r>
        <w:rPr>
          <w:rStyle w:val="Emphasis"/>
          <w:rFonts w:eastAsiaTheme="majorEastAsia"/>
        </w:rPr>
        <w:t xml:space="preserve"> Adv</w:t>
      </w:r>
      <w:r>
        <w:t>. 2011;29(6):629–40.</w:t>
      </w:r>
    </w:p>
    <w:p w14:paraId="05EF2D29" w14:textId="77777777" w:rsidR="00331C56" w:rsidRDefault="00331C56" w:rsidP="00331C56">
      <w:pPr>
        <w:pStyle w:val="NormalWeb"/>
        <w:numPr>
          <w:ilvl w:val="0"/>
          <w:numId w:val="9"/>
        </w:numPr>
      </w:pPr>
      <w:proofErr w:type="gramStart"/>
      <w:r>
        <w:rPr>
          <w:rFonts w:hAnsi="Symbol"/>
        </w:rPr>
        <w:t></w:t>
      </w:r>
      <w:r>
        <w:t xml:space="preserve">  Arnold</w:t>
      </w:r>
      <w:proofErr w:type="gramEnd"/>
      <w:r>
        <w:t xml:space="preserve"> FH. Directed evolution: bringing new chemistry to life. </w:t>
      </w:r>
      <w:proofErr w:type="spellStart"/>
      <w:r>
        <w:rPr>
          <w:rStyle w:val="Emphasis"/>
          <w:rFonts w:eastAsiaTheme="majorEastAsia"/>
        </w:rPr>
        <w:t>Angew</w:t>
      </w:r>
      <w:proofErr w:type="spellEnd"/>
      <w:r>
        <w:rPr>
          <w:rStyle w:val="Emphasis"/>
          <w:rFonts w:eastAsiaTheme="majorEastAsia"/>
        </w:rPr>
        <w:t xml:space="preserve"> Chem Int Ed Engl</w:t>
      </w:r>
      <w:r>
        <w:t>. 2018;57(16):4143–8.</w:t>
      </w:r>
    </w:p>
    <w:p w14:paraId="43A42528" w14:textId="77777777" w:rsidR="00331C56" w:rsidRDefault="00331C56" w:rsidP="00331C56">
      <w:pPr>
        <w:pStyle w:val="NormalWeb"/>
        <w:numPr>
          <w:ilvl w:val="0"/>
          <w:numId w:val="9"/>
        </w:numPr>
      </w:pPr>
      <w:proofErr w:type="gramStart"/>
      <w:r>
        <w:rPr>
          <w:rFonts w:hAnsi="Symbol"/>
        </w:rPr>
        <w:t></w:t>
      </w:r>
      <w:r>
        <w:t xml:space="preserve">  Sheldon</w:t>
      </w:r>
      <w:proofErr w:type="gramEnd"/>
      <w:r>
        <w:t xml:space="preserve"> RA. Enzyme immobilization: the quest for optimum performance. </w:t>
      </w:r>
      <w:r>
        <w:rPr>
          <w:rStyle w:val="Emphasis"/>
          <w:rFonts w:eastAsiaTheme="majorEastAsia"/>
        </w:rPr>
        <w:t xml:space="preserve">Adv Synth </w:t>
      </w:r>
      <w:proofErr w:type="spellStart"/>
      <w:r>
        <w:rPr>
          <w:rStyle w:val="Emphasis"/>
          <w:rFonts w:eastAsiaTheme="majorEastAsia"/>
        </w:rPr>
        <w:t>Catal</w:t>
      </w:r>
      <w:proofErr w:type="spellEnd"/>
      <w:r>
        <w:t>. 2007;349(8-9):1289–307.</w:t>
      </w:r>
    </w:p>
    <w:p w14:paraId="0B325044" w14:textId="77777777" w:rsidR="00331C56" w:rsidRDefault="00331C56" w:rsidP="00331C56">
      <w:pPr>
        <w:pStyle w:val="NormalWeb"/>
        <w:numPr>
          <w:ilvl w:val="0"/>
          <w:numId w:val="9"/>
        </w:numPr>
      </w:pPr>
      <w:proofErr w:type="gramStart"/>
      <w:r>
        <w:rPr>
          <w:rFonts w:hAnsi="Symbol"/>
        </w:rPr>
        <w:t></w:t>
      </w:r>
      <w:r>
        <w:t xml:space="preserve">  Savile</w:t>
      </w:r>
      <w:proofErr w:type="gramEnd"/>
      <w:r>
        <w:t xml:space="preserve"> CK, Janey JM, Mundorff EC, Moore JC, Tam S, Jarvis WR, et al. Biocatalytic asymmetric synthesis of chiral amines from ketones applied to sitagliptin manufacture. </w:t>
      </w:r>
      <w:r>
        <w:rPr>
          <w:rStyle w:val="Emphasis"/>
          <w:rFonts w:eastAsiaTheme="majorEastAsia"/>
        </w:rPr>
        <w:t>Science</w:t>
      </w:r>
      <w:r>
        <w:t>. 2010;329(5989):305–9.</w:t>
      </w:r>
    </w:p>
    <w:p w14:paraId="243E074A" w14:textId="77777777" w:rsidR="00331C56" w:rsidRDefault="00331C56" w:rsidP="00331C56">
      <w:pPr>
        <w:pStyle w:val="NormalWeb"/>
        <w:numPr>
          <w:ilvl w:val="0"/>
          <w:numId w:val="9"/>
        </w:numPr>
      </w:pPr>
      <w:proofErr w:type="gramStart"/>
      <w:r>
        <w:rPr>
          <w:rFonts w:hAnsi="Symbol"/>
        </w:rPr>
        <w:t></w:t>
      </w:r>
      <w:r>
        <w:t xml:space="preserve">  Truppo</w:t>
      </w:r>
      <w:proofErr w:type="gramEnd"/>
      <w:r>
        <w:t xml:space="preserve"> MD. Biocatalysis for the pharmaceutical industry. </w:t>
      </w:r>
      <w:proofErr w:type="spellStart"/>
      <w:r>
        <w:rPr>
          <w:rStyle w:val="Emphasis"/>
          <w:rFonts w:eastAsiaTheme="majorEastAsia"/>
        </w:rPr>
        <w:t>Bioorg</w:t>
      </w:r>
      <w:proofErr w:type="spellEnd"/>
      <w:r>
        <w:rPr>
          <w:rStyle w:val="Emphasis"/>
          <w:rFonts w:eastAsiaTheme="majorEastAsia"/>
        </w:rPr>
        <w:t xml:space="preserve"> Med Chem</w:t>
      </w:r>
      <w:r>
        <w:t>. 2017;25(18):5907–12.</w:t>
      </w:r>
    </w:p>
    <w:p w14:paraId="7AAA5967" w14:textId="77777777" w:rsidR="00331C56" w:rsidRDefault="00331C56" w:rsidP="00331C56">
      <w:pPr>
        <w:pStyle w:val="NormalWeb"/>
        <w:numPr>
          <w:ilvl w:val="0"/>
          <w:numId w:val="9"/>
        </w:numPr>
      </w:pPr>
      <w:proofErr w:type="gramStart"/>
      <w:r>
        <w:rPr>
          <w:rFonts w:hAnsi="Symbol"/>
        </w:rPr>
        <w:t></w:t>
      </w:r>
      <w:r>
        <w:t xml:space="preserve">  Wu</w:t>
      </w:r>
      <w:proofErr w:type="gramEnd"/>
      <w:r>
        <w:t xml:space="preserve"> S, </w:t>
      </w:r>
      <w:proofErr w:type="spellStart"/>
      <w:r>
        <w:t>Snajdrova</w:t>
      </w:r>
      <w:proofErr w:type="spellEnd"/>
      <w:r>
        <w:t xml:space="preserve"> R, Moore JC, </w:t>
      </w:r>
      <w:proofErr w:type="spellStart"/>
      <w:r>
        <w:t>Baldenius</w:t>
      </w:r>
      <w:proofErr w:type="spellEnd"/>
      <w:r>
        <w:t xml:space="preserve"> K, </w:t>
      </w:r>
      <w:proofErr w:type="spellStart"/>
      <w:r>
        <w:t>Bornscheuer</w:t>
      </w:r>
      <w:proofErr w:type="spellEnd"/>
      <w:r>
        <w:t xml:space="preserve"> UT. Biocatalysis: enzymatic synthesis for industrial applications. </w:t>
      </w:r>
      <w:proofErr w:type="spellStart"/>
      <w:r>
        <w:rPr>
          <w:rStyle w:val="Emphasis"/>
          <w:rFonts w:eastAsiaTheme="majorEastAsia"/>
        </w:rPr>
        <w:t>Angew</w:t>
      </w:r>
      <w:proofErr w:type="spellEnd"/>
      <w:r>
        <w:rPr>
          <w:rStyle w:val="Emphasis"/>
          <w:rFonts w:eastAsiaTheme="majorEastAsia"/>
        </w:rPr>
        <w:t xml:space="preserve"> Chem Int Ed Engl</w:t>
      </w:r>
      <w:r>
        <w:t>. 2021;60(1):88–119.</w:t>
      </w:r>
    </w:p>
    <w:p w14:paraId="6DBDD608" w14:textId="77777777" w:rsidR="00331C56" w:rsidRDefault="00331C56" w:rsidP="00331C56">
      <w:pPr>
        <w:pStyle w:val="NormalWeb"/>
        <w:numPr>
          <w:ilvl w:val="0"/>
          <w:numId w:val="9"/>
        </w:numPr>
      </w:pPr>
      <w:proofErr w:type="gramStart"/>
      <w:r>
        <w:rPr>
          <w:rFonts w:hAnsi="Symbol"/>
        </w:rPr>
        <w:t></w:t>
      </w:r>
      <w:r>
        <w:t xml:space="preserve">  Anastas</w:t>
      </w:r>
      <w:proofErr w:type="gramEnd"/>
      <w:r>
        <w:t xml:space="preserve"> PT, Warner JC. Green Chemistry: Theory and Practice. Oxford University Press; 1998.</w:t>
      </w:r>
    </w:p>
    <w:p w14:paraId="26C8EC8A" w14:textId="77777777" w:rsidR="00331C56" w:rsidRDefault="00331C56" w:rsidP="00331C56">
      <w:pPr>
        <w:pStyle w:val="NormalWeb"/>
        <w:numPr>
          <w:ilvl w:val="0"/>
          <w:numId w:val="9"/>
        </w:numPr>
      </w:pPr>
      <w:proofErr w:type="gramStart"/>
      <w:r>
        <w:rPr>
          <w:rFonts w:hAnsi="Symbol"/>
        </w:rPr>
        <w:t></w:t>
      </w:r>
      <w:r>
        <w:t xml:space="preserve">  Sheldon</w:t>
      </w:r>
      <w:proofErr w:type="gramEnd"/>
      <w:r>
        <w:t xml:space="preserve"> RA. Fundamentals of green chemistry: efficiency in reaction design. </w:t>
      </w:r>
      <w:r>
        <w:rPr>
          <w:rStyle w:val="Emphasis"/>
          <w:rFonts w:eastAsiaTheme="majorEastAsia"/>
        </w:rPr>
        <w:t>Chem Soc Rev</w:t>
      </w:r>
      <w:r>
        <w:t>. 2012;41(4):1437–57.</w:t>
      </w:r>
    </w:p>
    <w:p w14:paraId="00D69D22" w14:textId="4456D3EE" w:rsidR="00097316" w:rsidRPr="00097316" w:rsidRDefault="00097316" w:rsidP="00331C56">
      <w:pPr>
        <w:pStyle w:val="NormalWeb"/>
        <w:numPr>
          <w:ilvl w:val="0"/>
          <w:numId w:val="9"/>
        </w:numPr>
      </w:pPr>
      <w:r w:rsidRPr="00097316">
        <w:rPr>
          <w:rFonts w:hAnsi="Symbol"/>
        </w:rPr>
        <w:t>Solvent</w:t>
      </w:r>
      <w:r w:rsidRPr="00097316">
        <w:rPr>
          <w:rFonts w:hAnsi="Symbol"/>
        </w:rPr>
        <w:noBreakHyphen/>
        <w:t>Free, One</w:t>
      </w:r>
      <w:r w:rsidRPr="00097316">
        <w:rPr>
          <w:rFonts w:hAnsi="Symbol"/>
        </w:rPr>
        <w:noBreakHyphen/>
        <w:t>Pot, Multicomponent Synthesis of Xanthene Derivatives.</w:t>
      </w:r>
      <w:r w:rsidRPr="00097316">
        <w:rPr>
          <w:rFonts w:hAnsi="Symbol"/>
        </w:rPr>
        <w:t></w:t>
      </w:r>
      <w:r w:rsidRPr="00097316">
        <w:rPr>
          <w:rFonts w:hAnsi="Symbol"/>
        </w:rPr>
        <w:t xml:space="preserve"> </w:t>
      </w:r>
      <w:r w:rsidRPr="00097316">
        <w:rPr>
          <w:rFonts w:hAnsi="Symbol"/>
          <w:i/>
          <w:iCs/>
        </w:rPr>
        <w:t>Catalysts.</w:t>
      </w:r>
      <w:r w:rsidRPr="00097316">
        <w:rPr>
          <w:rFonts w:hAnsi="Symbol"/>
        </w:rPr>
        <w:t xml:space="preserve"> 2023;13(3):561.</w:t>
      </w:r>
    </w:p>
    <w:p w14:paraId="4CBE0C45" w14:textId="0C9D1260" w:rsidR="00331C56" w:rsidRDefault="00331C56" w:rsidP="00331C56">
      <w:pPr>
        <w:pStyle w:val="NormalWeb"/>
        <w:numPr>
          <w:ilvl w:val="0"/>
          <w:numId w:val="9"/>
        </w:numPr>
      </w:pPr>
      <w:proofErr w:type="gramStart"/>
      <w:r>
        <w:rPr>
          <w:rFonts w:hAnsi="Symbol"/>
        </w:rPr>
        <w:t></w:t>
      </w:r>
      <w:r>
        <w:t xml:space="preserve">  Knowles</w:t>
      </w:r>
      <w:proofErr w:type="gramEnd"/>
      <w:r>
        <w:t xml:space="preserve"> WS. Asymmetric hydrogenations (Nobel Lecture). </w:t>
      </w:r>
      <w:proofErr w:type="spellStart"/>
      <w:r>
        <w:rPr>
          <w:rStyle w:val="Emphasis"/>
          <w:rFonts w:eastAsiaTheme="majorEastAsia"/>
        </w:rPr>
        <w:t>Angew</w:t>
      </w:r>
      <w:proofErr w:type="spellEnd"/>
      <w:r>
        <w:rPr>
          <w:rStyle w:val="Emphasis"/>
          <w:rFonts w:eastAsiaTheme="majorEastAsia"/>
        </w:rPr>
        <w:t xml:space="preserve"> Chem Int Ed Engl</w:t>
      </w:r>
      <w:r>
        <w:t>. 2002;41(12):1998–2007.</w:t>
      </w:r>
    </w:p>
    <w:p w14:paraId="31E98890" w14:textId="51494ADC" w:rsidR="00331C56" w:rsidRDefault="00097316" w:rsidP="00097316">
      <w:pPr>
        <w:pStyle w:val="NormalWeb"/>
        <w:numPr>
          <w:ilvl w:val="0"/>
          <w:numId w:val="9"/>
        </w:numPr>
      </w:pPr>
      <w:r w:rsidRPr="00097316">
        <w:rPr>
          <w:rFonts w:hAnsi="Symbol"/>
        </w:rPr>
        <w:t xml:space="preserve">Kanchan </w:t>
      </w:r>
      <w:proofErr w:type="spellStart"/>
      <w:r w:rsidRPr="00097316">
        <w:rPr>
          <w:rFonts w:hAnsi="Symbol"/>
        </w:rPr>
        <w:t>Ghatge</w:t>
      </w:r>
      <w:proofErr w:type="spellEnd"/>
      <w:r w:rsidRPr="00097316">
        <w:rPr>
          <w:rFonts w:hAnsi="Symbol"/>
        </w:rPr>
        <w:t xml:space="preserve">, Kavita Patil, </w:t>
      </w:r>
      <w:proofErr w:type="spellStart"/>
      <w:r w:rsidRPr="00097316">
        <w:rPr>
          <w:rFonts w:hAnsi="Symbol"/>
        </w:rPr>
        <w:t>Akshada</w:t>
      </w:r>
      <w:proofErr w:type="spellEnd"/>
      <w:r w:rsidRPr="00097316">
        <w:rPr>
          <w:rFonts w:hAnsi="Symbol"/>
        </w:rPr>
        <w:t xml:space="preserve"> </w:t>
      </w:r>
      <w:proofErr w:type="spellStart"/>
      <w:r w:rsidRPr="00097316">
        <w:rPr>
          <w:rFonts w:hAnsi="Symbol"/>
        </w:rPr>
        <w:t>Khetre</w:t>
      </w:r>
      <w:proofErr w:type="spellEnd"/>
      <w:r w:rsidRPr="00097316">
        <w:rPr>
          <w:rFonts w:hAnsi="Symbol"/>
        </w:rPr>
        <w:t xml:space="preserve">, </w:t>
      </w:r>
      <w:proofErr w:type="spellStart"/>
      <w:r w:rsidRPr="00097316">
        <w:rPr>
          <w:rFonts w:hAnsi="Symbol"/>
        </w:rPr>
        <w:t>Vrushabh</w:t>
      </w:r>
      <w:proofErr w:type="spellEnd"/>
      <w:r w:rsidRPr="00097316">
        <w:rPr>
          <w:rFonts w:hAnsi="Symbol"/>
        </w:rPr>
        <w:t xml:space="preserve"> Patil, and Ramling Mali. 2025. Synthetic </w:t>
      </w:r>
      <w:proofErr w:type="spellStart"/>
      <w:r w:rsidRPr="00097316">
        <w:rPr>
          <w:rFonts w:hAnsi="Symbol"/>
        </w:rPr>
        <w:t>XanthoneDerivatives</w:t>
      </w:r>
      <w:proofErr w:type="spellEnd"/>
      <w:r w:rsidRPr="00097316">
        <w:rPr>
          <w:rFonts w:hAnsi="Symbol"/>
        </w:rPr>
        <w:t xml:space="preserve"> As Multifunctional Therapeutics for </w:t>
      </w:r>
      <w:proofErr w:type="spellStart"/>
      <w:r w:rsidRPr="00097316">
        <w:rPr>
          <w:rFonts w:hAnsi="Symbol"/>
        </w:rPr>
        <w:t>Alzheimers</w:t>
      </w:r>
      <w:proofErr w:type="spellEnd"/>
      <w:r w:rsidRPr="00097316">
        <w:rPr>
          <w:rFonts w:hAnsi="Symbol"/>
        </w:rPr>
        <w:t xml:space="preserve"> Disease: </w:t>
      </w:r>
      <w:r w:rsidRPr="00097316">
        <w:rPr>
          <w:rFonts w:hAnsi="Symbol"/>
        </w:rPr>
        <w:lastRenderedPageBreak/>
        <w:t xml:space="preserve">Chemistry, Mechanisms and Future </w:t>
      </w:r>
      <w:proofErr w:type="spellStart"/>
      <w:r w:rsidRPr="00097316">
        <w:rPr>
          <w:rFonts w:hAnsi="Symbol"/>
        </w:rPr>
        <w:t>Perspectives.International</w:t>
      </w:r>
      <w:proofErr w:type="spellEnd"/>
      <w:r>
        <w:rPr>
          <w:rFonts w:hAnsi="Symbol"/>
        </w:rPr>
        <w:t xml:space="preserve"> </w:t>
      </w:r>
      <w:r w:rsidRPr="00097316">
        <w:rPr>
          <w:rFonts w:hAnsi="Symbol"/>
        </w:rPr>
        <w:t>Neuropsychiatric Disease Journal 22 (5):3244.</w:t>
      </w:r>
      <w:r>
        <w:rPr>
          <w:rFonts w:hAnsi="Symbol"/>
        </w:rPr>
        <w:t xml:space="preserve"> </w:t>
      </w:r>
      <w:r w:rsidRPr="00097316">
        <w:rPr>
          <w:rFonts w:hAnsi="Symbol"/>
        </w:rPr>
        <w:t xml:space="preserve">https://doi.org/10.9734/indj/2025/v22i5512 </w:t>
      </w:r>
    </w:p>
    <w:p w14:paraId="6728B974" w14:textId="074429C3" w:rsidR="00331C56" w:rsidRDefault="00331C56" w:rsidP="00331C56">
      <w:pPr>
        <w:pStyle w:val="NormalWeb"/>
        <w:numPr>
          <w:ilvl w:val="0"/>
          <w:numId w:val="9"/>
        </w:numPr>
      </w:pPr>
      <w:proofErr w:type="gramStart"/>
      <w:r>
        <w:rPr>
          <w:rFonts w:hAnsi="Symbol"/>
        </w:rPr>
        <w:t></w:t>
      </w:r>
      <w:r>
        <w:t xml:space="preserve">  </w:t>
      </w:r>
      <w:r w:rsidR="00097316" w:rsidRPr="00097316">
        <w:rPr>
          <w:b/>
          <w:bCs/>
        </w:rPr>
        <w:t>Anastas</w:t>
      </w:r>
      <w:proofErr w:type="gramEnd"/>
      <w:r w:rsidR="00097316" w:rsidRPr="00097316">
        <w:rPr>
          <w:b/>
          <w:bCs/>
        </w:rPr>
        <w:t xml:space="preserve"> PT, Eghbali N.</w:t>
      </w:r>
      <w:r w:rsidR="00097316" w:rsidRPr="00097316">
        <w:t xml:space="preserve"> Green chemistry: principles and practice. </w:t>
      </w:r>
      <w:r w:rsidR="00097316" w:rsidRPr="00097316">
        <w:rPr>
          <w:i/>
          <w:iCs/>
        </w:rPr>
        <w:t>Chem Soc Rev.</w:t>
      </w:r>
      <w:r w:rsidR="00097316" w:rsidRPr="00097316">
        <w:t xml:space="preserve"> 2010;39(1):301–12.</w:t>
      </w:r>
    </w:p>
    <w:p w14:paraId="205F7960" w14:textId="77777777" w:rsidR="00331C56" w:rsidRDefault="00331C56" w:rsidP="00331C56">
      <w:pPr>
        <w:pStyle w:val="NormalWeb"/>
        <w:numPr>
          <w:ilvl w:val="0"/>
          <w:numId w:val="9"/>
        </w:numPr>
      </w:pPr>
      <w:proofErr w:type="gramStart"/>
      <w:r>
        <w:rPr>
          <w:rFonts w:hAnsi="Symbol"/>
        </w:rPr>
        <w:t></w:t>
      </w:r>
      <w:r>
        <w:t xml:space="preserve">  Wegner</w:t>
      </w:r>
      <w:proofErr w:type="gramEnd"/>
      <w:r>
        <w:t xml:space="preserve"> J, </w:t>
      </w:r>
      <w:proofErr w:type="spellStart"/>
      <w:r>
        <w:t>Ceylan</w:t>
      </w:r>
      <w:proofErr w:type="spellEnd"/>
      <w:r>
        <w:t xml:space="preserve"> S, </w:t>
      </w:r>
      <w:proofErr w:type="spellStart"/>
      <w:r>
        <w:t>Kirschning</w:t>
      </w:r>
      <w:proofErr w:type="spellEnd"/>
      <w:r>
        <w:t xml:space="preserve"> A. Flow chemistry – a key enabling technology for (multistep) organic synthesis. </w:t>
      </w:r>
      <w:r>
        <w:rPr>
          <w:rStyle w:val="Emphasis"/>
          <w:rFonts w:eastAsiaTheme="majorEastAsia"/>
        </w:rPr>
        <w:t xml:space="preserve">Adv Synth </w:t>
      </w:r>
      <w:proofErr w:type="spellStart"/>
      <w:r>
        <w:rPr>
          <w:rStyle w:val="Emphasis"/>
          <w:rFonts w:eastAsiaTheme="majorEastAsia"/>
        </w:rPr>
        <w:t>Catal</w:t>
      </w:r>
      <w:proofErr w:type="spellEnd"/>
      <w:r>
        <w:t>. 2012;354(1):17–57.</w:t>
      </w:r>
    </w:p>
    <w:p w14:paraId="31C1BBBB" w14:textId="77777777" w:rsidR="00331C56" w:rsidRPr="00DA222E" w:rsidRDefault="00331C56" w:rsidP="00331C56">
      <w:pPr>
        <w:pStyle w:val="NormalWeb"/>
        <w:numPr>
          <w:ilvl w:val="0"/>
          <w:numId w:val="9"/>
        </w:numPr>
      </w:pPr>
      <w:proofErr w:type="gramStart"/>
      <w:r w:rsidRPr="00DA222E">
        <w:rPr>
          <w:rFonts w:hAnsi="Symbol"/>
        </w:rPr>
        <w:t></w:t>
      </w:r>
      <w:r w:rsidRPr="00DA222E">
        <w:t xml:space="preserve">  Beller</w:t>
      </w:r>
      <w:proofErr w:type="gramEnd"/>
      <w:r w:rsidRPr="00DA222E">
        <w:t xml:space="preserve"> M, Bolm C, editors. Transition metals for organic synthesis: building blocks and fine chemicals. 2nd ed. Wiley-VCH; 2004.</w:t>
      </w:r>
    </w:p>
    <w:p w14:paraId="704BCAB9" w14:textId="77777777" w:rsidR="00331C56" w:rsidRDefault="00331C56" w:rsidP="00331C56">
      <w:pPr>
        <w:pStyle w:val="NormalWeb"/>
        <w:numPr>
          <w:ilvl w:val="0"/>
          <w:numId w:val="9"/>
        </w:numPr>
      </w:pPr>
      <w:proofErr w:type="gramStart"/>
      <w:r>
        <w:rPr>
          <w:rFonts w:hAnsi="Symbol"/>
        </w:rPr>
        <w:t></w:t>
      </w:r>
      <w:r>
        <w:t xml:space="preserve">  </w:t>
      </w:r>
      <w:proofErr w:type="spellStart"/>
      <w:r>
        <w:t>Miyaura</w:t>
      </w:r>
      <w:proofErr w:type="spellEnd"/>
      <w:proofErr w:type="gramEnd"/>
      <w:r>
        <w:t xml:space="preserve"> N, Suzuki A. Palladium-catalyzed cross-coupling reactions of organoboron compounds. </w:t>
      </w:r>
      <w:r>
        <w:rPr>
          <w:rStyle w:val="Emphasis"/>
          <w:rFonts w:eastAsiaTheme="majorEastAsia"/>
        </w:rPr>
        <w:t>Chem Rev</w:t>
      </w:r>
      <w:r>
        <w:t>. 1995;95(7):2457–83.</w:t>
      </w:r>
    </w:p>
    <w:p w14:paraId="26AD1A96" w14:textId="77777777" w:rsidR="00331C56" w:rsidRDefault="00331C56" w:rsidP="00331C56">
      <w:pPr>
        <w:pStyle w:val="NormalWeb"/>
        <w:numPr>
          <w:ilvl w:val="0"/>
          <w:numId w:val="9"/>
        </w:numPr>
      </w:pPr>
      <w:proofErr w:type="gramStart"/>
      <w:r>
        <w:rPr>
          <w:rFonts w:hAnsi="Symbol"/>
        </w:rPr>
        <w:t></w:t>
      </w:r>
      <w:r>
        <w:t xml:space="preserve">  Magano</w:t>
      </w:r>
      <w:proofErr w:type="gramEnd"/>
      <w:r>
        <w:t xml:space="preserve"> J, Dunetz JR. Large-scale applications of transition metal-catalyzed couplings for the synthesis of pharmaceuticals. </w:t>
      </w:r>
      <w:r>
        <w:rPr>
          <w:rStyle w:val="Emphasis"/>
          <w:rFonts w:eastAsiaTheme="majorEastAsia"/>
        </w:rPr>
        <w:t>Chem Rev</w:t>
      </w:r>
      <w:r>
        <w:t>. 2011;111(3):2177–250.</w:t>
      </w:r>
    </w:p>
    <w:p w14:paraId="59E1BE3D" w14:textId="77777777" w:rsidR="00331C56" w:rsidRDefault="00331C56" w:rsidP="00331C56">
      <w:pPr>
        <w:pStyle w:val="NormalWeb"/>
        <w:numPr>
          <w:ilvl w:val="0"/>
          <w:numId w:val="9"/>
        </w:numPr>
      </w:pPr>
      <w:proofErr w:type="gramStart"/>
      <w:r>
        <w:rPr>
          <w:rFonts w:hAnsi="Symbol"/>
        </w:rPr>
        <w:t></w:t>
      </w:r>
      <w:r>
        <w:t xml:space="preserve">  Hein</w:t>
      </w:r>
      <w:proofErr w:type="gramEnd"/>
      <w:r>
        <w:t xml:space="preserve"> JE, Fokin VV. Copper-catalyzed </w:t>
      </w:r>
      <w:proofErr w:type="spellStart"/>
      <w:r>
        <w:t>azide</w:t>
      </w:r>
      <w:proofErr w:type="spellEnd"/>
      <w:r>
        <w:t>–alkyne cycloaddition (</w:t>
      </w:r>
      <w:proofErr w:type="spellStart"/>
      <w:r>
        <w:t>CuAAC</w:t>
      </w:r>
      <w:proofErr w:type="spellEnd"/>
      <w:r>
        <w:t xml:space="preserve">) and beyond: new reactivity and applications. </w:t>
      </w:r>
      <w:r>
        <w:rPr>
          <w:rStyle w:val="Emphasis"/>
          <w:rFonts w:eastAsiaTheme="majorEastAsia"/>
        </w:rPr>
        <w:t>Chem Soc Rev</w:t>
      </w:r>
      <w:r>
        <w:t>. 2010;39(4):1302–15.</w:t>
      </w:r>
    </w:p>
    <w:p w14:paraId="444C0A85" w14:textId="77777777" w:rsidR="00331C56" w:rsidRDefault="00331C56" w:rsidP="00331C56">
      <w:pPr>
        <w:pStyle w:val="NormalWeb"/>
        <w:numPr>
          <w:ilvl w:val="0"/>
          <w:numId w:val="9"/>
        </w:numPr>
      </w:pPr>
      <w:proofErr w:type="gramStart"/>
      <w:r>
        <w:rPr>
          <w:rFonts w:hAnsi="Symbol"/>
        </w:rPr>
        <w:t></w:t>
      </w:r>
      <w:r>
        <w:t xml:space="preserve">  Grubbs</w:t>
      </w:r>
      <w:proofErr w:type="gramEnd"/>
      <w:r>
        <w:t xml:space="preserve"> RH. Olefin metathesis. </w:t>
      </w:r>
      <w:r>
        <w:rPr>
          <w:rStyle w:val="Emphasis"/>
          <w:rFonts w:eastAsiaTheme="majorEastAsia"/>
        </w:rPr>
        <w:t>Tetrahedron</w:t>
      </w:r>
      <w:r>
        <w:t>. 2004;60(34):7117–44.</w:t>
      </w:r>
    </w:p>
    <w:p w14:paraId="343C5A6C" w14:textId="77777777" w:rsidR="00331C56" w:rsidRDefault="00331C56" w:rsidP="00331C56">
      <w:pPr>
        <w:pStyle w:val="NormalWeb"/>
        <w:numPr>
          <w:ilvl w:val="0"/>
          <w:numId w:val="9"/>
        </w:numPr>
      </w:pPr>
      <w:proofErr w:type="gramStart"/>
      <w:r>
        <w:rPr>
          <w:rFonts w:hAnsi="Symbol"/>
        </w:rPr>
        <w:t></w:t>
      </w:r>
      <w:r>
        <w:t xml:space="preserve">  </w:t>
      </w:r>
      <w:proofErr w:type="spellStart"/>
      <w:r>
        <w:t>Egorova</w:t>
      </w:r>
      <w:proofErr w:type="spellEnd"/>
      <w:proofErr w:type="gramEnd"/>
      <w:r>
        <w:t xml:space="preserve"> KS, </w:t>
      </w:r>
      <w:proofErr w:type="spellStart"/>
      <w:r>
        <w:t>Ananikov</w:t>
      </w:r>
      <w:proofErr w:type="spellEnd"/>
      <w:r>
        <w:t xml:space="preserve"> VP. Toxicity of metal compounds: knowledge and gaps. </w:t>
      </w:r>
      <w:r>
        <w:rPr>
          <w:rStyle w:val="Emphasis"/>
          <w:rFonts w:eastAsiaTheme="majorEastAsia"/>
        </w:rPr>
        <w:t>Organometallics</w:t>
      </w:r>
      <w:r>
        <w:t>. 2017;36(22):4071–80.</w:t>
      </w:r>
    </w:p>
    <w:p w14:paraId="0A223959" w14:textId="77777777" w:rsidR="00DA222E" w:rsidRPr="00DA222E" w:rsidRDefault="00DA222E" w:rsidP="00331C56">
      <w:pPr>
        <w:pStyle w:val="NormalWeb"/>
        <w:numPr>
          <w:ilvl w:val="0"/>
          <w:numId w:val="9"/>
        </w:numPr>
      </w:pPr>
      <w:r w:rsidRPr="00DA222E">
        <w:rPr>
          <w:rFonts w:hAnsi="Symbol"/>
        </w:rPr>
        <w:t xml:space="preserve">Porta, R., </w:t>
      </w:r>
      <w:proofErr w:type="spellStart"/>
      <w:r w:rsidRPr="00DA222E">
        <w:rPr>
          <w:rFonts w:hAnsi="Symbol"/>
        </w:rPr>
        <w:t>Benaglia</w:t>
      </w:r>
      <w:proofErr w:type="spellEnd"/>
      <w:r w:rsidRPr="00DA222E">
        <w:rPr>
          <w:rFonts w:hAnsi="Symbol"/>
        </w:rPr>
        <w:t xml:space="preserve">, M., &amp; Puglisi, A. (2016). Flow chemistry: recent developments in the synthesis of pharmaceutical products. Organic Process Research &amp; Development, 20(1), 2-25. </w:t>
      </w:r>
    </w:p>
    <w:p w14:paraId="79B8913D" w14:textId="2390EEB4" w:rsidR="00331C56" w:rsidRDefault="00331C56" w:rsidP="00331C56">
      <w:pPr>
        <w:pStyle w:val="NormalWeb"/>
        <w:numPr>
          <w:ilvl w:val="0"/>
          <w:numId w:val="9"/>
        </w:numPr>
      </w:pPr>
      <w:bookmarkStart w:id="0" w:name="_GoBack"/>
      <w:bookmarkEnd w:id="0"/>
      <w:proofErr w:type="gramStart"/>
      <w:r>
        <w:rPr>
          <w:rFonts w:hAnsi="Symbol"/>
        </w:rPr>
        <w:t></w:t>
      </w:r>
      <w:r>
        <w:t xml:space="preserve">  MacMillan</w:t>
      </w:r>
      <w:proofErr w:type="gramEnd"/>
      <w:r>
        <w:t xml:space="preserve"> DWC. The advent and development of </w:t>
      </w:r>
      <w:proofErr w:type="spellStart"/>
      <w:r>
        <w:t>organocatalysis</w:t>
      </w:r>
      <w:proofErr w:type="spellEnd"/>
      <w:r>
        <w:t xml:space="preserve">. </w:t>
      </w:r>
      <w:r>
        <w:rPr>
          <w:rStyle w:val="Emphasis"/>
          <w:rFonts w:eastAsiaTheme="majorEastAsia"/>
        </w:rPr>
        <w:t>Nature</w:t>
      </w:r>
      <w:r>
        <w:t>. 2008;455(7211):304–8.</w:t>
      </w:r>
    </w:p>
    <w:p w14:paraId="2770BF78" w14:textId="77777777" w:rsidR="00097316" w:rsidRPr="00097316" w:rsidRDefault="00097316" w:rsidP="00331C56">
      <w:pPr>
        <w:pStyle w:val="NormalWeb"/>
        <w:numPr>
          <w:ilvl w:val="0"/>
          <w:numId w:val="9"/>
        </w:numPr>
      </w:pPr>
      <w:r w:rsidRPr="00097316">
        <w:rPr>
          <w:rFonts w:hAnsi="Symbol"/>
          <w:b/>
          <w:bCs/>
        </w:rPr>
        <w:t>Trost BM.</w:t>
      </w:r>
      <w:r w:rsidRPr="00097316">
        <w:rPr>
          <w:rFonts w:hAnsi="Symbol"/>
        </w:rPr>
        <w:t xml:space="preserve"> The atom </w:t>
      </w:r>
      <w:proofErr w:type="spellStart"/>
      <w:r w:rsidRPr="00097316">
        <w:rPr>
          <w:rFonts w:hAnsi="Symbol"/>
        </w:rPr>
        <w:t>economy</w:t>
      </w:r>
      <w:r w:rsidRPr="00097316">
        <w:rPr>
          <w:rFonts w:hAnsi="Symbol"/>
        </w:rPr>
        <w:t></w:t>
      </w:r>
      <w:r w:rsidRPr="00097316">
        <w:rPr>
          <w:rFonts w:hAnsi="Symbol"/>
        </w:rPr>
        <w:t>a</w:t>
      </w:r>
      <w:proofErr w:type="spellEnd"/>
      <w:r w:rsidRPr="00097316">
        <w:rPr>
          <w:rFonts w:hAnsi="Symbol"/>
        </w:rPr>
        <w:t xml:space="preserve"> search for synthetic efficiency. </w:t>
      </w:r>
      <w:r w:rsidRPr="00097316">
        <w:rPr>
          <w:rFonts w:hAnsi="Symbol"/>
          <w:i/>
          <w:iCs/>
        </w:rPr>
        <w:t>Science.</w:t>
      </w:r>
      <w:r w:rsidRPr="00097316">
        <w:rPr>
          <w:rFonts w:hAnsi="Symbol"/>
        </w:rPr>
        <w:t xml:space="preserve"> 1991;254(5037):1471</w:t>
      </w:r>
      <w:r w:rsidRPr="00097316">
        <w:rPr>
          <w:rFonts w:hAnsi="Symbol"/>
        </w:rPr>
        <w:t></w:t>
      </w:r>
      <w:r w:rsidRPr="00097316">
        <w:rPr>
          <w:rFonts w:hAnsi="Symbol"/>
        </w:rPr>
        <w:t>7.</w:t>
      </w:r>
    </w:p>
    <w:p w14:paraId="3D6C6604" w14:textId="597638E0" w:rsidR="00331C56" w:rsidRDefault="00331C56" w:rsidP="00331C56">
      <w:pPr>
        <w:pStyle w:val="NormalWeb"/>
        <w:numPr>
          <w:ilvl w:val="0"/>
          <w:numId w:val="9"/>
        </w:numPr>
      </w:pPr>
      <w:proofErr w:type="gramStart"/>
      <w:r>
        <w:rPr>
          <w:rFonts w:hAnsi="Symbol"/>
        </w:rPr>
        <w:t></w:t>
      </w:r>
      <w:r>
        <w:t xml:space="preserve">  </w:t>
      </w:r>
      <w:proofErr w:type="spellStart"/>
      <w:r>
        <w:t>Berkessel</w:t>
      </w:r>
      <w:proofErr w:type="spellEnd"/>
      <w:proofErr w:type="gramEnd"/>
      <w:r>
        <w:t xml:space="preserve"> A, </w:t>
      </w:r>
      <w:proofErr w:type="spellStart"/>
      <w:r>
        <w:t>Gröger</w:t>
      </w:r>
      <w:proofErr w:type="spellEnd"/>
      <w:r>
        <w:t xml:space="preserve"> H. Asymmetric </w:t>
      </w:r>
      <w:proofErr w:type="spellStart"/>
      <w:r>
        <w:t>organocatalysis</w:t>
      </w:r>
      <w:proofErr w:type="spellEnd"/>
      <w:r>
        <w:t>: from biomimetic concepts to applications in asymmetric synthesis. Wiley-VCH; 2005.</w:t>
      </w:r>
    </w:p>
    <w:p w14:paraId="0292796E" w14:textId="77777777" w:rsidR="00331C56" w:rsidRDefault="00331C56" w:rsidP="00331C56">
      <w:pPr>
        <w:pStyle w:val="NormalWeb"/>
        <w:numPr>
          <w:ilvl w:val="0"/>
          <w:numId w:val="9"/>
        </w:numPr>
      </w:pPr>
      <w:proofErr w:type="gramStart"/>
      <w:r>
        <w:rPr>
          <w:rFonts w:hAnsi="Symbol"/>
        </w:rPr>
        <w:t></w:t>
      </w:r>
      <w:r>
        <w:t xml:space="preserve">  Connon</w:t>
      </w:r>
      <w:proofErr w:type="gramEnd"/>
      <w:r>
        <w:t xml:space="preserve"> SJ. </w:t>
      </w:r>
      <w:proofErr w:type="spellStart"/>
      <w:r>
        <w:t>Organocatalysis</w:t>
      </w:r>
      <w:proofErr w:type="spellEnd"/>
      <w:r>
        <w:t xml:space="preserve"> mediated by (</w:t>
      </w:r>
      <w:proofErr w:type="spellStart"/>
      <w:r>
        <w:t>thio</w:t>
      </w:r>
      <w:proofErr w:type="spellEnd"/>
      <w:r>
        <w:t xml:space="preserve">)urea derivatives. </w:t>
      </w:r>
      <w:r>
        <w:rPr>
          <w:rStyle w:val="Emphasis"/>
          <w:rFonts w:eastAsiaTheme="majorEastAsia"/>
        </w:rPr>
        <w:t>Chem Commun</w:t>
      </w:r>
      <w:r>
        <w:t>. 2008;(20):2499–511.</w:t>
      </w:r>
    </w:p>
    <w:p w14:paraId="49377CAB" w14:textId="77777777" w:rsidR="00097316" w:rsidRPr="00097316" w:rsidRDefault="00097316" w:rsidP="00200A8C">
      <w:pPr>
        <w:pStyle w:val="NormalWeb"/>
        <w:numPr>
          <w:ilvl w:val="0"/>
          <w:numId w:val="9"/>
        </w:numPr>
      </w:pPr>
      <w:r w:rsidRPr="00097316">
        <w:rPr>
          <w:rFonts w:hAnsi="Symbol"/>
          <w:b/>
          <w:bCs/>
        </w:rPr>
        <w:t>Sheldon RA.</w:t>
      </w:r>
      <w:r w:rsidRPr="00097316">
        <w:rPr>
          <w:rFonts w:hAnsi="Symbol"/>
        </w:rPr>
        <w:t xml:space="preserve"> Green and sustainable manufacture of chemicals from biomass: state of the art. </w:t>
      </w:r>
      <w:r w:rsidRPr="00097316">
        <w:rPr>
          <w:rFonts w:hAnsi="Symbol"/>
          <w:i/>
          <w:iCs/>
        </w:rPr>
        <w:t>Green Chem.</w:t>
      </w:r>
      <w:r w:rsidRPr="00097316">
        <w:rPr>
          <w:rFonts w:hAnsi="Symbol"/>
        </w:rPr>
        <w:t xml:space="preserve"> 2014;16(3):950</w:t>
      </w:r>
      <w:r w:rsidRPr="00097316">
        <w:rPr>
          <w:rFonts w:hAnsi="Symbol"/>
        </w:rPr>
        <w:t></w:t>
      </w:r>
      <w:r w:rsidRPr="00097316">
        <w:rPr>
          <w:rFonts w:hAnsi="Symbol"/>
        </w:rPr>
        <w:t>63.</w:t>
      </w:r>
    </w:p>
    <w:p w14:paraId="4DEB6C4D" w14:textId="70174ED0" w:rsidR="00200A8C" w:rsidRDefault="00200A8C" w:rsidP="00200A8C">
      <w:pPr>
        <w:pStyle w:val="NormalWeb"/>
        <w:numPr>
          <w:ilvl w:val="0"/>
          <w:numId w:val="9"/>
        </w:numPr>
      </w:pPr>
      <w:proofErr w:type="gramStart"/>
      <w:r>
        <w:rPr>
          <w:rFonts w:hAnsi="Symbol"/>
        </w:rPr>
        <w:t></w:t>
      </w:r>
      <w:r>
        <w:t xml:space="preserve">  Savile</w:t>
      </w:r>
      <w:proofErr w:type="gramEnd"/>
      <w:r>
        <w:t xml:space="preserve"> CK, Janey JM, Mundorff EC, Moore JC, Tam S, Jarvis WR, et al. Biocatalytic asymmetric synthesis of chiral amines from ketones applied to sitagliptin manufacture. </w:t>
      </w:r>
      <w:r>
        <w:rPr>
          <w:rStyle w:val="Emphasis"/>
          <w:rFonts w:eastAsiaTheme="majorEastAsia"/>
        </w:rPr>
        <w:t>Science</w:t>
      </w:r>
      <w:r>
        <w:t>. 2010;329(5989):305–9.</w:t>
      </w:r>
    </w:p>
    <w:p w14:paraId="5BA6AC2C" w14:textId="77777777" w:rsidR="00200A8C" w:rsidRDefault="00200A8C" w:rsidP="00200A8C">
      <w:pPr>
        <w:pStyle w:val="NormalWeb"/>
        <w:numPr>
          <w:ilvl w:val="0"/>
          <w:numId w:val="9"/>
        </w:numPr>
      </w:pPr>
      <w:proofErr w:type="gramStart"/>
      <w:r>
        <w:rPr>
          <w:rFonts w:hAnsi="Symbol"/>
        </w:rPr>
        <w:t></w:t>
      </w:r>
      <w:r>
        <w:t xml:space="preserve">  U.S.</w:t>
      </w:r>
      <w:proofErr w:type="gramEnd"/>
      <w:r>
        <w:t xml:space="preserve"> Environmental Protection Agency (EPA). 2010 Presidential Green Chemistry Challenge Awards. [Available from: </w:t>
      </w:r>
      <w:hyperlink r:id="rId8" w:tgtFrame="_new" w:history="1">
        <w:r>
          <w:rPr>
            <w:rStyle w:val="Hyperlink"/>
            <w:rFonts w:eastAsiaTheme="majorEastAsia"/>
          </w:rPr>
          <w:t>https://www.epa.gov/greenchemistry</w:t>
        </w:r>
      </w:hyperlink>
      <w:r>
        <w:t>].</w:t>
      </w:r>
    </w:p>
    <w:p w14:paraId="24280AE6" w14:textId="77777777" w:rsidR="00200A8C" w:rsidRDefault="00200A8C" w:rsidP="00200A8C">
      <w:pPr>
        <w:pStyle w:val="NormalWeb"/>
        <w:numPr>
          <w:ilvl w:val="0"/>
          <w:numId w:val="9"/>
        </w:numPr>
      </w:pPr>
      <w:proofErr w:type="gramStart"/>
      <w:r>
        <w:rPr>
          <w:rFonts w:hAnsi="Symbol"/>
        </w:rPr>
        <w:t></w:t>
      </w:r>
      <w:r>
        <w:t xml:space="preserve">  Magano</w:t>
      </w:r>
      <w:proofErr w:type="gramEnd"/>
      <w:r>
        <w:t xml:space="preserve"> J, Dunetz JR. Large-scale applications of asymmetric hydrogenation in pharmaceutical synthesis. </w:t>
      </w:r>
      <w:r>
        <w:rPr>
          <w:rStyle w:val="Emphasis"/>
          <w:rFonts w:eastAsiaTheme="majorEastAsia"/>
        </w:rPr>
        <w:t>Chem Rev</w:t>
      </w:r>
      <w:r>
        <w:t>. 2011;111(3):2177–250.</w:t>
      </w:r>
    </w:p>
    <w:p w14:paraId="2F36D726" w14:textId="77777777" w:rsidR="00200A8C" w:rsidRDefault="00200A8C" w:rsidP="00200A8C">
      <w:pPr>
        <w:pStyle w:val="NormalWeb"/>
        <w:numPr>
          <w:ilvl w:val="0"/>
          <w:numId w:val="9"/>
        </w:numPr>
      </w:pPr>
      <w:proofErr w:type="gramStart"/>
      <w:r>
        <w:rPr>
          <w:rFonts w:hAnsi="Symbol"/>
        </w:rPr>
        <w:t></w:t>
      </w:r>
      <w:r w:rsidRPr="00F35F1B">
        <w:rPr>
          <w:lang w:val="nb-NO"/>
        </w:rPr>
        <w:t xml:space="preserve">  Ro</w:t>
      </w:r>
      <w:proofErr w:type="gramEnd"/>
      <w:r w:rsidRPr="00F35F1B">
        <w:rPr>
          <w:lang w:val="nb-NO"/>
        </w:rPr>
        <w:t xml:space="preserve"> DK, Paradise EM, Ouellet M, Fisher KJ, Newman KL, Ndungu JM, et al. </w:t>
      </w:r>
      <w:r>
        <w:t xml:space="preserve">Production of the antimalarial drug precursor </w:t>
      </w:r>
      <w:proofErr w:type="spellStart"/>
      <w:r>
        <w:t>artemisinic</w:t>
      </w:r>
      <w:proofErr w:type="spellEnd"/>
      <w:r>
        <w:t xml:space="preserve"> acid in engineered yeast. </w:t>
      </w:r>
      <w:r>
        <w:rPr>
          <w:rStyle w:val="Emphasis"/>
          <w:rFonts w:eastAsiaTheme="majorEastAsia"/>
        </w:rPr>
        <w:t>Nature</w:t>
      </w:r>
      <w:r>
        <w:t>. 2006;440(7086):940–3.</w:t>
      </w:r>
    </w:p>
    <w:p w14:paraId="65E88C1E" w14:textId="77777777" w:rsidR="00200A8C" w:rsidRDefault="00200A8C" w:rsidP="00200A8C">
      <w:pPr>
        <w:pStyle w:val="NormalWeb"/>
        <w:numPr>
          <w:ilvl w:val="0"/>
          <w:numId w:val="9"/>
        </w:numPr>
      </w:pPr>
      <w:proofErr w:type="gramStart"/>
      <w:r>
        <w:rPr>
          <w:rFonts w:hAnsi="Symbol"/>
        </w:rPr>
        <w:t></w:t>
      </w:r>
      <w:r>
        <w:t xml:space="preserve">  Brown</w:t>
      </w:r>
      <w:proofErr w:type="gramEnd"/>
      <w:r>
        <w:t xml:space="preserve"> DG, Boström J. Analysis of past and present synthetic methodologies on medicinal chemistry: where have all the new reactions gone? </w:t>
      </w:r>
      <w:r>
        <w:rPr>
          <w:rStyle w:val="Emphasis"/>
          <w:rFonts w:eastAsiaTheme="majorEastAsia"/>
        </w:rPr>
        <w:t>J Med Chem</w:t>
      </w:r>
      <w:r>
        <w:t>. 2016;59(10):4443–58.</w:t>
      </w:r>
    </w:p>
    <w:p w14:paraId="25544766" w14:textId="77777777" w:rsidR="00200A8C" w:rsidRDefault="00200A8C" w:rsidP="00200A8C">
      <w:pPr>
        <w:pStyle w:val="NormalWeb"/>
        <w:numPr>
          <w:ilvl w:val="0"/>
          <w:numId w:val="9"/>
        </w:numPr>
      </w:pPr>
      <w:proofErr w:type="gramStart"/>
      <w:r>
        <w:rPr>
          <w:rFonts w:hAnsi="Symbol"/>
        </w:rPr>
        <w:t></w:t>
      </w:r>
      <w:r>
        <w:t xml:space="preserve">  Plutschack</w:t>
      </w:r>
      <w:proofErr w:type="gramEnd"/>
      <w:r>
        <w:t xml:space="preserve"> MB, Pieber B, Gilmore K, Seeberger PH. The hitchhiker's guide to flow chemistry. </w:t>
      </w:r>
      <w:r>
        <w:rPr>
          <w:rStyle w:val="Emphasis"/>
          <w:rFonts w:eastAsiaTheme="majorEastAsia"/>
        </w:rPr>
        <w:t>Chem Rev</w:t>
      </w:r>
      <w:r>
        <w:t>. 2017;117(18):11796–893</w:t>
      </w:r>
    </w:p>
    <w:p w14:paraId="43F7CCD6" w14:textId="77777777" w:rsidR="00200A8C" w:rsidRDefault="00200A8C" w:rsidP="00200A8C">
      <w:pPr>
        <w:pStyle w:val="NormalWeb"/>
        <w:numPr>
          <w:ilvl w:val="0"/>
          <w:numId w:val="9"/>
        </w:numPr>
      </w:pPr>
      <w:proofErr w:type="gramStart"/>
      <w:r>
        <w:rPr>
          <w:rFonts w:hAnsi="Symbol"/>
        </w:rPr>
        <w:lastRenderedPageBreak/>
        <w:t></w:t>
      </w:r>
      <w:r>
        <w:t xml:space="preserve">  Trost</w:t>
      </w:r>
      <w:proofErr w:type="gramEnd"/>
      <w:r>
        <w:t xml:space="preserve"> BM. Atom economy—a challenge for organic synthesis: homogeneous catalysis leads the way. </w:t>
      </w:r>
      <w:proofErr w:type="spellStart"/>
      <w:r>
        <w:rPr>
          <w:rStyle w:val="Emphasis"/>
          <w:rFonts w:eastAsiaTheme="majorEastAsia"/>
        </w:rPr>
        <w:t>Angew</w:t>
      </w:r>
      <w:proofErr w:type="spellEnd"/>
      <w:r>
        <w:rPr>
          <w:rStyle w:val="Emphasis"/>
          <w:rFonts w:eastAsiaTheme="majorEastAsia"/>
        </w:rPr>
        <w:t xml:space="preserve"> Chem Int Ed Engl</w:t>
      </w:r>
      <w:r>
        <w:t>. 1995;34(3):259–81.</w:t>
      </w:r>
    </w:p>
    <w:p w14:paraId="1479F60D" w14:textId="77777777" w:rsidR="00200A8C" w:rsidRDefault="00200A8C" w:rsidP="00200A8C">
      <w:pPr>
        <w:pStyle w:val="NormalWeb"/>
        <w:numPr>
          <w:ilvl w:val="0"/>
          <w:numId w:val="9"/>
        </w:numPr>
      </w:pPr>
      <w:proofErr w:type="gramStart"/>
      <w:r>
        <w:rPr>
          <w:rFonts w:hAnsi="Symbol"/>
        </w:rPr>
        <w:t></w:t>
      </w:r>
      <w:r>
        <w:t xml:space="preserve">  Sheldon</w:t>
      </w:r>
      <w:proofErr w:type="gramEnd"/>
      <w:r>
        <w:t xml:space="preserve"> RA. The E-factor: fifteen years on. </w:t>
      </w:r>
      <w:r>
        <w:rPr>
          <w:rStyle w:val="Emphasis"/>
          <w:rFonts w:eastAsiaTheme="majorEastAsia"/>
        </w:rPr>
        <w:t>Green Chem</w:t>
      </w:r>
      <w:r>
        <w:t>. 2007;9(12):1273–83.</w:t>
      </w:r>
    </w:p>
    <w:p w14:paraId="25E10F11" w14:textId="77777777" w:rsidR="00200A8C" w:rsidRDefault="00200A8C" w:rsidP="00200A8C">
      <w:pPr>
        <w:pStyle w:val="NormalWeb"/>
        <w:numPr>
          <w:ilvl w:val="0"/>
          <w:numId w:val="9"/>
        </w:numPr>
      </w:pPr>
      <w:proofErr w:type="gramStart"/>
      <w:r>
        <w:rPr>
          <w:rFonts w:hAnsi="Symbol"/>
        </w:rPr>
        <w:t></w:t>
      </w:r>
      <w:r>
        <w:t xml:space="preserve">  Constable</w:t>
      </w:r>
      <w:proofErr w:type="gramEnd"/>
      <w:r>
        <w:t xml:space="preserve"> DJC, </w:t>
      </w:r>
      <w:proofErr w:type="spellStart"/>
      <w:r>
        <w:t>Curzons</w:t>
      </w:r>
      <w:proofErr w:type="spellEnd"/>
      <w:r>
        <w:t xml:space="preserve"> AD, Cunningham VL. Metrics to 'green' chemistry—which are the best? </w:t>
      </w:r>
      <w:r>
        <w:rPr>
          <w:rStyle w:val="Emphasis"/>
          <w:rFonts w:eastAsiaTheme="majorEastAsia"/>
        </w:rPr>
        <w:t>Green Chem</w:t>
      </w:r>
      <w:r>
        <w:t>. 2002;4(6):521–7.</w:t>
      </w:r>
    </w:p>
    <w:p w14:paraId="6EDB2713" w14:textId="77777777" w:rsidR="00097316" w:rsidRPr="00097316" w:rsidRDefault="00097316" w:rsidP="00200A8C">
      <w:pPr>
        <w:pStyle w:val="NormalWeb"/>
        <w:numPr>
          <w:ilvl w:val="0"/>
          <w:numId w:val="9"/>
        </w:numPr>
      </w:pPr>
      <w:r w:rsidRPr="00097316">
        <w:rPr>
          <w:rFonts w:hAnsi="Symbol"/>
          <w:b/>
          <w:bCs/>
        </w:rPr>
        <w:t>Kerton FM, Marriott R.</w:t>
      </w:r>
      <w:r w:rsidRPr="00097316">
        <w:rPr>
          <w:rFonts w:hAnsi="Symbol"/>
        </w:rPr>
        <w:t xml:space="preserve"> </w:t>
      </w:r>
      <w:r w:rsidRPr="00097316">
        <w:rPr>
          <w:rFonts w:hAnsi="Symbol"/>
          <w:i/>
          <w:iCs/>
        </w:rPr>
        <w:t>Alternative Solvents for Green Chemistry.</w:t>
      </w:r>
      <w:r w:rsidRPr="00097316">
        <w:rPr>
          <w:rFonts w:hAnsi="Symbol"/>
        </w:rPr>
        <w:t xml:space="preserve"> 2nd ed. Cambridge: RSC Publishing; 2013.</w:t>
      </w:r>
    </w:p>
    <w:p w14:paraId="4A897A10" w14:textId="1F7F39DA" w:rsidR="00200A8C" w:rsidRDefault="00200A8C" w:rsidP="00200A8C">
      <w:pPr>
        <w:pStyle w:val="NormalWeb"/>
        <w:numPr>
          <w:ilvl w:val="0"/>
          <w:numId w:val="9"/>
        </w:numPr>
      </w:pPr>
      <w:proofErr w:type="gramStart"/>
      <w:r>
        <w:rPr>
          <w:rFonts w:hAnsi="Symbol"/>
        </w:rPr>
        <w:t></w:t>
      </w:r>
      <w:r>
        <w:t xml:space="preserve">  Van</w:t>
      </w:r>
      <w:proofErr w:type="gramEnd"/>
      <w:r>
        <w:t xml:space="preserve"> </w:t>
      </w:r>
      <w:proofErr w:type="spellStart"/>
      <w:r>
        <w:t>Aken</w:t>
      </w:r>
      <w:proofErr w:type="spellEnd"/>
      <w:r>
        <w:t xml:space="preserve"> K, </w:t>
      </w:r>
      <w:proofErr w:type="spellStart"/>
      <w:r>
        <w:t>Strekowski</w:t>
      </w:r>
      <w:proofErr w:type="spellEnd"/>
      <w:r>
        <w:t xml:space="preserve"> L, </w:t>
      </w:r>
      <w:proofErr w:type="spellStart"/>
      <w:r>
        <w:t>Patiny</w:t>
      </w:r>
      <w:proofErr w:type="spellEnd"/>
      <w:r>
        <w:t xml:space="preserve"> L. </w:t>
      </w:r>
      <w:proofErr w:type="spellStart"/>
      <w:r>
        <w:t>EcoScale</w:t>
      </w:r>
      <w:proofErr w:type="spellEnd"/>
      <w:r>
        <w:t xml:space="preserve">, a semi-quantitative tool to select an organic preparation based on </w:t>
      </w:r>
      <w:proofErr w:type="spellStart"/>
      <w:r>
        <w:t>economical</w:t>
      </w:r>
      <w:proofErr w:type="spellEnd"/>
      <w:r>
        <w:t xml:space="preserve"> and ecological parameters. </w:t>
      </w:r>
      <w:r>
        <w:rPr>
          <w:rStyle w:val="Emphasis"/>
          <w:rFonts w:eastAsiaTheme="majorEastAsia"/>
        </w:rPr>
        <w:t>Beilstein J Org Chem</w:t>
      </w:r>
      <w:r>
        <w:t xml:space="preserve">. </w:t>
      </w:r>
      <w:proofErr w:type="gramStart"/>
      <w:r>
        <w:t>2006;2:3</w:t>
      </w:r>
      <w:proofErr w:type="gramEnd"/>
      <w:r>
        <w:t>.</w:t>
      </w:r>
    </w:p>
    <w:p w14:paraId="171C9600" w14:textId="77777777" w:rsidR="00200A8C" w:rsidRDefault="00200A8C" w:rsidP="00200A8C">
      <w:pPr>
        <w:pStyle w:val="NormalWeb"/>
        <w:numPr>
          <w:ilvl w:val="0"/>
          <w:numId w:val="9"/>
        </w:numPr>
      </w:pPr>
      <w:proofErr w:type="gramStart"/>
      <w:r>
        <w:rPr>
          <w:rFonts w:hAnsi="Symbol"/>
        </w:rPr>
        <w:t></w:t>
      </w:r>
      <w:r>
        <w:t xml:space="preserve">  </w:t>
      </w:r>
      <w:proofErr w:type="spellStart"/>
      <w:r>
        <w:t>Roschangar</w:t>
      </w:r>
      <w:proofErr w:type="spellEnd"/>
      <w:proofErr w:type="gramEnd"/>
      <w:r>
        <w:t xml:space="preserve"> F, </w:t>
      </w:r>
      <w:proofErr w:type="spellStart"/>
      <w:r>
        <w:t>Colberg</w:t>
      </w:r>
      <w:proofErr w:type="spellEnd"/>
      <w:r>
        <w:t xml:space="preserve"> J, Dunn PJ, Gallou F, Hayler JD, Koenig SG, et al. A deeper shade of green: inspiring sustainable drug manufacturing. </w:t>
      </w:r>
      <w:r>
        <w:rPr>
          <w:rStyle w:val="Emphasis"/>
          <w:rFonts w:eastAsiaTheme="majorEastAsia"/>
        </w:rPr>
        <w:t>Green Chem</w:t>
      </w:r>
      <w:r>
        <w:t>. 2017;19(1):281–5.</w:t>
      </w:r>
    </w:p>
    <w:p w14:paraId="3EB33DD7" w14:textId="77777777" w:rsidR="00200A8C" w:rsidRDefault="00200A8C" w:rsidP="00200A8C">
      <w:pPr>
        <w:pStyle w:val="NormalWeb"/>
        <w:numPr>
          <w:ilvl w:val="0"/>
          <w:numId w:val="9"/>
        </w:numPr>
      </w:pPr>
      <w:proofErr w:type="gramStart"/>
      <w:r>
        <w:rPr>
          <w:rFonts w:hAnsi="Symbol"/>
        </w:rPr>
        <w:t></w:t>
      </w:r>
      <w:r>
        <w:t xml:space="preserve">  Jiménez</w:t>
      </w:r>
      <w:proofErr w:type="gramEnd"/>
      <w:r>
        <w:t xml:space="preserve">-González C, Ponder CS, Broxterman QB, Manley JB. Using the right green yardstick: why process mass intensity is used in the pharmaceutical industry to drive more sustainable processes. </w:t>
      </w:r>
      <w:r>
        <w:rPr>
          <w:rStyle w:val="Emphasis"/>
          <w:rFonts w:eastAsiaTheme="majorEastAsia"/>
        </w:rPr>
        <w:t>Org Process Res Dev</w:t>
      </w:r>
      <w:r>
        <w:t>. 2011;15(4):912–7.</w:t>
      </w:r>
    </w:p>
    <w:p w14:paraId="7D5831A6" w14:textId="77777777" w:rsidR="00200A8C" w:rsidRDefault="00200A8C" w:rsidP="00200A8C">
      <w:pPr>
        <w:pStyle w:val="NormalWeb"/>
        <w:numPr>
          <w:ilvl w:val="0"/>
          <w:numId w:val="9"/>
        </w:numPr>
      </w:pPr>
      <w:proofErr w:type="gramStart"/>
      <w:r>
        <w:rPr>
          <w:rFonts w:hAnsi="Symbol"/>
        </w:rPr>
        <w:t></w:t>
      </w:r>
      <w:r>
        <w:t xml:space="preserve">  Wernet</w:t>
      </w:r>
      <w:proofErr w:type="gramEnd"/>
      <w:r>
        <w:t xml:space="preserve"> G, Bauer C, Steubing B, Reinhard J, Moreno-Ruiz E, Weidema B. The </w:t>
      </w:r>
      <w:proofErr w:type="spellStart"/>
      <w:r>
        <w:t>ecoinvent</w:t>
      </w:r>
      <w:proofErr w:type="spellEnd"/>
      <w:r>
        <w:t xml:space="preserve"> database version 3 (part I): overview and methodology. </w:t>
      </w:r>
      <w:r>
        <w:rPr>
          <w:rStyle w:val="Emphasis"/>
          <w:rFonts w:eastAsiaTheme="majorEastAsia"/>
        </w:rPr>
        <w:t>Int J Life Cycle Assess</w:t>
      </w:r>
      <w:r>
        <w:t>. 2016;21(9):1218–30.</w:t>
      </w:r>
    </w:p>
    <w:p w14:paraId="3B75B79F" w14:textId="77777777" w:rsidR="00200A8C" w:rsidRDefault="00200A8C" w:rsidP="00200A8C">
      <w:pPr>
        <w:pStyle w:val="NormalWeb"/>
        <w:numPr>
          <w:ilvl w:val="0"/>
          <w:numId w:val="9"/>
        </w:numPr>
      </w:pPr>
      <w:proofErr w:type="gramStart"/>
      <w:r>
        <w:rPr>
          <w:rFonts w:hAnsi="Symbol"/>
        </w:rPr>
        <w:t></w:t>
      </w:r>
      <w:r>
        <w:t xml:space="preserve">  ACS</w:t>
      </w:r>
      <w:proofErr w:type="gramEnd"/>
      <w:r>
        <w:t xml:space="preserve"> Green Chemistry Institute Pharmaceutical Roundtable. https://www.acsgcipr.org</w:t>
      </w:r>
    </w:p>
    <w:p w14:paraId="78F09011" w14:textId="77777777" w:rsidR="00200A8C" w:rsidRDefault="00200A8C" w:rsidP="00200A8C">
      <w:pPr>
        <w:pStyle w:val="NormalWeb"/>
        <w:numPr>
          <w:ilvl w:val="0"/>
          <w:numId w:val="9"/>
        </w:numPr>
      </w:pPr>
      <w:proofErr w:type="gramStart"/>
      <w:r>
        <w:rPr>
          <w:rFonts w:hAnsi="Symbol"/>
        </w:rPr>
        <w:t></w:t>
      </w:r>
      <w:r>
        <w:t xml:space="preserve">  </w:t>
      </w:r>
      <w:proofErr w:type="spellStart"/>
      <w:r>
        <w:t>Bornscheuer</w:t>
      </w:r>
      <w:proofErr w:type="spellEnd"/>
      <w:proofErr w:type="gramEnd"/>
      <w:r>
        <w:t xml:space="preserve"> UT, Huisman GW, Kazlauskas RJ, Lutz S, Moore JC, Robins K. Engineering the third wave of biocatalysis. </w:t>
      </w:r>
      <w:r>
        <w:rPr>
          <w:rStyle w:val="Emphasis"/>
          <w:rFonts w:eastAsiaTheme="majorEastAsia"/>
        </w:rPr>
        <w:t>Nature</w:t>
      </w:r>
      <w:r>
        <w:t>. 2012;485(7397):185–94.</w:t>
      </w:r>
    </w:p>
    <w:p w14:paraId="3FD3C5FA" w14:textId="77777777" w:rsidR="00200A8C" w:rsidRDefault="00200A8C" w:rsidP="00200A8C">
      <w:pPr>
        <w:pStyle w:val="NormalWeb"/>
        <w:numPr>
          <w:ilvl w:val="0"/>
          <w:numId w:val="9"/>
        </w:numPr>
      </w:pPr>
      <w:proofErr w:type="gramStart"/>
      <w:r>
        <w:rPr>
          <w:rFonts w:hAnsi="Symbol"/>
        </w:rPr>
        <w:t></w:t>
      </w:r>
      <w:r w:rsidRPr="00F35F1B">
        <w:rPr>
          <w:lang w:val="nb-NO"/>
        </w:rPr>
        <w:t xml:space="preserve">  Hartman</w:t>
      </w:r>
      <w:proofErr w:type="gramEnd"/>
      <w:r w:rsidRPr="00F35F1B">
        <w:rPr>
          <w:lang w:val="nb-NO"/>
        </w:rPr>
        <w:t xml:space="preserve"> RL, McMullen JP, Jensen KF. </w:t>
      </w:r>
      <w:r>
        <w:t xml:space="preserve">Deciding whether to go with the flow: evaluating the merits of flow reactors for synthetic chemistry. </w:t>
      </w:r>
      <w:proofErr w:type="spellStart"/>
      <w:r>
        <w:rPr>
          <w:rStyle w:val="Emphasis"/>
          <w:rFonts w:eastAsiaTheme="majorEastAsia"/>
        </w:rPr>
        <w:t>Angew</w:t>
      </w:r>
      <w:proofErr w:type="spellEnd"/>
      <w:r>
        <w:rPr>
          <w:rStyle w:val="Emphasis"/>
          <w:rFonts w:eastAsiaTheme="majorEastAsia"/>
        </w:rPr>
        <w:t xml:space="preserve"> Chem Int Ed Engl</w:t>
      </w:r>
      <w:r>
        <w:t>. 2011;50(33):7502–19.</w:t>
      </w:r>
    </w:p>
    <w:p w14:paraId="3A5ECD94" w14:textId="77777777" w:rsidR="00200A8C" w:rsidRDefault="00200A8C" w:rsidP="00200A8C">
      <w:pPr>
        <w:pStyle w:val="NormalWeb"/>
        <w:numPr>
          <w:ilvl w:val="0"/>
          <w:numId w:val="9"/>
        </w:numPr>
      </w:pPr>
      <w:proofErr w:type="gramStart"/>
      <w:r>
        <w:rPr>
          <w:rFonts w:hAnsi="Symbol"/>
        </w:rPr>
        <w:t></w:t>
      </w:r>
      <w:r>
        <w:t xml:space="preserve">  ICH</w:t>
      </w:r>
      <w:proofErr w:type="gramEnd"/>
      <w:r>
        <w:t xml:space="preserve"> </w:t>
      </w:r>
      <w:proofErr w:type="spellStart"/>
      <w:r>
        <w:t>Harmonised</w:t>
      </w:r>
      <w:proofErr w:type="spellEnd"/>
      <w:r>
        <w:t xml:space="preserve"> Guidelines. ICH Q3D(R2): Guideline for Elemental Impurities. International Council for </w:t>
      </w:r>
      <w:proofErr w:type="spellStart"/>
      <w:r>
        <w:t>Harmonisation</w:t>
      </w:r>
      <w:proofErr w:type="spellEnd"/>
      <w:r>
        <w:t>; 2022.</w:t>
      </w:r>
    </w:p>
    <w:p w14:paraId="620184B9" w14:textId="77777777" w:rsidR="00200A8C" w:rsidRDefault="00200A8C" w:rsidP="00200A8C">
      <w:pPr>
        <w:pStyle w:val="NormalWeb"/>
        <w:numPr>
          <w:ilvl w:val="0"/>
          <w:numId w:val="9"/>
        </w:numPr>
      </w:pPr>
      <w:proofErr w:type="gramStart"/>
      <w:r>
        <w:rPr>
          <w:rFonts w:hAnsi="Symbol"/>
        </w:rPr>
        <w:t></w:t>
      </w:r>
      <w:r>
        <w:t xml:space="preserve">  Sheldon</w:t>
      </w:r>
      <w:proofErr w:type="gramEnd"/>
      <w:r>
        <w:t xml:space="preserve"> RA. E factors, green chemistry and catalysis: an odyssey. </w:t>
      </w:r>
      <w:r>
        <w:rPr>
          <w:rStyle w:val="Emphasis"/>
          <w:rFonts w:eastAsiaTheme="majorEastAsia"/>
        </w:rPr>
        <w:t>Chem Commun</w:t>
      </w:r>
      <w:r>
        <w:t>. 2008;(29):3352–65.</w:t>
      </w:r>
    </w:p>
    <w:p w14:paraId="6F4DA4DD" w14:textId="77777777" w:rsidR="00200A8C" w:rsidRDefault="00200A8C" w:rsidP="00200A8C">
      <w:pPr>
        <w:pStyle w:val="NormalWeb"/>
        <w:numPr>
          <w:ilvl w:val="0"/>
          <w:numId w:val="9"/>
        </w:numPr>
      </w:pPr>
      <w:proofErr w:type="gramStart"/>
      <w:r>
        <w:rPr>
          <w:rFonts w:hAnsi="Symbol"/>
        </w:rPr>
        <w:t></w:t>
      </w:r>
      <w:r>
        <w:t xml:space="preserve">  </w:t>
      </w:r>
      <w:proofErr w:type="spellStart"/>
      <w:r>
        <w:t>Curzons</w:t>
      </w:r>
      <w:proofErr w:type="spellEnd"/>
      <w:proofErr w:type="gramEnd"/>
      <w:r>
        <w:t xml:space="preserve"> AD, Constable DJC, Mortimer DN, Cunningham VL. So you think your process is </w:t>
      </w:r>
      <w:proofErr w:type="gramStart"/>
      <w:r>
        <w:t>green?—</w:t>
      </w:r>
      <w:proofErr w:type="gramEnd"/>
      <w:r>
        <w:t xml:space="preserve">A review of green chemistry metrics and tools in the pharmaceutical industry. </w:t>
      </w:r>
      <w:r>
        <w:rPr>
          <w:rStyle w:val="Emphasis"/>
          <w:rFonts w:eastAsiaTheme="majorEastAsia"/>
        </w:rPr>
        <w:t>Green Chem</w:t>
      </w:r>
      <w:r>
        <w:t>. 2001;3(1):1–6.</w:t>
      </w:r>
    </w:p>
    <w:p w14:paraId="10BAB590" w14:textId="77777777" w:rsidR="00200A8C" w:rsidRDefault="00200A8C" w:rsidP="00200A8C">
      <w:pPr>
        <w:pStyle w:val="NormalWeb"/>
        <w:numPr>
          <w:ilvl w:val="0"/>
          <w:numId w:val="9"/>
        </w:numPr>
      </w:pPr>
      <w:proofErr w:type="gramStart"/>
      <w:r>
        <w:rPr>
          <w:rFonts w:hAnsi="Symbol"/>
        </w:rPr>
        <w:t></w:t>
      </w:r>
      <w:r w:rsidRPr="00F35F1B">
        <w:rPr>
          <w:lang w:val="nb-NO"/>
        </w:rPr>
        <w:t xml:space="preserve">  Segler</w:t>
      </w:r>
      <w:proofErr w:type="gramEnd"/>
      <w:r w:rsidRPr="00F35F1B">
        <w:rPr>
          <w:lang w:val="nb-NO"/>
        </w:rPr>
        <w:t xml:space="preserve"> MHS, Preuss M, Waller MP. </w:t>
      </w:r>
      <w:r>
        <w:t xml:space="preserve">Planning chemical syntheses with deep neural networks and symbolic AI. </w:t>
      </w:r>
      <w:r>
        <w:rPr>
          <w:rStyle w:val="Emphasis"/>
          <w:rFonts w:eastAsiaTheme="majorEastAsia"/>
        </w:rPr>
        <w:t>Nature</w:t>
      </w:r>
      <w:r>
        <w:t>. 2018;555(7698):604–10.</w:t>
      </w:r>
    </w:p>
    <w:p w14:paraId="65D411C7" w14:textId="77777777" w:rsidR="00200A8C" w:rsidRDefault="00200A8C" w:rsidP="00200A8C">
      <w:pPr>
        <w:pStyle w:val="NormalWeb"/>
        <w:numPr>
          <w:ilvl w:val="0"/>
          <w:numId w:val="9"/>
        </w:numPr>
      </w:pPr>
      <w:proofErr w:type="gramStart"/>
      <w:r>
        <w:rPr>
          <w:rFonts w:hAnsi="Symbol"/>
        </w:rPr>
        <w:t></w:t>
      </w:r>
      <w:r>
        <w:t xml:space="preserve">  Arnold</w:t>
      </w:r>
      <w:proofErr w:type="gramEnd"/>
      <w:r>
        <w:t xml:space="preserve"> FH. Directed evolution: bringing new chemistry to life. (Nobel Lecture). </w:t>
      </w:r>
      <w:proofErr w:type="spellStart"/>
      <w:r>
        <w:rPr>
          <w:rStyle w:val="Emphasis"/>
          <w:rFonts w:eastAsiaTheme="majorEastAsia"/>
        </w:rPr>
        <w:t>Angew</w:t>
      </w:r>
      <w:proofErr w:type="spellEnd"/>
      <w:r>
        <w:rPr>
          <w:rStyle w:val="Emphasis"/>
          <w:rFonts w:eastAsiaTheme="majorEastAsia"/>
        </w:rPr>
        <w:t xml:space="preserve"> Chem Int Ed Engl</w:t>
      </w:r>
      <w:r>
        <w:t>. 2019;58(41):14420–6.</w:t>
      </w:r>
    </w:p>
    <w:p w14:paraId="13BAEF8A" w14:textId="77777777" w:rsidR="00200A8C" w:rsidRDefault="00200A8C" w:rsidP="00200A8C">
      <w:pPr>
        <w:pStyle w:val="NormalWeb"/>
        <w:numPr>
          <w:ilvl w:val="0"/>
          <w:numId w:val="9"/>
        </w:numPr>
      </w:pPr>
      <w:proofErr w:type="gramStart"/>
      <w:r>
        <w:rPr>
          <w:rFonts w:hAnsi="Symbol"/>
        </w:rPr>
        <w:t></w:t>
      </w:r>
      <w:r>
        <w:t xml:space="preserve">  Clark</w:t>
      </w:r>
      <w:proofErr w:type="gramEnd"/>
      <w:r>
        <w:t xml:space="preserve"> JH, Luque R, Matharu AS. Green chemistry, biofuels, and biorefinery. </w:t>
      </w:r>
      <w:proofErr w:type="spellStart"/>
      <w:r>
        <w:rPr>
          <w:rStyle w:val="Emphasis"/>
          <w:rFonts w:eastAsiaTheme="majorEastAsia"/>
        </w:rPr>
        <w:t>Annu</w:t>
      </w:r>
      <w:proofErr w:type="spellEnd"/>
      <w:r>
        <w:rPr>
          <w:rStyle w:val="Emphasis"/>
          <w:rFonts w:eastAsiaTheme="majorEastAsia"/>
        </w:rPr>
        <w:t xml:space="preserve"> Rev Chem </w:t>
      </w:r>
      <w:proofErr w:type="spellStart"/>
      <w:r>
        <w:rPr>
          <w:rStyle w:val="Emphasis"/>
          <w:rFonts w:eastAsiaTheme="majorEastAsia"/>
        </w:rPr>
        <w:t>Biomol</w:t>
      </w:r>
      <w:proofErr w:type="spellEnd"/>
      <w:r>
        <w:rPr>
          <w:rStyle w:val="Emphasis"/>
          <w:rFonts w:eastAsiaTheme="majorEastAsia"/>
        </w:rPr>
        <w:t xml:space="preserve"> Eng</w:t>
      </w:r>
      <w:r>
        <w:t xml:space="preserve">. </w:t>
      </w:r>
      <w:proofErr w:type="gramStart"/>
      <w:r>
        <w:t>2012;3:183</w:t>
      </w:r>
      <w:proofErr w:type="gramEnd"/>
      <w:r>
        <w:t>–207.</w:t>
      </w:r>
    </w:p>
    <w:p w14:paraId="0584385C" w14:textId="77777777" w:rsidR="00200A8C" w:rsidRPr="00A1339A" w:rsidRDefault="00200A8C" w:rsidP="00200A8C">
      <w:pPr>
        <w:pStyle w:val="NormalWeb"/>
        <w:numPr>
          <w:ilvl w:val="0"/>
          <w:numId w:val="9"/>
        </w:numPr>
        <w:rPr>
          <w:highlight w:val="red"/>
        </w:rPr>
      </w:pPr>
      <w:proofErr w:type="gramStart"/>
      <w:r w:rsidRPr="00A1339A">
        <w:rPr>
          <w:rFonts w:hAnsi="Symbol"/>
          <w:highlight w:val="red"/>
        </w:rPr>
        <w:t></w:t>
      </w:r>
      <w:r w:rsidRPr="00A1339A">
        <w:rPr>
          <w:highlight w:val="red"/>
        </w:rPr>
        <w:t xml:space="preserve">  GSK</w:t>
      </w:r>
      <w:proofErr w:type="gramEnd"/>
      <w:r w:rsidRPr="00A1339A">
        <w:rPr>
          <w:highlight w:val="red"/>
        </w:rPr>
        <w:t xml:space="preserve"> Sustainability Report 2024. Available at: https://www.gsk.com/en-gb/sustainability</w:t>
      </w:r>
    </w:p>
    <w:p w14:paraId="3C72CFE1" w14:textId="77777777" w:rsidR="00200A8C" w:rsidRDefault="00200A8C" w:rsidP="00200A8C">
      <w:pPr>
        <w:pStyle w:val="NormalWeb"/>
        <w:numPr>
          <w:ilvl w:val="0"/>
          <w:numId w:val="9"/>
        </w:numPr>
      </w:pPr>
      <w:proofErr w:type="gramStart"/>
      <w:r>
        <w:rPr>
          <w:rFonts w:hAnsi="Symbol"/>
        </w:rPr>
        <w:t></w:t>
      </w:r>
      <w:r>
        <w:t xml:space="preserve">  Anastas</w:t>
      </w:r>
      <w:proofErr w:type="gramEnd"/>
      <w:r>
        <w:t xml:space="preserve"> PT, Warner JC. </w:t>
      </w:r>
      <w:r>
        <w:rPr>
          <w:rStyle w:val="Emphasis"/>
          <w:rFonts w:eastAsiaTheme="majorEastAsia"/>
        </w:rPr>
        <w:t>Green Chemistry: Theory and Practice</w:t>
      </w:r>
      <w:r>
        <w:t>. Oxford University Press; 1998.</w:t>
      </w:r>
    </w:p>
    <w:p w14:paraId="05ACC119" w14:textId="77777777" w:rsidR="002907B8" w:rsidRPr="004E3CE9" w:rsidRDefault="002907B8" w:rsidP="004E3CE9">
      <w:pPr>
        <w:ind w:left="360"/>
        <w:jc w:val="both"/>
        <w:rPr>
          <w:rFonts w:ascii="Times New Roman" w:hAnsi="Times New Roman" w:cs="Times New Roman"/>
        </w:rPr>
      </w:pPr>
    </w:p>
    <w:p w14:paraId="5EC01A87" w14:textId="77777777" w:rsidR="002907B8" w:rsidRPr="00D64B70" w:rsidRDefault="002907B8" w:rsidP="00D64B70">
      <w:pPr>
        <w:jc w:val="both"/>
        <w:rPr>
          <w:rFonts w:ascii="Times New Roman" w:hAnsi="Times New Roman" w:cs="Times New Roman"/>
        </w:rPr>
      </w:pPr>
    </w:p>
    <w:sectPr w:rsidR="002907B8" w:rsidRPr="00D64B7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E1C59" w14:textId="77777777" w:rsidR="00D92D77" w:rsidRDefault="00D92D77" w:rsidP="007B14CD">
      <w:pPr>
        <w:spacing w:after="0" w:line="240" w:lineRule="auto"/>
      </w:pPr>
      <w:r>
        <w:separator/>
      </w:r>
    </w:p>
  </w:endnote>
  <w:endnote w:type="continuationSeparator" w:id="0">
    <w:p w14:paraId="78D3AF51" w14:textId="77777777" w:rsidR="00D92D77" w:rsidRDefault="00D92D77" w:rsidP="007B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7992" w14:textId="77777777" w:rsidR="007B14CD" w:rsidRDefault="007B1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555F" w14:textId="77777777" w:rsidR="007B14CD" w:rsidRDefault="007B1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9E390" w14:textId="77777777" w:rsidR="007B14CD" w:rsidRDefault="007B1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075F1" w14:textId="77777777" w:rsidR="00D92D77" w:rsidRDefault="00D92D77" w:rsidP="007B14CD">
      <w:pPr>
        <w:spacing w:after="0" w:line="240" w:lineRule="auto"/>
      </w:pPr>
      <w:r>
        <w:separator/>
      </w:r>
    </w:p>
  </w:footnote>
  <w:footnote w:type="continuationSeparator" w:id="0">
    <w:p w14:paraId="24E7166A" w14:textId="77777777" w:rsidR="00D92D77" w:rsidRDefault="00D92D77" w:rsidP="007B1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D74A6" w14:textId="17D796B9" w:rsidR="007B14CD" w:rsidRDefault="00DA222E">
    <w:pPr>
      <w:pStyle w:val="Header"/>
    </w:pPr>
    <w:r>
      <w:rPr>
        <w:noProof/>
      </w:rPr>
      <w:pict w14:anchorId="23DAB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628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C16B6" w14:textId="117F4A69" w:rsidR="007B14CD" w:rsidRDefault="00DA222E">
    <w:pPr>
      <w:pStyle w:val="Header"/>
    </w:pPr>
    <w:r>
      <w:rPr>
        <w:noProof/>
      </w:rPr>
      <w:pict w14:anchorId="2E050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628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DBBB" w14:textId="23CAA9EB" w:rsidR="007B14CD" w:rsidRDefault="00DA222E">
    <w:pPr>
      <w:pStyle w:val="Header"/>
    </w:pPr>
    <w:r>
      <w:rPr>
        <w:noProof/>
      </w:rPr>
      <w:pict w14:anchorId="43E42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628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08A9"/>
    <w:multiLevelType w:val="multilevel"/>
    <w:tmpl w:val="CC5A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92ED3"/>
    <w:multiLevelType w:val="multilevel"/>
    <w:tmpl w:val="1BF6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62BA9"/>
    <w:multiLevelType w:val="hybridMultilevel"/>
    <w:tmpl w:val="6888B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4042A"/>
    <w:multiLevelType w:val="multilevel"/>
    <w:tmpl w:val="FB98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57867"/>
    <w:multiLevelType w:val="multilevel"/>
    <w:tmpl w:val="AF9E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F7F26"/>
    <w:multiLevelType w:val="multilevel"/>
    <w:tmpl w:val="6BEC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D92C1C"/>
    <w:multiLevelType w:val="multilevel"/>
    <w:tmpl w:val="F4CE4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940C53"/>
    <w:multiLevelType w:val="multilevel"/>
    <w:tmpl w:val="DE68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694ACD"/>
    <w:multiLevelType w:val="multilevel"/>
    <w:tmpl w:val="AE4AD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8B028F"/>
    <w:multiLevelType w:val="multilevel"/>
    <w:tmpl w:val="C35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D86B3E"/>
    <w:multiLevelType w:val="multilevel"/>
    <w:tmpl w:val="D034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0386F"/>
    <w:multiLevelType w:val="multilevel"/>
    <w:tmpl w:val="7194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C754B7"/>
    <w:multiLevelType w:val="multilevel"/>
    <w:tmpl w:val="7372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28042E"/>
    <w:multiLevelType w:val="multilevel"/>
    <w:tmpl w:val="F200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514B2A"/>
    <w:multiLevelType w:val="multilevel"/>
    <w:tmpl w:val="AD42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1"/>
  </w:num>
  <w:num w:numId="3">
    <w:abstractNumId w:val="13"/>
  </w:num>
  <w:num w:numId="4">
    <w:abstractNumId w:val="4"/>
  </w:num>
  <w:num w:numId="5">
    <w:abstractNumId w:val="9"/>
  </w:num>
  <w:num w:numId="6">
    <w:abstractNumId w:val="7"/>
  </w:num>
  <w:num w:numId="7">
    <w:abstractNumId w:val="12"/>
  </w:num>
  <w:num w:numId="8">
    <w:abstractNumId w:val="0"/>
  </w:num>
  <w:num w:numId="9">
    <w:abstractNumId w:val="2"/>
  </w:num>
  <w:num w:numId="10">
    <w:abstractNumId w:val="6"/>
  </w:num>
  <w:num w:numId="11">
    <w:abstractNumId w:val="10"/>
  </w:num>
  <w:num w:numId="12">
    <w:abstractNumId w:val="14"/>
  </w:num>
  <w:num w:numId="13">
    <w:abstractNumId w:val="1"/>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NTQyMjAzMzU0NTZS0lEKTi0uzszPAykwqgUAKklqKSwAAAA="/>
  </w:docVars>
  <w:rsids>
    <w:rsidRoot w:val="00DA3CDD"/>
    <w:rsid w:val="00022BA4"/>
    <w:rsid w:val="0007623E"/>
    <w:rsid w:val="00097316"/>
    <w:rsid w:val="000A353D"/>
    <w:rsid w:val="001713C7"/>
    <w:rsid w:val="001C09A3"/>
    <w:rsid w:val="00200A8C"/>
    <w:rsid w:val="00241F44"/>
    <w:rsid w:val="002907B8"/>
    <w:rsid w:val="00331C56"/>
    <w:rsid w:val="00360878"/>
    <w:rsid w:val="003834F5"/>
    <w:rsid w:val="003D548A"/>
    <w:rsid w:val="004A1FEE"/>
    <w:rsid w:val="004C4DCF"/>
    <w:rsid w:val="004E3CE9"/>
    <w:rsid w:val="00557664"/>
    <w:rsid w:val="00561ED4"/>
    <w:rsid w:val="005C5950"/>
    <w:rsid w:val="00631041"/>
    <w:rsid w:val="0066177C"/>
    <w:rsid w:val="007B14CD"/>
    <w:rsid w:val="007B15F4"/>
    <w:rsid w:val="007B791F"/>
    <w:rsid w:val="0084643B"/>
    <w:rsid w:val="008F5028"/>
    <w:rsid w:val="0091340A"/>
    <w:rsid w:val="00A1339A"/>
    <w:rsid w:val="00A62E40"/>
    <w:rsid w:val="00B044C9"/>
    <w:rsid w:val="00BB6B7B"/>
    <w:rsid w:val="00BE4A4D"/>
    <w:rsid w:val="00D5256A"/>
    <w:rsid w:val="00D64B70"/>
    <w:rsid w:val="00D92D77"/>
    <w:rsid w:val="00DA222E"/>
    <w:rsid w:val="00DA3CDD"/>
    <w:rsid w:val="00DA7AF7"/>
    <w:rsid w:val="00E15F1D"/>
    <w:rsid w:val="00F35F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B37BAEB"/>
  <w15:chartTrackingRefBased/>
  <w15:docId w15:val="{D000FA7B-5998-4C5E-84B9-C5A722E4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3CDD"/>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unhideWhenUsed/>
    <w:qFormat/>
    <w:rsid w:val="00DA3CDD"/>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DA3CDD"/>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DA3C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A3C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3C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3C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3C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3C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3CDD"/>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DA3CDD"/>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DA3CDD"/>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DA3C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A3C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3C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3C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3C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3CDD"/>
    <w:rPr>
      <w:rFonts w:eastAsiaTheme="majorEastAsia" w:cstheme="majorBidi"/>
      <w:color w:val="272727" w:themeColor="text1" w:themeTint="D8"/>
    </w:rPr>
  </w:style>
  <w:style w:type="paragraph" w:styleId="Title">
    <w:name w:val="Title"/>
    <w:basedOn w:val="Normal"/>
    <w:next w:val="Normal"/>
    <w:link w:val="TitleChar"/>
    <w:uiPriority w:val="10"/>
    <w:qFormat/>
    <w:rsid w:val="00DA3CDD"/>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DA3CDD"/>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DA3CDD"/>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DA3CDD"/>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DA3CDD"/>
    <w:pPr>
      <w:spacing w:before="160"/>
      <w:jc w:val="center"/>
    </w:pPr>
    <w:rPr>
      <w:i/>
      <w:iCs/>
      <w:color w:val="404040" w:themeColor="text1" w:themeTint="BF"/>
    </w:rPr>
  </w:style>
  <w:style w:type="character" w:customStyle="1" w:styleId="QuoteChar">
    <w:name w:val="Quote Char"/>
    <w:basedOn w:val="DefaultParagraphFont"/>
    <w:link w:val="Quote"/>
    <w:uiPriority w:val="29"/>
    <w:rsid w:val="00DA3CDD"/>
    <w:rPr>
      <w:i/>
      <w:iCs/>
      <w:color w:val="404040" w:themeColor="text1" w:themeTint="BF"/>
    </w:rPr>
  </w:style>
  <w:style w:type="paragraph" w:styleId="ListParagraph">
    <w:name w:val="List Paragraph"/>
    <w:basedOn w:val="Normal"/>
    <w:uiPriority w:val="34"/>
    <w:qFormat/>
    <w:rsid w:val="00DA3CDD"/>
    <w:pPr>
      <w:ind w:left="720"/>
      <w:contextualSpacing/>
    </w:pPr>
  </w:style>
  <w:style w:type="character" w:styleId="IntenseEmphasis">
    <w:name w:val="Intense Emphasis"/>
    <w:basedOn w:val="DefaultParagraphFont"/>
    <w:uiPriority w:val="21"/>
    <w:qFormat/>
    <w:rsid w:val="00DA3CDD"/>
    <w:rPr>
      <w:i/>
      <w:iCs/>
      <w:color w:val="2F5496" w:themeColor="accent1" w:themeShade="BF"/>
    </w:rPr>
  </w:style>
  <w:style w:type="paragraph" w:styleId="IntenseQuote">
    <w:name w:val="Intense Quote"/>
    <w:basedOn w:val="Normal"/>
    <w:next w:val="Normal"/>
    <w:link w:val="IntenseQuoteChar"/>
    <w:uiPriority w:val="30"/>
    <w:qFormat/>
    <w:rsid w:val="00DA3C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3CDD"/>
    <w:rPr>
      <w:i/>
      <w:iCs/>
      <w:color w:val="2F5496" w:themeColor="accent1" w:themeShade="BF"/>
    </w:rPr>
  </w:style>
  <w:style w:type="character" w:styleId="IntenseReference">
    <w:name w:val="Intense Reference"/>
    <w:basedOn w:val="DefaultParagraphFont"/>
    <w:uiPriority w:val="32"/>
    <w:qFormat/>
    <w:rsid w:val="00DA3CDD"/>
    <w:rPr>
      <w:b/>
      <w:bCs/>
      <w:smallCaps/>
      <w:color w:val="2F5496" w:themeColor="accent1" w:themeShade="BF"/>
      <w:spacing w:val="5"/>
    </w:rPr>
  </w:style>
  <w:style w:type="paragraph" w:styleId="NormalWeb">
    <w:name w:val="Normal (Web)"/>
    <w:basedOn w:val="Normal"/>
    <w:uiPriority w:val="99"/>
    <w:semiHidden/>
    <w:unhideWhenUsed/>
    <w:rsid w:val="002907B8"/>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Emphasis">
    <w:name w:val="Emphasis"/>
    <w:basedOn w:val="DefaultParagraphFont"/>
    <w:uiPriority w:val="20"/>
    <w:qFormat/>
    <w:rsid w:val="002907B8"/>
    <w:rPr>
      <w:i/>
      <w:iCs/>
    </w:rPr>
  </w:style>
  <w:style w:type="table" w:styleId="TableGrid">
    <w:name w:val="Table Grid"/>
    <w:basedOn w:val="TableNormal"/>
    <w:uiPriority w:val="39"/>
    <w:rsid w:val="00290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0A8C"/>
    <w:rPr>
      <w:color w:val="0000FF"/>
      <w:u w:val="single"/>
    </w:rPr>
  </w:style>
  <w:style w:type="character" w:styleId="UnresolvedMention">
    <w:name w:val="Unresolved Mention"/>
    <w:basedOn w:val="DefaultParagraphFont"/>
    <w:uiPriority w:val="99"/>
    <w:semiHidden/>
    <w:unhideWhenUsed/>
    <w:rsid w:val="00DA7AF7"/>
    <w:rPr>
      <w:color w:val="605E5C"/>
      <w:shd w:val="clear" w:color="auto" w:fill="E1DFDD"/>
    </w:rPr>
  </w:style>
  <w:style w:type="paragraph" w:styleId="Header">
    <w:name w:val="header"/>
    <w:basedOn w:val="Normal"/>
    <w:link w:val="HeaderChar"/>
    <w:uiPriority w:val="99"/>
    <w:unhideWhenUsed/>
    <w:rsid w:val="007B1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4CD"/>
  </w:style>
  <w:style w:type="paragraph" w:styleId="Footer">
    <w:name w:val="footer"/>
    <w:basedOn w:val="Normal"/>
    <w:link w:val="FooterChar"/>
    <w:uiPriority w:val="99"/>
    <w:unhideWhenUsed/>
    <w:rsid w:val="007B1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greenchemistry"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440</TotalTime>
  <Pages>22</Pages>
  <Words>7082</Words>
  <Characters>47012</Characters>
  <Application>Microsoft Office Word</Application>
  <DocSecurity>0</DocSecurity>
  <Lines>391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PC New 16</cp:lastModifiedBy>
  <cp:revision>19</cp:revision>
  <dcterms:created xsi:type="dcterms:W3CDTF">2025-08-25T05:49:00Z</dcterms:created>
  <dcterms:modified xsi:type="dcterms:W3CDTF">2025-09-17T12:54:00Z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c8633c08-7152-498a-94ed-adad1c46c7d5</vt:lpwstr>
  </property>
</Properties>
</file>