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C3C0" w14:textId="4BA3792E" w:rsidR="00A258C3" w:rsidRDefault="009032EB" w:rsidP="00441B6F">
      <w:pPr>
        <w:pStyle w:val="Author"/>
        <w:spacing w:line="240" w:lineRule="auto"/>
        <w:jc w:val="both"/>
        <w:rPr>
          <w:rFonts w:ascii="Arial" w:hAnsi="Arial" w:cs="Arial"/>
          <w:bCs/>
          <w:iCs/>
          <w:kern w:val="28"/>
          <w:sz w:val="36"/>
        </w:rPr>
      </w:pPr>
      <w:r w:rsidRPr="009032EB">
        <w:rPr>
          <w:rFonts w:ascii="Arial" w:hAnsi="Arial" w:cs="Arial"/>
          <w:bCs/>
          <w:iCs/>
          <w:kern w:val="28"/>
          <w:sz w:val="36"/>
        </w:rPr>
        <w:t>Prevalence of Cohabitation and Emergency Contraceptive Use Among Female Undergraduates in Obafemi Awolowo University, Ile-Ife, Osun State</w:t>
      </w:r>
    </w:p>
    <w:p w14:paraId="56B12914" w14:textId="77777777" w:rsidR="002457B3" w:rsidRPr="00790ADA" w:rsidRDefault="002457B3" w:rsidP="00441B6F">
      <w:pPr>
        <w:pStyle w:val="Author"/>
        <w:spacing w:line="240" w:lineRule="auto"/>
        <w:jc w:val="both"/>
        <w:rPr>
          <w:rFonts w:ascii="Arial" w:hAnsi="Arial" w:cs="Arial"/>
          <w:sz w:val="36"/>
        </w:rPr>
      </w:pPr>
    </w:p>
    <w:p w14:paraId="64668C1C" w14:textId="77777777" w:rsidR="00962EA0" w:rsidRPr="00FB3A86" w:rsidRDefault="00962EA0" w:rsidP="00441B6F">
      <w:pPr>
        <w:pStyle w:val="Affiliation"/>
        <w:spacing w:after="0" w:line="240" w:lineRule="auto"/>
        <w:jc w:val="both"/>
        <w:rPr>
          <w:rFonts w:ascii="Arial" w:hAnsi="Arial" w:cs="Arial"/>
        </w:rPr>
      </w:pPr>
    </w:p>
    <w:p w14:paraId="42390A47" w14:textId="1A6E31E4" w:rsidR="00B01FCD" w:rsidRPr="00FB3A86" w:rsidRDefault="009032EB" w:rsidP="00441B6F">
      <w:pPr>
        <w:pStyle w:val="Copyright"/>
        <w:spacing w:after="0" w:line="240" w:lineRule="auto"/>
        <w:jc w:val="both"/>
        <w:rPr>
          <w:rFonts w:ascii="Arial" w:hAnsi="Arial" w:cs="Arial"/>
        </w:rPr>
        <w:sectPr w:rsidR="00B01FCD" w:rsidRPr="00FB3A86" w:rsidSect="007E2C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A9EE5D" wp14:editId="41349CBF">
                <wp:extent cx="5303520" cy="635"/>
                <wp:effectExtent l="13335" t="13335" r="17145" b="15240"/>
                <wp:docPr id="7725233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BCCD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14C30A5" w14:textId="1169C98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F2DE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CB1A299" w14:textId="77777777" w:rsidTr="001E44FE">
        <w:tc>
          <w:tcPr>
            <w:tcW w:w="9576" w:type="dxa"/>
            <w:shd w:val="clear" w:color="auto" w:fill="F2F2F2"/>
          </w:tcPr>
          <w:p w14:paraId="7FD881C2" w14:textId="77777777" w:rsidR="001A7841" w:rsidRPr="001A7841" w:rsidRDefault="001A7841" w:rsidP="001A7841">
            <w:pPr>
              <w:pStyle w:val="Body"/>
              <w:rPr>
                <w:rFonts w:ascii="Arial" w:eastAsia="Calibri" w:hAnsi="Arial" w:cs="Arial"/>
                <w:bCs/>
                <w:szCs w:val="22"/>
              </w:rPr>
            </w:pPr>
            <w:r w:rsidRPr="001A7841">
              <w:rPr>
                <w:rFonts w:ascii="Arial" w:eastAsia="Calibri" w:hAnsi="Arial" w:cs="Arial"/>
                <w:b/>
                <w:szCs w:val="22"/>
              </w:rPr>
              <w:t xml:space="preserve">Aims: </w:t>
            </w:r>
            <w:r w:rsidRPr="001A7841">
              <w:rPr>
                <w:rFonts w:ascii="Arial" w:eastAsia="Calibri" w:hAnsi="Arial" w:cs="Arial"/>
                <w:bCs/>
                <w:szCs w:val="22"/>
              </w:rPr>
              <w:t>This study examined cohabitation practices and emergency contraceptive (EC) use among female undergraduates at Obafemi Awolowo University, Ile-Ife.</w:t>
            </w:r>
          </w:p>
          <w:p w14:paraId="2FF6DA8D" w14:textId="7DFBAC76" w:rsidR="001A7841" w:rsidRPr="001A7841" w:rsidRDefault="001A7841" w:rsidP="001A7841">
            <w:pPr>
              <w:pStyle w:val="Body"/>
              <w:rPr>
                <w:rFonts w:ascii="Arial" w:eastAsia="Calibri" w:hAnsi="Arial" w:cs="Arial"/>
                <w:bCs/>
                <w:szCs w:val="22"/>
              </w:rPr>
            </w:pPr>
            <w:r w:rsidRPr="001A7841">
              <w:rPr>
                <w:rFonts w:ascii="Arial" w:eastAsia="Calibri" w:hAnsi="Arial" w:cs="Arial"/>
                <w:b/>
                <w:szCs w:val="22"/>
              </w:rPr>
              <w:t>Background:</w:t>
            </w:r>
            <w:r>
              <w:rPr>
                <w:rFonts w:ascii="Arial" w:eastAsia="Calibri" w:hAnsi="Arial" w:cs="Arial"/>
                <w:b/>
                <w:szCs w:val="22"/>
              </w:rPr>
              <w:t xml:space="preserve"> </w:t>
            </w:r>
            <w:r w:rsidRPr="001A7841">
              <w:rPr>
                <w:rFonts w:ascii="Arial" w:eastAsia="Calibri" w:hAnsi="Arial" w:cs="Arial"/>
                <w:bCs/>
                <w:szCs w:val="22"/>
              </w:rPr>
              <w:t>Cohabitation and premarital sexual relationships among undergraduates are increasing in African universities. These trends have significant reproductive health implications, including unintended pregnancies and unsafe abortions. Emergency contraception (EC) provides an important preventive measure, yet its use among cohabiting female undergraduates remains underexplored.</w:t>
            </w:r>
          </w:p>
          <w:p w14:paraId="2C2B1C6E" w14:textId="77777777" w:rsidR="001A7841" w:rsidRPr="001A7841" w:rsidRDefault="001A7841" w:rsidP="001A7841">
            <w:pPr>
              <w:pStyle w:val="Body"/>
              <w:rPr>
                <w:rFonts w:ascii="Arial" w:eastAsia="Calibri" w:hAnsi="Arial" w:cs="Arial"/>
                <w:bCs/>
                <w:szCs w:val="22"/>
              </w:rPr>
            </w:pPr>
            <w:r w:rsidRPr="001A7841">
              <w:rPr>
                <w:rFonts w:ascii="Arial" w:eastAsia="Calibri" w:hAnsi="Arial" w:cs="Arial"/>
                <w:b/>
                <w:szCs w:val="22"/>
              </w:rPr>
              <w:t xml:space="preserve">Objectives: </w:t>
            </w:r>
            <w:r w:rsidRPr="001A7841">
              <w:rPr>
                <w:rFonts w:ascii="Arial" w:eastAsia="Calibri" w:hAnsi="Arial" w:cs="Arial"/>
                <w:bCs/>
                <w:szCs w:val="22"/>
              </w:rPr>
              <w:t>The study assessed the prevalence of cohabitation and EC use, explored female students' perception of cohabitation and EC use, identified cohabitation outcomes, and examined associated factors among female undergraduates at Obafemi Awolowo University, Ile-Ife.</w:t>
            </w:r>
          </w:p>
          <w:p w14:paraId="0CEE6D33" w14:textId="77777777" w:rsidR="001A7841" w:rsidRPr="001A7841" w:rsidRDefault="001A7841" w:rsidP="001A7841">
            <w:pPr>
              <w:pStyle w:val="Body"/>
              <w:rPr>
                <w:rFonts w:ascii="Arial" w:eastAsia="Calibri" w:hAnsi="Arial" w:cs="Arial"/>
                <w:bCs/>
                <w:szCs w:val="22"/>
              </w:rPr>
            </w:pPr>
            <w:r w:rsidRPr="001A7841">
              <w:rPr>
                <w:rFonts w:ascii="Arial" w:eastAsia="Calibri" w:hAnsi="Arial" w:cs="Arial"/>
                <w:b/>
                <w:szCs w:val="22"/>
              </w:rPr>
              <w:t xml:space="preserve">Materials and Methods: </w:t>
            </w:r>
            <w:r w:rsidRPr="001A7841">
              <w:rPr>
                <w:rFonts w:ascii="Arial" w:eastAsia="Calibri" w:hAnsi="Arial" w:cs="Arial"/>
                <w:bCs/>
                <w:szCs w:val="22"/>
              </w:rPr>
              <w:t>A descriptive cross-sectional survey was conducted among 308 female undergraduates. Data were collected with a structured questionnaire and analyzed using descriptive statistics, Chi-square test, and multivariate logistic regression with SPSS version 25 (IBM Corp., Armonk, NY, USA).</w:t>
            </w:r>
          </w:p>
          <w:p w14:paraId="31DFEAB6" w14:textId="77777777" w:rsidR="001A7841" w:rsidRPr="001A7841" w:rsidRDefault="001A7841" w:rsidP="001A7841">
            <w:pPr>
              <w:pStyle w:val="Body"/>
              <w:rPr>
                <w:rFonts w:ascii="Arial" w:eastAsia="Calibri" w:hAnsi="Arial" w:cs="Arial"/>
                <w:b/>
                <w:szCs w:val="22"/>
              </w:rPr>
            </w:pPr>
            <w:r w:rsidRPr="001A7841">
              <w:rPr>
                <w:rFonts w:ascii="Arial" w:eastAsia="Calibri" w:hAnsi="Arial" w:cs="Arial"/>
                <w:b/>
                <w:szCs w:val="22"/>
              </w:rPr>
              <w:t>Results</w:t>
            </w:r>
            <w:r w:rsidRPr="001A7841">
              <w:rPr>
                <w:rFonts w:ascii="Arial" w:eastAsia="Calibri" w:hAnsi="Arial" w:cs="Arial"/>
                <w:bCs/>
                <w:szCs w:val="22"/>
              </w:rPr>
              <w:t>: 5.8% were currently cohabiting and 9.7% had previously cohabited. EC use prevalence was 56%, with 51% reporting positive perceptions of cohabitation and EC utilization. Most participants were single (98.1%), while 1.9% were married, which may influence the interpretation of results. Reproductive/sexual history was significantly associated with cohabitation (X²=46.687; p=0.001), and perception of cohabitation &amp; EC use was significantly associated with actual usage (X²=16.009; p=0.001). Multiple logistic regression identified abandonment of valued African culture as the only significant predictor of cohabitation (p=0.000).</w:t>
            </w:r>
            <w:r w:rsidRPr="001A7841">
              <w:rPr>
                <w:rFonts w:ascii="Arial" w:eastAsia="Calibri" w:hAnsi="Arial" w:cs="Arial"/>
                <w:b/>
                <w:szCs w:val="22"/>
              </w:rPr>
              <w:t xml:space="preserve"> </w:t>
            </w:r>
          </w:p>
          <w:p w14:paraId="70DBD61A" w14:textId="793AC4D7" w:rsidR="00505F06" w:rsidRPr="00DF34AE" w:rsidRDefault="001A7841" w:rsidP="001A7841">
            <w:pPr>
              <w:pStyle w:val="Body"/>
              <w:spacing w:after="0"/>
              <w:rPr>
                <w:rFonts w:ascii="Arial" w:eastAsia="Calibri" w:hAnsi="Arial" w:cs="Arial"/>
                <w:bCs/>
                <w:szCs w:val="22"/>
              </w:rPr>
            </w:pPr>
            <w:r w:rsidRPr="001A7841">
              <w:rPr>
                <w:rFonts w:ascii="Arial" w:eastAsia="Calibri" w:hAnsi="Arial" w:cs="Arial"/>
                <w:b/>
                <w:szCs w:val="22"/>
              </w:rPr>
              <w:t xml:space="preserve">Conclusion: </w:t>
            </w:r>
            <w:r w:rsidRPr="001A7841">
              <w:rPr>
                <w:rFonts w:ascii="Arial" w:eastAsia="Calibri" w:hAnsi="Arial" w:cs="Arial"/>
                <w:bCs/>
                <w:szCs w:val="22"/>
              </w:rPr>
              <w:t>The prevalence of cohabitation was low, while EC use was relatively high. Strengthening sexual health education, counseling, and access to EC services within universities could reduce unintended pregnancies and unsafe abortions among students</w:t>
            </w:r>
            <w:r>
              <w:rPr>
                <w:rFonts w:ascii="Arial" w:eastAsia="Calibri" w:hAnsi="Arial" w:cs="Arial"/>
                <w:bCs/>
                <w:szCs w:val="22"/>
              </w:rPr>
              <w:t>.</w:t>
            </w:r>
          </w:p>
        </w:tc>
      </w:tr>
    </w:tbl>
    <w:p w14:paraId="05B7AADE" w14:textId="77777777" w:rsidR="00636EB2" w:rsidRDefault="00636EB2" w:rsidP="00441B6F">
      <w:pPr>
        <w:pStyle w:val="Body"/>
        <w:spacing w:after="0"/>
        <w:rPr>
          <w:rFonts w:ascii="Arial" w:hAnsi="Arial" w:cs="Arial"/>
          <w:i/>
        </w:rPr>
      </w:pPr>
    </w:p>
    <w:p w14:paraId="7222AD9C" w14:textId="029CC5E0" w:rsidR="00A24E7E" w:rsidRDefault="00A24E7E" w:rsidP="00441B6F">
      <w:pPr>
        <w:pStyle w:val="Body"/>
        <w:spacing w:after="0"/>
        <w:rPr>
          <w:rFonts w:ascii="Arial" w:hAnsi="Arial" w:cs="Arial"/>
          <w:i/>
        </w:rPr>
      </w:pPr>
      <w:r>
        <w:rPr>
          <w:rFonts w:ascii="Arial" w:hAnsi="Arial" w:cs="Arial"/>
          <w:i/>
        </w:rPr>
        <w:t xml:space="preserve">Keywords: </w:t>
      </w:r>
      <w:r w:rsidR="00B24ADF" w:rsidRPr="00B24ADF">
        <w:rPr>
          <w:rFonts w:ascii="Arial" w:hAnsi="Arial" w:cs="Arial"/>
          <w:i/>
        </w:rPr>
        <w:t>Prevalence, Perception, Cohabitation, Emergency Contraception</w:t>
      </w:r>
    </w:p>
    <w:p w14:paraId="376B24E5" w14:textId="77777777" w:rsidR="00790ADA" w:rsidRDefault="00790ADA" w:rsidP="00441B6F">
      <w:pPr>
        <w:pStyle w:val="Body"/>
        <w:spacing w:after="0"/>
        <w:rPr>
          <w:rFonts w:ascii="Arial" w:hAnsi="Arial" w:cs="Arial"/>
          <w:i/>
        </w:rPr>
      </w:pPr>
    </w:p>
    <w:p w14:paraId="5DAC30AB" w14:textId="05C25C5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1D3FABF" w14:textId="77777777" w:rsidR="00790ADA" w:rsidRPr="00FB3A86" w:rsidRDefault="00790ADA" w:rsidP="00441B6F">
      <w:pPr>
        <w:pStyle w:val="AbstHead"/>
        <w:spacing w:after="0"/>
        <w:jc w:val="both"/>
        <w:rPr>
          <w:rFonts w:ascii="Arial" w:hAnsi="Arial" w:cs="Arial"/>
        </w:rPr>
      </w:pPr>
    </w:p>
    <w:p w14:paraId="4E5A49C2" w14:textId="77777777" w:rsidR="001A7841" w:rsidRPr="001A7841" w:rsidRDefault="001A7841" w:rsidP="001A7841">
      <w:pPr>
        <w:pStyle w:val="Body"/>
        <w:rPr>
          <w:rFonts w:ascii="Arial" w:hAnsi="Arial" w:cs="Arial"/>
        </w:rPr>
      </w:pPr>
      <w:r w:rsidRPr="001A7841">
        <w:rPr>
          <w:rFonts w:ascii="Arial" w:hAnsi="Arial" w:cs="Arial"/>
        </w:rPr>
        <w:t xml:space="preserve">Cohabitation has become increasingly common among young adults and is now widely recognized in national surveys [1]. It is described as an intimate union between two unmarried partners living together for a sustained time [2]. Among undergraduates, the transition to </w:t>
      </w:r>
      <w:r w:rsidRPr="001A7841">
        <w:rPr>
          <w:rFonts w:ascii="Arial" w:hAnsi="Arial" w:cs="Arial"/>
        </w:rPr>
        <w:lastRenderedPageBreak/>
        <w:t>higher education provides increased independence from parental control, contributing to cohabitation's popularity. This is further supported by changing sexual norms, relaxed institutional regulations, and the availability of private student housing [2,3].</w:t>
      </w:r>
    </w:p>
    <w:p w14:paraId="78CC7416" w14:textId="77777777" w:rsidR="001A7841" w:rsidRPr="001A7841" w:rsidRDefault="001A7841" w:rsidP="001A7841">
      <w:pPr>
        <w:pStyle w:val="Body"/>
        <w:rPr>
          <w:rFonts w:ascii="Arial" w:hAnsi="Arial" w:cs="Arial"/>
        </w:rPr>
      </w:pPr>
      <w:r w:rsidRPr="001A7841">
        <w:rPr>
          <w:rFonts w:ascii="Arial" w:hAnsi="Arial" w:cs="Arial"/>
        </w:rPr>
        <w:t>Evidence from African settings indicates that student cohabitation is associated with numerous adverse outcomes, including unintended pregnancies, sexually transmitted infections, unsafe abortions, sexual abuse, and poor academic performance [4,6]. Unintended pregnancy remains a significant public health concern, particularly among sexually active female undergraduates exposed to unprotected premarital intercourse.</w:t>
      </w:r>
    </w:p>
    <w:p w14:paraId="5BC95B61" w14:textId="568E5D50" w:rsidR="005C3E3E" w:rsidRDefault="001A7841" w:rsidP="001A7841">
      <w:pPr>
        <w:pStyle w:val="Body"/>
        <w:spacing w:after="0"/>
        <w:rPr>
          <w:rFonts w:ascii="Arial" w:hAnsi="Arial" w:cs="Arial"/>
        </w:rPr>
      </w:pPr>
      <w:r w:rsidRPr="001A7841">
        <w:rPr>
          <w:rFonts w:ascii="Arial" w:hAnsi="Arial" w:cs="Arial"/>
        </w:rPr>
        <w:t>Emergency contraception (EC) is a safe and effective method for preventing unintended pregnancy and reducing unsafe abortions, thereby lowering the risk of associated morbidity and mortality among young adults [7,8]. University students represent a high-risk group due to early sexual exploration, peer influence, and the absence of parental guidance [2].</w:t>
      </w:r>
    </w:p>
    <w:p w14:paraId="1680318F" w14:textId="77777777" w:rsidR="001A7841" w:rsidRPr="00FB3A86" w:rsidRDefault="001A7841" w:rsidP="001A7841">
      <w:pPr>
        <w:pStyle w:val="Body"/>
        <w:spacing w:after="0"/>
        <w:rPr>
          <w:rFonts w:ascii="Arial" w:hAnsi="Arial" w:cs="Arial"/>
        </w:rPr>
      </w:pPr>
    </w:p>
    <w:p w14:paraId="7E92E3DD" w14:textId="600D01BA" w:rsidR="00790ADA" w:rsidRDefault="00902823" w:rsidP="00441B6F">
      <w:pPr>
        <w:pStyle w:val="AbstHead"/>
        <w:spacing w:after="0"/>
        <w:jc w:val="both"/>
        <w:rPr>
          <w:rFonts w:ascii="Arial" w:hAnsi="Arial" w:cs="Arial"/>
        </w:rPr>
      </w:pPr>
      <w:r>
        <w:rPr>
          <w:rFonts w:ascii="Arial" w:hAnsi="Arial" w:cs="Arial"/>
        </w:rPr>
        <w:t>2. material</w:t>
      </w:r>
      <w:r w:rsidR="004F55BF">
        <w:rPr>
          <w:rFonts w:ascii="Arial" w:hAnsi="Arial" w:cs="Arial"/>
        </w:rPr>
        <w:t>S</w:t>
      </w:r>
      <w:r>
        <w:rPr>
          <w:rFonts w:ascii="Arial" w:hAnsi="Arial" w:cs="Arial"/>
        </w:rPr>
        <w:t xml:space="preserve"> and method</w:t>
      </w:r>
      <w:r w:rsidR="00000F8F">
        <w:rPr>
          <w:rFonts w:ascii="Arial" w:hAnsi="Arial" w:cs="Arial"/>
        </w:rPr>
        <w:t xml:space="preserve">s </w:t>
      </w:r>
    </w:p>
    <w:p w14:paraId="47843668" w14:textId="77777777" w:rsidR="00DF34AE" w:rsidRDefault="00DF34AE" w:rsidP="00441B6F">
      <w:pPr>
        <w:pStyle w:val="AbstHead"/>
        <w:spacing w:after="0"/>
        <w:jc w:val="both"/>
        <w:rPr>
          <w:rFonts w:ascii="Arial" w:hAnsi="Arial" w:cs="Arial"/>
        </w:rPr>
      </w:pPr>
    </w:p>
    <w:p w14:paraId="39FEE997" w14:textId="77777777" w:rsidR="00DF34AE" w:rsidRPr="00FB3A86" w:rsidRDefault="00DF34AE" w:rsidP="00441B6F">
      <w:pPr>
        <w:pStyle w:val="AbstHead"/>
        <w:spacing w:after="0"/>
        <w:jc w:val="both"/>
        <w:rPr>
          <w:rFonts w:ascii="Arial" w:hAnsi="Arial" w:cs="Arial"/>
        </w:rPr>
      </w:pPr>
    </w:p>
    <w:p w14:paraId="05D518B4" w14:textId="77777777" w:rsidR="001A7841" w:rsidRPr="001A7841" w:rsidRDefault="001A7841" w:rsidP="001A7841">
      <w:pPr>
        <w:pStyle w:val="Body"/>
        <w:rPr>
          <w:rFonts w:ascii="Arial" w:hAnsi="Arial" w:cs="Arial"/>
        </w:rPr>
      </w:pPr>
      <w:r w:rsidRPr="001A7841">
        <w:rPr>
          <w:rFonts w:ascii="Arial" w:hAnsi="Arial" w:cs="Arial"/>
        </w:rPr>
        <w:t xml:space="preserve">This study employed a descriptive cross-sectional design to assess the prevalence of cohabitation and emergency contraceptive use among female undergraduates. It was conducted at Obafemi Awolowo University, Ile-Ife, Osun State, Nigeria, one of the country's leading tertiary institutions. The study population comprised female undergraduates residing in private off-campus accommodations during the data collection period. Inclusion criteria were all female students living off-campus, while those who were ill or declined participation were excluded. </w:t>
      </w:r>
    </w:p>
    <w:p w14:paraId="5B2171FA" w14:textId="77777777" w:rsidR="001A7841" w:rsidRPr="001A7841" w:rsidRDefault="001A7841" w:rsidP="001A7841">
      <w:pPr>
        <w:pStyle w:val="Body"/>
        <w:rPr>
          <w:rFonts w:ascii="Arial" w:hAnsi="Arial" w:cs="Arial"/>
        </w:rPr>
      </w:pPr>
      <w:r w:rsidRPr="001A7841">
        <w:rPr>
          <w:rFonts w:ascii="Arial" w:hAnsi="Arial" w:cs="Arial"/>
        </w:rPr>
        <w:t>Sample size determination</w:t>
      </w:r>
    </w:p>
    <w:p w14:paraId="2D1E73B1" w14:textId="77777777" w:rsidR="001A7841" w:rsidRPr="001A7841" w:rsidRDefault="001A7841" w:rsidP="001A7841">
      <w:pPr>
        <w:pStyle w:val="Body"/>
        <w:rPr>
          <w:rFonts w:ascii="Arial" w:hAnsi="Arial" w:cs="Arial"/>
        </w:rPr>
      </w:pPr>
      <w:r w:rsidRPr="001A7841">
        <w:rPr>
          <w:rFonts w:ascii="Arial" w:hAnsi="Arial" w:cs="Arial"/>
        </w:rPr>
        <w:t>The sample size was calculated using Cochran's formula at a 95% confidence interval, assuming a prevalence of 76% for EC awareness and utilization based on a prior study in a similar population [5]. A 5% margin of error was adopted. After adjusting for a 10% non-response rate, the final sample size was 308.</w:t>
      </w:r>
    </w:p>
    <w:p w14:paraId="0449080C" w14:textId="77777777" w:rsidR="001A7841" w:rsidRPr="001A7841" w:rsidRDefault="001A7841" w:rsidP="001A7841">
      <w:pPr>
        <w:pStyle w:val="Body"/>
        <w:rPr>
          <w:rFonts w:ascii="Arial" w:hAnsi="Arial" w:cs="Arial"/>
        </w:rPr>
      </w:pPr>
      <w:r w:rsidRPr="001A7841">
        <w:rPr>
          <w:rFonts w:ascii="Arial" w:hAnsi="Arial" w:cs="Arial"/>
        </w:rPr>
        <w:t>Sampling technique</w:t>
      </w:r>
    </w:p>
    <w:p w14:paraId="00C6776D" w14:textId="77777777" w:rsidR="001A7841" w:rsidRPr="001A7841" w:rsidRDefault="001A7841" w:rsidP="001A7841">
      <w:pPr>
        <w:pStyle w:val="Body"/>
        <w:rPr>
          <w:rFonts w:ascii="Arial" w:hAnsi="Arial" w:cs="Arial"/>
        </w:rPr>
      </w:pPr>
      <w:r w:rsidRPr="001A7841">
        <w:rPr>
          <w:rFonts w:ascii="Arial" w:hAnsi="Arial" w:cs="Arial"/>
        </w:rPr>
        <w:t>A convenience sampling method was used to recruit participants. While this approach enabled easy access to respondents, it limits representativeness, and findings should be interpreted cautiously.</w:t>
      </w:r>
    </w:p>
    <w:p w14:paraId="58E03383" w14:textId="77777777" w:rsidR="001A7841" w:rsidRPr="001A7841" w:rsidRDefault="001A7841" w:rsidP="001A7841">
      <w:pPr>
        <w:pStyle w:val="Body"/>
        <w:rPr>
          <w:rFonts w:ascii="Arial" w:hAnsi="Arial" w:cs="Arial"/>
        </w:rPr>
      </w:pPr>
      <w:r w:rsidRPr="001A7841">
        <w:rPr>
          <w:rFonts w:ascii="Arial" w:hAnsi="Arial" w:cs="Arial"/>
        </w:rPr>
        <w:t>Measurement tool</w:t>
      </w:r>
    </w:p>
    <w:p w14:paraId="2C251B28" w14:textId="77777777" w:rsidR="001A7841" w:rsidRDefault="001A7841" w:rsidP="001A7841">
      <w:pPr>
        <w:pStyle w:val="Body"/>
        <w:rPr>
          <w:rFonts w:ascii="Arial" w:hAnsi="Arial" w:cs="Arial"/>
        </w:rPr>
      </w:pPr>
      <w:r w:rsidRPr="001A7841">
        <w:rPr>
          <w:rFonts w:ascii="Arial" w:hAnsi="Arial" w:cs="Arial"/>
        </w:rPr>
        <w:t>Data were collected using a structured self-administered questionnaire consisting of six sections: socio-demographic characteristics, prevalence of cohabitation, perception of cohabitation and EC, factors influencing cohabitation, prevalence of EC use, and outcomes of cohabitation. Items were developed from a literature review and underwent face and content validation by public health and reproductive health experts. A pre-test was conducted on 30 students from a nearby tertiary institution, and adjustments were made to improve clarity and consistency. Internal reliability was assessed, and the Cronbach's alpha for key domains was 0.81, indicating good internal consistency.</w:t>
      </w:r>
    </w:p>
    <w:p w14:paraId="48D05DFB" w14:textId="77777777" w:rsidR="001A7841" w:rsidRDefault="001A7841" w:rsidP="001A7841">
      <w:pPr>
        <w:pStyle w:val="Body"/>
        <w:rPr>
          <w:rFonts w:ascii="Arial" w:hAnsi="Arial" w:cs="Arial"/>
        </w:rPr>
      </w:pPr>
    </w:p>
    <w:p w14:paraId="5BD388EC" w14:textId="77777777" w:rsidR="001A7841" w:rsidRPr="001A7841" w:rsidRDefault="001A7841" w:rsidP="001A7841">
      <w:pPr>
        <w:pStyle w:val="Body"/>
        <w:rPr>
          <w:rFonts w:ascii="Arial" w:hAnsi="Arial" w:cs="Arial"/>
        </w:rPr>
      </w:pPr>
    </w:p>
    <w:p w14:paraId="268FA86C" w14:textId="77777777" w:rsidR="001A7841" w:rsidRPr="001A7841" w:rsidRDefault="001A7841" w:rsidP="001A7841">
      <w:pPr>
        <w:pStyle w:val="Body"/>
        <w:rPr>
          <w:rFonts w:ascii="Arial" w:hAnsi="Arial" w:cs="Arial"/>
        </w:rPr>
      </w:pPr>
      <w:r w:rsidRPr="001A7841">
        <w:rPr>
          <w:rFonts w:ascii="Arial" w:hAnsi="Arial" w:cs="Arial"/>
        </w:rPr>
        <w:lastRenderedPageBreak/>
        <w:t>Operational definitions</w:t>
      </w:r>
    </w:p>
    <w:p w14:paraId="0FB4B5E2" w14:textId="77777777" w:rsidR="001A7841" w:rsidRDefault="001A7841" w:rsidP="001A7841">
      <w:pPr>
        <w:pStyle w:val="Body"/>
        <w:numPr>
          <w:ilvl w:val="0"/>
          <w:numId w:val="36"/>
        </w:numPr>
        <w:rPr>
          <w:rFonts w:ascii="Arial" w:hAnsi="Arial" w:cs="Arial"/>
        </w:rPr>
      </w:pPr>
      <w:r w:rsidRPr="001A7841">
        <w:rPr>
          <w:rFonts w:ascii="Arial" w:hAnsi="Arial" w:cs="Arial"/>
        </w:rPr>
        <w:t>Cohabitation was defined as living together in a romantic relationship without marriage for at least three months.</w:t>
      </w:r>
    </w:p>
    <w:p w14:paraId="37B35476" w14:textId="77777777" w:rsidR="001A7841" w:rsidRDefault="001A7841" w:rsidP="001A7841">
      <w:pPr>
        <w:pStyle w:val="Body"/>
        <w:numPr>
          <w:ilvl w:val="0"/>
          <w:numId w:val="36"/>
        </w:numPr>
        <w:rPr>
          <w:rFonts w:ascii="Arial" w:hAnsi="Arial" w:cs="Arial"/>
        </w:rPr>
      </w:pPr>
      <w:r w:rsidRPr="001A7841">
        <w:rPr>
          <w:rFonts w:ascii="Arial" w:hAnsi="Arial" w:cs="Arial"/>
        </w:rPr>
        <w:t xml:space="preserve">Emergency contraception use referred to reported use of any post-coital contraceptive method (e.g., </w:t>
      </w:r>
      <w:proofErr w:type="spellStart"/>
      <w:r w:rsidRPr="001A7841">
        <w:rPr>
          <w:rFonts w:ascii="Arial" w:hAnsi="Arial" w:cs="Arial"/>
        </w:rPr>
        <w:t>Postinor</w:t>
      </w:r>
      <w:proofErr w:type="spellEnd"/>
      <w:r w:rsidRPr="001A7841">
        <w:rPr>
          <w:rFonts w:ascii="Arial" w:hAnsi="Arial" w:cs="Arial"/>
        </w:rPr>
        <w:t>, IUCD) within 72 hours of unprotected intercourse.</w:t>
      </w:r>
    </w:p>
    <w:p w14:paraId="67371B5E" w14:textId="59D0BB6E" w:rsidR="001A7841" w:rsidRPr="001A7841" w:rsidRDefault="001A7841" w:rsidP="001A7841">
      <w:pPr>
        <w:pStyle w:val="Body"/>
        <w:numPr>
          <w:ilvl w:val="0"/>
          <w:numId w:val="36"/>
        </w:numPr>
        <w:rPr>
          <w:rFonts w:ascii="Arial" w:hAnsi="Arial" w:cs="Arial"/>
        </w:rPr>
      </w:pPr>
      <w:r w:rsidRPr="001A7841">
        <w:rPr>
          <w:rFonts w:ascii="Arial" w:hAnsi="Arial" w:cs="Arial"/>
        </w:rPr>
        <w:t>Positive perception of cohabitation/EC was defined as agreement with at least 50% of favorable perception items on the questionnaire.</w:t>
      </w:r>
    </w:p>
    <w:p w14:paraId="4821D35E" w14:textId="77777777" w:rsidR="001A7841" w:rsidRPr="001A7841" w:rsidRDefault="001A7841" w:rsidP="001A7841">
      <w:pPr>
        <w:pStyle w:val="Body"/>
        <w:rPr>
          <w:rFonts w:ascii="Arial" w:hAnsi="Arial" w:cs="Arial"/>
        </w:rPr>
      </w:pPr>
      <w:r w:rsidRPr="001A7841">
        <w:rPr>
          <w:rFonts w:ascii="Arial" w:hAnsi="Arial" w:cs="Arial"/>
        </w:rPr>
        <w:t>Data Analysis</w:t>
      </w:r>
    </w:p>
    <w:p w14:paraId="54B69E68" w14:textId="77777777" w:rsidR="001A7841" w:rsidRPr="001A7841" w:rsidRDefault="001A7841" w:rsidP="001A7841">
      <w:pPr>
        <w:pStyle w:val="Body"/>
        <w:rPr>
          <w:rFonts w:ascii="Arial" w:hAnsi="Arial" w:cs="Arial"/>
        </w:rPr>
      </w:pPr>
      <w:r w:rsidRPr="001A7841">
        <w:rPr>
          <w:rFonts w:ascii="Arial" w:hAnsi="Arial" w:cs="Arial"/>
        </w:rPr>
        <w:t>Completed questionnaires were coded and entered into SPSS version 25 (IBM Corp., Armonk, NY, USA). Descriptive statistics summarized demographic characteristics and outcome variables. Bivariate logistic regression was performed to identify variables associated with cohabitation at p &lt; 0.20. All variables met this threshold were entered into a multivariable logistic regression model to identify independent predictors. Results were reported using Adjusted Odds Ratios (AOR) with 95% confidence intervals (CI), and statistical significance was set at p &lt; 0.05.</w:t>
      </w:r>
    </w:p>
    <w:p w14:paraId="63A7D5B1" w14:textId="77777777" w:rsidR="001A7841" w:rsidRPr="001A7841" w:rsidRDefault="001A7841" w:rsidP="001A7841">
      <w:pPr>
        <w:pStyle w:val="Body"/>
        <w:rPr>
          <w:rFonts w:ascii="Arial" w:hAnsi="Arial" w:cs="Arial"/>
        </w:rPr>
      </w:pPr>
      <w:r w:rsidRPr="001A7841">
        <w:rPr>
          <w:rFonts w:ascii="Arial" w:hAnsi="Arial" w:cs="Arial"/>
        </w:rPr>
        <w:t>Ethical Considerations</w:t>
      </w:r>
    </w:p>
    <w:p w14:paraId="54936E8E" w14:textId="38BDDA9E" w:rsidR="00B24ADF" w:rsidRDefault="001A7841" w:rsidP="001A7841">
      <w:pPr>
        <w:pStyle w:val="Body"/>
        <w:spacing w:after="0"/>
        <w:rPr>
          <w:rFonts w:ascii="Arial" w:hAnsi="Arial" w:cs="Arial"/>
        </w:rPr>
      </w:pPr>
      <w:r w:rsidRPr="001A7841">
        <w:rPr>
          <w:rFonts w:ascii="Arial" w:hAnsi="Arial" w:cs="Arial"/>
        </w:rPr>
        <w:t>Ethical approval was obtained from the Health Research Ethics Committee of the Institute of Public Health, Obafemi Awolowo University, Ile-Ife (HREC NO: IPHOAU/12/2169). Informed consent was obtained from all participants, confidentiality and anonymity were assured, and participation was voluntary without coercion or financial inducement.</w:t>
      </w:r>
    </w:p>
    <w:p w14:paraId="384CB991" w14:textId="77777777" w:rsidR="00B24ADF" w:rsidRDefault="00B24ADF" w:rsidP="00B24ADF">
      <w:pPr>
        <w:pStyle w:val="Body"/>
        <w:spacing w:after="0"/>
        <w:rPr>
          <w:rFonts w:ascii="Arial" w:hAnsi="Arial" w:cs="Arial"/>
        </w:rPr>
      </w:pPr>
    </w:p>
    <w:p w14:paraId="0B86BBD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E02B2C" w14:textId="77777777" w:rsidR="00790ADA" w:rsidRPr="00FB3A86" w:rsidRDefault="00790ADA" w:rsidP="00441B6F">
      <w:pPr>
        <w:pStyle w:val="Head1"/>
        <w:spacing w:after="0"/>
        <w:jc w:val="both"/>
        <w:rPr>
          <w:rFonts w:ascii="Arial" w:hAnsi="Arial" w:cs="Arial"/>
        </w:rPr>
      </w:pPr>
    </w:p>
    <w:p w14:paraId="50253AD5" w14:textId="4497E574" w:rsidR="002A611F" w:rsidRDefault="00291D6B" w:rsidP="00441B6F">
      <w:pPr>
        <w:pStyle w:val="Body"/>
        <w:spacing w:after="0"/>
        <w:rPr>
          <w:rFonts w:ascii="Arial" w:hAnsi="Arial" w:cs="Arial"/>
        </w:rPr>
      </w:pPr>
      <w:r w:rsidRPr="00291D6B">
        <w:rPr>
          <w:rFonts w:ascii="Arial" w:hAnsi="Arial" w:cs="Arial"/>
        </w:rPr>
        <w:t>The mean age was 22.4 ± 2.0 years, with most respondents aged 21–23 years (61.7%). The majority were Yoruba (92.2%), Christians (87.3%), and single (98.1%).</w:t>
      </w:r>
    </w:p>
    <w:p w14:paraId="4A32C2A7" w14:textId="77777777" w:rsidR="00291D6B" w:rsidRDefault="00291D6B" w:rsidP="00441B6F">
      <w:pPr>
        <w:pStyle w:val="Body"/>
        <w:spacing w:after="0"/>
        <w:rPr>
          <w:rFonts w:ascii="Arial" w:hAnsi="Arial" w:cs="Arial"/>
        </w:rPr>
      </w:pPr>
    </w:p>
    <w:p w14:paraId="0ECCCF32" w14:textId="77777777" w:rsidR="00291D6B" w:rsidRDefault="00291D6B" w:rsidP="00441B6F">
      <w:pPr>
        <w:pStyle w:val="Body"/>
        <w:spacing w:after="0"/>
        <w:rPr>
          <w:rFonts w:ascii="Arial" w:hAnsi="Arial" w:cs="Arial"/>
        </w:rPr>
      </w:pPr>
    </w:p>
    <w:p w14:paraId="38651697" w14:textId="77777777" w:rsidR="00291D6B" w:rsidRDefault="00291D6B" w:rsidP="00441B6F">
      <w:pPr>
        <w:pStyle w:val="Body"/>
        <w:spacing w:after="0"/>
        <w:rPr>
          <w:rFonts w:ascii="Arial" w:hAnsi="Arial" w:cs="Arial"/>
        </w:rPr>
      </w:pPr>
    </w:p>
    <w:p w14:paraId="0EE84926" w14:textId="77777777" w:rsidR="00291D6B" w:rsidRDefault="00291D6B" w:rsidP="00441B6F">
      <w:pPr>
        <w:pStyle w:val="Body"/>
        <w:spacing w:after="0"/>
        <w:rPr>
          <w:rFonts w:ascii="Arial" w:hAnsi="Arial" w:cs="Arial"/>
        </w:rPr>
      </w:pPr>
    </w:p>
    <w:p w14:paraId="55389BC2" w14:textId="77777777" w:rsidR="00291D6B" w:rsidRDefault="00291D6B" w:rsidP="00441B6F">
      <w:pPr>
        <w:pStyle w:val="Body"/>
        <w:spacing w:after="0"/>
        <w:rPr>
          <w:rFonts w:ascii="Arial" w:hAnsi="Arial" w:cs="Arial"/>
        </w:rPr>
      </w:pPr>
    </w:p>
    <w:p w14:paraId="0CC920A4" w14:textId="77777777" w:rsidR="00291D6B" w:rsidRDefault="00291D6B" w:rsidP="00441B6F">
      <w:pPr>
        <w:pStyle w:val="Body"/>
        <w:spacing w:after="0"/>
        <w:rPr>
          <w:rFonts w:ascii="Arial" w:hAnsi="Arial" w:cs="Arial"/>
        </w:rPr>
      </w:pPr>
    </w:p>
    <w:p w14:paraId="66E7532B" w14:textId="77777777" w:rsidR="00291D6B" w:rsidRDefault="00291D6B" w:rsidP="00441B6F">
      <w:pPr>
        <w:pStyle w:val="Body"/>
        <w:spacing w:after="0"/>
        <w:rPr>
          <w:rFonts w:ascii="Arial" w:hAnsi="Arial" w:cs="Arial"/>
        </w:rPr>
      </w:pPr>
    </w:p>
    <w:p w14:paraId="53FDF2EE" w14:textId="77777777" w:rsidR="00291D6B" w:rsidRDefault="00291D6B" w:rsidP="00441B6F">
      <w:pPr>
        <w:pStyle w:val="Body"/>
        <w:spacing w:after="0"/>
        <w:rPr>
          <w:rFonts w:ascii="Arial" w:hAnsi="Arial" w:cs="Arial"/>
        </w:rPr>
      </w:pPr>
    </w:p>
    <w:p w14:paraId="2A325F19" w14:textId="77777777" w:rsidR="00291D6B" w:rsidRDefault="00291D6B" w:rsidP="00441B6F">
      <w:pPr>
        <w:pStyle w:val="Body"/>
        <w:spacing w:after="0"/>
        <w:rPr>
          <w:rFonts w:ascii="Arial" w:hAnsi="Arial" w:cs="Arial"/>
        </w:rPr>
      </w:pPr>
    </w:p>
    <w:p w14:paraId="14A2F605" w14:textId="77777777" w:rsidR="00291D6B" w:rsidRDefault="00291D6B" w:rsidP="00441B6F">
      <w:pPr>
        <w:pStyle w:val="Body"/>
        <w:spacing w:after="0"/>
        <w:rPr>
          <w:rFonts w:ascii="Arial" w:hAnsi="Arial" w:cs="Arial"/>
        </w:rPr>
      </w:pPr>
    </w:p>
    <w:p w14:paraId="7CA67004" w14:textId="77777777" w:rsidR="00291D6B" w:rsidRDefault="00291D6B" w:rsidP="00441B6F">
      <w:pPr>
        <w:pStyle w:val="Body"/>
        <w:spacing w:after="0"/>
        <w:rPr>
          <w:rFonts w:ascii="Arial" w:hAnsi="Arial" w:cs="Arial"/>
        </w:rPr>
      </w:pPr>
    </w:p>
    <w:p w14:paraId="43C5BCCB" w14:textId="77777777" w:rsidR="00291D6B" w:rsidRDefault="00291D6B" w:rsidP="00441B6F">
      <w:pPr>
        <w:pStyle w:val="Body"/>
        <w:spacing w:after="0"/>
        <w:rPr>
          <w:rFonts w:ascii="Arial" w:hAnsi="Arial" w:cs="Arial"/>
        </w:rPr>
      </w:pPr>
    </w:p>
    <w:p w14:paraId="5E4540B8" w14:textId="77777777" w:rsidR="00291D6B" w:rsidRDefault="00291D6B" w:rsidP="00441B6F">
      <w:pPr>
        <w:pStyle w:val="Body"/>
        <w:spacing w:after="0"/>
        <w:rPr>
          <w:rFonts w:ascii="Arial" w:hAnsi="Arial" w:cs="Arial"/>
        </w:rPr>
      </w:pPr>
    </w:p>
    <w:p w14:paraId="616E79DA" w14:textId="77777777" w:rsidR="00291D6B" w:rsidRDefault="00291D6B" w:rsidP="00441B6F">
      <w:pPr>
        <w:pStyle w:val="Body"/>
        <w:spacing w:after="0"/>
        <w:rPr>
          <w:rFonts w:ascii="Arial" w:hAnsi="Arial" w:cs="Arial"/>
        </w:rPr>
      </w:pPr>
    </w:p>
    <w:p w14:paraId="14084A31" w14:textId="77777777" w:rsidR="00291D6B" w:rsidRDefault="00291D6B" w:rsidP="00441B6F">
      <w:pPr>
        <w:pStyle w:val="Body"/>
        <w:spacing w:after="0"/>
        <w:rPr>
          <w:rFonts w:ascii="Arial" w:hAnsi="Arial" w:cs="Arial"/>
        </w:rPr>
      </w:pPr>
    </w:p>
    <w:p w14:paraId="7C84132C" w14:textId="77777777" w:rsidR="00291D6B" w:rsidRDefault="00291D6B" w:rsidP="00441B6F">
      <w:pPr>
        <w:pStyle w:val="Body"/>
        <w:spacing w:after="0"/>
        <w:rPr>
          <w:rFonts w:ascii="Arial" w:hAnsi="Arial" w:cs="Arial"/>
        </w:rPr>
      </w:pPr>
    </w:p>
    <w:p w14:paraId="4E5670C5" w14:textId="77777777" w:rsidR="00291D6B" w:rsidRDefault="00291D6B" w:rsidP="00441B6F">
      <w:pPr>
        <w:pStyle w:val="Body"/>
        <w:spacing w:after="0"/>
        <w:rPr>
          <w:rFonts w:ascii="Arial" w:hAnsi="Arial" w:cs="Arial"/>
        </w:rPr>
      </w:pPr>
    </w:p>
    <w:p w14:paraId="27AFC8DE" w14:textId="77777777" w:rsidR="00291D6B" w:rsidRDefault="00291D6B" w:rsidP="00441B6F">
      <w:pPr>
        <w:pStyle w:val="Body"/>
        <w:spacing w:after="0"/>
        <w:rPr>
          <w:rFonts w:ascii="Arial" w:hAnsi="Arial" w:cs="Arial"/>
        </w:rPr>
      </w:pPr>
    </w:p>
    <w:p w14:paraId="776E6434" w14:textId="77777777" w:rsidR="00291D6B" w:rsidRDefault="00291D6B" w:rsidP="00441B6F">
      <w:pPr>
        <w:pStyle w:val="Body"/>
        <w:spacing w:after="0"/>
        <w:rPr>
          <w:rFonts w:ascii="Arial" w:hAnsi="Arial" w:cs="Arial"/>
        </w:rPr>
      </w:pPr>
    </w:p>
    <w:p w14:paraId="6A1B23A2" w14:textId="77777777" w:rsidR="00291D6B" w:rsidRDefault="00291D6B" w:rsidP="00441B6F">
      <w:pPr>
        <w:pStyle w:val="Body"/>
        <w:spacing w:after="0"/>
        <w:rPr>
          <w:rFonts w:ascii="Arial" w:hAnsi="Arial" w:cs="Arial"/>
        </w:rPr>
      </w:pPr>
    </w:p>
    <w:p w14:paraId="2B16127C" w14:textId="77777777" w:rsidR="00291D6B" w:rsidRDefault="00291D6B" w:rsidP="00441B6F">
      <w:pPr>
        <w:pStyle w:val="Body"/>
        <w:spacing w:after="0"/>
        <w:rPr>
          <w:rFonts w:ascii="Arial" w:hAnsi="Arial" w:cs="Arial"/>
        </w:rPr>
      </w:pPr>
    </w:p>
    <w:p w14:paraId="6743F14C" w14:textId="0EF7778E" w:rsidR="00863BD3" w:rsidRDefault="009500A6" w:rsidP="00D52308">
      <w:pPr>
        <w:tabs>
          <w:tab w:val="left" w:pos="1080"/>
        </w:tabs>
        <w:spacing w:line="480" w:lineRule="auto"/>
        <w:jc w:val="both"/>
        <w:rPr>
          <w:rFonts w:ascii="Arial" w:hAnsi="Arial"/>
          <w:b/>
        </w:rPr>
      </w:pPr>
      <w:r>
        <w:rPr>
          <w:rFonts w:ascii="Arial" w:hAnsi="Arial"/>
          <w:b/>
        </w:rPr>
        <w:lastRenderedPageBreak/>
        <w:t>Table 1.</w:t>
      </w:r>
      <w:r w:rsidR="00863BD3" w:rsidRPr="00DC3180">
        <w:rPr>
          <w:rFonts w:ascii="Arial" w:hAnsi="Arial"/>
          <w:b/>
        </w:rPr>
        <w:tab/>
      </w:r>
      <w:r w:rsidR="00B24ADF" w:rsidRPr="00B24ADF">
        <w:rPr>
          <w:rFonts w:ascii="Arial" w:hAnsi="Arial"/>
          <w:b/>
        </w:rPr>
        <w:t>Socio-demographic Characteristics</w:t>
      </w:r>
    </w:p>
    <w:tbl>
      <w:tblPr>
        <w:tblW w:w="0" w:type="auto"/>
        <w:tblLook w:val="04A0" w:firstRow="1" w:lastRow="0" w:firstColumn="1" w:lastColumn="0" w:noHBand="0" w:noVBand="1"/>
      </w:tblPr>
      <w:tblGrid>
        <w:gridCol w:w="2732"/>
        <w:gridCol w:w="2735"/>
        <w:gridCol w:w="2741"/>
      </w:tblGrid>
      <w:tr w:rsidR="00B24ADF" w:rsidRPr="0084123F" w14:paraId="4F79FE86" w14:textId="77777777" w:rsidTr="00B24ADF">
        <w:tc>
          <w:tcPr>
            <w:tcW w:w="2732" w:type="dxa"/>
            <w:tcBorders>
              <w:top w:val="single" w:sz="4" w:space="0" w:color="auto"/>
              <w:bottom w:val="single" w:sz="4" w:space="0" w:color="auto"/>
            </w:tcBorders>
            <w:hideMark/>
          </w:tcPr>
          <w:p w14:paraId="7B23D58B" w14:textId="77777777" w:rsidR="00B24ADF" w:rsidRPr="00B24ADF" w:rsidRDefault="00B24ADF" w:rsidP="00D52308">
            <w:pPr>
              <w:pStyle w:val="Heading2"/>
              <w:spacing w:before="200" w:after="0" w:line="480" w:lineRule="auto"/>
              <w:jc w:val="both"/>
              <w:rPr>
                <w:rFonts w:ascii="Arial" w:hAnsi="Arial" w:cs="Arial"/>
                <w:b/>
                <w:bCs/>
                <w:color w:val="000000" w:themeColor="text1"/>
                <w:sz w:val="20"/>
                <w:szCs w:val="20"/>
              </w:rPr>
            </w:pPr>
            <w:r w:rsidRPr="00B24ADF">
              <w:rPr>
                <w:rFonts w:ascii="Arial" w:hAnsi="Arial" w:cs="Arial"/>
                <w:b/>
                <w:bCs/>
                <w:color w:val="000000" w:themeColor="text1"/>
                <w:sz w:val="20"/>
                <w:szCs w:val="20"/>
              </w:rPr>
              <w:t>Variables</w:t>
            </w:r>
          </w:p>
        </w:tc>
        <w:tc>
          <w:tcPr>
            <w:tcW w:w="2735" w:type="dxa"/>
            <w:tcBorders>
              <w:top w:val="single" w:sz="4" w:space="0" w:color="auto"/>
              <w:bottom w:val="single" w:sz="4" w:space="0" w:color="auto"/>
            </w:tcBorders>
            <w:hideMark/>
          </w:tcPr>
          <w:p w14:paraId="28C41EEC" w14:textId="77777777" w:rsidR="00B24ADF" w:rsidRPr="00B24ADF" w:rsidRDefault="00B24ADF" w:rsidP="00D52308">
            <w:pPr>
              <w:pStyle w:val="Heading2"/>
              <w:spacing w:before="200" w:after="0" w:line="480" w:lineRule="auto"/>
              <w:jc w:val="both"/>
              <w:rPr>
                <w:rFonts w:ascii="Arial" w:hAnsi="Arial" w:cs="Arial"/>
                <w:b/>
                <w:bCs/>
                <w:color w:val="000000" w:themeColor="text1"/>
                <w:sz w:val="20"/>
                <w:szCs w:val="20"/>
              </w:rPr>
            </w:pPr>
            <w:r w:rsidRPr="00B24ADF">
              <w:rPr>
                <w:rFonts w:ascii="Arial" w:hAnsi="Arial" w:cs="Arial"/>
                <w:b/>
                <w:bCs/>
                <w:color w:val="000000" w:themeColor="text1"/>
                <w:sz w:val="20"/>
                <w:szCs w:val="20"/>
              </w:rPr>
              <w:t>Frequency</w:t>
            </w:r>
          </w:p>
        </w:tc>
        <w:tc>
          <w:tcPr>
            <w:tcW w:w="2741" w:type="dxa"/>
            <w:tcBorders>
              <w:top w:val="single" w:sz="4" w:space="0" w:color="auto"/>
              <w:bottom w:val="single" w:sz="4" w:space="0" w:color="auto"/>
            </w:tcBorders>
            <w:hideMark/>
          </w:tcPr>
          <w:p w14:paraId="06E30D18" w14:textId="77777777" w:rsidR="00B24ADF" w:rsidRPr="00B24ADF" w:rsidRDefault="00B24ADF" w:rsidP="00D52308">
            <w:pPr>
              <w:pStyle w:val="Heading2"/>
              <w:spacing w:before="200" w:after="0" w:line="480" w:lineRule="auto"/>
              <w:jc w:val="both"/>
              <w:rPr>
                <w:rFonts w:ascii="Arial" w:hAnsi="Arial" w:cs="Arial"/>
                <w:b/>
                <w:bCs/>
                <w:color w:val="000000" w:themeColor="text1"/>
                <w:sz w:val="20"/>
                <w:szCs w:val="20"/>
              </w:rPr>
            </w:pPr>
            <w:r w:rsidRPr="00B24ADF">
              <w:rPr>
                <w:rFonts w:ascii="Arial" w:hAnsi="Arial" w:cs="Arial"/>
                <w:b/>
                <w:bCs/>
                <w:color w:val="000000" w:themeColor="text1"/>
                <w:sz w:val="20"/>
                <w:szCs w:val="20"/>
              </w:rPr>
              <w:t>Percentage (%)</w:t>
            </w:r>
          </w:p>
        </w:tc>
      </w:tr>
      <w:tr w:rsidR="00B24ADF" w:rsidRPr="0084123F" w14:paraId="3C5ECAAE" w14:textId="77777777" w:rsidTr="00B24ADF">
        <w:tc>
          <w:tcPr>
            <w:tcW w:w="2732" w:type="dxa"/>
            <w:tcBorders>
              <w:top w:val="single" w:sz="4" w:space="0" w:color="auto"/>
            </w:tcBorders>
            <w:hideMark/>
          </w:tcPr>
          <w:p w14:paraId="16264C59"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18–20 years</w:t>
            </w:r>
          </w:p>
        </w:tc>
        <w:tc>
          <w:tcPr>
            <w:tcW w:w="2735" w:type="dxa"/>
            <w:tcBorders>
              <w:top w:val="single" w:sz="4" w:space="0" w:color="auto"/>
            </w:tcBorders>
            <w:hideMark/>
          </w:tcPr>
          <w:p w14:paraId="564BBADD"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47</w:t>
            </w:r>
          </w:p>
        </w:tc>
        <w:tc>
          <w:tcPr>
            <w:tcW w:w="2741" w:type="dxa"/>
            <w:tcBorders>
              <w:top w:val="single" w:sz="4" w:space="0" w:color="auto"/>
            </w:tcBorders>
            <w:hideMark/>
          </w:tcPr>
          <w:p w14:paraId="324C8388"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15.3</w:t>
            </w:r>
          </w:p>
        </w:tc>
      </w:tr>
      <w:tr w:rsidR="00B24ADF" w:rsidRPr="0084123F" w14:paraId="424054DD" w14:textId="77777777" w:rsidTr="00B24ADF">
        <w:tc>
          <w:tcPr>
            <w:tcW w:w="2732" w:type="dxa"/>
            <w:hideMark/>
          </w:tcPr>
          <w:p w14:paraId="1B92399F"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21–23 years</w:t>
            </w:r>
          </w:p>
        </w:tc>
        <w:tc>
          <w:tcPr>
            <w:tcW w:w="2735" w:type="dxa"/>
            <w:hideMark/>
          </w:tcPr>
          <w:p w14:paraId="53B95C61"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190</w:t>
            </w:r>
          </w:p>
        </w:tc>
        <w:tc>
          <w:tcPr>
            <w:tcW w:w="2741" w:type="dxa"/>
            <w:hideMark/>
          </w:tcPr>
          <w:p w14:paraId="0919EA5B"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61.7</w:t>
            </w:r>
          </w:p>
        </w:tc>
      </w:tr>
      <w:tr w:rsidR="00B24ADF" w:rsidRPr="0084123F" w14:paraId="03527C8B" w14:textId="77777777" w:rsidTr="00B24ADF">
        <w:tc>
          <w:tcPr>
            <w:tcW w:w="2732" w:type="dxa"/>
            <w:hideMark/>
          </w:tcPr>
          <w:p w14:paraId="390477C7"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24–26 years</w:t>
            </w:r>
          </w:p>
        </w:tc>
        <w:tc>
          <w:tcPr>
            <w:tcW w:w="2735" w:type="dxa"/>
            <w:hideMark/>
          </w:tcPr>
          <w:p w14:paraId="7B73F0CB"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56</w:t>
            </w:r>
          </w:p>
        </w:tc>
        <w:tc>
          <w:tcPr>
            <w:tcW w:w="2741" w:type="dxa"/>
            <w:hideMark/>
          </w:tcPr>
          <w:p w14:paraId="29E9A458"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18.2</w:t>
            </w:r>
          </w:p>
        </w:tc>
      </w:tr>
      <w:tr w:rsidR="00B24ADF" w:rsidRPr="0084123F" w14:paraId="22225E3C" w14:textId="77777777" w:rsidTr="00B24ADF">
        <w:tc>
          <w:tcPr>
            <w:tcW w:w="2732" w:type="dxa"/>
            <w:hideMark/>
          </w:tcPr>
          <w:p w14:paraId="0E80994C"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27–29 years</w:t>
            </w:r>
          </w:p>
        </w:tc>
        <w:tc>
          <w:tcPr>
            <w:tcW w:w="2735" w:type="dxa"/>
            <w:hideMark/>
          </w:tcPr>
          <w:p w14:paraId="76859FF2"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15</w:t>
            </w:r>
          </w:p>
        </w:tc>
        <w:tc>
          <w:tcPr>
            <w:tcW w:w="2741" w:type="dxa"/>
            <w:hideMark/>
          </w:tcPr>
          <w:p w14:paraId="7F56059D"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4.9</w:t>
            </w:r>
          </w:p>
        </w:tc>
      </w:tr>
      <w:tr w:rsidR="00B24ADF" w:rsidRPr="0084123F" w14:paraId="438E814C" w14:textId="77777777" w:rsidTr="00B24ADF">
        <w:tc>
          <w:tcPr>
            <w:tcW w:w="2732" w:type="dxa"/>
            <w:hideMark/>
          </w:tcPr>
          <w:p w14:paraId="1B85E390"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Yoruba</w:t>
            </w:r>
          </w:p>
        </w:tc>
        <w:tc>
          <w:tcPr>
            <w:tcW w:w="2735" w:type="dxa"/>
            <w:hideMark/>
          </w:tcPr>
          <w:p w14:paraId="7A77D4E4"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284</w:t>
            </w:r>
          </w:p>
        </w:tc>
        <w:tc>
          <w:tcPr>
            <w:tcW w:w="2741" w:type="dxa"/>
            <w:hideMark/>
          </w:tcPr>
          <w:p w14:paraId="622F16E7"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92.2</w:t>
            </w:r>
          </w:p>
        </w:tc>
      </w:tr>
      <w:tr w:rsidR="00B24ADF" w:rsidRPr="0084123F" w14:paraId="5F050EE8" w14:textId="77777777" w:rsidTr="00B24ADF">
        <w:tc>
          <w:tcPr>
            <w:tcW w:w="2732" w:type="dxa"/>
            <w:hideMark/>
          </w:tcPr>
          <w:p w14:paraId="4D03113B"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Igbo</w:t>
            </w:r>
          </w:p>
        </w:tc>
        <w:tc>
          <w:tcPr>
            <w:tcW w:w="2735" w:type="dxa"/>
            <w:hideMark/>
          </w:tcPr>
          <w:p w14:paraId="09B8EF5C"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24</w:t>
            </w:r>
          </w:p>
        </w:tc>
        <w:tc>
          <w:tcPr>
            <w:tcW w:w="2741" w:type="dxa"/>
            <w:hideMark/>
          </w:tcPr>
          <w:p w14:paraId="16C3579E"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7.8</w:t>
            </w:r>
          </w:p>
        </w:tc>
      </w:tr>
      <w:tr w:rsidR="00B24ADF" w:rsidRPr="0084123F" w14:paraId="3452C04C" w14:textId="77777777" w:rsidTr="00B24ADF">
        <w:tc>
          <w:tcPr>
            <w:tcW w:w="2732" w:type="dxa"/>
            <w:hideMark/>
          </w:tcPr>
          <w:p w14:paraId="6019B132"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Christianity</w:t>
            </w:r>
          </w:p>
        </w:tc>
        <w:tc>
          <w:tcPr>
            <w:tcW w:w="2735" w:type="dxa"/>
            <w:hideMark/>
          </w:tcPr>
          <w:p w14:paraId="54AFBFFA"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269</w:t>
            </w:r>
          </w:p>
        </w:tc>
        <w:tc>
          <w:tcPr>
            <w:tcW w:w="2741" w:type="dxa"/>
            <w:hideMark/>
          </w:tcPr>
          <w:p w14:paraId="7564BA7A"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87.3</w:t>
            </w:r>
          </w:p>
        </w:tc>
      </w:tr>
      <w:tr w:rsidR="00B24ADF" w:rsidRPr="0084123F" w14:paraId="450A7D3A" w14:textId="77777777" w:rsidTr="00B24ADF">
        <w:tc>
          <w:tcPr>
            <w:tcW w:w="2732" w:type="dxa"/>
            <w:hideMark/>
          </w:tcPr>
          <w:p w14:paraId="65A805B0"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Islam</w:t>
            </w:r>
          </w:p>
        </w:tc>
        <w:tc>
          <w:tcPr>
            <w:tcW w:w="2735" w:type="dxa"/>
            <w:hideMark/>
          </w:tcPr>
          <w:p w14:paraId="79EF2838"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39</w:t>
            </w:r>
          </w:p>
        </w:tc>
        <w:tc>
          <w:tcPr>
            <w:tcW w:w="2741" w:type="dxa"/>
            <w:hideMark/>
          </w:tcPr>
          <w:p w14:paraId="66E6F323"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12.7</w:t>
            </w:r>
          </w:p>
        </w:tc>
      </w:tr>
      <w:tr w:rsidR="00B24ADF" w:rsidRPr="0084123F" w14:paraId="73CB99BF" w14:textId="77777777" w:rsidTr="00B24ADF">
        <w:tc>
          <w:tcPr>
            <w:tcW w:w="2732" w:type="dxa"/>
            <w:hideMark/>
          </w:tcPr>
          <w:p w14:paraId="3E72E90C"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Single</w:t>
            </w:r>
          </w:p>
        </w:tc>
        <w:tc>
          <w:tcPr>
            <w:tcW w:w="2735" w:type="dxa"/>
            <w:hideMark/>
          </w:tcPr>
          <w:p w14:paraId="59633611"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302</w:t>
            </w:r>
          </w:p>
        </w:tc>
        <w:tc>
          <w:tcPr>
            <w:tcW w:w="2741" w:type="dxa"/>
            <w:hideMark/>
          </w:tcPr>
          <w:p w14:paraId="4E1E19AB"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98.1</w:t>
            </w:r>
          </w:p>
        </w:tc>
      </w:tr>
      <w:tr w:rsidR="00B24ADF" w:rsidRPr="0084123F" w14:paraId="10CEF874" w14:textId="77777777" w:rsidTr="00B24ADF">
        <w:tc>
          <w:tcPr>
            <w:tcW w:w="2732" w:type="dxa"/>
            <w:tcBorders>
              <w:bottom w:val="single" w:sz="4" w:space="0" w:color="auto"/>
            </w:tcBorders>
            <w:hideMark/>
          </w:tcPr>
          <w:p w14:paraId="64D6326A"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Married</w:t>
            </w:r>
          </w:p>
        </w:tc>
        <w:tc>
          <w:tcPr>
            <w:tcW w:w="2735" w:type="dxa"/>
            <w:tcBorders>
              <w:bottom w:val="single" w:sz="4" w:space="0" w:color="auto"/>
            </w:tcBorders>
            <w:hideMark/>
          </w:tcPr>
          <w:p w14:paraId="0858FA6E"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6</w:t>
            </w:r>
          </w:p>
        </w:tc>
        <w:tc>
          <w:tcPr>
            <w:tcW w:w="2741" w:type="dxa"/>
            <w:tcBorders>
              <w:bottom w:val="single" w:sz="4" w:space="0" w:color="auto"/>
            </w:tcBorders>
            <w:hideMark/>
          </w:tcPr>
          <w:p w14:paraId="588C1358"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1.9</w:t>
            </w:r>
          </w:p>
        </w:tc>
      </w:tr>
    </w:tbl>
    <w:p w14:paraId="6F1E39AD" w14:textId="77777777" w:rsidR="00B24ADF" w:rsidRPr="0084123F" w:rsidRDefault="00B24ADF" w:rsidP="00D52308">
      <w:pPr>
        <w:spacing w:line="480" w:lineRule="auto"/>
        <w:jc w:val="both"/>
        <w:rPr>
          <w:rFonts w:ascii="Times New Roman" w:hAnsi="Times New Roman"/>
        </w:rPr>
      </w:pPr>
    </w:p>
    <w:p w14:paraId="3201EA62" w14:textId="77777777" w:rsidR="00B24ADF" w:rsidRDefault="00B24ADF" w:rsidP="00B24ADF">
      <w:pPr>
        <w:pStyle w:val="BodyText3"/>
        <w:tabs>
          <w:tab w:val="left" w:pos="1080"/>
        </w:tabs>
        <w:spacing w:after="0"/>
        <w:jc w:val="both"/>
        <w:rPr>
          <w:rFonts w:ascii="Arial" w:hAnsi="Arial"/>
          <w:b/>
          <w:sz w:val="20"/>
          <w:szCs w:val="20"/>
        </w:rPr>
      </w:pPr>
    </w:p>
    <w:p w14:paraId="116808E2" w14:textId="77777777" w:rsidR="00B24ADF" w:rsidRPr="00B24ADF" w:rsidRDefault="00B24ADF" w:rsidP="00B24ADF">
      <w:pPr>
        <w:pStyle w:val="Body"/>
        <w:rPr>
          <w:rFonts w:ascii="Arial" w:hAnsi="Arial" w:cs="Arial"/>
        </w:rPr>
      </w:pPr>
      <w:r w:rsidRPr="00B24ADF">
        <w:rPr>
          <w:rFonts w:ascii="Arial" w:hAnsi="Arial" w:cs="Arial"/>
        </w:rPr>
        <w:t>Prevalence of Cohabitation amongst Respondents</w:t>
      </w:r>
    </w:p>
    <w:p w14:paraId="51C5B614" w14:textId="77777777" w:rsidR="00291D6B" w:rsidRDefault="00291D6B" w:rsidP="00EC0532">
      <w:pPr>
        <w:pStyle w:val="Body"/>
        <w:rPr>
          <w:rFonts w:ascii="Arial" w:hAnsi="Arial" w:cs="Arial"/>
        </w:rPr>
      </w:pPr>
      <w:r w:rsidRPr="00291D6B">
        <w:rPr>
          <w:rFonts w:ascii="Arial" w:hAnsi="Arial" w:cs="Arial"/>
        </w:rPr>
        <w:t>Most respondents (92.5%) understood cohabitation as a union of opposite-sex partners living together without marriage. A large proportion (89.9%) believed cohabitation is common in the university, and 54.5% personally knew students in such relationships. However, experience was low: only 9.7% had ever lived with an opposite-sex student, 5.8% were currently in a cohabiting relationship, and 22.4% indicated they could consider it. Regarding perceptions, most believed cohabitation has disadvantages (75.6%), while 39.6% acknowledged potential benefits. A high proportion (79.5%) linked cohabitation with premarital sex. About 31.8% lived alone in living arrangements, while the majority stayed with female friends (62.0%), fewer with male friends (5.2%), and very few with both sexes (1.0%).</w:t>
      </w:r>
    </w:p>
    <w:p w14:paraId="5BB2FC55" w14:textId="55F92322" w:rsidR="00AF4D67" w:rsidRPr="00AF4D67" w:rsidRDefault="00AF4D67" w:rsidP="00EC0532">
      <w:pPr>
        <w:pStyle w:val="Body"/>
        <w:rPr>
          <w:rFonts w:ascii="Arial" w:hAnsi="Arial" w:cs="Arial"/>
          <w:b/>
          <w:bCs/>
        </w:rPr>
      </w:pPr>
      <w:r w:rsidRPr="00AF4D67">
        <w:rPr>
          <w:rFonts w:ascii="Arial" w:hAnsi="Arial" w:cs="Arial"/>
          <w:b/>
          <w:bCs/>
        </w:rPr>
        <w:t>Table 2: Prevalence of Cohabitation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096"/>
        <w:gridCol w:w="1208"/>
      </w:tblGrid>
      <w:tr w:rsidR="00AF4D67" w:rsidRPr="00AF4D67" w14:paraId="3C6D46F9" w14:textId="77777777" w:rsidTr="00F05E6E">
        <w:trPr>
          <w:trHeight w:val="312"/>
        </w:trPr>
        <w:tc>
          <w:tcPr>
            <w:tcW w:w="6229" w:type="dxa"/>
            <w:tcBorders>
              <w:top w:val="single" w:sz="4" w:space="0" w:color="auto"/>
              <w:bottom w:val="single" w:sz="4" w:space="0" w:color="auto"/>
            </w:tcBorders>
            <w:noWrap/>
          </w:tcPr>
          <w:p w14:paraId="7C873A51" w14:textId="77777777" w:rsidR="00AF4D67" w:rsidRPr="00AF4D67" w:rsidRDefault="00AF4D67" w:rsidP="00D52308">
            <w:pPr>
              <w:spacing w:line="480" w:lineRule="auto"/>
              <w:rPr>
                <w:rFonts w:ascii="Arial" w:hAnsi="Arial" w:cs="Arial"/>
                <w:b/>
                <w:bCs/>
                <w:sz w:val="20"/>
                <w:szCs w:val="20"/>
              </w:rPr>
            </w:pPr>
            <w:r w:rsidRPr="00AF4D67">
              <w:rPr>
                <w:rFonts w:ascii="Arial" w:hAnsi="Arial" w:cs="Arial"/>
                <w:b/>
                <w:bCs/>
                <w:sz w:val="20"/>
                <w:szCs w:val="20"/>
              </w:rPr>
              <w:t>Variables</w:t>
            </w:r>
          </w:p>
        </w:tc>
        <w:tc>
          <w:tcPr>
            <w:tcW w:w="1146" w:type="dxa"/>
            <w:tcBorders>
              <w:top w:val="single" w:sz="4" w:space="0" w:color="auto"/>
              <w:bottom w:val="single" w:sz="4" w:space="0" w:color="auto"/>
            </w:tcBorders>
            <w:noWrap/>
          </w:tcPr>
          <w:p w14:paraId="6AD535C7" w14:textId="77777777" w:rsidR="00AF4D67" w:rsidRPr="00AF4D67" w:rsidRDefault="00AF4D67" w:rsidP="00D52308">
            <w:pPr>
              <w:spacing w:line="480" w:lineRule="auto"/>
              <w:jc w:val="right"/>
              <w:rPr>
                <w:rFonts w:ascii="Arial" w:hAnsi="Arial" w:cs="Arial"/>
                <w:b/>
                <w:bCs/>
                <w:sz w:val="20"/>
                <w:szCs w:val="20"/>
              </w:rPr>
            </w:pPr>
            <w:r w:rsidRPr="00AF4D67">
              <w:rPr>
                <w:rFonts w:ascii="Arial" w:hAnsi="Arial" w:cs="Arial"/>
                <w:b/>
                <w:bCs/>
                <w:sz w:val="20"/>
                <w:szCs w:val="20"/>
              </w:rPr>
              <w:t>Yes</w:t>
            </w:r>
          </w:p>
          <w:p w14:paraId="107CF2FB" w14:textId="1BBE4AB8" w:rsidR="00AF4D67" w:rsidRPr="00AF4D67" w:rsidRDefault="00AF4D67" w:rsidP="00D52308">
            <w:pPr>
              <w:spacing w:line="480" w:lineRule="auto"/>
              <w:jc w:val="right"/>
              <w:rPr>
                <w:rFonts w:ascii="Arial" w:hAnsi="Arial" w:cs="Arial"/>
                <w:b/>
                <w:bCs/>
                <w:sz w:val="20"/>
                <w:szCs w:val="20"/>
              </w:rPr>
            </w:pPr>
            <w:r w:rsidRPr="00AF4D67">
              <w:rPr>
                <w:rFonts w:ascii="Arial" w:hAnsi="Arial" w:cs="Arial"/>
                <w:b/>
                <w:bCs/>
                <w:sz w:val="20"/>
                <w:szCs w:val="20"/>
              </w:rPr>
              <w:lastRenderedPageBreak/>
              <w:t>F</w:t>
            </w:r>
            <w:r w:rsidR="00AE42BD">
              <w:rPr>
                <w:rFonts w:ascii="Arial" w:hAnsi="Arial" w:cs="Arial"/>
                <w:b/>
                <w:bCs/>
                <w:sz w:val="20"/>
                <w:szCs w:val="20"/>
              </w:rPr>
              <w:t xml:space="preserve"> </w:t>
            </w:r>
            <w:r w:rsidRPr="00AF4D67">
              <w:rPr>
                <w:rFonts w:ascii="Arial" w:hAnsi="Arial" w:cs="Arial"/>
                <w:b/>
                <w:bCs/>
                <w:sz w:val="20"/>
                <w:szCs w:val="20"/>
              </w:rPr>
              <w:t>(P)</w:t>
            </w:r>
          </w:p>
        </w:tc>
        <w:tc>
          <w:tcPr>
            <w:tcW w:w="1265" w:type="dxa"/>
            <w:tcBorders>
              <w:top w:val="single" w:sz="4" w:space="0" w:color="auto"/>
              <w:bottom w:val="single" w:sz="4" w:space="0" w:color="auto"/>
            </w:tcBorders>
            <w:noWrap/>
          </w:tcPr>
          <w:p w14:paraId="24823903" w14:textId="77777777" w:rsidR="00AF4D67" w:rsidRPr="00AF4D67" w:rsidRDefault="00AF4D67" w:rsidP="00D52308">
            <w:pPr>
              <w:spacing w:line="480" w:lineRule="auto"/>
              <w:jc w:val="right"/>
              <w:rPr>
                <w:rFonts w:ascii="Arial" w:hAnsi="Arial" w:cs="Arial"/>
                <w:b/>
                <w:bCs/>
                <w:sz w:val="20"/>
                <w:szCs w:val="20"/>
              </w:rPr>
            </w:pPr>
            <w:r w:rsidRPr="00AF4D67">
              <w:rPr>
                <w:rFonts w:ascii="Arial" w:hAnsi="Arial" w:cs="Arial"/>
                <w:b/>
                <w:bCs/>
                <w:sz w:val="20"/>
                <w:szCs w:val="20"/>
              </w:rPr>
              <w:lastRenderedPageBreak/>
              <w:t>No</w:t>
            </w:r>
          </w:p>
          <w:p w14:paraId="32D1F9EA" w14:textId="6E453488" w:rsidR="00AF4D67" w:rsidRPr="00AF4D67" w:rsidRDefault="00AF4D67" w:rsidP="00D52308">
            <w:pPr>
              <w:spacing w:line="480" w:lineRule="auto"/>
              <w:jc w:val="right"/>
              <w:rPr>
                <w:rFonts w:ascii="Arial" w:hAnsi="Arial" w:cs="Arial"/>
                <w:b/>
                <w:bCs/>
                <w:sz w:val="20"/>
                <w:szCs w:val="20"/>
              </w:rPr>
            </w:pPr>
            <w:r w:rsidRPr="00AF4D67">
              <w:rPr>
                <w:rFonts w:ascii="Arial" w:hAnsi="Arial" w:cs="Arial"/>
                <w:b/>
                <w:bCs/>
                <w:sz w:val="20"/>
                <w:szCs w:val="20"/>
              </w:rPr>
              <w:lastRenderedPageBreak/>
              <w:t>F</w:t>
            </w:r>
            <w:r w:rsidR="00AE42BD">
              <w:rPr>
                <w:rFonts w:ascii="Arial" w:hAnsi="Arial" w:cs="Arial"/>
                <w:b/>
                <w:bCs/>
                <w:sz w:val="20"/>
                <w:szCs w:val="20"/>
              </w:rPr>
              <w:t xml:space="preserve"> </w:t>
            </w:r>
            <w:r w:rsidRPr="00AF4D67">
              <w:rPr>
                <w:rFonts w:ascii="Arial" w:hAnsi="Arial" w:cs="Arial"/>
                <w:b/>
                <w:bCs/>
                <w:sz w:val="20"/>
                <w:szCs w:val="20"/>
              </w:rPr>
              <w:t>(P)</w:t>
            </w:r>
          </w:p>
        </w:tc>
      </w:tr>
      <w:tr w:rsidR="00AF4D67" w:rsidRPr="00AF4D67" w14:paraId="1E388F5B" w14:textId="77777777" w:rsidTr="00F05E6E">
        <w:trPr>
          <w:trHeight w:val="312"/>
        </w:trPr>
        <w:tc>
          <w:tcPr>
            <w:tcW w:w="6229" w:type="dxa"/>
            <w:tcBorders>
              <w:top w:val="single" w:sz="4" w:space="0" w:color="auto"/>
            </w:tcBorders>
            <w:noWrap/>
          </w:tcPr>
          <w:p w14:paraId="47488471"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lastRenderedPageBreak/>
              <w:t>Cohabitation is the union of persons of opposite sex who are romantically involved and living together but not married.</w:t>
            </w:r>
          </w:p>
        </w:tc>
        <w:tc>
          <w:tcPr>
            <w:tcW w:w="1146" w:type="dxa"/>
            <w:tcBorders>
              <w:top w:val="single" w:sz="4" w:space="0" w:color="auto"/>
            </w:tcBorders>
            <w:noWrap/>
          </w:tcPr>
          <w:p w14:paraId="440DAF8D"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285(92.5)</w:t>
            </w:r>
          </w:p>
        </w:tc>
        <w:tc>
          <w:tcPr>
            <w:tcW w:w="1265" w:type="dxa"/>
            <w:tcBorders>
              <w:top w:val="single" w:sz="4" w:space="0" w:color="auto"/>
            </w:tcBorders>
            <w:noWrap/>
          </w:tcPr>
          <w:p w14:paraId="5C149F85"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23(7.5)</w:t>
            </w:r>
          </w:p>
        </w:tc>
      </w:tr>
      <w:tr w:rsidR="00AF4D67" w:rsidRPr="00AF4D67" w14:paraId="38ACFEE4" w14:textId="77777777" w:rsidTr="00F05E6E">
        <w:trPr>
          <w:trHeight w:val="312"/>
        </w:trPr>
        <w:tc>
          <w:tcPr>
            <w:tcW w:w="6229" w:type="dxa"/>
            <w:noWrap/>
          </w:tcPr>
          <w:p w14:paraId="7AE047F5"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Do you think cohabitation is common in the university?</w:t>
            </w:r>
          </w:p>
        </w:tc>
        <w:tc>
          <w:tcPr>
            <w:tcW w:w="1146" w:type="dxa"/>
            <w:noWrap/>
          </w:tcPr>
          <w:p w14:paraId="09358129"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277(89.9)</w:t>
            </w:r>
          </w:p>
        </w:tc>
        <w:tc>
          <w:tcPr>
            <w:tcW w:w="1265" w:type="dxa"/>
            <w:noWrap/>
          </w:tcPr>
          <w:p w14:paraId="64A8BECF"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31(10.1)</w:t>
            </w:r>
          </w:p>
        </w:tc>
      </w:tr>
      <w:tr w:rsidR="00AF4D67" w:rsidRPr="00AF4D67" w14:paraId="7AA4902A" w14:textId="77777777" w:rsidTr="00F05E6E">
        <w:trPr>
          <w:trHeight w:val="312"/>
        </w:trPr>
        <w:tc>
          <w:tcPr>
            <w:tcW w:w="6229" w:type="dxa"/>
            <w:noWrap/>
          </w:tcPr>
          <w:p w14:paraId="5FBB35B0"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Do you know of a student of this university who is in a cohabiting relationship?</w:t>
            </w:r>
          </w:p>
        </w:tc>
        <w:tc>
          <w:tcPr>
            <w:tcW w:w="1146" w:type="dxa"/>
            <w:noWrap/>
          </w:tcPr>
          <w:p w14:paraId="2C077801"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168(54.5)</w:t>
            </w:r>
          </w:p>
        </w:tc>
        <w:tc>
          <w:tcPr>
            <w:tcW w:w="1265" w:type="dxa"/>
            <w:noWrap/>
          </w:tcPr>
          <w:p w14:paraId="35939AC0"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140(45.5)</w:t>
            </w:r>
          </w:p>
        </w:tc>
      </w:tr>
      <w:tr w:rsidR="00AF4D67" w:rsidRPr="00AF4D67" w14:paraId="0DF959DC" w14:textId="77777777" w:rsidTr="00F05E6E">
        <w:trPr>
          <w:trHeight w:val="312"/>
        </w:trPr>
        <w:tc>
          <w:tcPr>
            <w:tcW w:w="6229" w:type="dxa"/>
            <w:noWrap/>
          </w:tcPr>
          <w:p w14:paraId="163B81FD"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Have you ever lived and shared the same apartment or room with a student of the opposite sex?"</w:t>
            </w:r>
          </w:p>
        </w:tc>
        <w:tc>
          <w:tcPr>
            <w:tcW w:w="1146" w:type="dxa"/>
            <w:noWrap/>
          </w:tcPr>
          <w:p w14:paraId="03F67B97"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30(9.7)</w:t>
            </w:r>
          </w:p>
        </w:tc>
        <w:tc>
          <w:tcPr>
            <w:tcW w:w="1265" w:type="dxa"/>
            <w:noWrap/>
          </w:tcPr>
          <w:p w14:paraId="21EFF792"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278(90.3)</w:t>
            </w:r>
          </w:p>
        </w:tc>
      </w:tr>
      <w:tr w:rsidR="00AF4D67" w:rsidRPr="00AF4D67" w14:paraId="7D106E62" w14:textId="77777777" w:rsidTr="00F05E6E">
        <w:trPr>
          <w:trHeight w:val="312"/>
        </w:trPr>
        <w:tc>
          <w:tcPr>
            <w:tcW w:w="6229" w:type="dxa"/>
            <w:noWrap/>
          </w:tcPr>
          <w:p w14:paraId="31F8FAC7"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Are you currently in a cohabiting relationship?</w:t>
            </w:r>
          </w:p>
        </w:tc>
        <w:tc>
          <w:tcPr>
            <w:tcW w:w="1146" w:type="dxa"/>
            <w:noWrap/>
          </w:tcPr>
          <w:p w14:paraId="37B9846D"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18(5.8)</w:t>
            </w:r>
          </w:p>
        </w:tc>
        <w:tc>
          <w:tcPr>
            <w:tcW w:w="1265" w:type="dxa"/>
            <w:noWrap/>
          </w:tcPr>
          <w:p w14:paraId="631A2529"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290(94.2)</w:t>
            </w:r>
          </w:p>
        </w:tc>
      </w:tr>
      <w:tr w:rsidR="00AF4D67" w:rsidRPr="00AF4D67" w14:paraId="55E7E67C" w14:textId="77777777" w:rsidTr="00F05E6E">
        <w:trPr>
          <w:trHeight w:val="312"/>
        </w:trPr>
        <w:tc>
          <w:tcPr>
            <w:tcW w:w="6229" w:type="dxa"/>
            <w:noWrap/>
          </w:tcPr>
          <w:p w14:paraId="7A67934B"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Can you enter into a cohabiting relationship</w:t>
            </w:r>
          </w:p>
        </w:tc>
        <w:tc>
          <w:tcPr>
            <w:tcW w:w="1146" w:type="dxa"/>
            <w:noWrap/>
          </w:tcPr>
          <w:p w14:paraId="728AA173"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69(22.4)</w:t>
            </w:r>
          </w:p>
        </w:tc>
        <w:tc>
          <w:tcPr>
            <w:tcW w:w="1265" w:type="dxa"/>
            <w:noWrap/>
          </w:tcPr>
          <w:p w14:paraId="4B60A6B2"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239(77.6)</w:t>
            </w:r>
          </w:p>
        </w:tc>
      </w:tr>
      <w:tr w:rsidR="00AF4D67" w:rsidRPr="00AF4D67" w14:paraId="28829B93" w14:textId="77777777" w:rsidTr="00F05E6E">
        <w:trPr>
          <w:trHeight w:val="312"/>
        </w:trPr>
        <w:tc>
          <w:tcPr>
            <w:tcW w:w="6229" w:type="dxa"/>
            <w:noWrap/>
          </w:tcPr>
          <w:p w14:paraId="3C820B7F"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Do you think cohabitation has any disadvantages or challenges?</w:t>
            </w:r>
          </w:p>
        </w:tc>
        <w:tc>
          <w:tcPr>
            <w:tcW w:w="1146" w:type="dxa"/>
            <w:noWrap/>
          </w:tcPr>
          <w:p w14:paraId="63FFE8EB"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233(75.6)</w:t>
            </w:r>
          </w:p>
        </w:tc>
        <w:tc>
          <w:tcPr>
            <w:tcW w:w="1265" w:type="dxa"/>
            <w:noWrap/>
          </w:tcPr>
          <w:p w14:paraId="6B975AC8"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75(24.4)</w:t>
            </w:r>
          </w:p>
        </w:tc>
      </w:tr>
      <w:tr w:rsidR="00AF4D67" w:rsidRPr="00AF4D67" w14:paraId="6A61013C" w14:textId="77777777" w:rsidTr="00F05E6E">
        <w:trPr>
          <w:trHeight w:val="312"/>
        </w:trPr>
        <w:tc>
          <w:tcPr>
            <w:tcW w:w="6229" w:type="dxa"/>
            <w:noWrap/>
          </w:tcPr>
          <w:p w14:paraId="3597260D"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Do you think cohabitation has any benefits?</w:t>
            </w:r>
          </w:p>
        </w:tc>
        <w:tc>
          <w:tcPr>
            <w:tcW w:w="1146" w:type="dxa"/>
            <w:noWrap/>
          </w:tcPr>
          <w:p w14:paraId="029B9DCA"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122(39.6)</w:t>
            </w:r>
          </w:p>
        </w:tc>
        <w:tc>
          <w:tcPr>
            <w:tcW w:w="1265" w:type="dxa"/>
            <w:noWrap/>
          </w:tcPr>
          <w:p w14:paraId="2700F26D"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186(60.41)</w:t>
            </w:r>
          </w:p>
        </w:tc>
      </w:tr>
      <w:tr w:rsidR="00AF4D67" w:rsidRPr="00AF4D67" w14:paraId="086A9534" w14:textId="77777777" w:rsidTr="00F05E6E">
        <w:trPr>
          <w:trHeight w:val="312"/>
        </w:trPr>
        <w:tc>
          <w:tcPr>
            <w:tcW w:w="6229" w:type="dxa"/>
            <w:noWrap/>
          </w:tcPr>
          <w:p w14:paraId="26795023"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Cohabiting students engage in premarital sex.</w:t>
            </w:r>
          </w:p>
        </w:tc>
        <w:tc>
          <w:tcPr>
            <w:tcW w:w="1146" w:type="dxa"/>
            <w:noWrap/>
          </w:tcPr>
          <w:p w14:paraId="1704136D"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245(79.5)</w:t>
            </w:r>
          </w:p>
        </w:tc>
        <w:tc>
          <w:tcPr>
            <w:tcW w:w="1265" w:type="dxa"/>
            <w:noWrap/>
          </w:tcPr>
          <w:p w14:paraId="126A05BB"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63(20.5)</w:t>
            </w:r>
          </w:p>
        </w:tc>
      </w:tr>
      <w:tr w:rsidR="00AF4D67" w:rsidRPr="00AF4D67" w14:paraId="711B9280" w14:textId="77777777" w:rsidTr="00F05E6E">
        <w:trPr>
          <w:trHeight w:val="312"/>
        </w:trPr>
        <w:tc>
          <w:tcPr>
            <w:tcW w:w="6229" w:type="dxa"/>
            <w:noWrap/>
          </w:tcPr>
          <w:p w14:paraId="7BEA9D31"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Are you living alone in a room or facility?</w:t>
            </w:r>
          </w:p>
        </w:tc>
        <w:tc>
          <w:tcPr>
            <w:tcW w:w="1146" w:type="dxa"/>
            <w:noWrap/>
          </w:tcPr>
          <w:p w14:paraId="729D4E91"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98(31.8)</w:t>
            </w:r>
          </w:p>
        </w:tc>
        <w:tc>
          <w:tcPr>
            <w:tcW w:w="1265" w:type="dxa"/>
            <w:noWrap/>
          </w:tcPr>
          <w:p w14:paraId="17DC14ED"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210(68.2)</w:t>
            </w:r>
          </w:p>
        </w:tc>
      </w:tr>
      <w:tr w:rsidR="00AF4D67" w:rsidRPr="00AF4D67" w14:paraId="769DC59F" w14:textId="77777777" w:rsidTr="00F05E6E">
        <w:trPr>
          <w:trHeight w:val="312"/>
        </w:trPr>
        <w:tc>
          <w:tcPr>
            <w:tcW w:w="6229" w:type="dxa"/>
            <w:noWrap/>
          </w:tcPr>
          <w:p w14:paraId="49D02080"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If no, who are you living with?</w:t>
            </w:r>
          </w:p>
        </w:tc>
        <w:tc>
          <w:tcPr>
            <w:tcW w:w="1146" w:type="dxa"/>
            <w:noWrap/>
          </w:tcPr>
          <w:p w14:paraId="507BACD6" w14:textId="77777777" w:rsidR="00AF4D67" w:rsidRPr="00AF4D67" w:rsidRDefault="00AF4D67" w:rsidP="00D52308">
            <w:pPr>
              <w:spacing w:line="480" w:lineRule="auto"/>
              <w:jc w:val="right"/>
              <w:rPr>
                <w:rFonts w:ascii="Arial" w:hAnsi="Arial" w:cs="Arial"/>
                <w:sz w:val="20"/>
                <w:szCs w:val="20"/>
              </w:rPr>
            </w:pPr>
          </w:p>
        </w:tc>
        <w:tc>
          <w:tcPr>
            <w:tcW w:w="1265" w:type="dxa"/>
            <w:noWrap/>
          </w:tcPr>
          <w:p w14:paraId="33A25B85" w14:textId="77777777" w:rsidR="00AF4D67" w:rsidRPr="00AF4D67" w:rsidRDefault="00AF4D67" w:rsidP="00D52308">
            <w:pPr>
              <w:spacing w:line="480" w:lineRule="auto"/>
              <w:jc w:val="right"/>
              <w:rPr>
                <w:rFonts w:ascii="Arial" w:hAnsi="Arial" w:cs="Arial"/>
                <w:sz w:val="20"/>
                <w:szCs w:val="20"/>
              </w:rPr>
            </w:pPr>
          </w:p>
        </w:tc>
      </w:tr>
      <w:tr w:rsidR="00AF4D67" w:rsidRPr="00AF4D67" w14:paraId="22BD3203" w14:textId="77777777" w:rsidTr="00F05E6E">
        <w:trPr>
          <w:trHeight w:val="312"/>
        </w:trPr>
        <w:tc>
          <w:tcPr>
            <w:tcW w:w="6229" w:type="dxa"/>
            <w:noWrap/>
          </w:tcPr>
          <w:p w14:paraId="1DB34978"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Female friend</w:t>
            </w:r>
          </w:p>
        </w:tc>
        <w:tc>
          <w:tcPr>
            <w:tcW w:w="1146" w:type="dxa"/>
            <w:noWrap/>
          </w:tcPr>
          <w:p w14:paraId="021638DE"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191(62.0)</w:t>
            </w:r>
          </w:p>
        </w:tc>
        <w:tc>
          <w:tcPr>
            <w:tcW w:w="1265" w:type="dxa"/>
            <w:noWrap/>
          </w:tcPr>
          <w:p w14:paraId="29905FF0"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0(0)</w:t>
            </w:r>
          </w:p>
        </w:tc>
      </w:tr>
      <w:tr w:rsidR="00AF4D67" w:rsidRPr="00AF4D67" w14:paraId="095AF624" w14:textId="77777777" w:rsidTr="00F05E6E">
        <w:trPr>
          <w:trHeight w:val="312"/>
        </w:trPr>
        <w:tc>
          <w:tcPr>
            <w:tcW w:w="6229" w:type="dxa"/>
            <w:noWrap/>
          </w:tcPr>
          <w:p w14:paraId="4F3473EE"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Male friend</w:t>
            </w:r>
          </w:p>
        </w:tc>
        <w:tc>
          <w:tcPr>
            <w:tcW w:w="1146" w:type="dxa"/>
            <w:noWrap/>
          </w:tcPr>
          <w:p w14:paraId="2A505F4F"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16(5.2)</w:t>
            </w:r>
          </w:p>
        </w:tc>
        <w:tc>
          <w:tcPr>
            <w:tcW w:w="1265" w:type="dxa"/>
            <w:noWrap/>
          </w:tcPr>
          <w:p w14:paraId="6865181D"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0(0)</w:t>
            </w:r>
          </w:p>
        </w:tc>
      </w:tr>
      <w:tr w:rsidR="00AF4D67" w:rsidRPr="00AF4D67" w14:paraId="647E6781" w14:textId="77777777" w:rsidTr="00F05E6E">
        <w:trPr>
          <w:trHeight w:val="312"/>
        </w:trPr>
        <w:tc>
          <w:tcPr>
            <w:tcW w:w="6229" w:type="dxa"/>
            <w:noWrap/>
          </w:tcPr>
          <w:p w14:paraId="01A1823F"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Both</w:t>
            </w:r>
          </w:p>
        </w:tc>
        <w:tc>
          <w:tcPr>
            <w:tcW w:w="1146" w:type="dxa"/>
            <w:noWrap/>
          </w:tcPr>
          <w:p w14:paraId="2C0E6316"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3(1.0)</w:t>
            </w:r>
          </w:p>
        </w:tc>
        <w:tc>
          <w:tcPr>
            <w:tcW w:w="1265" w:type="dxa"/>
            <w:noWrap/>
          </w:tcPr>
          <w:p w14:paraId="3EFBFF50"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0(0)</w:t>
            </w:r>
          </w:p>
        </w:tc>
      </w:tr>
      <w:tr w:rsidR="00AF4D67" w:rsidRPr="00AF4D67" w14:paraId="4A1D1419" w14:textId="77777777" w:rsidTr="00F05E6E">
        <w:trPr>
          <w:trHeight w:val="312"/>
        </w:trPr>
        <w:tc>
          <w:tcPr>
            <w:tcW w:w="6229" w:type="dxa"/>
            <w:noWrap/>
          </w:tcPr>
          <w:p w14:paraId="6055B44D" w14:textId="77777777" w:rsidR="00AF4D67" w:rsidRPr="00AF4D67" w:rsidRDefault="00AF4D67" w:rsidP="00D52308">
            <w:pPr>
              <w:spacing w:line="480" w:lineRule="auto"/>
              <w:rPr>
                <w:rFonts w:ascii="Arial" w:hAnsi="Arial" w:cs="Arial"/>
                <w:sz w:val="20"/>
                <w:szCs w:val="20"/>
                <w:lang w:val="en-GB"/>
              </w:rPr>
            </w:pPr>
            <w:r w:rsidRPr="00AF4D67">
              <w:rPr>
                <w:rFonts w:ascii="Arial" w:hAnsi="Arial" w:cs="Arial"/>
                <w:sz w:val="20"/>
                <w:szCs w:val="20"/>
              </w:rPr>
              <w:t xml:space="preserve">Years of living with male friend </w:t>
            </w:r>
            <w:r w:rsidRPr="00AF4D67">
              <w:rPr>
                <w:rFonts w:ascii="Arial" w:hAnsi="Arial" w:cs="Arial"/>
                <w:sz w:val="20"/>
                <w:szCs w:val="20"/>
                <w:lang w:val="en-GB"/>
              </w:rPr>
              <w:t>(n=16)</w:t>
            </w:r>
          </w:p>
        </w:tc>
        <w:tc>
          <w:tcPr>
            <w:tcW w:w="1146" w:type="dxa"/>
            <w:noWrap/>
          </w:tcPr>
          <w:p w14:paraId="52F2D227" w14:textId="77777777" w:rsidR="00AF4D67" w:rsidRPr="00AF4D67" w:rsidRDefault="00AF4D67" w:rsidP="00D52308">
            <w:pPr>
              <w:spacing w:line="480" w:lineRule="auto"/>
              <w:jc w:val="right"/>
              <w:rPr>
                <w:rFonts w:ascii="Arial" w:hAnsi="Arial" w:cs="Arial"/>
                <w:sz w:val="20"/>
                <w:szCs w:val="20"/>
              </w:rPr>
            </w:pPr>
          </w:p>
        </w:tc>
        <w:tc>
          <w:tcPr>
            <w:tcW w:w="1265" w:type="dxa"/>
            <w:noWrap/>
          </w:tcPr>
          <w:p w14:paraId="4874F663" w14:textId="77777777" w:rsidR="00AF4D67" w:rsidRPr="00AF4D67" w:rsidRDefault="00AF4D67" w:rsidP="00D52308">
            <w:pPr>
              <w:spacing w:line="480" w:lineRule="auto"/>
              <w:jc w:val="right"/>
              <w:rPr>
                <w:rFonts w:ascii="Arial" w:hAnsi="Arial" w:cs="Arial"/>
                <w:sz w:val="20"/>
                <w:szCs w:val="20"/>
              </w:rPr>
            </w:pPr>
          </w:p>
        </w:tc>
      </w:tr>
      <w:tr w:rsidR="00AF4D67" w:rsidRPr="00AF4D67" w14:paraId="702120DF" w14:textId="77777777" w:rsidTr="00F05E6E">
        <w:trPr>
          <w:trHeight w:val="312"/>
        </w:trPr>
        <w:tc>
          <w:tcPr>
            <w:tcW w:w="6229" w:type="dxa"/>
            <w:noWrap/>
          </w:tcPr>
          <w:p w14:paraId="5898DEA5" w14:textId="77777777" w:rsidR="00AF4D67" w:rsidRPr="00AF4D67" w:rsidRDefault="00AF4D67" w:rsidP="00D52308">
            <w:pPr>
              <w:spacing w:line="480" w:lineRule="auto"/>
              <w:rPr>
                <w:rFonts w:ascii="Arial" w:hAnsi="Arial" w:cs="Arial"/>
                <w:sz w:val="20"/>
                <w:szCs w:val="20"/>
                <w:lang w:val="en-GB"/>
              </w:rPr>
            </w:pPr>
            <w:r w:rsidRPr="00AF4D67">
              <w:rPr>
                <w:rFonts w:ascii="Arial" w:hAnsi="Arial" w:cs="Arial"/>
                <w:sz w:val="20"/>
                <w:szCs w:val="20"/>
                <w:lang w:val="en-GB"/>
              </w:rPr>
              <w:t>&lt; 1 year</w:t>
            </w:r>
          </w:p>
        </w:tc>
        <w:tc>
          <w:tcPr>
            <w:tcW w:w="1146" w:type="dxa"/>
            <w:noWrap/>
          </w:tcPr>
          <w:p w14:paraId="7BA2386E"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1(6.2)</w:t>
            </w:r>
          </w:p>
        </w:tc>
        <w:tc>
          <w:tcPr>
            <w:tcW w:w="1265" w:type="dxa"/>
            <w:noWrap/>
          </w:tcPr>
          <w:p w14:paraId="195BC1A9"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0(0)</w:t>
            </w:r>
          </w:p>
        </w:tc>
      </w:tr>
      <w:tr w:rsidR="00AF4D67" w:rsidRPr="00AF4D67" w14:paraId="279C7DC8" w14:textId="77777777" w:rsidTr="00F05E6E">
        <w:trPr>
          <w:trHeight w:val="312"/>
        </w:trPr>
        <w:tc>
          <w:tcPr>
            <w:tcW w:w="6229" w:type="dxa"/>
            <w:noWrap/>
          </w:tcPr>
          <w:p w14:paraId="41F6F8DB" w14:textId="77777777" w:rsidR="00AF4D67" w:rsidRPr="00AF4D67" w:rsidRDefault="00AF4D67" w:rsidP="00D52308">
            <w:pPr>
              <w:spacing w:line="480" w:lineRule="auto"/>
              <w:rPr>
                <w:rFonts w:ascii="Arial" w:hAnsi="Arial" w:cs="Arial"/>
                <w:sz w:val="20"/>
                <w:szCs w:val="20"/>
                <w:lang w:val="en-GB"/>
              </w:rPr>
            </w:pPr>
            <w:r w:rsidRPr="00AF4D67">
              <w:rPr>
                <w:rFonts w:ascii="Arial" w:hAnsi="Arial" w:cs="Arial"/>
                <w:sz w:val="20"/>
                <w:szCs w:val="20"/>
                <w:lang w:val="en-GB"/>
              </w:rPr>
              <w:t xml:space="preserve"> 1 - 3 years</w:t>
            </w:r>
          </w:p>
        </w:tc>
        <w:tc>
          <w:tcPr>
            <w:tcW w:w="1146" w:type="dxa"/>
            <w:noWrap/>
          </w:tcPr>
          <w:p w14:paraId="3AB5CE7D"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2(12.5)</w:t>
            </w:r>
          </w:p>
        </w:tc>
        <w:tc>
          <w:tcPr>
            <w:tcW w:w="1265" w:type="dxa"/>
            <w:noWrap/>
          </w:tcPr>
          <w:p w14:paraId="6BBF5E95"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0(0)</w:t>
            </w:r>
          </w:p>
        </w:tc>
      </w:tr>
      <w:tr w:rsidR="00AF4D67" w:rsidRPr="00AF4D67" w14:paraId="0D9F6446" w14:textId="77777777" w:rsidTr="00F05E6E">
        <w:trPr>
          <w:trHeight w:val="312"/>
        </w:trPr>
        <w:tc>
          <w:tcPr>
            <w:tcW w:w="6229" w:type="dxa"/>
            <w:tcBorders>
              <w:bottom w:val="single" w:sz="4" w:space="0" w:color="auto"/>
            </w:tcBorders>
            <w:noWrap/>
          </w:tcPr>
          <w:p w14:paraId="39921AAD" w14:textId="77777777" w:rsidR="00AF4D67" w:rsidRPr="00AF4D67" w:rsidRDefault="00AF4D67" w:rsidP="00D52308">
            <w:pPr>
              <w:spacing w:line="480" w:lineRule="auto"/>
              <w:rPr>
                <w:rFonts w:ascii="Arial" w:hAnsi="Arial" w:cs="Arial"/>
                <w:sz w:val="20"/>
                <w:szCs w:val="20"/>
                <w:lang w:val="en-GB"/>
              </w:rPr>
            </w:pPr>
            <w:r w:rsidRPr="00AF4D67">
              <w:rPr>
                <w:rFonts w:ascii="Arial" w:hAnsi="Arial" w:cs="Arial"/>
                <w:sz w:val="20"/>
                <w:szCs w:val="20"/>
                <w:lang w:val="en-GB"/>
              </w:rPr>
              <w:t xml:space="preserve">No response </w:t>
            </w:r>
          </w:p>
        </w:tc>
        <w:tc>
          <w:tcPr>
            <w:tcW w:w="1146" w:type="dxa"/>
            <w:tcBorders>
              <w:bottom w:val="single" w:sz="4" w:space="0" w:color="auto"/>
            </w:tcBorders>
            <w:noWrap/>
          </w:tcPr>
          <w:p w14:paraId="35164174" w14:textId="77777777" w:rsidR="00AF4D67" w:rsidRPr="00AF4D67" w:rsidRDefault="00AF4D67" w:rsidP="00D52308">
            <w:pPr>
              <w:wordWrap w:val="0"/>
              <w:spacing w:line="480" w:lineRule="auto"/>
              <w:jc w:val="right"/>
              <w:rPr>
                <w:rFonts w:ascii="Arial" w:hAnsi="Arial" w:cs="Arial"/>
                <w:sz w:val="20"/>
                <w:szCs w:val="20"/>
                <w:lang w:val="en-GB"/>
              </w:rPr>
            </w:pPr>
            <w:r w:rsidRPr="00AF4D67">
              <w:rPr>
                <w:rFonts w:ascii="Arial" w:hAnsi="Arial" w:cs="Arial"/>
                <w:sz w:val="20"/>
                <w:szCs w:val="20"/>
                <w:lang w:val="en-GB"/>
              </w:rPr>
              <w:t>13 (81.3)</w:t>
            </w:r>
          </w:p>
        </w:tc>
        <w:tc>
          <w:tcPr>
            <w:tcW w:w="1265" w:type="dxa"/>
            <w:tcBorders>
              <w:bottom w:val="single" w:sz="4" w:space="0" w:color="auto"/>
            </w:tcBorders>
            <w:noWrap/>
          </w:tcPr>
          <w:p w14:paraId="31D9DA7B"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0(0)</w:t>
            </w:r>
          </w:p>
        </w:tc>
      </w:tr>
    </w:tbl>
    <w:p w14:paraId="36D67EC3" w14:textId="77777777" w:rsidR="00AF4D67" w:rsidRPr="00C51CC9" w:rsidRDefault="00AF4D67" w:rsidP="00D52308">
      <w:pPr>
        <w:spacing w:line="480" w:lineRule="auto"/>
        <w:jc w:val="both"/>
        <w:rPr>
          <w:rFonts w:ascii="Arial" w:hAnsi="Arial" w:cs="Arial"/>
          <w:i/>
          <w:iCs/>
        </w:rPr>
      </w:pPr>
      <w:r w:rsidRPr="00C51CC9">
        <w:rPr>
          <w:rFonts w:ascii="Arial" w:hAnsi="Arial" w:cs="Arial"/>
          <w:i/>
          <w:iCs/>
        </w:rPr>
        <w:t xml:space="preserve">F = Frequency </w:t>
      </w:r>
      <w:r w:rsidRPr="00C51CC9">
        <w:rPr>
          <w:rFonts w:ascii="Arial" w:hAnsi="Arial" w:cs="Arial"/>
          <w:i/>
          <w:iCs/>
        </w:rPr>
        <w:tab/>
        <w:t>P= Percentage</w:t>
      </w:r>
    </w:p>
    <w:p w14:paraId="519B748C" w14:textId="77777777" w:rsidR="00291D6B" w:rsidRDefault="00291D6B" w:rsidP="00291D6B">
      <w:pPr>
        <w:jc w:val="both"/>
        <w:rPr>
          <w:rFonts w:ascii="Arial" w:hAnsi="Arial" w:cs="Arial"/>
        </w:rPr>
      </w:pPr>
      <w:r w:rsidRPr="00291D6B">
        <w:rPr>
          <w:rFonts w:ascii="Arial" w:hAnsi="Arial" w:cs="Arial"/>
        </w:rPr>
        <w:t>The chart below shows that only 5.8% of respondents were cohabiting, while the majority (94.2%) were not. In terms of experience, 9.7% reported having previously cohabited with an opposite-sex partner, whereas 90.3% had never done so.</w:t>
      </w:r>
    </w:p>
    <w:p w14:paraId="2610113D" w14:textId="77777777" w:rsidR="00291D6B" w:rsidRPr="00291D6B" w:rsidRDefault="00291D6B" w:rsidP="00291D6B">
      <w:pPr>
        <w:jc w:val="both"/>
        <w:rPr>
          <w:rFonts w:ascii="Arial" w:hAnsi="Arial" w:cs="Arial"/>
        </w:rPr>
      </w:pPr>
    </w:p>
    <w:p w14:paraId="370E3212" w14:textId="53D2F0A5" w:rsidR="00FF343C" w:rsidRDefault="00291D6B" w:rsidP="00291D6B">
      <w:pPr>
        <w:jc w:val="both"/>
        <w:rPr>
          <w:rFonts w:ascii="Arial" w:hAnsi="Arial" w:cs="Arial"/>
        </w:rPr>
      </w:pPr>
      <w:r w:rsidRPr="00291D6B">
        <w:rPr>
          <w:rFonts w:ascii="Arial" w:hAnsi="Arial" w:cs="Arial"/>
        </w:rPr>
        <w:lastRenderedPageBreak/>
        <w:t>This indicates that although awareness and perception of cohabitation were high, actual engagement (current and previous) was relatively low among respondents.</w:t>
      </w:r>
    </w:p>
    <w:p w14:paraId="1F50C592" w14:textId="77777777" w:rsidR="00291D6B" w:rsidRPr="00AF4D67" w:rsidRDefault="00291D6B" w:rsidP="00291D6B">
      <w:pPr>
        <w:jc w:val="both"/>
        <w:rPr>
          <w:rFonts w:ascii="Arial" w:hAnsi="Arial" w:cs="Arial"/>
        </w:rPr>
      </w:pPr>
    </w:p>
    <w:p w14:paraId="50166AFB" w14:textId="7A20A9F3" w:rsidR="00AF4D67" w:rsidRPr="00AF4D67" w:rsidRDefault="00AF4D67" w:rsidP="00AF4D67">
      <w:pPr>
        <w:spacing w:line="480" w:lineRule="auto"/>
        <w:rPr>
          <w:rFonts w:ascii="Arial" w:hAnsi="Arial" w:cs="Arial"/>
          <w:b/>
        </w:rPr>
      </w:pPr>
      <w:r w:rsidRPr="00AF4D67">
        <w:rPr>
          <w:rFonts w:ascii="Arial" w:hAnsi="Arial" w:cs="Arial"/>
          <w:b/>
          <w:bCs/>
        </w:rPr>
        <w:t xml:space="preserve">Figure 1: </w:t>
      </w:r>
      <w:r w:rsidR="00486A11" w:rsidRPr="00486A11">
        <w:rPr>
          <w:rFonts w:ascii="Arial" w:hAnsi="Arial" w:cs="Arial"/>
          <w:b/>
        </w:rPr>
        <w:t>Current and Previous Cohabitation Status Among Female Undergraduates at Obafemi Awolowo University</w:t>
      </w:r>
    </w:p>
    <w:p w14:paraId="308ABC13" w14:textId="609F8C69" w:rsidR="00AF4D67" w:rsidRDefault="00AF4D67" w:rsidP="00B24ADF">
      <w:pPr>
        <w:pStyle w:val="Body"/>
        <w:spacing w:after="0"/>
        <w:rPr>
          <w:rFonts w:ascii="Arial" w:hAnsi="Arial" w:cs="Arial"/>
        </w:rPr>
      </w:pPr>
      <w:r w:rsidRPr="0084123F">
        <w:rPr>
          <w:rFonts w:ascii="Times New Roman" w:hAnsi="Times New Roman"/>
          <w:bCs/>
          <w:noProof/>
          <w:sz w:val="24"/>
          <w:szCs w:val="24"/>
        </w:rPr>
        <w:drawing>
          <wp:inline distT="0" distB="0" distL="0" distR="0" wp14:anchorId="63DA7EA5" wp14:editId="7E796772">
            <wp:extent cx="5212080" cy="3503831"/>
            <wp:effectExtent l="0" t="0" r="7620" b="1905"/>
            <wp:docPr id="341453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53841" name="Picture 341453841"/>
                    <pic:cNvPicPr/>
                  </pic:nvPicPr>
                  <pic:blipFill>
                    <a:blip r:embed="rId14"/>
                    <a:stretch>
                      <a:fillRect/>
                    </a:stretch>
                  </pic:blipFill>
                  <pic:spPr>
                    <a:xfrm>
                      <a:off x="0" y="0"/>
                      <a:ext cx="5212080" cy="3503831"/>
                    </a:xfrm>
                    <a:prstGeom prst="rect">
                      <a:avLst/>
                    </a:prstGeom>
                  </pic:spPr>
                </pic:pic>
              </a:graphicData>
            </a:graphic>
          </wp:inline>
        </w:drawing>
      </w:r>
    </w:p>
    <w:p w14:paraId="041E9712" w14:textId="603F5808" w:rsidR="00400DB6" w:rsidRDefault="00400DB6" w:rsidP="00AE5607">
      <w:pPr>
        <w:pStyle w:val="Body"/>
        <w:spacing w:after="0"/>
        <w:rPr>
          <w:rFonts w:ascii="Arial" w:hAnsi="Arial" w:cs="Arial"/>
          <w:i/>
          <w:iCs/>
        </w:rPr>
      </w:pPr>
      <w:r>
        <w:rPr>
          <w:rFonts w:ascii="Arial" w:hAnsi="Arial" w:cs="Arial"/>
          <w:i/>
          <w:iCs/>
        </w:rPr>
        <w:t xml:space="preserve">Axis title: </w:t>
      </w:r>
      <w:r w:rsidRPr="00400DB6">
        <w:rPr>
          <w:rFonts w:ascii="Arial" w:hAnsi="Arial" w:cs="Arial"/>
          <w:i/>
          <w:iCs/>
        </w:rPr>
        <w:t>Percentage of Respondents (%)</w:t>
      </w:r>
    </w:p>
    <w:p w14:paraId="49B90F3D" w14:textId="77777777" w:rsidR="00400DB6" w:rsidRDefault="00400DB6" w:rsidP="00400DB6">
      <w:pPr>
        <w:pStyle w:val="Body"/>
        <w:rPr>
          <w:rFonts w:ascii="Arial" w:hAnsi="Arial" w:cs="Arial"/>
          <w:bCs/>
          <w:i/>
          <w:iCs/>
        </w:rPr>
      </w:pPr>
      <w:r>
        <w:rPr>
          <w:rFonts w:ascii="Arial" w:hAnsi="Arial" w:cs="Arial"/>
          <w:i/>
          <w:iCs/>
        </w:rPr>
        <w:t xml:space="preserve">Legends: </w:t>
      </w:r>
      <w:r w:rsidRPr="00400DB6">
        <w:rPr>
          <w:rFonts w:ascii="Arial" w:hAnsi="Arial" w:cs="Arial"/>
          <w:bCs/>
          <w:i/>
          <w:iCs/>
        </w:rPr>
        <w:t>Current Cohabitation Chart</w:t>
      </w:r>
    </w:p>
    <w:p w14:paraId="171FBF02" w14:textId="77777777" w:rsidR="00400DB6" w:rsidRDefault="00400DB6" w:rsidP="00400DB6">
      <w:pPr>
        <w:pStyle w:val="Body"/>
        <w:numPr>
          <w:ilvl w:val="0"/>
          <w:numId w:val="34"/>
        </w:numPr>
        <w:rPr>
          <w:rFonts w:ascii="Arial" w:hAnsi="Arial" w:cs="Arial"/>
          <w:i/>
          <w:iCs/>
        </w:rPr>
      </w:pPr>
      <w:r w:rsidRPr="00400DB6">
        <w:rPr>
          <w:rFonts w:ascii="Arial" w:hAnsi="Arial" w:cs="Arial"/>
          <w:i/>
          <w:iCs/>
        </w:rPr>
        <w:t>Yellow = Yes (Currently cohabiting)</w:t>
      </w:r>
    </w:p>
    <w:p w14:paraId="342FF5ED" w14:textId="3335197E" w:rsidR="00400DB6" w:rsidRPr="00400DB6" w:rsidRDefault="00400DB6" w:rsidP="00400DB6">
      <w:pPr>
        <w:pStyle w:val="Body"/>
        <w:numPr>
          <w:ilvl w:val="0"/>
          <w:numId w:val="34"/>
        </w:numPr>
        <w:rPr>
          <w:rFonts w:ascii="Arial" w:hAnsi="Arial" w:cs="Arial"/>
          <w:i/>
          <w:iCs/>
        </w:rPr>
      </w:pPr>
      <w:r w:rsidRPr="00400DB6">
        <w:rPr>
          <w:rFonts w:ascii="Arial" w:hAnsi="Arial" w:cs="Arial"/>
          <w:i/>
          <w:iCs/>
        </w:rPr>
        <w:t>Grey = No (Not currently cohabiting)</w:t>
      </w:r>
    </w:p>
    <w:p w14:paraId="5FF0629E" w14:textId="77777777" w:rsidR="00400DB6" w:rsidRPr="00400DB6" w:rsidRDefault="00400DB6" w:rsidP="00400DB6">
      <w:pPr>
        <w:pStyle w:val="Body"/>
        <w:spacing w:after="0"/>
        <w:ind w:left="720"/>
        <w:rPr>
          <w:rFonts w:ascii="Arial" w:hAnsi="Arial" w:cs="Arial"/>
          <w:i/>
          <w:iCs/>
        </w:rPr>
      </w:pPr>
    </w:p>
    <w:p w14:paraId="2B23EEE1" w14:textId="30CFEFD1" w:rsidR="00400DB6" w:rsidRDefault="00400DB6" w:rsidP="00400DB6">
      <w:pPr>
        <w:pStyle w:val="Body"/>
        <w:spacing w:after="0"/>
        <w:rPr>
          <w:rFonts w:ascii="Arial" w:hAnsi="Arial" w:cs="Arial"/>
          <w:i/>
          <w:iCs/>
        </w:rPr>
      </w:pPr>
      <w:r w:rsidRPr="00400DB6">
        <w:rPr>
          <w:rFonts w:ascii="Arial" w:hAnsi="Arial" w:cs="Arial"/>
          <w:i/>
          <w:iCs/>
        </w:rPr>
        <w:t>Previous Cohabitation Chart</w:t>
      </w:r>
    </w:p>
    <w:p w14:paraId="1C8FE6C3" w14:textId="77777777" w:rsidR="00400DB6" w:rsidRDefault="00400DB6" w:rsidP="00400DB6">
      <w:pPr>
        <w:pStyle w:val="Body"/>
        <w:numPr>
          <w:ilvl w:val="0"/>
          <w:numId w:val="32"/>
        </w:numPr>
        <w:spacing w:after="0"/>
        <w:rPr>
          <w:rFonts w:ascii="Arial" w:hAnsi="Arial" w:cs="Arial"/>
          <w:i/>
          <w:iCs/>
        </w:rPr>
      </w:pPr>
      <w:r w:rsidRPr="00400DB6">
        <w:rPr>
          <w:rFonts w:ascii="Arial" w:hAnsi="Arial" w:cs="Arial"/>
          <w:i/>
          <w:iCs/>
        </w:rPr>
        <w:t>Blue = Yes (Previously cohabited)</w:t>
      </w:r>
    </w:p>
    <w:p w14:paraId="57948315" w14:textId="77777777" w:rsidR="00400DB6" w:rsidRPr="00400DB6" w:rsidRDefault="00400DB6" w:rsidP="00400DB6">
      <w:pPr>
        <w:pStyle w:val="Body"/>
        <w:numPr>
          <w:ilvl w:val="0"/>
          <w:numId w:val="32"/>
        </w:numPr>
        <w:spacing w:after="0"/>
        <w:rPr>
          <w:rFonts w:ascii="Arial" w:hAnsi="Arial" w:cs="Arial"/>
          <w:i/>
          <w:iCs/>
        </w:rPr>
      </w:pPr>
      <w:r w:rsidRPr="00400DB6">
        <w:rPr>
          <w:rFonts w:ascii="Arial" w:hAnsi="Arial" w:cs="Arial"/>
          <w:i/>
          <w:iCs/>
        </w:rPr>
        <w:t>Orange = No (Never cohabited)</w:t>
      </w:r>
    </w:p>
    <w:p w14:paraId="042A14C4" w14:textId="777597F7" w:rsidR="00400DB6" w:rsidRPr="00400DB6" w:rsidRDefault="00400DB6" w:rsidP="00AE5607">
      <w:pPr>
        <w:pStyle w:val="Body"/>
        <w:spacing w:after="0"/>
        <w:rPr>
          <w:rFonts w:ascii="Arial" w:hAnsi="Arial" w:cs="Arial"/>
          <w:i/>
          <w:iCs/>
        </w:rPr>
      </w:pPr>
    </w:p>
    <w:p w14:paraId="09D0CAAD" w14:textId="77777777" w:rsidR="00400DB6" w:rsidRDefault="00400DB6" w:rsidP="00AE5607">
      <w:pPr>
        <w:pStyle w:val="Body"/>
        <w:spacing w:after="0"/>
        <w:rPr>
          <w:rFonts w:ascii="Arial" w:hAnsi="Arial" w:cs="Arial"/>
        </w:rPr>
      </w:pPr>
    </w:p>
    <w:p w14:paraId="38EFFC4D" w14:textId="77777777" w:rsidR="00291D6B" w:rsidRDefault="00291D6B" w:rsidP="00691860">
      <w:pPr>
        <w:spacing w:before="240"/>
        <w:jc w:val="both"/>
        <w:rPr>
          <w:rFonts w:ascii="Arial" w:hAnsi="Arial" w:cs="Arial"/>
        </w:rPr>
      </w:pPr>
      <w:r w:rsidRPr="00291D6B">
        <w:rPr>
          <w:rFonts w:ascii="Arial" w:hAnsi="Arial" w:cs="Arial"/>
        </w:rPr>
        <w:t>Logistic regression analysis revealed that abandonment of valued African culture was the only statistically significant predictor of cohabitation (AOR = 0.09, p &lt; 0.001). This indicates that students who upheld African cultural values were significantly less likely to engage in cohabitation. Other factors, including shortage of on-campus accommodation (p = 0.246), peer pressure (p = 0.454), publicity/media (p = 0.261), high tuition fees/financial difficulties (p = 0.127), freedom from parental supervision (p = 0.672), sexual gratification (p = 0.062), and relationship compatibility testing (p = 0.616) did not demonstrate statistically significant associations with cohabitation.</w:t>
      </w:r>
    </w:p>
    <w:p w14:paraId="06440B07" w14:textId="1A4A8C2B" w:rsidR="00AF4D67" w:rsidRPr="00AF4D67" w:rsidRDefault="00AF4D67" w:rsidP="00691860">
      <w:pPr>
        <w:spacing w:before="240"/>
        <w:jc w:val="both"/>
        <w:rPr>
          <w:rFonts w:ascii="Arial" w:hAnsi="Arial" w:cs="Arial"/>
          <w:b/>
          <w:bCs/>
          <w:lang w:val="en-GB"/>
        </w:rPr>
      </w:pPr>
      <w:r w:rsidRPr="00AF4D67">
        <w:rPr>
          <w:rFonts w:ascii="Arial" w:hAnsi="Arial" w:cs="Arial"/>
          <w:b/>
          <w:bCs/>
          <w:lang w:val="en-GB"/>
        </w:rPr>
        <w:lastRenderedPageBreak/>
        <w:t>Table 3: Multivariate Logistic Regression on Factors Associated with Cohabitation</w:t>
      </w:r>
    </w:p>
    <w:p w14:paraId="513D1A1B" w14:textId="77777777" w:rsidR="00AF4D67" w:rsidRDefault="00AF4D67" w:rsidP="00AF4D67">
      <w:pPr>
        <w:jc w:val="both"/>
        <w:rPr>
          <w:rFonts w:ascii="Arial" w:hAnsi="Arial" w:cs="Arial"/>
          <w:color w:val="000000" w:themeColor="text1"/>
        </w:rPr>
      </w:pPr>
    </w:p>
    <w:p w14:paraId="4174B5F4" w14:textId="77777777" w:rsidR="002A758B" w:rsidRDefault="002A758B" w:rsidP="002A758B"/>
    <w:tbl>
      <w:tblPr>
        <w:tblStyle w:val="TableGrid"/>
        <w:tblW w:w="916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1091"/>
        <w:gridCol w:w="978"/>
        <w:gridCol w:w="957"/>
        <w:gridCol w:w="1091"/>
        <w:gridCol w:w="1572"/>
      </w:tblGrid>
      <w:tr w:rsidR="002A758B" w:rsidRPr="00AE42BD" w14:paraId="2255901D" w14:textId="77777777" w:rsidTr="002A758B">
        <w:trPr>
          <w:trHeight w:val="1490"/>
        </w:trPr>
        <w:tc>
          <w:tcPr>
            <w:tcW w:w="3477" w:type="dxa"/>
            <w:tcBorders>
              <w:top w:val="single" w:sz="4" w:space="0" w:color="auto"/>
              <w:bottom w:val="single" w:sz="4" w:space="0" w:color="auto"/>
            </w:tcBorders>
          </w:tcPr>
          <w:p w14:paraId="35752FAD" w14:textId="77777777" w:rsidR="002A758B" w:rsidRPr="00AE42BD" w:rsidRDefault="002A758B" w:rsidP="002A758B">
            <w:pPr>
              <w:spacing w:line="360" w:lineRule="auto"/>
              <w:rPr>
                <w:rFonts w:ascii="Arial" w:hAnsi="Arial" w:cs="Arial"/>
                <w:b/>
                <w:bCs/>
                <w:sz w:val="20"/>
                <w:szCs w:val="20"/>
              </w:rPr>
            </w:pPr>
            <w:r w:rsidRPr="00AE42BD">
              <w:rPr>
                <w:rFonts w:ascii="Arial" w:hAnsi="Arial" w:cs="Arial"/>
                <w:b/>
                <w:bCs/>
                <w:sz w:val="20"/>
                <w:szCs w:val="20"/>
              </w:rPr>
              <w:t>Variables</w:t>
            </w:r>
          </w:p>
        </w:tc>
        <w:tc>
          <w:tcPr>
            <w:tcW w:w="1091" w:type="dxa"/>
            <w:tcBorders>
              <w:top w:val="single" w:sz="4" w:space="0" w:color="auto"/>
              <w:bottom w:val="single" w:sz="4" w:space="0" w:color="auto"/>
            </w:tcBorders>
          </w:tcPr>
          <w:p w14:paraId="6BB2D81C" w14:textId="77777777" w:rsidR="002A758B" w:rsidRPr="00AE42BD" w:rsidRDefault="002A758B" w:rsidP="002A758B">
            <w:pPr>
              <w:spacing w:line="360" w:lineRule="auto"/>
              <w:rPr>
                <w:rFonts w:ascii="Arial" w:hAnsi="Arial" w:cs="Arial"/>
                <w:b/>
                <w:bCs/>
                <w:sz w:val="20"/>
                <w:szCs w:val="20"/>
              </w:rPr>
            </w:pPr>
            <w:r w:rsidRPr="00AE42BD">
              <w:rPr>
                <w:rFonts w:ascii="Arial" w:hAnsi="Arial" w:cs="Arial"/>
                <w:b/>
                <w:bCs/>
                <w:sz w:val="20"/>
                <w:szCs w:val="20"/>
              </w:rPr>
              <w:t>B</w:t>
            </w:r>
          </w:p>
        </w:tc>
        <w:tc>
          <w:tcPr>
            <w:tcW w:w="978" w:type="dxa"/>
            <w:tcBorders>
              <w:top w:val="single" w:sz="4" w:space="0" w:color="auto"/>
              <w:bottom w:val="single" w:sz="4" w:space="0" w:color="auto"/>
            </w:tcBorders>
          </w:tcPr>
          <w:p w14:paraId="4719A953" w14:textId="77777777" w:rsidR="002A758B" w:rsidRPr="00AE42BD" w:rsidRDefault="002A758B" w:rsidP="002A758B">
            <w:pPr>
              <w:spacing w:line="360" w:lineRule="auto"/>
              <w:rPr>
                <w:rFonts w:ascii="Arial" w:hAnsi="Arial" w:cs="Arial"/>
                <w:b/>
                <w:bCs/>
                <w:sz w:val="20"/>
                <w:szCs w:val="20"/>
              </w:rPr>
            </w:pPr>
            <w:r w:rsidRPr="00AE42BD">
              <w:rPr>
                <w:rFonts w:ascii="Arial" w:hAnsi="Arial" w:cs="Arial"/>
                <w:b/>
                <w:bCs/>
                <w:sz w:val="20"/>
                <w:szCs w:val="20"/>
              </w:rPr>
              <w:t>S.E</w:t>
            </w:r>
          </w:p>
        </w:tc>
        <w:tc>
          <w:tcPr>
            <w:tcW w:w="957" w:type="dxa"/>
            <w:tcBorders>
              <w:top w:val="single" w:sz="4" w:space="0" w:color="auto"/>
              <w:bottom w:val="single" w:sz="4" w:space="0" w:color="auto"/>
            </w:tcBorders>
          </w:tcPr>
          <w:p w14:paraId="3E81B86F" w14:textId="77777777" w:rsidR="002A758B" w:rsidRPr="00AE42BD" w:rsidRDefault="002A758B" w:rsidP="002A758B">
            <w:pPr>
              <w:spacing w:line="360" w:lineRule="auto"/>
              <w:rPr>
                <w:rFonts w:ascii="Arial" w:hAnsi="Arial" w:cs="Arial"/>
                <w:b/>
                <w:bCs/>
                <w:sz w:val="20"/>
                <w:szCs w:val="20"/>
              </w:rPr>
            </w:pPr>
            <w:r w:rsidRPr="00AE42BD">
              <w:rPr>
                <w:rFonts w:ascii="Arial" w:hAnsi="Arial" w:cs="Arial"/>
                <w:b/>
                <w:bCs/>
                <w:sz w:val="20"/>
                <w:szCs w:val="20"/>
              </w:rPr>
              <w:t>Wald</w:t>
            </w:r>
          </w:p>
        </w:tc>
        <w:tc>
          <w:tcPr>
            <w:tcW w:w="1091" w:type="dxa"/>
            <w:tcBorders>
              <w:top w:val="single" w:sz="4" w:space="0" w:color="auto"/>
              <w:bottom w:val="single" w:sz="4" w:space="0" w:color="auto"/>
            </w:tcBorders>
          </w:tcPr>
          <w:p w14:paraId="118D47A7" w14:textId="77777777" w:rsidR="002A758B" w:rsidRPr="00AE42BD" w:rsidRDefault="002A758B" w:rsidP="002A758B">
            <w:pPr>
              <w:spacing w:line="360" w:lineRule="auto"/>
              <w:rPr>
                <w:rFonts w:ascii="Arial" w:hAnsi="Arial" w:cs="Arial"/>
                <w:b/>
                <w:bCs/>
                <w:sz w:val="20"/>
                <w:szCs w:val="20"/>
              </w:rPr>
            </w:pPr>
            <w:r w:rsidRPr="00AE42BD">
              <w:rPr>
                <w:rFonts w:ascii="Arial" w:hAnsi="Arial" w:cs="Arial"/>
                <w:b/>
                <w:bCs/>
                <w:sz w:val="20"/>
                <w:szCs w:val="20"/>
              </w:rPr>
              <w:t>p-value</w:t>
            </w:r>
          </w:p>
        </w:tc>
        <w:tc>
          <w:tcPr>
            <w:tcW w:w="1572" w:type="dxa"/>
            <w:tcBorders>
              <w:top w:val="single" w:sz="4" w:space="0" w:color="auto"/>
              <w:bottom w:val="single" w:sz="4" w:space="0" w:color="auto"/>
            </w:tcBorders>
          </w:tcPr>
          <w:p w14:paraId="74029686" w14:textId="77777777" w:rsidR="002A758B" w:rsidRPr="00AE42BD" w:rsidRDefault="002A758B" w:rsidP="002A758B">
            <w:pPr>
              <w:spacing w:line="360" w:lineRule="auto"/>
              <w:rPr>
                <w:rFonts w:ascii="Arial" w:hAnsi="Arial" w:cs="Arial"/>
                <w:b/>
                <w:bCs/>
                <w:sz w:val="20"/>
                <w:szCs w:val="20"/>
                <w:vertAlign w:val="superscript"/>
              </w:rPr>
            </w:pPr>
            <w:r w:rsidRPr="00AE42BD">
              <w:rPr>
                <w:rFonts w:ascii="Arial" w:hAnsi="Arial" w:cs="Arial"/>
                <w:b/>
                <w:bCs/>
                <w:sz w:val="20"/>
                <w:szCs w:val="20"/>
              </w:rPr>
              <w:t>Adjusted OR (95% Cl)</w:t>
            </w:r>
            <w:r w:rsidRPr="00AE42BD">
              <w:rPr>
                <w:rFonts w:ascii="Arial" w:hAnsi="Arial" w:cs="Arial"/>
                <w:b/>
                <w:bCs/>
                <w:sz w:val="20"/>
                <w:szCs w:val="20"/>
                <w:vertAlign w:val="superscript"/>
              </w:rPr>
              <w:t>*</w:t>
            </w:r>
          </w:p>
        </w:tc>
      </w:tr>
      <w:tr w:rsidR="002A758B" w:rsidRPr="00AE42BD" w14:paraId="532E7A19" w14:textId="77777777" w:rsidTr="002A758B">
        <w:trPr>
          <w:trHeight w:val="1033"/>
        </w:trPr>
        <w:tc>
          <w:tcPr>
            <w:tcW w:w="3477" w:type="dxa"/>
            <w:tcBorders>
              <w:top w:val="single" w:sz="4" w:space="0" w:color="auto"/>
            </w:tcBorders>
            <w:vAlign w:val="center"/>
          </w:tcPr>
          <w:p w14:paraId="47865EB5"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Shortage of on-campus accommodation</w:t>
            </w:r>
          </w:p>
        </w:tc>
        <w:tc>
          <w:tcPr>
            <w:tcW w:w="1091" w:type="dxa"/>
            <w:tcBorders>
              <w:top w:val="single" w:sz="4" w:space="0" w:color="auto"/>
            </w:tcBorders>
            <w:vAlign w:val="center"/>
          </w:tcPr>
          <w:p w14:paraId="08EC2C1C"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-0.892</w:t>
            </w:r>
          </w:p>
        </w:tc>
        <w:tc>
          <w:tcPr>
            <w:tcW w:w="978" w:type="dxa"/>
            <w:tcBorders>
              <w:top w:val="single" w:sz="4" w:space="0" w:color="auto"/>
            </w:tcBorders>
            <w:vAlign w:val="center"/>
          </w:tcPr>
          <w:p w14:paraId="6764E64B"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0.77</w:t>
            </w:r>
          </w:p>
        </w:tc>
        <w:tc>
          <w:tcPr>
            <w:tcW w:w="957" w:type="dxa"/>
            <w:tcBorders>
              <w:top w:val="single" w:sz="4" w:space="0" w:color="auto"/>
            </w:tcBorders>
            <w:vAlign w:val="center"/>
          </w:tcPr>
          <w:p w14:paraId="24E3A6F6"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1.35</w:t>
            </w:r>
          </w:p>
        </w:tc>
        <w:tc>
          <w:tcPr>
            <w:tcW w:w="1091" w:type="dxa"/>
            <w:tcBorders>
              <w:top w:val="single" w:sz="4" w:space="0" w:color="auto"/>
            </w:tcBorders>
            <w:vAlign w:val="center"/>
          </w:tcPr>
          <w:p w14:paraId="4C88EB6E"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0.246</w:t>
            </w:r>
          </w:p>
        </w:tc>
        <w:tc>
          <w:tcPr>
            <w:tcW w:w="1572" w:type="dxa"/>
            <w:tcBorders>
              <w:top w:val="single" w:sz="4" w:space="0" w:color="auto"/>
            </w:tcBorders>
            <w:vAlign w:val="center"/>
          </w:tcPr>
          <w:p w14:paraId="3BBCC06A"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0.41 (0.09 – 1.79)</w:t>
            </w:r>
          </w:p>
        </w:tc>
      </w:tr>
      <w:tr w:rsidR="002A758B" w:rsidRPr="00AE42BD" w14:paraId="26C99404" w14:textId="77777777" w:rsidTr="002A758B">
        <w:trPr>
          <w:trHeight w:val="1052"/>
        </w:trPr>
        <w:tc>
          <w:tcPr>
            <w:tcW w:w="3477" w:type="dxa"/>
            <w:vAlign w:val="center"/>
          </w:tcPr>
          <w:p w14:paraId="390EF7E2"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Test for relationship compatibility</w:t>
            </w:r>
          </w:p>
        </w:tc>
        <w:tc>
          <w:tcPr>
            <w:tcW w:w="1091" w:type="dxa"/>
            <w:vAlign w:val="center"/>
          </w:tcPr>
          <w:p w14:paraId="0E487B09"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-0.441</w:t>
            </w:r>
          </w:p>
        </w:tc>
        <w:tc>
          <w:tcPr>
            <w:tcW w:w="978" w:type="dxa"/>
            <w:vAlign w:val="center"/>
          </w:tcPr>
          <w:p w14:paraId="0DA4CB42"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0.88</w:t>
            </w:r>
          </w:p>
        </w:tc>
        <w:tc>
          <w:tcPr>
            <w:tcW w:w="957" w:type="dxa"/>
            <w:vAlign w:val="center"/>
          </w:tcPr>
          <w:p w14:paraId="0616654B"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0.25</w:t>
            </w:r>
          </w:p>
        </w:tc>
        <w:tc>
          <w:tcPr>
            <w:tcW w:w="1091" w:type="dxa"/>
            <w:vAlign w:val="center"/>
          </w:tcPr>
          <w:p w14:paraId="24389835"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0.616</w:t>
            </w:r>
          </w:p>
        </w:tc>
        <w:tc>
          <w:tcPr>
            <w:tcW w:w="1572" w:type="dxa"/>
            <w:vAlign w:val="center"/>
          </w:tcPr>
          <w:p w14:paraId="2A33F84E"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0.64 (0.11 – 3.74)</w:t>
            </w:r>
          </w:p>
        </w:tc>
      </w:tr>
      <w:tr w:rsidR="002A758B" w:rsidRPr="00AE42BD" w14:paraId="7F008769" w14:textId="77777777" w:rsidTr="002A758B">
        <w:trPr>
          <w:trHeight w:val="1052"/>
        </w:trPr>
        <w:tc>
          <w:tcPr>
            <w:tcW w:w="3477" w:type="dxa"/>
            <w:vAlign w:val="center"/>
          </w:tcPr>
          <w:p w14:paraId="1E402277"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Peer pressure</w:t>
            </w:r>
          </w:p>
        </w:tc>
        <w:tc>
          <w:tcPr>
            <w:tcW w:w="1091" w:type="dxa"/>
            <w:vAlign w:val="center"/>
          </w:tcPr>
          <w:p w14:paraId="1D76EDDF"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-0.832</w:t>
            </w:r>
          </w:p>
        </w:tc>
        <w:tc>
          <w:tcPr>
            <w:tcW w:w="978" w:type="dxa"/>
            <w:vAlign w:val="center"/>
          </w:tcPr>
          <w:p w14:paraId="76905827"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1.11</w:t>
            </w:r>
          </w:p>
        </w:tc>
        <w:tc>
          <w:tcPr>
            <w:tcW w:w="957" w:type="dxa"/>
            <w:vAlign w:val="center"/>
          </w:tcPr>
          <w:p w14:paraId="1A92CFB3"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0.56</w:t>
            </w:r>
          </w:p>
        </w:tc>
        <w:tc>
          <w:tcPr>
            <w:tcW w:w="1091" w:type="dxa"/>
            <w:vAlign w:val="center"/>
          </w:tcPr>
          <w:p w14:paraId="0D36BF80"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0.454</w:t>
            </w:r>
          </w:p>
        </w:tc>
        <w:tc>
          <w:tcPr>
            <w:tcW w:w="1572" w:type="dxa"/>
            <w:vAlign w:val="center"/>
          </w:tcPr>
          <w:p w14:paraId="085D5131"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0.43 (0.05 – 3.62)</w:t>
            </w:r>
          </w:p>
        </w:tc>
      </w:tr>
      <w:tr w:rsidR="002A758B" w:rsidRPr="00AE42BD" w14:paraId="26F666B3" w14:textId="77777777" w:rsidTr="002A758B">
        <w:trPr>
          <w:trHeight w:val="1033"/>
        </w:trPr>
        <w:tc>
          <w:tcPr>
            <w:tcW w:w="3477" w:type="dxa"/>
            <w:vAlign w:val="center"/>
          </w:tcPr>
          <w:p w14:paraId="5257B357"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Sexual gratification and experimentation</w:t>
            </w:r>
          </w:p>
        </w:tc>
        <w:tc>
          <w:tcPr>
            <w:tcW w:w="1091" w:type="dxa"/>
            <w:vAlign w:val="center"/>
          </w:tcPr>
          <w:p w14:paraId="0987F58A"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-2.191</w:t>
            </w:r>
          </w:p>
        </w:tc>
        <w:tc>
          <w:tcPr>
            <w:tcW w:w="978" w:type="dxa"/>
            <w:vAlign w:val="center"/>
          </w:tcPr>
          <w:p w14:paraId="3FE355F2"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1.18</w:t>
            </w:r>
          </w:p>
        </w:tc>
        <w:tc>
          <w:tcPr>
            <w:tcW w:w="957" w:type="dxa"/>
            <w:vAlign w:val="center"/>
          </w:tcPr>
          <w:p w14:paraId="0F650234"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3.47</w:t>
            </w:r>
          </w:p>
        </w:tc>
        <w:tc>
          <w:tcPr>
            <w:tcW w:w="1091" w:type="dxa"/>
            <w:vAlign w:val="center"/>
          </w:tcPr>
          <w:p w14:paraId="31123DD6"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0.062</w:t>
            </w:r>
          </w:p>
        </w:tc>
        <w:tc>
          <w:tcPr>
            <w:tcW w:w="1572" w:type="dxa"/>
            <w:vAlign w:val="center"/>
          </w:tcPr>
          <w:p w14:paraId="23DB1662"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0.11 (0.01 – 1.04)</w:t>
            </w:r>
          </w:p>
        </w:tc>
      </w:tr>
      <w:tr w:rsidR="002A758B" w:rsidRPr="00AE42BD" w14:paraId="4145B35F" w14:textId="77777777" w:rsidTr="002A758B">
        <w:trPr>
          <w:trHeight w:val="1052"/>
        </w:trPr>
        <w:tc>
          <w:tcPr>
            <w:tcW w:w="3477" w:type="dxa"/>
            <w:vAlign w:val="center"/>
          </w:tcPr>
          <w:p w14:paraId="55CEA43D"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Publicity or media</w:t>
            </w:r>
          </w:p>
        </w:tc>
        <w:tc>
          <w:tcPr>
            <w:tcW w:w="1091" w:type="dxa"/>
            <w:vAlign w:val="center"/>
          </w:tcPr>
          <w:p w14:paraId="737F8F60"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1.125</w:t>
            </w:r>
          </w:p>
        </w:tc>
        <w:tc>
          <w:tcPr>
            <w:tcW w:w="978" w:type="dxa"/>
            <w:vAlign w:val="center"/>
          </w:tcPr>
          <w:p w14:paraId="7FAC4032"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1.00</w:t>
            </w:r>
          </w:p>
        </w:tc>
        <w:tc>
          <w:tcPr>
            <w:tcW w:w="957" w:type="dxa"/>
            <w:vAlign w:val="center"/>
          </w:tcPr>
          <w:p w14:paraId="0E27B4C7"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1.26</w:t>
            </w:r>
          </w:p>
        </w:tc>
        <w:tc>
          <w:tcPr>
            <w:tcW w:w="1091" w:type="dxa"/>
            <w:vAlign w:val="center"/>
          </w:tcPr>
          <w:p w14:paraId="244EFE73"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0.261</w:t>
            </w:r>
          </w:p>
        </w:tc>
        <w:tc>
          <w:tcPr>
            <w:tcW w:w="1572" w:type="dxa"/>
            <w:vAlign w:val="center"/>
          </w:tcPr>
          <w:p w14:paraId="0584588C"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3.08 (0.43 – 21.99)</w:t>
            </w:r>
          </w:p>
        </w:tc>
      </w:tr>
      <w:tr w:rsidR="002A758B" w:rsidRPr="00AE42BD" w14:paraId="28A2E515" w14:textId="77777777" w:rsidTr="002A758B">
        <w:trPr>
          <w:trHeight w:val="1052"/>
        </w:trPr>
        <w:tc>
          <w:tcPr>
            <w:tcW w:w="3477" w:type="dxa"/>
            <w:vAlign w:val="center"/>
          </w:tcPr>
          <w:p w14:paraId="29FF2C6A"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High tuition fees/financial difficulties</w:t>
            </w:r>
          </w:p>
        </w:tc>
        <w:tc>
          <w:tcPr>
            <w:tcW w:w="1091" w:type="dxa"/>
            <w:vAlign w:val="center"/>
          </w:tcPr>
          <w:p w14:paraId="3D579D60"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1.727</w:t>
            </w:r>
          </w:p>
        </w:tc>
        <w:tc>
          <w:tcPr>
            <w:tcW w:w="978" w:type="dxa"/>
            <w:vAlign w:val="center"/>
          </w:tcPr>
          <w:p w14:paraId="653D2E8F"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1.13</w:t>
            </w:r>
          </w:p>
        </w:tc>
        <w:tc>
          <w:tcPr>
            <w:tcW w:w="957" w:type="dxa"/>
            <w:vAlign w:val="center"/>
          </w:tcPr>
          <w:p w14:paraId="7730171C"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2.32</w:t>
            </w:r>
          </w:p>
        </w:tc>
        <w:tc>
          <w:tcPr>
            <w:tcW w:w="1091" w:type="dxa"/>
            <w:vAlign w:val="center"/>
          </w:tcPr>
          <w:p w14:paraId="0AF39459"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0.127</w:t>
            </w:r>
          </w:p>
        </w:tc>
        <w:tc>
          <w:tcPr>
            <w:tcW w:w="1572" w:type="dxa"/>
            <w:vAlign w:val="center"/>
          </w:tcPr>
          <w:p w14:paraId="3D8EC185"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5.63 (0.59 – 53.52)</w:t>
            </w:r>
          </w:p>
        </w:tc>
      </w:tr>
      <w:tr w:rsidR="002A758B" w:rsidRPr="00AE42BD" w14:paraId="24F4A4C4" w14:textId="77777777" w:rsidTr="002A758B">
        <w:trPr>
          <w:trHeight w:val="1033"/>
        </w:trPr>
        <w:tc>
          <w:tcPr>
            <w:tcW w:w="3477" w:type="dxa"/>
            <w:vAlign w:val="center"/>
          </w:tcPr>
          <w:p w14:paraId="0C3B2156"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Abandonment of valued African culture</w:t>
            </w:r>
          </w:p>
        </w:tc>
        <w:tc>
          <w:tcPr>
            <w:tcW w:w="1091" w:type="dxa"/>
            <w:vAlign w:val="center"/>
          </w:tcPr>
          <w:p w14:paraId="537A9763"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-2.461</w:t>
            </w:r>
          </w:p>
        </w:tc>
        <w:tc>
          <w:tcPr>
            <w:tcW w:w="978" w:type="dxa"/>
            <w:vAlign w:val="center"/>
          </w:tcPr>
          <w:p w14:paraId="210EA52E"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0.70</w:t>
            </w:r>
          </w:p>
        </w:tc>
        <w:tc>
          <w:tcPr>
            <w:tcW w:w="957" w:type="dxa"/>
            <w:vAlign w:val="center"/>
          </w:tcPr>
          <w:p w14:paraId="49E3A4FC"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12.36</w:t>
            </w:r>
          </w:p>
        </w:tc>
        <w:tc>
          <w:tcPr>
            <w:tcW w:w="1091" w:type="dxa"/>
            <w:vAlign w:val="center"/>
          </w:tcPr>
          <w:p w14:paraId="3D3D3821" w14:textId="0D1872A7" w:rsidR="002A758B" w:rsidRPr="00AE42BD" w:rsidRDefault="00552BF8" w:rsidP="002A758B">
            <w:pPr>
              <w:spacing w:line="360" w:lineRule="auto"/>
              <w:rPr>
                <w:rFonts w:ascii="Arial" w:hAnsi="Arial" w:cs="Arial"/>
                <w:sz w:val="20"/>
                <w:szCs w:val="20"/>
              </w:rPr>
            </w:pPr>
            <w:r w:rsidRPr="00AE42BD">
              <w:rPr>
                <w:rFonts w:ascii="Arial" w:hAnsi="Arial" w:cs="Arial"/>
                <w:sz w:val="20"/>
                <w:szCs w:val="20"/>
              </w:rPr>
              <w:t>&lt;0.001</w:t>
            </w:r>
          </w:p>
        </w:tc>
        <w:tc>
          <w:tcPr>
            <w:tcW w:w="1572" w:type="dxa"/>
            <w:vAlign w:val="center"/>
          </w:tcPr>
          <w:p w14:paraId="709F28FF"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0.09 (0.02 – 0.34)</w:t>
            </w:r>
          </w:p>
        </w:tc>
      </w:tr>
      <w:tr w:rsidR="002A758B" w:rsidRPr="00AE42BD" w14:paraId="352DDCF5" w14:textId="77777777" w:rsidTr="002A758B">
        <w:trPr>
          <w:trHeight w:val="1033"/>
        </w:trPr>
        <w:tc>
          <w:tcPr>
            <w:tcW w:w="3477" w:type="dxa"/>
            <w:vAlign w:val="center"/>
          </w:tcPr>
          <w:p w14:paraId="5861BCDB"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Freedom from parental supervision</w:t>
            </w:r>
          </w:p>
        </w:tc>
        <w:tc>
          <w:tcPr>
            <w:tcW w:w="1091" w:type="dxa"/>
            <w:vAlign w:val="center"/>
          </w:tcPr>
          <w:p w14:paraId="38970C9A"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0.401</w:t>
            </w:r>
          </w:p>
        </w:tc>
        <w:tc>
          <w:tcPr>
            <w:tcW w:w="978" w:type="dxa"/>
            <w:vAlign w:val="center"/>
          </w:tcPr>
          <w:p w14:paraId="15CB5121"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0.95</w:t>
            </w:r>
          </w:p>
        </w:tc>
        <w:tc>
          <w:tcPr>
            <w:tcW w:w="957" w:type="dxa"/>
            <w:vAlign w:val="center"/>
          </w:tcPr>
          <w:p w14:paraId="33F42905"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0.18</w:t>
            </w:r>
          </w:p>
        </w:tc>
        <w:tc>
          <w:tcPr>
            <w:tcW w:w="1091" w:type="dxa"/>
            <w:vAlign w:val="center"/>
          </w:tcPr>
          <w:p w14:paraId="38D669FA"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0.672</w:t>
            </w:r>
          </w:p>
        </w:tc>
        <w:tc>
          <w:tcPr>
            <w:tcW w:w="1572" w:type="dxa"/>
            <w:vAlign w:val="center"/>
          </w:tcPr>
          <w:p w14:paraId="14AC6866" w14:textId="77777777" w:rsidR="002A758B" w:rsidRPr="00AE42BD" w:rsidRDefault="002A758B" w:rsidP="002A758B">
            <w:pPr>
              <w:spacing w:line="360" w:lineRule="auto"/>
              <w:rPr>
                <w:rFonts w:ascii="Arial" w:hAnsi="Arial" w:cs="Arial"/>
                <w:sz w:val="20"/>
                <w:szCs w:val="20"/>
              </w:rPr>
            </w:pPr>
            <w:r w:rsidRPr="00AE42BD">
              <w:rPr>
                <w:rFonts w:ascii="Arial" w:hAnsi="Arial" w:cs="Arial"/>
                <w:sz w:val="20"/>
                <w:szCs w:val="20"/>
              </w:rPr>
              <w:t>1.49 (0.23 – 9.52)</w:t>
            </w:r>
          </w:p>
        </w:tc>
      </w:tr>
    </w:tbl>
    <w:p w14:paraId="7C5AD095" w14:textId="1F21A636" w:rsidR="002A758B" w:rsidRPr="00AE42BD" w:rsidRDefault="00552BF8" w:rsidP="00AF4D67">
      <w:pPr>
        <w:jc w:val="both"/>
        <w:rPr>
          <w:rFonts w:ascii="Arial" w:hAnsi="Arial" w:cs="Arial"/>
          <w:color w:val="000000" w:themeColor="text1"/>
        </w:rPr>
      </w:pPr>
      <w:r w:rsidRPr="00AE42BD">
        <w:rPr>
          <w:rFonts w:ascii="Arial" w:hAnsi="Arial" w:cs="Arial"/>
          <w:i/>
          <w:iCs/>
          <w:color w:val="000000" w:themeColor="text1"/>
        </w:rPr>
        <w:t>Keys: OR = Odds Ratio; AOR = Adjusted Odds Ratio; CI = Confidence Interval.</w:t>
      </w:r>
    </w:p>
    <w:p w14:paraId="301F6596" w14:textId="77777777" w:rsidR="00AF4D67" w:rsidRPr="00AF4D67" w:rsidRDefault="00AF4D67" w:rsidP="00AF4D67">
      <w:pPr>
        <w:jc w:val="both"/>
        <w:rPr>
          <w:rFonts w:ascii="Arial" w:hAnsi="Arial" w:cs="Arial"/>
          <w:color w:val="000000" w:themeColor="text1"/>
        </w:rPr>
      </w:pPr>
    </w:p>
    <w:p w14:paraId="689521B6" w14:textId="77777777" w:rsidR="00AF4D67" w:rsidRDefault="00AF4D67" w:rsidP="00AF4D67">
      <w:pPr>
        <w:rPr>
          <w:rFonts w:ascii="Arial" w:hAnsi="Arial" w:cs="Arial"/>
          <w:b/>
          <w:bCs/>
          <w:color w:val="000000" w:themeColor="text1"/>
        </w:rPr>
      </w:pPr>
      <w:r w:rsidRPr="00AF4D67">
        <w:rPr>
          <w:rFonts w:ascii="Arial" w:hAnsi="Arial" w:cs="Arial"/>
          <w:b/>
          <w:bCs/>
          <w:color w:val="000000" w:themeColor="text1"/>
        </w:rPr>
        <w:t>Prevalence of Emergency Contraceptive Use</w:t>
      </w:r>
    </w:p>
    <w:p w14:paraId="35F39958" w14:textId="77777777" w:rsidR="00291D6B" w:rsidRPr="00AF4D67" w:rsidRDefault="00291D6B" w:rsidP="00AF4D67">
      <w:pPr>
        <w:rPr>
          <w:rFonts w:ascii="Arial" w:hAnsi="Arial" w:cs="Arial"/>
          <w:b/>
          <w:bCs/>
          <w:color w:val="000000" w:themeColor="text1"/>
        </w:rPr>
      </w:pPr>
    </w:p>
    <w:p w14:paraId="76B8D5CC" w14:textId="77777777" w:rsidR="00291D6B" w:rsidRPr="00291D6B" w:rsidRDefault="00291D6B" w:rsidP="00291D6B">
      <w:pPr>
        <w:rPr>
          <w:rFonts w:ascii="Arial" w:hAnsi="Arial" w:cs="Arial"/>
          <w:color w:val="000000" w:themeColor="text1"/>
        </w:rPr>
      </w:pPr>
      <w:r w:rsidRPr="00291D6B">
        <w:rPr>
          <w:rFonts w:ascii="Arial" w:hAnsi="Arial" w:cs="Arial"/>
          <w:color w:val="000000" w:themeColor="text1"/>
        </w:rPr>
        <w:t xml:space="preserve">About 72.1% had heard of emergency contraception, and 56.0% reported ever using it. The majority knew that EC prevents pregnancy after unprotected intercourse (79.2%) and should </w:t>
      </w:r>
      <w:r w:rsidRPr="00291D6B">
        <w:rPr>
          <w:rFonts w:ascii="Arial" w:hAnsi="Arial" w:cs="Arial"/>
          <w:color w:val="000000" w:themeColor="text1"/>
        </w:rPr>
        <w:lastRenderedPageBreak/>
        <w:t xml:space="preserve">be used within 72 hours (68.5%). </w:t>
      </w:r>
      <w:proofErr w:type="spellStart"/>
      <w:r w:rsidRPr="00291D6B">
        <w:rPr>
          <w:rFonts w:ascii="Arial" w:hAnsi="Arial" w:cs="Arial"/>
          <w:color w:val="000000" w:themeColor="text1"/>
        </w:rPr>
        <w:t>Postinor</w:t>
      </w:r>
      <w:proofErr w:type="spellEnd"/>
      <w:r w:rsidRPr="00291D6B">
        <w:rPr>
          <w:rFonts w:ascii="Arial" w:hAnsi="Arial" w:cs="Arial"/>
          <w:color w:val="000000" w:themeColor="text1"/>
        </w:rPr>
        <w:t xml:space="preserve"> was the most commonly mentioned EC, used primarily due to broken condoms or unprotected sex.</w:t>
      </w:r>
    </w:p>
    <w:p w14:paraId="2BEEF3FD" w14:textId="77777777" w:rsidR="00291D6B" w:rsidRPr="00291D6B" w:rsidRDefault="00291D6B" w:rsidP="00291D6B">
      <w:pPr>
        <w:rPr>
          <w:rFonts w:ascii="Arial" w:hAnsi="Arial" w:cs="Arial"/>
          <w:color w:val="000000" w:themeColor="text1"/>
        </w:rPr>
      </w:pPr>
    </w:p>
    <w:p w14:paraId="0912F493" w14:textId="77777777" w:rsidR="00291D6B" w:rsidRPr="00291D6B" w:rsidRDefault="00291D6B" w:rsidP="00291D6B">
      <w:pPr>
        <w:rPr>
          <w:rFonts w:ascii="Arial" w:hAnsi="Arial" w:cs="Arial"/>
          <w:color w:val="000000" w:themeColor="text1"/>
        </w:rPr>
      </w:pPr>
      <w:r w:rsidRPr="00291D6B">
        <w:rPr>
          <w:rFonts w:ascii="Arial" w:hAnsi="Arial" w:cs="Arial"/>
          <w:color w:val="000000" w:themeColor="text1"/>
        </w:rPr>
        <w:t>Outcomes of Cohabitation</w:t>
      </w:r>
    </w:p>
    <w:p w14:paraId="373D5FB4" w14:textId="77777777" w:rsidR="00291D6B" w:rsidRPr="00291D6B" w:rsidRDefault="00291D6B" w:rsidP="00291D6B">
      <w:pPr>
        <w:rPr>
          <w:rFonts w:ascii="Arial" w:hAnsi="Arial" w:cs="Arial"/>
          <w:color w:val="000000" w:themeColor="text1"/>
        </w:rPr>
      </w:pPr>
    </w:p>
    <w:p w14:paraId="488D4DFD" w14:textId="77777777" w:rsidR="00291D6B" w:rsidRDefault="00291D6B" w:rsidP="00291D6B">
      <w:pPr>
        <w:rPr>
          <w:rFonts w:ascii="Arial" w:hAnsi="Arial" w:cs="Arial"/>
          <w:color w:val="000000" w:themeColor="text1"/>
        </w:rPr>
      </w:pPr>
      <w:r w:rsidRPr="00291D6B">
        <w:rPr>
          <w:rFonts w:ascii="Arial" w:hAnsi="Arial" w:cs="Arial"/>
          <w:color w:val="000000" w:themeColor="text1"/>
        </w:rPr>
        <w:t>Among the 30 respondents who had ever cohabited, reported adverse outcomes included pregnancy (13.3%), abortion (13.3%), complications from abortion (10.0%), poor academic performance (13.3%), sexually transmitted diseases (13.3%), depression (13.3%), and violence (13.3%).</w:t>
      </w:r>
    </w:p>
    <w:p w14:paraId="3CF7C7CF" w14:textId="77777777" w:rsidR="00291D6B" w:rsidRPr="00291D6B" w:rsidRDefault="00291D6B" w:rsidP="00291D6B">
      <w:pPr>
        <w:rPr>
          <w:rFonts w:ascii="Arial" w:hAnsi="Arial" w:cs="Arial"/>
          <w:color w:val="000000" w:themeColor="text1"/>
        </w:rPr>
      </w:pPr>
    </w:p>
    <w:p w14:paraId="1E05B7F6" w14:textId="6FF5B554" w:rsidR="00385278" w:rsidRDefault="00291D6B" w:rsidP="00291D6B">
      <w:pPr>
        <w:rPr>
          <w:rFonts w:ascii="Arial" w:hAnsi="Arial" w:cs="Arial"/>
          <w:color w:val="000000" w:themeColor="text1"/>
        </w:rPr>
      </w:pPr>
      <w:r w:rsidRPr="00291D6B">
        <w:rPr>
          <w:rFonts w:ascii="Arial" w:hAnsi="Arial" w:cs="Arial"/>
          <w:color w:val="000000" w:themeColor="text1"/>
        </w:rPr>
        <w:t>Only a minority of cohabiting students reported these adverse outcomes, while the vast majority (over 85%) did not experience them.</w:t>
      </w:r>
    </w:p>
    <w:p w14:paraId="18248C87" w14:textId="77777777" w:rsidR="00291D6B" w:rsidRPr="00D52308" w:rsidRDefault="00291D6B" w:rsidP="00291D6B">
      <w:pPr>
        <w:rPr>
          <w:rFonts w:ascii="Arial" w:hAnsi="Arial" w:cs="Arial"/>
          <w:color w:val="000000" w:themeColor="text1"/>
        </w:rPr>
      </w:pPr>
    </w:p>
    <w:p w14:paraId="1F2301A9" w14:textId="77777777" w:rsidR="00AF4D67" w:rsidRPr="00AF4D67" w:rsidRDefault="00AF4D67" w:rsidP="00D52308">
      <w:pPr>
        <w:spacing w:line="480" w:lineRule="auto"/>
        <w:rPr>
          <w:rFonts w:ascii="Arial" w:hAnsi="Arial" w:cs="Arial"/>
          <w:b/>
          <w:bCs/>
          <w:lang w:val="en-GB"/>
        </w:rPr>
      </w:pPr>
      <w:r w:rsidRPr="00AF4D67">
        <w:rPr>
          <w:rFonts w:ascii="Arial" w:hAnsi="Arial" w:cs="Arial"/>
          <w:b/>
          <w:bCs/>
        </w:rPr>
        <w:t>(Table 4): Outcomes of Cohabitation Experienced by the Respondents</w:t>
      </w:r>
      <w:r w:rsidRPr="00AF4D67">
        <w:rPr>
          <w:rFonts w:ascii="Arial" w:hAnsi="Arial" w:cs="Arial"/>
          <w:b/>
          <w:bCs/>
          <w:lang w:val="en-GB"/>
        </w:rPr>
        <w:t xml:space="preserve"> (n=30)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2307"/>
        <w:gridCol w:w="2488"/>
      </w:tblGrid>
      <w:tr w:rsidR="00AF4D67" w:rsidRPr="00AF4D67" w14:paraId="2D0A3168" w14:textId="77777777" w:rsidTr="00400DB6">
        <w:trPr>
          <w:trHeight w:val="715"/>
        </w:trPr>
        <w:tc>
          <w:tcPr>
            <w:tcW w:w="3413" w:type="dxa"/>
            <w:tcBorders>
              <w:top w:val="single" w:sz="4" w:space="0" w:color="auto"/>
              <w:bottom w:val="single" w:sz="4" w:space="0" w:color="auto"/>
            </w:tcBorders>
          </w:tcPr>
          <w:p w14:paraId="1D037FD3" w14:textId="77777777" w:rsidR="00AF4D67" w:rsidRPr="00AF4D67" w:rsidRDefault="00AF4D67" w:rsidP="00F2568B">
            <w:pPr>
              <w:spacing w:line="480" w:lineRule="auto"/>
              <w:rPr>
                <w:rFonts w:ascii="Arial" w:hAnsi="Arial" w:cs="Arial"/>
                <w:b/>
                <w:bCs/>
                <w:sz w:val="20"/>
                <w:szCs w:val="20"/>
              </w:rPr>
            </w:pPr>
            <w:r w:rsidRPr="00AF4D67">
              <w:rPr>
                <w:rFonts w:ascii="Arial" w:hAnsi="Arial" w:cs="Arial"/>
                <w:b/>
                <w:bCs/>
                <w:sz w:val="20"/>
                <w:szCs w:val="20"/>
              </w:rPr>
              <w:t>Variables</w:t>
            </w:r>
          </w:p>
        </w:tc>
        <w:tc>
          <w:tcPr>
            <w:tcW w:w="2307" w:type="dxa"/>
            <w:tcBorders>
              <w:top w:val="single" w:sz="4" w:space="0" w:color="auto"/>
              <w:bottom w:val="single" w:sz="4" w:space="0" w:color="auto"/>
            </w:tcBorders>
          </w:tcPr>
          <w:p w14:paraId="2A4B71D5" w14:textId="77777777" w:rsidR="00AF4D67" w:rsidRPr="00AF4D67" w:rsidRDefault="00AF4D67" w:rsidP="00F2568B">
            <w:pPr>
              <w:spacing w:line="480" w:lineRule="auto"/>
              <w:jc w:val="right"/>
              <w:rPr>
                <w:rFonts w:ascii="Arial" w:hAnsi="Arial" w:cs="Arial"/>
                <w:b/>
                <w:bCs/>
                <w:sz w:val="20"/>
                <w:szCs w:val="20"/>
              </w:rPr>
            </w:pPr>
            <w:r w:rsidRPr="00AF4D67">
              <w:rPr>
                <w:rFonts w:ascii="Arial" w:hAnsi="Arial" w:cs="Arial"/>
                <w:b/>
                <w:bCs/>
                <w:sz w:val="20"/>
                <w:szCs w:val="20"/>
              </w:rPr>
              <w:t>Yes</w:t>
            </w:r>
          </w:p>
          <w:p w14:paraId="2B5ACA5A" w14:textId="5D9DF20C" w:rsidR="00AF4D67" w:rsidRPr="00AF4D67" w:rsidRDefault="00AF4D67" w:rsidP="00F2568B">
            <w:pPr>
              <w:spacing w:line="480" w:lineRule="auto"/>
              <w:jc w:val="right"/>
              <w:rPr>
                <w:rFonts w:ascii="Arial" w:hAnsi="Arial" w:cs="Arial"/>
                <w:b/>
                <w:bCs/>
                <w:sz w:val="20"/>
                <w:szCs w:val="20"/>
              </w:rPr>
            </w:pPr>
            <w:r w:rsidRPr="00AF4D67">
              <w:rPr>
                <w:rFonts w:ascii="Arial" w:hAnsi="Arial" w:cs="Arial"/>
                <w:b/>
                <w:bCs/>
                <w:sz w:val="20"/>
                <w:szCs w:val="20"/>
              </w:rPr>
              <w:t>F</w:t>
            </w:r>
            <w:r w:rsidR="00400DB6">
              <w:rPr>
                <w:rFonts w:ascii="Arial" w:hAnsi="Arial" w:cs="Arial"/>
                <w:b/>
                <w:bCs/>
                <w:sz w:val="20"/>
                <w:szCs w:val="20"/>
              </w:rPr>
              <w:t xml:space="preserve"> </w:t>
            </w:r>
            <w:r w:rsidRPr="00AF4D67">
              <w:rPr>
                <w:rFonts w:ascii="Arial" w:hAnsi="Arial" w:cs="Arial"/>
                <w:b/>
                <w:bCs/>
                <w:sz w:val="20"/>
                <w:szCs w:val="20"/>
              </w:rPr>
              <w:t>(P)</w:t>
            </w:r>
          </w:p>
        </w:tc>
        <w:tc>
          <w:tcPr>
            <w:tcW w:w="2488" w:type="dxa"/>
            <w:tcBorders>
              <w:top w:val="single" w:sz="4" w:space="0" w:color="auto"/>
              <w:bottom w:val="single" w:sz="4" w:space="0" w:color="auto"/>
            </w:tcBorders>
            <w:noWrap/>
          </w:tcPr>
          <w:p w14:paraId="5511AD98" w14:textId="77777777" w:rsidR="00AF4D67" w:rsidRPr="00AF4D67" w:rsidRDefault="00AF4D67" w:rsidP="00F2568B">
            <w:pPr>
              <w:spacing w:line="480" w:lineRule="auto"/>
              <w:jc w:val="right"/>
              <w:rPr>
                <w:rFonts w:ascii="Arial" w:hAnsi="Arial" w:cs="Arial"/>
                <w:b/>
                <w:bCs/>
                <w:sz w:val="20"/>
                <w:szCs w:val="20"/>
              </w:rPr>
            </w:pPr>
            <w:r w:rsidRPr="00AF4D67">
              <w:rPr>
                <w:rFonts w:ascii="Arial" w:hAnsi="Arial" w:cs="Arial"/>
                <w:b/>
                <w:bCs/>
                <w:sz w:val="20"/>
                <w:szCs w:val="20"/>
              </w:rPr>
              <w:t>No</w:t>
            </w:r>
          </w:p>
          <w:p w14:paraId="223D8453" w14:textId="0F5B98E5" w:rsidR="00AF4D67" w:rsidRPr="00AF4D67" w:rsidRDefault="00AF4D67" w:rsidP="00F2568B">
            <w:pPr>
              <w:spacing w:line="480" w:lineRule="auto"/>
              <w:jc w:val="right"/>
              <w:rPr>
                <w:rFonts w:ascii="Arial" w:hAnsi="Arial" w:cs="Arial"/>
                <w:b/>
                <w:bCs/>
                <w:sz w:val="20"/>
                <w:szCs w:val="20"/>
              </w:rPr>
            </w:pPr>
            <w:r w:rsidRPr="00AF4D67">
              <w:rPr>
                <w:rFonts w:ascii="Arial" w:hAnsi="Arial" w:cs="Arial"/>
                <w:b/>
                <w:bCs/>
                <w:sz w:val="20"/>
                <w:szCs w:val="20"/>
              </w:rPr>
              <w:t>F</w:t>
            </w:r>
            <w:r w:rsidR="00400DB6">
              <w:rPr>
                <w:rFonts w:ascii="Arial" w:hAnsi="Arial" w:cs="Arial"/>
                <w:b/>
                <w:bCs/>
                <w:sz w:val="20"/>
                <w:szCs w:val="20"/>
              </w:rPr>
              <w:t xml:space="preserve"> </w:t>
            </w:r>
            <w:r w:rsidRPr="00AF4D67">
              <w:rPr>
                <w:rFonts w:ascii="Arial" w:hAnsi="Arial" w:cs="Arial"/>
                <w:b/>
                <w:bCs/>
                <w:sz w:val="20"/>
                <w:szCs w:val="20"/>
              </w:rPr>
              <w:t>(P)</w:t>
            </w:r>
          </w:p>
        </w:tc>
      </w:tr>
      <w:tr w:rsidR="00AF4D67" w:rsidRPr="00F2568B" w14:paraId="39D7A6F2" w14:textId="77777777" w:rsidTr="00400DB6">
        <w:trPr>
          <w:trHeight w:val="616"/>
        </w:trPr>
        <w:tc>
          <w:tcPr>
            <w:tcW w:w="3413" w:type="dxa"/>
            <w:tcBorders>
              <w:top w:val="single" w:sz="4" w:space="0" w:color="auto"/>
            </w:tcBorders>
          </w:tcPr>
          <w:p w14:paraId="7B1620AB" w14:textId="77777777" w:rsidR="00AF4D67" w:rsidRPr="00F2568B" w:rsidRDefault="00AF4D67" w:rsidP="00F2568B">
            <w:pPr>
              <w:spacing w:line="480" w:lineRule="auto"/>
              <w:rPr>
                <w:rFonts w:ascii="Arial" w:hAnsi="Arial" w:cs="Arial"/>
                <w:sz w:val="20"/>
                <w:szCs w:val="20"/>
              </w:rPr>
            </w:pPr>
            <w:r w:rsidRPr="00F2568B">
              <w:rPr>
                <w:rFonts w:ascii="Arial" w:hAnsi="Arial" w:cs="Arial"/>
                <w:sz w:val="20"/>
                <w:szCs w:val="20"/>
              </w:rPr>
              <w:t>Pregnancy</w:t>
            </w:r>
          </w:p>
        </w:tc>
        <w:tc>
          <w:tcPr>
            <w:tcW w:w="2307" w:type="dxa"/>
            <w:tcBorders>
              <w:top w:val="single" w:sz="4" w:space="0" w:color="auto"/>
            </w:tcBorders>
          </w:tcPr>
          <w:p w14:paraId="1AF041AD"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4(13.3)</w:t>
            </w:r>
          </w:p>
        </w:tc>
        <w:tc>
          <w:tcPr>
            <w:tcW w:w="2488" w:type="dxa"/>
            <w:tcBorders>
              <w:top w:val="single" w:sz="4" w:space="0" w:color="auto"/>
            </w:tcBorders>
            <w:noWrap/>
          </w:tcPr>
          <w:p w14:paraId="0E143F93"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26(86.7)</w:t>
            </w:r>
          </w:p>
        </w:tc>
      </w:tr>
      <w:tr w:rsidR="00AF4D67" w:rsidRPr="00F2568B" w14:paraId="0087860B" w14:textId="77777777" w:rsidTr="00400DB6">
        <w:trPr>
          <w:trHeight w:val="407"/>
        </w:trPr>
        <w:tc>
          <w:tcPr>
            <w:tcW w:w="3413" w:type="dxa"/>
          </w:tcPr>
          <w:p w14:paraId="212C62C4" w14:textId="77777777" w:rsidR="00AF4D67" w:rsidRPr="00F2568B" w:rsidRDefault="00AF4D67" w:rsidP="00F2568B">
            <w:pPr>
              <w:spacing w:line="480" w:lineRule="auto"/>
              <w:rPr>
                <w:rFonts w:ascii="Arial" w:hAnsi="Arial" w:cs="Arial"/>
                <w:sz w:val="20"/>
                <w:szCs w:val="20"/>
              </w:rPr>
            </w:pPr>
            <w:r w:rsidRPr="00F2568B">
              <w:rPr>
                <w:rFonts w:ascii="Arial" w:hAnsi="Arial" w:cs="Arial"/>
                <w:sz w:val="20"/>
                <w:szCs w:val="20"/>
              </w:rPr>
              <w:t>Abortion</w:t>
            </w:r>
          </w:p>
        </w:tc>
        <w:tc>
          <w:tcPr>
            <w:tcW w:w="2307" w:type="dxa"/>
          </w:tcPr>
          <w:p w14:paraId="3ED5AC4E"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4(13.3)</w:t>
            </w:r>
          </w:p>
        </w:tc>
        <w:tc>
          <w:tcPr>
            <w:tcW w:w="2488" w:type="dxa"/>
            <w:noWrap/>
          </w:tcPr>
          <w:p w14:paraId="26400188"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26(86.7)</w:t>
            </w:r>
          </w:p>
        </w:tc>
      </w:tr>
      <w:tr w:rsidR="00AF4D67" w:rsidRPr="00F2568B" w14:paraId="63B450AE" w14:textId="77777777" w:rsidTr="00400DB6">
        <w:trPr>
          <w:trHeight w:val="580"/>
        </w:trPr>
        <w:tc>
          <w:tcPr>
            <w:tcW w:w="3413" w:type="dxa"/>
          </w:tcPr>
          <w:p w14:paraId="6A2DF9FC" w14:textId="77777777" w:rsidR="00AF4D67" w:rsidRPr="00F2568B" w:rsidRDefault="00AF4D67" w:rsidP="00F2568B">
            <w:pPr>
              <w:spacing w:line="480" w:lineRule="auto"/>
              <w:rPr>
                <w:rFonts w:ascii="Arial" w:hAnsi="Arial" w:cs="Arial"/>
                <w:sz w:val="20"/>
                <w:szCs w:val="20"/>
              </w:rPr>
            </w:pPr>
            <w:r w:rsidRPr="00F2568B">
              <w:rPr>
                <w:rFonts w:ascii="Arial" w:hAnsi="Arial" w:cs="Arial"/>
                <w:sz w:val="20"/>
                <w:szCs w:val="20"/>
              </w:rPr>
              <w:t>Complications from abortion</w:t>
            </w:r>
          </w:p>
        </w:tc>
        <w:tc>
          <w:tcPr>
            <w:tcW w:w="2307" w:type="dxa"/>
          </w:tcPr>
          <w:p w14:paraId="00DC15EA"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3(10.0)</w:t>
            </w:r>
          </w:p>
        </w:tc>
        <w:tc>
          <w:tcPr>
            <w:tcW w:w="2488" w:type="dxa"/>
            <w:noWrap/>
          </w:tcPr>
          <w:p w14:paraId="16415706"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27(90.0)</w:t>
            </w:r>
          </w:p>
        </w:tc>
      </w:tr>
      <w:tr w:rsidR="00AF4D67" w:rsidRPr="00F2568B" w14:paraId="62BC6A09" w14:textId="77777777" w:rsidTr="00400DB6">
        <w:trPr>
          <w:trHeight w:val="445"/>
        </w:trPr>
        <w:tc>
          <w:tcPr>
            <w:tcW w:w="3413" w:type="dxa"/>
          </w:tcPr>
          <w:p w14:paraId="1787FDD7" w14:textId="77777777" w:rsidR="00AF4D67" w:rsidRPr="00F2568B" w:rsidRDefault="00AF4D67" w:rsidP="00F2568B">
            <w:pPr>
              <w:spacing w:line="480" w:lineRule="auto"/>
              <w:rPr>
                <w:rFonts w:ascii="Arial" w:hAnsi="Arial" w:cs="Arial"/>
                <w:sz w:val="20"/>
                <w:szCs w:val="20"/>
              </w:rPr>
            </w:pPr>
            <w:r w:rsidRPr="00F2568B">
              <w:rPr>
                <w:rFonts w:ascii="Arial" w:hAnsi="Arial" w:cs="Arial"/>
                <w:sz w:val="20"/>
                <w:szCs w:val="20"/>
              </w:rPr>
              <w:t>Poor academic performance</w:t>
            </w:r>
          </w:p>
        </w:tc>
        <w:tc>
          <w:tcPr>
            <w:tcW w:w="2307" w:type="dxa"/>
          </w:tcPr>
          <w:p w14:paraId="5721DBFF"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4(13.3)</w:t>
            </w:r>
          </w:p>
        </w:tc>
        <w:tc>
          <w:tcPr>
            <w:tcW w:w="2488" w:type="dxa"/>
            <w:noWrap/>
          </w:tcPr>
          <w:p w14:paraId="4901BCFF"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26(86.7)</w:t>
            </w:r>
          </w:p>
        </w:tc>
      </w:tr>
      <w:tr w:rsidR="00AF4D67" w:rsidRPr="00F2568B" w14:paraId="714EE9D4" w14:textId="77777777" w:rsidTr="00400DB6">
        <w:trPr>
          <w:trHeight w:val="720"/>
        </w:trPr>
        <w:tc>
          <w:tcPr>
            <w:tcW w:w="3413" w:type="dxa"/>
          </w:tcPr>
          <w:p w14:paraId="713CCE95" w14:textId="77777777" w:rsidR="00AF4D67" w:rsidRPr="00F2568B" w:rsidRDefault="00AF4D67" w:rsidP="00F2568B">
            <w:pPr>
              <w:spacing w:line="480" w:lineRule="auto"/>
              <w:rPr>
                <w:rFonts w:ascii="Arial" w:hAnsi="Arial" w:cs="Arial"/>
                <w:sz w:val="20"/>
                <w:szCs w:val="20"/>
              </w:rPr>
            </w:pPr>
            <w:r w:rsidRPr="00F2568B">
              <w:rPr>
                <w:rFonts w:ascii="Arial" w:hAnsi="Arial" w:cs="Arial"/>
                <w:sz w:val="20"/>
                <w:szCs w:val="20"/>
              </w:rPr>
              <w:t>Sexually transmitted diseases (HIV/AIDS, Syphilis, etc.)</w:t>
            </w:r>
          </w:p>
        </w:tc>
        <w:tc>
          <w:tcPr>
            <w:tcW w:w="2307" w:type="dxa"/>
          </w:tcPr>
          <w:p w14:paraId="44CE18DF"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4(13.3)</w:t>
            </w:r>
          </w:p>
        </w:tc>
        <w:tc>
          <w:tcPr>
            <w:tcW w:w="2488" w:type="dxa"/>
            <w:noWrap/>
          </w:tcPr>
          <w:p w14:paraId="319D0ED6"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26(86.7)</w:t>
            </w:r>
          </w:p>
        </w:tc>
      </w:tr>
      <w:tr w:rsidR="00AF4D67" w:rsidRPr="00F2568B" w14:paraId="19B62622" w14:textId="77777777" w:rsidTr="00400DB6">
        <w:trPr>
          <w:trHeight w:val="815"/>
        </w:trPr>
        <w:tc>
          <w:tcPr>
            <w:tcW w:w="3413" w:type="dxa"/>
          </w:tcPr>
          <w:p w14:paraId="7B6D4BCB" w14:textId="77777777" w:rsidR="00AF4D67" w:rsidRPr="00F2568B" w:rsidRDefault="00AF4D67" w:rsidP="00F2568B">
            <w:pPr>
              <w:spacing w:line="480" w:lineRule="auto"/>
              <w:rPr>
                <w:rFonts w:ascii="Arial" w:hAnsi="Arial" w:cs="Arial"/>
                <w:sz w:val="20"/>
                <w:szCs w:val="20"/>
              </w:rPr>
            </w:pPr>
            <w:r w:rsidRPr="00F2568B">
              <w:rPr>
                <w:rFonts w:ascii="Arial" w:hAnsi="Arial" w:cs="Arial"/>
                <w:sz w:val="20"/>
                <w:szCs w:val="20"/>
              </w:rPr>
              <w:t>Depression</w:t>
            </w:r>
          </w:p>
        </w:tc>
        <w:tc>
          <w:tcPr>
            <w:tcW w:w="2307" w:type="dxa"/>
          </w:tcPr>
          <w:p w14:paraId="2B01AC99"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4(13.3)</w:t>
            </w:r>
          </w:p>
        </w:tc>
        <w:tc>
          <w:tcPr>
            <w:tcW w:w="2488" w:type="dxa"/>
            <w:noWrap/>
          </w:tcPr>
          <w:p w14:paraId="7A473B2D"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26(86.7)</w:t>
            </w:r>
          </w:p>
        </w:tc>
      </w:tr>
      <w:tr w:rsidR="00AF4D67" w:rsidRPr="00F2568B" w14:paraId="0A55B007" w14:textId="77777777" w:rsidTr="00400DB6">
        <w:trPr>
          <w:trHeight w:val="407"/>
        </w:trPr>
        <w:tc>
          <w:tcPr>
            <w:tcW w:w="3413" w:type="dxa"/>
          </w:tcPr>
          <w:p w14:paraId="7BE1B8B2" w14:textId="77777777" w:rsidR="00AF4D67" w:rsidRPr="00F2568B" w:rsidRDefault="00AF4D67" w:rsidP="00F2568B">
            <w:pPr>
              <w:spacing w:line="480" w:lineRule="auto"/>
              <w:rPr>
                <w:rFonts w:ascii="Arial" w:hAnsi="Arial" w:cs="Arial"/>
                <w:sz w:val="20"/>
                <w:szCs w:val="20"/>
              </w:rPr>
            </w:pPr>
            <w:r w:rsidRPr="00F2568B">
              <w:rPr>
                <w:rFonts w:ascii="Arial" w:hAnsi="Arial" w:cs="Arial"/>
                <w:sz w:val="20"/>
                <w:szCs w:val="20"/>
              </w:rPr>
              <w:t>Violence</w:t>
            </w:r>
          </w:p>
        </w:tc>
        <w:tc>
          <w:tcPr>
            <w:tcW w:w="2307" w:type="dxa"/>
          </w:tcPr>
          <w:p w14:paraId="1D777668"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4(13.3)</w:t>
            </w:r>
          </w:p>
        </w:tc>
        <w:tc>
          <w:tcPr>
            <w:tcW w:w="2488" w:type="dxa"/>
            <w:noWrap/>
          </w:tcPr>
          <w:p w14:paraId="0B06436F" w14:textId="77777777" w:rsidR="00AF4D67" w:rsidRPr="00F2568B" w:rsidRDefault="00AF4D67" w:rsidP="00F2568B">
            <w:pPr>
              <w:spacing w:line="480" w:lineRule="auto"/>
              <w:jc w:val="right"/>
              <w:rPr>
                <w:rFonts w:ascii="Arial" w:hAnsi="Arial" w:cs="Arial"/>
                <w:sz w:val="20"/>
                <w:szCs w:val="20"/>
                <w:lang w:val="en-GB"/>
              </w:rPr>
            </w:pPr>
            <w:r w:rsidRPr="00F2568B">
              <w:rPr>
                <w:rFonts w:ascii="Arial" w:hAnsi="Arial" w:cs="Arial"/>
                <w:sz w:val="20"/>
                <w:szCs w:val="20"/>
                <w:lang w:val="en-GB"/>
              </w:rPr>
              <w:t>26(86.7)</w:t>
            </w:r>
          </w:p>
        </w:tc>
      </w:tr>
      <w:tr w:rsidR="00400DB6" w:rsidRPr="00F2568B" w14:paraId="148531F7" w14:textId="77777777" w:rsidTr="00400DB6">
        <w:trPr>
          <w:trHeight w:val="407"/>
        </w:trPr>
        <w:tc>
          <w:tcPr>
            <w:tcW w:w="3413" w:type="dxa"/>
            <w:tcBorders>
              <w:bottom w:val="single" w:sz="4" w:space="0" w:color="auto"/>
            </w:tcBorders>
          </w:tcPr>
          <w:p w14:paraId="39C703CD" w14:textId="55BA2E96" w:rsidR="00400DB6" w:rsidRPr="00F2568B" w:rsidRDefault="00400DB6" w:rsidP="00F2568B">
            <w:pPr>
              <w:spacing w:line="480" w:lineRule="auto"/>
              <w:rPr>
                <w:rFonts w:ascii="Arial" w:hAnsi="Arial" w:cs="Arial"/>
                <w:sz w:val="20"/>
                <w:szCs w:val="20"/>
              </w:rPr>
            </w:pPr>
            <w:r w:rsidRPr="00F2568B">
              <w:rPr>
                <w:rFonts w:ascii="Arial" w:hAnsi="Arial" w:cs="Arial"/>
                <w:sz w:val="20"/>
                <w:szCs w:val="20"/>
              </w:rPr>
              <w:t xml:space="preserve">Total </w:t>
            </w:r>
          </w:p>
        </w:tc>
        <w:tc>
          <w:tcPr>
            <w:tcW w:w="2307" w:type="dxa"/>
            <w:tcBorders>
              <w:bottom w:val="single" w:sz="4" w:space="0" w:color="auto"/>
            </w:tcBorders>
          </w:tcPr>
          <w:p w14:paraId="22E99D7A" w14:textId="5433ADC3" w:rsidR="00400DB6" w:rsidRPr="00F2568B" w:rsidRDefault="00400DB6" w:rsidP="00F2568B">
            <w:pPr>
              <w:spacing w:line="480" w:lineRule="auto"/>
              <w:jc w:val="right"/>
              <w:rPr>
                <w:rFonts w:ascii="Arial" w:hAnsi="Arial" w:cs="Arial"/>
                <w:sz w:val="20"/>
                <w:szCs w:val="20"/>
                <w:lang w:val="en-GB"/>
              </w:rPr>
            </w:pPr>
            <w:r w:rsidRPr="00F2568B">
              <w:rPr>
                <w:rFonts w:ascii="Arial" w:hAnsi="Arial" w:cs="Arial"/>
                <w:sz w:val="20"/>
                <w:szCs w:val="20"/>
                <w:lang w:val="en-GB"/>
              </w:rPr>
              <w:t>27(89.8)</w:t>
            </w:r>
          </w:p>
        </w:tc>
        <w:tc>
          <w:tcPr>
            <w:tcW w:w="2488" w:type="dxa"/>
            <w:tcBorders>
              <w:bottom w:val="single" w:sz="4" w:space="0" w:color="auto"/>
            </w:tcBorders>
            <w:noWrap/>
          </w:tcPr>
          <w:p w14:paraId="774B082A" w14:textId="699E2D77" w:rsidR="00400DB6" w:rsidRPr="00F2568B" w:rsidRDefault="00400DB6" w:rsidP="00F2568B">
            <w:pPr>
              <w:spacing w:line="480" w:lineRule="auto"/>
              <w:jc w:val="right"/>
              <w:rPr>
                <w:rFonts w:ascii="Arial" w:hAnsi="Arial" w:cs="Arial"/>
                <w:sz w:val="20"/>
                <w:szCs w:val="20"/>
                <w:lang w:val="en-GB"/>
              </w:rPr>
            </w:pPr>
            <w:r w:rsidRPr="00F2568B">
              <w:rPr>
                <w:rFonts w:ascii="Arial" w:hAnsi="Arial" w:cs="Arial"/>
                <w:sz w:val="20"/>
                <w:szCs w:val="20"/>
                <w:lang w:val="en-GB"/>
              </w:rPr>
              <w:t>183(610.2)</w:t>
            </w:r>
          </w:p>
        </w:tc>
      </w:tr>
    </w:tbl>
    <w:p w14:paraId="144EA096" w14:textId="77777777" w:rsidR="00AF4D67" w:rsidRPr="00AF4D67" w:rsidRDefault="00AF4D67" w:rsidP="00D52308">
      <w:pPr>
        <w:spacing w:line="480" w:lineRule="auto"/>
        <w:jc w:val="both"/>
        <w:rPr>
          <w:rFonts w:ascii="Arial" w:hAnsi="Arial" w:cs="Arial"/>
          <w:i/>
          <w:iCs/>
        </w:rPr>
      </w:pPr>
      <w:r w:rsidRPr="00AF4D67">
        <w:rPr>
          <w:rFonts w:ascii="Arial" w:hAnsi="Arial" w:cs="Arial"/>
          <w:i/>
          <w:iCs/>
        </w:rPr>
        <w:t xml:space="preserve">F = Frequency </w:t>
      </w:r>
      <w:r w:rsidRPr="00AF4D67">
        <w:rPr>
          <w:rFonts w:ascii="Arial" w:hAnsi="Arial" w:cs="Arial"/>
          <w:i/>
          <w:iCs/>
        </w:rPr>
        <w:tab/>
        <w:t>P= Percentage</w:t>
      </w:r>
    </w:p>
    <w:p w14:paraId="27735C22" w14:textId="77777777" w:rsidR="00AF4D67" w:rsidRPr="00AF4D67" w:rsidRDefault="00AF4D67" w:rsidP="00AF4D67">
      <w:pPr>
        <w:rPr>
          <w:rFonts w:ascii="Arial" w:hAnsi="Arial" w:cs="Arial"/>
        </w:rPr>
      </w:pPr>
    </w:p>
    <w:p w14:paraId="0FA23C54" w14:textId="77777777" w:rsidR="00AF4D67" w:rsidRDefault="00AF4D67" w:rsidP="00AF4D67">
      <w:pPr>
        <w:rPr>
          <w:rFonts w:ascii="Arial" w:hAnsi="Arial" w:cs="Arial"/>
          <w:b/>
          <w:bCs/>
          <w:color w:val="000000" w:themeColor="text1"/>
        </w:rPr>
      </w:pPr>
      <w:r w:rsidRPr="00AF4D67">
        <w:rPr>
          <w:rFonts w:ascii="Arial" w:hAnsi="Arial" w:cs="Arial"/>
          <w:b/>
          <w:bCs/>
          <w:color w:val="000000" w:themeColor="text1"/>
        </w:rPr>
        <w:t>Hypotheses Testing</w:t>
      </w:r>
    </w:p>
    <w:p w14:paraId="4188FF13" w14:textId="77777777" w:rsidR="00291D6B" w:rsidRPr="00AF4D67" w:rsidRDefault="00291D6B" w:rsidP="00AF4D67">
      <w:pPr>
        <w:rPr>
          <w:rFonts w:ascii="Arial" w:hAnsi="Arial" w:cs="Arial"/>
          <w:b/>
          <w:bCs/>
          <w:color w:val="000000" w:themeColor="text1"/>
        </w:rPr>
      </w:pPr>
    </w:p>
    <w:p w14:paraId="0316B7C5" w14:textId="56A99A11" w:rsidR="00AF4D67" w:rsidRDefault="00291D6B" w:rsidP="00AF4D67">
      <w:pPr>
        <w:rPr>
          <w:rFonts w:ascii="Arial" w:hAnsi="Arial" w:cs="Arial"/>
          <w:color w:val="000000" w:themeColor="text1"/>
        </w:rPr>
      </w:pPr>
      <w:r w:rsidRPr="00291D6B">
        <w:rPr>
          <w:rFonts w:ascii="Arial" w:hAnsi="Arial" w:cs="Arial"/>
          <w:color w:val="000000" w:themeColor="text1"/>
        </w:rPr>
        <w:t>Cross-tabulation showed that reproductive and sexual history was significantly associated with cohabitation (p=0.001), while other socio-demographic variables were not. There was also a significant relationship between perception of cohabitation and emergency contraception and the usage of emergency contraception (p=0.001).</w:t>
      </w:r>
    </w:p>
    <w:p w14:paraId="630F6751" w14:textId="77777777" w:rsidR="00291D6B" w:rsidRDefault="00291D6B" w:rsidP="00AF4D67">
      <w:pPr>
        <w:rPr>
          <w:rFonts w:ascii="Arial" w:hAnsi="Arial" w:cs="Arial"/>
          <w:color w:val="000000" w:themeColor="text1"/>
        </w:rPr>
      </w:pPr>
    </w:p>
    <w:p w14:paraId="2CFD6F46" w14:textId="77777777" w:rsidR="00291D6B" w:rsidRDefault="00291D6B" w:rsidP="00AF4D67">
      <w:pPr>
        <w:rPr>
          <w:rFonts w:ascii="Arial" w:hAnsi="Arial" w:cs="Arial"/>
          <w:color w:val="000000" w:themeColor="text1"/>
        </w:rPr>
      </w:pPr>
    </w:p>
    <w:p w14:paraId="27D29198" w14:textId="77777777" w:rsidR="00291D6B" w:rsidRPr="0084123F" w:rsidRDefault="00291D6B" w:rsidP="00AF4D67">
      <w:pPr>
        <w:rPr>
          <w:rFonts w:ascii="Times New Roman" w:hAnsi="Times New Roman"/>
        </w:rPr>
      </w:pPr>
    </w:p>
    <w:p w14:paraId="1994BEE9" w14:textId="504E0A00" w:rsidR="00AF4D67" w:rsidRPr="0084123F" w:rsidRDefault="00AF4D67" w:rsidP="00AF4D67">
      <w:pPr>
        <w:rPr>
          <w:rFonts w:ascii="Times New Roman" w:hAnsi="Times New Roman"/>
        </w:rPr>
      </w:pPr>
    </w:p>
    <w:p w14:paraId="6BA81B2A" w14:textId="77777777" w:rsidR="00AF4D67" w:rsidRDefault="00AF4D67" w:rsidP="00AF4D67">
      <w:pPr>
        <w:rPr>
          <w:rFonts w:ascii="Arial" w:hAnsi="Arial" w:cs="Arial"/>
          <w:b/>
          <w:bCs/>
        </w:rPr>
      </w:pPr>
      <w:r w:rsidRPr="00AF4D67">
        <w:rPr>
          <w:rFonts w:ascii="Arial" w:hAnsi="Arial" w:cs="Arial"/>
          <w:b/>
          <w:bCs/>
        </w:rPr>
        <w:lastRenderedPageBreak/>
        <w:t>Discussion</w:t>
      </w:r>
    </w:p>
    <w:p w14:paraId="4F558379" w14:textId="77777777" w:rsidR="00AF4D67" w:rsidRPr="00AF4D67" w:rsidRDefault="00AF4D67" w:rsidP="00AF4D67">
      <w:pPr>
        <w:rPr>
          <w:rFonts w:ascii="Arial" w:hAnsi="Arial" w:cs="Arial"/>
          <w:b/>
          <w:bCs/>
        </w:rPr>
      </w:pPr>
    </w:p>
    <w:p w14:paraId="66C9D569" w14:textId="77777777" w:rsidR="00291D6B" w:rsidRPr="00291D6B" w:rsidRDefault="00291D6B" w:rsidP="00291D6B">
      <w:pPr>
        <w:jc w:val="both"/>
        <w:rPr>
          <w:rFonts w:ascii="Arial" w:hAnsi="Arial" w:cs="Arial"/>
        </w:rPr>
      </w:pPr>
      <w:r w:rsidRPr="00291D6B">
        <w:rPr>
          <w:rFonts w:ascii="Arial" w:hAnsi="Arial" w:cs="Arial"/>
        </w:rPr>
        <w:t>This study examined the prevalence of cohabitation, perceptions of cohabitation and emergency contraceptive (EC) use, factors associated with cohabitation, and outcomes among female undergraduates at Obafemi Awolowo University. Of the 308 respondents, most (61.7%) were aged 21–23 years, predominantly single, Yoruba, and Christian, reflecting the sociocultural context of Osun State. Only 5.9% were currently cohabiting, and 9.7% had previously lived with an opposite-sex student, a prevalence considerably lower than reports from other Nigerian and African universities [5,10,11].</w:t>
      </w:r>
    </w:p>
    <w:p w14:paraId="680CFE8D" w14:textId="77777777" w:rsidR="00291D6B" w:rsidRPr="00291D6B" w:rsidRDefault="00291D6B" w:rsidP="00291D6B">
      <w:pPr>
        <w:jc w:val="both"/>
        <w:rPr>
          <w:rFonts w:ascii="Arial" w:hAnsi="Arial" w:cs="Arial"/>
        </w:rPr>
      </w:pPr>
    </w:p>
    <w:p w14:paraId="558E4628" w14:textId="77777777" w:rsidR="00291D6B" w:rsidRPr="00291D6B" w:rsidRDefault="00291D6B" w:rsidP="00291D6B">
      <w:pPr>
        <w:jc w:val="both"/>
        <w:rPr>
          <w:rFonts w:ascii="Arial" w:hAnsi="Arial" w:cs="Arial"/>
        </w:rPr>
      </w:pPr>
      <w:r w:rsidRPr="00291D6B">
        <w:rPr>
          <w:rFonts w:ascii="Arial" w:hAnsi="Arial" w:cs="Arial"/>
        </w:rPr>
        <w:t>The comparatively low prevalence observed in this study may be attributed to several contextual factors. First, the strong cultural and religious norms prevalent in southwestern Nigeria, particularly within Yoruba and Christian communities, likely discourage cohabitation and reinforce conservative sexual expectations. Second, institutional policies at Obafemi Awolowo University, which emphasize student discipline and morality, may restrict opportunities for open cohabitation compared to universities in more urbanized or liberal contexts. Third, methodological variations across studies—including sampling approaches, operational definitions of cohabitation, and sensitivity of disclosure in self-reported surveys—may also contribute to differences in reported prevalence. Studies conducted in settings with weaker cultural restrictions or more permissive student housing environments have generally reported higher cohabitation rates, suggesting that context strongly shapes outcomes.</w:t>
      </w:r>
    </w:p>
    <w:p w14:paraId="4E264BB1" w14:textId="77777777" w:rsidR="00291D6B" w:rsidRPr="00291D6B" w:rsidRDefault="00291D6B" w:rsidP="00291D6B">
      <w:pPr>
        <w:jc w:val="both"/>
        <w:rPr>
          <w:rFonts w:ascii="Arial" w:hAnsi="Arial" w:cs="Arial"/>
        </w:rPr>
      </w:pPr>
    </w:p>
    <w:p w14:paraId="2E329301" w14:textId="77777777" w:rsidR="00291D6B" w:rsidRPr="00291D6B" w:rsidRDefault="00291D6B" w:rsidP="00291D6B">
      <w:pPr>
        <w:jc w:val="both"/>
        <w:rPr>
          <w:rFonts w:ascii="Arial" w:hAnsi="Arial" w:cs="Arial"/>
        </w:rPr>
      </w:pPr>
      <w:r w:rsidRPr="00291D6B">
        <w:rPr>
          <w:rFonts w:ascii="Arial" w:hAnsi="Arial" w:cs="Arial"/>
        </w:rPr>
        <w:t>Half of the respondents demonstrated positive perceptions of cohabitation and EC use. While many acknowledged the risks of cohabitation—such as premarital sex, unintended pregnancy, and unsafe abortion—others recognized the potential of EC to mitigate these risks, aligning with previous literature [7,9,12,13]. The concern that EC may encourage risky sexual behavior, as raised in some studies [7], highlights the importance of designing reproductive health education that balances awareness with responsible use.</w:t>
      </w:r>
    </w:p>
    <w:p w14:paraId="653E4EB3" w14:textId="77777777" w:rsidR="00291D6B" w:rsidRPr="00291D6B" w:rsidRDefault="00291D6B" w:rsidP="00291D6B">
      <w:pPr>
        <w:jc w:val="both"/>
        <w:rPr>
          <w:rFonts w:ascii="Arial" w:hAnsi="Arial" w:cs="Arial"/>
        </w:rPr>
      </w:pPr>
    </w:p>
    <w:p w14:paraId="225E11DB" w14:textId="77777777" w:rsidR="00291D6B" w:rsidRPr="00291D6B" w:rsidRDefault="00291D6B" w:rsidP="00291D6B">
      <w:pPr>
        <w:jc w:val="both"/>
        <w:rPr>
          <w:rFonts w:ascii="Arial" w:hAnsi="Arial" w:cs="Arial"/>
        </w:rPr>
      </w:pPr>
      <w:r w:rsidRPr="00291D6B">
        <w:rPr>
          <w:rFonts w:ascii="Arial" w:hAnsi="Arial" w:cs="Arial"/>
        </w:rPr>
        <w:t>The logistic regression analysis showed that abandonment of valued African culture was the only significant predictor of cohabitation, reinforcing the centrality of cultural capital in shaping intimate behaviors among young people. This finding underscores the role of culture as both a protective and regulatory factor, consistent with earlier studies [15–17]. However, it also highlights the fragility of these norms, as more students expressed willingness to consider cohabitation despite not currently engaging in it—an indicator of gradual cultural transition.</w:t>
      </w:r>
    </w:p>
    <w:p w14:paraId="0DDFB675" w14:textId="77777777" w:rsidR="00291D6B" w:rsidRPr="00291D6B" w:rsidRDefault="00291D6B" w:rsidP="00291D6B">
      <w:pPr>
        <w:jc w:val="both"/>
        <w:rPr>
          <w:rFonts w:ascii="Arial" w:hAnsi="Arial" w:cs="Arial"/>
        </w:rPr>
      </w:pPr>
    </w:p>
    <w:p w14:paraId="5A676D4F" w14:textId="77777777" w:rsidR="00291D6B" w:rsidRPr="00291D6B" w:rsidRDefault="00291D6B" w:rsidP="00291D6B">
      <w:pPr>
        <w:jc w:val="both"/>
        <w:rPr>
          <w:rFonts w:ascii="Arial" w:hAnsi="Arial" w:cs="Arial"/>
        </w:rPr>
      </w:pPr>
      <w:r w:rsidRPr="00291D6B">
        <w:rPr>
          <w:rFonts w:ascii="Arial" w:hAnsi="Arial" w:cs="Arial"/>
        </w:rPr>
        <w:t>From a theoretical perspective, these findings support social norm and cultural capital frameworks, which argue that intimate and reproductive behaviors are deeply embedded in community values, institutional expectations, and peer influence.</w:t>
      </w:r>
    </w:p>
    <w:p w14:paraId="4CD9627D" w14:textId="77777777" w:rsidR="00291D6B" w:rsidRPr="00291D6B" w:rsidRDefault="00291D6B" w:rsidP="00291D6B">
      <w:pPr>
        <w:jc w:val="both"/>
        <w:rPr>
          <w:rFonts w:ascii="Arial" w:hAnsi="Arial" w:cs="Arial"/>
        </w:rPr>
      </w:pPr>
    </w:p>
    <w:p w14:paraId="4AA439BD" w14:textId="77777777" w:rsidR="00291D6B" w:rsidRPr="00291D6B" w:rsidRDefault="00291D6B" w:rsidP="00291D6B">
      <w:pPr>
        <w:jc w:val="both"/>
        <w:rPr>
          <w:rFonts w:ascii="Arial" w:hAnsi="Arial" w:cs="Arial"/>
        </w:rPr>
      </w:pPr>
      <w:r w:rsidRPr="00291D6B">
        <w:rPr>
          <w:rFonts w:ascii="Arial" w:hAnsi="Arial" w:cs="Arial"/>
        </w:rPr>
        <w:t>Implications of the study</w:t>
      </w:r>
    </w:p>
    <w:p w14:paraId="1947E9D2" w14:textId="77777777" w:rsidR="00291D6B" w:rsidRPr="00291D6B" w:rsidRDefault="00291D6B" w:rsidP="00291D6B">
      <w:pPr>
        <w:jc w:val="both"/>
        <w:rPr>
          <w:rFonts w:ascii="Arial" w:hAnsi="Arial" w:cs="Arial"/>
        </w:rPr>
      </w:pPr>
    </w:p>
    <w:p w14:paraId="1719ED88" w14:textId="76E1CED0" w:rsidR="005A1FF3" w:rsidRDefault="00291D6B" w:rsidP="00291D6B">
      <w:pPr>
        <w:jc w:val="both"/>
        <w:rPr>
          <w:rFonts w:ascii="Arial" w:hAnsi="Arial" w:cs="Arial"/>
        </w:rPr>
      </w:pPr>
      <w:r w:rsidRPr="00291D6B">
        <w:rPr>
          <w:rFonts w:ascii="Arial" w:hAnsi="Arial" w:cs="Arial"/>
        </w:rPr>
        <w:t>The low prevalence of cohabitation observed highlights the continued influence of cultural and institutional norms as protective factors against risky behaviors. However, the willingness of many students to consider cohabitation signals a gradual cultural shift. Universities and policymakers should respond by integrating culturally sensitive reproductive health education into student programs, strengthening counseling services, and ensuring stigma-free access to emergency contraception. Such measures would balance the preservation of cultural values with the need to address evolving student lifestyles, ultimately reducing unintended pregnancies and unsafe abortions.</w:t>
      </w:r>
    </w:p>
    <w:p w14:paraId="108F5EF8" w14:textId="77777777" w:rsidR="00291D6B" w:rsidRDefault="00291D6B" w:rsidP="00291D6B">
      <w:pPr>
        <w:jc w:val="both"/>
        <w:rPr>
          <w:rFonts w:ascii="Arial" w:hAnsi="Arial" w:cs="Arial"/>
        </w:rPr>
      </w:pPr>
    </w:p>
    <w:p w14:paraId="5E91A35F" w14:textId="77777777" w:rsidR="00291D6B" w:rsidRDefault="00291D6B" w:rsidP="00291D6B">
      <w:pPr>
        <w:jc w:val="both"/>
        <w:rPr>
          <w:rFonts w:ascii="Arial" w:hAnsi="Arial" w:cs="Arial"/>
        </w:rPr>
      </w:pPr>
    </w:p>
    <w:p w14:paraId="4757699B" w14:textId="77777777" w:rsidR="00291D6B" w:rsidRPr="004F55BF" w:rsidRDefault="00291D6B" w:rsidP="00291D6B">
      <w:pPr>
        <w:jc w:val="both"/>
        <w:rPr>
          <w:rFonts w:ascii="Arial" w:hAnsi="Arial" w:cs="Arial"/>
        </w:rPr>
      </w:pPr>
    </w:p>
    <w:p w14:paraId="0B161342" w14:textId="77777777" w:rsidR="004F55BF" w:rsidRPr="004F55BF" w:rsidRDefault="004F55BF" w:rsidP="004F55BF">
      <w:pPr>
        <w:jc w:val="both"/>
        <w:rPr>
          <w:rFonts w:ascii="Arial" w:hAnsi="Arial" w:cs="Arial"/>
          <w:b/>
          <w:bCs/>
        </w:rPr>
      </w:pPr>
      <w:r w:rsidRPr="004F55BF">
        <w:rPr>
          <w:rFonts w:ascii="Arial" w:hAnsi="Arial" w:cs="Arial"/>
          <w:b/>
          <w:bCs/>
        </w:rPr>
        <w:lastRenderedPageBreak/>
        <w:t>Limitations</w:t>
      </w:r>
    </w:p>
    <w:p w14:paraId="792C5007" w14:textId="77777777" w:rsidR="006A4282" w:rsidRDefault="006A4282" w:rsidP="004F55BF">
      <w:pPr>
        <w:jc w:val="both"/>
        <w:rPr>
          <w:rFonts w:ascii="Arial" w:hAnsi="Arial" w:cs="Arial"/>
        </w:rPr>
      </w:pPr>
    </w:p>
    <w:p w14:paraId="5E0E79FE" w14:textId="0A3C33AA" w:rsidR="00AF4D67" w:rsidRDefault="00291D6B" w:rsidP="00AF4D67">
      <w:pPr>
        <w:jc w:val="both"/>
        <w:rPr>
          <w:rFonts w:ascii="Arial" w:hAnsi="Arial" w:cs="Arial"/>
        </w:rPr>
      </w:pPr>
      <w:r w:rsidRPr="00291D6B">
        <w:rPr>
          <w:rFonts w:ascii="Arial" w:hAnsi="Arial" w:cs="Arial"/>
        </w:rPr>
        <w:t>This study has several limitations. First, the use of a convenience sampling method restricts representativeness and may limit the generalizability of findings to all undergraduates in Nigeria. Second, while the sample size calculation assumed a prevalence of 76% from prior studies, the justification for this assumption and the chosen margin of error should be considered when interpreting results. Third, although the questionnaire underwent expert review and pre-testing, self-reported responses are subject to recall and social desirability bias. Finally, while reliability testing showed acceptable Cronbach's alpha values, further psychometric evaluation of the tool could strengthen its validity in future studies.</w:t>
      </w:r>
    </w:p>
    <w:p w14:paraId="79C533E6" w14:textId="77777777" w:rsidR="006A4282" w:rsidRPr="00AF4D67" w:rsidRDefault="006A4282" w:rsidP="00AF4D67">
      <w:pPr>
        <w:jc w:val="both"/>
        <w:rPr>
          <w:rFonts w:ascii="Arial" w:hAnsi="Arial" w:cs="Arial"/>
          <w:color w:val="000000" w:themeColor="text1"/>
        </w:rPr>
      </w:pPr>
    </w:p>
    <w:p w14:paraId="741887F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C2581A5" w14:textId="77777777" w:rsidR="00790ADA" w:rsidRPr="00FB3A86" w:rsidRDefault="00790ADA" w:rsidP="00441B6F">
      <w:pPr>
        <w:pStyle w:val="ConcHead"/>
        <w:spacing w:after="0"/>
        <w:jc w:val="both"/>
        <w:rPr>
          <w:rFonts w:ascii="Arial" w:hAnsi="Arial" w:cs="Arial"/>
        </w:rPr>
      </w:pPr>
    </w:p>
    <w:p w14:paraId="2681555A" w14:textId="77777777" w:rsidR="00291D6B" w:rsidRPr="00291D6B" w:rsidRDefault="00291D6B" w:rsidP="00291D6B">
      <w:pPr>
        <w:pStyle w:val="Body"/>
        <w:rPr>
          <w:rFonts w:ascii="Arial" w:hAnsi="Arial" w:cs="Arial"/>
          <w:color w:val="000000" w:themeColor="text1"/>
        </w:rPr>
      </w:pPr>
      <w:r w:rsidRPr="00291D6B">
        <w:rPr>
          <w:rFonts w:ascii="Arial" w:hAnsi="Arial" w:cs="Arial"/>
          <w:color w:val="000000" w:themeColor="text1"/>
        </w:rPr>
        <w:t>The prevalence of cohabitation among female undergraduates was low, but EC use was relatively high. Abandonment of valued African culture was identified as a significant factor linked to cohabitation, while reproductive and sexual history significantly influenced cohabitation prevalence. Education on sexual health and broader access to contraceptives remain critical in addressing associated risks.</w:t>
      </w:r>
    </w:p>
    <w:p w14:paraId="7E47BA00" w14:textId="77777777" w:rsidR="00291D6B" w:rsidRPr="00291D6B" w:rsidRDefault="00291D6B" w:rsidP="00291D6B">
      <w:pPr>
        <w:pStyle w:val="Body"/>
        <w:rPr>
          <w:rFonts w:ascii="Arial" w:hAnsi="Arial" w:cs="Arial"/>
          <w:color w:val="000000" w:themeColor="text1"/>
        </w:rPr>
      </w:pPr>
      <w:r w:rsidRPr="00291D6B">
        <w:rPr>
          <w:rFonts w:ascii="Arial" w:hAnsi="Arial" w:cs="Arial"/>
          <w:color w:val="000000" w:themeColor="text1"/>
        </w:rPr>
        <w:t>Recommendations</w:t>
      </w:r>
    </w:p>
    <w:p w14:paraId="6965BFF2" w14:textId="3B2EE0B5" w:rsidR="00790ADA" w:rsidRPr="00FB3A86" w:rsidRDefault="00291D6B" w:rsidP="00291D6B">
      <w:pPr>
        <w:pStyle w:val="Body"/>
        <w:spacing w:after="0"/>
        <w:rPr>
          <w:rFonts w:ascii="Arial" w:hAnsi="Arial" w:cs="Arial"/>
        </w:rPr>
      </w:pPr>
      <w:r w:rsidRPr="00291D6B">
        <w:rPr>
          <w:rFonts w:ascii="Arial" w:hAnsi="Arial" w:cs="Arial"/>
          <w:color w:val="000000" w:themeColor="text1"/>
        </w:rPr>
        <w:t>Future research should use larger sample sizes and mixed methods. Universities should sensitize students on the dangers of cohabitation during orientation, include it in student handbooks, and establish accessible reproductive health clinics. Strengthening premarital counseling and linking contraceptive counseling with other health services is also recommended.</w:t>
      </w:r>
    </w:p>
    <w:p w14:paraId="3D974730" w14:textId="359B7492" w:rsidR="00315186" w:rsidRPr="00315186" w:rsidRDefault="00315186" w:rsidP="00D57F40">
      <w:pPr>
        <w:pStyle w:val="Body"/>
        <w:spacing w:after="0"/>
      </w:pPr>
    </w:p>
    <w:p w14:paraId="6F92BFA6" w14:textId="77777777" w:rsidR="00315186" w:rsidRPr="00315186" w:rsidRDefault="00315186" w:rsidP="00441B6F"/>
    <w:p w14:paraId="6BCF3186" w14:textId="77777777" w:rsidR="00315186" w:rsidRPr="00315186" w:rsidRDefault="00315186" w:rsidP="00441B6F"/>
    <w:p w14:paraId="06ABC304" w14:textId="77777777" w:rsidR="00315186" w:rsidRPr="00315186" w:rsidRDefault="00315186" w:rsidP="00441B6F"/>
    <w:p w14:paraId="1E156AF2" w14:textId="77777777" w:rsidR="005C784C" w:rsidRDefault="005C784C" w:rsidP="00441B6F">
      <w:pPr>
        <w:pStyle w:val="ReferHead"/>
        <w:spacing w:after="0"/>
        <w:jc w:val="both"/>
        <w:rPr>
          <w:rFonts w:ascii="Arial" w:hAnsi="Arial" w:cs="Arial"/>
          <w:b w:val="0"/>
          <w:caps w:val="0"/>
          <w:sz w:val="20"/>
        </w:rPr>
      </w:pPr>
    </w:p>
    <w:p w14:paraId="36B48933" w14:textId="33E46A69" w:rsidR="005C784C" w:rsidRDefault="005C784C" w:rsidP="00441B6F">
      <w:pPr>
        <w:pStyle w:val="ReferHead"/>
        <w:spacing w:after="0"/>
        <w:jc w:val="both"/>
        <w:rPr>
          <w:rFonts w:ascii="Arial" w:hAnsi="Arial" w:cs="Arial"/>
          <w:bCs/>
        </w:rPr>
      </w:pPr>
      <w:r>
        <w:rPr>
          <w:rFonts w:ascii="Arial" w:hAnsi="Arial" w:cs="Arial"/>
          <w:bCs/>
        </w:rPr>
        <w:t>Ethical approval</w:t>
      </w:r>
    </w:p>
    <w:p w14:paraId="470047B6" w14:textId="77777777" w:rsidR="005C784C" w:rsidRPr="002B685A" w:rsidRDefault="005C784C" w:rsidP="00441B6F">
      <w:pPr>
        <w:pStyle w:val="ReferHead"/>
        <w:spacing w:after="0"/>
        <w:jc w:val="both"/>
        <w:rPr>
          <w:rFonts w:ascii="Arial" w:hAnsi="Arial" w:cs="Arial"/>
          <w:bCs/>
        </w:rPr>
      </w:pPr>
    </w:p>
    <w:p w14:paraId="53862CE8" w14:textId="707C8FDE" w:rsidR="00821301" w:rsidRDefault="00291D6B" w:rsidP="00441B6F">
      <w:pPr>
        <w:pStyle w:val="ReferHead"/>
        <w:spacing w:after="0"/>
        <w:jc w:val="both"/>
        <w:rPr>
          <w:rFonts w:ascii="Arial" w:hAnsi="Arial" w:cs="Arial"/>
          <w:b w:val="0"/>
          <w:caps w:val="0"/>
          <w:sz w:val="20"/>
        </w:rPr>
      </w:pPr>
      <w:r>
        <w:rPr>
          <w:rFonts w:ascii="Arial" w:hAnsi="Arial" w:cs="Arial"/>
          <w:b w:val="0"/>
          <w:caps w:val="0"/>
          <w:sz w:val="20"/>
        </w:rPr>
        <w:t>E</w:t>
      </w:r>
      <w:r w:rsidRPr="00291D6B">
        <w:rPr>
          <w:rFonts w:ascii="Arial" w:hAnsi="Arial" w:cs="Arial"/>
          <w:b w:val="0"/>
          <w:caps w:val="0"/>
          <w:sz w:val="20"/>
        </w:rPr>
        <w:t xml:space="preserve">thical approval was obtained from the health research ethics committee of the institute of public health, </w:t>
      </w:r>
      <w:r>
        <w:rPr>
          <w:rFonts w:ascii="Arial" w:hAnsi="Arial" w:cs="Arial"/>
          <w:b w:val="0"/>
          <w:caps w:val="0"/>
          <w:sz w:val="20"/>
        </w:rPr>
        <w:t>Ob</w:t>
      </w:r>
      <w:r w:rsidRPr="00291D6B">
        <w:rPr>
          <w:rFonts w:ascii="Arial" w:hAnsi="Arial" w:cs="Arial"/>
          <w:b w:val="0"/>
          <w:caps w:val="0"/>
          <w:sz w:val="20"/>
        </w:rPr>
        <w:t>afemi Awolowo University, Ile-Ife (HREC NO: IPHOAU/12/2169). informed consent was obtained from all participants, confidentiality and anonymity were assured, and participation was voluntary without coercion or financial inducement.</w:t>
      </w:r>
    </w:p>
    <w:p w14:paraId="04334E11" w14:textId="3F468312" w:rsidR="00821301" w:rsidRDefault="00821301" w:rsidP="00441B6F">
      <w:pPr>
        <w:pStyle w:val="ReferHead"/>
        <w:spacing w:after="0"/>
        <w:jc w:val="both"/>
        <w:rPr>
          <w:rFonts w:ascii="Arial" w:hAnsi="Arial" w:cs="Arial"/>
          <w:b w:val="0"/>
          <w:caps w:val="0"/>
          <w:sz w:val="20"/>
        </w:rPr>
      </w:pPr>
    </w:p>
    <w:p w14:paraId="371EC31D" w14:textId="77777777" w:rsidR="00821301" w:rsidRPr="00046C34" w:rsidRDefault="00821301" w:rsidP="00821301">
      <w:pPr>
        <w:rPr>
          <w:rFonts w:ascii="Calibri" w:eastAsia="Calibri" w:hAnsi="Calibri"/>
          <w:kern w:val="2"/>
          <w:highlight w:val="yellow"/>
        </w:rPr>
      </w:pPr>
      <w:bookmarkStart w:id="0" w:name="_Hlk204003461"/>
      <w:r w:rsidRPr="00046C34">
        <w:rPr>
          <w:rFonts w:ascii="Calibri" w:eastAsia="Calibri" w:hAnsi="Calibri"/>
          <w:kern w:val="2"/>
          <w:highlight w:val="yellow"/>
        </w:rPr>
        <w:t>Disclaimer (Artificial intelligence)</w:t>
      </w:r>
    </w:p>
    <w:p w14:paraId="322FED94" w14:textId="77777777" w:rsidR="00821301" w:rsidRPr="00046C34" w:rsidRDefault="00821301" w:rsidP="00821301">
      <w:pPr>
        <w:rPr>
          <w:rFonts w:ascii="Calibri" w:eastAsia="Calibri" w:hAnsi="Calibri"/>
          <w:kern w:val="2"/>
          <w:highlight w:val="yellow"/>
        </w:rPr>
      </w:pPr>
      <w:r w:rsidRPr="00046C34">
        <w:rPr>
          <w:rFonts w:ascii="Calibri" w:eastAsia="Calibri" w:hAnsi="Calibri"/>
          <w:kern w:val="2"/>
          <w:highlight w:val="yellow"/>
        </w:rPr>
        <w:t xml:space="preserve">Option 1: </w:t>
      </w:r>
    </w:p>
    <w:p w14:paraId="73BA0986" w14:textId="77777777" w:rsidR="00821301" w:rsidRPr="00046C34" w:rsidRDefault="00821301" w:rsidP="00821301">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F1F196A" w14:textId="77777777" w:rsidR="00821301" w:rsidRDefault="00821301" w:rsidP="00441B6F">
      <w:pPr>
        <w:pStyle w:val="ReferHead"/>
        <w:spacing w:after="0"/>
        <w:jc w:val="both"/>
        <w:rPr>
          <w:rFonts w:ascii="Arial" w:hAnsi="Arial" w:cs="Arial"/>
          <w:b w:val="0"/>
          <w:caps w:val="0"/>
          <w:sz w:val="20"/>
        </w:rPr>
      </w:pPr>
    </w:p>
    <w:p w14:paraId="4136E140" w14:textId="77777777" w:rsidR="00D57F40" w:rsidRDefault="00D57F40" w:rsidP="00441B6F">
      <w:pPr>
        <w:pStyle w:val="ReferHead"/>
        <w:spacing w:after="0"/>
        <w:jc w:val="both"/>
        <w:rPr>
          <w:rFonts w:ascii="Arial" w:hAnsi="Arial" w:cs="Arial"/>
        </w:rPr>
      </w:pPr>
    </w:p>
    <w:p w14:paraId="313A7C2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B91D96" w14:textId="77777777" w:rsidR="00790ADA" w:rsidRPr="00FB3A86" w:rsidRDefault="00790ADA" w:rsidP="00441B6F">
      <w:pPr>
        <w:pStyle w:val="ReferHead"/>
        <w:spacing w:after="0"/>
        <w:jc w:val="both"/>
        <w:rPr>
          <w:rFonts w:ascii="Arial" w:hAnsi="Arial" w:cs="Arial"/>
        </w:rPr>
      </w:pPr>
    </w:p>
    <w:p w14:paraId="22522BD7" w14:textId="77777777" w:rsidR="005C3E3E" w:rsidRPr="005C3E3E" w:rsidRDefault="005C3E3E" w:rsidP="005C3E3E">
      <w:pPr>
        <w:pStyle w:val="Appendix"/>
        <w:jc w:val="both"/>
        <w:rPr>
          <w:b w:val="0"/>
          <w:caps w:val="0"/>
          <w:sz w:val="20"/>
        </w:rPr>
      </w:pPr>
      <w:r w:rsidRPr="005C3E3E">
        <w:rPr>
          <w:b w:val="0"/>
          <w:caps w:val="0"/>
          <w:sz w:val="20"/>
        </w:rPr>
        <w:t>1.</w:t>
      </w:r>
      <w:r w:rsidRPr="005C3E3E">
        <w:rPr>
          <w:b w:val="0"/>
          <w:caps w:val="0"/>
          <w:sz w:val="20"/>
        </w:rPr>
        <w:tab/>
        <w:t>Manning WD, Joyner K, Hemez P, Cupka C. Measuring cohabitation in U.S. national surveys. Demography. 2019;56:1195–1218.</w:t>
      </w:r>
    </w:p>
    <w:p w14:paraId="45688E2E" w14:textId="77777777" w:rsidR="005C3E3E" w:rsidRPr="005C3E3E" w:rsidRDefault="005C3E3E" w:rsidP="005C3E3E">
      <w:pPr>
        <w:pStyle w:val="Appendix"/>
        <w:jc w:val="both"/>
        <w:rPr>
          <w:b w:val="0"/>
          <w:caps w:val="0"/>
          <w:sz w:val="20"/>
        </w:rPr>
      </w:pPr>
      <w:r w:rsidRPr="005C3E3E">
        <w:rPr>
          <w:b w:val="0"/>
          <w:caps w:val="0"/>
          <w:sz w:val="20"/>
        </w:rPr>
        <w:t>2.</w:t>
      </w:r>
      <w:r w:rsidRPr="005C3E3E">
        <w:rPr>
          <w:b w:val="0"/>
          <w:caps w:val="0"/>
          <w:sz w:val="20"/>
        </w:rPr>
        <w:tab/>
        <w:t xml:space="preserve">Kasim OF, Falola O. Cohabitation and students’ academic performance in selected tertiary institutions in Ibadan, Nigeria. </w:t>
      </w:r>
      <w:proofErr w:type="spellStart"/>
      <w:r w:rsidRPr="005C3E3E">
        <w:rPr>
          <w:b w:val="0"/>
          <w:caps w:val="0"/>
          <w:sz w:val="20"/>
        </w:rPr>
        <w:t>Afr</w:t>
      </w:r>
      <w:proofErr w:type="spellEnd"/>
      <w:r w:rsidRPr="005C3E3E">
        <w:rPr>
          <w:b w:val="0"/>
          <w:caps w:val="0"/>
          <w:sz w:val="20"/>
        </w:rPr>
        <w:t xml:space="preserve"> J Psychol Study Soc Issues. 2017;20(2):188–200.</w:t>
      </w:r>
    </w:p>
    <w:p w14:paraId="57234198" w14:textId="77777777" w:rsidR="005C3E3E" w:rsidRPr="005C3E3E" w:rsidRDefault="005C3E3E" w:rsidP="005C3E3E">
      <w:pPr>
        <w:pStyle w:val="Appendix"/>
        <w:jc w:val="both"/>
        <w:rPr>
          <w:b w:val="0"/>
          <w:caps w:val="0"/>
          <w:sz w:val="20"/>
        </w:rPr>
      </w:pPr>
      <w:r w:rsidRPr="005C3E3E">
        <w:rPr>
          <w:b w:val="0"/>
          <w:caps w:val="0"/>
          <w:sz w:val="20"/>
        </w:rPr>
        <w:t>3.</w:t>
      </w:r>
      <w:r w:rsidRPr="005C3E3E">
        <w:rPr>
          <w:b w:val="0"/>
          <w:caps w:val="0"/>
          <w:sz w:val="20"/>
        </w:rPr>
        <w:tab/>
        <w:t>Ekpenyong NS, Ekpenyong AS. Perceived factors influencing premarital sexual practice among university students in Niger Delta University, Bayelsa State, Nigeria. Can Soc Sci. 2016;12(11):79–88.</w:t>
      </w:r>
    </w:p>
    <w:p w14:paraId="7E98379C" w14:textId="77777777" w:rsidR="005C3E3E" w:rsidRPr="005C3E3E" w:rsidRDefault="005C3E3E" w:rsidP="005C3E3E">
      <w:pPr>
        <w:pStyle w:val="Appendix"/>
        <w:jc w:val="both"/>
        <w:rPr>
          <w:b w:val="0"/>
          <w:caps w:val="0"/>
          <w:sz w:val="20"/>
        </w:rPr>
      </w:pPr>
      <w:r w:rsidRPr="005C3E3E">
        <w:rPr>
          <w:b w:val="0"/>
          <w:caps w:val="0"/>
          <w:sz w:val="20"/>
        </w:rPr>
        <w:t>4.</w:t>
      </w:r>
      <w:r w:rsidRPr="005C3E3E">
        <w:rPr>
          <w:b w:val="0"/>
          <w:caps w:val="0"/>
          <w:sz w:val="20"/>
        </w:rPr>
        <w:tab/>
      </w:r>
      <w:proofErr w:type="spellStart"/>
      <w:r w:rsidRPr="005C3E3E">
        <w:rPr>
          <w:b w:val="0"/>
          <w:caps w:val="0"/>
          <w:sz w:val="20"/>
        </w:rPr>
        <w:t>Svodziwa</w:t>
      </w:r>
      <w:proofErr w:type="spellEnd"/>
      <w:r w:rsidRPr="005C3E3E">
        <w:rPr>
          <w:b w:val="0"/>
          <w:caps w:val="0"/>
          <w:sz w:val="20"/>
        </w:rPr>
        <w:t xml:space="preserve"> M, </w:t>
      </w:r>
      <w:proofErr w:type="spellStart"/>
      <w:r w:rsidRPr="005C3E3E">
        <w:rPr>
          <w:b w:val="0"/>
          <w:caps w:val="0"/>
          <w:sz w:val="20"/>
        </w:rPr>
        <w:t>Kurete</w:t>
      </w:r>
      <w:proofErr w:type="spellEnd"/>
      <w:r w:rsidRPr="005C3E3E">
        <w:rPr>
          <w:b w:val="0"/>
          <w:caps w:val="0"/>
          <w:sz w:val="20"/>
        </w:rPr>
        <w:t xml:space="preserve"> F. Cohabitation among tertiary education students: an exploratory study in Bulawayo. J Human Soc Stud. 2017;6(1):138–48.</w:t>
      </w:r>
    </w:p>
    <w:p w14:paraId="309A623F" w14:textId="77777777" w:rsidR="005C3E3E" w:rsidRPr="005C3E3E" w:rsidRDefault="005C3E3E" w:rsidP="005C3E3E">
      <w:pPr>
        <w:pStyle w:val="Appendix"/>
        <w:jc w:val="both"/>
        <w:rPr>
          <w:b w:val="0"/>
          <w:caps w:val="0"/>
          <w:sz w:val="20"/>
        </w:rPr>
      </w:pPr>
      <w:r w:rsidRPr="005C3E3E">
        <w:rPr>
          <w:b w:val="0"/>
          <w:caps w:val="0"/>
          <w:sz w:val="20"/>
        </w:rPr>
        <w:t>5.</w:t>
      </w:r>
      <w:r w:rsidRPr="005C3E3E">
        <w:rPr>
          <w:b w:val="0"/>
          <w:caps w:val="0"/>
          <w:sz w:val="20"/>
        </w:rPr>
        <w:tab/>
      </w:r>
      <w:proofErr w:type="spellStart"/>
      <w:r w:rsidRPr="005C3E3E">
        <w:rPr>
          <w:b w:val="0"/>
          <w:caps w:val="0"/>
          <w:sz w:val="20"/>
        </w:rPr>
        <w:t>Yemaneh</w:t>
      </w:r>
      <w:proofErr w:type="spellEnd"/>
      <w:r w:rsidRPr="005C3E3E">
        <w:rPr>
          <w:b w:val="0"/>
          <w:caps w:val="0"/>
          <w:sz w:val="20"/>
        </w:rPr>
        <w:t xml:space="preserve"> Y, </w:t>
      </w:r>
      <w:proofErr w:type="spellStart"/>
      <w:r w:rsidRPr="005C3E3E">
        <w:rPr>
          <w:b w:val="0"/>
          <w:caps w:val="0"/>
          <w:sz w:val="20"/>
        </w:rPr>
        <w:t>Sayih</w:t>
      </w:r>
      <w:proofErr w:type="spellEnd"/>
      <w:r w:rsidRPr="005C3E3E">
        <w:rPr>
          <w:b w:val="0"/>
          <w:caps w:val="0"/>
          <w:sz w:val="20"/>
        </w:rPr>
        <w:t xml:space="preserve"> A, Niguse W, Lema M, Tsegaye A. Emergency oral contraceptive use among undergraduate female students of Mizan-Tepi University. Int J Pregnancy Child Birth. 2016;4(1):81–6.</w:t>
      </w:r>
    </w:p>
    <w:p w14:paraId="2DB7C70E" w14:textId="77777777" w:rsidR="005C3E3E" w:rsidRPr="005C3E3E" w:rsidRDefault="005C3E3E" w:rsidP="005C3E3E">
      <w:pPr>
        <w:pStyle w:val="Appendix"/>
        <w:jc w:val="both"/>
        <w:rPr>
          <w:b w:val="0"/>
          <w:caps w:val="0"/>
          <w:sz w:val="20"/>
        </w:rPr>
      </w:pPr>
      <w:r w:rsidRPr="005C3E3E">
        <w:rPr>
          <w:b w:val="0"/>
          <w:caps w:val="0"/>
          <w:sz w:val="20"/>
        </w:rPr>
        <w:t>6.</w:t>
      </w:r>
      <w:r w:rsidRPr="005C3E3E">
        <w:rPr>
          <w:b w:val="0"/>
          <w:caps w:val="0"/>
          <w:sz w:val="20"/>
        </w:rPr>
        <w:tab/>
        <w:t xml:space="preserve">Khushbu D, Samyog U, </w:t>
      </w:r>
      <w:proofErr w:type="spellStart"/>
      <w:r w:rsidRPr="005C3E3E">
        <w:rPr>
          <w:b w:val="0"/>
          <w:caps w:val="0"/>
          <w:sz w:val="20"/>
        </w:rPr>
        <w:t>Bilakshan</w:t>
      </w:r>
      <w:proofErr w:type="spellEnd"/>
      <w:r w:rsidRPr="005C3E3E">
        <w:rPr>
          <w:b w:val="0"/>
          <w:caps w:val="0"/>
          <w:sz w:val="20"/>
        </w:rPr>
        <w:t xml:space="preserve"> SR, Rajendra K. Factors affecting use of emergency contraception among college students in Kathmandu, Nepal. IOSR J </w:t>
      </w:r>
      <w:proofErr w:type="spellStart"/>
      <w:r w:rsidRPr="005C3E3E">
        <w:rPr>
          <w:b w:val="0"/>
          <w:caps w:val="0"/>
          <w:sz w:val="20"/>
        </w:rPr>
        <w:t>Nurs</w:t>
      </w:r>
      <w:proofErr w:type="spellEnd"/>
      <w:r w:rsidRPr="005C3E3E">
        <w:rPr>
          <w:b w:val="0"/>
          <w:caps w:val="0"/>
          <w:sz w:val="20"/>
        </w:rPr>
        <w:t xml:space="preserve"> Health Sci. 2020;9(4):39–47.</w:t>
      </w:r>
    </w:p>
    <w:p w14:paraId="7E5C3874" w14:textId="77777777" w:rsidR="005C3E3E" w:rsidRPr="005C3E3E" w:rsidRDefault="005C3E3E" w:rsidP="005C3E3E">
      <w:pPr>
        <w:pStyle w:val="Appendix"/>
        <w:jc w:val="both"/>
        <w:rPr>
          <w:b w:val="0"/>
          <w:caps w:val="0"/>
          <w:sz w:val="20"/>
        </w:rPr>
      </w:pPr>
      <w:r w:rsidRPr="005C3E3E">
        <w:rPr>
          <w:b w:val="0"/>
          <w:caps w:val="0"/>
          <w:sz w:val="20"/>
        </w:rPr>
        <w:t>7.</w:t>
      </w:r>
      <w:r w:rsidRPr="005C3E3E">
        <w:rPr>
          <w:b w:val="0"/>
          <w:caps w:val="0"/>
          <w:sz w:val="20"/>
        </w:rPr>
        <w:tab/>
      </w:r>
      <w:proofErr w:type="spellStart"/>
      <w:r w:rsidRPr="005C3E3E">
        <w:rPr>
          <w:b w:val="0"/>
          <w:caps w:val="0"/>
          <w:sz w:val="20"/>
        </w:rPr>
        <w:t>Sendo</w:t>
      </w:r>
      <w:proofErr w:type="spellEnd"/>
      <w:r w:rsidRPr="005C3E3E">
        <w:rPr>
          <w:b w:val="0"/>
          <w:caps w:val="0"/>
          <w:sz w:val="20"/>
        </w:rPr>
        <w:t xml:space="preserve"> EG, Fikadu K. Utilization and associated factors of emergency contraception among female college students in Addis Ababa, Ethiopia. Qual Prim Care. 2021;29(1):1–7.</w:t>
      </w:r>
    </w:p>
    <w:p w14:paraId="32EEA836" w14:textId="77777777" w:rsidR="005C3E3E" w:rsidRPr="005C3E3E" w:rsidRDefault="005C3E3E" w:rsidP="005C3E3E">
      <w:pPr>
        <w:pStyle w:val="Appendix"/>
        <w:jc w:val="both"/>
        <w:rPr>
          <w:b w:val="0"/>
          <w:caps w:val="0"/>
          <w:sz w:val="20"/>
        </w:rPr>
      </w:pPr>
      <w:r w:rsidRPr="005C3E3E">
        <w:rPr>
          <w:b w:val="0"/>
          <w:caps w:val="0"/>
          <w:sz w:val="20"/>
        </w:rPr>
        <w:t>8.</w:t>
      </w:r>
      <w:r w:rsidRPr="005C3E3E">
        <w:rPr>
          <w:b w:val="0"/>
          <w:caps w:val="0"/>
          <w:sz w:val="20"/>
        </w:rPr>
        <w:tab/>
      </w:r>
      <w:proofErr w:type="spellStart"/>
      <w:r w:rsidRPr="005C3E3E">
        <w:rPr>
          <w:b w:val="0"/>
          <w:caps w:val="0"/>
          <w:sz w:val="20"/>
        </w:rPr>
        <w:t>Chukwubueze</w:t>
      </w:r>
      <w:proofErr w:type="spellEnd"/>
      <w:r w:rsidRPr="005C3E3E">
        <w:rPr>
          <w:b w:val="0"/>
          <w:caps w:val="0"/>
          <w:sz w:val="20"/>
        </w:rPr>
        <w:t xml:space="preserve"> PO, </w:t>
      </w:r>
      <w:proofErr w:type="spellStart"/>
      <w:r w:rsidRPr="005C3E3E">
        <w:rPr>
          <w:b w:val="0"/>
          <w:caps w:val="0"/>
          <w:sz w:val="20"/>
        </w:rPr>
        <w:t>Arisukwu</w:t>
      </w:r>
      <w:proofErr w:type="spellEnd"/>
      <w:r w:rsidRPr="005C3E3E">
        <w:rPr>
          <w:b w:val="0"/>
          <w:caps w:val="0"/>
          <w:sz w:val="20"/>
        </w:rPr>
        <w:t xml:space="preserve"> O. Cohabitation among University of Ibadan undergraduate students. Res </w:t>
      </w:r>
      <w:proofErr w:type="spellStart"/>
      <w:r w:rsidRPr="005C3E3E">
        <w:rPr>
          <w:b w:val="0"/>
          <w:caps w:val="0"/>
          <w:sz w:val="20"/>
        </w:rPr>
        <w:t>Humanit</w:t>
      </w:r>
      <w:proofErr w:type="spellEnd"/>
      <w:r w:rsidRPr="005C3E3E">
        <w:rPr>
          <w:b w:val="0"/>
          <w:caps w:val="0"/>
          <w:sz w:val="20"/>
        </w:rPr>
        <w:t xml:space="preserve"> Soc Sci. 2017;7(18):32–40.</w:t>
      </w:r>
    </w:p>
    <w:p w14:paraId="08B7F304" w14:textId="77777777" w:rsidR="005C3E3E" w:rsidRPr="005C3E3E" w:rsidRDefault="005C3E3E" w:rsidP="005C3E3E">
      <w:pPr>
        <w:pStyle w:val="Appendix"/>
        <w:jc w:val="both"/>
        <w:rPr>
          <w:b w:val="0"/>
          <w:caps w:val="0"/>
          <w:sz w:val="20"/>
        </w:rPr>
      </w:pPr>
      <w:r w:rsidRPr="005C3E3E">
        <w:rPr>
          <w:b w:val="0"/>
          <w:caps w:val="0"/>
          <w:sz w:val="20"/>
        </w:rPr>
        <w:t>9.</w:t>
      </w:r>
      <w:r w:rsidRPr="005C3E3E">
        <w:rPr>
          <w:b w:val="0"/>
          <w:caps w:val="0"/>
          <w:sz w:val="20"/>
        </w:rPr>
        <w:tab/>
      </w:r>
      <w:proofErr w:type="spellStart"/>
      <w:r w:rsidRPr="005C3E3E">
        <w:rPr>
          <w:b w:val="0"/>
          <w:caps w:val="0"/>
          <w:sz w:val="20"/>
        </w:rPr>
        <w:t>Onimajesin</w:t>
      </w:r>
      <w:proofErr w:type="spellEnd"/>
      <w:r w:rsidRPr="005C3E3E">
        <w:rPr>
          <w:b w:val="0"/>
          <w:caps w:val="0"/>
          <w:sz w:val="20"/>
        </w:rPr>
        <w:t xml:space="preserve"> SI, Saheed RO, Atiku AA, Olasunkanmi AA. Globalization, sexual exploration, and cohabiting culture among undergraduate students of University of Ilorin, Nigeria. J </w:t>
      </w:r>
      <w:proofErr w:type="spellStart"/>
      <w:r w:rsidRPr="005C3E3E">
        <w:rPr>
          <w:b w:val="0"/>
          <w:caps w:val="0"/>
          <w:sz w:val="20"/>
        </w:rPr>
        <w:t>Manajemen</w:t>
      </w:r>
      <w:proofErr w:type="spellEnd"/>
      <w:r w:rsidRPr="005C3E3E">
        <w:rPr>
          <w:b w:val="0"/>
          <w:caps w:val="0"/>
          <w:sz w:val="20"/>
        </w:rPr>
        <w:t xml:space="preserve"> Bisnis. 2020;33(2):46–58.</w:t>
      </w:r>
    </w:p>
    <w:p w14:paraId="13F29A4D" w14:textId="77777777" w:rsidR="005C3E3E" w:rsidRPr="005C3E3E" w:rsidRDefault="005C3E3E" w:rsidP="005C3E3E">
      <w:pPr>
        <w:pStyle w:val="Appendix"/>
        <w:jc w:val="both"/>
        <w:rPr>
          <w:b w:val="0"/>
          <w:caps w:val="0"/>
          <w:sz w:val="20"/>
        </w:rPr>
      </w:pPr>
      <w:r w:rsidRPr="005C3E3E">
        <w:rPr>
          <w:b w:val="0"/>
          <w:caps w:val="0"/>
          <w:sz w:val="20"/>
        </w:rPr>
        <w:t>10.</w:t>
      </w:r>
      <w:r w:rsidRPr="005C3E3E">
        <w:rPr>
          <w:b w:val="0"/>
          <w:caps w:val="0"/>
          <w:sz w:val="20"/>
        </w:rPr>
        <w:tab/>
      </w:r>
      <w:proofErr w:type="spellStart"/>
      <w:r w:rsidRPr="005C3E3E">
        <w:rPr>
          <w:b w:val="0"/>
          <w:caps w:val="0"/>
          <w:sz w:val="20"/>
        </w:rPr>
        <w:t>Duyilemi</w:t>
      </w:r>
      <w:proofErr w:type="spellEnd"/>
      <w:r w:rsidRPr="005C3E3E">
        <w:rPr>
          <w:b w:val="0"/>
          <w:caps w:val="0"/>
          <w:sz w:val="20"/>
        </w:rPr>
        <w:t xml:space="preserve"> AN, Tunde-Awe BM, Adekola LO. Cohabitation in Nigeria tertiary institutions: a case study of Adekunle Ajasin University, Akungba-Akoko. Int J Soc Sci </w:t>
      </w:r>
      <w:proofErr w:type="spellStart"/>
      <w:r w:rsidRPr="005C3E3E">
        <w:rPr>
          <w:b w:val="0"/>
          <w:caps w:val="0"/>
          <w:sz w:val="20"/>
        </w:rPr>
        <w:t>Humanit</w:t>
      </w:r>
      <w:proofErr w:type="spellEnd"/>
      <w:r w:rsidRPr="005C3E3E">
        <w:rPr>
          <w:b w:val="0"/>
          <w:caps w:val="0"/>
          <w:sz w:val="20"/>
        </w:rPr>
        <w:t>. 2018;3(1):27–37.</w:t>
      </w:r>
    </w:p>
    <w:p w14:paraId="5D163823" w14:textId="77777777" w:rsidR="005C3E3E" w:rsidRPr="005C3E3E" w:rsidRDefault="005C3E3E" w:rsidP="005C3E3E">
      <w:pPr>
        <w:pStyle w:val="Appendix"/>
        <w:jc w:val="both"/>
        <w:rPr>
          <w:b w:val="0"/>
          <w:caps w:val="0"/>
          <w:sz w:val="20"/>
        </w:rPr>
      </w:pPr>
      <w:r w:rsidRPr="005C3E3E">
        <w:rPr>
          <w:b w:val="0"/>
          <w:caps w:val="0"/>
          <w:sz w:val="20"/>
        </w:rPr>
        <w:t>11.</w:t>
      </w:r>
      <w:r w:rsidRPr="005C3E3E">
        <w:rPr>
          <w:b w:val="0"/>
          <w:caps w:val="0"/>
          <w:sz w:val="20"/>
        </w:rPr>
        <w:tab/>
      </w:r>
      <w:proofErr w:type="spellStart"/>
      <w:r w:rsidRPr="005C3E3E">
        <w:rPr>
          <w:b w:val="0"/>
          <w:caps w:val="0"/>
          <w:sz w:val="20"/>
        </w:rPr>
        <w:t>Iyekolo</w:t>
      </w:r>
      <w:proofErr w:type="spellEnd"/>
      <w:r w:rsidRPr="005C3E3E">
        <w:rPr>
          <w:b w:val="0"/>
          <w:caps w:val="0"/>
          <w:sz w:val="20"/>
        </w:rPr>
        <w:t xml:space="preserve"> OA. Factors responsible for cohabitation among youth as perceived by students of the University of Ilorin, Nigeria. Can J Fam Youth. 2021;13(1):1–18.</w:t>
      </w:r>
    </w:p>
    <w:p w14:paraId="38749173" w14:textId="77777777" w:rsidR="005C3E3E" w:rsidRPr="005C3E3E" w:rsidRDefault="005C3E3E" w:rsidP="005C3E3E">
      <w:pPr>
        <w:pStyle w:val="Appendix"/>
        <w:jc w:val="both"/>
        <w:rPr>
          <w:b w:val="0"/>
          <w:caps w:val="0"/>
          <w:sz w:val="20"/>
        </w:rPr>
      </w:pPr>
      <w:r w:rsidRPr="005C3E3E">
        <w:rPr>
          <w:b w:val="0"/>
          <w:caps w:val="0"/>
          <w:sz w:val="20"/>
        </w:rPr>
        <w:t>12.</w:t>
      </w:r>
      <w:r w:rsidRPr="005C3E3E">
        <w:rPr>
          <w:b w:val="0"/>
          <w:caps w:val="0"/>
          <w:sz w:val="20"/>
        </w:rPr>
        <w:tab/>
        <w:t>Ali R, Akbar R, Mujeeb R, Naz A, Joyo Y, Mahar S. Emergency contraception: knowledge and perceptions in PUMHS University population. J Muhammad Med Coll. 2022;12(2):159–64.</w:t>
      </w:r>
    </w:p>
    <w:p w14:paraId="6AFCB07B" w14:textId="77777777" w:rsidR="005C3E3E" w:rsidRPr="005C3E3E" w:rsidRDefault="005C3E3E" w:rsidP="005C3E3E">
      <w:pPr>
        <w:pStyle w:val="Appendix"/>
        <w:jc w:val="both"/>
        <w:rPr>
          <w:b w:val="0"/>
          <w:caps w:val="0"/>
          <w:sz w:val="20"/>
        </w:rPr>
      </w:pPr>
      <w:r w:rsidRPr="005C3E3E">
        <w:rPr>
          <w:b w:val="0"/>
          <w:caps w:val="0"/>
          <w:sz w:val="20"/>
        </w:rPr>
        <w:t>13.</w:t>
      </w:r>
      <w:r w:rsidRPr="005C3E3E">
        <w:rPr>
          <w:b w:val="0"/>
          <w:caps w:val="0"/>
          <w:sz w:val="20"/>
        </w:rPr>
        <w:tab/>
        <w:t xml:space="preserve">Asiedu C, </w:t>
      </w:r>
      <w:proofErr w:type="spellStart"/>
      <w:r w:rsidRPr="005C3E3E">
        <w:rPr>
          <w:b w:val="0"/>
          <w:caps w:val="0"/>
          <w:sz w:val="20"/>
        </w:rPr>
        <w:t>Beyereh</w:t>
      </w:r>
      <w:proofErr w:type="spellEnd"/>
      <w:r w:rsidRPr="005C3E3E">
        <w:rPr>
          <w:b w:val="0"/>
          <w:caps w:val="0"/>
          <w:sz w:val="20"/>
        </w:rPr>
        <w:t xml:space="preserve"> O, Opoku-Danso R. Knowledge and perception of senior high school students about emergency contraceptive use in Garu and </w:t>
      </w:r>
      <w:proofErr w:type="spellStart"/>
      <w:r w:rsidRPr="005C3E3E">
        <w:rPr>
          <w:b w:val="0"/>
          <w:caps w:val="0"/>
          <w:sz w:val="20"/>
        </w:rPr>
        <w:t>Tempane</w:t>
      </w:r>
      <w:proofErr w:type="spellEnd"/>
      <w:r w:rsidRPr="005C3E3E">
        <w:rPr>
          <w:b w:val="0"/>
          <w:caps w:val="0"/>
          <w:sz w:val="20"/>
        </w:rPr>
        <w:t xml:space="preserve"> districts. </w:t>
      </w:r>
      <w:proofErr w:type="spellStart"/>
      <w:r w:rsidRPr="005C3E3E">
        <w:rPr>
          <w:b w:val="0"/>
          <w:caps w:val="0"/>
          <w:sz w:val="20"/>
        </w:rPr>
        <w:t>Gynecol</w:t>
      </w:r>
      <w:proofErr w:type="spellEnd"/>
      <w:r w:rsidRPr="005C3E3E">
        <w:rPr>
          <w:b w:val="0"/>
          <w:caps w:val="0"/>
          <w:sz w:val="20"/>
        </w:rPr>
        <w:t xml:space="preserve"> </w:t>
      </w:r>
      <w:proofErr w:type="spellStart"/>
      <w:r w:rsidRPr="005C3E3E">
        <w:rPr>
          <w:b w:val="0"/>
          <w:caps w:val="0"/>
          <w:sz w:val="20"/>
        </w:rPr>
        <w:t>Reprod</w:t>
      </w:r>
      <w:proofErr w:type="spellEnd"/>
      <w:r w:rsidRPr="005C3E3E">
        <w:rPr>
          <w:b w:val="0"/>
          <w:caps w:val="0"/>
          <w:sz w:val="20"/>
        </w:rPr>
        <w:t xml:space="preserve"> Health. 2022;6(3):1–6.</w:t>
      </w:r>
    </w:p>
    <w:p w14:paraId="7B0B585D" w14:textId="77777777" w:rsidR="005C3E3E" w:rsidRPr="005C3E3E" w:rsidRDefault="005C3E3E" w:rsidP="005C3E3E">
      <w:pPr>
        <w:pStyle w:val="Appendix"/>
        <w:jc w:val="both"/>
        <w:rPr>
          <w:b w:val="0"/>
          <w:caps w:val="0"/>
          <w:sz w:val="20"/>
        </w:rPr>
      </w:pPr>
      <w:r w:rsidRPr="005C3E3E">
        <w:rPr>
          <w:b w:val="0"/>
          <w:caps w:val="0"/>
          <w:sz w:val="20"/>
        </w:rPr>
        <w:t>14.</w:t>
      </w:r>
      <w:r w:rsidRPr="005C3E3E">
        <w:rPr>
          <w:b w:val="0"/>
          <w:caps w:val="0"/>
          <w:sz w:val="20"/>
        </w:rPr>
        <w:tab/>
      </w:r>
      <w:proofErr w:type="spellStart"/>
      <w:r w:rsidRPr="005C3E3E">
        <w:rPr>
          <w:b w:val="0"/>
          <w:caps w:val="0"/>
          <w:sz w:val="20"/>
        </w:rPr>
        <w:t>Muhinat</w:t>
      </w:r>
      <w:proofErr w:type="spellEnd"/>
      <w:r w:rsidRPr="005C3E3E">
        <w:rPr>
          <w:b w:val="0"/>
          <w:caps w:val="0"/>
          <w:sz w:val="20"/>
        </w:rPr>
        <w:t xml:space="preserve"> BB. Causes and consequences of cohabitation among students of Federal Polytechnics Offa, Kwara State. Equilibrium: </w:t>
      </w:r>
      <w:proofErr w:type="spellStart"/>
      <w:r w:rsidRPr="005C3E3E">
        <w:rPr>
          <w:b w:val="0"/>
          <w:caps w:val="0"/>
          <w:sz w:val="20"/>
        </w:rPr>
        <w:t>Jurnal</w:t>
      </w:r>
      <w:proofErr w:type="spellEnd"/>
      <w:r w:rsidRPr="005C3E3E">
        <w:rPr>
          <w:b w:val="0"/>
          <w:caps w:val="0"/>
          <w:sz w:val="20"/>
        </w:rPr>
        <w:t xml:space="preserve"> Pendidikan. 2022;X(1):9–15.</w:t>
      </w:r>
    </w:p>
    <w:p w14:paraId="7D49E762" w14:textId="77777777" w:rsidR="005C3E3E" w:rsidRPr="005C3E3E" w:rsidRDefault="005C3E3E" w:rsidP="005C3E3E">
      <w:pPr>
        <w:pStyle w:val="Appendix"/>
        <w:jc w:val="both"/>
        <w:rPr>
          <w:b w:val="0"/>
          <w:caps w:val="0"/>
          <w:sz w:val="20"/>
        </w:rPr>
      </w:pPr>
      <w:r w:rsidRPr="005C3E3E">
        <w:rPr>
          <w:b w:val="0"/>
          <w:caps w:val="0"/>
          <w:sz w:val="20"/>
        </w:rPr>
        <w:lastRenderedPageBreak/>
        <w:t>15.</w:t>
      </w:r>
      <w:r w:rsidRPr="005C3E3E">
        <w:rPr>
          <w:b w:val="0"/>
          <w:caps w:val="0"/>
          <w:sz w:val="20"/>
        </w:rPr>
        <w:tab/>
        <w:t xml:space="preserve">Jiya J, Alhassan DZ. Factors influencing cohabitation among undergraduates of Federal University of Technology Minna, Niger State. J Educ </w:t>
      </w:r>
      <w:proofErr w:type="spellStart"/>
      <w:r w:rsidRPr="005C3E3E">
        <w:rPr>
          <w:b w:val="0"/>
          <w:caps w:val="0"/>
          <w:sz w:val="20"/>
        </w:rPr>
        <w:t>Pract</w:t>
      </w:r>
      <w:proofErr w:type="spellEnd"/>
      <w:r w:rsidRPr="005C3E3E">
        <w:rPr>
          <w:b w:val="0"/>
          <w:caps w:val="0"/>
          <w:sz w:val="20"/>
        </w:rPr>
        <w:t>. 2019;10(9):20–26.</w:t>
      </w:r>
    </w:p>
    <w:p w14:paraId="173EA7B2" w14:textId="77777777" w:rsidR="005C3E3E" w:rsidRPr="005C3E3E" w:rsidRDefault="005C3E3E" w:rsidP="005C3E3E">
      <w:pPr>
        <w:pStyle w:val="Appendix"/>
        <w:jc w:val="both"/>
        <w:rPr>
          <w:b w:val="0"/>
          <w:caps w:val="0"/>
          <w:sz w:val="20"/>
        </w:rPr>
      </w:pPr>
      <w:r w:rsidRPr="005C3E3E">
        <w:rPr>
          <w:b w:val="0"/>
          <w:caps w:val="0"/>
          <w:sz w:val="20"/>
        </w:rPr>
        <w:t>16.</w:t>
      </w:r>
      <w:r w:rsidRPr="005C3E3E">
        <w:rPr>
          <w:b w:val="0"/>
          <w:caps w:val="0"/>
          <w:sz w:val="20"/>
        </w:rPr>
        <w:tab/>
      </w:r>
      <w:proofErr w:type="spellStart"/>
      <w:r w:rsidRPr="005C3E3E">
        <w:rPr>
          <w:b w:val="0"/>
          <w:caps w:val="0"/>
          <w:sz w:val="20"/>
        </w:rPr>
        <w:t>Onoyase</w:t>
      </w:r>
      <w:proofErr w:type="spellEnd"/>
      <w:r w:rsidRPr="005C3E3E">
        <w:rPr>
          <w:b w:val="0"/>
          <w:caps w:val="0"/>
          <w:sz w:val="20"/>
        </w:rPr>
        <w:t xml:space="preserve"> A. Cohabitation among university students in Oyo State, South West Nigeria; causes and consequences. J Educ Learn. 2020;9(2):140–7.</w:t>
      </w:r>
    </w:p>
    <w:p w14:paraId="59B40C56" w14:textId="77777777" w:rsidR="005C3E3E" w:rsidRPr="005C3E3E" w:rsidRDefault="005C3E3E" w:rsidP="005C3E3E">
      <w:pPr>
        <w:pStyle w:val="Appendix"/>
        <w:jc w:val="both"/>
        <w:rPr>
          <w:b w:val="0"/>
          <w:caps w:val="0"/>
          <w:sz w:val="20"/>
        </w:rPr>
      </w:pPr>
      <w:r w:rsidRPr="005C3E3E">
        <w:rPr>
          <w:b w:val="0"/>
          <w:caps w:val="0"/>
          <w:sz w:val="20"/>
        </w:rPr>
        <w:t>17.</w:t>
      </w:r>
      <w:r w:rsidRPr="005C3E3E">
        <w:rPr>
          <w:b w:val="0"/>
          <w:caps w:val="0"/>
          <w:sz w:val="20"/>
        </w:rPr>
        <w:tab/>
        <w:t xml:space="preserve">Isa B, Ibrahim SM, </w:t>
      </w:r>
      <w:proofErr w:type="spellStart"/>
      <w:r w:rsidRPr="005C3E3E">
        <w:rPr>
          <w:b w:val="0"/>
          <w:caps w:val="0"/>
          <w:sz w:val="20"/>
        </w:rPr>
        <w:t>Kullima</w:t>
      </w:r>
      <w:proofErr w:type="spellEnd"/>
      <w:r w:rsidRPr="005C3E3E">
        <w:rPr>
          <w:b w:val="0"/>
          <w:caps w:val="0"/>
          <w:sz w:val="20"/>
        </w:rPr>
        <w:t xml:space="preserve"> AA, Bako B. Awareness and utilization of emergency contraception among female undergraduates in a Nigerian University. Trop J </w:t>
      </w:r>
      <w:proofErr w:type="spellStart"/>
      <w:r w:rsidRPr="005C3E3E">
        <w:rPr>
          <w:b w:val="0"/>
          <w:caps w:val="0"/>
          <w:sz w:val="20"/>
        </w:rPr>
        <w:t>Obstet</w:t>
      </w:r>
      <w:proofErr w:type="spellEnd"/>
      <w:r w:rsidRPr="005C3E3E">
        <w:rPr>
          <w:b w:val="0"/>
          <w:caps w:val="0"/>
          <w:sz w:val="20"/>
        </w:rPr>
        <w:t xml:space="preserve"> </w:t>
      </w:r>
      <w:proofErr w:type="spellStart"/>
      <w:r w:rsidRPr="005C3E3E">
        <w:rPr>
          <w:b w:val="0"/>
          <w:caps w:val="0"/>
          <w:sz w:val="20"/>
        </w:rPr>
        <w:t>Gynaecol</w:t>
      </w:r>
      <w:proofErr w:type="spellEnd"/>
      <w:r w:rsidRPr="005C3E3E">
        <w:rPr>
          <w:b w:val="0"/>
          <w:caps w:val="0"/>
          <w:sz w:val="20"/>
        </w:rPr>
        <w:t>. 2016;33:196–200.</w:t>
      </w:r>
    </w:p>
    <w:p w14:paraId="6B4A33AE" w14:textId="77777777" w:rsidR="005C3E3E" w:rsidRPr="005C3E3E" w:rsidRDefault="005C3E3E" w:rsidP="005C3E3E">
      <w:pPr>
        <w:pStyle w:val="Appendix"/>
        <w:jc w:val="both"/>
        <w:rPr>
          <w:b w:val="0"/>
          <w:caps w:val="0"/>
          <w:sz w:val="20"/>
        </w:rPr>
      </w:pPr>
      <w:r w:rsidRPr="005C3E3E">
        <w:rPr>
          <w:b w:val="0"/>
          <w:caps w:val="0"/>
          <w:sz w:val="20"/>
        </w:rPr>
        <w:t>18.</w:t>
      </w:r>
      <w:r w:rsidRPr="005C3E3E">
        <w:rPr>
          <w:b w:val="0"/>
          <w:caps w:val="0"/>
          <w:sz w:val="20"/>
        </w:rPr>
        <w:tab/>
        <w:t xml:space="preserve">Adeniyi AO. The effects of cohabitation on academic performance of students in tertiary institutions in Nigeria. Int J </w:t>
      </w:r>
      <w:proofErr w:type="spellStart"/>
      <w:r w:rsidRPr="005C3E3E">
        <w:rPr>
          <w:b w:val="0"/>
          <w:caps w:val="0"/>
          <w:sz w:val="20"/>
        </w:rPr>
        <w:t>Sociol</w:t>
      </w:r>
      <w:proofErr w:type="spellEnd"/>
      <w:r w:rsidRPr="005C3E3E">
        <w:rPr>
          <w:b w:val="0"/>
          <w:caps w:val="0"/>
          <w:sz w:val="20"/>
        </w:rPr>
        <w:t xml:space="preserve"> </w:t>
      </w:r>
      <w:proofErr w:type="spellStart"/>
      <w:r w:rsidRPr="005C3E3E">
        <w:rPr>
          <w:b w:val="0"/>
          <w:caps w:val="0"/>
          <w:sz w:val="20"/>
        </w:rPr>
        <w:t>Anthropol</w:t>
      </w:r>
      <w:proofErr w:type="spellEnd"/>
      <w:r w:rsidRPr="005C3E3E">
        <w:rPr>
          <w:b w:val="0"/>
          <w:caps w:val="0"/>
          <w:sz w:val="20"/>
        </w:rPr>
        <w:t xml:space="preserve"> Res. 2019;5(2):10–15.</w:t>
      </w:r>
    </w:p>
    <w:p w14:paraId="604095F7" w14:textId="06DF3B5C" w:rsidR="004D4277" w:rsidRPr="00FB3A86" w:rsidRDefault="004D4277" w:rsidP="00441B6F">
      <w:pPr>
        <w:pStyle w:val="Appendix"/>
        <w:spacing w:after="0"/>
        <w:jc w:val="both"/>
        <w:rPr>
          <w:rFonts w:ascii="Arial" w:hAnsi="Arial" w:cs="Arial"/>
          <w:b w:val="0"/>
        </w:rPr>
        <w:sectPr w:rsidR="004D4277" w:rsidRPr="00FB3A86" w:rsidSect="007E2CA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8C60491" w14:textId="77777777" w:rsidR="00B01FCD" w:rsidRPr="00FB3A86" w:rsidRDefault="00B01FCD" w:rsidP="00441B6F">
      <w:pPr>
        <w:pStyle w:val="Appendix"/>
        <w:spacing w:after="0"/>
        <w:jc w:val="both"/>
        <w:rPr>
          <w:rFonts w:ascii="Arial" w:hAnsi="Arial" w:cs="Arial"/>
          <w:b w:val="0"/>
        </w:rPr>
      </w:pPr>
    </w:p>
    <w:sectPr w:rsidR="00B01FCD" w:rsidRPr="00FB3A86" w:rsidSect="007E2C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944F" w14:textId="77777777" w:rsidR="001E4432" w:rsidRDefault="001E4432" w:rsidP="00C37E61">
      <w:r>
        <w:separator/>
      </w:r>
    </w:p>
  </w:endnote>
  <w:endnote w:type="continuationSeparator" w:id="0">
    <w:p w14:paraId="1293C3F0" w14:textId="77777777" w:rsidR="001E4432" w:rsidRDefault="001E44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2903" w14:textId="77777777" w:rsidR="007E2CA1" w:rsidRDefault="007E2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C81E" w14:textId="5AA4E76E" w:rsidR="00C37E61" w:rsidRPr="00962EA0" w:rsidRDefault="00C37E61" w:rsidP="00962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1D73" w14:textId="458C5006" w:rsidR="00754C9A" w:rsidRPr="007E2CA1" w:rsidRDefault="00754C9A" w:rsidP="007E2C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7B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9E44" w14:textId="77777777" w:rsidR="001E4432" w:rsidRDefault="001E4432" w:rsidP="00C37E61">
      <w:r>
        <w:separator/>
      </w:r>
    </w:p>
  </w:footnote>
  <w:footnote w:type="continuationSeparator" w:id="0">
    <w:p w14:paraId="75140EB8" w14:textId="77777777" w:rsidR="001E4432" w:rsidRDefault="001E44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59EA" w14:textId="226E7BE7" w:rsidR="007E2CA1" w:rsidRDefault="00000000">
    <w:pPr>
      <w:pStyle w:val="Header"/>
    </w:pPr>
    <w:r>
      <w:rPr>
        <w:noProof/>
      </w:rPr>
      <w:pict w14:anchorId="418B9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310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3446" w14:textId="7BC30D9C" w:rsidR="007E2CA1" w:rsidRDefault="00000000">
    <w:pPr>
      <w:pStyle w:val="Header"/>
    </w:pPr>
    <w:r>
      <w:rPr>
        <w:noProof/>
      </w:rPr>
      <w:pict w14:anchorId="7126E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310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B976" w14:textId="7E85268A" w:rsidR="00296529" w:rsidRPr="00296529" w:rsidRDefault="00000000" w:rsidP="00296529">
    <w:pPr>
      <w:ind w:left="2160"/>
      <w:jc w:val="center"/>
      <w:rPr>
        <w:rFonts w:ascii="Times New Roman" w:eastAsia="Calibri" w:hAnsi="Times New Roman"/>
        <w:i/>
        <w:sz w:val="18"/>
        <w:szCs w:val="22"/>
      </w:rPr>
    </w:pPr>
    <w:r>
      <w:rPr>
        <w:noProof/>
      </w:rPr>
      <w:pict w14:anchorId="6BF3A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3100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A9293B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3972E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FA49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D9BE7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6D782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A7048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953B" w14:textId="60FEE23B" w:rsidR="007E2CA1" w:rsidRDefault="00000000">
    <w:pPr>
      <w:pStyle w:val="Header"/>
    </w:pPr>
    <w:r>
      <w:rPr>
        <w:noProof/>
      </w:rPr>
      <w:pict w14:anchorId="0B80A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3100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5AE4" w14:textId="528A721E" w:rsidR="007E2CA1" w:rsidRDefault="00000000">
    <w:pPr>
      <w:pStyle w:val="Header"/>
    </w:pPr>
    <w:r>
      <w:rPr>
        <w:noProof/>
      </w:rPr>
      <w:pict w14:anchorId="77F02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3100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2A6A" w14:textId="4BBD873E" w:rsidR="007E2CA1" w:rsidRDefault="00000000">
    <w:pPr>
      <w:pStyle w:val="Header"/>
    </w:pPr>
    <w:r>
      <w:rPr>
        <w:noProof/>
      </w:rPr>
      <w:pict w14:anchorId="6E04D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3100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12A98"/>
    <w:multiLevelType w:val="hybridMultilevel"/>
    <w:tmpl w:val="72FE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485408"/>
    <w:multiLevelType w:val="multilevel"/>
    <w:tmpl w:val="0E28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D62090"/>
    <w:multiLevelType w:val="hybridMultilevel"/>
    <w:tmpl w:val="C59A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0305770"/>
    <w:multiLevelType w:val="hybridMultilevel"/>
    <w:tmpl w:val="3B62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1CF6EED"/>
    <w:multiLevelType w:val="hybridMultilevel"/>
    <w:tmpl w:val="8110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74E1F"/>
    <w:multiLevelType w:val="multilevel"/>
    <w:tmpl w:val="615E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556303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0367167">
    <w:abstractNumId w:val="18"/>
  </w:num>
  <w:num w:numId="3" w16cid:durableId="455946803">
    <w:abstractNumId w:val="29"/>
  </w:num>
  <w:num w:numId="4" w16cid:durableId="13452785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56212869">
    <w:abstractNumId w:val="9"/>
  </w:num>
  <w:num w:numId="6" w16cid:durableId="2145194822">
    <w:abstractNumId w:val="7"/>
  </w:num>
  <w:num w:numId="7" w16cid:durableId="1066798722">
    <w:abstractNumId w:val="2"/>
  </w:num>
  <w:num w:numId="8" w16cid:durableId="1127548835">
    <w:abstractNumId w:val="15"/>
  </w:num>
  <w:num w:numId="9" w16cid:durableId="1265112289">
    <w:abstractNumId w:val="31"/>
  </w:num>
  <w:num w:numId="10" w16cid:durableId="1012756916">
    <w:abstractNumId w:val="3"/>
  </w:num>
  <w:num w:numId="11" w16cid:durableId="418601896">
    <w:abstractNumId w:val="22"/>
  </w:num>
  <w:num w:numId="12" w16cid:durableId="1556350246">
    <w:abstractNumId w:val="4"/>
  </w:num>
  <w:num w:numId="13" w16cid:durableId="1973946566">
    <w:abstractNumId w:val="20"/>
  </w:num>
  <w:num w:numId="14" w16cid:durableId="1383091646">
    <w:abstractNumId w:val="10"/>
  </w:num>
  <w:num w:numId="15" w16cid:durableId="686714137">
    <w:abstractNumId w:val="27"/>
  </w:num>
  <w:num w:numId="16" w16cid:durableId="546647839">
    <w:abstractNumId w:val="6"/>
  </w:num>
  <w:num w:numId="17" w16cid:durableId="2022967079">
    <w:abstractNumId w:val="28"/>
  </w:num>
  <w:num w:numId="18" w16cid:durableId="228463433">
    <w:abstractNumId w:val="17"/>
  </w:num>
  <w:num w:numId="19" w16cid:durableId="1408114386">
    <w:abstractNumId w:val="34"/>
  </w:num>
  <w:num w:numId="20" w16cid:durableId="1172600112">
    <w:abstractNumId w:val="13"/>
  </w:num>
  <w:num w:numId="21" w16cid:durableId="1268273546">
    <w:abstractNumId w:val="11"/>
  </w:num>
  <w:num w:numId="22" w16cid:durableId="1099563619">
    <w:abstractNumId w:val="16"/>
  </w:num>
  <w:num w:numId="23" w16cid:durableId="1650786611">
    <w:abstractNumId w:val="23"/>
  </w:num>
  <w:num w:numId="24" w16cid:durableId="326903722">
    <w:abstractNumId w:val="32"/>
  </w:num>
  <w:num w:numId="25" w16cid:durableId="1805274048">
    <w:abstractNumId w:val="5"/>
  </w:num>
  <w:num w:numId="26" w16cid:durableId="657197177">
    <w:abstractNumId w:val="19"/>
  </w:num>
  <w:num w:numId="27" w16cid:durableId="1977030082">
    <w:abstractNumId w:val="25"/>
  </w:num>
  <w:num w:numId="28" w16cid:durableId="1132093023">
    <w:abstractNumId w:val="33"/>
  </w:num>
  <w:num w:numId="29" w16cid:durableId="2043631801">
    <w:abstractNumId w:val="30"/>
  </w:num>
  <w:num w:numId="30" w16cid:durableId="1992950094">
    <w:abstractNumId w:val="12"/>
  </w:num>
  <w:num w:numId="31" w16cid:durableId="462970449">
    <w:abstractNumId w:val="26"/>
  </w:num>
  <w:num w:numId="32" w16cid:durableId="1227257348">
    <w:abstractNumId w:val="8"/>
  </w:num>
  <w:num w:numId="33" w16cid:durableId="308248200">
    <w:abstractNumId w:val="1"/>
  </w:num>
  <w:num w:numId="34" w16cid:durableId="1087658409">
    <w:abstractNumId w:val="21"/>
  </w:num>
  <w:num w:numId="35" w16cid:durableId="2030181326">
    <w:abstractNumId w:val="24"/>
  </w:num>
  <w:num w:numId="36" w16cid:durableId="1695109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A7908"/>
    <w:rsid w:val="000B1E33"/>
    <w:rsid w:val="000D689F"/>
    <w:rsid w:val="000E1F87"/>
    <w:rsid w:val="000E68F2"/>
    <w:rsid w:val="000E7B7B"/>
    <w:rsid w:val="000E7D62"/>
    <w:rsid w:val="00103357"/>
    <w:rsid w:val="00123C9F"/>
    <w:rsid w:val="00126190"/>
    <w:rsid w:val="00130F17"/>
    <w:rsid w:val="001320BF"/>
    <w:rsid w:val="0013527F"/>
    <w:rsid w:val="00163BC4"/>
    <w:rsid w:val="00191062"/>
    <w:rsid w:val="00192B72"/>
    <w:rsid w:val="001A29D8"/>
    <w:rsid w:val="001A5CAA"/>
    <w:rsid w:val="001A7841"/>
    <w:rsid w:val="001B0427"/>
    <w:rsid w:val="001B271E"/>
    <w:rsid w:val="001D3A51"/>
    <w:rsid w:val="001E10D2"/>
    <w:rsid w:val="001E25B4"/>
    <w:rsid w:val="001E4432"/>
    <w:rsid w:val="001E44FE"/>
    <w:rsid w:val="00200595"/>
    <w:rsid w:val="00204835"/>
    <w:rsid w:val="00205C83"/>
    <w:rsid w:val="00231920"/>
    <w:rsid w:val="0023195C"/>
    <w:rsid w:val="0024282C"/>
    <w:rsid w:val="002457B3"/>
    <w:rsid w:val="002460DC"/>
    <w:rsid w:val="00250985"/>
    <w:rsid w:val="002556F6"/>
    <w:rsid w:val="00262FA7"/>
    <w:rsid w:val="00283105"/>
    <w:rsid w:val="00284C4C"/>
    <w:rsid w:val="00287E68"/>
    <w:rsid w:val="00291D6B"/>
    <w:rsid w:val="00296529"/>
    <w:rsid w:val="002A611F"/>
    <w:rsid w:val="002A758B"/>
    <w:rsid w:val="002B27FB"/>
    <w:rsid w:val="002B685A"/>
    <w:rsid w:val="002C57D2"/>
    <w:rsid w:val="002E0D56"/>
    <w:rsid w:val="00301C92"/>
    <w:rsid w:val="00315186"/>
    <w:rsid w:val="0033343E"/>
    <w:rsid w:val="00336329"/>
    <w:rsid w:val="003512C2"/>
    <w:rsid w:val="00371FB6"/>
    <w:rsid w:val="003763C1"/>
    <w:rsid w:val="00376BBE"/>
    <w:rsid w:val="00385278"/>
    <w:rsid w:val="0039224F"/>
    <w:rsid w:val="00393933"/>
    <w:rsid w:val="003A43A4"/>
    <w:rsid w:val="003A7E18"/>
    <w:rsid w:val="003C4C86"/>
    <w:rsid w:val="003C6258"/>
    <w:rsid w:val="003E2904"/>
    <w:rsid w:val="00400DB6"/>
    <w:rsid w:val="00401927"/>
    <w:rsid w:val="0041027F"/>
    <w:rsid w:val="00412475"/>
    <w:rsid w:val="00423789"/>
    <w:rsid w:val="00434DE2"/>
    <w:rsid w:val="00440F43"/>
    <w:rsid w:val="00441B6F"/>
    <w:rsid w:val="00446221"/>
    <w:rsid w:val="00450E62"/>
    <w:rsid w:val="004539DB"/>
    <w:rsid w:val="00471A80"/>
    <w:rsid w:val="00486A11"/>
    <w:rsid w:val="004D305E"/>
    <w:rsid w:val="004D3103"/>
    <w:rsid w:val="004D4277"/>
    <w:rsid w:val="004D6551"/>
    <w:rsid w:val="004F55BF"/>
    <w:rsid w:val="00502516"/>
    <w:rsid w:val="00505F06"/>
    <w:rsid w:val="00506828"/>
    <w:rsid w:val="0053056E"/>
    <w:rsid w:val="00552BF8"/>
    <w:rsid w:val="00554FDA"/>
    <w:rsid w:val="005A1FF3"/>
    <w:rsid w:val="005C3E3E"/>
    <w:rsid w:val="005C42C7"/>
    <w:rsid w:val="005C784C"/>
    <w:rsid w:val="005D17F6"/>
    <w:rsid w:val="005E5539"/>
    <w:rsid w:val="00601555"/>
    <w:rsid w:val="00602BF5"/>
    <w:rsid w:val="00617FDD"/>
    <w:rsid w:val="0062557C"/>
    <w:rsid w:val="00633614"/>
    <w:rsid w:val="00633F68"/>
    <w:rsid w:val="00636EB2"/>
    <w:rsid w:val="006375B8"/>
    <w:rsid w:val="00655E4D"/>
    <w:rsid w:val="0066510A"/>
    <w:rsid w:val="00673F9F"/>
    <w:rsid w:val="00686953"/>
    <w:rsid w:val="00687DEA"/>
    <w:rsid w:val="00687E67"/>
    <w:rsid w:val="00691860"/>
    <w:rsid w:val="006967F7"/>
    <w:rsid w:val="006A250C"/>
    <w:rsid w:val="006A4282"/>
    <w:rsid w:val="006B06C8"/>
    <w:rsid w:val="006B21D3"/>
    <w:rsid w:val="006B57D0"/>
    <w:rsid w:val="006D30FF"/>
    <w:rsid w:val="006D6940"/>
    <w:rsid w:val="006F11EC"/>
    <w:rsid w:val="006F5F05"/>
    <w:rsid w:val="0070082C"/>
    <w:rsid w:val="007369E6"/>
    <w:rsid w:val="00746E59"/>
    <w:rsid w:val="00754C9A"/>
    <w:rsid w:val="0075599A"/>
    <w:rsid w:val="00761D52"/>
    <w:rsid w:val="00766301"/>
    <w:rsid w:val="0077749E"/>
    <w:rsid w:val="00790ADA"/>
    <w:rsid w:val="007C7638"/>
    <w:rsid w:val="007D2288"/>
    <w:rsid w:val="007E088F"/>
    <w:rsid w:val="007E2CA1"/>
    <w:rsid w:val="007F7B32"/>
    <w:rsid w:val="00804BC2"/>
    <w:rsid w:val="0081431A"/>
    <w:rsid w:val="00821301"/>
    <w:rsid w:val="0083216F"/>
    <w:rsid w:val="00860000"/>
    <w:rsid w:val="00863BD3"/>
    <w:rsid w:val="008641ED"/>
    <w:rsid w:val="00866D66"/>
    <w:rsid w:val="008671C6"/>
    <w:rsid w:val="00875803"/>
    <w:rsid w:val="008B16E2"/>
    <w:rsid w:val="008B459E"/>
    <w:rsid w:val="008E13AE"/>
    <w:rsid w:val="008E1506"/>
    <w:rsid w:val="008E710C"/>
    <w:rsid w:val="008F69D6"/>
    <w:rsid w:val="00902823"/>
    <w:rsid w:val="009032EB"/>
    <w:rsid w:val="00915CA6"/>
    <w:rsid w:val="00927834"/>
    <w:rsid w:val="009500A6"/>
    <w:rsid w:val="00957C18"/>
    <w:rsid w:val="00962EA0"/>
    <w:rsid w:val="009659BA"/>
    <w:rsid w:val="00983040"/>
    <w:rsid w:val="00995CF9"/>
    <w:rsid w:val="009B3FB9"/>
    <w:rsid w:val="009B736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094"/>
    <w:rsid w:val="00A51431"/>
    <w:rsid w:val="00A539AD"/>
    <w:rsid w:val="00A81C87"/>
    <w:rsid w:val="00A94063"/>
    <w:rsid w:val="00AA6219"/>
    <w:rsid w:val="00AA74E0"/>
    <w:rsid w:val="00AB703F"/>
    <w:rsid w:val="00AC6BB8"/>
    <w:rsid w:val="00AD5032"/>
    <w:rsid w:val="00AE008F"/>
    <w:rsid w:val="00AE42BD"/>
    <w:rsid w:val="00AE5607"/>
    <w:rsid w:val="00AF0E73"/>
    <w:rsid w:val="00AF4D67"/>
    <w:rsid w:val="00B01FCD"/>
    <w:rsid w:val="00B1776C"/>
    <w:rsid w:val="00B24ADF"/>
    <w:rsid w:val="00B52583"/>
    <w:rsid w:val="00B52896"/>
    <w:rsid w:val="00B71D3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1CC9"/>
    <w:rsid w:val="00C70F1B"/>
    <w:rsid w:val="00C71A47"/>
    <w:rsid w:val="00C7464C"/>
    <w:rsid w:val="00C7631F"/>
    <w:rsid w:val="00C85588"/>
    <w:rsid w:val="00C85CEC"/>
    <w:rsid w:val="00CD6755"/>
    <w:rsid w:val="00CD6856"/>
    <w:rsid w:val="00CE0089"/>
    <w:rsid w:val="00CE793C"/>
    <w:rsid w:val="00CF193C"/>
    <w:rsid w:val="00D173F1"/>
    <w:rsid w:val="00D229C2"/>
    <w:rsid w:val="00D52308"/>
    <w:rsid w:val="00D57F40"/>
    <w:rsid w:val="00D74CB0"/>
    <w:rsid w:val="00D8295D"/>
    <w:rsid w:val="00DA0271"/>
    <w:rsid w:val="00DC2A65"/>
    <w:rsid w:val="00DE15F0"/>
    <w:rsid w:val="00DE5663"/>
    <w:rsid w:val="00DE78AA"/>
    <w:rsid w:val="00DF34AE"/>
    <w:rsid w:val="00E053D0"/>
    <w:rsid w:val="00E15994"/>
    <w:rsid w:val="00E3114E"/>
    <w:rsid w:val="00E31A70"/>
    <w:rsid w:val="00E35B02"/>
    <w:rsid w:val="00E57471"/>
    <w:rsid w:val="00E66496"/>
    <w:rsid w:val="00E66B35"/>
    <w:rsid w:val="00E66E10"/>
    <w:rsid w:val="00E769F6"/>
    <w:rsid w:val="00E8407C"/>
    <w:rsid w:val="00E84F3C"/>
    <w:rsid w:val="00E9258C"/>
    <w:rsid w:val="00EA012C"/>
    <w:rsid w:val="00EB3584"/>
    <w:rsid w:val="00EC0532"/>
    <w:rsid w:val="00EC6A55"/>
    <w:rsid w:val="00ED0288"/>
    <w:rsid w:val="00EE52CB"/>
    <w:rsid w:val="00EF164C"/>
    <w:rsid w:val="00EF1FEF"/>
    <w:rsid w:val="00EF581D"/>
    <w:rsid w:val="00EF7FD8"/>
    <w:rsid w:val="00F06F59"/>
    <w:rsid w:val="00F17988"/>
    <w:rsid w:val="00F25560"/>
    <w:rsid w:val="00F2568B"/>
    <w:rsid w:val="00F34716"/>
    <w:rsid w:val="00F469F0"/>
    <w:rsid w:val="00F53273"/>
    <w:rsid w:val="00F755E4"/>
    <w:rsid w:val="00F77D02"/>
    <w:rsid w:val="00FA473E"/>
    <w:rsid w:val="00FA4CAD"/>
    <w:rsid w:val="00FB2395"/>
    <w:rsid w:val="00FB3A86"/>
    <w:rsid w:val="00FD36C8"/>
    <w:rsid w:val="00FE7AFD"/>
    <w:rsid w:val="00FF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0E1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24AD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B24ADF"/>
    <w:rPr>
      <w:rFonts w:asciiTheme="majorHAnsi" w:eastAsiaTheme="majorEastAsia" w:hAnsiTheme="majorHAnsi" w:cstheme="majorBidi"/>
      <w:color w:val="365F91" w:themeColor="accent1" w:themeShade="BF"/>
      <w:kern w:val="2"/>
      <w:sz w:val="32"/>
      <w:szCs w:val="32"/>
      <w14:ligatures w14:val="standardContextual"/>
    </w:rPr>
  </w:style>
  <w:style w:type="paragraph" w:styleId="NormalWeb">
    <w:name w:val="Normal (Web)"/>
    <w:basedOn w:val="Normal"/>
    <w:semiHidden/>
    <w:unhideWhenUsed/>
    <w:rsid w:val="00400D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4E7C3-9636-40FA-9708-078767C6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231</TotalTime>
  <Pages>12</Pages>
  <Words>3281</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21940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40</cp:revision>
  <cp:lastPrinted>1999-07-06T11:00:00Z</cp:lastPrinted>
  <dcterms:created xsi:type="dcterms:W3CDTF">2025-09-03T14:28:00Z</dcterms:created>
  <dcterms:modified xsi:type="dcterms:W3CDTF">2025-09-12T10:51:00Z</dcterms:modified>
</cp:coreProperties>
</file>