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2BF20" w14:textId="413D5FCC" w:rsidR="00F118FB" w:rsidRDefault="00F118FB" w:rsidP="00F118FB">
      <w:pPr>
        <w:rPr>
          <w:rFonts w:ascii="Times New Roman" w:hAnsi="Times New Roman" w:cs="Times New Roman"/>
          <w:b/>
          <w:bCs/>
          <w:sz w:val="24"/>
          <w:szCs w:val="24"/>
        </w:rPr>
      </w:pPr>
      <w:r>
        <w:rPr>
          <w:rFonts w:ascii="Times New Roman" w:hAnsi="Times New Roman" w:cs="Times New Roman"/>
          <w:b/>
          <w:bCs/>
          <w:sz w:val="24"/>
          <w:szCs w:val="24"/>
        </w:rPr>
        <w:t>Original Article</w:t>
      </w:r>
    </w:p>
    <w:p w14:paraId="568A622C" w14:textId="77777777" w:rsidR="00F118FB" w:rsidRDefault="00F118FB" w:rsidP="00F118FB">
      <w:pPr>
        <w:rPr>
          <w:rFonts w:ascii="Times New Roman" w:hAnsi="Times New Roman" w:cs="Times New Roman"/>
          <w:b/>
          <w:bCs/>
          <w:sz w:val="24"/>
          <w:szCs w:val="24"/>
        </w:rPr>
      </w:pPr>
    </w:p>
    <w:p w14:paraId="7A60ABDB" w14:textId="3FA17358" w:rsidR="00A93442" w:rsidRDefault="00000000">
      <w:pPr>
        <w:jc w:val="center"/>
        <w:rPr>
          <w:rFonts w:ascii="Times New Roman" w:hAnsi="Times New Roman" w:cs="Times New Roman"/>
          <w:b/>
          <w:bCs/>
          <w:sz w:val="24"/>
          <w:szCs w:val="24"/>
        </w:rPr>
      </w:pPr>
      <w:r>
        <w:rPr>
          <w:rFonts w:ascii="Times New Roman" w:hAnsi="Times New Roman" w:cs="Times New Roman"/>
          <w:b/>
          <w:bCs/>
          <w:sz w:val="24"/>
          <w:szCs w:val="24"/>
        </w:rPr>
        <w:t>Correlation between Blood G6PD Status and ABO Setup in Developing Significant Neonatal Hyperbilirubinemia</w:t>
      </w:r>
    </w:p>
    <w:p w14:paraId="69ADDFD3" w14:textId="77777777" w:rsidR="00A93442" w:rsidRPr="00F118FB" w:rsidRDefault="00A93442">
      <w:pPr>
        <w:spacing w:after="0"/>
        <w:rPr>
          <w:rFonts w:ascii="Times New Roman" w:hAnsi="Times New Roman" w:cs="Times New Roman"/>
          <w:sz w:val="24"/>
          <w:szCs w:val="24"/>
        </w:rPr>
      </w:pPr>
    </w:p>
    <w:p w14:paraId="4E7097D0" w14:textId="77777777" w:rsidR="00A93442" w:rsidRPr="00F118FB" w:rsidRDefault="00A93442">
      <w:pPr>
        <w:spacing w:after="0"/>
        <w:rPr>
          <w:rFonts w:ascii="Times New Roman" w:hAnsi="Times New Roman" w:cs="Times New Roman"/>
          <w:sz w:val="24"/>
          <w:szCs w:val="24"/>
        </w:rPr>
      </w:pPr>
    </w:p>
    <w:p w14:paraId="507CF18F" w14:textId="77777777" w:rsidR="00A93442" w:rsidRDefault="00A93442">
      <w:pPr>
        <w:jc w:val="both"/>
        <w:rPr>
          <w:rFonts w:ascii="Times New Roman" w:hAnsi="Times New Roman" w:cs="Times New Roman"/>
          <w:sz w:val="24"/>
          <w:szCs w:val="24"/>
        </w:rPr>
      </w:pPr>
    </w:p>
    <w:p w14:paraId="644BE379" w14:textId="77777777" w:rsidR="00A93442" w:rsidRDefault="00A93442">
      <w:pPr>
        <w:jc w:val="both"/>
        <w:rPr>
          <w:rFonts w:ascii="Times New Roman" w:hAnsi="Times New Roman" w:cs="Times New Roman"/>
          <w:sz w:val="24"/>
          <w:szCs w:val="24"/>
        </w:rPr>
      </w:pPr>
    </w:p>
    <w:p w14:paraId="4E6281B5" w14:textId="77777777" w:rsidR="00A93442"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3416D40C" w14:textId="77777777" w:rsidR="00A93442" w:rsidRPr="00836EB4" w:rsidRDefault="00000000">
      <w:pPr>
        <w:jc w:val="both"/>
        <w:rPr>
          <w:rFonts w:ascii="Times New Roman" w:hAnsi="Times New Roman" w:cs="Times New Roman"/>
          <w:sz w:val="24"/>
          <w:szCs w:val="24"/>
          <w:highlight w:val="yellow"/>
        </w:rPr>
      </w:pPr>
      <w:r w:rsidRPr="00836EB4">
        <w:rPr>
          <w:rFonts w:ascii="Times New Roman" w:hAnsi="Times New Roman" w:cs="Times New Roman"/>
          <w:b/>
          <w:bCs/>
          <w:sz w:val="24"/>
          <w:szCs w:val="24"/>
          <w:highlight w:val="yellow"/>
        </w:rPr>
        <w:t>Background:</w:t>
      </w:r>
      <w:r w:rsidRPr="00836EB4">
        <w:rPr>
          <w:rFonts w:ascii="Times New Roman" w:hAnsi="Times New Roman" w:cs="Times New Roman"/>
          <w:sz w:val="24"/>
          <w:szCs w:val="24"/>
          <w:highlight w:val="yellow"/>
        </w:rPr>
        <w:t xml:space="preserve"> Blood group incompatibility and G6PD deficiency are significant risk factors for developing neonatal hyperbilirubinemia. This study aimed to find the association between ABO incompatibility and G6PD deficiency in predicting the development of significant hyperbilirubinemia among term neonates in Ogbomoso, Nigeria.</w:t>
      </w:r>
    </w:p>
    <w:p w14:paraId="54F6EE1E" w14:textId="4D159EED" w:rsidR="00A93442" w:rsidRPr="00836EB4" w:rsidRDefault="00000000">
      <w:pPr>
        <w:jc w:val="both"/>
        <w:rPr>
          <w:rFonts w:ascii="Times New Roman" w:hAnsi="Times New Roman" w:cs="Times New Roman"/>
          <w:sz w:val="24"/>
          <w:szCs w:val="24"/>
          <w:highlight w:val="yellow"/>
        </w:rPr>
      </w:pPr>
      <w:r w:rsidRPr="00836EB4">
        <w:rPr>
          <w:rFonts w:ascii="Times New Roman" w:hAnsi="Times New Roman" w:cs="Times New Roman"/>
          <w:b/>
          <w:bCs/>
          <w:sz w:val="24"/>
          <w:szCs w:val="24"/>
          <w:highlight w:val="yellow"/>
        </w:rPr>
        <w:t>Methods:</w:t>
      </w:r>
      <w:r w:rsidRPr="00836EB4">
        <w:rPr>
          <w:rFonts w:ascii="Times New Roman" w:hAnsi="Times New Roman" w:cs="Times New Roman"/>
          <w:sz w:val="24"/>
          <w:szCs w:val="24"/>
          <w:highlight w:val="yellow"/>
        </w:rPr>
        <w:t xml:space="preserve"> The study was a hospital-based longitudinal cross-sectional study among 471 term neonates conducted in selected health facilities in Ogbomoso over a period of 9 months. General clinical assessment was done. Initial blood specimens were obtained via the umbilical cord for bilirubin test at birth. Then follow up specimen after 72hrs for Bilirubin estimation, blood group and G6PD assays. The data were analyzed using SPSS version 23.0.</w:t>
      </w:r>
    </w:p>
    <w:p w14:paraId="2019C6CC" w14:textId="000C1A88" w:rsidR="00A93442" w:rsidRDefault="00000000">
      <w:pPr>
        <w:jc w:val="both"/>
        <w:rPr>
          <w:rFonts w:ascii="Times New Roman" w:hAnsi="Times New Roman" w:cs="Times New Roman"/>
          <w:b/>
          <w:bCs/>
          <w:sz w:val="24"/>
          <w:szCs w:val="24"/>
        </w:rPr>
      </w:pPr>
      <w:r w:rsidRPr="00836EB4">
        <w:rPr>
          <w:rFonts w:ascii="Times New Roman" w:hAnsi="Times New Roman" w:cs="Times New Roman"/>
          <w:b/>
          <w:bCs/>
          <w:sz w:val="24"/>
          <w:szCs w:val="24"/>
          <w:highlight w:val="yellow"/>
        </w:rPr>
        <w:t>Result:</w:t>
      </w:r>
      <w:r w:rsidRPr="00836EB4">
        <w:rPr>
          <w:rFonts w:ascii="Times New Roman" w:hAnsi="Times New Roman" w:cs="Times New Roman"/>
          <w:sz w:val="24"/>
          <w:szCs w:val="24"/>
          <w:highlight w:val="yellow"/>
        </w:rPr>
        <w:t xml:space="preserve"> The mean value of cord bilirubin was </w:t>
      </w:r>
      <w:r w:rsidRPr="00836EB4">
        <w:rPr>
          <w:rFonts w:ascii="Times New Roman" w:hAnsi="Times New Roman"/>
          <w:sz w:val="24"/>
          <w:szCs w:val="24"/>
          <w:highlight w:val="yellow"/>
        </w:rPr>
        <w:t>1.73 ± 0.85 and follow-up level of 5.79 ± 3.16</w:t>
      </w:r>
      <w:r w:rsidR="00836EB4">
        <w:rPr>
          <w:rFonts w:ascii="Times New Roman" w:hAnsi="Times New Roman"/>
          <w:sz w:val="24"/>
          <w:szCs w:val="24"/>
          <w:highlight w:val="yellow"/>
        </w:rPr>
        <w:t xml:space="preserve">. </w:t>
      </w:r>
      <w:proofErr w:type="gramStart"/>
      <w:r w:rsidR="00836EB4">
        <w:rPr>
          <w:rFonts w:ascii="Times New Roman" w:hAnsi="Times New Roman"/>
          <w:sz w:val="24"/>
          <w:szCs w:val="24"/>
          <w:highlight w:val="yellow"/>
        </w:rPr>
        <w:t xml:space="preserve">Of </w:t>
      </w:r>
      <w:r w:rsidRPr="00836EB4">
        <w:rPr>
          <w:rFonts w:ascii="Times New Roman" w:hAnsi="Times New Roman" w:cs="Times New Roman"/>
          <w:sz w:val="24"/>
          <w:szCs w:val="24"/>
          <w:highlight w:val="yellow"/>
        </w:rPr>
        <w:t xml:space="preserve"> </w:t>
      </w:r>
      <w:r w:rsidR="00836EB4">
        <w:rPr>
          <w:rFonts w:ascii="Times New Roman" w:hAnsi="Times New Roman" w:cs="Times New Roman"/>
          <w:sz w:val="24"/>
          <w:szCs w:val="24"/>
          <w:highlight w:val="yellow"/>
        </w:rPr>
        <w:t>f</w:t>
      </w:r>
      <w:r w:rsidRPr="00836EB4">
        <w:rPr>
          <w:rFonts w:ascii="Times New Roman" w:hAnsi="Times New Roman" w:cs="Times New Roman"/>
          <w:sz w:val="24"/>
          <w:szCs w:val="24"/>
          <w:highlight w:val="yellow"/>
        </w:rPr>
        <w:t>our</w:t>
      </w:r>
      <w:proofErr w:type="gramEnd"/>
      <w:r w:rsidRPr="00836EB4">
        <w:rPr>
          <w:rFonts w:ascii="Times New Roman" w:hAnsi="Times New Roman" w:cs="Times New Roman"/>
          <w:sz w:val="24"/>
          <w:szCs w:val="24"/>
          <w:highlight w:val="yellow"/>
        </w:rPr>
        <w:t xml:space="preserve"> hundred and seventy-one term neonates were recruited, 20 had significant Hyperbilirubinemia at follow-up with a p-value of 0.966 and 0.702 respectively, which is not statistically significant.</w:t>
      </w:r>
      <w:r w:rsidR="00836EB4">
        <w:rPr>
          <w:rFonts w:ascii="Times New Roman" w:hAnsi="Times New Roman" w:cs="Times New Roman"/>
          <w:sz w:val="24"/>
          <w:szCs w:val="24"/>
          <w:highlight w:val="yellow"/>
        </w:rPr>
        <w:t xml:space="preserve"> H</w:t>
      </w:r>
      <w:r w:rsidRPr="00836EB4">
        <w:rPr>
          <w:rFonts w:ascii="Times New Roman" w:hAnsi="Times New Roman" w:cs="Times New Roman"/>
          <w:sz w:val="24"/>
          <w:szCs w:val="24"/>
          <w:highlight w:val="yellow"/>
        </w:rPr>
        <w:t>yperbilirubinemia (≥ 12mg/dl)</w:t>
      </w:r>
      <w:r w:rsidR="00836EB4">
        <w:rPr>
          <w:rFonts w:ascii="Times New Roman" w:hAnsi="Times New Roman" w:cs="Times New Roman"/>
          <w:sz w:val="24"/>
          <w:szCs w:val="24"/>
          <w:highlight w:val="yellow"/>
        </w:rPr>
        <w:t xml:space="preserve"> is</w:t>
      </w:r>
      <w:r w:rsidRPr="00836EB4">
        <w:rPr>
          <w:rFonts w:ascii="Times New Roman" w:hAnsi="Times New Roman" w:cs="Times New Roman"/>
          <w:sz w:val="24"/>
          <w:szCs w:val="24"/>
          <w:highlight w:val="yellow"/>
        </w:rPr>
        <w:t xml:space="preserve"> prevalen</w:t>
      </w:r>
      <w:r w:rsidR="00836EB4">
        <w:rPr>
          <w:rFonts w:ascii="Times New Roman" w:hAnsi="Times New Roman" w:cs="Times New Roman"/>
          <w:sz w:val="24"/>
          <w:szCs w:val="24"/>
          <w:highlight w:val="yellow"/>
        </w:rPr>
        <w:t>t in</w:t>
      </w:r>
      <w:r w:rsidRPr="00836EB4">
        <w:rPr>
          <w:rFonts w:ascii="Times New Roman" w:hAnsi="Times New Roman" w:cs="Times New Roman"/>
          <w:sz w:val="24"/>
          <w:szCs w:val="24"/>
          <w:highlight w:val="yellow"/>
        </w:rPr>
        <w:t xml:space="preserve"> 4.2%.</w:t>
      </w:r>
      <w:r w:rsidRPr="00836EB4">
        <w:rPr>
          <w:rFonts w:ascii="Times New Roman" w:hAnsi="Times New Roman"/>
          <w:sz w:val="24"/>
          <w:szCs w:val="24"/>
          <w:highlight w:val="yellow"/>
        </w:rPr>
        <w:t xml:space="preserve"> N</w:t>
      </w:r>
      <w:r w:rsidRPr="00836EB4">
        <w:rPr>
          <w:rFonts w:ascii="Times New Roman" w:hAnsi="Times New Roman" w:cs="Times New Roman"/>
          <w:sz w:val="24"/>
          <w:szCs w:val="24"/>
          <w:highlight w:val="yellow"/>
        </w:rPr>
        <w:t xml:space="preserve">inety-six (20.3%) had ABO incompatibility among which 4(4.2%) had hyperbilirubinemia. Also, a prevalence of 23.5% for G6PD deficiency of which 3.6% have hyperbilirubinemia. There was no association between ABO Setup, G6PD Status, and development of significant Neonatal </w:t>
      </w:r>
    </w:p>
    <w:p w14:paraId="17EC480B" w14:textId="21EF3F17" w:rsidR="00A93442" w:rsidRDefault="00000000">
      <w:pPr>
        <w:jc w:val="both"/>
        <w:rPr>
          <w:rFonts w:ascii="Times New Roman" w:hAnsi="Times New Roman" w:cs="Times New Roman"/>
          <w:sz w:val="24"/>
          <w:szCs w:val="24"/>
        </w:rPr>
      </w:pPr>
      <w:r>
        <w:rPr>
          <w:rFonts w:ascii="Times New Roman" w:hAnsi="Times New Roman" w:cs="Times New Roman"/>
          <w:b/>
          <w:bCs/>
          <w:sz w:val="24"/>
          <w:szCs w:val="24"/>
        </w:rPr>
        <w:t xml:space="preserve">Conclusion: </w:t>
      </w:r>
      <w:r>
        <w:rPr>
          <w:rFonts w:ascii="Times New Roman" w:hAnsi="Times New Roman" w:cs="Times New Roman"/>
          <w:sz w:val="24"/>
          <w:szCs w:val="24"/>
        </w:rPr>
        <w:t xml:space="preserve">This study does not demonstrate association between ABO incompatibility setup; G6PD deficiency status and development of significant neonatal </w:t>
      </w:r>
      <w:proofErr w:type="spellStart"/>
      <w:r>
        <w:rPr>
          <w:rFonts w:ascii="Times New Roman" w:hAnsi="Times New Roman" w:cs="Times New Roman"/>
          <w:sz w:val="24"/>
          <w:szCs w:val="24"/>
        </w:rPr>
        <w:t>hyperbilirubinaemia</w:t>
      </w:r>
      <w:proofErr w:type="spellEnd"/>
      <w:r>
        <w:rPr>
          <w:rFonts w:ascii="Times New Roman" w:hAnsi="Times New Roman" w:cs="Times New Roman"/>
          <w:sz w:val="24"/>
          <w:szCs w:val="24"/>
        </w:rPr>
        <w:t xml:space="preserve"> between </w:t>
      </w:r>
      <w:proofErr w:type="gramStart"/>
      <w:r>
        <w:rPr>
          <w:rFonts w:ascii="Times New Roman" w:hAnsi="Times New Roman" w:cs="Times New Roman"/>
          <w:sz w:val="24"/>
          <w:szCs w:val="24"/>
        </w:rPr>
        <w:t>seventy two</w:t>
      </w:r>
      <w:proofErr w:type="gramEnd"/>
      <w:r>
        <w:rPr>
          <w:rFonts w:ascii="Times New Roman" w:hAnsi="Times New Roman" w:cs="Times New Roman"/>
          <w:sz w:val="24"/>
          <w:szCs w:val="24"/>
        </w:rPr>
        <w:t xml:space="preserve"> hours and ninety two postnatal follow up.</w:t>
      </w:r>
    </w:p>
    <w:p w14:paraId="5E948FDB" w14:textId="77777777" w:rsidR="00A93442" w:rsidRDefault="00A93442">
      <w:pPr>
        <w:jc w:val="both"/>
        <w:rPr>
          <w:rFonts w:ascii="Times New Roman" w:hAnsi="Times New Roman" w:cs="Times New Roman"/>
          <w:sz w:val="24"/>
          <w:szCs w:val="24"/>
        </w:rPr>
      </w:pPr>
    </w:p>
    <w:p w14:paraId="045FB7CD" w14:textId="77777777" w:rsidR="00A93442" w:rsidRDefault="00A93442">
      <w:pPr>
        <w:jc w:val="both"/>
        <w:rPr>
          <w:rFonts w:ascii="Times New Roman" w:hAnsi="Times New Roman" w:cs="Times New Roman"/>
          <w:b/>
          <w:bCs/>
          <w:sz w:val="24"/>
          <w:szCs w:val="24"/>
        </w:rPr>
      </w:pPr>
    </w:p>
    <w:p w14:paraId="671AF4E2" w14:textId="77777777" w:rsidR="00A93442" w:rsidRDefault="00000000">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Hyperbilirubinemia, blood ABO, G6PD deficiency</w:t>
      </w:r>
    </w:p>
    <w:p w14:paraId="103171E6" w14:textId="77777777" w:rsidR="00A93442"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p>
    <w:p w14:paraId="53EB3854" w14:textId="77777777" w:rsidR="00A93442" w:rsidRDefault="0000000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Introduction </w:t>
      </w:r>
    </w:p>
    <w:p w14:paraId="01DCDC11" w14:textId="19650CE0" w:rsidR="00A93442" w:rsidRDefault="00000000">
      <w:pPr>
        <w:jc w:val="both"/>
        <w:rPr>
          <w:rFonts w:ascii="Times New Roman" w:hAnsi="Times New Roman" w:cs="Times New Roman"/>
          <w:b/>
          <w:sz w:val="24"/>
          <w:szCs w:val="24"/>
        </w:rPr>
      </w:pPr>
      <w:r w:rsidRPr="00836EB4">
        <w:rPr>
          <w:rFonts w:ascii="Times New Roman" w:hAnsi="Times New Roman" w:cs="Times New Roman"/>
          <w:sz w:val="24"/>
          <w:szCs w:val="24"/>
          <w:highlight w:val="yellow"/>
        </w:rPr>
        <w:t>Blood ABO incompatibility is a condition in which newborn’s blood group/type is different from that of the mother. Blood typing is based on the antigen type present on the surface of the red blood cells.</w:t>
      </w:r>
      <w:r w:rsidRPr="00836EB4">
        <w:rPr>
          <w:rFonts w:ascii="Times New Roman" w:hAnsi="Times New Roman" w:cs="Times New Roman"/>
          <w:color w:val="000000"/>
          <w:sz w:val="24"/>
          <w:szCs w:val="24"/>
          <w:highlight w:val="yellow"/>
          <w:vertAlign w:val="superscript"/>
        </w:rPr>
        <w:t>1</w:t>
      </w:r>
      <w:r w:rsidRPr="00836EB4">
        <w:rPr>
          <w:rFonts w:ascii="Times New Roman" w:hAnsi="Times New Roman" w:cs="Times New Roman"/>
          <w:sz w:val="24"/>
          <w:szCs w:val="24"/>
          <w:highlight w:val="yellow"/>
        </w:rPr>
        <w:t xml:space="preserve"> </w:t>
      </w:r>
      <w:proofErr w:type="gramStart"/>
      <w:r w:rsidRPr="00836EB4">
        <w:rPr>
          <w:rFonts w:ascii="Times New Roman" w:hAnsi="Times New Roman" w:cs="Times New Roman"/>
          <w:sz w:val="24"/>
          <w:szCs w:val="24"/>
          <w:highlight w:val="yellow"/>
        </w:rPr>
        <w:t>Non-matching</w:t>
      </w:r>
      <w:proofErr w:type="gramEnd"/>
      <w:r w:rsidRPr="00836EB4">
        <w:rPr>
          <w:rFonts w:ascii="Times New Roman" w:hAnsi="Times New Roman" w:cs="Times New Roman"/>
          <w:sz w:val="24"/>
          <w:szCs w:val="24"/>
          <w:highlight w:val="yellow"/>
        </w:rPr>
        <w:t xml:space="preserve"> blood type between mother and baby often results in hemolytic disease of the newborn and these babies are at risk of subsequent significant hyperbilirubinemia.</w:t>
      </w:r>
      <w:r w:rsidRPr="00836EB4">
        <w:rPr>
          <w:rFonts w:ascii="Times New Roman" w:hAnsi="Times New Roman" w:cs="Times New Roman"/>
          <w:color w:val="000000"/>
          <w:sz w:val="24"/>
          <w:szCs w:val="24"/>
          <w:highlight w:val="yellow"/>
          <w:vertAlign w:val="superscript"/>
        </w:rPr>
        <w:t>2</w:t>
      </w:r>
      <w:r w:rsidRPr="00836EB4">
        <w:rPr>
          <w:rFonts w:ascii="Times New Roman" w:hAnsi="Times New Roman" w:cs="Times New Roman"/>
          <w:sz w:val="24"/>
          <w:szCs w:val="24"/>
          <w:highlight w:val="yellow"/>
        </w:rPr>
        <w:t xml:space="preserve"> as defined as </w:t>
      </w:r>
      <w:r w:rsidRPr="00836EB4">
        <w:rPr>
          <w:rFonts w:ascii="Times New Roman" w:hAnsi="Times New Roman" w:cs="Times New Roman"/>
          <w:sz w:val="24"/>
          <w:szCs w:val="24"/>
          <w:highlight w:val="yellow"/>
          <w:u w:val="single"/>
        </w:rPr>
        <w:t>&gt;</w:t>
      </w:r>
      <w:r w:rsidRPr="00836EB4">
        <w:rPr>
          <w:rFonts w:ascii="Times New Roman" w:hAnsi="Times New Roman" w:cs="Times New Roman"/>
          <w:sz w:val="24"/>
          <w:szCs w:val="24"/>
          <w:highlight w:val="yellow"/>
        </w:rPr>
        <w:t xml:space="preserve"> 12 mg/dl</w:t>
      </w:r>
      <w:r w:rsidR="00836EB4" w:rsidRPr="00836EB4">
        <w:rPr>
          <w:rFonts w:ascii="Times New Roman" w:hAnsi="Times New Roman" w:cs="Times New Roman"/>
          <w:sz w:val="24"/>
          <w:szCs w:val="24"/>
          <w:highlight w:val="yellow"/>
        </w:rPr>
        <w:t xml:space="preserve">. </w:t>
      </w:r>
      <w:r w:rsidRPr="00836EB4">
        <w:rPr>
          <w:rFonts w:ascii="Times New Roman" w:hAnsi="Times New Roman" w:cs="Times New Roman"/>
          <w:sz w:val="24"/>
          <w:szCs w:val="24"/>
          <w:highlight w:val="yellow"/>
        </w:rPr>
        <w:t>It usually results from a mother with type O blood being pregnant with a baby with type A, B or AB. Type O blood has anti-A and anti-B antibodies which can react with A and B antigens presents on A and B blood types respectively.</w:t>
      </w:r>
      <w:r>
        <w:rPr>
          <w:rFonts w:ascii="Times New Roman" w:hAnsi="Times New Roman" w:cs="Times New Roman"/>
          <w:sz w:val="24"/>
          <w:szCs w:val="24"/>
        </w:rPr>
        <w:t xml:space="preserve">  </w:t>
      </w:r>
    </w:p>
    <w:p w14:paraId="10F31AB9" w14:textId="77777777" w:rsidR="00A93442" w:rsidRDefault="00000000">
      <w:pPr>
        <w:jc w:val="both"/>
        <w:rPr>
          <w:rFonts w:ascii="Times New Roman" w:hAnsi="Times New Roman" w:cs="Times New Roman"/>
          <w:sz w:val="24"/>
          <w:szCs w:val="24"/>
          <w:vertAlign w:val="superscript"/>
        </w:rPr>
      </w:pPr>
      <w:r>
        <w:rPr>
          <w:rFonts w:ascii="Times New Roman" w:hAnsi="Times New Roman" w:cs="Times New Roman"/>
          <w:sz w:val="24"/>
          <w:szCs w:val="24"/>
        </w:rPr>
        <w:t>Blood group incompatibility between the mother and the infant is another significant risk factor for hyperbilirubinemia. ABO incompatibility is the most common type of blood group incompatibility and has been associated with an increased risk of hyperbilirubinaemia in newborns.</w:t>
      </w:r>
      <w:r>
        <w:rPr>
          <w:rFonts w:ascii="Times New Roman" w:hAnsi="Times New Roman" w:cs="Times New Roman"/>
          <w:color w:val="000000"/>
          <w:sz w:val="24"/>
          <w:szCs w:val="24"/>
          <w:vertAlign w:val="superscript"/>
        </w:rPr>
        <w:t>2</w:t>
      </w:r>
      <w:r>
        <w:rPr>
          <w:rFonts w:ascii="Times New Roman" w:hAnsi="Times New Roman" w:cs="Times New Roman"/>
          <w:sz w:val="24"/>
          <w:szCs w:val="24"/>
        </w:rPr>
        <w:t xml:space="preserve"> A study conducted by Tavakolizadeh et al.,</w:t>
      </w:r>
      <w:r>
        <w:rPr>
          <w:rFonts w:ascii="Times New Roman" w:hAnsi="Times New Roman" w:cs="Times New Roman"/>
          <w:color w:val="000000"/>
          <w:sz w:val="24"/>
          <w:szCs w:val="24"/>
          <w:vertAlign w:val="superscript"/>
        </w:rPr>
        <w:t>3</w:t>
      </w:r>
      <w:r>
        <w:rPr>
          <w:rFonts w:ascii="Times New Roman" w:hAnsi="Times New Roman" w:cs="Times New Roman"/>
          <w:sz w:val="24"/>
          <w:szCs w:val="24"/>
        </w:rPr>
        <w:t xml:space="preserve"> found that infants born to mothers over 30 years old had a higher risk of developing hyperbilirubinaemia than those born to younger mothers. Also, infants born to primiparous mothers were found to have a higher risk of hyperbilirubinaemia than those born to multiparous mothers.</w:t>
      </w:r>
      <w:r>
        <w:rPr>
          <w:rFonts w:ascii="Times New Roman" w:hAnsi="Times New Roman" w:cs="Times New Roman"/>
          <w:color w:val="000000"/>
          <w:sz w:val="24"/>
          <w:szCs w:val="24"/>
          <w:vertAlign w:val="superscript"/>
        </w:rPr>
        <w:t>4</w:t>
      </w:r>
    </w:p>
    <w:p w14:paraId="5954D492"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Glucose-6-phosphate dehydrogenase (G6PD) is an enzyme in the pentose phosphate pathway, responsible for production of NADPH and glutathione for protection of red blood cells against oxidative stress. And it is the most common genetic enzyme deficiency of the red cells</w:t>
      </w:r>
      <w:r>
        <w:rPr>
          <w:rFonts w:ascii="Times New Roman" w:hAnsi="Times New Roman" w:cs="Times New Roman"/>
          <w:color w:val="000000"/>
          <w:sz w:val="24"/>
          <w:szCs w:val="24"/>
          <w:vertAlign w:val="superscript"/>
        </w:rPr>
        <w:t>5</w:t>
      </w:r>
      <w:r>
        <w:rPr>
          <w:rFonts w:ascii="Times New Roman" w:hAnsi="Times New Roman" w:cs="Times New Roman"/>
          <w:sz w:val="24"/>
          <w:szCs w:val="24"/>
        </w:rPr>
        <w:t xml:space="preserve"> with a prevalence of 47.7% among jaundiced neonate in southwest Nigeria.</w:t>
      </w:r>
      <w:r>
        <w:rPr>
          <w:rFonts w:ascii="Times New Roman" w:hAnsi="Times New Roman" w:cs="Times New Roman"/>
          <w:color w:val="000000"/>
          <w:sz w:val="24"/>
          <w:szCs w:val="24"/>
          <w:vertAlign w:val="superscript"/>
        </w:rPr>
        <w:t>6</w:t>
      </w:r>
      <w:r>
        <w:rPr>
          <w:rFonts w:ascii="Times New Roman" w:hAnsi="Times New Roman" w:cs="Times New Roman"/>
          <w:sz w:val="24"/>
          <w:szCs w:val="24"/>
        </w:rPr>
        <w:t xml:space="preserve"> </w:t>
      </w:r>
    </w:p>
    <w:p w14:paraId="266BB9B6"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G6PD deficiency is the leading cause of significant neonatal jaundice</w:t>
      </w:r>
      <w:r>
        <w:rPr>
          <w:rFonts w:ascii="Times New Roman" w:hAnsi="Times New Roman" w:cs="Times New Roman"/>
          <w:color w:val="000000"/>
          <w:sz w:val="24"/>
          <w:szCs w:val="24"/>
          <w:vertAlign w:val="superscript"/>
        </w:rPr>
        <w:t>7</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affected individual presents with hemolysis and jaundice when exposed to oxidant injury from infection or icterogenic agents such as naphthalene balls, mentholatum, drugs like sulphonamides, quinolones, quinine and primaquine.</w:t>
      </w:r>
      <w:r>
        <w:rPr>
          <w:rFonts w:ascii="Times New Roman" w:hAnsi="Times New Roman" w:cs="Times New Roman"/>
          <w:color w:val="000000"/>
          <w:sz w:val="24"/>
          <w:szCs w:val="24"/>
          <w:vertAlign w:val="superscript"/>
        </w:rPr>
        <w:t>8</w:t>
      </w:r>
      <w:r>
        <w:rPr>
          <w:rFonts w:ascii="Times New Roman" w:hAnsi="Times New Roman" w:cs="Times New Roman"/>
          <w:sz w:val="24"/>
          <w:szCs w:val="24"/>
        </w:rPr>
        <w:t xml:space="preserve"> Therefore, this study aimed to find a correlation between ABO set-up and G6PD deficiency in developing significant hyperbilirubinemia among neonates.</w:t>
      </w:r>
    </w:p>
    <w:p w14:paraId="0DC03856" w14:textId="77777777" w:rsidR="00A93442" w:rsidRDefault="00000000">
      <w:pPr>
        <w:jc w:val="both"/>
        <w:rPr>
          <w:rFonts w:ascii="Times New Roman" w:hAnsi="Times New Roman" w:cs="Times New Roman"/>
          <w:b/>
          <w:sz w:val="24"/>
          <w:szCs w:val="24"/>
        </w:rPr>
      </w:pPr>
      <w:r>
        <w:rPr>
          <w:rFonts w:ascii="Times New Roman" w:hAnsi="Times New Roman" w:cs="Times New Roman"/>
          <w:b/>
          <w:sz w:val="24"/>
          <w:szCs w:val="24"/>
        </w:rPr>
        <w:br w:type="page"/>
      </w:r>
    </w:p>
    <w:p w14:paraId="223DFE15" w14:textId="77777777" w:rsidR="00A93442"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Methodology </w:t>
      </w:r>
    </w:p>
    <w:p w14:paraId="3F492001" w14:textId="77777777" w:rsidR="00A93442"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Study Design</w:t>
      </w:r>
      <w:r>
        <w:rPr>
          <w:rFonts w:ascii="Times New Roman" w:hAnsi="Times New Roman" w:cs="Times New Roman"/>
          <w:b/>
          <w:sz w:val="24"/>
          <w:szCs w:val="24"/>
        </w:rPr>
        <w:tab/>
      </w:r>
    </w:p>
    <w:p w14:paraId="735D9EED" w14:textId="5A7224C3" w:rsidR="00A93442" w:rsidRPr="00836EB4" w:rsidRDefault="00000000">
      <w:pPr>
        <w:spacing w:line="360" w:lineRule="auto"/>
        <w:jc w:val="both"/>
        <w:rPr>
          <w:rFonts w:ascii="Times New Roman" w:hAnsi="Times New Roman" w:cs="Times New Roman"/>
          <w:sz w:val="24"/>
          <w:szCs w:val="24"/>
          <w:highlight w:val="yellow"/>
        </w:rPr>
      </w:pPr>
      <w:r w:rsidRPr="00836EB4">
        <w:rPr>
          <w:rFonts w:ascii="Times New Roman" w:hAnsi="Times New Roman" w:cs="Times New Roman"/>
          <w:sz w:val="24"/>
          <w:szCs w:val="24"/>
          <w:highlight w:val="yellow"/>
        </w:rPr>
        <w:t xml:space="preserve">The study was a hospital-based longitudinal cross-sectional study among neonates conducted in selected health facilities in Ogbomoso over a period of 9 months. </w:t>
      </w:r>
    </w:p>
    <w:p w14:paraId="69A6DEC2" w14:textId="77777777" w:rsidR="00A93442" w:rsidRPr="00836EB4" w:rsidRDefault="00000000">
      <w:pPr>
        <w:pStyle w:val="Heading4"/>
        <w:spacing w:line="360" w:lineRule="auto"/>
        <w:rPr>
          <w:rFonts w:ascii="Times New Roman" w:hAnsi="Times New Roman" w:cs="Times New Roman"/>
          <w:b/>
          <w:i w:val="0"/>
          <w:sz w:val="24"/>
          <w:szCs w:val="24"/>
          <w:highlight w:val="yellow"/>
        </w:rPr>
      </w:pPr>
      <w:r w:rsidRPr="00836EB4">
        <w:rPr>
          <w:rFonts w:ascii="Times New Roman" w:hAnsi="Times New Roman" w:cs="Times New Roman"/>
          <w:b/>
          <w:i w:val="0"/>
          <w:color w:val="auto"/>
          <w:sz w:val="24"/>
          <w:szCs w:val="24"/>
          <w:highlight w:val="yellow"/>
        </w:rPr>
        <w:t>Inclusion Criteria</w:t>
      </w:r>
    </w:p>
    <w:p w14:paraId="41BCB1A3" w14:textId="77777777" w:rsidR="00A93442" w:rsidRPr="00836EB4" w:rsidRDefault="00000000">
      <w:pPr>
        <w:spacing w:after="0" w:line="360" w:lineRule="auto"/>
        <w:jc w:val="both"/>
        <w:rPr>
          <w:rFonts w:ascii="Times New Roman" w:hAnsi="Times New Roman" w:cs="Times New Roman"/>
          <w:b/>
          <w:sz w:val="24"/>
          <w:szCs w:val="24"/>
          <w:highlight w:val="yellow"/>
        </w:rPr>
      </w:pPr>
      <w:r w:rsidRPr="00836EB4">
        <w:rPr>
          <w:rFonts w:ascii="Times New Roman" w:hAnsi="Times New Roman" w:cs="Times New Roman"/>
          <w:sz w:val="24"/>
          <w:szCs w:val="24"/>
          <w:highlight w:val="yellow"/>
        </w:rPr>
        <w:t xml:space="preserve"> The inclusion criteria are apparently healthy term newborns with birth weight </w:t>
      </w:r>
      <w:r w:rsidRPr="00836EB4">
        <w:rPr>
          <w:rFonts w:ascii="Times New Roman" w:hAnsi="Times New Roman" w:cs="Times New Roman"/>
          <w:sz w:val="24"/>
          <w:szCs w:val="24"/>
          <w:highlight w:val="yellow"/>
          <w:u w:val="single"/>
        </w:rPr>
        <w:t>&gt;</w:t>
      </w:r>
      <w:r w:rsidRPr="00836EB4">
        <w:rPr>
          <w:rFonts w:ascii="Times New Roman" w:hAnsi="Times New Roman" w:cs="Times New Roman"/>
          <w:sz w:val="24"/>
          <w:szCs w:val="24"/>
          <w:highlight w:val="yellow"/>
        </w:rPr>
        <w:t xml:space="preserve"> 2500</w:t>
      </w:r>
      <w:proofErr w:type="gramStart"/>
      <w:r w:rsidRPr="00836EB4">
        <w:rPr>
          <w:rFonts w:ascii="Times New Roman" w:hAnsi="Times New Roman" w:cs="Times New Roman"/>
          <w:sz w:val="24"/>
          <w:szCs w:val="24"/>
          <w:highlight w:val="yellow"/>
        </w:rPr>
        <w:t>gm,  APGAR</w:t>
      </w:r>
      <w:proofErr w:type="gramEnd"/>
      <w:r w:rsidRPr="00836EB4">
        <w:rPr>
          <w:rFonts w:ascii="Times New Roman" w:hAnsi="Times New Roman" w:cs="Times New Roman"/>
          <w:sz w:val="24"/>
          <w:szCs w:val="24"/>
          <w:highlight w:val="yellow"/>
        </w:rPr>
        <w:t xml:space="preserve"> score of ≥ 7 at 1minute and 5minutes of life</w:t>
      </w:r>
      <w:r w:rsidRPr="00836EB4">
        <w:rPr>
          <w:rFonts w:ascii="Times New Roman" w:hAnsi="Times New Roman" w:cs="Times New Roman"/>
          <w:b/>
          <w:sz w:val="24"/>
          <w:szCs w:val="24"/>
          <w:highlight w:val="yellow"/>
        </w:rPr>
        <w:t xml:space="preserve"> </w:t>
      </w:r>
      <w:r w:rsidRPr="00AD733A">
        <w:rPr>
          <w:rFonts w:ascii="Times New Roman" w:hAnsi="Times New Roman" w:cs="Times New Roman"/>
          <w:bCs/>
          <w:sz w:val="24"/>
          <w:szCs w:val="24"/>
          <w:highlight w:val="yellow"/>
        </w:rPr>
        <w:t>and</w:t>
      </w:r>
      <w:r w:rsidRPr="00836EB4">
        <w:rPr>
          <w:rFonts w:ascii="Times New Roman" w:hAnsi="Times New Roman" w:cs="Times New Roman"/>
          <w:b/>
          <w:sz w:val="24"/>
          <w:szCs w:val="24"/>
          <w:highlight w:val="yellow"/>
        </w:rPr>
        <w:t xml:space="preserve"> </w:t>
      </w:r>
      <w:r w:rsidRPr="00836EB4">
        <w:rPr>
          <w:rFonts w:ascii="Times New Roman" w:hAnsi="Times New Roman" w:cs="Times New Roman"/>
          <w:sz w:val="24"/>
          <w:szCs w:val="24"/>
          <w:highlight w:val="yellow"/>
        </w:rPr>
        <w:t>delivered by spontaneous vaginal delivery or elective caesarean section.</w:t>
      </w:r>
    </w:p>
    <w:p w14:paraId="7EF78909" w14:textId="77777777" w:rsidR="00A93442" w:rsidRPr="00836EB4" w:rsidRDefault="00000000">
      <w:pPr>
        <w:pStyle w:val="Heading4"/>
        <w:spacing w:line="360" w:lineRule="auto"/>
        <w:rPr>
          <w:rFonts w:ascii="Times New Roman" w:hAnsi="Times New Roman" w:cs="Times New Roman"/>
          <w:b/>
          <w:i w:val="0"/>
          <w:sz w:val="24"/>
          <w:szCs w:val="24"/>
          <w:highlight w:val="yellow"/>
        </w:rPr>
      </w:pPr>
      <w:r w:rsidRPr="00836EB4">
        <w:rPr>
          <w:rFonts w:ascii="Times New Roman" w:hAnsi="Times New Roman" w:cs="Times New Roman"/>
          <w:b/>
          <w:i w:val="0"/>
          <w:color w:val="auto"/>
          <w:sz w:val="24"/>
          <w:szCs w:val="24"/>
          <w:highlight w:val="yellow"/>
        </w:rPr>
        <w:t>Exclusion Criteria</w:t>
      </w:r>
    </w:p>
    <w:p w14:paraId="795121C4" w14:textId="77777777" w:rsidR="00A93442" w:rsidRDefault="00000000">
      <w:pPr>
        <w:spacing w:after="0" w:line="360" w:lineRule="auto"/>
        <w:jc w:val="both"/>
        <w:rPr>
          <w:rFonts w:ascii="Times New Roman" w:hAnsi="Times New Roman" w:cs="Times New Roman"/>
          <w:sz w:val="24"/>
          <w:szCs w:val="24"/>
        </w:rPr>
      </w:pPr>
      <w:r w:rsidRPr="00836EB4">
        <w:rPr>
          <w:rFonts w:ascii="Times New Roman" w:hAnsi="Times New Roman" w:cs="Times New Roman"/>
          <w:sz w:val="24"/>
          <w:szCs w:val="24"/>
          <w:highlight w:val="yellow"/>
        </w:rPr>
        <w:t>Newborn with congenital anomalies, maternal diseases in pregnancy such as diabetes, hepatitis and babies delivered via assisted vaginal delivery – forceps and vacuum delivery were excluded from study population.</w:t>
      </w:r>
    </w:p>
    <w:p w14:paraId="38895404" w14:textId="77777777" w:rsidR="00A93442" w:rsidRDefault="00A93442">
      <w:pPr>
        <w:spacing w:line="360" w:lineRule="auto"/>
        <w:jc w:val="both"/>
        <w:rPr>
          <w:rFonts w:ascii="Times New Roman" w:hAnsi="Times New Roman" w:cs="Times New Roman"/>
          <w:sz w:val="24"/>
          <w:szCs w:val="24"/>
        </w:rPr>
      </w:pPr>
    </w:p>
    <w:p w14:paraId="0768E204" w14:textId="77777777" w:rsidR="00A93442" w:rsidRDefault="00000000">
      <w:pPr>
        <w:pStyle w:val="Heading3"/>
        <w:spacing w:line="480" w:lineRule="auto"/>
        <w:rPr>
          <w:rFonts w:ascii="Times New Roman" w:hAnsi="Times New Roman" w:cs="Times New Roman"/>
          <w:b/>
          <w:color w:val="auto"/>
        </w:rPr>
      </w:pPr>
      <w:r>
        <w:rPr>
          <w:rFonts w:ascii="Times New Roman" w:hAnsi="Times New Roman" w:cs="Times New Roman"/>
          <w:b/>
          <w:color w:val="auto"/>
          <w:lang w:val="en-GB"/>
        </w:rPr>
        <w:t>Sample Size Determination</w:t>
      </w:r>
    </w:p>
    <w:p w14:paraId="5DB36EA5" w14:textId="77777777" w:rsidR="00A93442"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Sample size was determined using Leslie-kish’s formula.</w:t>
      </w:r>
      <w:r>
        <w:rPr>
          <w:rFonts w:ascii="Times New Roman" w:hAnsi="Times New Roman" w:cs="Times New Roman"/>
          <w:color w:val="000000"/>
          <w:sz w:val="24"/>
          <w:szCs w:val="24"/>
          <w:vertAlign w:val="superscript"/>
        </w:rPr>
        <w:t>9</w:t>
      </w:r>
    </w:p>
    <w:p w14:paraId="47A89CD0" w14:textId="77777777" w:rsidR="00A93442" w:rsidRDefault="00000000">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n   =</w:t>
      </w:r>
      <w:r>
        <w:rPr>
          <w:rFonts w:ascii="Times New Roman" w:hAnsi="Times New Roman" w:cs="Times New Roman"/>
          <w:sz w:val="24"/>
          <w:szCs w:val="24"/>
        </w:rPr>
        <w:tab/>
      </w:r>
      <w:r>
        <w:rPr>
          <w:rFonts w:ascii="Times New Roman" w:hAnsi="Times New Roman" w:cs="Times New Roman"/>
          <w:sz w:val="24"/>
          <w:szCs w:val="24"/>
          <w:u w:val="single"/>
        </w:rPr>
        <w:t>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pq</w:t>
      </w:r>
    </w:p>
    <w:p w14:paraId="2A94AE7B" w14:textId="77777777" w:rsidR="00A93442" w:rsidRDefault="00000000">
      <w:pPr>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               d</w:t>
      </w:r>
      <w:r>
        <w:rPr>
          <w:rFonts w:ascii="Times New Roman" w:hAnsi="Times New Roman" w:cs="Times New Roman"/>
          <w:sz w:val="24"/>
          <w:szCs w:val="24"/>
          <w:vertAlign w:val="superscript"/>
        </w:rPr>
        <w:t>2</w:t>
      </w:r>
    </w:p>
    <w:p w14:paraId="24F67323" w14:textId="77777777" w:rsidR="00A93442"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Prevalence from a previous study (55%).</w:t>
      </w:r>
      <w:r>
        <w:rPr>
          <w:rFonts w:ascii="Times New Roman" w:hAnsi="Times New Roman" w:cs="Times New Roman"/>
          <w:color w:val="000000"/>
          <w:sz w:val="24"/>
          <w:szCs w:val="24"/>
          <w:vertAlign w:val="superscript"/>
        </w:rPr>
        <w:t>10</w:t>
      </w:r>
    </w:p>
    <w:p w14:paraId="1DABC003" w14:textId="77777777" w:rsidR="00A93442" w:rsidRDefault="00000000">
      <w:pPr>
        <w:spacing w:after="0" w:line="480" w:lineRule="auto"/>
        <w:rPr>
          <w:rFonts w:ascii="Times New Roman" w:hAnsi="Times New Roman" w:cs="Times New Roman"/>
          <w:sz w:val="24"/>
          <w:szCs w:val="24"/>
        </w:rPr>
      </w:pPr>
      <w:r>
        <w:rPr>
          <w:rFonts w:ascii="Times New Roman" w:hAnsi="Times New Roman" w:cs="Times New Roman"/>
          <w:sz w:val="24"/>
          <w:szCs w:val="24"/>
        </w:rPr>
        <w:t>The calculated minimum sample size is 456.</w:t>
      </w:r>
    </w:p>
    <w:p w14:paraId="60F1F2B4" w14:textId="77777777" w:rsidR="00A93442"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Procedures </w:t>
      </w:r>
    </w:p>
    <w:p w14:paraId="3CF8C566"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A multistage sampling technique was employed in the selection of subjects for this study. General clinical assessment was done which include weight, length of neonates with physical examination for jaundice.</w:t>
      </w:r>
    </w:p>
    <w:p w14:paraId="2EB9A403" w14:textId="7F1E17D4" w:rsidR="00A93442" w:rsidRPr="00AD733A" w:rsidRDefault="00000000">
      <w:pPr>
        <w:jc w:val="both"/>
        <w:rPr>
          <w:rFonts w:ascii="Times New Roman" w:hAnsi="Times New Roman" w:cs="Times New Roman"/>
          <w:sz w:val="24"/>
          <w:szCs w:val="24"/>
          <w:highlight w:val="yellow"/>
        </w:rPr>
      </w:pPr>
      <w:r w:rsidRPr="00AD733A">
        <w:rPr>
          <w:rFonts w:ascii="Times New Roman" w:hAnsi="Times New Roman" w:cs="Times New Roman"/>
          <w:sz w:val="24"/>
          <w:szCs w:val="24"/>
          <w:highlight w:val="yellow"/>
        </w:rPr>
        <w:t xml:space="preserve">Initial blood specimens were obtained via the umbilical cord for bilirubin test at birth. Follow up specimens was taken </w:t>
      </w:r>
      <w:r w:rsidR="00AD733A" w:rsidRPr="00AD733A">
        <w:rPr>
          <w:rFonts w:ascii="Times New Roman" w:hAnsi="Times New Roman" w:cs="Times New Roman"/>
          <w:sz w:val="24"/>
          <w:szCs w:val="24"/>
          <w:highlight w:val="yellow"/>
        </w:rPr>
        <w:t>after</w:t>
      </w:r>
      <w:r w:rsidRPr="00AD733A">
        <w:rPr>
          <w:rFonts w:ascii="Times New Roman" w:hAnsi="Times New Roman" w:cs="Times New Roman"/>
          <w:sz w:val="24"/>
          <w:szCs w:val="24"/>
          <w:highlight w:val="yellow"/>
        </w:rPr>
        <w:t xml:space="preserve"> 72hrs of life for Bilirubin estimation, blood group and G6PD assays. </w:t>
      </w:r>
    </w:p>
    <w:p w14:paraId="22D5C548" w14:textId="7A628749" w:rsidR="00A93442" w:rsidRDefault="00000000">
      <w:pPr>
        <w:jc w:val="both"/>
        <w:rPr>
          <w:rFonts w:ascii="Times New Roman" w:hAnsi="Times New Roman" w:cs="Times New Roman"/>
          <w:sz w:val="24"/>
          <w:szCs w:val="24"/>
        </w:rPr>
      </w:pPr>
      <w:r w:rsidRPr="00AD733A">
        <w:rPr>
          <w:rFonts w:ascii="Times New Roman" w:hAnsi="Times New Roman" w:cs="Times New Roman"/>
          <w:sz w:val="24"/>
          <w:szCs w:val="24"/>
          <w:highlight w:val="yellow"/>
        </w:rPr>
        <w:t>Bilirubin kits using spectrophotometry method was used to assay for total and conjugated bilirubin. Blood group of the neonates were determined using standard ABO blood typing procedure using antisera, while assay for G6PD activity was by a qualitative in vitro test using spectrophotometry. This qualitative method of G6PD assay only describe presence or absence of G6PD activity but does not indicate the severity of the deficiency if it</w:t>
      </w:r>
      <w:r w:rsidR="00C90865">
        <w:rPr>
          <w:rFonts w:ascii="Times New Roman" w:hAnsi="Times New Roman" w:cs="Times New Roman"/>
          <w:sz w:val="24"/>
          <w:szCs w:val="24"/>
          <w:highlight w:val="yellow"/>
        </w:rPr>
        <w:t xml:space="preserve"> is</w:t>
      </w:r>
      <w:r w:rsidRPr="00AD733A">
        <w:rPr>
          <w:rFonts w:ascii="Times New Roman" w:hAnsi="Times New Roman" w:cs="Times New Roman"/>
          <w:sz w:val="24"/>
          <w:szCs w:val="24"/>
          <w:highlight w:val="yellow"/>
        </w:rPr>
        <w:t xml:space="preserve"> deficient</w:t>
      </w:r>
      <w:r w:rsidR="00C90865">
        <w:rPr>
          <w:rFonts w:ascii="Times New Roman" w:hAnsi="Times New Roman" w:cs="Times New Roman"/>
          <w:sz w:val="24"/>
          <w:szCs w:val="24"/>
        </w:rPr>
        <w:t>.</w:t>
      </w:r>
    </w:p>
    <w:p w14:paraId="7DFE2BDA"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Mother’s blood group was retrieved from the records in the mother’s folder as these were part of the routine test done at booking or during antenatal visits.</w:t>
      </w:r>
    </w:p>
    <w:p w14:paraId="1AE53C17" w14:textId="77777777" w:rsidR="00A93442" w:rsidRDefault="00000000">
      <w:pPr>
        <w:jc w:val="both"/>
        <w:rPr>
          <w:rFonts w:ascii="Times New Roman" w:hAnsi="Times New Roman" w:cs="Times New Roman"/>
          <w:b/>
          <w:sz w:val="24"/>
          <w:szCs w:val="24"/>
        </w:rPr>
      </w:pPr>
      <w:r>
        <w:rPr>
          <w:rFonts w:ascii="Times New Roman" w:hAnsi="Times New Roman" w:cs="Times New Roman"/>
          <w:b/>
          <w:sz w:val="24"/>
          <w:szCs w:val="24"/>
        </w:rPr>
        <w:t>Data Analysis</w:t>
      </w:r>
    </w:p>
    <w:p w14:paraId="673EF56D"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Patients’ information obtained using proforma were manually sorted out and entered on Microsoft excel sheet, data were screened for errors and incompleteness. The data were analyzed using Statistical Package for the Social Sciences (SPSS version 23.0) for Windows. Data were represented using tables and/or charts. Cord bilirubin and bilirubin/albumin ratio were represented by mean and standard deviation. Blood group, G6PD status, and mode of delivery were represented with frequencies and proportions.</w:t>
      </w:r>
    </w:p>
    <w:p w14:paraId="755A43D7" w14:textId="77777777" w:rsidR="00A93442" w:rsidRDefault="00000000">
      <w:pPr>
        <w:jc w:val="both"/>
        <w:rPr>
          <w:rFonts w:ascii="Times New Roman" w:hAnsi="Times New Roman" w:cs="Times New Roman"/>
          <w:b/>
          <w:sz w:val="24"/>
          <w:szCs w:val="24"/>
        </w:rPr>
      </w:pPr>
      <w:r>
        <w:rPr>
          <w:rFonts w:ascii="Times New Roman" w:hAnsi="Times New Roman" w:cs="Times New Roman"/>
          <w:b/>
          <w:sz w:val="24"/>
          <w:szCs w:val="24"/>
        </w:rPr>
        <w:t>Ethical Clearance</w:t>
      </w:r>
    </w:p>
    <w:p w14:paraId="22E988DE"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Ethical clearance was obtained from the Ethical Review Committee of LAUTECH Teaching Hospital Ogbomoso, Oyo State. Nigeripa.</w:t>
      </w:r>
    </w:p>
    <w:p w14:paraId="74346691"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br w:type="page"/>
      </w:r>
    </w:p>
    <w:p w14:paraId="194FB22D" w14:textId="77777777" w:rsidR="00A93442" w:rsidRDefault="0000000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Results </w:t>
      </w:r>
    </w:p>
    <w:p w14:paraId="21733899"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Of the 471 subjects recruited for the study, 243 (51.6%) were males and 228 (48.4%) were females. The mean and standard deviation of anthropometric parameters of the subjects, with birth weight, length, and Pondera index of 3.19 ± 0.42, 47.50 ± 3.48 and 3.07 ± 0.82 respectively. Table 1.</w:t>
      </w:r>
    </w:p>
    <w:p w14:paraId="5C4F0DA9" w14:textId="77777777" w:rsidR="00A93442" w:rsidRDefault="00000000">
      <w:pPr>
        <w:jc w:val="both"/>
        <w:rPr>
          <w:rFonts w:ascii="Times New Roman" w:hAnsi="Times New Roman" w:cs="Times New Roman"/>
          <w:b/>
          <w:bCs/>
          <w:sz w:val="24"/>
          <w:szCs w:val="24"/>
        </w:rPr>
      </w:pPr>
      <w:r>
        <w:rPr>
          <w:rFonts w:ascii="Times New Roman" w:hAnsi="Times New Roman" w:cs="Times New Roman"/>
          <w:b/>
          <w:bCs/>
          <w:sz w:val="24"/>
          <w:szCs w:val="24"/>
        </w:rPr>
        <w:t>Table I: Anthropometric Parameters of the study population</w:t>
      </w:r>
    </w:p>
    <w:tbl>
      <w:tblPr>
        <w:tblStyle w:val="TableGrid"/>
        <w:tblW w:w="48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559"/>
      </w:tblGrid>
      <w:tr w:rsidR="00A93442" w14:paraId="5CA2F8A7" w14:textId="77777777">
        <w:trPr>
          <w:trHeight w:val="808"/>
        </w:trPr>
        <w:tc>
          <w:tcPr>
            <w:tcW w:w="2500" w:type="pct"/>
            <w:tcBorders>
              <w:top w:val="single" w:sz="4" w:space="0" w:color="auto"/>
              <w:left w:val="nil"/>
              <w:bottom w:val="single" w:sz="4" w:space="0" w:color="auto"/>
              <w:right w:val="nil"/>
            </w:tcBorders>
          </w:tcPr>
          <w:p w14:paraId="5FCC028E"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Anthropometric parameters</w:t>
            </w:r>
          </w:p>
        </w:tc>
        <w:tc>
          <w:tcPr>
            <w:tcW w:w="2500" w:type="pct"/>
            <w:tcBorders>
              <w:top w:val="single" w:sz="4" w:space="0" w:color="auto"/>
              <w:left w:val="nil"/>
              <w:bottom w:val="single" w:sz="4" w:space="0" w:color="auto"/>
              <w:right w:val="nil"/>
            </w:tcBorders>
          </w:tcPr>
          <w:p w14:paraId="308AEC96"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 xml:space="preserve">Mean </w:t>
            </w:r>
            <w:r>
              <w:rPr>
                <w:rFonts w:ascii="Times New Roman" w:hAnsi="Times New Roman" w:cs="Times New Roman"/>
                <w:sz w:val="24"/>
                <w:szCs w:val="24"/>
                <w:u w:val="single"/>
              </w:rPr>
              <w:t>+</w:t>
            </w:r>
            <w:r>
              <w:rPr>
                <w:rFonts w:ascii="Times New Roman" w:hAnsi="Times New Roman" w:cs="Times New Roman"/>
                <w:sz w:val="24"/>
                <w:szCs w:val="24"/>
              </w:rPr>
              <w:t>SD</w:t>
            </w:r>
          </w:p>
        </w:tc>
      </w:tr>
      <w:tr w:rsidR="00A93442" w14:paraId="69FAF542" w14:textId="77777777">
        <w:trPr>
          <w:trHeight w:val="862"/>
        </w:trPr>
        <w:tc>
          <w:tcPr>
            <w:tcW w:w="2500" w:type="pct"/>
            <w:tcBorders>
              <w:top w:val="single" w:sz="4" w:space="0" w:color="auto"/>
              <w:left w:val="nil"/>
              <w:bottom w:val="nil"/>
              <w:right w:val="nil"/>
            </w:tcBorders>
          </w:tcPr>
          <w:p w14:paraId="732A076A"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Birth Weight</w:t>
            </w:r>
          </w:p>
        </w:tc>
        <w:tc>
          <w:tcPr>
            <w:tcW w:w="2500" w:type="pct"/>
            <w:tcBorders>
              <w:top w:val="single" w:sz="4" w:space="0" w:color="auto"/>
              <w:left w:val="nil"/>
              <w:bottom w:val="nil"/>
              <w:right w:val="nil"/>
            </w:tcBorders>
          </w:tcPr>
          <w:p w14:paraId="2E6B6B2A"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3.19 ± 0.42</w:t>
            </w:r>
          </w:p>
        </w:tc>
      </w:tr>
      <w:tr w:rsidR="00A93442" w14:paraId="02DCCFF2" w14:textId="77777777">
        <w:trPr>
          <w:trHeight w:val="862"/>
        </w:trPr>
        <w:tc>
          <w:tcPr>
            <w:tcW w:w="2500" w:type="pct"/>
          </w:tcPr>
          <w:p w14:paraId="5B9FDE5C"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Length (cm)</w:t>
            </w:r>
          </w:p>
        </w:tc>
        <w:tc>
          <w:tcPr>
            <w:tcW w:w="2500" w:type="pct"/>
          </w:tcPr>
          <w:p w14:paraId="1F225327"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47.50 ± 3.48</w:t>
            </w:r>
          </w:p>
        </w:tc>
      </w:tr>
      <w:tr w:rsidR="00A93442" w14:paraId="539B372E" w14:textId="77777777">
        <w:trPr>
          <w:trHeight w:val="862"/>
        </w:trPr>
        <w:tc>
          <w:tcPr>
            <w:tcW w:w="2500" w:type="pct"/>
            <w:tcBorders>
              <w:top w:val="nil"/>
              <w:left w:val="nil"/>
              <w:bottom w:val="single" w:sz="4" w:space="0" w:color="auto"/>
              <w:right w:val="nil"/>
            </w:tcBorders>
          </w:tcPr>
          <w:p w14:paraId="6C22230B"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Pondera index</w:t>
            </w:r>
          </w:p>
        </w:tc>
        <w:tc>
          <w:tcPr>
            <w:tcW w:w="2500" w:type="pct"/>
            <w:tcBorders>
              <w:top w:val="nil"/>
              <w:left w:val="nil"/>
              <w:bottom w:val="single" w:sz="4" w:space="0" w:color="auto"/>
              <w:right w:val="nil"/>
            </w:tcBorders>
          </w:tcPr>
          <w:p w14:paraId="74A75CAC"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3.07 ± 0.82</w:t>
            </w:r>
          </w:p>
        </w:tc>
      </w:tr>
    </w:tbl>
    <w:p w14:paraId="04A0D3EE" w14:textId="77777777" w:rsidR="00A93442" w:rsidRDefault="00A93442">
      <w:pPr>
        <w:jc w:val="both"/>
        <w:rPr>
          <w:rFonts w:ascii="Times New Roman" w:hAnsi="Times New Roman" w:cs="Times New Roman"/>
          <w:b/>
          <w:bCs/>
          <w:sz w:val="24"/>
          <w:szCs w:val="24"/>
        </w:rPr>
      </w:pPr>
    </w:p>
    <w:p w14:paraId="28EEFA60" w14:textId="77777777" w:rsidR="00A93442" w:rsidRDefault="00000000">
      <w:pPr>
        <w:spacing w:line="360" w:lineRule="auto"/>
        <w:jc w:val="both"/>
        <w:rPr>
          <w:rFonts w:ascii="Times New Roman" w:hAnsi="Times New Roman"/>
          <w:sz w:val="24"/>
          <w:szCs w:val="24"/>
        </w:rPr>
      </w:pPr>
      <w:r>
        <w:rPr>
          <w:rFonts w:ascii="Times New Roman" w:hAnsi="Times New Roman" w:cs="Times New Roman"/>
          <w:sz w:val="24"/>
          <w:szCs w:val="24"/>
        </w:rPr>
        <w:t xml:space="preserve">Significant Neonatal Hyperbilirubinemia (≥ 12mg/dl) was recorded in 20 (4.2%) of Neonates after 72hours of life. The mean value of cord bilirubin was </w:t>
      </w:r>
      <w:r>
        <w:rPr>
          <w:rFonts w:ascii="Times New Roman" w:hAnsi="Times New Roman"/>
          <w:sz w:val="24"/>
          <w:szCs w:val="24"/>
        </w:rPr>
        <w:t>1.73 ± 0.85 and follow-up level of 5.79 ± 3.16 table II.</w:t>
      </w:r>
    </w:p>
    <w:p w14:paraId="7307EF17" w14:textId="77777777" w:rsidR="00A93442" w:rsidRDefault="00000000">
      <w:pPr>
        <w:spacing w:line="240" w:lineRule="auto"/>
        <w:jc w:val="both"/>
        <w:rPr>
          <w:rFonts w:ascii="Times New Roman" w:hAnsi="Times New Roman"/>
          <w:b/>
          <w:bCs/>
          <w:sz w:val="24"/>
          <w:szCs w:val="24"/>
        </w:rPr>
      </w:pPr>
      <w:r>
        <w:rPr>
          <w:rFonts w:ascii="Times New Roman" w:hAnsi="Times New Roman"/>
          <w:b/>
          <w:bCs/>
          <w:sz w:val="24"/>
          <w:szCs w:val="24"/>
        </w:rPr>
        <w:t xml:space="preserve">Table II: Mean and Range of Cord Bilirubin, and Follow up Bilirubin Level within 72 -96 hours of life </w:t>
      </w:r>
    </w:p>
    <w:tbl>
      <w:tblPr>
        <w:tblStyle w:val="TableGrid"/>
        <w:tblW w:w="45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3528"/>
        <w:gridCol w:w="2096"/>
      </w:tblGrid>
      <w:tr w:rsidR="00A93442" w14:paraId="3510ED63" w14:textId="77777777">
        <w:trPr>
          <w:trHeight w:val="567"/>
        </w:trPr>
        <w:tc>
          <w:tcPr>
            <w:tcW w:w="1716" w:type="pct"/>
            <w:tcBorders>
              <w:top w:val="single" w:sz="4" w:space="0" w:color="auto"/>
              <w:bottom w:val="single" w:sz="4" w:space="0" w:color="auto"/>
            </w:tcBorders>
          </w:tcPr>
          <w:p w14:paraId="126C4ABB" w14:textId="77777777" w:rsidR="00A93442" w:rsidRDefault="00A93442">
            <w:pPr>
              <w:jc w:val="both"/>
              <w:rPr>
                <w:rFonts w:ascii="Times New Roman" w:hAnsi="Times New Roman"/>
                <w:b/>
                <w:bCs/>
                <w:sz w:val="24"/>
                <w:szCs w:val="24"/>
              </w:rPr>
            </w:pPr>
          </w:p>
        </w:tc>
        <w:tc>
          <w:tcPr>
            <w:tcW w:w="2060" w:type="pct"/>
            <w:tcBorders>
              <w:top w:val="single" w:sz="4" w:space="0" w:color="auto"/>
              <w:bottom w:val="single" w:sz="4" w:space="0" w:color="auto"/>
            </w:tcBorders>
          </w:tcPr>
          <w:p w14:paraId="5F7BA7B2" w14:textId="77777777" w:rsidR="00A93442" w:rsidRDefault="00000000">
            <w:pPr>
              <w:rPr>
                <w:rFonts w:ascii="Times New Roman" w:hAnsi="Times New Roman"/>
                <w:b/>
                <w:bCs/>
                <w:sz w:val="24"/>
                <w:szCs w:val="24"/>
              </w:rPr>
            </w:pPr>
            <w:r>
              <w:rPr>
                <w:rFonts w:ascii="Times New Roman" w:hAnsi="Times New Roman"/>
                <w:b/>
                <w:bCs/>
                <w:sz w:val="24"/>
                <w:szCs w:val="24"/>
              </w:rPr>
              <w:t>Range (mg/dl)</w:t>
            </w:r>
          </w:p>
        </w:tc>
        <w:tc>
          <w:tcPr>
            <w:tcW w:w="1224" w:type="pct"/>
            <w:tcBorders>
              <w:top w:val="single" w:sz="4" w:space="0" w:color="auto"/>
              <w:bottom w:val="single" w:sz="4" w:space="0" w:color="auto"/>
            </w:tcBorders>
          </w:tcPr>
          <w:p w14:paraId="25DD479C" w14:textId="77777777" w:rsidR="00A93442" w:rsidRDefault="00000000">
            <w:pPr>
              <w:jc w:val="both"/>
              <w:rPr>
                <w:rFonts w:ascii="Times New Roman" w:hAnsi="Times New Roman"/>
                <w:b/>
                <w:bCs/>
                <w:sz w:val="24"/>
                <w:szCs w:val="24"/>
              </w:rPr>
            </w:pPr>
            <w:r>
              <w:rPr>
                <w:rFonts w:ascii="Times New Roman" w:hAnsi="Times New Roman"/>
                <w:b/>
                <w:bCs/>
                <w:sz w:val="24"/>
                <w:szCs w:val="24"/>
              </w:rPr>
              <w:t xml:space="preserve">Mean </w:t>
            </w:r>
            <w:r>
              <w:rPr>
                <w:rFonts w:ascii="Times New Roman" w:hAnsi="Times New Roman"/>
                <w:bCs/>
                <w:sz w:val="24"/>
                <w:szCs w:val="24"/>
                <w:u w:val="single"/>
              </w:rPr>
              <w:t>+</w:t>
            </w:r>
            <w:r>
              <w:rPr>
                <w:rFonts w:ascii="Times New Roman" w:hAnsi="Times New Roman"/>
                <w:b/>
                <w:bCs/>
                <w:sz w:val="24"/>
                <w:szCs w:val="24"/>
              </w:rPr>
              <w:t>SD</w:t>
            </w:r>
          </w:p>
        </w:tc>
      </w:tr>
      <w:tr w:rsidR="00A93442" w14:paraId="30029ED5" w14:textId="77777777">
        <w:trPr>
          <w:trHeight w:val="607"/>
        </w:trPr>
        <w:tc>
          <w:tcPr>
            <w:tcW w:w="1716" w:type="pct"/>
            <w:tcBorders>
              <w:top w:val="single" w:sz="4" w:space="0" w:color="auto"/>
            </w:tcBorders>
          </w:tcPr>
          <w:p w14:paraId="656FADE7" w14:textId="77777777" w:rsidR="00A93442" w:rsidRDefault="00000000">
            <w:pPr>
              <w:spacing w:line="360" w:lineRule="auto"/>
              <w:jc w:val="both"/>
              <w:rPr>
                <w:rFonts w:ascii="Times New Roman" w:hAnsi="Times New Roman"/>
                <w:sz w:val="24"/>
                <w:szCs w:val="24"/>
              </w:rPr>
            </w:pPr>
            <w:r>
              <w:rPr>
                <w:rFonts w:ascii="Times New Roman" w:hAnsi="Times New Roman"/>
                <w:sz w:val="24"/>
                <w:szCs w:val="24"/>
              </w:rPr>
              <w:t>Cord blood bilirubin</w:t>
            </w:r>
          </w:p>
        </w:tc>
        <w:tc>
          <w:tcPr>
            <w:tcW w:w="2060" w:type="pct"/>
            <w:tcBorders>
              <w:top w:val="single" w:sz="4" w:space="0" w:color="auto"/>
            </w:tcBorders>
          </w:tcPr>
          <w:p w14:paraId="086F66F1" w14:textId="77777777" w:rsidR="00A93442" w:rsidRDefault="00000000">
            <w:pPr>
              <w:spacing w:line="360" w:lineRule="auto"/>
              <w:jc w:val="both"/>
              <w:rPr>
                <w:rFonts w:ascii="Times New Roman" w:hAnsi="Times New Roman"/>
                <w:sz w:val="24"/>
                <w:szCs w:val="24"/>
              </w:rPr>
            </w:pPr>
            <w:r>
              <w:rPr>
                <w:rFonts w:ascii="Times New Roman" w:hAnsi="Times New Roman"/>
                <w:sz w:val="24"/>
                <w:szCs w:val="24"/>
              </w:rPr>
              <w:t>0.04 – 6.14</w:t>
            </w:r>
          </w:p>
        </w:tc>
        <w:tc>
          <w:tcPr>
            <w:tcW w:w="1224" w:type="pct"/>
            <w:tcBorders>
              <w:top w:val="single" w:sz="4" w:space="0" w:color="auto"/>
            </w:tcBorders>
          </w:tcPr>
          <w:p w14:paraId="34CCCDDE" w14:textId="77777777" w:rsidR="00A93442" w:rsidRDefault="00000000">
            <w:pPr>
              <w:spacing w:line="360" w:lineRule="auto"/>
              <w:jc w:val="both"/>
              <w:rPr>
                <w:rFonts w:ascii="Times New Roman" w:hAnsi="Times New Roman"/>
                <w:sz w:val="24"/>
                <w:szCs w:val="24"/>
              </w:rPr>
            </w:pPr>
            <w:r>
              <w:rPr>
                <w:rFonts w:ascii="Times New Roman" w:hAnsi="Times New Roman"/>
                <w:sz w:val="24"/>
                <w:szCs w:val="24"/>
              </w:rPr>
              <w:t>1.73 ± 0.85</w:t>
            </w:r>
          </w:p>
        </w:tc>
      </w:tr>
      <w:tr w:rsidR="00A93442" w14:paraId="1D07377F" w14:textId="77777777">
        <w:trPr>
          <w:trHeight w:val="607"/>
        </w:trPr>
        <w:tc>
          <w:tcPr>
            <w:tcW w:w="1716" w:type="pct"/>
            <w:tcBorders>
              <w:bottom w:val="single" w:sz="4" w:space="0" w:color="auto"/>
            </w:tcBorders>
          </w:tcPr>
          <w:p w14:paraId="6F941B68" w14:textId="77777777" w:rsidR="00A93442" w:rsidRDefault="00A93442">
            <w:pPr>
              <w:spacing w:line="360" w:lineRule="auto"/>
              <w:jc w:val="both"/>
              <w:rPr>
                <w:rFonts w:ascii="Times New Roman" w:hAnsi="Times New Roman"/>
                <w:sz w:val="24"/>
                <w:szCs w:val="24"/>
              </w:rPr>
            </w:pPr>
          </w:p>
          <w:p w14:paraId="1FEC504E" w14:textId="77777777" w:rsidR="00A93442" w:rsidRDefault="00000000">
            <w:pPr>
              <w:spacing w:line="360" w:lineRule="auto"/>
              <w:jc w:val="both"/>
              <w:rPr>
                <w:rFonts w:ascii="Times New Roman" w:hAnsi="Times New Roman"/>
                <w:sz w:val="24"/>
                <w:szCs w:val="24"/>
              </w:rPr>
            </w:pPr>
            <w:r>
              <w:rPr>
                <w:rFonts w:ascii="Times New Roman" w:hAnsi="Times New Roman"/>
                <w:sz w:val="24"/>
                <w:szCs w:val="24"/>
              </w:rPr>
              <w:t xml:space="preserve">Follow up bilirubin level </w:t>
            </w:r>
          </w:p>
        </w:tc>
        <w:tc>
          <w:tcPr>
            <w:tcW w:w="2060" w:type="pct"/>
            <w:tcBorders>
              <w:bottom w:val="single" w:sz="4" w:space="0" w:color="auto"/>
            </w:tcBorders>
          </w:tcPr>
          <w:p w14:paraId="47D18CFD" w14:textId="77777777" w:rsidR="00A93442" w:rsidRDefault="00A93442">
            <w:pPr>
              <w:spacing w:line="360" w:lineRule="auto"/>
              <w:jc w:val="both"/>
              <w:rPr>
                <w:rFonts w:ascii="Times New Roman" w:hAnsi="Times New Roman"/>
                <w:sz w:val="24"/>
                <w:szCs w:val="24"/>
              </w:rPr>
            </w:pPr>
          </w:p>
          <w:p w14:paraId="4D1A98C8" w14:textId="77777777" w:rsidR="00A93442" w:rsidRDefault="00000000">
            <w:pPr>
              <w:spacing w:line="360" w:lineRule="auto"/>
              <w:jc w:val="both"/>
              <w:rPr>
                <w:rFonts w:ascii="Times New Roman" w:hAnsi="Times New Roman"/>
                <w:sz w:val="24"/>
                <w:szCs w:val="24"/>
              </w:rPr>
            </w:pPr>
            <w:r>
              <w:rPr>
                <w:rFonts w:ascii="Times New Roman" w:hAnsi="Times New Roman"/>
                <w:sz w:val="24"/>
                <w:szCs w:val="24"/>
              </w:rPr>
              <w:t>0.250 – 14.92</w:t>
            </w:r>
          </w:p>
        </w:tc>
        <w:tc>
          <w:tcPr>
            <w:tcW w:w="1224" w:type="pct"/>
            <w:tcBorders>
              <w:bottom w:val="single" w:sz="4" w:space="0" w:color="auto"/>
            </w:tcBorders>
          </w:tcPr>
          <w:p w14:paraId="10640674" w14:textId="77777777" w:rsidR="00A93442" w:rsidRDefault="00A93442">
            <w:pPr>
              <w:spacing w:line="360" w:lineRule="auto"/>
              <w:jc w:val="both"/>
              <w:rPr>
                <w:rFonts w:ascii="Times New Roman" w:hAnsi="Times New Roman"/>
                <w:sz w:val="24"/>
                <w:szCs w:val="24"/>
              </w:rPr>
            </w:pPr>
          </w:p>
          <w:p w14:paraId="685842CA" w14:textId="77777777" w:rsidR="00A93442" w:rsidRDefault="00000000">
            <w:pPr>
              <w:spacing w:line="360" w:lineRule="auto"/>
              <w:jc w:val="both"/>
              <w:rPr>
                <w:rFonts w:ascii="Times New Roman" w:hAnsi="Times New Roman"/>
                <w:sz w:val="24"/>
                <w:szCs w:val="24"/>
              </w:rPr>
            </w:pPr>
            <w:r>
              <w:rPr>
                <w:rFonts w:ascii="Times New Roman" w:hAnsi="Times New Roman"/>
                <w:sz w:val="24"/>
                <w:szCs w:val="24"/>
              </w:rPr>
              <w:t xml:space="preserve">5.79 ± 3.16 </w:t>
            </w:r>
          </w:p>
        </w:tc>
      </w:tr>
    </w:tbl>
    <w:p w14:paraId="38E8BD22" w14:textId="77777777" w:rsidR="00A93442" w:rsidRDefault="00A93442">
      <w:pPr>
        <w:jc w:val="both"/>
        <w:rPr>
          <w:rFonts w:ascii="Times New Roman" w:hAnsi="Times New Roman" w:cs="Times New Roman"/>
          <w:sz w:val="24"/>
          <w:szCs w:val="24"/>
        </w:rPr>
      </w:pPr>
    </w:p>
    <w:p w14:paraId="53AC8B74"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 xml:space="preserve">Only ninety-six 20.3% (96) had ABO incompatibility among which 92(95.8%) had normal bilirubin values and 4(4.2%) had hyperbilirubinemia. Also, of the total sample, only 111 had G6PD deficiency (23.5%), of which 4 (3.6%) have hyperbilirubinemia. </w:t>
      </w:r>
    </w:p>
    <w:p w14:paraId="1D6ED3A2"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There was no </w:t>
      </w:r>
      <w:bookmarkStart w:id="0" w:name="_Hlk172742546"/>
      <w:r>
        <w:rPr>
          <w:rFonts w:ascii="Times New Roman" w:hAnsi="Times New Roman" w:cs="Times New Roman"/>
          <w:sz w:val="24"/>
          <w:szCs w:val="24"/>
        </w:rPr>
        <w:t>correlation between ABO Setup, G6PD Status, and development of significant Neonatal Hyperbilirubinaemia</w:t>
      </w:r>
      <w:bookmarkEnd w:id="0"/>
      <w:r>
        <w:rPr>
          <w:rFonts w:ascii="Times New Roman" w:hAnsi="Times New Roman" w:cs="Times New Roman"/>
          <w:sz w:val="24"/>
          <w:szCs w:val="24"/>
        </w:rPr>
        <w:t xml:space="preserve"> at follow-up with a p-value of 0.966 and 0.702 respectively, table III.</w:t>
      </w:r>
    </w:p>
    <w:p w14:paraId="3FB9B64F" w14:textId="77777777" w:rsidR="00A93442"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p>
    <w:p w14:paraId="5293C0FA" w14:textId="77777777" w:rsidR="00A93442" w:rsidRDefault="00000000">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III: Relationship between ABO status, G6PD Deficiency and significant neonatal </w:t>
      </w:r>
      <w:r>
        <w:rPr>
          <w:rFonts w:ascii="Times New Roman" w:hAnsi="Times New Roman" w:cs="Times New Roman"/>
          <w:b/>
          <w:bCs/>
          <w:sz w:val="24"/>
          <w:szCs w:val="24"/>
        </w:rPr>
        <w:tab/>
        <w:t>hyperbilirubinaemia at 72-96 hours of life</w:t>
      </w:r>
    </w:p>
    <w:tbl>
      <w:tblPr>
        <w:tblW w:w="5000" w:type="pct"/>
        <w:tblLook w:val="04A0" w:firstRow="1" w:lastRow="0" w:firstColumn="1" w:lastColumn="0" w:noHBand="0" w:noVBand="1"/>
      </w:tblPr>
      <w:tblGrid>
        <w:gridCol w:w="3976"/>
        <w:gridCol w:w="1881"/>
        <w:gridCol w:w="1829"/>
        <w:gridCol w:w="1674"/>
      </w:tblGrid>
      <w:tr w:rsidR="00A93442" w14:paraId="59A12D93" w14:textId="77777777">
        <w:trPr>
          <w:trHeight w:val="368"/>
        </w:trPr>
        <w:tc>
          <w:tcPr>
            <w:tcW w:w="2124" w:type="pct"/>
            <w:tcBorders>
              <w:top w:val="single" w:sz="4" w:space="0" w:color="auto"/>
              <w:left w:val="nil"/>
              <w:bottom w:val="single" w:sz="4" w:space="0" w:color="auto"/>
              <w:right w:val="nil"/>
            </w:tcBorders>
          </w:tcPr>
          <w:p w14:paraId="095F0D37" w14:textId="77777777" w:rsidR="00A93442" w:rsidRDefault="00000000">
            <w:pPr>
              <w:spacing w:after="0"/>
              <w:jc w:val="right"/>
              <w:rPr>
                <w:rFonts w:ascii="Times New Roman" w:hAnsi="Times New Roman" w:cs="Times New Roman"/>
                <w:b/>
                <w:bCs/>
                <w:sz w:val="24"/>
                <w:szCs w:val="24"/>
                <w:lang w:val="en-GB"/>
              </w:rPr>
            </w:pPr>
            <w:r>
              <w:rPr>
                <w:rFonts w:ascii="Times New Roman" w:hAnsi="Times New Roman" w:cs="Times New Roman"/>
                <w:b/>
                <w:bCs/>
                <w:sz w:val="24"/>
                <w:szCs w:val="24"/>
                <w:lang w:val="en-GB"/>
              </w:rPr>
              <w:t>N = 471</w:t>
            </w:r>
          </w:p>
        </w:tc>
        <w:tc>
          <w:tcPr>
            <w:tcW w:w="1982" w:type="pct"/>
            <w:gridSpan w:val="2"/>
            <w:tcBorders>
              <w:top w:val="single" w:sz="4" w:space="0" w:color="auto"/>
              <w:left w:val="nil"/>
              <w:bottom w:val="single" w:sz="4" w:space="0" w:color="auto"/>
              <w:right w:val="nil"/>
            </w:tcBorders>
          </w:tcPr>
          <w:p w14:paraId="1E8ABB05" w14:textId="77777777" w:rsidR="00A93442" w:rsidRDefault="00000000">
            <w:pPr>
              <w:spacing w:after="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Follow up Bilirubin (mg/dl)</w:t>
            </w:r>
          </w:p>
        </w:tc>
        <w:tc>
          <w:tcPr>
            <w:tcW w:w="894" w:type="pct"/>
            <w:tcBorders>
              <w:top w:val="single" w:sz="4" w:space="0" w:color="auto"/>
              <w:left w:val="nil"/>
              <w:bottom w:val="single" w:sz="4" w:space="0" w:color="auto"/>
              <w:right w:val="nil"/>
            </w:tcBorders>
          </w:tcPr>
          <w:p w14:paraId="4B355F98" w14:textId="77777777" w:rsidR="00A93442" w:rsidRDefault="00000000">
            <w:pPr>
              <w:spacing w:after="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P value</w:t>
            </w:r>
          </w:p>
        </w:tc>
      </w:tr>
      <w:tr w:rsidR="00A93442" w14:paraId="69F28C02" w14:textId="77777777">
        <w:trPr>
          <w:trHeight w:val="368"/>
        </w:trPr>
        <w:tc>
          <w:tcPr>
            <w:tcW w:w="2124" w:type="pct"/>
            <w:tcBorders>
              <w:top w:val="single" w:sz="4" w:space="0" w:color="auto"/>
              <w:left w:val="nil"/>
              <w:bottom w:val="nil"/>
              <w:right w:val="nil"/>
            </w:tcBorders>
          </w:tcPr>
          <w:p w14:paraId="175E34B3" w14:textId="77777777" w:rsidR="00A93442" w:rsidRDefault="00A93442">
            <w:pPr>
              <w:spacing w:after="0"/>
              <w:jc w:val="both"/>
              <w:rPr>
                <w:rFonts w:ascii="Times New Roman" w:hAnsi="Times New Roman" w:cs="Times New Roman"/>
                <w:sz w:val="24"/>
                <w:szCs w:val="24"/>
                <w:lang w:val="en-GB"/>
              </w:rPr>
            </w:pPr>
          </w:p>
        </w:tc>
        <w:tc>
          <w:tcPr>
            <w:tcW w:w="1005" w:type="pct"/>
            <w:tcBorders>
              <w:top w:val="single" w:sz="4" w:space="0" w:color="auto"/>
              <w:left w:val="nil"/>
              <w:bottom w:val="nil"/>
              <w:right w:val="nil"/>
            </w:tcBorders>
          </w:tcPr>
          <w:p w14:paraId="141877C5"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&lt;12mg/dl</w:t>
            </w:r>
          </w:p>
        </w:tc>
        <w:tc>
          <w:tcPr>
            <w:tcW w:w="977" w:type="pct"/>
            <w:tcBorders>
              <w:top w:val="single" w:sz="4" w:space="0" w:color="auto"/>
              <w:left w:val="nil"/>
              <w:bottom w:val="nil"/>
              <w:right w:val="nil"/>
            </w:tcBorders>
          </w:tcPr>
          <w:p w14:paraId="09B771A6"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sym w:font="Symbol" w:char="F0B3"/>
            </w:r>
            <w:r>
              <w:rPr>
                <w:rFonts w:ascii="Times New Roman" w:hAnsi="Times New Roman" w:cs="Times New Roman"/>
                <w:sz w:val="24"/>
                <w:szCs w:val="24"/>
                <w:lang w:val="en-GB"/>
              </w:rPr>
              <w:t>12mg/dl</w:t>
            </w:r>
          </w:p>
        </w:tc>
        <w:tc>
          <w:tcPr>
            <w:tcW w:w="894" w:type="pct"/>
            <w:tcBorders>
              <w:top w:val="single" w:sz="4" w:space="0" w:color="auto"/>
              <w:left w:val="nil"/>
              <w:bottom w:val="nil"/>
              <w:right w:val="nil"/>
            </w:tcBorders>
          </w:tcPr>
          <w:p w14:paraId="5D8F9FCE" w14:textId="77777777" w:rsidR="00A93442" w:rsidRDefault="00A93442">
            <w:pPr>
              <w:spacing w:after="0"/>
              <w:jc w:val="both"/>
              <w:rPr>
                <w:rFonts w:ascii="Times New Roman" w:hAnsi="Times New Roman" w:cs="Times New Roman"/>
                <w:sz w:val="24"/>
                <w:szCs w:val="24"/>
                <w:lang w:val="en-GB"/>
              </w:rPr>
            </w:pPr>
          </w:p>
        </w:tc>
      </w:tr>
      <w:tr w:rsidR="00A93442" w14:paraId="295679C5" w14:textId="77777777">
        <w:trPr>
          <w:trHeight w:val="392"/>
        </w:trPr>
        <w:tc>
          <w:tcPr>
            <w:tcW w:w="2124" w:type="pct"/>
          </w:tcPr>
          <w:p w14:paraId="18F21154"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ABO Setup</w:t>
            </w:r>
          </w:p>
        </w:tc>
        <w:tc>
          <w:tcPr>
            <w:tcW w:w="1005" w:type="pct"/>
          </w:tcPr>
          <w:p w14:paraId="198F8CE0"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N (%)</w:t>
            </w:r>
          </w:p>
        </w:tc>
        <w:tc>
          <w:tcPr>
            <w:tcW w:w="977" w:type="pct"/>
          </w:tcPr>
          <w:p w14:paraId="331C1A2F"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N (%)</w:t>
            </w:r>
          </w:p>
        </w:tc>
        <w:tc>
          <w:tcPr>
            <w:tcW w:w="894" w:type="pct"/>
          </w:tcPr>
          <w:p w14:paraId="58254860" w14:textId="77777777" w:rsidR="00A93442" w:rsidRDefault="00A93442">
            <w:pPr>
              <w:spacing w:after="0"/>
              <w:jc w:val="both"/>
              <w:rPr>
                <w:rFonts w:ascii="Times New Roman" w:hAnsi="Times New Roman" w:cs="Times New Roman"/>
                <w:sz w:val="24"/>
                <w:szCs w:val="24"/>
                <w:lang w:val="en-GB"/>
              </w:rPr>
            </w:pPr>
          </w:p>
        </w:tc>
      </w:tr>
      <w:tr w:rsidR="00A93442" w14:paraId="547BDAEA" w14:textId="77777777">
        <w:trPr>
          <w:trHeight w:val="392"/>
        </w:trPr>
        <w:tc>
          <w:tcPr>
            <w:tcW w:w="2124" w:type="pct"/>
          </w:tcPr>
          <w:p w14:paraId="758A4DCF"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1005" w:type="pct"/>
          </w:tcPr>
          <w:p w14:paraId="55D7F6D5"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359 (95.7)</w:t>
            </w:r>
          </w:p>
        </w:tc>
        <w:tc>
          <w:tcPr>
            <w:tcW w:w="977" w:type="pct"/>
          </w:tcPr>
          <w:p w14:paraId="5925344D"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16 (4.3)</w:t>
            </w:r>
          </w:p>
        </w:tc>
        <w:tc>
          <w:tcPr>
            <w:tcW w:w="894" w:type="pct"/>
          </w:tcPr>
          <w:p w14:paraId="03544F89"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0.966</w:t>
            </w:r>
          </w:p>
        </w:tc>
      </w:tr>
      <w:tr w:rsidR="00A93442" w14:paraId="0254A0B9" w14:textId="77777777">
        <w:trPr>
          <w:trHeight w:val="392"/>
        </w:trPr>
        <w:tc>
          <w:tcPr>
            <w:tcW w:w="2124" w:type="pct"/>
          </w:tcPr>
          <w:p w14:paraId="2E8A19EE"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Yes</w:t>
            </w:r>
          </w:p>
        </w:tc>
        <w:tc>
          <w:tcPr>
            <w:tcW w:w="1005" w:type="pct"/>
          </w:tcPr>
          <w:p w14:paraId="03117E8E"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92 (95.8)</w:t>
            </w:r>
          </w:p>
        </w:tc>
        <w:tc>
          <w:tcPr>
            <w:tcW w:w="977" w:type="pct"/>
          </w:tcPr>
          <w:p w14:paraId="5130BED0"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4 (4.2)</w:t>
            </w:r>
          </w:p>
        </w:tc>
        <w:tc>
          <w:tcPr>
            <w:tcW w:w="894" w:type="pct"/>
          </w:tcPr>
          <w:p w14:paraId="5615185E" w14:textId="77777777" w:rsidR="00A93442" w:rsidRDefault="00A93442">
            <w:pPr>
              <w:spacing w:after="0"/>
              <w:jc w:val="both"/>
              <w:rPr>
                <w:rFonts w:ascii="Times New Roman" w:hAnsi="Times New Roman" w:cs="Times New Roman"/>
                <w:sz w:val="24"/>
                <w:szCs w:val="24"/>
                <w:lang w:val="en-GB"/>
              </w:rPr>
            </w:pPr>
          </w:p>
        </w:tc>
      </w:tr>
      <w:tr w:rsidR="00A93442" w14:paraId="5DF8777B" w14:textId="77777777">
        <w:trPr>
          <w:trHeight w:val="392"/>
        </w:trPr>
        <w:tc>
          <w:tcPr>
            <w:tcW w:w="2124" w:type="pct"/>
          </w:tcPr>
          <w:p w14:paraId="03A69321" w14:textId="77777777" w:rsidR="00A93442" w:rsidRDefault="00A93442">
            <w:pPr>
              <w:spacing w:after="0"/>
              <w:jc w:val="both"/>
              <w:rPr>
                <w:rFonts w:ascii="Times New Roman" w:hAnsi="Times New Roman" w:cs="Times New Roman"/>
                <w:sz w:val="24"/>
                <w:szCs w:val="24"/>
                <w:lang w:val="en-GB"/>
              </w:rPr>
            </w:pPr>
          </w:p>
        </w:tc>
        <w:tc>
          <w:tcPr>
            <w:tcW w:w="1005" w:type="pct"/>
          </w:tcPr>
          <w:p w14:paraId="28671C21" w14:textId="77777777" w:rsidR="00A93442" w:rsidRDefault="00A93442">
            <w:pPr>
              <w:spacing w:after="0"/>
              <w:jc w:val="both"/>
              <w:rPr>
                <w:rFonts w:ascii="Times New Roman" w:hAnsi="Times New Roman" w:cs="Times New Roman"/>
                <w:sz w:val="24"/>
                <w:szCs w:val="24"/>
                <w:lang w:val="en-GB"/>
              </w:rPr>
            </w:pPr>
          </w:p>
        </w:tc>
        <w:tc>
          <w:tcPr>
            <w:tcW w:w="977" w:type="pct"/>
          </w:tcPr>
          <w:p w14:paraId="16AEDEDF" w14:textId="77777777" w:rsidR="00A93442" w:rsidRDefault="00A93442">
            <w:pPr>
              <w:spacing w:after="0"/>
              <w:jc w:val="both"/>
              <w:rPr>
                <w:rFonts w:ascii="Times New Roman" w:hAnsi="Times New Roman" w:cs="Times New Roman"/>
                <w:sz w:val="24"/>
                <w:szCs w:val="24"/>
                <w:lang w:val="en-GB"/>
              </w:rPr>
            </w:pPr>
          </w:p>
        </w:tc>
        <w:tc>
          <w:tcPr>
            <w:tcW w:w="894" w:type="pct"/>
          </w:tcPr>
          <w:p w14:paraId="4DA8C0C7" w14:textId="77777777" w:rsidR="00A93442" w:rsidRDefault="00A93442">
            <w:pPr>
              <w:spacing w:after="0"/>
              <w:jc w:val="both"/>
              <w:rPr>
                <w:rFonts w:ascii="Times New Roman" w:hAnsi="Times New Roman" w:cs="Times New Roman"/>
                <w:sz w:val="24"/>
                <w:szCs w:val="24"/>
                <w:lang w:val="en-GB"/>
              </w:rPr>
            </w:pPr>
          </w:p>
        </w:tc>
      </w:tr>
      <w:tr w:rsidR="00A93442" w14:paraId="48B20C7E" w14:textId="77777777">
        <w:trPr>
          <w:trHeight w:val="392"/>
        </w:trPr>
        <w:tc>
          <w:tcPr>
            <w:tcW w:w="2124" w:type="pct"/>
          </w:tcPr>
          <w:p w14:paraId="200CA278"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G6PD Assay</w:t>
            </w:r>
          </w:p>
        </w:tc>
        <w:tc>
          <w:tcPr>
            <w:tcW w:w="1005" w:type="pct"/>
          </w:tcPr>
          <w:p w14:paraId="1FC1A7F1" w14:textId="77777777" w:rsidR="00A93442" w:rsidRDefault="00A93442">
            <w:pPr>
              <w:spacing w:after="0"/>
              <w:jc w:val="both"/>
              <w:rPr>
                <w:rFonts w:ascii="Times New Roman" w:hAnsi="Times New Roman" w:cs="Times New Roman"/>
                <w:sz w:val="24"/>
                <w:szCs w:val="24"/>
                <w:lang w:val="en-GB"/>
              </w:rPr>
            </w:pPr>
          </w:p>
        </w:tc>
        <w:tc>
          <w:tcPr>
            <w:tcW w:w="977" w:type="pct"/>
          </w:tcPr>
          <w:p w14:paraId="635493ED" w14:textId="77777777" w:rsidR="00A93442" w:rsidRDefault="00A93442">
            <w:pPr>
              <w:spacing w:after="0"/>
              <w:jc w:val="both"/>
              <w:rPr>
                <w:rFonts w:ascii="Times New Roman" w:hAnsi="Times New Roman" w:cs="Times New Roman"/>
                <w:sz w:val="24"/>
                <w:szCs w:val="24"/>
                <w:lang w:val="en-GB"/>
              </w:rPr>
            </w:pPr>
          </w:p>
        </w:tc>
        <w:tc>
          <w:tcPr>
            <w:tcW w:w="894" w:type="pct"/>
          </w:tcPr>
          <w:p w14:paraId="3EBBE0F6" w14:textId="77777777" w:rsidR="00A93442" w:rsidRDefault="00A93442">
            <w:pPr>
              <w:spacing w:after="0"/>
              <w:jc w:val="both"/>
              <w:rPr>
                <w:rFonts w:ascii="Times New Roman" w:hAnsi="Times New Roman" w:cs="Times New Roman"/>
                <w:sz w:val="24"/>
                <w:szCs w:val="24"/>
                <w:lang w:val="en-GB"/>
              </w:rPr>
            </w:pPr>
          </w:p>
        </w:tc>
      </w:tr>
      <w:tr w:rsidR="00A93442" w14:paraId="19B9D13C" w14:textId="77777777">
        <w:trPr>
          <w:trHeight w:val="392"/>
        </w:trPr>
        <w:tc>
          <w:tcPr>
            <w:tcW w:w="2124" w:type="pct"/>
          </w:tcPr>
          <w:p w14:paraId="7196106B"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Normal </w:t>
            </w:r>
          </w:p>
        </w:tc>
        <w:tc>
          <w:tcPr>
            <w:tcW w:w="1005" w:type="pct"/>
          </w:tcPr>
          <w:p w14:paraId="2500C020"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344 (95.6)</w:t>
            </w:r>
          </w:p>
        </w:tc>
        <w:tc>
          <w:tcPr>
            <w:tcW w:w="977" w:type="pct"/>
          </w:tcPr>
          <w:p w14:paraId="28D74ACB"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16 (4.4)</w:t>
            </w:r>
          </w:p>
        </w:tc>
        <w:tc>
          <w:tcPr>
            <w:tcW w:w="894" w:type="pct"/>
          </w:tcPr>
          <w:p w14:paraId="665D05F1"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0.702</w:t>
            </w:r>
          </w:p>
        </w:tc>
      </w:tr>
      <w:tr w:rsidR="00A93442" w14:paraId="14A48049" w14:textId="77777777">
        <w:trPr>
          <w:trHeight w:val="392"/>
        </w:trPr>
        <w:tc>
          <w:tcPr>
            <w:tcW w:w="2124" w:type="pct"/>
            <w:tcBorders>
              <w:top w:val="nil"/>
              <w:left w:val="nil"/>
              <w:bottom w:val="single" w:sz="4" w:space="0" w:color="auto"/>
              <w:right w:val="nil"/>
            </w:tcBorders>
          </w:tcPr>
          <w:p w14:paraId="089CA6BE"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Deficient</w:t>
            </w:r>
          </w:p>
        </w:tc>
        <w:tc>
          <w:tcPr>
            <w:tcW w:w="1005" w:type="pct"/>
            <w:tcBorders>
              <w:top w:val="nil"/>
              <w:left w:val="nil"/>
              <w:bottom w:val="single" w:sz="4" w:space="0" w:color="auto"/>
              <w:right w:val="nil"/>
            </w:tcBorders>
          </w:tcPr>
          <w:p w14:paraId="7CB5867C"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107 (96.4)</w:t>
            </w:r>
          </w:p>
        </w:tc>
        <w:tc>
          <w:tcPr>
            <w:tcW w:w="977" w:type="pct"/>
            <w:tcBorders>
              <w:top w:val="nil"/>
              <w:left w:val="nil"/>
              <w:bottom w:val="single" w:sz="4" w:space="0" w:color="auto"/>
              <w:right w:val="nil"/>
            </w:tcBorders>
          </w:tcPr>
          <w:p w14:paraId="5AF53D7A" w14:textId="77777777" w:rsidR="00A93442" w:rsidRDefault="0000000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4 (3.6)</w:t>
            </w:r>
          </w:p>
        </w:tc>
        <w:tc>
          <w:tcPr>
            <w:tcW w:w="894" w:type="pct"/>
            <w:tcBorders>
              <w:top w:val="nil"/>
              <w:left w:val="nil"/>
              <w:bottom w:val="single" w:sz="4" w:space="0" w:color="auto"/>
              <w:right w:val="nil"/>
            </w:tcBorders>
          </w:tcPr>
          <w:p w14:paraId="0D446A09" w14:textId="77777777" w:rsidR="00A93442" w:rsidRDefault="00A93442">
            <w:pPr>
              <w:spacing w:after="0"/>
              <w:jc w:val="both"/>
              <w:rPr>
                <w:rFonts w:ascii="Times New Roman" w:hAnsi="Times New Roman" w:cs="Times New Roman"/>
                <w:sz w:val="24"/>
                <w:szCs w:val="24"/>
                <w:lang w:val="en-GB"/>
              </w:rPr>
            </w:pPr>
          </w:p>
        </w:tc>
      </w:tr>
    </w:tbl>
    <w:p w14:paraId="05DA4006" w14:textId="77777777" w:rsidR="00A93442" w:rsidRDefault="00A93442">
      <w:pPr>
        <w:jc w:val="both"/>
        <w:rPr>
          <w:rFonts w:ascii="Times New Roman" w:hAnsi="Times New Roman" w:cs="Times New Roman"/>
          <w:sz w:val="24"/>
          <w:szCs w:val="24"/>
        </w:rPr>
      </w:pPr>
    </w:p>
    <w:p w14:paraId="20D6CEF1"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Neonates with ABO incompatibility shows increased sensitivity and reduced specificity (75%, 43.48%) compared to those without (56.25%, 47.91%) and the total sample population (60.0%, 46.78%).</w:t>
      </w:r>
    </w:p>
    <w:p w14:paraId="6BCDC632"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The effect of G6PD Status on prediction of significant neonatal hyperbilirubinaemia shows that neonates without G6PD Deficiency have higher sensitivity and specificity (62.5%, 47.38%) compared to those with G6PD Deficiency (50.0%, 45.79%) and total sample population (60.0%, 46.78%).</w:t>
      </w:r>
    </w:p>
    <w:p w14:paraId="5039536A" w14:textId="77777777" w:rsidR="00A93442" w:rsidRDefault="00000000">
      <w:pPr>
        <w:jc w:val="both"/>
        <w:rPr>
          <w:rFonts w:ascii="Times New Roman" w:hAnsi="Times New Roman" w:cs="Times New Roman"/>
          <w:sz w:val="24"/>
          <w:szCs w:val="24"/>
        </w:rPr>
      </w:pPr>
      <w:r>
        <w:rPr>
          <w:rFonts w:ascii="Times New Roman" w:hAnsi="Times New Roman" w:cs="Times New Roman"/>
          <w:b/>
          <w:bCs/>
          <w:sz w:val="24"/>
          <w:szCs w:val="24"/>
        </w:rPr>
        <w:t xml:space="preserve">Table IV:  ABO Setup and neonatal G6PD status prediction of significant neonatal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hyperbilirubinemia </w:t>
      </w:r>
    </w:p>
    <w:tbl>
      <w:tblPr>
        <w:tblStyle w:val="TableGrid"/>
        <w:tblW w:w="10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1117"/>
        <w:gridCol w:w="822"/>
        <w:gridCol w:w="882"/>
        <w:gridCol w:w="863"/>
        <w:gridCol w:w="863"/>
        <w:gridCol w:w="849"/>
        <w:gridCol w:w="1252"/>
        <w:gridCol w:w="1265"/>
        <w:gridCol w:w="661"/>
        <w:gridCol w:w="702"/>
      </w:tblGrid>
      <w:tr w:rsidR="00A93442" w14:paraId="5EA8EF38" w14:textId="77777777">
        <w:trPr>
          <w:trHeight w:val="655"/>
        </w:trPr>
        <w:tc>
          <w:tcPr>
            <w:tcW w:w="823" w:type="dxa"/>
            <w:tcBorders>
              <w:top w:val="single" w:sz="4" w:space="0" w:color="auto"/>
              <w:left w:val="nil"/>
              <w:bottom w:val="single" w:sz="4" w:space="0" w:color="auto"/>
              <w:right w:val="nil"/>
            </w:tcBorders>
          </w:tcPr>
          <w:p w14:paraId="4241EF09" w14:textId="77777777" w:rsidR="00A93442" w:rsidRDefault="00A93442">
            <w:pPr>
              <w:jc w:val="both"/>
              <w:rPr>
                <w:rFonts w:ascii="Times New Roman" w:hAnsi="Times New Roman" w:cs="Times New Roman"/>
                <w:sz w:val="24"/>
                <w:szCs w:val="24"/>
              </w:rPr>
            </w:pPr>
          </w:p>
        </w:tc>
        <w:tc>
          <w:tcPr>
            <w:tcW w:w="1117" w:type="dxa"/>
            <w:tcBorders>
              <w:top w:val="single" w:sz="4" w:space="0" w:color="auto"/>
              <w:left w:val="nil"/>
              <w:bottom w:val="single" w:sz="4" w:space="0" w:color="auto"/>
              <w:right w:val="nil"/>
            </w:tcBorders>
          </w:tcPr>
          <w:p w14:paraId="767C0AD3" w14:textId="77777777" w:rsidR="00A93442" w:rsidRDefault="00A93442">
            <w:pPr>
              <w:jc w:val="both"/>
              <w:rPr>
                <w:rFonts w:ascii="Times New Roman" w:hAnsi="Times New Roman" w:cs="Times New Roman"/>
                <w:sz w:val="24"/>
                <w:szCs w:val="24"/>
              </w:rPr>
            </w:pPr>
          </w:p>
        </w:tc>
        <w:tc>
          <w:tcPr>
            <w:tcW w:w="822" w:type="dxa"/>
            <w:tcBorders>
              <w:top w:val="single" w:sz="4" w:space="0" w:color="auto"/>
              <w:left w:val="nil"/>
              <w:bottom w:val="single" w:sz="4" w:space="0" w:color="auto"/>
              <w:right w:val="nil"/>
            </w:tcBorders>
          </w:tcPr>
          <w:p w14:paraId="0FB849B3"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Area Under Curve</w:t>
            </w:r>
          </w:p>
        </w:tc>
        <w:tc>
          <w:tcPr>
            <w:tcW w:w="882" w:type="dxa"/>
            <w:tcBorders>
              <w:top w:val="single" w:sz="4" w:space="0" w:color="auto"/>
              <w:left w:val="nil"/>
              <w:bottom w:val="single" w:sz="4" w:space="0" w:color="auto"/>
              <w:right w:val="nil"/>
            </w:tcBorders>
          </w:tcPr>
          <w:p w14:paraId="2BF0140C"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P value</w:t>
            </w:r>
          </w:p>
        </w:tc>
        <w:tc>
          <w:tcPr>
            <w:tcW w:w="1726" w:type="dxa"/>
            <w:gridSpan w:val="2"/>
            <w:tcBorders>
              <w:top w:val="single" w:sz="4" w:space="0" w:color="auto"/>
              <w:left w:val="nil"/>
              <w:bottom w:val="single" w:sz="4" w:space="0" w:color="auto"/>
              <w:right w:val="nil"/>
            </w:tcBorders>
          </w:tcPr>
          <w:p w14:paraId="343DD6CB"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Confidence Interval</w:t>
            </w:r>
          </w:p>
        </w:tc>
        <w:tc>
          <w:tcPr>
            <w:tcW w:w="849" w:type="dxa"/>
            <w:tcBorders>
              <w:top w:val="single" w:sz="4" w:space="0" w:color="auto"/>
              <w:left w:val="nil"/>
              <w:bottom w:val="single" w:sz="4" w:space="0" w:color="auto"/>
              <w:right w:val="nil"/>
            </w:tcBorders>
          </w:tcPr>
          <w:p w14:paraId="4365F9B2"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Cutoff value</w:t>
            </w:r>
          </w:p>
        </w:tc>
        <w:tc>
          <w:tcPr>
            <w:tcW w:w="1252" w:type="dxa"/>
            <w:tcBorders>
              <w:top w:val="single" w:sz="4" w:space="0" w:color="auto"/>
              <w:left w:val="nil"/>
              <w:bottom w:val="single" w:sz="4" w:space="0" w:color="auto"/>
              <w:right w:val="nil"/>
            </w:tcBorders>
          </w:tcPr>
          <w:p w14:paraId="3A28F43C"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Sensitivity</w:t>
            </w:r>
          </w:p>
        </w:tc>
        <w:tc>
          <w:tcPr>
            <w:tcW w:w="1265" w:type="dxa"/>
            <w:tcBorders>
              <w:top w:val="single" w:sz="4" w:space="0" w:color="auto"/>
              <w:left w:val="nil"/>
              <w:bottom w:val="single" w:sz="4" w:space="0" w:color="auto"/>
              <w:right w:val="nil"/>
            </w:tcBorders>
          </w:tcPr>
          <w:p w14:paraId="502E8214"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Specificity</w:t>
            </w:r>
          </w:p>
        </w:tc>
        <w:tc>
          <w:tcPr>
            <w:tcW w:w="661" w:type="dxa"/>
            <w:tcBorders>
              <w:top w:val="single" w:sz="4" w:space="0" w:color="auto"/>
              <w:left w:val="nil"/>
              <w:bottom w:val="single" w:sz="4" w:space="0" w:color="auto"/>
              <w:right w:val="nil"/>
            </w:tcBorders>
          </w:tcPr>
          <w:p w14:paraId="234122C4"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PPV</w:t>
            </w:r>
          </w:p>
        </w:tc>
        <w:tc>
          <w:tcPr>
            <w:tcW w:w="702" w:type="dxa"/>
            <w:tcBorders>
              <w:top w:val="single" w:sz="4" w:space="0" w:color="auto"/>
              <w:left w:val="nil"/>
              <w:bottom w:val="single" w:sz="4" w:space="0" w:color="auto"/>
              <w:right w:val="nil"/>
            </w:tcBorders>
          </w:tcPr>
          <w:p w14:paraId="14DF8974"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NPV</w:t>
            </w:r>
          </w:p>
        </w:tc>
      </w:tr>
      <w:tr w:rsidR="00A93442" w14:paraId="0DB65685" w14:textId="77777777">
        <w:trPr>
          <w:trHeight w:val="508"/>
        </w:trPr>
        <w:tc>
          <w:tcPr>
            <w:tcW w:w="823" w:type="dxa"/>
            <w:tcBorders>
              <w:top w:val="single" w:sz="4" w:space="0" w:color="auto"/>
              <w:left w:val="nil"/>
              <w:bottom w:val="single" w:sz="4" w:space="0" w:color="auto"/>
              <w:right w:val="nil"/>
            </w:tcBorders>
          </w:tcPr>
          <w:p w14:paraId="11EE2D82" w14:textId="77777777" w:rsidR="00A93442" w:rsidRDefault="00A93442">
            <w:pPr>
              <w:jc w:val="both"/>
              <w:rPr>
                <w:rFonts w:ascii="Times New Roman" w:hAnsi="Times New Roman" w:cs="Times New Roman"/>
                <w:sz w:val="24"/>
                <w:szCs w:val="24"/>
              </w:rPr>
            </w:pPr>
          </w:p>
        </w:tc>
        <w:tc>
          <w:tcPr>
            <w:tcW w:w="1117" w:type="dxa"/>
            <w:tcBorders>
              <w:top w:val="single" w:sz="4" w:space="0" w:color="auto"/>
              <w:left w:val="nil"/>
              <w:bottom w:val="single" w:sz="4" w:space="0" w:color="auto"/>
              <w:right w:val="nil"/>
            </w:tcBorders>
          </w:tcPr>
          <w:p w14:paraId="795498DC" w14:textId="77777777" w:rsidR="00A93442" w:rsidRDefault="00A93442">
            <w:pPr>
              <w:jc w:val="both"/>
              <w:rPr>
                <w:rFonts w:ascii="Times New Roman" w:hAnsi="Times New Roman" w:cs="Times New Roman"/>
                <w:sz w:val="24"/>
                <w:szCs w:val="24"/>
              </w:rPr>
            </w:pPr>
          </w:p>
        </w:tc>
        <w:tc>
          <w:tcPr>
            <w:tcW w:w="822" w:type="dxa"/>
            <w:tcBorders>
              <w:top w:val="single" w:sz="4" w:space="0" w:color="auto"/>
              <w:left w:val="nil"/>
              <w:bottom w:val="single" w:sz="4" w:space="0" w:color="auto"/>
              <w:right w:val="nil"/>
            </w:tcBorders>
          </w:tcPr>
          <w:p w14:paraId="3D791873" w14:textId="77777777" w:rsidR="00A93442" w:rsidRDefault="00A93442">
            <w:pPr>
              <w:jc w:val="both"/>
              <w:rPr>
                <w:rFonts w:ascii="Times New Roman" w:hAnsi="Times New Roman" w:cs="Times New Roman"/>
                <w:sz w:val="24"/>
                <w:szCs w:val="24"/>
              </w:rPr>
            </w:pPr>
          </w:p>
        </w:tc>
        <w:tc>
          <w:tcPr>
            <w:tcW w:w="882" w:type="dxa"/>
            <w:tcBorders>
              <w:top w:val="single" w:sz="4" w:space="0" w:color="auto"/>
              <w:left w:val="nil"/>
              <w:bottom w:val="single" w:sz="4" w:space="0" w:color="auto"/>
              <w:right w:val="nil"/>
            </w:tcBorders>
          </w:tcPr>
          <w:p w14:paraId="69ABB63D" w14:textId="77777777" w:rsidR="00A93442" w:rsidRDefault="00A93442">
            <w:pPr>
              <w:jc w:val="both"/>
              <w:rPr>
                <w:rFonts w:ascii="Times New Roman" w:hAnsi="Times New Roman" w:cs="Times New Roman"/>
                <w:sz w:val="24"/>
                <w:szCs w:val="24"/>
              </w:rPr>
            </w:pPr>
          </w:p>
        </w:tc>
        <w:tc>
          <w:tcPr>
            <w:tcW w:w="863" w:type="dxa"/>
            <w:tcBorders>
              <w:top w:val="single" w:sz="4" w:space="0" w:color="auto"/>
              <w:left w:val="nil"/>
              <w:bottom w:val="single" w:sz="4" w:space="0" w:color="auto"/>
              <w:right w:val="nil"/>
            </w:tcBorders>
          </w:tcPr>
          <w:p w14:paraId="7B7B206B"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Lower Bound</w:t>
            </w:r>
          </w:p>
        </w:tc>
        <w:tc>
          <w:tcPr>
            <w:tcW w:w="863" w:type="dxa"/>
            <w:tcBorders>
              <w:top w:val="single" w:sz="4" w:space="0" w:color="auto"/>
              <w:left w:val="nil"/>
              <w:bottom w:val="single" w:sz="4" w:space="0" w:color="auto"/>
              <w:right w:val="nil"/>
            </w:tcBorders>
          </w:tcPr>
          <w:p w14:paraId="3D97960B"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Upper Bound</w:t>
            </w:r>
          </w:p>
        </w:tc>
        <w:tc>
          <w:tcPr>
            <w:tcW w:w="849" w:type="dxa"/>
            <w:tcBorders>
              <w:top w:val="single" w:sz="4" w:space="0" w:color="auto"/>
              <w:left w:val="nil"/>
              <w:bottom w:val="single" w:sz="4" w:space="0" w:color="auto"/>
              <w:right w:val="nil"/>
            </w:tcBorders>
          </w:tcPr>
          <w:p w14:paraId="7B63F07F" w14:textId="77777777" w:rsidR="00A93442" w:rsidRDefault="00A93442">
            <w:pPr>
              <w:jc w:val="both"/>
              <w:rPr>
                <w:rFonts w:ascii="Times New Roman" w:hAnsi="Times New Roman" w:cs="Times New Roman"/>
                <w:sz w:val="24"/>
                <w:szCs w:val="24"/>
              </w:rPr>
            </w:pPr>
          </w:p>
        </w:tc>
        <w:tc>
          <w:tcPr>
            <w:tcW w:w="1252" w:type="dxa"/>
            <w:tcBorders>
              <w:top w:val="single" w:sz="4" w:space="0" w:color="auto"/>
              <w:left w:val="nil"/>
              <w:bottom w:val="single" w:sz="4" w:space="0" w:color="auto"/>
              <w:right w:val="nil"/>
            </w:tcBorders>
          </w:tcPr>
          <w:p w14:paraId="440E236F" w14:textId="77777777" w:rsidR="00A93442" w:rsidRDefault="00A93442">
            <w:pPr>
              <w:jc w:val="both"/>
              <w:rPr>
                <w:rFonts w:ascii="Times New Roman" w:hAnsi="Times New Roman" w:cs="Times New Roman"/>
                <w:sz w:val="24"/>
                <w:szCs w:val="24"/>
              </w:rPr>
            </w:pPr>
          </w:p>
        </w:tc>
        <w:tc>
          <w:tcPr>
            <w:tcW w:w="1265" w:type="dxa"/>
            <w:tcBorders>
              <w:top w:val="single" w:sz="4" w:space="0" w:color="auto"/>
              <w:left w:val="nil"/>
              <w:bottom w:val="single" w:sz="4" w:space="0" w:color="auto"/>
              <w:right w:val="nil"/>
            </w:tcBorders>
          </w:tcPr>
          <w:p w14:paraId="6D72375B" w14:textId="77777777" w:rsidR="00A93442" w:rsidRDefault="00A93442">
            <w:pPr>
              <w:jc w:val="both"/>
              <w:rPr>
                <w:rFonts w:ascii="Times New Roman" w:hAnsi="Times New Roman" w:cs="Times New Roman"/>
                <w:sz w:val="24"/>
                <w:szCs w:val="24"/>
              </w:rPr>
            </w:pPr>
          </w:p>
        </w:tc>
        <w:tc>
          <w:tcPr>
            <w:tcW w:w="661" w:type="dxa"/>
            <w:tcBorders>
              <w:top w:val="single" w:sz="4" w:space="0" w:color="auto"/>
              <w:left w:val="nil"/>
              <w:bottom w:val="single" w:sz="4" w:space="0" w:color="auto"/>
              <w:right w:val="nil"/>
            </w:tcBorders>
          </w:tcPr>
          <w:p w14:paraId="51C29CB0" w14:textId="77777777" w:rsidR="00A93442" w:rsidRDefault="00A93442">
            <w:pPr>
              <w:jc w:val="both"/>
              <w:rPr>
                <w:rFonts w:ascii="Times New Roman" w:hAnsi="Times New Roman" w:cs="Times New Roman"/>
                <w:sz w:val="24"/>
                <w:szCs w:val="24"/>
              </w:rPr>
            </w:pPr>
          </w:p>
        </w:tc>
        <w:tc>
          <w:tcPr>
            <w:tcW w:w="702" w:type="dxa"/>
            <w:tcBorders>
              <w:top w:val="single" w:sz="4" w:space="0" w:color="auto"/>
              <w:left w:val="nil"/>
              <w:bottom w:val="single" w:sz="4" w:space="0" w:color="auto"/>
              <w:right w:val="nil"/>
            </w:tcBorders>
          </w:tcPr>
          <w:p w14:paraId="3201E4E1" w14:textId="77777777" w:rsidR="00A93442" w:rsidRDefault="00A93442">
            <w:pPr>
              <w:jc w:val="both"/>
              <w:rPr>
                <w:rFonts w:ascii="Times New Roman" w:hAnsi="Times New Roman" w:cs="Times New Roman"/>
                <w:sz w:val="24"/>
                <w:szCs w:val="24"/>
              </w:rPr>
            </w:pPr>
          </w:p>
        </w:tc>
      </w:tr>
      <w:tr w:rsidR="00A93442" w14:paraId="0D0C27D2" w14:textId="77777777">
        <w:trPr>
          <w:trHeight w:val="751"/>
        </w:trPr>
        <w:tc>
          <w:tcPr>
            <w:tcW w:w="823" w:type="dxa"/>
            <w:tcBorders>
              <w:top w:val="single" w:sz="4" w:space="0" w:color="auto"/>
              <w:left w:val="nil"/>
              <w:bottom w:val="nil"/>
              <w:right w:val="nil"/>
            </w:tcBorders>
          </w:tcPr>
          <w:p w14:paraId="2721EA6F"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ABO Setup</w:t>
            </w:r>
          </w:p>
        </w:tc>
        <w:tc>
          <w:tcPr>
            <w:tcW w:w="1117" w:type="dxa"/>
            <w:tcBorders>
              <w:top w:val="single" w:sz="4" w:space="0" w:color="auto"/>
              <w:left w:val="nil"/>
              <w:bottom w:val="nil"/>
              <w:right w:val="nil"/>
            </w:tcBorders>
          </w:tcPr>
          <w:p w14:paraId="5B2B6E0D"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No</w:t>
            </w:r>
          </w:p>
        </w:tc>
        <w:tc>
          <w:tcPr>
            <w:tcW w:w="822" w:type="dxa"/>
            <w:tcBorders>
              <w:top w:val="single" w:sz="4" w:space="0" w:color="auto"/>
              <w:left w:val="nil"/>
              <w:bottom w:val="nil"/>
              <w:right w:val="nil"/>
            </w:tcBorders>
          </w:tcPr>
          <w:p w14:paraId="2C29DEBC"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0.516</w:t>
            </w:r>
          </w:p>
        </w:tc>
        <w:tc>
          <w:tcPr>
            <w:tcW w:w="882" w:type="dxa"/>
            <w:tcBorders>
              <w:top w:val="single" w:sz="4" w:space="0" w:color="auto"/>
              <w:left w:val="nil"/>
              <w:bottom w:val="nil"/>
              <w:right w:val="nil"/>
            </w:tcBorders>
          </w:tcPr>
          <w:p w14:paraId="5D52AF5B"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0.8235</w:t>
            </w:r>
          </w:p>
        </w:tc>
        <w:tc>
          <w:tcPr>
            <w:tcW w:w="863" w:type="dxa"/>
            <w:tcBorders>
              <w:top w:val="single" w:sz="4" w:space="0" w:color="auto"/>
              <w:left w:val="nil"/>
              <w:bottom w:val="nil"/>
              <w:right w:val="nil"/>
            </w:tcBorders>
          </w:tcPr>
          <w:p w14:paraId="481E26D3"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0.464</w:t>
            </w:r>
          </w:p>
        </w:tc>
        <w:tc>
          <w:tcPr>
            <w:tcW w:w="863" w:type="dxa"/>
            <w:tcBorders>
              <w:top w:val="single" w:sz="4" w:space="0" w:color="auto"/>
              <w:left w:val="nil"/>
              <w:bottom w:val="nil"/>
              <w:right w:val="nil"/>
            </w:tcBorders>
          </w:tcPr>
          <w:p w14:paraId="47C454A7"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0.568</w:t>
            </w:r>
          </w:p>
        </w:tc>
        <w:tc>
          <w:tcPr>
            <w:tcW w:w="849" w:type="dxa"/>
            <w:tcBorders>
              <w:top w:val="single" w:sz="4" w:space="0" w:color="auto"/>
              <w:left w:val="nil"/>
              <w:bottom w:val="nil"/>
              <w:right w:val="nil"/>
            </w:tcBorders>
          </w:tcPr>
          <w:p w14:paraId="51F06900"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0.38</w:t>
            </w:r>
          </w:p>
        </w:tc>
        <w:tc>
          <w:tcPr>
            <w:tcW w:w="1252" w:type="dxa"/>
            <w:tcBorders>
              <w:top w:val="single" w:sz="4" w:space="0" w:color="auto"/>
              <w:left w:val="nil"/>
              <w:bottom w:val="nil"/>
              <w:right w:val="nil"/>
            </w:tcBorders>
          </w:tcPr>
          <w:p w14:paraId="0EF91924"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56.25</w:t>
            </w:r>
          </w:p>
        </w:tc>
        <w:tc>
          <w:tcPr>
            <w:tcW w:w="1265" w:type="dxa"/>
            <w:tcBorders>
              <w:top w:val="single" w:sz="4" w:space="0" w:color="auto"/>
              <w:left w:val="nil"/>
              <w:bottom w:val="nil"/>
              <w:right w:val="nil"/>
            </w:tcBorders>
          </w:tcPr>
          <w:p w14:paraId="05464263"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47.91</w:t>
            </w:r>
          </w:p>
        </w:tc>
        <w:tc>
          <w:tcPr>
            <w:tcW w:w="661" w:type="dxa"/>
            <w:tcBorders>
              <w:top w:val="single" w:sz="4" w:space="0" w:color="auto"/>
              <w:left w:val="nil"/>
              <w:bottom w:val="nil"/>
              <w:right w:val="nil"/>
            </w:tcBorders>
          </w:tcPr>
          <w:p w14:paraId="736D8E4D"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4.6</w:t>
            </w:r>
          </w:p>
        </w:tc>
        <w:tc>
          <w:tcPr>
            <w:tcW w:w="702" w:type="dxa"/>
            <w:tcBorders>
              <w:top w:val="single" w:sz="4" w:space="0" w:color="auto"/>
              <w:left w:val="nil"/>
              <w:bottom w:val="nil"/>
              <w:right w:val="nil"/>
            </w:tcBorders>
          </w:tcPr>
          <w:p w14:paraId="4CF924F8"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96.1</w:t>
            </w:r>
          </w:p>
        </w:tc>
      </w:tr>
      <w:tr w:rsidR="00A93442" w14:paraId="558DE0E5" w14:textId="77777777">
        <w:trPr>
          <w:trHeight w:val="513"/>
        </w:trPr>
        <w:tc>
          <w:tcPr>
            <w:tcW w:w="823" w:type="dxa"/>
          </w:tcPr>
          <w:p w14:paraId="26606215" w14:textId="77777777" w:rsidR="00A93442" w:rsidRDefault="00A93442">
            <w:pPr>
              <w:jc w:val="both"/>
              <w:rPr>
                <w:rFonts w:ascii="Times New Roman" w:hAnsi="Times New Roman" w:cs="Times New Roman"/>
                <w:sz w:val="24"/>
                <w:szCs w:val="24"/>
              </w:rPr>
            </w:pPr>
          </w:p>
        </w:tc>
        <w:tc>
          <w:tcPr>
            <w:tcW w:w="1117" w:type="dxa"/>
          </w:tcPr>
          <w:p w14:paraId="5A9F7B58"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Yes</w:t>
            </w:r>
          </w:p>
        </w:tc>
        <w:tc>
          <w:tcPr>
            <w:tcW w:w="822" w:type="dxa"/>
          </w:tcPr>
          <w:p w14:paraId="334BD641"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0.609</w:t>
            </w:r>
          </w:p>
        </w:tc>
        <w:tc>
          <w:tcPr>
            <w:tcW w:w="882" w:type="dxa"/>
          </w:tcPr>
          <w:p w14:paraId="7F675C0B"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0.355</w:t>
            </w:r>
          </w:p>
        </w:tc>
        <w:tc>
          <w:tcPr>
            <w:tcW w:w="863" w:type="dxa"/>
          </w:tcPr>
          <w:p w14:paraId="3B43096F"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0.504</w:t>
            </w:r>
          </w:p>
        </w:tc>
        <w:tc>
          <w:tcPr>
            <w:tcW w:w="863" w:type="dxa"/>
          </w:tcPr>
          <w:p w14:paraId="15CDAF7C"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0.707</w:t>
            </w:r>
          </w:p>
        </w:tc>
        <w:tc>
          <w:tcPr>
            <w:tcW w:w="849" w:type="dxa"/>
          </w:tcPr>
          <w:p w14:paraId="0ED1D874"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0.38</w:t>
            </w:r>
          </w:p>
        </w:tc>
        <w:tc>
          <w:tcPr>
            <w:tcW w:w="1252" w:type="dxa"/>
          </w:tcPr>
          <w:p w14:paraId="23699AA8"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75</w:t>
            </w:r>
          </w:p>
        </w:tc>
        <w:tc>
          <w:tcPr>
            <w:tcW w:w="1265" w:type="dxa"/>
          </w:tcPr>
          <w:p w14:paraId="255EE192"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43.48</w:t>
            </w:r>
          </w:p>
        </w:tc>
        <w:tc>
          <w:tcPr>
            <w:tcW w:w="661" w:type="dxa"/>
          </w:tcPr>
          <w:p w14:paraId="44005CE7"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5.5</w:t>
            </w:r>
          </w:p>
        </w:tc>
        <w:tc>
          <w:tcPr>
            <w:tcW w:w="702" w:type="dxa"/>
          </w:tcPr>
          <w:p w14:paraId="5CF8F2F7"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97.6</w:t>
            </w:r>
          </w:p>
        </w:tc>
      </w:tr>
      <w:tr w:rsidR="00A93442" w14:paraId="694A7B02" w14:textId="77777777">
        <w:trPr>
          <w:trHeight w:val="247"/>
        </w:trPr>
        <w:tc>
          <w:tcPr>
            <w:tcW w:w="823" w:type="dxa"/>
          </w:tcPr>
          <w:p w14:paraId="3EF99200" w14:textId="77777777" w:rsidR="00A93442" w:rsidRDefault="00A93442">
            <w:pPr>
              <w:jc w:val="both"/>
              <w:rPr>
                <w:rFonts w:ascii="Times New Roman" w:hAnsi="Times New Roman" w:cs="Times New Roman"/>
                <w:sz w:val="24"/>
                <w:szCs w:val="24"/>
              </w:rPr>
            </w:pPr>
          </w:p>
        </w:tc>
        <w:tc>
          <w:tcPr>
            <w:tcW w:w="1117" w:type="dxa"/>
          </w:tcPr>
          <w:p w14:paraId="0762D78E" w14:textId="77777777" w:rsidR="00A93442" w:rsidRDefault="00A93442">
            <w:pPr>
              <w:jc w:val="both"/>
              <w:rPr>
                <w:rFonts w:ascii="Times New Roman" w:hAnsi="Times New Roman" w:cs="Times New Roman"/>
                <w:sz w:val="24"/>
                <w:szCs w:val="24"/>
              </w:rPr>
            </w:pPr>
          </w:p>
        </w:tc>
        <w:tc>
          <w:tcPr>
            <w:tcW w:w="822" w:type="dxa"/>
          </w:tcPr>
          <w:p w14:paraId="75F415FC" w14:textId="77777777" w:rsidR="00A93442" w:rsidRDefault="00A93442">
            <w:pPr>
              <w:jc w:val="both"/>
              <w:rPr>
                <w:rFonts w:ascii="Times New Roman" w:hAnsi="Times New Roman" w:cs="Times New Roman"/>
                <w:sz w:val="24"/>
                <w:szCs w:val="24"/>
              </w:rPr>
            </w:pPr>
          </w:p>
        </w:tc>
        <w:tc>
          <w:tcPr>
            <w:tcW w:w="882" w:type="dxa"/>
          </w:tcPr>
          <w:p w14:paraId="2FFC559D" w14:textId="77777777" w:rsidR="00A93442" w:rsidRDefault="00A93442">
            <w:pPr>
              <w:jc w:val="both"/>
              <w:rPr>
                <w:rFonts w:ascii="Times New Roman" w:hAnsi="Times New Roman" w:cs="Times New Roman"/>
                <w:sz w:val="24"/>
                <w:szCs w:val="24"/>
              </w:rPr>
            </w:pPr>
          </w:p>
        </w:tc>
        <w:tc>
          <w:tcPr>
            <w:tcW w:w="863" w:type="dxa"/>
          </w:tcPr>
          <w:p w14:paraId="7E6D459E" w14:textId="77777777" w:rsidR="00A93442" w:rsidRDefault="00A93442">
            <w:pPr>
              <w:jc w:val="both"/>
              <w:rPr>
                <w:rFonts w:ascii="Times New Roman" w:hAnsi="Times New Roman" w:cs="Times New Roman"/>
                <w:sz w:val="24"/>
                <w:szCs w:val="24"/>
              </w:rPr>
            </w:pPr>
          </w:p>
        </w:tc>
        <w:tc>
          <w:tcPr>
            <w:tcW w:w="863" w:type="dxa"/>
          </w:tcPr>
          <w:p w14:paraId="4114B995" w14:textId="77777777" w:rsidR="00A93442" w:rsidRDefault="00A93442">
            <w:pPr>
              <w:jc w:val="both"/>
              <w:rPr>
                <w:rFonts w:ascii="Times New Roman" w:hAnsi="Times New Roman" w:cs="Times New Roman"/>
                <w:sz w:val="24"/>
                <w:szCs w:val="24"/>
              </w:rPr>
            </w:pPr>
          </w:p>
        </w:tc>
        <w:tc>
          <w:tcPr>
            <w:tcW w:w="849" w:type="dxa"/>
          </w:tcPr>
          <w:p w14:paraId="53205448" w14:textId="77777777" w:rsidR="00A93442" w:rsidRDefault="00A93442">
            <w:pPr>
              <w:jc w:val="both"/>
              <w:rPr>
                <w:rFonts w:ascii="Times New Roman" w:hAnsi="Times New Roman" w:cs="Times New Roman"/>
                <w:sz w:val="24"/>
                <w:szCs w:val="24"/>
              </w:rPr>
            </w:pPr>
          </w:p>
        </w:tc>
        <w:tc>
          <w:tcPr>
            <w:tcW w:w="1252" w:type="dxa"/>
          </w:tcPr>
          <w:p w14:paraId="1A4E2F1E" w14:textId="77777777" w:rsidR="00A93442" w:rsidRDefault="00A93442">
            <w:pPr>
              <w:jc w:val="both"/>
              <w:rPr>
                <w:rFonts w:ascii="Times New Roman" w:hAnsi="Times New Roman" w:cs="Times New Roman"/>
                <w:sz w:val="24"/>
                <w:szCs w:val="24"/>
              </w:rPr>
            </w:pPr>
          </w:p>
        </w:tc>
        <w:tc>
          <w:tcPr>
            <w:tcW w:w="1265" w:type="dxa"/>
          </w:tcPr>
          <w:p w14:paraId="44724706" w14:textId="77777777" w:rsidR="00A93442" w:rsidRDefault="00A93442">
            <w:pPr>
              <w:jc w:val="both"/>
              <w:rPr>
                <w:rFonts w:ascii="Times New Roman" w:hAnsi="Times New Roman" w:cs="Times New Roman"/>
                <w:sz w:val="24"/>
                <w:szCs w:val="24"/>
              </w:rPr>
            </w:pPr>
          </w:p>
        </w:tc>
        <w:tc>
          <w:tcPr>
            <w:tcW w:w="661" w:type="dxa"/>
          </w:tcPr>
          <w:p w14:paraId="6F1B82B3" w14:textId="77777777" w:rsidR="00A93442" w:rsidRDefault="00A93442">
            <w:pPr>
              <w:jc w:val="both"/>
              <w:rPr>
                <w:rFonts w:ascii="Times New Roman" w:hAnsi="Times New Roman" w:cs="Times New Roman"/>
                <w:sz w:val="24"/>
                <w:szCs w:val="24"/>
              </w:rPr>
            </w:pPr>
          </w:p>
        </w:tc>
        <w:tc>
          <w:tcPr>
            <w:tcW w:w="702" w:type="dxa"/>
          </w:tcPr>
          <w:p w14:paraId="0D71FED9" w14:textId="77777777" w:rsidR="00A93442" w:rsidRDefault="00A93442">
            <w:pPr>
              <w:jc w:val="both"/>
              <w:rPr>
                <w:rFonts w:ascii="Times New Roman" w:hAnsi="Times New Roman" w:cs="Times New Roman"/>
                <w:sz w:val="24"/>
                <w:szCs w:val="24"/>
              </w:rPr>
            </w:pPr>
          </w:p>
        </w:tc>
      </w:tr>
      <w:tr w:rsidR="00A93442" w14:paraId="2F81B2B8" w14:textId="77777777">
        <w:trPr>
          <w:trHeight w:val="1016"/>
        </w:trPr>
        <w:tc>
          <w:tcPr>
            <w:tcW w:w="823" w:type="dxa"/>
          </w:tcPr>
          <w:p w14:paraId="695DF40F"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G6PD Assay</w:t>
            </w:r>
          </w:p>
        </w:tc>
        <w:tc>
          <w:tcPr>
            <w:tcW w:w="1117" w:type="dxa"/>
          </w:tcPr>
          <w:p w14:paraId="5468D8B6"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Normal</w:t>
            </w:r>
          </w:p>
        </w:tc>
        <w:tc>
          <w:tcPr>
            <w:tcW w:w="822" w:type="dxa"/>
          </w:tcPr>
          <w:p w14:paraId="554EA238"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0.534</w:t>
            </w:r>
          </w:p>
        </w:tc>
        <w:tc>
          <w:tcPr>
            <w:tcW w:w="882" w:type="dxa"/>
          </w:tcPr>
          <w:p w14:paraId="44B231F5"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0.610</w:t>
            </w:r>
          </w:p>
        </w:tc>
        <w:tc>
          <w:tcPr>
            <w:tcW w:w="863" w:type="dxa"/>
          </w:tcPr>
          <w:p w14:paraId="03336843"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0.481</w:t>
            </w:r>
          </w:p>
        </w:tc>
        <w:tc>
          <w:tcPr>
            <w:tcW w:w="863" w:type="dxa"/>
          </w:tcPr>
          <w:p w14:paraId="6633872A"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0.587</w:t>
            </w:r>
          </w:p>
        </w:tc>
        <w:tc>
          <w:tcPr>
            <w:tcW w:w="849" w:type="dxa"/>
          </w:tcPr>
          <w:p w14:paraId="61D53245"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0.38</w:t>
            </w:r>
          </w:p>
        </w:tc>
        <w:tc>
          <w:tcPr>
            <w:tcW w:w="1252" w:type="dxa"/>
          </w:tcPr>
          <w:p w14:paraId="4AF67402"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62.5</w:t>
            </w:r>
          </w:p>
        </w:tc>
        <w:tc>
          <w:tcPr>
            <w:tcW w:w="1265" w:type="dxa"/>
          </w:tcPr>
          <w:p w14:paraId="6BCD3CA0"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47.38</w:t>
            </w:r>
          </w:p>
        </w:tc>
        <w:tc>
          <w:tcPr>
            <w:tcW w:w="661" w:type="dxa"/>
          </w:tcPr>
          <w:p w14:paraId="3B9BC667"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5.2</w:t>
            </w:r>
          </w:p>
        </w:tc>
        <w:tc>
          <w:tcPr>
            <w:tcW w:w="702" w:type="dxa"/>
          </w:tcPr>
          <w:p w14:paraId="6217360E"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96.4</w:t>
            </w:r>
          </w:p>
        </w:tc>
      </w:tr>
      <w:tr w:rsidR="00A93442" w14:paraId="7657020D" w14:textId="77777777">
        <w:trPr>
          <w:trHeight w:val="494"/>
        </w:trPr>
        <w:tc>
          <w:tcPr>
            <w:tcW w:w="823" w:type="dxa"/>
            <w:tcBorders>
              <w:top w:val="nil"/>
              <w:left w:val="nil"/>
              <w:bottom w:val="single" w:sz="4" w:space="0" w:color="auto"/>
              <w:right w:val="nil"/>
            </w:tcBorders>
          </w:tcPr>
          <w:p w14:paraId="1DB20B72" w14:textId="77777777" w:rsidR="00A93442" w:rsidRDefault="00A93442">
            <w:pPr>
              <w:jc w:val="both"/>
              <w:rPr>
                <w:rFonts w:ascii="Times New Roman" w:hAnsi="Times New Roman" w:cs="Times New Roman"/>
                <w:sz w:val="24"/>
                <w:szCs w:val="24"/>
              </w:rPr>
            </w:pPr>
          </w:p>
        </w:tc>
        <w:tc>
          <w:tcPr>
            <w:tcW w:w="1117" w:type="dxa"/>
            <w:tcBorders>
              <w:top w:val="nil"/>
              <w:left w:val="nil"/>
              <w:bottom w:val="single" w:sz="4" w:space="0" w:color="auto"/>
              <w:right w:val="nil"/>
            </w:tcBorders>
          </w:tcPr>
          <w:p w14:paraId="526DDCA5"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Deficient</w:t>
            </w:r>
          </w:p>
        </w:tc>
        <w:tc>
          <w:tcPr>
            <w:tcW w:w="822" w:type="dxa"/>
            <w:tcBorders>
              <w:top w:val="nil"/>
              <w:left w:val="nil"/>
              <w:bottom w:val="single" w:sz="4" w:space="0" w:color="auto"/>
              <w:right w:val="nil"/>
            </w:tcBorders>
          </w:tcPr>
          <w:p w14:paraId="5BB683AD"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0.540</w:t>
            </w:r>
          </w:p>
        </w:tc>
        <w:tc>
          <w:tcPr>
            <w:tcW w:w="882" w:type="dxa"/>
            <w:tcBorders>
              <w:top w:val="nil"/>
              <w:left w:val="nil"/>
              <w:bottom w:val="single" w:sz="4" w:space="0" w:color="auto"/>
              <w:right w:val="nil"/>
            </w:tcBorders>
          </w:tcPr>
          <w:p w14:paraId="03E6669B"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0.843</w:t>
            </w:r>
          </w:p>
        </w:tc>
        <w:tc>
          <w:tcPr>
            <w:tcW w:w="863" w:type="dxa"/>
            <w:tcBorders>
              <w:top w:val="nil"/>
              <w:left w:val="nil"/>
              <w:bottom w:val="single" w:sz="4" w:space="0" w:color="auto"/>
              <w:right w:val="nil"/>
            </w:tcBorders>
          </w:tcPr>
          <w:p w14:paraId="38FB0B38"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0.443</w:t>
            </w:r>
          </w:p>
        </w:tc>
        <w:tc>
          <w:tcPr>
            <w:tcW w:w="863" w:type="dxa"/>
            <w:tcBorders>
              <w:top w:val="nil"/>
              <w:left w:val="nil"/>
              <w:bottom w:val="single" w:sz="4" w:space="0" w:color="auto"/>
              <w:right w:val="nil"/>
            </w:tcBorders>
          </w:tcPr>
          <w:p w14:paraId="11EA450E"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0.635</w:t>
            </w:r>
          </w:p>
        </w:tc>
        <w:tc>
          <w:tcPr>
            <w:tcW w:w="849" w:type="dxa"/>
            <w:tcBorders>
              <w:top w:val="nil"/>
              <w:left w:val="nil"/>
              <w:bottom w:val="single" w:sz="4" w:space="0" w:color="auto"/>
              <w:right w:val="nil"/>
            </w:tcBorders>
          </w:tcPr>
          <w:p w14:paraId="6367D82A"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0.38</w:t>
            </w:r>
          </w:p>
        </w:tc>
        <w:tc>
          <w:tcPr>
            <w:tcW w:w="1252" w:type="dxa"/>
            <w:tcBorders>
              <w:top w:val="nil"/>
              <w:left w:val="nil"/>
              <w:bottom w:val="single" w:sz="4" w:space="0" w:color="auto"/>
              <w:right w:val="nil"/>
            </w:tcBorders>
          </w:tcPr>
          <w:p w14:paraId="21DCB84C"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50.0</w:t>
            </w:r>
          </w:p>
        </w:tc>
        <w:tc>
          <w:tcPr>
            <w:tcW w:w="1265" w:type="dxa"/>
            <w:tcBorders>
              <w:top w:val="nil"/>
              <w:left w:val="nil"/>
              <w:bottom w:val="single" w:sz="4" w:space="0" w:color="auto"/>
              <w:right w:val="nil"/>
            </w:tcBorders>
          </w:tcPr>
          <w:p w14:paraId="2B970ACF"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45.79</w:t>
            </w:r>
          </w:p>
        </w:tc>
        <w:tc>
          <w:tcPr>
            <w:tcW w:w="661" w:type="dxa"/>
            <w:tcBorders>
              <w:top w:val="nil"/>
              <w:left w:val="nil"/>
              <w:bottom w:val="single" w:sz="4" w:space="0" w:color="auto"/>
              <w:right w:val="nil"/>
            </w:tcBorders>
          </w:tcPr>
          <w:p w14:paraId="5C8680D0"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3.3</w:t>
            </w:r>
          </w:p>
        </w:tc>
        <w:tc>
          <w:tcPr>
            <w:tcW w:w="702" w:type="dxa"/>
            <w:tcBorders>
              <w:top w:val="nil"/>
              <w:left w:val="nil"/>
              <w:bottom w:val="single" w:sz="4" w:space="0" w:color="auto"/>
              <w:right w:val="nil"/>
            </w:tcBorders>
          </w:tcPr>
          <w:p w14:paraId="2F088EB2"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96.1</w:t>
            </w:r>
          </w:p>
        </w:tc>
      </w:tr>
    </w:tbl>
    <w:p w14:paraId="02F6A031" w14:textId="77777777" w:rsidR="00A93442" w:rsidRDefault="00A93442">
      <w:pPr>
        <w:jc w:val="both"/>
        <w:rPr>
          <w:rFonts w:ascii="Times New Roman" w:hAnsi="Times New Roman" w:cs="Times New Roman"/>
          <w:b/>
          <w:bCs/>
          <w:sz w:val="24"/>
          <w:szCs w:val="24"/>
        </w:rPr>
      </w:pPr>
    </w:p>
    <w:p w14:paraId="4A6C27D4" w14:textId="77777777" w:rsidR="00A93442"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 xml:space="preserve">Discussion </w:t>
      </w:r>
    </w:p>
    <w:p w14:paraId="3240DA6B" w14:textId="77777777" w:rsidR="00A93442"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Significant Neonatal Hyperbilirubinemia (≥ 12mg/dl) was observed in 20 neonates 72hours of life given a prevalence of 4.2% in this study lower compared to </w:t>
      </w:r>
      <w:r>
        <w:rPr>
          <w:rFonts w:ascii="Times New Roman" w:hAnsi="Times New Roman" w:cs="Times New Roman"/>
          <w:color w:val="000000"/>
          <w:sz w:val="24"/>
          <w:szCs w:val="24"/>
          <w:shd w:val="clear" w:color="auto" w:fill="FFFFFF"/>
        </w:rPr>
        <w:t>a prevalence of 15%</w:t>
      </w:r>
      <w:r>
        <w:rPr>
          <w:rFonts w:ascii="Times New Roman" w:hAnsi="Times New Roman" w:cs="Times New Roman"/>
          <w:color w:val="000000"/>
          <w:sz w:val="24"/>
          <w:szCs w:val="24"/>
          <w:shd w:val="clear" w:color="auto" w:fill="FFFFFF"/>
          <w:vertAlign w:val="superscript"/>
        </w:rPr>
        <w:t>11</w:t>
      </w:r>
      <w:r>
        <w:rPr>
          <w:rFonts w:ascii="Times New Roman" w:hAnsi="Times New Roman" w:cs="Times New Roman"/>
          <w:color w:val="000000"/>
          <w:sz w:val="24"/>
          <w:szCs w:val="24"/>
        </w:rPr>
        <w:t xml:space="preserve"> from another study </w:t>
      </w:r>
      <w:r>
        <w:rPr>
          <w:rFonts w:ascii="Times New Roman" w:hAnsi="Times New Roman" w:cs="Times New Roman"/>
          <w:color w:val="000000"/>
          <w:sz w:val="24"/>
          <w:szCs w:val="24"/>
          <w:shd w:val="clear" w:color="auto" w:fill="FFFFFF"/>
        </w:rPr>
        <w:t>in a tertiary hospital in Southwestern Nigeria. This wide disparity could be due to difference in sample size for respective studies. A scoping review of neonatal jaundice between 1960–2014 found that one in five neonatal admissions were due to significant neonatal hyperbilirubinemia.</w:t>
      </w:r>
      <w:r>
        <w:rPr>
          <w:rFonts w:ascii="Times New Roman" w:hAnsi="Times New Roman" w:cs="Times New Roman"/>
          <w:color w:val="000000"/>
          <w:sz w:val="24"/>
          <w:szCs w:val="24"/>
          <w:shd w:val="clear" w:color="auto" w:fill="FFFFFF"/>
          <w:vertAlign w:val="superscript"/>
        </w:rPr>
        <w:t>12</w:t>
      </w:r>
      <w:r>
        <w:rPr>
          <w:rFonts w:ascii="Times New Roman" w:hAnsi="Times New Roman" w:cs="Times New Roman"/>
          <w:color w:val="000000"/>
          <w:sz w:val="24"/>
          <w:szCs w:val="24"/>
          <w:shd w:val="clear" w:color="auto" w:fill="FFFFFF"/>
        </w:rPr>
        <w:t xml:space="preserve">The leading causes of </w:t>
      </w:r>
      <w:r>
        <w:rPr>
          <w:rFonts w:ascii="Times New Roman" w:hAnsi="Times New Roman" w:cs="Times New Roman"/>
          <w:color w:val="000000"/>
          <w:sz w:val="24"/>
          <w:szCs w:val="24"/>
        </w:rPr>
        <w:t>Significant Neonatal Hyperbilirubinemia</w:t>
      </w:r>
      <w:r>
        <w:rPr>
          <w:rFonts w:ascii="Times New Roman" w:hAnsi="Times New Roman" w:cs="Times New Roman"/>
          <w:color w:val="000000"/>
          <w:sz w:val="24"/>
          <w:szCs w:val="24"/>
          <w:shd w:val="clear" w:color="auto" w:fill="FFFFFF"/>
        </w:rPr>
        <w:t xml:space="preserve"> reported were G6PD deficiency, ABO incompatibility, sepsis and prematurity/low birth weight, singly or in combination.</w:t>
      </w:r>
      <w:r>
        <w:rPr>
          <w:rFonts w:ascii="Times New Roman" w:hAnsi="Times New Roman" w:cs="Times New Roman"/>
          <w:color w:val="000000"/>
          <w:sz w:val="24"/>
          <w:szCs w:val="24"/>
          <w:shd w:val="clear" w:color="auto" w:fill="FFFFFF"/>
          <w:vertAlign w:val="superscript"/>
        </w:rPr>
        <w:t>12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t xml:space="preserve"> </w:t>
      </w:r>
    </w:p>
    <w:p w14:paraId="7D0802A6" w14:textId="77777777" w:rsidR="00A93442" w:rsidRDefault="00000000">
      <w:p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However G6PD deficiency was the leading cause in the vast majority of the studies.</w:t>
      </w:r>
      <w:r>
        <w:rPr>
          <w:rFonts w:ascii="Times New Roman" w:hAnsi="Times New Roman" w:cs="Times New Roman"/>
          <w:color w:val="000000"/>
          <w:sz w:val="24"/>
          <w:szCs w:val="24"/>
        </w:rPr>
        <w:t xml:space="preserve"> Findings from index study revealed a prevalence of G6PD deficiency at 23.5%, of which only 3.6% have hyperbilirubinemia. The prevalence of G6PD deficiency has been reported in various studies. Williams et al.,</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 xml:space="preserve"> in a study of glucose-6-phosphate dehydrogenase deficiency in Nigerian children reported overall prevalence of 15.3%</w:t>
      </w:r>
      <w:r>
        <w:rPr>
          <w:rFonts w:ascii="Times New Roman" w:hAnsi="Times New Roman" w:cs="Times New Roman"/>
          <w:color w:val="000000"/>
          <w:sz w:val="24"/>
          <w:szCs w:val="24"/>
          <w:vertAlign w:val="superscript"/>
        </w:rPr>
        <w:t xml:space="preserve"> </w:t>
      </w:r>
      <w:r>
        <w:rPr>
          <w:rFonts w:ascii="Times New Roman" w:hAnsi="Times New Roman" w:cs="Times New Roman"/>
          <w:color w:val="000000"/>
          <w:sz w:val="24"/>
          <w:szCs w:val="24"/>
        </w:rPr>
        <w:t>lower than our findings while a similar study among children at the emergency unit of Usmanu Danfodiyo University Teaching Hospital, Sokoto reported a prevalence of 14.4%, with predominance of male affectation.</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xml:space="preserve"> A prevalence of 47.7% was found among jaundiced neonate in an Oshogbo study</w:t>
      </w:r>
      <w:r>
        <w:rPr>
          <w:rFonts w:ascii="Times New Roman" w:hAnsi="Times New Roman" w:cs="Times New Roman"/>
          <w:color w:val="000000"/>
          <w:sz w:val="24"/>
          <w:szCs w:val="24"/>
          <w:vertAlign w:val="superscript"/>
        </w:rPr>
        <w:t>6</w:t>
      </w:r>
      <w:r>
        <w:rPr>
          <w:rFonts w:ascii="Times New Roman" w:hAnsi="Times New Roman" w:cs="Times New Roman"/>
          <w:color w:val="000000"/>
          <w:sz w:val="24"/>
          <w:szCs w:val="24"/>
        </w:rPr>
        <w:t xml:space="preserve"> which in contrast </w:t>
      </w:r>
      <w:r>
        <w:rPr>
          <w:rFonts w:ascii="Times New Roman" w:hAnsi="Times New Roman" w:cs="Times New Roman"/>
          <w:sz w:val="24"/>
          <w:szCs w:val="24"/>
        </w:rPr>
        <w:t>to our findings.</w:t>
      </w:r>
    </w:p>
    <w:p w14:paraId="375A9AF5"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 xml:space="preserve">Also, ABO incompatibility prevalence of 20.3% was observed from the total subjects, among which the majority had normo-bilirubinemia and only 4.2% had hyperbilirubinemia. Although ABO incompatibilities remain an important risk factor to developing jaundice however a poor predictor of significant hyperbilirubinemia. </w:t>
      </w:r>
    </w:p>
    <w:p w14:paraId="29F77E33"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Furthermore, there was no correlation between ABO Setup, G6PD Status, and development of significant Neonatal Hyperbilirubinemia at follow-up. The effect of G6PD Status on prediction of significant neonatal hyperbilirubinemia shows that Neonates without G6PD Deficiency have higher sensitivity and specificity compared to those with G6PD Deficiency. Also, neonates with ABO incompatibility shows increased sensitivity and reduced specificity compared to those without.</w:t>
      </w:r>
    </w:p>
    <w:p w14:paraId="16B13229"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study explored the effect of ABO and G6PD status in predicting significant hyperbilirubinemia, however G6PD status of the babies did not predict significant hyperbilirubinaemia at follow up. This could be attributed to the difference in the pathogenesis of significant hyperbilirubinaemia in ABO incompatible and G6PD deficient neonates. In ABO incompatible neonates, preformed maternal immunoglobulin-G (Ig-G) cross the placenta to hemolyze fetal red blood cells in utero, while significant hyperbilirubinaemia in G6PD deficient babies results mainly because of exposure to icterogenic agents in the post-natal period. </w:t>
      </w:r>
    </w:p>
    <w:p w14:paraId="26DE1B40" w14:textId="77777777" w:rsidR="00A93442" w:rsidRDefault="00000000" w:rsidP="00AD733A">
      <w:pPr>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highlight w:val="yellow"/>
        </w:rPr>
        <w:t xml:space="preserve">A  short fall of the follow-up time of assaying  hyperbilirubinaemia is that the population with mild enzymopathy might be missed, especially if there is no exposure to icterogenic agent within the period of the assessment. However those with moderate to severe enzymopathy may still present early because of their tendency to have spontaneous hemolysis, resulting in hyperbilirubinaemia. This implies that if the follow-up period is extended beyond 96 hours, there could be more neonates with significant hyperbilirubinemia due to G6PD deficiency and ABO set-up. Also, the study is a  </w:t>
      </w:r>
      <w:r>
        <w:rPr>
          <w:rFonts w:ascii="Times New Roman" w:eastAsia="Arial Unicode MS" w:hAnsi="Times New Roman" w:cs="Times New Roman"/>
          <w:bCs/>
          <w:sz w:val="24"/>
          <w:szCs w:val="24"/>
          <w:highlight w:val="yellow"/>
        </w:rPr>
        <w:lastRenderedPageBreak/>
        <w:t>hospital based and babies recruited were delivered to mother who attended ANC where they were educated on the dangers of newborn exposure to icterogenic agent. In the absence of such exposure, most of them with enzymopathy might not present with significant hyperbilirubinaemia throughout their neonatal period</w:t>
      </w:r>
      <w:r>
        <w:rPr>
          <w:rFonts w:ascii="Times New Roman" w:eastAsia="Arial Unicode MS" w:hAnsi="Times New Roman" w:cs="Times New Roman"/>
          <w:bCs/>
          <w:sz w:val="24"/>
          <w:szCs w:val="24"/>
        </w:rPr>
        <w:t xml:space="preserve"> </w:t>
      </w:r>
    </w:p>
    <w:p w14:paraId="31C81D40" w14:textId="77777777" w:rsidR="00A93442" w:rsidRDefault="00A93442">
      <w:pPr>
        <w:jc w:val="both"/>
        <w:rPr>
          <w:rFonts w:ascii="Times New Roman" w:hAnsi="Times New Roman" w:cs="Times New Roman"/>
          <w:sz w:val="24"/>
          <w:szCs w:val="24"/>
        </w:rPr>
      </w:pPr>
    </w:p>
    <w:p w14:paraId="6516E029" w14:textId="77777777" w:rsidR="00A93442"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39A282C6" w14:textId="77777777" w:rsidR="00A93442" w:rsidRDefault="00000000">
      <w:pPr>
        <w:jc w:val="both"/>
        <w:rPr>
          <w:rFonts w:ascii="Times New Roman" w:hAnsi="Times New Roman" w:cs="Times New Roman"/>
          <w:sz w:val="24"/>
          <w:szCs w:val="24"/>
        </w:rPr>
      </w:pPr>
      <w:r>
        <w:rPr>
          <w:rFonts w:ascii="Times New Roman" w:hAnsi="Times New Roman" w:cs="Times New Roman"/>
          <w:sz w:val="24"/>
          <w:szCs w:val="24"/>
        </w:rPr>
        <w:t>This study does not demonstrate association between ABO incompatibility setup; G6PD deficiency status and development of significant neonatal hyperbilirubinaemia (&gt;12mg/dl) within 72 and 96 hours postnatal follow up.</w:t>
      </w:r>
    </w:p>
    <w:p w14:paraId="2A7FC5C4" w14:textId="77777777" w:rsidR="00A93442" w:rsidRPr="00AD733A" w:rsidRDefault="00000000" w:rsidP="00AD733A">
      <w:pPr>
        <w:jc w:val="both"/>
        <w:rPr>
          <w:rFonts w:ascii="Times New Roman" w:hAnsi="Times New Roman" w:cs="Times New Roman"/>
          <w:b/>
          <w:bCs/>
          <w:sz w:val="24"/>
          <w:szCs w:val="24"/>
          <w:highlight w:val="yellow"/>
        </w:rPr>
      </w:pPr>
      <w:r w:rsidRPr="00AD733A">
        <w:rPr>
          <w:rFonts w:ascii="Times New Roman" w:hAnsi="Times New Roman" w:cs="Times New Roman"/>
          <w:b/>
          <w:bCs/>
          <w:sz w:val="24"/>
          <w:szCs w:val="24"/>
          <w:highlight w:val="yellow"/>
        </w:rPr>
        <w:t xml:space="preserve">Disclaimer </w:t>
      </w:r>
    </w:p>
    <w:p w14:paraId="02D2AFE5" w14:textId="30ECE9BE" w:rsidR="00A93442" w:rsidRDefault="00000000" w:rsidP="00AD733A">
      <w:pPr>
        <w:jc w:val="both"/>
        <w:rPr>
          <w:highlight w:val="yellow"/>
        </w:rPr>
      </w:pPr>
      <w:r w:rsidRPr="00AD733A">
        <w:rPr>
          <w:rFonts w:ascii="Times New Roman" w:hAnsi="Times New Roman" w:cs="Times New Roman"/>
          <w:sz w:val="24"/>
          <w:szCs w:val="24"/>
          <w:highlight w:val="yellow"/>
        </w:rPr>
        <w:t>Author(s) hereby declare</w:t>
      </w:r>
      <w:r w:rsidR="00C90865">
        <w:rPr>
          <w:rFonts w:ascii="Times New Roman" w:hAnsi="Times New Roman" w:cs="Times New Roman"/>
          <w:sz w:val="24"/>
          <w:szCs w:val="24"/>
          <w:highlight w:val="yellow"/>
        </w:rPr>
        <w:t>d</w:t>
      </w:r>
      <w:r w:rsidRPr="00AD733A">
        <w:rPr>
          <w:rFonts w:ascii="Times New Roman" w:hAnsi="Times New Roman" w:cs="Times New Roman"/>
          <w:sz w:val="24"/>
          <w:szCs w:val="24"/>
          <w:highlight w:val="yellow"/>
        </w:rPr>
        <w:t xml:space="preserve"> that NO generative AI technologies such as Large Language Models (ChatGPT, COPILOT, etc.) and text-to-image generators have been used during the writing or editing of this manuscript</w:t>
      </w:r>
      <w:r>
        <w:rPr>
          <w:highlight w:val="yellow"/>
        </w:rPr>
        <w:t xml:space="preserve">. </w:t>
      </w:r>
    </w:p>
    <w:p w14:paraId="67B2A6CD" w14:textId="77777777" w:rsidR="00A93442" w:rsidRDefault="00A93442"/>
    <w:p w14:paraId="4BB5F2AC" w14:textId="77777777" w:rsidR="00A93442" w:rsidRDefault="00A93442">
      <w:pPr>
        <w:jc w:val="both"/>
        <w:rPr>
          <w:rFonts w:ascii="Times New Roman" w:hAnsi="Times New Roman" w:cs="Times New Roman"/>
          <w:sz w:val="24"/>
          <w:szCs w:val="24"/>
        </w:rPr>
      </w:pPr>
    </w:p>
    <w:p w14:paraId="1E2B860E" w14:textId="77777777" w:rsidR="00A93442" w:rsidRDefault="00000000">
      <w:pPr>
        <w:rPr>
          <w:rFonts w:ascii="Times New Roman" w:hAnsi="Times New Roman" w:cs="Times New Roman"/>
          <w:sz w:val="24"/>
          <w:szCs w:val="24"/>
        </w:rPr>
      </w:pPr>
      <w:r>
        <w:rPr>
          <w:rFonts w:ascii="Times New Roman" w:hAnsi="Times New Roman" w:cs="Times New Roman"/>
          <w:sz w:val="24"/>
          <w:szCs w:val="24"/>
        </w:rPr>
        <w:br w:type="page"/>
      </w:r>
    </w:p>
    <w:p w14:paraId="06C28B33" w14:textId="77777777" w:rsidR="00A93442" w:rsidRDefault="00000000">
      <w:pPr>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w:t>
      </w:r>
    </w:p>
    <w:p w14:paraId="7062DB45" w14:textId="77777777" w:rsidR="00A93442" w:rsidRDefault="00000000">
      <w:pPr>
        <w:autoSpaceDE w:val="0"/>
        <w:autoSpaceDN w:val="0"/>
        <w:ind w:hanging="640"/>
        <w:rPr>
          <w:rFonts w:eastAsia="Times New Roman"/>
          <w:kern w:val="0"/>
          <w:sz w:val="24"/>
          <w:szCs w:val="24"/>
          <w14:ligatures w14:val="none"/>
        </w:rPr>
      </w:pPr>
      <w:r>
        <w:rPr>
          <w:rFonts w:eastAsia="Times New Roman"/>
        </w:rPr>
        <w:t xml:space="preserve">1. </w:t>
      </w:r>
      <w:r>
        <w:rPr>
          <w:rFonts w:eastAsia="Times New Roman"/>
        </w:rPr>
        <w:tab/>
        <w:t xml:space="preserve">Idi HT, Awwalu S, Abjah U, Babadoko AA, Hassan A, Mohammed BM, et al. Association of ABO neo-maternal incompatibility and neonatal jaundice in Nguru, Nigeria. Nigerian Journal of Basic and Clinical Sciences. 2019 Jan 1;16(1):51–4. </w:t>
      </w:r>
    </w:p>
    <w:p w14:paraId="1B82EBAB" w14:textId="77777777" w:rsidR="00A93442" w:rsidRDefault="00000000">
      <w:pPr>
        <w:autoSpaceDE w:val="0"/>
        <w:autoSpaceDN w:val="0"/>
        <w:ind w:hanging="640"/>
        <w:rPr>
          <w:rFonts w:eastAsia="Times New Roman"/>
        </w:rPr>
      </w:pPr>
      <w:r>
        <w:rPr>
          <w:rFonts w:eastAsia="Times New Roman"/>
        </w:rPr>
        <w:t xml:space="preserve">2. </w:t>
      </w:r>
      <w:r>
        <w:rPr>
          <w:rFonts w:eastAsia="Times New Roman"/>
        </w:rPr>
        <w:tab/>
        <w:t>Neonatal hyperbilirubinemia due to ABO incompatibility: does blood group matter? | The Turkish Journal of Pediatrics [Internet]. [cited 2025 Jun 3]. Available from: https://turkjpediatr.org/article/view/1542</w:t>
      </w:r>
    </w:p>
    <w:p w14:paraId="0897AD81" w14:textId="77777777" w:rsidR="00A93442" w:rsidRDefault="00000000">
      <w:pPr>
        <w:autoSpaceDE w:val="0"/>
        <w:autoSpaceDN w:val="0"/>
        <w:ind w:hanging="640"/>
        <w:rPr>
          <w:rFonts w:eastAsia="Times New Roman"/>
        </w:rPr>
      </w:pPr>
      <w:r>
        <w:rPr>
          <w:rFonts w:eastAsia="Times New Roman"/>
        </w:rPr>
        <w:t xml:space="preserve">3. </w:t>
      </w:r>
      <w:r>
        <w:rPr>
          <w:rFonts w:eastAsia="Times New Roman"/>
        </w:rPr>
        <w:tab/>
        <w:t>Tavakolizadeh R, Izadi A, Seirafi G, Khedmat L, Mojtahedi SY. Maternal risk factors for neonatal jaundice: A hospital-based cross-sectional study in Tehran. Eur J Transl Myol [Internet]. 2018 [cited 2025 Jun 3];28(3):257–64. Available from: https://pubmed.ncbi.nlm.nih.gov/30344979/</w:t>
      </w:r>
    </w:p>
    <w:p w14:paraId="3DE7F20C" w14:textId="77777777" w:rsidR="00A93442" w:rsidRDefault="00000000">
      <w:pPr>
        <w:autoSpaceDE w:val="0"/>
        <w:autoSpaceDN w:val="0"/>
        <w:ind w:hanging="640"/>
        <w:rPr>
          <w:rFonts w:eastAsia="Times New Roman"/>
        </w:rPr>
      </w:pPr>
      <w:r>
        <w:rPr>
          <w:rFonts w:eastAsia="Times New Roman"/>
        </w:rPr>
        <w:t xml:space="preserve">4. </w:t>
      </w:r>
      <w:r>
        <w:rPr>
          <w:rFonts w:eastAsia="Times New Roman"/>
        </w:rPr>
        <w:tab/>
        <w:t>Scrafford CG, Mullany LC, Katz J, Khatry SK, Leclerq SC, Darmstadt GL, et al. Incidence of and risk factors for neonatal jaundice among newborns in southern Nepal. Tropical Medicine and International Health [Internet]. 2013 Nov [cited 2025 Jun 3];18(11):1317–28. Available from: https://pubmed.ncbi.nlm.nih.gov/24112359/</w:t>
      </w:r>
    </w:p>
    <w:p w14:paraId="063D9B71" w14:textId="77777777" w:rsidR="00A93442" w:rsidRDefault="00000000">
      <w:pPr>
        <w:autoSpaceDE w:val="0"/>
        <w:autoSpaceDN w:val="0"/>
        <w:ind w:hanging="640"/>
        <w:rPr>
          <w:rFonts w:eastAsia="Times New Roman"/>
        </w:rPr>
      </w:pPr>
      <w:r>
        <w:rPr>
          <w:rFonts w:eastAsia="Times New Roman"/>
        </w:rPr>
        <w:t xml:space="preserve">5. </w:t>
      </w:r>
      <w:r>
        <w:rPr>
          <w:rFonts w:eastAsia="Times New Roman"/>
        </w:rPr>
        <w:tab/>
        <w:t>Isaac IZ, Mainasara AS, Erhabor O, Omojuyigbe ST, Dallatu MK, Bilbis LS, et al. Glucose-6-phosphate dehydrogenase deficiency among children attending the Emergency Paediatric Unit of Usmanu Danfodiyo University Teaching Hospital, Sokoto, Nigeria. Int J Gen Med [Internet]. 2013 [cited 2025 Jun 3];6:557–62. Available from: https://pubmed.ncbi.nlm.nih.gov/23874116/</w:t>
      </w:r>
    </w:p>
    <w:p w14:paraId="0480F2CE" w14:textId="77777777" w:rsidR="00A93442" w:rsidRDefault="00000000">
      <w:pPr>
        <w:autoSpaceDE w:val="0"/>
        <w:autoSpaceDN w:val="0"/>
        <w:ind w:hanging="640"/>
        <w:rPr>
          <w:rFonts w:eastAsia="Times New Roman"/>
        </w:rPr>
      </w:pPr>
      <w:r>
        <w:rPr>
          <w:rFonts w:eastAsia="Times New Roman"/>
        </w:rPr>
        <w:t xml:space="preserve">6. </w:t>
      </w:r>
      <w:r>
        <w:rPr>
          <w:rFonts w:eastAsia="Times New Roman"/>
        </w:rPr>
        <w:tab/>
        <w:t xml:space="preserve">Akanni EO, Oseni BSA, Agbona VO, Tijani BA, Tosan E, Fakunle EE, et al. Glucose-6-phosphate dehydrogenase deficiency in blood donors and jaundiced neonates in Osogbo, Nigeria. Journal of Medical Laboratory and Diagnosis. 2010;1(1):1–4. </w:t>
      </w:r>
    </w:p>
    <w:p w14:paraId="61EF7784" w14:textId="77777777" w:rsidR="00A93442" w:rsidRDefault="00000000">
      <w:pPr>
        <w:autoSpaceDE w:val="0"/>
        <w:autoSpaceDN w:val="0"/>
        <w:ind w:hanging="640"/>
        <w:rPr>
          <w:rFonts w:eastAsia="Times New Roman"/>
        </w:rPr>
      </w:pPr>
      <w:r>
        <w:rPr>
          <w:rFonts w:eastAsia="Times New Roman"/>
        </w:rPr>
        <w:t xml:space="preserve">7. </w:t>
      </w:r>
      <w:r>
        <w:rPr>
          <w:rFonts w:eastAsia="Times New Roman"/>
        </w:rPr>
        <w:tab/>
        <w:t>Michael Abel Olasinde Yetunde Toyin Gbadero Daniel Adedosu Tongo Olukemi Oluwatoyin Adeleke Olumide Thomas Slusher Tina Marye A, Michael Abel Olasinde Yetunde Toyin Gbadero Daniel Adedosu A, Olukemi Oluwatoyin T, Olumide Thomas A, Tina Marye S. Aetiology of neonatal jaundice in apparently well late-preterm and term neonates at a mission hospital, Southwestern Nigeria. Niger J Paediatr [Internet]. 2022 May 2 [cited 2025 Jun 3];49(1):27-32–27 – 32. Available from: https://www.ajol.info/index.php/njp/article/view/224668</w:t>
      </w:r>
    </w:p>
    <w:p w14:paraId="3AC8E303" w14:textId="77777777" w:rsidR="00A93442" w:rsidRDefault="00000000">
      <w:pPr>
        <w:autoSpaceDE w:val="0"/>
        <w:autoSpaceDN w:val="0"/>
        <w:ind w:hanging="640"/>
        <w:rPr>
          <w:rFonts w:eastAsia="Times New Roman"/>
        </w:rPr>
      </w:pPr>
      <w:r>
        <w:rPr>
          <w:rFonts w:eastAsia="Times New Roman"/>
        </w:rPr>
        <w:t xml:space="preserve">8. </w:t>
      </w:r>
      <w:r>
        <w:rPr>
          <w:rFonts w:eastAsia="Times New Roman"/>
        </w:rPr>
        <w:tab/>
        <w:t>Badejoko BO, Owa JA, Oseni SBA, Badejoko O, Fatusi AO, Adejuyigbe EA. Early neonatal bilirubin, hematocrit, and glucose-6-phosphate dehydrogenase status. Pediatrics [Internet]. 2014 [cited 2025 Jun 3];134(4):e1082–8. Available from: https://pubmed.ncbi.nlm.nih.gov/25246627/</w:t>
      </w:r>
    </w:p>
    <w:p w14:paraId="47B9BEAF" w14:textId="77777777" w:rsidR="00A93442" w:rsidRDefault="00000000">
      <w:pPr>
        <w:autoSpaceDE w:val="0"/>
        <w:autoSpaceDN w:val="0"/>
        <w:ind w:hanging="640"/>
        <w:rPr>
          <w:rFonts w:eastAsia="Times New Roman"/>
        </w:rPr>
      </w:pPr>
      <w:r>
        <w:rPr>
          <w:rFonts w:eastAsia="Times New Roman"/>
        </w:rPr>
        <w:t xml:space="preserve">9. </w:t>
      </w:r>
      <w:r>
        <w:rPr>
          <w:rFonts w:eastAsia="Times New Roman"/>
        </w:rPr>
        <w:tab/>
        <w:t>Charan J, Biswas T. How to Calculate Sample Size for Different Study Designs in Medical Research? Indian J Psychol Med [Internet]. 2013 Apr [cited 2025 Jun 3];35(2):121. Available from: https://pmc.ncbi.nlm.nih.gov/articles/PMC3775042/</w:t>
      </w:r>
    </w:p>
    <w:p w14:paraId="3BD51C30" w14:textId="77777777" w:rsidR="00A93442" w:rsidRDefault="00000000">
      <w:pPr>
        <w:autoSpaceDE w:val="0"/>
        <w:autoSpaceDN w:val="0"/>
        <w:ind w:hanging="640"/>
        <w:rPr>
          <w:rFonts w:eastAsia="Times New Roman"/>
        </w:rPr>
      </w:pPr>
      <w:r>
        <w:rPr>
          <w:rFonts w:eastAsia="Times New Roman"/>
        </w:rPr>
        <w:t xml:space="preserve">10. </w:t>
      </w:r>
      <w:r>
        <w:rPr>
          <w:rFonts w:eastAsia="Times New Roman"/>
        </w:rPr>
        <w:tab/>
        <w:t xml:space="preserve">Brits H, Adendorff J, Huisamen D, Beukes D, Botha K, Herbst H, et al. The prevalence of neonatal jaundice and risk factors in healthy term neonates at National District Hospital in Bloemfontein. Afr J Prim Health Care Fam Med [Internet]. 2018 [cited 2025 Jun 3];10(1):1–6. Available from: </w:t>
      </w:r>
    </w:p>
    <w:p w14:paraId="79A72464" w14:textId="77777777" w:rsidR="00A93442" w:rsidRDefault="00000000">
      <w:pPr>
        <w:autoSpaceDE w:val="0"/>
        <w:autoSpaceDN w:val="0"/>
        <w:ind w:hanging="640"/>
        <w:rPr>
          <w:rFonts w:eastAsia="Times New Roman"/>
        </w:rPr>
      </w:pPr>
      <w:r>
        <w:rPr>
          <w:rFonts w:eastAsia="Times New Roman"/>
        </w:rPr>
        <w:t xml:space="preserve">11. </w:t>
      </w:r>
      <w:r>
        <w:rPr>
          <w:rFonts w:eastAsia="Times New Roman"/>
        </w:rPr>
        <w:tab/>
        <w:t xml:space="preserve">Awe OO, Olawade DB, Afolalu TD, Alabi OZW and DD. Prevalence of Jaundice among Neonates Admitted in a Tertiary Hospital in Southwestern Nigeria. Advances in Pediatrics and Neonatal Care [Internet]. 2021 </w:t>
      </w:r>
      <w:r>
        <w:rPr>
          <w:rFonts w:eastAsia="Times New Roman"/>
        </w:rPr>
        <w:lastRenderedPageBreak/>
        <w:t>[cited 2025 Jun 3];121. Available from: https://www.gavinpublishers.com/article/view/prevalence-of-jaundice-among-neonates-admitted-in-a-tertiary-hospital-in-southwestern-nigeria</w:t>
      </w:r>
    </w:p>
    <w:p w14:paraId="1C2C110F" w14:textId="77777777" w:rsidR="00A93442" w:rsidRDefault="00000000">
      <w:pPr>
        <w:autoSpaceDE w:val="0"/>
        <w:autoSpaceDN w:val="0"/>
        <w:ind w:hanging="640"/>
        <w:rPr>
          <w:rFonts w:eastAsia="Times New Roman"/>
        </w:rPr>
      </w:pPr>
      <w:r>
        <w:rPr>
          <w:rFonts w:eastAsia="Times New Roman"/>
        </w:rPr>
        <w:t xml:space="preserve">12. </w:t>
      </w:r>
      <w:r>
        <w:rPr>
          <w:rFonts w:eastAsia="Times New Roman"/>
        </w:rPr>
        <w:tab/>
        <w:t>Olusanya BO, Osibanjo FB, Mabogunje CA, Slusher TM, Olowe SA. The burden and management of neonatal jaundice in Nigeria: A scoping review of the literature. Niger J Clin Pract [Internet]. 2016 Jan 1 [cited 2025 Jun 3];19(1):1–17. Available from: https://journals.lww.com/njcp/fulltext/2016/19010/the_burden_and_management_of_neonatal_jaundice_in.1.aspx</w:t>
      </w:r>
    </w:p>
    <w:p w14:paraId="61972252" w14:textId="77777777" w:rsidR="00A93442" w:rsidRDefault="00000000">
      <w:pPr>
        <w:autoSpaceDE w:val="0"/>
        <w:autoSpaceDN w:val="0"/>
        <w:ind w:hanging="640"/>
        <w:rPr>
          <w:rFonts w:ascii="Times New Roman" w:hAnsi="Times New Roman" w:cs="Times New Roman"/>
          <w:color w:val="000000"/>
          <w:sz w:val="24"/>
          <w:szCs w:val="24"/>
        </w:rPr>
      </w:pPr>
      <w:r>
        <w:rPr>
          <w:rFonts w:eastAsia="Times New Roman"/>
        </w:rPr>
        <w:t xml:space="preserve">13. </w:t>
      </w:r>
      <w:r>
        <w:rPr>
          <w:rFonts w:eastAsia="Times New Roman"/>
        </w:rPr>
        <w:tab/>
        <w:t xml:space="preserve">Williams O, Gbadero D, Edowhorhu G, Brearley A, Slusher T, Lund TC. Glucose-6-Phosphate Dehydrogenase Deficiency in Nigerian Children. PLoS One [Internet]. 2013 Jul 12 [cited 2025 Jun 3];8(7):e68800. Available from: </w:t>
      </w:r>
      <w:hyperlink r:id="rId7" w:history="1">
        <w:r>
          <w:rPr>
            <w:rStyle w:val="Hyperlink"/>
            <w:rFonts w:eastAsia="Times New Roman"/>
          </w:rPr>
          <w:t>https://journals.plos.org/plosone/article?id=10.1371/journal.pone.0068800</w:t>
        </w:r>
      </w:hyperlink>
    </w:p>
    <w:p w14:paraId="7E0C94A1" w14:textId="77777777" w:rsidR="00A93442" w:rsidRDefault="00A93442">
      <w:pPr>
        <w:autoSpaceDE w:val="0"/>
        <w:autoSpaceDN w:val="0"/>
        <w:ind w:hanging="640"/>
        <w:rPr>
          <w:rFonts w:ascii="Times New Roman" w:hAnsi="Times New Roman" w:cs="Times New Roman"/>
          <w:color w:val="000000"/>
          <w:sz w:val="24"/>
          <w:szCs w:val="24"/>
        </w:rPr>
      </w:pPr>
    </w:p>
    <w:p w14:paraId="43AED375" w14:textId="77777777" w:rsidR="00A93442" w:rsidRDefault="00A93442">
      <w:pPr>
        <w:autoSpaceDE w:val="0"/>
        <w:autoSpaceDN w:val="0"/>
        <w:ind w:hanging="640"/>
        <w:rPr>
          <w:rFonts w:ascii="Times New Roman" w:hAnsi="Times New Roman" w:cs="Times New Roman"/>
          <w:color w:val="000000"/>
          <w:sz w:val="24"/>
          <w:szCs w:val="24"/>
        </w:rPr>
      </w:pPr>
    </w:p>
    <w:p w14:paraId="24F309CB" w14:textId="77777777" w:rsidR="00A93442" w:rsidRDefault="00A93442">
      <w:pPr>
        <w:autoSpaceDE w:val="0"/>
        <w:autoSpaceDN w:val="0"/>
        <w:ind w:hanging="640"/>
        <w:rPr>
          <w:rFonts w:ascii="Times New Roman" w:hAnsi="Times New Roman" w:cs="Times New Roman"/>
          <w:b/>
          <w:bCs/>
          <w:color w:val="000000"/>
          <w:sz w:val="24"/>
          <w:szCs w:val="24"/>
        </w:rPr>
      </w:pPr>
    </w:p>
    <w:p w14:paraId="1ACB85DE" w14:textId="77777777" w:rsidR="00A93442" w:rsidRDefault="00A93442"/>
    <w:sectPr w:rsidR="00A93442">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D893" w14:textId="77777777" w:rsidR="00596620" w:rsidRDefault="00596620">
      <w:pPr>
        <w:spacing w:after="0" w:line="240" w:lineRule="auto"/>
      </w:pPr>
      <w:r>
        <w:separator/>
      </w:r>
    </w:p>
  </w:endnote>
  <w:endnote w:type="continuationSeparator" w:id="0">
    <w:p w14:paraId="2FB45331" w14:textId="77777777" w:rsidR="00596620" w:rsidRDefault="00596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05BF" w14:textId="77777777" w:rsidR="00A93442" w:rsidRDefault="00000000">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842ECD" w14:textId="77777777" w:rsidR="00A93442" w:rsidRDefault="00A93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426E" w14:textId="77777777" w:rsidR="00A93442" w:rsidRDefault="00000000">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0D735486" w14:textId="77777777" w:rsidR="00A93442" w:rsidRDefault="00A93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2067" w14:textId="77777777" w:rsidR="00596620" w:rsidRDefault="00596620">
      <w:pPr>
        <w:spacing w:after="0" w:line="240" w:lineRule="auto"/>
      </w:pPr>
      <w:r>
        <w:separator/>
      </w:r>
    </w:p>
  </w:footnote>
  <w:footnote w:type="continuationSeparator" w:id="0">
    <w:p w14:paraId="74A826F2" w14:textId="77777777" w:rsidR="00596620" w:rsidRDefault="00596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0E2C" w14:textId="77777777" w:rsidR="00A93442" w:rsidRDefault="00596620">
    <w:pPr>
      <w:pStyle w:val="Header"/>
    </w:pPr>
    <w:r>
      <w:rPr>
        <w:noProof/>
      </w:rPr>
      <w:pict w14:anchorId="1B37D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alt="" style="position:absolute;margin-left:0;margin-top:0;width:555.6pt;height:104.15pt;rotation:315;z-index:-251658752;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1CF3" w14:textId="77777777" w:rsidR="00A93442" w:rsidRDefault="00596620">
    <w:pPr>
      <w:pStyle w:val="Header"/>
    </w:pPr>
    <w:r>
      <w:rPr>
        <w:noProof/>
      </w:rPr>
      <w:pict w14:anchorId="3E618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alt="" style="position:absolute;margin-left:0;margin-top:0;width:555.6pt;height:104.15pt;rotation:315;z-index:-251657728;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9CF2" w14:textId="77777777" w:rsidR="00A93442" w:rsidRDefault="00596620">
    <w:pPr>
      <w:pStyle w:val="Header"/>
    </w:pPr>
    <w:r>
      <w:rPr>
        <w:noProof/>
      </w:rPr>
      <w:pict w14:anchorId="76745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alt="" style="position:absolute;margin-left:0;margin-top:0;width:555.6pt;height:104.15pt;rotation:315;z-index:-251659776;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27C16E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6C402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3863EC"/>
    <w:multiLevelType w:val="hybridMultilevel"/>
    <w:tmpl w:val="AC44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838044">
    <w:abstractNumId w:val="2"/>
  </w:num>
  <w:num w:numId="2" w16cid:durableId="428234254">
    <w:abstractNumId w:val="0"/>
  </w:num>
  <w:num w:numId="3" w16cid:durableId="16373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442"/>
    <w:rsid w:val="00596620"/>
    <w:rsid w:val="006F5548"/>
    <w:rsid w:val="00836EB4"/>
    <w:rsid w:val="00A93442"/>
    <w:rsid w:val="00AD733A"/>
    <w:rsid w:val="00C90865"/>
    <w:rsid w:val="00CB1585"/>
    <w:rsid w:val="00F118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771B3"/>
  <w15:docId w15:val="{040ED5BD-0C34-4E4A-AB25-922A6382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14:ligatures w14:val="standardContextual"/>
    </w:rPr>
  </w:style>
  <w:style w:type="paragraph" w:styleId="Heading3">
    <w:name w:val="heading 3"/>
    <w:basedOn w:val="Normal"/>
    <w:next w:val="Normal"/>
    <w:link w:val="Heading3Char"/>
    <w:uiPriority w:val="9"/>
    <w:unhideWhenUsed/>
    <w:qFormat/>
    <w:pPr>
      <w:keepNext/>
      <w:keepLines/>
      <w:spacing w:before="40" w:after="0" w:line="276" w:lineRule="auto"/>
      <w:outlineLvl w:val="2"/>
    </w:pPr>
    <w:rPr>
      <w:rFonts w:ascii="Calibri Light" w:eastAsia="SimSun" w:hAnsi="Calibri Light"/>
      <w:color w:val="1F4E79"/>
      <w:kern w:val="0"/>
      <w:sz w:val="24"/>
      <w:szCs w:val="24"/>
      <w14:ligatures w14:val="none"/>
    </w:rPr>
  </w:style>
  <w:style w:type="paragraph" w:styleId="Heading4">
    <w:name w:val="heading 4"/>
    <w:basedOn w:val="Normal"/>
    <w:next w:val="Normal"/>
    <w:link w:val="Heading4Char"/>
    <w:uiPriority w:val="9"/>
    <w:unhideWhenUsed/>
    <w:qFormat/>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qFormat/>
    <w:rPr>
      <w:rFonts w:ascii="Calibri Light" w:eastAsia="SimSun" w:hAnsi="Calibri Light" w:cs="SimSun"/>
      <w:color w:val="1F4E79"/>
      <w:sz w:val="24"/>
      <w:szCs w:val="24"/>
    </w:rPr>
  </w:style>
  <w:style w:type="paragraph" w:styleId="Footer">
    <w:name w:val="footer"/>
    <w:basedOn w:val="Normal"/>
    <w:link w:val="FooterChar"/>
    <w:uiPriority w:val="99"/>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rPr>
      <w:kern w:val="2"/>
      <w14:ligatures w14:val="standardContextual"/>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
      <w14:ligatures w14:val="standardContextual"/>
    </w:r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qFormat/>
  </w:style>
  <w:style w:type="table" w:styleId="TableGrid">
    <w:name w:val="Table Grid"/>
    <w:basedOn w:val="TableNormal"/>
    <w:uiPriority w:val="39"/>
    <w:qFormat/>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s-MX" w:eastAsia="es-MX"/>
      <w14:ligatures w14:val="none"/>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s-MX" w:eastAsia="es-MX"/>
    </w:rPr>
  </w:style>
  <w:style w:type="character" w:customStyle="1" w:styleId="y2iqfc">
    <w:name w:val="y2iqfc"/>
    <w:basedOn w:val="DefaultParagraphFont"/>
  </w:style>
  <w:style w:type="character" w:customStyle="1" w:styleId="Heading4Char">
    <w:name w:val="Heading 4 Char"/>
    <w:basedOn w:val="DefaultParagraphFont"/>
    <w:link w:val="Heading4"/>
    <w:uiPriority w:val="9"/>
    <w:rPr>
      <w:rFonts w:ascii="Calibri Light" w:eastAsia="SimSun" w:hAnsi="Calibri Light" w:cs="SimSun"/>
      <w:i/>
      <w:iCs/>
      <w:color w:val="2E74B5"/>
      <w:kern w:val="2"/>
      <w14:ligatures w14:val="standardContextual"/>
    </w:rPr>
  </w:style>
  <w:style w:type="paragraph" w:styleId="ListParagraph">
    <w:name w:val="List Paragraph"/>
    <w:basedOn w:val="Normal"/>
    <w:uiPriority w:val="34"/>
    <w:qFormat/>
    <w:pPr>
      <w:spacing w:after="200" w:line="276" w:lineRule="auto"/>
      <w:ind w:left="720"/>
      <w:contextualSpacing/>
    </w:pPr>
    <w:rPr>
      <w:rFonts w:eastAsia="SimSun"/>
      <w:kern w:val="0"/>
      <w14:ligatures w14:val="none"/>
    </w:rPr>
  </w:style>
  <w:style w:type="character" w:customStyle="1" w:styleId="fontstyle01">
    <w:name w:val="fontstyle01"/>
    <w:basedOn w:val="DefaultParagraphFont"/>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plos.org/plosone/article?id=10.1371/journal.pone.0068800_x0004_"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Afoloyan Odunayo</dc:creator>
  <cp:lastModifiedBy>Samson Ojedokun</cp:lastModifiedBy>
  <cp:revision>4</cp:revision>
  <dcterms:created xsi:type="dcterms:W3CDTF">2025-08-27T13:31:00Z</dcterms:created>
  <dcterms:modified xsi:type="dcterms:W3CDTF">2025-08-28T19:48:00Z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0f6ea7850ba6493cb215e5a1de20ba29</vt:lpwstr>
  </property>
</Properties>
</file>