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C017" w14:textId="1EA9CEF7" w:rsidR="00C06AB9" w:rsidRPr="00C06AB9" w:rsidRDefault="00C06AB9" w:rsidP="00C06AB9">
      <w:pPr>
        <w:jc w:val="center"/>
        <w:rPr>
          <w:rFonts w:ascii="Times New Roman" w:hAnsi="Times New Roman" w:cs="Times New Roman"/>
          <w:b/>
          <w:bCs/>
          <w:sz w:val="28"/>
          <w:szCs w:val="28"/>
        </w:rPr>
      </w:pPr>
      <w:r w:rsidRPr="00C06AB9">
        <w:rPr>
          <w:rFonts w:ascii="Times New Roman" w:hAnsi="Times New Roman" w:cs="Times New Roman"/>
          <w:b/>
          <w:bCs/>
          <w:sz w:val="28"/>
          <w:szCs w:val="28"/>
        </w:rPr>
        <w:t>Biochar in Mulberry Cultivation: Boosting Soil Health, Leaf Yield, and Silkworm Performance</w:t>
      </w:r>
    </w:p>
    <w:p w14:paraId="0C0B3CF6" w14:textId="77777777" w:rsidR="00A16410" w:rsidRDefault="00A16410" w:rsidP="00B617C7">
      <w:pPr>
        <w:pStyle w:val="Heading2"/>
        <w:spacing w:after="0" w:afterAutospacing="0" w:line="360" w:lineRule="auto"/>
        <w:jc w:val="both"/>
        <w:rPr>
          <w:sz w:val="24"/>
          <w:szCs w:val="24"/>
        </w:rPr>
      </w:pPr>
    </w:p>
    <w:p w14:paraId="1D09F2B8" w14:textId="7B8A8488" w:rsidR="009B751C" w:rsidRPr="00384711" w:rsidRDefault="009B751C" w:rsidP="00B617C7">
      <w:pPr>
        <w:pStyle w:val="Heading2"/>
        <w:spacing w:after="0" w:afterAutospacing="0" w:line="360" w:lineRule="auto"/>
        <w:jc w:val="both"/>
        <w:rPr>
          <w:sz w:val="24"/>
          <w:szCs w:val="24"/>
        </w:rPr>
      </w:pPr>
      <w:r w:rsidRPr="00384711">
        <w:rPr>
          <w:sz w:val="24"/>
          <w:szCs w:val="24"/>
        </w:rPr>
        <w:t>Abstract</w:t>
      </w:r>
    </w:p>
    <w:p w14:paraId="71E6591A" w14:textId="44CCFFA7" w:rsidR="009B751C" w:rsidRPr="00384711" w:rsidRDefault="009B751C" w:rsidP="00072DAE">
      <w:pPr>
        <w:pStyle w:val="NormalWeb"/>
        <w:spacing w:before="0" w:beforeAutospacing="0" w:after="0" w:afterAutospacing="0" w:line="360" w:lineRule="auto"/>
        <w:jc w:val="both"/>
      </w:pPr>
      <w:r w:rsidRPr="00384711">
        <w:t>Biochar — a stable, carbon-rich product from pyrolysis of biomass — is increasingly proposed as a soil amendment to improve soil fertility, water retention, and crop productivity while sequestering carbon. Mulberry (</w:t>
      </w:r>
      <w:r w:rsidR="00FB2BF5" w:rsidRPr="00384711">
        <w:rPr>
          <w:i/>
          <w:iCs/>
        </w:rPr>
        <w:t>Morus</w:t>
      </w:r>
      <w:r w:rsidRPr="00384711">
        <w:t xml:space="preserve"> spp.) is the sole food source of the mulberry silkworm (</w:t>
      </w:r>
      <w:r w:rsidR="00FB2BF5" w:rsidRPr="00384711">
        <w:rPr>
          <w:i/>
          <w:iCs/>
        </w:rPr>
        <w:t>Bombyx mori</w:t>
      </w:r>
      <w:r w:rsidRPr="00384711">
        <w:t xml:space="preserve">) and a key crop in sericulture; small changes in leaf yield or quality strongly affect cocoon production and farm incomes. This review synthesizes current knowledge about </w:t>
      </w:r>
      <w:r w:rsidR="0073188F">
        <w:t xml:space="preserve">effect of </w:t>
      </w:r>
      <w:r w:rsidRPr="00384711">
        <w:t xml:space="preserve">biochar from mulberry- and other feedstocks, on mulberry growth, soil </w:t>
      </w:r>
      <w:proofErr w:type="spellStart"/>
      <w:r w:rsidRPr="00384711">
        <w:t>physico</w:t>
      </w:r>
      <w:proofErr w:type="spellEnd"/>
      <w:r w:rsidRPr="00384711">
        <w:t>-chemical and biological properties in mulberry gardens, impacts on silkworm performance reported from field and pot experiments, practical application rates</w:t>
      </w:r>
      <w:r w:rsidR="00F13E6D">
        <w:t>,</w:t>
      </w:r>
      <w:r w:rsidRPr="00384711">
        <w:t xml:space="preserve"> methods tested, </w:t>
      </w:r>
      <w:r w:rsidR="00F13E6D" w:rsidRPr="00384711">
        <w:t xml:space="preserve">and </w:t>
      </w:r>
      <w:r w:rsidRPr="00384711">
        <w:t>mechanisms of action</w:t>
      </w:r>
      <w:r w:rsidR="00697D30">
        <w:t>.</w:t>
      </w:r>
    </w:p>
    <w:p w14:paraId="3C8ABD10" w14:textId="4AA59A55" w:rsidR="004B0B7A" w:rsidRPr="00384711" w:rsidRDefault="004B0B7A" w:rsidP="00072DAE">
      <w:pPr>
        <w:pStyle w:val="NormalWeb"/>
        <w:spacing w:before="0" w:beforeAutospacing="0" w:line="360" w:lineRule="auto"/>
        <w:jc w:val="both"/>
      </w:pPr>
      <w:r w:rsidRPr="00384711">
        <w:rPr>
          <w:b/>
          <w:bCs/>
        </w:rPr>
        <w:t xml:space="preserve">Keywords: </w:t>
      </w:r>
      <w:r w:rsidRPr="00384711">
        <w:t>Mulberry, Biochar, Silkworm, Soil, Production</w:t>
      </w:r>
    </w:p>
    <w:p w14:paraId="5E5201D8" w14:textId="60263D40" w:rsidR="00115919" w:rsidRPr="00384711" w:rsidRDefault="00115919" w:rsidP="00072DAE">
      <w:pPr>
        <w:pStyle w:val="ListParagraph"/>
        <w:numPr>
          <w:ilvl w:val="0"/>
          <w:numId w:val="2"/>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Introduction </w:t>
      </w:r>
    </w:p>
    <w:p w14:paraId="1CF257AA" w14:textId="4C1B470E" w:rsidR="00C77E28" w:rsidRPr="00C77E28" w:rsidRDefault="00072DAE" w:rsidP="00072DAE">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Mulberry is a vital commercial crop, widely cultivated as the primary food source for silkworms. Being a perennial plant with high biomass production, it holds great economic value. The nutritional quality of mulberry leaves plays a decisive role in ensuring healthy silkworm growth and directly affects key traits such as larval development, cocoon formation, and </w:t>
      </w:r>
      <w:proofErr w:type="spellStart"/>
      <w:r w:rsidR="00C77E28" w:rsidRPr="00C77E28">
        <w:rPr>
          <w:rFonts w:ascii="Times New Roman" w:eastAsia="Times New Roman" w:hAnsi="Times New Roman" w:cs="Times New Roman"/>
          <w:sz w:val="24"/>
          <w:szCs w:val="24"/>
        </w:rPr>
        <w:t>grainage</w:t>
      </w:r>
      <w:proofErr w:type="spellEnd"/>
      <w:r w:rsidR="00C77E28" w:rsidRPr="00C77E28">
        <w:rPr>
          <w:rFonts w:ascii="Times New Roman" w:eastAsia="Times New Roman" w:hAnsi="Times New Roman" w:cs="Times New Roman"/>
          <w:sz w:val="24"/>
          <w:szCs w:val="24"/>
        </w:rPr>
        <w:t xml:space="preserve"> performance (Krishnaswami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1971). However, after leaf harvesting, the leftover mulberry shoots often remain unutilized and decompose slowly in the soil. Considering this, these shoots can serve as a sustainable feedstock for biochar production.</w:t>
      </w:r>
    </w:p>
    <w:p w14:paraId="1819E29C" w14:textId="6CABF6F6" w:rsidR="00C77E28" w:rsidRPr="00C77E28" w:rsidRDefault="00072DAE" w:rsidP="00072DAE">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Biochar is a carbon-dense material generated through pyrolysis, a process that thermally decomposes organic matter at temperatures below 700°C under limited oxygen conditions. It generally contains over 60% carbon along with essential plant nutrients. When applied back to the soil, biochar enhances carbon sequestration, improves soil fertility, and contributes to higher crop productivity (Ra</w:t>
      </w:r>
      <w:r w:rsidR="00C06AB9">
        <w:rPr>
          <w:rFonts w:ascii="Times New Roman" w:eastAsia="Times New Roman" w:hAnsi="Times New Roman" w:cs="Times New Roman"/>
          <w:sz w:val="24"/>
          <w:szCs w:val="24"/>
        </w:rPr>
        <w:t>n</w:t>
      </w:r>
      <w:r w:rsidR="00C77E28" w:rsidRPr="00C77E28">
        <w:rPr>
          <w:rFonts w:ascii="Times New Roman" w:eastAsia="Times New Roman" w:hAnsi="Times New Roman" w:cs="Times New Roman"/>
          <w:sz w:val="24"/>
          <w:szCs w:val="24"/>
        </w:rPr>
        <w:t xml:space="preserve">jitha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2024).</w:t>
      </w:r>
    </w:p>
    <w:p w14:paraId="7C7CA97E" w14:textId="66ED9987" w:rsidR="00C77E28" w:rsidRPr="00C77E28" w:rsidRDefault="00072DAE" w:rsidP="00072DAE">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Beyond soil enrichment, biochar has also been investigated for environmental rehabilitation, reducing the mobility of pollutants in contaminated soils, and minimizing the transfer of toxic elements to crops (Jalal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2020). Commonly derived from agricultural residues, animal </w:t>
      </w:r>
      <w:r w:rsidR="00C77E28" w:rsidRPr="00C77E28">
        <w:rPr>
          <w:rFonts w:ascii="Times New Roman" w:eastAsia="Times New Roman" w:hAnsi="Times New Roman" w:cs="Times New Roman"/>
          <w:sz w:val="24"/>
          <w:szCs w:val="24"/>
        </w:rPr>
        <w:lastRenderedPageBreak/>
        <w:t xml:space="preserve">manures, and forestry by-products, biochar production effectively converts waste into a resource of agricultural and environmental value (Brewer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2014). Its influence on soil health and crop growth depends largely on production techniques, soil type and condition, and the crop species cultivated (</w:t>
      </w:r>
      <w:proofErr w:type="spellStart"/>
      <w:r w:rsidR="00C77E28" w:rsidRPr="00C77E28">
        <w:rPr>
          <w:rFonts w:ascii="Times New Roman" w:eastAsia="Times New Roman" w:hAnsi="Times New Roman" w:cs="Times New Roman"/>
          <w:sz w:val="24"/>
          <w:szCs w:val="24"/>
        </w:rPr>
        <w:t>Awad</w:t>
      </w:r>
      <w:proofErr w:type="spellEnd"/>
      <w:r w:rsidR="00C77E28" w:rsidRPr="00C77E28">
        <w:rPr>
          <w:rFonts w:ascii="Times New Roman" w:eastAsia="Times New Roman" w:hAnsi="Times New Roman" w:cs="Times New Roman"/>
          <w:sz w:val="24"/>
          <w:szCs w:val="24"/>
        </w:rPr>
        <w:t xml:space="preserve">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2018; Arif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2020).</w:t>
      </w:r>
      <w:r w:rsidR="00C77E28" w:rsidRPr="00384711">
        <w:rPr>
          <w:rFonts w:ascii="Times New Roman" w:eastAsia="Times New Roman" w:hAnsi="Times New Roman" w:cs="Times New Roman"/>
          <w:sz w:val="24"/>
          <w:szCs w:val="24"/>
        </w:rPr>
        <w:t xml:space="preserve"> </w:t>
      </w:r>
      <w:r w:rsidR="00C77E28" w:rsidRPr="00C77E28">
        <w:rPr>
          <w:rFonts w:ascii="Times New Roman" w:eastAsia="Times New Roman" w:hAnsi="Times New Roman" w:cs="Times New Roman"/>
          <w:sz w:val="24"/>
          <w:szCs w:val="24"/>
        </w:rPr>
        <w:t>Given its significance, numerous studies have explored the potential of biochar to enhance soil quality, crop yield, and environmental sustainability. This review specifically emphasizes its relevance in improving mulberry growth, productivity, and the subsequent impact on silkworm rearing.</w:t>
      </w:r>
    </w:p>
    <w:p w14:paraId="4270FEF7" w14:textId="1182E83B" w:rsidR="003F49DC" w:rsidRPr="00384711" w:rsidRDefault="003F49DC" w:rsidP="001A5B4A">
      <w:pPr>
        <w:pStyle w:val="ListParagraph"/>
        <w:numPr>
          <w:ilvl w:val="0"/>
          <w:numId w:val="2"/>
        </w:numPr>
        <w:spacing w:after="0" w:line="360" w:lineRule="auto"/>
        <w:jc w:val="both"/>
        <w:outlineLvl w:val="1"/>
        <w:rPr>
          <w:rFonts w:ascii="Times New Roman" w:eastAsia="Times New Roman" w:hAnsi="Times New Roman" w:cs="Times New Roman"/>
          <w:b/>
          <w:bCs/>
          <w:sz w:val="24"/>
          <w:szCs w:val="24"/>
        </w:rPr>
      </w:pPr>
      <w:r w:rsidRPr="00384711">
        <w:rPr>
          <w:rFonts w:ascii="Times New Roman" w:eastAsia="Times New Roman" w:hAnsi="Times New Roman" w:cs="Times New Roman"/>
          <w:b/>
          <w:bCs/>
          <w:sz w:val="24"/>
          <w:szCs w:val="24"/>
        </w:rPr>
        <w:t>Why biochar for mulberry?</w:t>
      </w:r>
    </w:p>
    <w:p w14:paraId="35F9D896" w14:textId="1C2E2F35" w:rsidR="00C77E28" w:rsidRPr="00384711" w:rsidRDefault="001A5B4A" w:rsidP="001A5B4A">
      <w:pPr>
        <w:spacing w:after="0"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 xml:space="preserve">In many sericulture regions, mulberry is often cultivated on marginal soils characterized by erosion, low organic matter, or acidity. Even slight improvements in leaf production, nutritional quality, or drought tolerance can significantly boost cocoon yield. On-farm production of biochar from pruning residues such as stalks, shoots, and leaves </w:t>
      </w:r>
      <w:r w:rsidR="00384711" w:rsidRPr="00384711">
        <w:rPr>
          <w:rFonts w:ascii="Times New Roman" w:hAnsi="Times New Roman" w:cs="Times New Roman"/>
          <w:sz w:val="24"/>
          <w:szCs w:val="24"/>
        </w:rPr>
        <w:t>offer</w:t>
      </w:r>
      <w:r w:rsidR="00C77E28" w:rsidRPr="00384711">
        <w:rPr>
          <w:rFonts w:ascii="Times New Roman" w:hAnsi="Times New Roman" w:cs="Times New Roman"/>
          <w:sz w:val="24"/>
          <w:szCs w:val="24"/>
        </w:rPr>
        <w:t xml:space="preserve"> a sustainable circular strategy—transforming sericulture waste into a soil amendment that replenishes nutrients while contributing stable carbon back to the orchard. Several field studies involving mulberry-based biochar or other </w:t>
      </w:r>
      <w:proofErr w:type="spellStart"/>
      <w:r w:rsidR="00C77E28" w:rsidRPr="00384711">
        <w:rPr>
          <w:rFonts w:ascii="Times New Roman" w:hAnsi="Times New Roman" w:cs="Times New Roman"/>
          <w:sz w:val="24"/>
          <w:szCs w:val="24"/>
        </w:rPr>
        <w:t>biochars</w:t>
      </w:r>
      <w:proofErr w:type="spellEnd"/>
      <w:r w:rsidR="00C77E28" w:rsidRPr="00384711">
        <w:rPr>
          <w:rFonts w:ascii="Times New Roman" w:hAnsi="Times New Roman" w:cs="Times New Roman"/>
          <w:sz w:val="24"/>
          <w:szCs w:val="24"/>
        </w:rPr>
        <w:t xml:space="preserve"> applied to mulberry plantations have shown enhanced soil fertility, improved water-holding capacity, higher leaf yield, and better cocoon productivity, particularly when combined with organic manures or recommended fertilizer inputs (Ra</w:t>
      </w:r>
      <w:r w:rsidR="00C06AB9">
        <w:rPr>
          <w:rFonts w:ascii="Times New Roman" w:hAnsi="Times New Roman" w:cs="Times New Roman"/>
          <w:sz w:val="24"/>
          <w:szCs w:val="24"/>
        </w:rPr>
        <w:t>n</w:t>
      </w:r>
      <w:r w:rsidR="00C77E28" w:rsidRPr="00384711">
        <w:rPr>
          <w:rFonts w:ascii="Times New Roman" w:hAnsi="Times New Roman" w:cs="Times New Roman"/>
          <w:sz w:val="24"/>
          <w:szCs w:val="24"/>
        </w:rPr>
        <w:t xml:space="preserve">jitha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2024).</w:t>
      </w:r>
    </w:p>
    <w:p w14:paraId="48A6102E" w14:textId="11492F05" w:rsidR="009B751C" w:rsidRPr="00384711" w:rsidRDefault="003F49DC" w:rsidP="001A5B4A">
      <w:pPr>
        <w:pStyle w:val="ListParagraph"/>
        <w:numPr>
          <w:ilvl w:val="0"/>
          <w:numId w:val="2"/>
        </w:numPr>
        <w:spacing w:before="240"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Impact of biochar</w:t>
      </w:r>
    </w:p>
    <w:p w14:paraId="49AD4332" w14:textId="77777777" w:rsidR="002B5B47" w:rsidRPr="00384711" w:rsidRDefault="001A5B4A" w:rsidP="00B617C7">
      <w:pPr>
        <w:spacing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Biochar application is recognized as a sustainable strategy for enhancing soil physical and chemical properties, improving crop quality, and increasing yield</w:t>
      </w:r>
      <w:r w:rsidR="00542044" w:rsidRPr="00384711">
        <w:rPr>
          <w:rFonts w:ascii="Times New Roman" w:hAnsi="Times New Roman" w:cs="Times New Roman"/>
          <w:sz w:val="24"/>
          <w:szCs w:val="24"/>
        </w:rPr>
        <w:t xml:space="preserve"> (</w:t>
      </w:r>
      <w:proofErr w:type="spellStart"/>
      <w:r w:rsidR="00542044" w:rsidRPr="00384711">
        <w:rPr>
          <w:rFonts w:ascii="Times New Roman" w:hAnsi="Times New Roman" w:cs="Times New Roman"/>
          <w:sz w:val="24"/>
          <w:szCs w:val="24"/>
        </w:rPr>
        <w:t>Medynska-Juraszek</w:t>
      </w:r>
      <w:proofErr w:type="spellEnd"/>
      <w:r w:rsidR="00542044" w:rsidRPr="00384711">
        <w:rPr>
          <w:rFonts w:ascii="Times New Roman" w:hAnsi="Times New Roman" w:cs="Times New Roman"/>
          <w:sz w:val="24"/>
          <w:szCs w:val="24"/>
        </w:rPr>
        <w:t xml:space="preserve"> </w:t>
      </w:r>
      <w:r w:rsidR="00542044" w:rsidRPr="00384711">
        <w:rPr>
          <w:rFonts w:ascii="Times New Roman" w:hAnsi="Times New Roman" w:cs="Times New Roman"/>
          <w:i/>
          <w:iCs/>
          <w:sz w:val="24"/>
          <w:szCs w:val="24"/>
        </w:rPr>
        <w:t>et al</w:t>
      </w:r>
      <w:r w:rsidR="00542044" w:rsidRPr="00384711">
        <w:rPr>
          <w:rFonts w:ascii="Times New Roman" w:hAnsi="Times New Roman" w:cs="Times New Roman"/>
          <w:sz w:val="24"/>
          <w:szCs w:val="24"/>
        </w:rPr>
        <w:t xml:space="preserve">., </w:t>
      </w:r>
      <w:r w:rsidR="002B5B47" w:rsidRPr="00384711">
        <w:rPr>
          <w:rFonts w:ascii="Times New Roman" w:hAnsi="Times New Roman" w:cs="Times New Roman"/>
          <w:sz w:val="24"/>
          <w:szCs w:val="24"/>
        </w:rPr>
        <w:t>2021)</w:t>
      </w:r>
      <w:r w:rsidR="00C77E28" w:rsidRPr="00384711">
        <w:rPr>
          <w:rFonts w:ascii="Times New Roman" w:hAnsi="Times New Roman" w:cs="Times New Roman"/>
          <w:sz w:val="24"/>
          <w:szCs w:val="24"/>
        </w:rPr>
        <w:t>. In addition to its role in agriculture, biochar has demonstrated effectiveness in various fields, particularly as a soil amendment to boost crop productivity and as an agent for remediating contaminated soils and water</w:t>
      </w:r>
      <w:r w:rsidR="002B5B47" w:rsidRPr="00384711">
        <w:rPr>
          <w:rFonts w:ascii="Times New Roman" w:hAnsi="Times New Roman" w:cs="Times New Roman"/>
          <w:sz w:val="24"/>
          <w:szCs w:val="24"/>
        </w:rPr>
        <w:t xml:space="preserve"> (Kamali </w:t>
      </w:r>
      <w:r w:rsidR="002B5B47" w:rsidRPr="00384711">
        <w:rPr>
          <w:rFonts w:ascii="Times New Roman" w:hAnsi="Times New Roman" w:cs="Times New Roman"/>
          <w:i/>
          <w:iCs/>
          <w:sz w:val="24"/>
          <w:szCs w:val="24"/>
        </w:rPr>
        <w:t>et al</w:t>
      </w:r>
      <w:r w:rsidR="002B5B47" w:rsidRPr="00384711">
        <w:rPr>
          <w:rFonts w:ascii="Times New Roman" w:hAnsi="Times New Roman" w:cs="Times New Roman"/>
          <w:sz w:val="24"/>
          <w:szCs w:val="24"/>
        </w:rPr>
        <w:t>., 2022)</w:t>
      </w:r>
      <w:r w:rsidR="00C77E28" w:rsidRPr="00384711">
        <w:rPr>
          <w:rFonts w:ascii="Times New Roman" w:hAnsi="Times New Roman" w:cs="Times New Roman"/>
          <w:sz w:val="24"/>
          <w:szCs w:val="24"/>
        </w:rPr>
        <w:t>. The following section discusses the influence of biochar on soil health, including its impact on physical and chemical characteristics, nutrient dynamics, rhizosphere biological activity, and overall crop growth and productivity.</w:t>
      </w:r>
    </w:p>
    <w:p w14:paraId="7911C4FF" w14:textId="20A7351C" w:rsidR="00B408AA" w:rsidRPr="00384711" w:rsidRDefault="00B408AA" w:rsidP="00B617C7">
      <w:pPr>
        <w:spacing w:line="360" w:lineRule="auto"/>
        <w:jc w:val="both"/>
        <w:rPr>
          <w:rFonts w:ascii="Times New Roman" w:hAnsi="Times New Roman" w:cs="Times New Roman"/>
          <w:b/>
          <w:bCs/>
          <w:sz w:val="24"/>
          <w:szCs w:val="24"/>
        </w:rPr>
      </w:pPr>
      <w:r w:rsidRPr="00384711">
        <w:rPr>
          <w:rFonts w:ascii="Times New Roman" w:hAnsi="Times New Roman" w:cs="Times New Roman"/>
          <w:noProof/>
          <w:sz w:val="24"/>
          <w:szCs w:val="24"/>
        </w:rPr>
        <w:lastRenderedPageBreak/>
        <w:drawing>
          <wp:inline distT="0" distB="0" distL="0" distR="0" wp14:anchorId="7CC0AAE3" wp14:editId="0317F072">
            <wp:extent cx="5943600" cy="2774816"/>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74816"/>
                    </a:xfrm>
                    <a:prstGeom prst="rect">
                      <a:avLst/>
                    </a:prstGeom>
                    <a:noFill/>
                  </pic:spPr>
                </pic:pic>
              </a:graphicData>
            </a:graphic>
          </wp:inline>
        </w:drawing>
      </w:r>
    </w:p>
    <w:p w14:paraId="1CD2C383" w14:textId="1E5D9A07" w:rsidR="00B408AA" w:rsidRPr="00384711" w:rsidRDefault="00B408AA" w:rsidP="002B5B47">
      <w:pPr>
        <w:spacing w:line="360" w:lineRule="auto"/>
        <w:jc w:val="center"/>
        <w:rPr>
          <w:rFonts w:ascii="Times New Roman" w:hAnsi="Times New Roman" w:cs="Times New Roman"/>
          <w:b/>
          <w:bCs/>
          <w:sz w:val="24"/>
          <w:szCs w:val="24"/>
        </w:rPr>
      </w:pPr>
      <w:r w:rsidRPr="00384711">
        <w:rPr>
          <w:rFonts w:ascii="Times New Roman" w:hAnsi="Times New Roman" w:cs="Times New Roman"/>
          <w:b/>
          <w:bCs/>
          <w:sz w:val="24"/>
          <w:szCs w:val="24"/>
        </w:rPr>
        <w:t>Figure 1. Shows impact of biochar application</w:t>
      </w:r>
    </w:p>
    <w:p w14:paraId="66314AB6" w14:textId="48A3EFEE" w:rsidR="006C2583" w:rsidRPr="00384711" w:rsidRDefault="00B617C7" w:rsidP="00B617C7">
      <w:pPr>
        <w:pStyle w:val="ListParagraph"/>
        <w:numPr>
          <w:ilvl w:val="0"/>
          <w:numId w:val="2"/>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Impact</w:t>
      </w:r>
      <w:r w:rsidR="000265CF" w:rsidRPr="00384711">
        <w:rPr>
          <w:rFonts w:ascii="Times New Roman" w:hAnsi="Times New Roman" w:cs="Times New Roman"/>
          <w:b/>
          <w:bCs/>
          <w:sz w:val="24"/>
          <w:szCs w:val="24"/>
        </w:rPr>
        <w:t xml:space="preserve"> on </w:t>
      </w:r>
      <w:r w:rsidR="006C2583" w:rsidRPr="00384711">
        <w:rPr>
          <w:rFonts w:ascii="Times New Roman" w:hAnsi="Times New Roman" w:cs="Times New Roman"/>
          <w:b/>
          <w:bCs/>
          <w:sz w:val="24"/>
          <w:szCs w:val="24"/>
        </w:rPr>
        <w:t>Soil properties</w:t>
      </w:r>
    </w:p>
    <w:p w14:paraId="0C0C1BBC" w14:textId="2CDF9A02" w:rsidR="006C2583" w:rsidRPr="00384711" w:rsidRDefault="00C15670" w:rsidP="00C15670">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 </w:t>
      </w:r>
      <w:r w:rsidR="004D1C11" w:rsidRPr="00384711">
        <w:rPr>
          <w:rFonts w:ascii="Times New Roman" w:hAnsi="Times New Roman" w:cs="Times New Roman"/>
          <w:b/>
          <w:bCs/>
          <w:sz w:val="24"/>
          <w:szCs w:val="24"/>
        </w:rPr>
        <w:t>P</w:t>
      </w:r>
      <w:r w:rsidR="006C2583" w:rsidRPr="00384711">
        <w:rPr>
          <w:rFonts w:ascii="Times New Roman" w:hAnsi="Times New Roman" w:cs="Times New Roman"/>
          <w:b/>
          <w:bCs/>
          <w:sz w:val="24"/>
          <w:szCs w:val="24"/>
        </w:rPr>
        <w:t>hysical properties</w:t>
      </w:r>
    </w:p>
    <w:p w14:paraId="510B8B97" w14:textId="00E25744" w:rsidR="00C77E28" w:rsidRPr="00C77E28" w:rsidRDefault="00B617C7" w:rsidP="00C15670">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Lamani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(2024) reported that soils amended with biochar exhibited higher water-holding capacity than unamended soils, which was attributed to the porous and spongy structure of biochar. This property allows greater water retention, while simultaneously reducing bulk density and enhancing soil aggregation and organic matter content. The improvement in soil water-holding capacity following biochar addition is largely linked to its ability to increase the soil’s specific surface area, pore network, and overall porosity, including both macro- and micropores. Similar observations were made by Sun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(2013) and Rohitha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(2021), who associated these benefits with changes in soil structure, porosity, and capillary action.</w:t>
      </w:r>
    </w:p>
    <w:p w14:paraId="42F6F559" w14:textId="57414BBE" w:rsidR="00C77E28" w:rsidRPr="00C77E28" w:rsidRDefault="00B617C7" w:rsidP="00C15670">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In another study, Ranjitha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(2023) demonstrated that the combined application of biochar and farmyard manure (FYM) reduced soil bulk density while improving total porosity, available water, and water-holding capacity in sandy and loamy soils. This effect was explained by enhanced aggregate formation, where FYM and mulberry shoot biochar acted as binding agents in stabilizing soil aggregates. The structural characteristics of biochar, particularly its high porosity, play a vital role in regulating soil bulk density, porosity, adsorption properties, and water retention. Furthermore, biochar particles—due to their spherical morphology and deformability—offer increased pore spaces that favor water storage (Atkinson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2010; Downie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2009).</w:t>
      </w:r>
    </w:p>
    <w:p w14:paraId="63D38A1E" w14:textId="365D4383" w:rsidR="00C15670" w:rsidRPr="00384711" w:rsidRDefault="004D1C11" w:rsidP="00787BE5">
      <w:pPr>
        <w:pStyle w:val="ListParagraph"/>
        <w:numPr>
          <w:ilvl w:val="1"/>
          <w:numId w:val="6"/>
        </w:numPr>
        <w:spacing w:line="360" w:lineRule="auto"/>
        <w:ind w:left="810" w:hanging="450"/>
        <w:jc w:val="both"/>
        <w:rPr>
          <w:rFonts w:ascii="Times New Roman" w:hAnsi="Times New Roman" w:cs="Times New Roman"/>
          <w:b/>
          <w:bCs/>
          <w:sz w:val="24"/>
          <w:szCs w:val="24"/>
        </w:rPr>
      </w:pPr>
      <w:r w:rsidRPr="00384711">
        <w:rPr>
          <w:rFonts w:ascii="Times New Roman" w:hAnsi="Times New Roman" w:cs="Times New Roman"/>
          <w:b/>
          <w:bCs/>
          <w:sz w:val="24"/>
          <w:szCs w:val="24"/>
        </w:rPr>
        <w:lastRenderedPageBreak/>
        <w:t>C</w:t>
      </w:r>
      <w:r w:rsidR="006C2583" w:rsidRPr="00384711">
        <w:rPr>
          <w:rFonts w:ascii="Times New Roman" w:hAnsi="Times New Roman" w:cs="Times New Roman"/>
          <w:b/>
          <w:bCs/>
          <w:sz w:val="24"/>
          <w:szCs w:val="24"/>
        </w:rPr>
        <w:t>hemical properties</w:t>
      </w:r>
    </w:p>
    <w:p w14:paraId="4238111E" w14:textId="46DD1E82" w:rsidR="00C15670" w:rsidRPr="00384711" w:rsidRDefault="004F5170" w:rsidP="00787BE5">
      <w:pPr>
        <w:pStyle w:val="ListParagraph"/>
        <w:numPr>
          <w:ilvl w:val="2"/>
          <w:numId w:val="6"/>
        </w:numPr>
        <w:tabs>
          <w:tab w:val="left" w:pos="360"/>
        </w:tabs>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Soil pH: </w:t>
      </w:r>
      <w:r w:rsidR="00C77E28" w:rsidRPr="00384711">
        <w:rPr>
          <w:rFonts w:ascii="Times New Roman" w:hAnsi="Times New Roman" w:cs="Times New Roman"/>
          <w:sz w:val="24"/>
          <w:szCs w:val="24"/>
        </w:rPr>
        <w:t xml:space="preserve">An increase in the rate of biochar application has been found to elevate soil </w:t>
      </w:r>
      <w:proofErr w:type="spellStart"/>
      <w:r w:rsidR="00C77E28" w:rsidRPr="00384711">
        <w:rPr>
          <w:rFonts w:ascii="Times New Roman" w:hAnsi="Times New Roman" w:cs="Times New Roman"/>
          <w:sz w:val="24"/>
          <w:szCs w:val="24"/>
        </w:rPr>
        <w:t>pH.</w:t>
      </w:r>
      <w:proofErr w:type="spellEnd"/>
      <w:r w:rsidR="00C77E28" w:rsidRPr="00384711">
        <w:rPr>
          <w:rFonts w:ascii="Times New Roman" w:hAnsi="Times New Roman" w:cs="Times New Roman"/>
          <w:sz w:val="24"/>
          <w:szCs w:val="24"/>
        </w:rPr>
        <w:t xml:space="preserve"> This is because biochar typically improves the pH of acidic and nutrient-deficient soils. The rise in soil pH following biochar incorporation is mainly associated with its inherent alkalinity, the release of basic compounds, and the oxidation of organic matter stimulated by microbial activity, which together contribute to soil neutralization (Lamani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2024).</w:t>
      </w:r>
    </w:p>
    <w:p w14:paraId="69E9E1B8" w14:textId="06CEF39F" w:rsidR="00C77E28"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Soil alkalinity: </w:t>
      </w:r>
      <w:r w:rsidR="00C77E28" w:rsidRPr="00384711">
        <w:rPr>
          <w:rFonts w:ascii="Times New Roman" w:hAnsi="Times New Roman" w:cs="Times New Roman"/>
          <w:sz w:val="24"/>
          <w:szCs w:val="24"/>
        </w:rPr>
        <w:t xml:space="preserve">The alkalinity of biochar is considered more influential than its pH in raising the pH of acidic soils (Dai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2017). During pyrolysis, the decline of acidic functional groups (Xiang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2021) alongside the formation of functional groups such as –COO⁻ and –O⁻ enhances the overall alkalinity of biochar (Dai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2017; Wei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As soil pH increases, acidic groups within the soil—such as phenolic and hydroxyl groups—undergo deprotonation, which results in soil particles acquiring a stronger negative charge (He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2019).</w:t>
      </w:r>
    </w:p>
    <w:p w14:paraId="308D0BF1" w14:textId="77777777" w:rsidR="00C15670" w:rsidRPr="00384711" w:rsidRDefault="00C15670" w:rsidP="00787BE5">
      <w:pPr>
        <w:pStyle w:val="ListParagraph"/>
        <w:numPr>
          <w:ilvl w:val="1"/>
          <w:numId w:val="6"/>
        </w:numPr>
        <w:spacing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 </w:t>
      </w:r>
      <w:r w:rsidR="005869D0" w:rsidRPr="00384711">
        <w:rPr>
          <w:rFonts w:ascii="Times New Roman" w:hAnsi="Times New Roman" w:cs="Times New Roman"/>
          <w:b/>
          <w:bCs/>
          <w:sz w:val="24"/>
          <w:szCs w:val="24"/>
        </w:rPr>
        <w:t>Concentration of soil nutrient</w:t>
      </w:r>
    </w:p>
    <w:p w14:paraId="292AC58C" w14:textId="7F852077" w:rsidR="00C15670"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Nitrogen: </w:t>
      </w:r>
      <w:r w:rsidR="00C77E28" w:rsidRPr="00384711">
        <w:rPr>
          <w:rFonts w:ascii="Times New Roman" w:hAnsi="Times New Roman" w:cs="Times New Roman"/>
          <w:sz w:val="24"/>
          <w:szCs w:val="24"/>
        </w:rPr>
        <w:t xml:space="preserve">Soil nitrogen availability was enhanced with increasing application levels of mulberry shoot biochar, farmyard manure (FYM), and NPK fertilizer in combination, compared to the package of practices and control plots. This improvement can be attributed to the contribution of available nitrogen through the mineralization of FYM and biochar. The rate and extent of nitrogen mineralization from biochar indicate its potential role as a slow-release nitrogen source (Chan &amp; Xu, 2009; Steiner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2008). Additionally, biochar has been shown to minimize nutrient leaching, thereby improving fertilizer use efficiency (Lehmann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2009; Novak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2009; Arunkumar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Enhanced nitrogen retention following biochar application has also been documented in earlier studies (Novak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2009).</w:t>
      </w:r>
    </w:p>
    <w:p w14:paraId="0AEB36A2" w14:textId="40ACCDBE" w:rsidR="00C15670"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Phosphorus: </w:t>
      </w:r>
      <w:r w:rsidR="00C77E28" w:rsidRPr="00384711">
        <w:rPr>
          <w:rFonts w:ascii="Times New Roman" w:hAnsi="Times New Roman" w:cs="Times New Roman"/>
          <w:sz w:val="24"/>
          <w:szCs w:val="24"/>
        </w:rPr>
        <w:t xml:space="preserve">Phosphorus availability in soil was found to increase with higher application levels of mulberry shoot biochar at the time of leaf harvest. This improvement is likely due to the relatively high concentration of available phosphorus present in biochar. Similar findings were reported by </w:t>
      </w:r>
      <w:proofErr w:type="spellStart"/>
      <w:r w:rsidR="00C77E28" w:rsidRPr="00384711">
        <w:rPr>
          <w:rFonts w:ascii="Times New Roman" w:hAnsi="Times New Roman" w:cs="Times New Roman"/>
          <w:sz w:val="24"/>
          <w:szCs w:val="24"/>
        </w:rPr>
        <w:t>Zwieten</w:t>
      </w:r>
      <w:proofErr w:type="spellEnd"/>
      <w:r w:rsidR="00C77E28" w:rsidRPr="00384711">
        <w:rPr>
          <w:rFonts w:ascii="Times New Roman" w:hAnsi="Times New Roman" w:cs="Times New Roman"/>
          <w:sz w:val="24"/>
          <w:szCs w:val="24"/>
        </w:rPr>
        <w:t xml:space="preserv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(2010), Chan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(2008), and Arunkumar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who observed greater soil P levels following biochar incorporation. The enhanced P₂O₅ availability can be explained by several mechanisms: the presence of soluble and exchangeable phosphate in biochar, its ability to modify soil pH, reduction of P-fixing metals such as Al³⁺ and Fe³⁺, promotion of microbial activity, and acceleration of phosphorus mineralization. Parvage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(2013) and Hass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(2012) also documented increases in available soil P₂O₅ after biochar addition. Moreover, the </w:t>
      </w:r>
      <w:r w:rsidR="00C77E28" w:rsidRPr="00384711">
        <w:rPr>
          <w:rFonts w:ascii="Times New Roman" w:hAnsi="Times New Roman" w:cs="Times New Roman"/>
          <w:sz w:val="24"/>
          <w:szCs w:val="24"/>
        </w:rPr>
        <w:lastRenderedPageBreak/>
        <w:t>rise in soil pH associated with biochar may further reduce Al and Fe activity, thereby enhancing phosphorus availability.</w:t>
      </w:r>
    </w:p>
    <w:p w14:paraId="01675C38" w14:textId="542BDFBF" w:rsidR="006C2583" w:rsidRPr="00384711" w:rsidRDefault="00F05ACD" w:rsidP="00A6543C">
      <w:pPr>
        <w:pStyle w:val="ListParagraph"/>
        <w:numPr>
          <w:ilvl w:val="2"/>
          <w:numId w:val="6"/>
        </w:numPr>
        <w:spacing w:after="120"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Potassium: </w:t>
      </w:r>
      <w:r w:rsidR="00C77E28" w:rsidRPr="00384711">
        <w:rPr>
          <w:rFonts w:ascii="Times New Roman" w:hAnsi="Times New Roman" w:cs="Times New Roman"/>
          <w:sz w:val="24"/>
          <w:szCs w:val="24"/>
        </w:rPr>
        <w:t xml:space="preserve">Application of mulberry shoot biochar led to an increase in soil potassium levels after mulberry leaf harvest, primarily due to the high K concentration present in the biochar (Chan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2007). Biochar is typically rich in ash and contains greater amounts of potassium compared to other macronutrients, and thus, the incorporation of ash-rich biochar significantly enhances soil K content. Similar observations were reported by Major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(2010), who attributed the rise in potassium availability to the substantial amounts of K supplied with biochar, which can be readily leached into the soil.</w:t>
      </w:r>
    </w:p>
    <w:p w14:paraId="026E8EB5" w14:textId="26D82E6A" w:rsidR="00FB2BF5" w:rsidRPr="00384711" w:rsidRDefault="00FB2BF5" w:rsidP="00A6543C">
      <w:pPr>
        <w:pStyle w:val="ListParagraph"/>
        <w:numPr>
          <w:ilvl w:val="0"/>
          <w:numId w:val="6"/>
        </w:numPr>
        <w:spacing w:before="120" w:line="360" w:lineRule="auto"/>
        <w:ind w:left="720"/>
        <w:jc w:val="both"/>
        <w:rPr>
          <w:rFonts w:ascii="Times New Roman" w:hAnsi="Times New Roman" w:cs="Times New Roman"/>
          <w:b/>
          <w:bCs/>
          <w:sz w:val="24"/>
          <w:szCs w:val="24"/>
        </w:rPr>
      </w:pPr>
      <w:r w:rsidRPr="00384711">
        <w:rPr>
          <w:rFonts w:ascii="Times New Roman" w:hAnsi="Times New Roman" w:cs="Times New Roman"/>
          <w:b/>
          <w:bCs/>
          <w:sz w:val="24"/>
          <w:szCs w:val="24"/>
        </w:rPr>
        <w:t>Effect on mulberry plant</w:t>
      </w:r>
    </w:p>
    <w:p w14:paraId="75498457" w14:textId="3B84524E" w:rsidR="006C2583" w:rsidRPr="00384711" w:rsidRDefault="0038728F" w:rsidP="00787BE5">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Effect on mulberry plant growth and yield</w:t>
      </w:r>
    </w:p>
    <w:p w14:paraId="3407C45D" w14:textId="7C45ADD5" w:rsidR="00C77E28" w:rsidRPr="00384711" w:rsidRDefault="00D977CC" w:rsidP="00B617C7">
      <w:pPr>
        <w:spacing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 xml:space="preserve">Annual leaf yield per hectare increased by 142.1% with the application of 1 ton of mineral-enriched biochar and by 115.9% with 1 ton of rice husk biochar, when combined with the BSRTI-recommended basal dose of NPK, compared to the control. However, specific studies on the combined use of biochar and inorganic fertilizers in mulberry cultivation are lacking. Research on other crops has shown positive interactions between biochar and chemical fertilizers. For instance, Igarashi (2002) reported that rice husk biochar enhanced yields of maize, soybean, and peanut in Indonesia. Similarly, Lehmann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(2006) observed that high biochar application rates in tropical soils improved plant uptake of nutrients such as P, K, Ca, Zn, and Cu. These findings suggest that integrating biochar with inorganic fertilizers may enhance nutrient availability and uptake, thereby supporting mulberry growth and yield.</w:t>
      </w:r>
    </w:p>
    <w:p w14:paraId="2067000F" w14:textId="5C015E1C" w:rsidR="00D70795" w:rsidRPr="00384711" w:rsidRDefault="00D70795" w:rsidP="00787BE5">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Reduces diseases in mulberry plant</w:t>
      </w:r>
    </w:p>
    <w:p w14:paraId="233B829F" w14:textId="2963DD14" w:rsidR="00C77E28" w:rsidRPr="00C77E28" w:rsidRDefault="00D977CC" w:rsidP="00D977CC">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Application of biochar to soil has been shown to reduce the prevalence of common mulberry diseases. In our study, the use of mineral-enriched biochar lowered disease incidence by nearly 50%. This effect may be attributed to the balanced supply of essential macro- and micronutrients in biochar, which support plant growth, enhance microbial activity, and contribute to disease suppression. Similar arguments were presented by Huber and Graham (1999), who emphasized the critical role of nutrients in plant development, soil microbial processes, and disease regulation.</w:t>
      </w:r>
    </w:p>
    <w:p w14:paraId="3D0EE1C2" w14:textId="2A050453" w:rsidR="00C77E28" w:rsidRPr="00C77E28" w:rsidRDefault="00D977CC" w:rsidP="00D977CC">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Although limited research has examined the role of biochar in plant disease resistance, evidence from other crops suggests promising outcomes. Elad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 reported significant reductions in disease severity caused by necrotrophic (</w:t>
      </w:r>
      <w:r w:rsidR="00C77E28" w:rsidRPr="00C77E28">
        <w:rPr>
          <w:rFonts w:ascii="Times New Roman" w:eastAsia="Times New Roman" w:hAnsi="Times New Roman" w:cs="Times New Roman"/>
          <w:i/>
          <w:iCs/>
          <w:sz w:val="24"/>
          <w:szCs w:val="24"/>
        </w:rPr>
        <w:t>Botrytis cinerea</w:t>
      </w:r>
      <w:r w:rsidR="00C77E28" w:rsidRPr="00C77E28">
        <w:rPr>
          <w:rFonts w:ascii="Times New Roman" w:eastAsia="Times New Roman" w:hAnsi="Times New Roman" w:cs="Times New Roman"/>
          <w:sz w:val="24"/>
          <w:szCs w:val="24"/>
        </w:rPr>
        <w:t>) and biotrophic (</w:t>
      </w:r>
      <w:proofErr w:type="spellStart"/>
      <w:r w:rsidR="00C77E28" w:rsidRPr="00C77E28">
        <w:rPr>
          <w:rFonts w:ascii="Times New Roman" w:eastAsia="Times New Roman" w:hAnsi="Times New Roman" w:cs="Times New Roman"/>
          <w:i/>
          <w:iCs/>
          <w:sz w:val="24"/>
          <w:szCs w:val="24"/>
        </w:rPr>
        <w:t>Oidiopsis</w:t>
      </w:r>
      <w:proofErr w:type="spellEnd"/>
      <w:r w:rsidR="00C77E28" w:rsidRPr="00C77E28">
        <w:rPr>
          <w:rFonts w:ascii="Times New Roman" w:eastAsia="Times New Roman" w:hAnsi="Times New Roman" w:cs="Times New Roman"/>
          <w:i/>
          <w:iCs/>
          <w:sz w:val="24"/>
          <w:szCs w:val="24"/>
        </w:rPr>
        <w:t xml:space="preserve"> </w:t>
      </w:r>
      <w:proofErr w:type="spellStart"/>
      <w:r w:rsidR="00C77E28" w:rsidRPr="00C77E28">
        <w:rPr>
          <w:rFonts w:ascii="Times New Roman" w:eastAsia="Times New Roman" w:hAnsi="Times New Roman" w:cs="Times New Roman"/>
          <w:i/>
          <w:iCs/>
          <w:sz w:val="24"/>
          <w:szCs w:val="24"/>
        </w:rPr>
        <w:lastRenderedPageBreak/>
        <w:t>sicula</w:t>
      </w:r>
      <w:proofErr w:type="spellEnd"/>
      <w:r w:rsidR="00C77E28" w:rsidRPr="00C77E28">
        <w:rPr>
          <w:rFonts w:ascii="Times New Roman" w:eastAsia="Times New Roman" w:hAnsi="Times New Roman" w:cs="Times New Roman"/>
          <w:sz w:val="24"/>
          <w:szCs w:val="24"/>
        </w:rPr>
        <w:t xml:space="preserve">, teleomorph: </w:t>
      </w:r>
      <w:proofErr w:type="spellStart"/>
      <w:r w:rsidR="00C77E28" w:rsidRPr="00C77E28">
        <w:rPr>
          <w:rFonts w:ascii="Times New Roman" w:eastAsia="Times New Roman" w:hAnsi="Times New Roman" w:cs="Times New Roman"/>
          <w:i/>
          <w:iCs/>
          <w:sz w:val="24"/>
          <w:szCs w:val="24"/>
        </w:rPr>
        <w:t>Leveillula</w:t>
      </w:r>
      <w:proofErr w:type="spellEnd"/>
      <w:r w:rsidR="00C77E28" w:rsidRPr="00C77E28">
        <w:rPr>
          <w:rFonts w:ascii="Times New Roman" w:eastAsia="Times New Roman" w:hAnsi="Times New Roman" w:cs="Times New Roman"/>
          <w:i/>
          <w:iCs/>
          <w:sz w:val="24"/>
          <w:szCs w:val="24"/>
        </w:rPr>
        <w:t xml:space="preserve"> </w:t>
      </w:r>
      <w:proofErr w:type="spellStart"/>
      <w:r w:rsidR="00C77E28" w:rsidRPr="00C77E28">
        <w:rPr>
          <w:rFonts w:ascii="Times New Roman" w:eastAsia="Times New Roman" w:hAnsi="Times New Roman" w:cs="Times New Roman"/>
          <w:i/>
          <w:iCs/>
          <w:sz w:val="24"/>
          <w:szCs w:val="24"/>
        </w:rPr>
        <w:t>taurica</w:t>
      </w:r>
      <w:proofErr w:type="spellEnd"/>
      <w:r w:rsidR="00C77E28" w:rsidRPr="00C77E28">
        <w:rPr>
          <w:rFonts w:ascii="Times New Roman" w:eastAsia="Times New Roman" w:hAnsi="Times New Roman" w:cs="Times New Roman"/>
          <w:sz w:val="24"/>
          <w:szCs w:val="24"/>
        </w:rPr>
        <w:t xml:space="preserve">) foliar pathogens in pepper and tomato under biochar-amended conditions. Furthermore, chemical residues in biochar tars incorporated into the soil may exert direct toxic effects on pathogens, as suggested by Graber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 Biochar also improves plant nutrition and supports microbial communities, including those capable of degrading toxic organic pollutants, which often show increased resistance to harmful compounds. Notably, antibiotic- and volatile organic compound–producing microbes are commonly more resilient to multiple antibiotics (</w:t>
      </w:r>
      <w:proofErr w:type="spellStart"/>
      <w:r w:rsidR="00C77E28" w:rsidRPr="00C77E28">
        <w:rPr>
          <w:rFonts w:ascii="Times New Roman" w:eastAsia="Times New Roman" w:hAnsi="Times New Roman" w:cs="Times New Roman"/>
          <w:sz w:val="24"/>
          <w:szCs w:val="24"/>
        </w:rPr>
        <w:t>Nodwell</w:t>
      </w:r>
      <w:proofErr w:type="spellEnd"/>
      <w:r w:rsidR="00C77E28" w:rsidRPr="00C77E28">
        <w:rPr>
          <w:rFonts w:ascii="Times New Roman" w:eastAsia="Times New Roman" w:hAnsi="Times New Roman" w:cs="Times New Roman"/>
          <w:sz w:val="24"/>
          <w:szCs w:val="24"/>
        </w:rPr>
        <w:t xml:space="preserve">, 2007; Laskaris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2010), and biochar-amended soils have been found to harbor antibiotic-producing strains such as </w:t>
      </w:r>
      <w:r w:rsidR="00C77E28" w:rsidRPr="00C77E28">
        <w:rPr>
          <w:rFonts w:ascii="Times New Roman" w:eastAsia="Times New Roman" w:hAnsi="Times New Roman" w:cs="Times New Roman"/>
          <w:i/>
          <w:iCs/>
          <w:sz w:val="24"/>
          <w:szCs w:val="24"/>
        </w:rPr>
        <w:t xml:space="preserve">Pseudomonas </w:t>
      </w:r>
      <w:proofErr w:type="spellStart"/>
      <w:r w:rsidR="00C77E28" w:rsidRPr="00C77E28">
        <w:rPr>
          <w:rFonts w:ascii="Times New Roman" w:eastAsia="Times New Roman" w:hAnsi="Times New Roman" w:cs="Times New Roman"/>
          <w:i/>
          <w:iCs/>
          <w:sz w:val="24"/>
          <w:szCs w:val="24"/>
        </w:rPr>
        <w:t>mendocina</w:t>
      </w:r>
      <w:proofErr w:type="spellEnd"/>
      <w:r w:rsidR="00C77E28" w:rsidRPr="00C77E28">
        <w:rPr>
          <w:rFonts w:ascii="Times New Roman" w:eastAsia="Times New Roman" w:hAnsi="Times New Roman" w:cs="Times New Roman"/>
          <w:sz w:val="24"/>
          <w:szCs w:val="24"/>
        </w:rPr>
        <w:t xml:space="preserve"> and </w:t>
      </w:r>
      <w:r w:rsidR="00C77E28" w:rsidRPr="00C77E28">
        <w:rPr>
          <w:rFonts w:ascii="Times New Roman" w:eastAsia="Times New Roman" w:hAnsi="Times New Roman" w:cs="Times New Roman"/>
          <w:i/>
          <w:iCs/>
          <w:sz w:val="24"/>
          <w:szCs w:val="24"/>
        </w:rPr>
        <w:t>P. aeruginosa</w:t>
      </w:r>
      <w:r w:rsidR="00C77E28" w:rsidRPr="00C77E28">
        <w:rPr>
          <w:rFonts w:ascii="Times New Roman" w:eastAsia="Times New Roman" w:hAnsi="Times New Roman" w:cs="Times New Roman"/>
          <w:sz w:val="24"/>
          <w:szCs w:val="24"/>
        </w:rPr>
        <w:t xml:space="preserve"> (Graber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w:t>
      </w:r>
    </w:p>
    <w:p w14:paraId="79F2FF62" w14:textId="512271AC" w:rsidR="009B751C" w:rsidRPr="00384711" w:rsidRDefault="009B751C" w:rsidP="00787BE5">
      <w:pPr>
        <w:pStyle w:val="ListParagraph"/>
        <w:numPr>
          <w:ilvl w:val="0"/>
          <w:numId w:val="6"/>
        </w:numPr>
        <w:spacing w:after="0" w:line="360" w:lineRule="auto"/>
        <w:ind w:left="630" w:hanging="270"/>
        <w:jc w:val="both"/>
        <w:rPr>
          <w:rFonts w:ascii="Times New Roman" w:hAnsi="Times New Roman" w:cs="Times New Roman"/>
          <w:sz w:val="24"/>
          <w:szCs w:val="24"/>
        </w:rPr>
      </w:pPr>
      <w:r w:rsidRPr="00384711">
        <w:rPr>
          <w:rFonts w:ascii="Times New Roman" w:hAnsi="Times New Roman" w:cs="Times New Roman"/>
          <w:b/>
          <w:bCs/>
          <w:sz w:val="24"/>
          <w:szCs w:val="24"/>
        </w:rPr>
        <w:t>Indirect effects on silkworm</w:t>
      </w:r>
    </w:p>
    <w:p w14:paraId="68A1010A" w14:textId="4622B588" w:rsidR="00D27A7B" w:rsidRPr="00384711" w:rsidRDefault="00B617C7" w:rsidP="00787BE5">
      <w:pPr>
        <w:spacing w:line="360" w:lineRule="auto"/>
        <w:ind w:firstLine="630"/>
        <w:jc w:val="both"/>
        <w:rPr>
          <w:rFonts w:ascii="Times New Roman" w:hAnsi="Times New Roman" w:cs="Times New Roman"/>
          <w:sz w:val="24"/>
          <w:szCs w:val="24"/>
        </w:rPr>
      </w:pPr>
      <w:r w:rsidRPr="00384711">
        <w:rPr>
          <w:rFonts w:ascii="Times New Roman" w:hAnsi="Times New Roman" w:cs="Times New Roman"/>
          <w:sz w:val="24"/>
          <w:szCs w:val="24"/>
        </w:rPr>
        <w:t xml:space="preserve">The combined application of mulberry shoot biochar with farmyard manure (FYM) and the recommended dose of fertilizers (RDF) improved rearing, cocoon, and reeling parameters by supplying essential nutrients for mulberry growth, compared to the package of practices and control treatments. This integrated approach not only enhanced leaf quality but also supported superior silkworm performance and cocoon traits. Moreover, the utilization of sericulture residues from mulberry cultivation and silkworm rearing for biochar production provides opportunities for additional income generation, entrepreneurship development, and value addition, thereby promoting sustainability in sericulture (Ranjitha </w:t>
      </w:r>
      <w:r w:rsidR="00A6543C" w:rsidRPr="00384711">
        <w:rPr>
          <w:rFonts w:ascii="Times New Roman" w:hAnsi="Times New Roman" w:cs="Times New Roman"/>
          <w:i/>
          <w:iCs/>
          <w:sz w:val="24"/>
          <w:szCs w:val="24"/>
        </w:rPr>
        <w:t>et al</w:t>
      </w:r>
      <w:r w:rsidRPr="00384711">
        <w:rPr>
          <w:rFonts w:ascii="Times New Roman" w:hAnsi="Times New Roman" w:cs="Times New Roman"/>
          <w:sz w:val="24"/>
          <w:szCs w:val="24"/>
        </w:rPr>
        <w:t>., 2024).</w:t>
      </w:r>
    </w:p>
    <w:p w14:paraId="442412B1" w14:textId="7D59EAFD" w:rsidR="00E242CD" w:rsidRDefault="00072DAE" w:rsidP="00A728BD">
      <w:pPr>
        <w:pStyle w:val="ListParagraph"/>
        <w:numPr>
          <w:ilvl w:val="0"/>
          <w:numId w:val="6"/>
        </w:numPr>
        <w:spacing w:after="0" w:line="360" w:lineRule="auto"/>
        <w:ind w:left="630" w:hanging="27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Conclusion </w:t>
      </w:r>
      <w:r w:rsidR="00E242CD">
        <w:rPr>
          <w:rFonts w:ascii="Times New Roman" w:hAnsi="Times New Roman" w:cs="Times New Roman"/>
          <w:b/>
          <w:bCs/>
          <w:sz w:val="24"/>
          <w:szCs w:val="24"/>
        </w:rPr>
        <w:t xml:space="preserve">and future </w:t>
      </w:r>
      <w:bookmarkStart w:id="0" w:name="_Hlk204003461"/>
      <w:r w:rsidR="00E242CD">
        <w:rPr>
          <w:rFonts w:ascii="Times New Roman" w:hAnsi="Times New Roman" w:cs="Times New Roman"/>
          <w:b/>
          <w:bCs/>
          <w:sz w:val="24"/>
          <w:szCs w:val="24"/>
        </w:rPr>
        <w:t>scope</w:t>
      </w:r>
    </w:p>
    <w:p w14:paraId="4806F429" w14:textId="6177988C" w:rsidR="00E242CD" w:rsidRPr="00E242CD" w:rsidRDefault="00E242CD" w:rsidP="00E242CD">
      <w:pPr>
        <w:pStyle w:val="ListParagraph"/>
        <w:spacing w:after="0" w:line="360" w:lineRule="auto"/>
        <w:ind w:left="0" w:firstLine="630"/>
        <w:jc w:val="both"/>
        <w:rPr>
          <w:rFonts w:ascii="Times New Roman" w:hAnsi="Times New Roman" w:cs="Times New Roman"/>
          <w:b/>
          <w:bCs/>
          <w:sz w:val="24"/>
          <w:szCs w:val="24"/>
        </w:rPr>
      </w:pPr>
      <w:r w:rsidRPr="00E242CD">
        <w:rPr>
          <w:rFonts w:ascii="Times New Roman" w:hAnsi="Times New Roman" w:cs="Times New Roman"/>
          <w:sz w:val="24"/>
          <w:szCs w:val="24"/>
        </w:rPr>
        <w:t>The use of biochar in mulberry (Morus spp.) cultivation improves soil fertility, enhances nutrient availability, and increases leaf yield, thereby promoting better silkworm growth and cocoon productivity. When integrated with organic manures and chemical fertilizers, it not only sustains mulberry farming but also supports waste reutilization, income generation, and environmental sustainability, making it a promising strategy for advancing sericulture. However, research gaps persist regarding its long-term impacts on soil systems, nutrient cycling, and leaf quality under varied agro-climatic conditions. Most existing studies are short-term and site-specific, with limited understanding of optimal application rates, biochar types, and their interactions with other inputs. Future research should therefore emphasize multi-season field trials, standardized biochar production from mulberry residues, and assessments of its role in silkworm health, cocoon quality, and carbon sequestration to firmly establish biochar as a sustainable input in sericulture.</w:t>
      </w:r>
    </w:p>
    <w:p w14:paraId="76BF0F69" w14:textId="781490E1" w:rsidR="00A728BD" w:rsidRPr="00E242CD" w:rsidRDefault="00A728BD" w:rsidP="00A728BD">
      <w:pPr>
        <w:rPr>
          <w:rFonts w:ascii="Calibri" w:eastAsia="Calibri" w:hAnsi="Calibri" w:cs="Times New Roman"/>
          <w:b/>
          <w:bCs/>
          <w:kern w:val="2"/>
          <w:highlight w:val="yellow"/>
        </w:rPr>
      </w:pPr>
      <w:r w:rsidRPr="00E242CD">
        <w:rPr>
          <w:rFonts w:ascii="Calibri" w:eastAsia="Calibri" w:hAnsi="Calibri" w:cs="Times New Roman"/>
          <w:b/>
          <w:bCs/>
          <w:kern w:val="2"/>
          <w:highlight w:val="yellow"/>
        </w:rPr>
        <w:lastRenderedPageBreak/>
        <w:t>Disclaimer (Artificial intelligence)</w:t>
      </w:r>
    </w:p>
    <w:p w14:paraId="34A1EE68" w14:textId="77777777" w:rsidR="00A728BD" w:rsidRPr="00046C34" w:rsidRDefault="00A728BD" w:rsidP="00A728BD">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0"/>
    <w:p w14:paraId="7BAA6BC7" w14:textId="4B22EE6C" w:rsidR="00D8664F" w:rsidRPr="00384711" w:rsidRDefault="00D8664F" w:rsidP="00FA5E1A">
      <w:p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References </w:t>
      </w:r>
    </w:p>
    <w:p w14:paraId="32134D91" w14:textId="77777777" w:rsidR="001E1115" w:rsidRPr="00384711" w:rsidRDefault="001E1115" w:rsidP="001E1115">
      <w:pPr>
        <w:pStyle w:val="NormalWeb"/>
        <w:spacing w:before="0" w:beforeAutospacing="0" w:line="276" w:lineRule="auto"/>
        <w:ind w:left="810" w:hanging="810"/>
      </w:pPr>
      <w:r w:rsidRPr="00384711">
        <w:t xml:space="preserve">Arif, M., Ali, S., Ilyas, M., Riaz, M., Akhtar, K., Ali, K., &amp; Wang, H. (2020). Enhancing phosphorus availability, soil organic carbon, maize productivity, and farm profitability through biochar and organic–inorganic fertilizers in an irrigated maize agroecosystem under semi-arid climate. </w:t>
      </w:r>
      <w:r w:rsidRPr="00384711">
        <w:rPr>
          <w:rStyle w:val="Emphasis"/>
          <w:rFonts w:eastAsiaTheme="majorEastAsia"/>
        </w:rPr>
        <w:t>Soil Use and Management, 36</w:t>
      </w:r>
      <w:r w:rsidRPr="00384711">
        <w:t>(4), 543–556.</w:t>
      </w:r>
    </w:p>
    <w:p w14:paraId="2993886C" w14:textId="77777777" w:rsidR="001E1115" w:rsidRPr="00384711" w:rsidRDefault="001E1115" w:rsidP="00384711">
      <w:pPr>
        <w:pStyle w:val="NormalWeb"/>
        <w:spacing w:line="276" w:lineRule="auto"/>
        <w:ind w:left="810" w:hanging="810"/>
      </w:pPr>
      <w:r w:rsidRPr="00384711">
        <w:t xml:space="preserve">Arunkumar, B. R., </w:t>
      </w:r>
      <w:proofErr w:type="spellStart"/>
      <w:r w:rsidRPr="00384711">
        <w:t>Thippeshappa</w:t>
      </w:r>
      <w:proofErr w:type="spellEnd"/>
      <w:r w:rsidRPr="00384711">
        <w:t xml:space="preserve">, G. N., &amp; </w:t>
      </w:r>
      <w:proofErr w:type="spellStart"/>
      <w:r w:rsidRPr="00384711">
        <w:t>Bhogi</w:t>
      </w:r>
      <w:proofErr w:type="spellEnd"/>
      <w:r w:rsidRPr="00384711">
        <w:t xml:space="preserve">, B. H. (2020). Effect of levels of coconut shell biochar and farm yard manure on soil properties under upland rice cultivation. </w:t>
      </w:r>
      <w:r w:rsidRPr="00384711">
        <w:rPr>
          <w:rStyle w:val="Emphasis"/>
          <w:rFonts w:eastAsiaTheme="majorEastAsia"/>
        </w:rPr>
        <w:t>International Research Journal of Pure and Applied Chemistry, 21</w:t>
      </w:r>
      <w:r w:rsidRPr="00384711">
        <w:t>(11), 18–35.</w:t>
      </w:r>
    </w:p>
    <w:p w14:paraId="1BE55B6C" w14:textId="77777777" w:rsidR="001E1115" w:rsidRPr="00384711" w:rsidRDefault="001E1115" w:rsidP="00384711">
      <w:pPr>
        <w:pStyle w:val="NormalWeb"/>
        <w:spacing w:line="276" w:lineRule="auto"/>
        <w:ind w:left="810" w:hanging="810"/>
      </w:pPr>
      <w:r w:rsidRPr="00384711">
        <w:t xml:space="preserve">Atkinson, C. J., Fitzgerald, J. D., &amp; Hipps, N. A. (2010). Potential mechanisms for achieving agricultural benefits from biochar application to temperate soils: A review. </w:t>
      </w:r>
      <w:r w:rsidRPr="00384711">
        <w:rPr>
          <w:rStyle w:val="Emphasis"/>
          <w:rFonts w:eastAsiaTheme="majorEastAsia"/>
        </w:rPr>
        <w:t>Plant and Soil, 337</w:t>
      </w:r>
      <w:r w:rsidRPr="00384711">
        <w:t>(1–2), 1–18.</w:t>
      </w:r>
    </w:p>
    <w:p w14:paraId="48F0FCF3" w14:textId="77777777" w:rsidR="001E1115" w:rsidRPr="00384711" w:rsidRDefault="001E1115" w:rsidP="00384711">
      <w:pPr>
        <w:pStyle w:val="NormalWeb"/>
        <w:spacing w:line="276" w:lineRule="auto"/>
        <w:ind w:left="810" w:hanging="810"/>
      </w:pPr>
      <w:proofErr w:type="spellStart"/>
      <w:r w:rsidRPr="00384711">
        <w:t>Awad</w:t>
      </w:r>
      <w:proofErr w:type="spellEnd"/>
      <w:r w:rsidRPr="00384711">
        <w:t xml:space="preserve">, Y. M., Lee, S. S., Kim, K. H., Ok, Y. S., &amp; </w:t>
      </w:r>
      <w:proofErr w:type="spellStart"/>
      <w:r w:rsidRPr="00384711">
        <w:t>Kuzyakov</w:t>
      </w:r>
      <w:proofErr w:type="spellEnd"/>
      <w:r w:rsidRPr="00384711">
        <w:t xml:space="preserve">, Y. (2018). Carbon and nitrogen mineralization and enzyme activities in soil aggregate-size classes: Effects of biochar, oyster shells, and polymers. </w:t>
      </w:r>
      <w:r w:rsidRPr="00384711">
        <w:rPr>
          <w:rStyle w:val="Emphasis"/>
          <w:rFonts w:eastAsiaTheme="majorEastAsia"/>
        </w:rPr>
        <w:t>Chemosphere, 198</w:t>
      </w:r>
      <w:r w:rsidRPr="00384711">
        <w:t>, 40–48.</w:t>
      </w:r>
    </w:p>
    <w:p w14:paraId="6024D163" w14:textId="77777777" w:rsidR="001E1115" w:rsidRPr="00384711" w:rsidRDefault="001E1115" w:rsidP="00384711">
      <w:pPr>
        <w:pStyle w:val="NormalWeb"/>
        <w:spacing w:line="276" w:lineRule="auto"/>
        <w:ind w:left="810" w:hanging="810"/>
      </w:pPr>
      <w:r w:rsidRPr="00384711">
        <w:t xml:space="preserve">Brewer, C. E., Chuang, V. J., Masiello, C. A., </w:t>
      </w:r>
      <w:proofErr w:type="spellStart"/>
      <w:r w:rsidRPr="00384711">
        <w:t>Gonnermann</w:t>
      </w:r>
      <w:proofErr w:type="spellEnd"/>
      <w:r w:rsidRPr="00384711">
        <w:t xml:space="preserve">, H., Gao, X., Dugan, B., &amp; Davies, C. A. (2014). New approaches to measuring biochar density and porosity. </w:t>
      </w:r>
      <w:r w:rsidRPr="00384711">
        <w:rPr>
          <w:rStyle w:val="Emphasis"/>
          <w:rFonts w:eastAsiaTheme="majorEastAsia"/>
        </w:rPr>
        <w:t>Biomass and Bioenergy, 66</w:t>
      </w:r>
      <w:r w:rsidRPr="00384711">
        <w:t>, 176–185.</w:t>
      </w:r>
    </w:p>
    <w:p w14:paraId="7F81BE5E" w14:textId="77777777" w:rsidR="001E1115" w:rsidRPr="00384711" w:rsidRDefault="001E1115" w:rsidP="00384711">
      <w:pPr>
        <w:pStyle w:val="NormalWeb"/>
        <w:spacing w:line="276" w:lineRule="auto"/>
        <w:ind w:left="810" w:hanging="810"/>
      </w:pPr>
      <w:r w:rsidRPr="00384711">
        <w:t xml:space="preserve">Chan, K. Y., &amp; Xu, Z. (2009). Biochar: Nutrient properties and their enhancement. In J. Lehmann &amp; S. Joseph (Eds.), </w:t>
      </w:r>
      <w:r w:rsidRPr="00384711">
        <w:rPr>
          <w:rStyle w:val="Emphasis"/>
          <w:rFonts w:eastAsiaTheme="majorEastAsia"/>
        </w:rPr>
        <w:t>Biochar for environmental management: Science and technology</w:t>
      </w:r>
      <w:r w:rsidRPr="00384711">
        <w:t xml:space="preserve"> (pp. 67–84). Earthscan.</w:t>
      </w:r>
    </w:p>
    <w:p w14:paraId="2F712292" w14:textId="77777777" w:rsidR="001E1115" w:rsidRPr="00384711" w:rsidRDefault="001E1115" w:rsidP="00384711">
      <w:pPr>
        <w:pStyle w:val="NormalWeb"/>
        <w:spacing w:line="276" w:lineRule="auto"/>
        <w:ind w:left="810" w:hanging="810"/>
      </w:pPr>
      <w:r w:rsidRPr="00384711">
        <w:t xml:space="preserve">Chan, K. Y., Van </w:t>
      </w:r>
      <w:proofErr w:type="spellStart"/>
      <w:r w:rsidRPr="00384711">
        <w:t>Zwieten</w:t>
      </w:r>
      <w:proofErr w:type="spellEnd"/>
      <w:r w:rsidRPr="00384711">
        <w:t xml:space="preserve">, L., Meszaros, I. A., Downie, C., &amp; Joseph, S. (2008). Using poultry litter biochar as soil amendments. </w:t>
      </w:r>
      <w:r w:rsidRPr="00384711">
        <w:rPr>
          <w:rStyle w:val="Emphasis"/>
          <w:rFonts w:eastAsiaTheme="majorEastAsia"/>
        </w:rPr>
        <w:t>Australian Journal of Soil Research, 46</w:t>
      </w:r>
      <w:r w:rsidRPr="00384711">
        <w:t>(5), 437–444.</w:t>
      </w:r>
    </w:p>
    <w:p w14:paraId="22480FC9" w14:textId="77777777" w:rsidR="001E1115" w:rsidRPr="00384711" w:rsidRDefault="001E1115" w:rsidP="00384711">
      <w:pPr>
        <w:pStyle w:val="NormalWeb"/>
        <w:spacing w:line="276" w:lineRule="auto"/>
        <w:ind w:left="810" w:hanging="810"/>
      </w:pPr>
      <w:r w:rsidRPr="00384711">
        <w:t xml:space="preserve">Chan, K. Y., Van </w:t>
      </w:r>
      <w:proofErr w:type="spellStart"/>
      <w:r w:rsidRPr="00384711">
        <w:t>Zwieten</w:t>
      </w:r>
      <w:proofErr w:type="spellEnd"/>
      <w:r w:rsidRPr="00384711">
        <w:t xml:space="preserve">, L., Meszaros, I., Downie, A., &amp; Joseph, S. (2007). Agronomic values of green waste biochar as a soil amendment. </w:t>
      </w:r>
      <w:r w:rsidRPr="00384711">
        <w:rPr>
          <w:rStyle w:val="Emphasis"/>
          <w:rFonts w:eastAsiaTheme="majorEastAsia"/>
        </w:rPr>
        <w:t>Australian Journal of Soil Research, 45</w:t>
      </w:r>
      <w:r w:rsidRPr="00384711">
        <w:t>(8), 629–634.</w:t>
      </w:r>
    </w:p>
    <w:p w14:paraId="41925634" w14:textId="77777777" w:rsidR="001E1115" w:rsidRPr="00384711" w:rsidRDefault="001E1115" w:rsidP="00384711">
      <w:pPr>
        <w:pStyle w:val="NormalWeb"/>
        <w:spacing w:line="276" w:lineRule="auto"/>
        <w:ind w:left="810" w:hanging="810"/>
      </w:pPr>
      <w:r w:rsidRPr="00384711">
        <w:t xml:space="preserve">Dai, Z., Zhang, X., Tang, C., Muhammad, N., Wu, J., Brookes, P. C., &amp; Xu, J. (2017). Potential role of </w:t>
      </w:r>
      <w:proofErr w:type="spellStart"/>
      <w:r w:rsidRPr="00384711">
        <w:t>biochars</w:t>
      </w:r>
      <w:proofErr w:type="spellEnd"/>
      <w:r w:rsidRPr="00384711">
        <w:t xml:space="preserve"> in decreasing soil acidification: A critical review. </w:t>
      </w:r>
      <w:r w:rsidRPr="00384711">
        <w:rPr>
          <w:rStyle w:val="Emphasis"/>
          <w:rFonts w:eastAsiaTheme="majorEastAsia"/>
        </w:rPr>
        <w:t>Science of the Total Environment, 581</w:t>
      </w:r>
      <w:r w:rsidRPr="00384711">
        <w:t>, 601–611.</w:t>
      </w:r>
    </w:p>
    <w:p w14:paraId="2601EDF9" w14:textId="77777777" w:rsidR="001E1115" w:rsidRPr="00384711" w:rsidRDefault="001E1115" w:rsidP="00384711">
      <w:pPr>
        <w:pStyle w:val="NormalWeb"/>
        <w:spacing w:line="276" w:lineRule="auto"/>
        <w:ind w:left="810" w:hanging="810"/>
      </w:pPr>
      <w:r w:rsidRPr="00384711">
        <w:lastRenderedPageBreak/>
        <w:t xml:space="preserve">Downie, A., </w:t>
      </w:r>
      <w:proofErr w:type="spellStart"/>
      <w:r w:rsidRPr="00384711">
        <w:t>Crosky</w:t>
      </w:r>
      <w:proofErr w:type="spellEnd"/>
      <w:r w:rsidRPr="00384711">
        <w:t xml:space="preserve">, A., &amp; Munroe, P. (2009). Physical properties of biochar. In J. Lehmann &amp; S. Joseph (Eds.), </w:t>
      </w:r>
      <w:r w:rsidRPr="00384711">
        <w:rPr>
          <w:rStyle w:val="Emphasis"/>
          <w:rFonts w:eastAsiaTheme="majorEastAsia"/>
        </w:rPr>
        <w:t>Biochar for environmental management: Science and technology</w:t>
      </w:r>
      <w:r w:rsidRPr="00384711">
        <w:t xml:space="preserve"> (pp. 13–32). Earthscan.</w:t>
      </w:r>
    </w:p>
    <w:p w14:paraId="33131E35" w14:textId="77777777" w:rsidR="001E1115" w:rsidRPr="00384711" w:rsidRDefault="001E1115" w:rsidP="00384711">
      <w:pPr>
        <w:pStyle w:val="NormalWeb"/>
        <w:spacing w:line="276" w:lineRule="auto"/>
        <w:ind w:left="810" w:hanging="810"/>
      </w:pPr>
      <w:r w:rsidRPr="00384711">
        <w:t xml:space="preserve">Elad, Y., David, D. R., Harel, Y. M., </w:t>
      </w:r>
      <w:proofErr w:type="spellStart"/>
      <w:r w:rsidRPr="00384711">
        <w:t>Borenshtein</w:t>
      </w:r>
      <w:proofErr w:type="spellEnd"/>
      <w:r w:rsidRPr="00384711">
        <w:t xml:space="preserve">, M., Ben Kalifa, H., Silber, A., &amp; Graber, E. R. (2010). Induction of systemic resistance in plants by biochar, a soil-applied carbon sequestering agent. </w:t>
      </w:r>
      <w:r w:rsidRPr="00384711">
        <w:rPr>
          <w:rStyle w:val="Emphasis"/>
          <w:rFonts w:eastAsiaTheme="majorEastAsia"/>
        </w:rPr>
        <w:t>Phytopathology, 100</w:t>
      </w:r>
      <w:r w:rsidRPr="00384711">
        <w:t>(9), 913–921.</w:t>
      </w:r>
    </w:p>
    <w:p w14:paraId="7F7AAC4B" w14:textId="77777777" w:rsidR="001E1115" w:rsidRPr="00384711" w:rsidRDefault="001E1115" w:rsidP="00384711">
      <w:pPr>
        <w:pStyle w:val="NormalWeb"/>
        <w:spacing w:line="276" w:lineRule="auto"/>
        <w:ind w:left="810" w:hanging="810"/>
      </w:pPr>
      <w:r w:rsidRPr="00384711">
        <w:t xml:space="preserve">Graber, E. R., Harel, Y. M., Kolton, M., Cytryn, E., Silber, A., David, D. R., </w:t>
      </w:r>
      <w:proofErr w:type="spellStart"/>
      <w:r w:rsidRPr="00384711">
        <w:t>Tsechansky</w:t>
      </w:r>
      <w:proofErr w:type="spellEnd"/>
      <w:r w:rsidRPr="00384711">
        <w:t xml:space="preserve">, L., </w:t>
      </w:r>
      <w:proofErr w:type="spellStart"/>
      <w:r w:rsidRPr="00384711">
        <w:t>Borenshtein</w:t>
      </w:r>
      <w:proofErr w:type="spellEnd"/>
      <w:r w:rsidRPr="00384711">
        <w:t xml:space="preserve">, M., &amp; Elad, Y. (2010). Biochar impact on development and productivity of pepper and tomato grown in fertigated soilless media. </w:t>
      </w:r>
      <w:r w:rsidRPr="00384711">
        <w:rPr>
          <w:rStyle w:val="Emphasis"/>
          <w:rFonts w:eastAsiaTheme="majorEastAsia"/>
        </w:rPr>
        <w:t>Plant and Soil, 337</w:t>
      </w:r>
      <w:r w:rsidRPr="00384711">
        <w:t>(1–2), 481–496.</w:t>
      </w:r>
    </w:p>
    <w:p w14:paraId="2030BFAB" w14:textId="389AA492" w:rsidR="001E1115" w:rsidRPr="00384711" w:rsidRDefault="001E1115" w:rsidP="00384711">
      <w:pPr>
        <w:pStyle w:val="NormalWeb"/>
        <w:spacing w:line="276" w:lineRule="auto"/>
        <w:ind w:left="810" w:hanging="810"/>
      </w:pPr>
      <w:r w:rsidRPr="00384711">
        <w:t xml:space="preserve">Hass, A., Gonzalez, J. M., Lima, I. M., </w:t>
      </w:r>
      <w:proofErr w:type="spellStart"/>
      <w:r w:rsidRPr="00384711">
        <w:t>Habteselassie</w:t>
      </w:r>
      <w:proofErr w:type="spellEnd"/>
      <w:r w:rsidRPr="00384711">
        <w:t>, M. Y., &amp;</w:t>
      </w:r>
      <w:r>
        <w:t xml:space="preserve"> </w:t>
      </w:r>
      <w:r w:rsidRPr="00384711">
        <w:t xml:space="preserve">Ji, H. (2012). Chicken manure biochar as liming and nutrient source for acid Appalachian soil. </w:t>
      </w:r>
      <w:r w:rsidRPr="00384711">
        <w:rPr>
          <w:rStyle w:val="Emphasis"/>
          <w:rFonts w:eastAsiaTheme="majorEastAsia"/>
        </w:rPr>
        <w:t>Journal of Environmental Quality, 41</w:t>
      </w:r>
      <w:r w:rsidRPr="00384711">
        <w:t>(4), 1096–1106.</w:t>
      </w:r>
    </w:p>
    <w:p w14:paraId="0935D7DE" w14:textId="77777777" w:rsidR="001E1115" w:rsidRPr="00384711" w:rsidRDefault="001E1115" w:rsidP="00384711">
      <w:pPr>
        <w:pStyle w:val="NormalWeb"/>
        <w:spacing w:line="276" w:lineRule="auto"/>
        <w:ind w:left="810" w:hanging="810"/>
      </w:pPr>
      <w:r w:rsidRPr="00384711">
        <w:t xml:space="preserve">He, L., Zhong, H., Liu, G., Dai, Z., Brookes, P. C., &amp; Xu, J. (2019). Remediation of heavy metal contaminated soils by biochar: Mechanisms, potential risks and applications in China. </w:t>
      </w:r>
      <w:r w:rsidRPr="00384711">
        <w:rPr>
          <w:rStyle w:val="Emphasis"/>
          <w:rFonts w:eastAsiaTheme="majorEastAsia"/>
        </w:rPr>
        <w:t>Environmental Pollution, 252</w:t>
      </w:r>
      <w:r w:rsidRPr="00384711">
        <w:t>, 846–855.</w:t>
      </w:r>
    </w:p>
    <w:p w14:paraId="71A723D5" w14:textId="77777777" w:rsidR="001E1115" w:rsidRPr="00384711" w:rsidRDefault="001E1115" w:rsidP="00384711">
      <w:pPr>
        <w:pStyle w:val="NormalWeb"/>
        <w:spacing w:line="276" w:lineRule="auto"/>
        <w:ind w:left="810" w:hanging="810"/>
      </w:pPr>
      <w:r w:rsidRPr="00384711">
        <w:t xml:space="preserve">Huber, D. M., &amp; Graham, R. D. (1999). The role of nutrition in crop resistance and tolerance to diseases. In Z. Rengel (Ed.), </w:t>
      </w:r>
      <w:r w:rsidRPr="00384711">
        <w:rPr>
          <w:rStyle w:val="Emphasis"/>
          <w:rFonts w:eastAsiaTheme="majorEastAsia"/>
        </w:rPr>
        <w:t>Mineral nutrition of crops: Fundamental mechanisms and implications</w:t>
      </w:r>
      <w:r w:rsidRPr="00384711">
        <w:t xml:space="preserve"> (pp. 169–206). Food Products Press.</w:t>
      </w:r>
    </w:p>
    <w:p w14:paraId="34168775" w14:textId="77777777" w:rsidR="001E1115" w:rsidRPr="00384711" w:rsidRDefault="001E1115" w:rsidP="00384711">
      <w:pPr>
        <w:pStyle w:val="NormalWeb"/>
        <w:spacing w:line="276" w:lineRule="auto"/>
        <w:ind w:left="810" w:hanging="810"/>
      </w:pPr>
      <w:r w:rsidRPr="00384711">
        <w:t xml:space="preserve">Igarashi, T. (2002). Effectiveness of soil amendments like rice husk charcoal. In </w:t>
      </w:r>
      <w:r w:rsidRPr="00384711">
        <w:rPr>
          <w:rStyle w:val="Emphasis"/>
          <w:rFonts w:eastAsiaTheme="majorEastAsia"/>
        </w:rPr>
        <w:t>Handbook for soil amendment of tropical soil</w:t>
      </w:r>
      <w:r w:rsidRPr="00384711">
        <w:t xml:space="preserve"> (pp. 127–134). Association for International Cooperation of Agriculture and Forestry (AICAF).</w:t>
      </w:r>
    </w:p>
    <w:p w14:paraId="5F576EB1" w14:textId="77777777" w:rsidR="001E1115" w:rsidRPr="00384711" w:rsidRDefault="001E1115" w:rsidP="00384711">
      <w:pPr>
        <w:pStyle w:val="NormalWeb"/>
        <w:spacing w:line="276" w:lineRule="auto"/>
        <w:ind w:left="810" w:hanging="810"/>
      </w:pPr>
      <w:r w:rsidRPr="00384711">
        <w:t xml:space="preserve">Jalal, F., Arif, M., Akhtar, K., Khan, A., Naz, M., Said, F., &amp; Ali, M. (2020). Biochar integration with legume crops in summer gape synergizes nitrogen use efficiency and enhances maize yield. </w:t>
      </w:r>
      <w:r w:rsidRPr="00384711">
        <w:rPr>
          <w:rStyle w:val="Emphasis"/>
          <w:rFonts w:eastAsiaTheme="majorEastAsia"/>
        </w:rPr>
        <w:t>Agronomy, 10</w:t>
      </w:r>
      <w:r w:rsidRPr="00384711">
        <w:t>(1), 58.</w:t>
      </w:r>
    </w:p>
    <w:p w14:paraId="383E5850" w14:textId="77777777" w:rsidR="001E1115" w:rsidRPr="00384711" w:rsidRDefault="001E1115" w:rsidP="00384711">
      <w:pPr>
        <w:pStyle w:val="NormalWeb"/>
        <w:spacing w:line="276" w:lineRule="auto"/>
        <w:ind w:left="810" w:hanging="810"/>
      </w:pPr>
      <w:r w:rsidRPr="00384711">
        <w:t xml:space="preserve">Kamali, M., </w:t>
      </w:r>
      <w:proofErr w:type="spellStart"/>
      <w:r w:rsidRPr="00384711">
        <w:t>Sweyger</w:t>
      </w:r>
      <w:proofErr w:type="spellEnd"/>
      <w:r w:rsidRPr="00384711">
        <w:t xml:space="preserve">, N., As-Salem, S., Appels, L., </w:t>
      </w:r>
      <w:proofErr w:type="spellStart"/>
      <w:r w:rsidRPr="00384711">
        <w:t>Aminabhavi</w:t>
      </w:r>
      <w:proofErr w:type="spellEnd"/>
      <w:r w:rsidRPr="00384711">
        <w:t xml:space="preserve">, T. M., &amp; Dewil, R. (2022). Biochar for soil applications: Sustainability aspects, challenges and future prospects. </w:t>
      </w:r>
      <w:r w:rsidRPr="00384711">
        <w:rPr>
          <w:rStyle w:val="Emphasis"/>
          <w:rFonts w:eastAsiaTheme="majorEastAsia"/>
        </w:rPr>
        <w:t>Chemical Engineering Journal, 428</w:t>
      </w:r>
      <w:r w:rsidRPr="00384711">
        <w:t>, 131189.</w:t>
      </w:r>
    </w:p>
    <w:p w14:paraId="4ACED100" w14:textId="77777777" w:rsidR="001E1115" w:rsidRPr="00384711" w:rsidRDefault="001E1115" w:rsidP="00384711">
      <w:pPr>
        <w:pStyle w:val="NormalWeb"/>
        <w:spacing w:line="276" w:lineRule="auto"/>
        <w:ind w:left="810" w:hanging="810"/>
      </w:pPr>
      <w:r w:rsidRPr="00384711">
        <w:t xml:space="preserve">Krishnaswami, S., </w:t>
      </w:r>
      <w:proofErr w:type="spellStart"/>
      <w:r w:rsidRPr="00384711">
        <w:t>Kumararaj</w:t>
      </w:r>
      <w:proofErr w:type="spellEnd"/>
      <w:r w:rsidRPr="00384711">
        <w:t xml:space="preserve">, S., Vijayaraghavan, K., &amp; </w:t>
      </w:r>
      <w:proofErr w:type="spellStart"/>
      <w:r w:rsidRPr="00384711">
        <w:t>Kasiviswanathan</w:t>
      </w:r>
      <w:proofErr w:type="spellEnd"/>
      <w:r w:rsidRPr="00384711">
        <w:t xml:space="preserve">, K. (1971). Silkworm feeding trials for evaluating the quality of mulberry leaves as influenced by variety, spacing and nitrogen fertilizers. </w:t>
      </w:r>
      <w:r w:rsidRPr="00384711">
        <w:rPr>
          <w:rStyle w:val="Emphasis"/>
          <w:rFonts w:eastAsiaTheme="majorEastAsia"/>
        </w:rPr>
        <w:t>Indian Journal of Sericulture, 10</w:t>
      </w:r>
      <w:r w:rsidRPr="00384711">
        <w:t>(2), 79–89.</w:t>
      </w:r>
    </w:p>
    <w:p w14:paraId="7B34C1F7" w14:textId="77777777" w:rsidR="001E1115" w:rsidRPr="00384711" w:rsidRDefault="001E1115" w:rsidP="00FA5E1A">
      <w:pPr>
        <w:pStyle w:val="NormalWeb"/>
        <w:spacing w:before="0" w:beforeAutospacing="0" w:line="276" w:lineRule="auto"/>
        <w:ind w:left="810" w:hanging="810"/>
      </w:pPr>
      <w:r w:rsidRPr="00384711">
        <w:lastRenderedPageBreak/>
        <w:t xml:space="preserve">Lamani, H. D., Prakasha, H., &amp; Naveen, D. (2024). Enhancing soil fertility of mulberry cultivated garden through sustainable recycling of mulberry stalks as biochar adjunct with organic amendments. </w:t>
      </w:r>
      <w:r w:rsidRPr="00384711">
        <w:rPr>
          <w:rStyle w:val="Emphasis"/>
          <w:rFonts w:eastAsiaTheme="majorEastAsia"/>
        </w:rPr>
        <w:t>Mysore Journal of Agricultural Sciences, 59</w:t>
      </w:r>
      <w:r w:rsidRPr="00384711">
        <w:t>(2).</w:t>
      </w:r>
    </w:p>
    <w:p w14:paraId="3202202F" w14:textId="77777777" w:rsidR="001E1115" w:rsidRPr="00384711" w:rsidRDefault="001E1115" w:rsidP="00384711">
      <w:pPr>
        <w:pStyle w:val="NormalWeb"/>
        <w:spacing w:line="276" w:lineRule="auto"/>
        <w:ind w:left="810" w:hanging="810"/>
      </w:pPr>
      <w:r w:rsidRPr="00384711">
        <w:t xml:space="preserve">Laskaris, P., Tolba, S., Calvo-Bado, L., &amp; Wellington, E. M. H. (2010). Coevolution of antibiotic production and counter resistance in soil bacteria. </w:t>
      </w:r>
      <w:r w:rsidRPr="00384711">
        <w:rPr>
          <w:rStyle w:val="Emphasis"/>
          <w:rFonts w:eastAsiaTheme="majorEastAsia"/>
        </w:rPr>
        <w:t>Environmental Microbiology, 12</w:t>
      </w:r>
      <w:r w:rsidRPr="00384711">
        <w:t>(3), 783–796.</w:t>
      </w:r>
    </w:p>
    <w:p w14:paraId="169983DE" w14:textId="77777777" w:rsidR="001E1115" w:rsidRPr="00384711" w:rsidRDefault="001E1115" w:rsidP="00384711">
      <w:pPr>
        <w:pStyle w:val="NormalWeb"/>
        <w:spacing w:line="276" w:lineRule="auto"/>
        <w:ind w:left="810" w:hanging="810"/>
      </w:pPr>
      <w:r w:rsidRPr="00384711">
        <w:t xml:space="preserve">Lehmann, J., </w:t>
      </w:r>
      <w:proofErr w:type="spellStart"/>
      <w:r w:rsidRPr="00384711">
        <w:t>Czimnik</w:t>
      </w:r>
      <w:proofErr w:type="spellEnd"/>
      <w:r w:rsidRPr="00384711">
        <w:t xml:space="preserve">, C., Laird, D., &amp; Sohi, S. (2009). Stability of biochar in the soil. In J. Lehmann &amp; S. Joseph (Eds.), </w:t>
      </w:r>
      <w:r w:rsidRPr="00384711">
        <w:rPr>
          <w:rStyle w:val="Emphasis"/>
          <w:rFonts w:eastAsiaTheme="majorEastAsia"/>
        </w:rPr>
        <w:t>Biochar for environmental management: Science and technology</w:t>
      </w:r>
      <w:r w:rsidRPr="00384711">
        <w:t xml:space="preserve"> (pp. 215–238). Earthscan.</w:t>
      </w:r>
    </w:p>
    <w:p w14:paraId="1A64987E" w14:textId="77777777" w:rsidR="001E1115" w:rsidRPr="00384711" w:rsidRDefault="001E1115" w:rsidP="00384711">
      <w:pPr>
        <w:pStyle w:val="NormalWeb"/>
        <w:spacing w:line="276" w:lineRule="auto"/>
        <w:ind w:left="810" w:hanging="810"/>
      </w:pPr>
      <w:r w:rsidRPr="00384711">
        <w:t xml:space="preserve">Lehmann, J., Gaunt, J., &amp; Rondon, M. (2006). Biochar sequestration in terrestrial ecosystems: A review. </w:t>
      </w:r>
      <w:r w:rsidRPr="00384711">
        <w:rPr>
          <w:rStyle w:val="Emphasis"/>
          <w:rFonts w:eastAsiaTheme="majorEastAsia"/>
        </w:rPr>
        <w:t>Mitigation and Adaptation Strategies for Global Change, 11</w:t>
      </w:r>
      <w:r w:rsidRPr="00384711">
        <w:t>(2), 403–427.</w:t>
      </w:r>
    </w:p>
    <w:p w14:paraId="203AE022" w14:textId="77777777" w:rsidR="001E1115" w:rsidRPr="00384711" w:rsidRDefault="001E1115" w:rsidP="00384711">
      <w:pPr>
        <w:pStyle w:val="NormalWeb"/>
        <w:spacing w:line="276" w:lineRule="auto"/>
        <w:ind w:left="810" w:hanging="810"/>
      </w:pPr>
      <w:r w:rsidRPr="00384711">
        <w:t xml:space="preserve">Major, J., Rondon, M., Molina, D., Riha, S. J., &amp; Lehmann, J. (2010). Maize yield and nutrition during 4 years after biochar application to a Colombian savanna </w:t>
      </w:r>
      <w:proofErr w:type="spellStart"/>
      <w:r w:rsidRPr="00384711">
        <w:t>oxisol</w:t>
      </w:r>
      <w:proofErr w:type="spellEnd"/>
      <w:r w:rsidRPr="00384711">
        <w:t xml:space="preserve">. </w:t>
      </w:r>
      <w:r w:rsidRPr="00384711">
        <w:rPr>
          <w:rStyle w:val="Emphasis"/>
          <w:rFonts w:eastAsiaTheme="majorEastAsia"/>
        </w:rPr>
        <w:t>Plant and Soil, 333</w:t>
      </w:r>
      <w:r w:rsidRPr="00384711">
        <w:t>(1–2), 117–128.</w:t>
      </w:r>
    </w:p>
    <w:p w14:paraId="0DB54156" w14:textId="77777777" w:rsidR="001E1115" w:rsidRPr="00384711" w:rsidRDefault="001E1115" w:rsidP="00384711">
      <w:pPr>
        <w:pStyle w:val="NormalWeb"/>
        <w:spacing w:line="276" w:lineRule="auto"/>
        <w:ind w:left="810" w:hanging="810"/>
      </w:pPr>
      <w:proofErr w:type="spellStart"/>
      <w:r w:rsidRPr="00384711">
        <w:t>Medynska-Juraszek</w:t>
      </w:r>
      <w:proofErr w:type="spellEnd"/>
      <w:r w:rsidRPr="00384711">
        <w:t xml:space="preserve">, A., Latawiec, A., </w:t>
      </w:r>
      <w:proofErr w:type="spellStart"/>
      <w:r w:rsidRPr="00384711">
        <w:t>Królczyk</w:t>
      </w:r>
      <w:proofErr w:type="spellEnd"/>
      <w:r w:rsidRPr="00384711">
        <w:t xml:space="preserve">, J., Bogacz, A., </w:t>
      </w:r>
      <w:proofErr w:type="spellStart"/>
      <w:r w:rsidRPr="00384711">
        <w:t>Kawałko</w:t>
      </w:r>
      <w:proofErr w:type="spellEnd"/>
      <w:r w:rsidRPr="00384711">
        <w:t xml:space="preserve">, D., </w:t>
      </w:r>
      <w:proofErr w:type="spellStart"/>
      <w:r w:rsidRPr="00384711">
        <w:t>Bednik</w:t>
      </w:r>
      <w:proofErr w:type="spellEnd"/>
      <w:r w:rsidRPr="00384711">
        <w:t xml:space="preserve">, M., &amp; Dudek, M. (2021). Biochar improves maize growth but has a limited effect on soil properties: Evidence from a three-year field experiment. </w:t>
      </w:r>
      <w:r w:rsidRPr="00384711">
        <w:rPr>
          <w:rStyle w:val="Emphasis"/>
          <w:rFonts w:eastAsiaTheme="majorEastAsia"/>
        </w:rPr>
        <w:t>Sustainability, 13</w:t>
      </w:r>
      <w:r w:rsidRPr="00384711">
        <w:t>(7), 3617.</w:t>
      </w:r>
    </w:p>
    <w:p w14:paraId="7D983091" w14:textId="77777777" w:rsidR="001E1115" w:rsidRPr="00384711" w:rsidRDefault="001E1115" w:rsidP="00384711">
      <w:pPr>
        <w:pStyle w:val="NormalWeb"/>
        <w:spacing w:line="276" w:lineRule="auto"/>
        <w:ind w:left="810" w:hanging="810"/>
      </w:pPr>
      <w:proofErr w:type="spellStart"/>
      <w:r w:rsidRPr="00384711">
        <w:t>Nodwell</w:t>
      </w:r>
      <w:proofErr w:type="spellEnd"/>
      <w:r w:rsidRPr="00384711">
        <w:t xml:space="preserve">, J. R. (2007). Novel links between antibiotic resistance and antibiotic production. </w:t>
      </w:r>
      <w:r w:rsidRPr="00384711">
        <w:rPr>
          <w:rStyle w:val="Emphasis"/>
          <w:rFonts w:eastAsiaTheme="majorEastAsia"/>
        </w:rPr>
        <w:t>Journal of Bacteriology, 189</w:t>
      </w:r>
      <w:r w:rsidRPr="00384711">
        <w:t>(10), 3683–3685.</w:t>
      </w:r>
    </w:p>
    <w:p w14:paraId="528C30F2" w14:textId="77777777" w:rsidR="001E1115" w:rsidRPr="00384711" w:rsidRDefault="001E1115" w:rsidP="00384711">
      <w:pPr>
        <w:pStyle w:val="NormalWeb"/>
        <w:spacing w:line="276" w:lineRule="auto"/>
        <w:ind w:left="810" w:hanging="810"/>
      </w:pPr>
      <w:r w:rsidRPr="00384711">
        <w:t xml:space="preserve">Novak, J. M., Busscher, W. J., Laird, D. L., </w:t>
      </w:r>
      <w:proofErr w:type="spellStart"/>
      <w:r w:rsidRPr="00384711">
        <w:t>Ahmedna</w:t>
      </w:r>
      <w:proofErr w:type="spellEnd"/>
      <w:r w:rsidRPr="00384711">
        <w:t xml:space="preserve">, M., Watts, D. W., &amp; </w:t>
      </w:r>
      <w:proofErr w:type="spellStart"/>
      <w:r w:rsidRPr="00384711">
        <w:t>Niandou</w:t>
      </w:r>
      <w:proofErr w:type="spellEnd"/>
      <w:r w:rsidRPr="00384711">
        <w:t xml:space="preserve">, M. A. S. (2009). Impact of biochar amendment on fertility of a southeastern coastal plain soil. </w:t>
      </w:r>
      <w:r w:rsidRPr="00384711">
        <w:rPr>
          <w:rStyle w:val="Emphasis"/>
          <w:rFonts w:eastAsiaTheme="majorEastAsia"/>
        </w:rPr>
        <w:t>Soil Science, 174</w:t>
      </w:r>
      <w:r w:rsidRPr="00384711">
        <w:t>(2), 105–112.</w:t>
      </w:r>
    </w:p>
    <w:p w14:paraId="673EA0EF" w14:textId="77777777" w:rsidR="001E1115" w:rsidRPr="00384711" w:rsidRDefault="001E1115" w:rsidP="00384711">
      <w:pPr>
        <w:pStyle w:val="NormalWeb"/>
        <w:spacing w:line="276" w:lineRule="auto"/>
        <w:ind w:left="810" w:hanging="810"/>
      </w:pPr>
      <w:r w:rsidRPr="00384711">
        <w:t xml:space="preserve">Parvage, M. M., </w:t>
      </w:r>
      <w:proofErr w:type="spellStart"/>
      <w:r w:rsidRPr="00384711">
        <w:t>Ulén</w:t>
      </w:r>
      <w:proofErr w:type="spellEnd"/>
      <w:r w:rsidRPr="00384711">
        <w:t xml:space="preserve">, B., Eriksson, J., Jeffery, S., &amp; Kirchmann, H. (2013). Phosphorus availability in soils amended with wheat residue char. </w:t>
      </w:r>
      <w:r w:rsidRPr="00384711">
        <w:rPr>
          <w:rStyle w:val="Emphasis"/>
          <w:rFonts w:eastAsiaTheme="majorEastAsia"/>
        </w:rPr>
        <w:t>Biology and Fertility of Soils, 49</w:t>
      </w:r>
      <w:r w:rsidRPr="00384711">
        <w:t>(2), 245–250.</w:t>
      </w:r>
    </w:p>
    <w:p w14:paraId="68B0D5AD" w14:textId="77777777" w:rsidR="001E1115" w:rsidRPr="00384711" w:rsidRDefault="001E1115" w:rsidP="00384711">
      <w:pPr>
        <w:pStyle w:val="NormalWeb"/>
        <w:spacing w:line="276" w:lineRule="auto"/>
        <w:ind w:left="810" w:hanging="810"/>
      </w:pPr>
      <w:r w:rsidRPr="00384711">
        <w:t xml:space="preserve">Ranjitha, B. H., Gowda, R., Gowda, M., Naika, R., Arunkumar, B. R., &amp; </w:t>
      </w:r>
      <w:proofErr w:type="spellStart"/>
      <w:r w:rsidRPr="00384711">
        <w:t>Kadalli</w:t>
      </w:r>
      <w:proofErr w:type="spellEnd"/>
      <w:r w:rsidRPr="00384711">
        <w:t xml:space="preserve">, G. G. (2023). Effect of levels of mulberry shoots biochar, farm yard manure and NPK fertilizer on soil properties under tree mulberry garden. </w:t>
      </w:r>
      <w:r w:rsidRPr="00384711">
        <w:rPr>
          <w:rStyle w:val="Emphasis"/>
          <w:rFonts w:eastAsiaTheme="majorEastAsia"/>
        </w:rPr>
        <w:t>The Pharma Innovation Journal, 12</w:t>
      </w:r>
      <w:r w:rsidRPr="00384711">
        <w:t>, 592–597.</w:t>
      </w:r>
    </w:p>
    <w:p w14:paraId="63023A6B" w14:textId="77777777" w:rsidR="001E1115" w:rsidRPr="00384711" w:rsidRDefault="001E1115" w:rsidP="00384711">
      <w:pPr>
        <w:pStyle w:val="NormalWeb"/>
        <w:spacing w:line="276" w:lineRule="auto"/>
        <w:ind w:left="810" w:hanging="810"/>
      </w:pPr>
      <w:r w:rsidRPr="00384711">
        <w:t xml:space="preserve">Ranjitha, B. H., Tejaswini, E. H., Sandhya, N., </w:t>
      </w:r>
      <w:proofErr w:type="spellStart"/>
      <w:r w:rsidRPr="00384711">
        <w:t>Kenchappa</w:t>
      </w:r>
      <w:proofErr w:type="spellEnd"/>
      <w:r w:rsidRPr="00384711">
        <w:t xml:space="preserve">, N. M., Reddy, N. C., &amp; Gowda, R. (2024). Effect of levels of mulberry shoots biochar, farm yard manure and NPK fertilizer application to tree mulberry on cocoon parameters of silkworm, Bombyx mori L. </w:t>
      </w:r>
      <w:r w:rsidRPr="00384711">
        <w:rPr>
          <w:rStyle w:val="Emphasis"/>
          <w:rFonts w:eastAsiaTheme="majorEastAsia"/>
        </w:rPr>
        <w:t>International Journal of Research in Agronomy, 7</w:t>
      </w:r>
      <w:r w:rsidRPr="00384711">
        <w:t>(9), 643–646.</w:t>
      </w:r>
    </w:p>
    <w:p w14:paraId="6787FC47" w14:textId="77777777" w:rsidR="001E1115" w:rsidRPr="00384711" w:rsidRDefault="001E1115" w:rsidP="00384711">
      <w:pPr>
        <w:pStyle w:val="NormalWeb"/>
        <w:spacing w:line="276" w:lineRule="auto"/>
        <w:ind w:left="810" w:hanging="810"/>
      </w:pPr>
      <w:r w:rsidRPr="00384711">
        <w:lastRenderedPageBreak/>
        <w:t xml:space="preserve">Rohitha, D. S., Mamatha, B., Desai, N., Reddy, S. K. M., &amp; Prakasha, H. C. (2021). </w:t>
      </w:r>
      <w:proofErr w:type="spellStart"/>
      <w:r w:rsidRPr="00384711">
        <w:t>Physico</w:t>
      </w:r>
      <w:proofErr w:type="spellEnd"/>
      <w:r w:rsidRPr="00384711">
        <w:t xml:space="preserve">-chemical characterization of coconut shell biochar and its influence on growth of soybean. </w:t>
      </w:r>
      <w:r w:rsidRPr="00384711">
        <w:rPr>
          <w:rStyle w:val="Emphasis"/>
          <w:rFonts w:eastAsiaTheme="majorEastAsia"/>
        </w:rPr>
        <w:t>Mysore Journal of Agricultural Sciences, 55</w:t>
      </w:r>
      <w:r w:rsidRPr="00384711">
        <w:t>(1), 30–36.</w:t>
      </w:r>
    </w:p>
    <w:p w14:paraId="66E60EBA" w14:textId="77777777" w:rsidR="001E1115" w:rsidRPr="00384711" w:rsidRDefault="001E1115" w:rsidP="00384711">
      <w:pPr>
        <w:pStyle w:val="NormalWeb"/>
        <w:spacing w:line="276" w:lineRule="auto"/>
        <w:ind w:left="810" w:hanging="810"/>
      </w:pPr>
      <w:r w:rsidRPr="00384711">
        <w:t xml:space="preserve">Steiner, C., Glaser, B., Teixeira, W. G., Lehmann, J., Blum, W. E., &amp; Zech, W. (2008). Nitrogen retention and plant uptake on a highly weathered central Amazonian </w:t>
      </w:r>
      <w:proofErr w:type="spellStart"/>
      <w:r w:rsidRPr="00384711">
        <w:t>Ferralsol</w:t>
      </w:r>
      <w:proofErr w:type="spellEnd"/>
      <w:r w:rsidRPr="00384711">
        <w:t xml:space="preserve"> amended with compost and charcoal. </w:t>
      </w:r>
      <w:r w:rsidRPr="00384711">
        <w:rPr>
          <w:rStyle w:val="Emphasis"/>
          <w:rFonts w:eastAsiaTheme="majorEastAsia"/>
        </w:rPr>
        <w:t>Journal of Plant Nutrition and Soil Science, 171</w:t>
      </w:r>
      <w:r w:rsidRPr="00384711">
        <w:t>(6), 893–899.</w:t>
      </w:r>
    </w:p>
    <w:p w14:paraId="22CFD4BB" w14:textId="77777777" w:rsidR="001E1115" w:rsidRPr="00384711" w:rsidRDefault="001E1115" w:rsidP="00384711">
      <w:pPr>
        <w:pStyle w:val="NormalWeb"/>
        <w:spacing w:line="276" w:lineRule="auto"/>
        <w:ind w:left="810" w:hanging="810"/>
      </w:pPr>
      <w:r w:rsidRPr="00384711">
        <w:t xml:space="preserve">Sun, Z., Moldrup, P., </w:t>
      </w:r>
      <w:proofErr w:type="spellStart"/>
      <w:r w:rsidRPr="00384711">
        <w:t>Elsgarrd</w:t>
      </w:r>
      <w:proofErr w:type="spellEnd"/>
      <w:r w:rsidRPr="00384711">
        <w:t xml:space="preserve">, L., </w:t>
      </w:r>
      <w:proofErr w:type="spellStart"/>
      <w:r w:rsidRPr="00384711">
        <w:t>Arhur</w:t>
      </w:r>
      <w:proofErr w:type="spellEnd"/>
      <w:r w:rsidRPr="00384711">
        <w:t xml:space="preserve">, E., Bruun, E. W., Nielsen, H. H., &amp; De Jonge, L. W. (2013). Direct and indirect short-term effects of biochar on physical characteristics of an arable sandy loam. </w:t>
      </w:r>
      <w:r w:rsidRPr="00384711">
        <w:rPr>
          <w:rStyle w:val="Emphasis"/>
          <w:rFonts w:eastAsiaTheme="majorEastAsia"/>
        </w:rPr>
        <w:t>Soil Science, 178</w:t>
      </w:r>
      <w:r w:rsidRPr="00384711">
        <w:t>(9), 465–473.</w:t>
      </w:r>
    </w:p>
    <w:p w14:paraId="1A20D7A3" w14:textId="391BE687" w:rsidR="001E1115" w:rsidRPr="00384711" w:rsidRDefault="001E1115" w:rsidP="00384711">
      <w:pPr>
        <w:pStyle w:val="NormalWeb"/>
        <w:spacing w:line="276" w:lineRule="auto"/>
        <w:ind w:left="810" w:hanging="810"/>
      </w:pPr>
      <w:r w:rsidRPr="00384711">
        <w:t xml:space="preserve">Van </w:t>
      </w:r>
      <w:proofErr w:type="spellStart"/>
      <w:r w:rsidRPr="00384711">
        <w:t>Zwieten</w:t>
      </w:r>
      <w:proofErr w:type="spellEnd"/>
      <w:r w:rsidRPr="00384711">
        <w:t>, L., Kimber, S., Downie, A., Morris, S., &amp;</w:t>
      </w:r>
      <w:r>
        <w:t xml:space="preserve"> </w:t>
      </w:r>
      <w:r w:rsidRPr="00384711">
        <w:t xml:space="preserve">Petty, S. (2010). A glasshouse study on the interaction of low mineral ash biochar with nitrogen in a sandy soil. </w:t>
      </w:r>
      <w:r w:rsidRPr="00384711">
        <w:rPr>
          <w:rStyle w:val="Emphasis"/>
          <w:rFonts w:eastAsiaTheme="majorEastAsia"/>
        </w:rPr>
        <w:t>Australian Journal of Soil Research, 48</w:t>
      </w:r>
      <w:r w:rsidRPr="00384711">
        <w:t>(6), 569–576.</w:t>
      </w:r>
    </w:p>
    <w:p w14:paraId="78FD498D" w14:textId="77777777" w:rsidR="001E1115" w:rsidRPr="00384711" w:rsidRDefault="001E1115" w:rsidP="00384711">
      <w:pPr>
        <w:pStyle w:val="NormalWeb"/>
        <w:spacing w:line="276" w:lineRule="auto"/>
        <w:ind w:left="810" w:hanging="810"/>
      </w:pPr>
      <w:r w:rsidRPr="00384711">
        <w:t xml:space="preserve">Wei, Y., </w:t>
      </w:r>
      <w:proofErr w:type="spellStart"/>
      <w:r w:rsidRPr="00384711">
        <w:t>Jin</w:t>
      </w:r>
      <w:proofErr w:type="spellEnd"/>
      <w:r w:rsidRPr="00384711">
        <w:t xml:space="preserve">, Z., Zhang, M., Li, Y., Huang, S., Liu, X., &amp; Qu, J. (2020). Impact of spent mushroom substrate on Cd immobilization and soil property. </w:t>
      </w:r>
      <w:r w:rsidRPr="00384711">
        <w:rPr>
          <w:rStyle w:val="Emphasis"/>
          <w:rFonts w:eastAsiaTheme="majorEastAsia"/>
        </w:rPr>
        <w:t>Environmental Science and Pollution Research, 27</w:t>
      </w:r>
      <w:r w:rsidRPr="00384711">
        <w:t>(3), 3007–3022.</w:t>
      </w:r>
    </w:p>
    <w:p w14:paraId="27FB8F0D" w14:textId="77777777" w:rsidR="001E1115" w:rsidRPr="00384711" w:rsidRDefault="001E1115" w:rsidP="00384711">
      <w:pPr>
        <w:pStyle w:val="NormalWeb"/>
        <w:spacing w:line="276" w:lineRule="auto"/>
        <w:ind w:left="810" w:hanging="810"/>
      </w:pPr>
      <w:r w:rsidRPr="00384711">
        <w:t xml:space="preserve">Xiang, L., Liu, S., Ye, S., Yang, H., Song, B., Qin, F., &amp; Tan, X. (2021). Potential hazards of biochar: The negative environmental impacts of biochar applications. </w:t>
      </w:r>
      <w:r w:rsidRPr="00384711">
        <w:rPr>
          <w:rStyle w:val="Emphasis"/>
          <w:rFonts w:eastAsiaTheme="majorEastAsia"/>
        </w:rPr>
        <w:t>Journal of Hazardous Materials, 420</w:t>
      </w:r>
      <w:r w:rsidRPr="00384711">
        <w:t>, 126611.</w:t>
      </w:r>
    </w:p>
    <w:sectPr w:rsidR="001E1115" w:rsidRPr="00384711" w:rsidSect="00D977CC">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D91D" w14:textId="77777777" w:rsidR="00D969AA" w:rsidRDefault="00D969AA" w:rsidP="00A16410">
      <w:pPr>
        <w:spacing w:after="0" w:line="240" w:lineRule="auto"/>
      </w:pPr>
      <w:r>
        <w:separator/>
      </w:r>
    </w:p>
  </w:endnote>
  <w:endnote w:type="continuationSeparator" w:id="0">
    <w:p w14:paraId="25ACF662" w14:textId="77777777" w:rsidR="00D969AA" w:rsidRDefault="00D969AA" w:rsidP="00A1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52FD" w14:textId="77777777" w:rsidR="00A16410" w:rsidRDefault="00A16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D9AD" w14:textId="77777777" w:rsidR="00A16410" w:rsidRDefault="00A16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20E1" w14:textId="77777777" w:rsidR="00A16410" w:rsidRDefault="00A1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7EB4" w14:textId="77777777" w:rsidR="00D969AA" w:rsidRDefault="00D969AA" w:rsidP="00A16410">
      <w:pPr>
        <w:spacing w:after="0" w:line="240" w:lineRule="auto"/>
      </w:pPr>
      <w:r>
        <w:separator/>
      </w:r>
    </w:p>
  </w:footnote>
  <w:footnote w:type="continuationSeparator" w:id="0">
    <w:p w14:paraId="0315FACE" w14:textId="77777777" w:rsidR="00D969AA" w:rsidRDefault="00D969AA" w:rsidP="00A16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5DE9" w14:textId="22A6927D" w:rsidR="00A16410" w:rsidRDefault="00D969AA">
    <w:pPr>
      <w:pStyle w:val="Header"/>
    </w:pPr>
    <w:r>
      <w:rPr>
        <w:noProof/>
      </w:rPr>
      <w:pict w14:anchorId="4271C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3"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BFF6" w14:textId="6413FC69" w:rsidR="00A16410" w:rsidRDefault="00D969AA">
    <w:pPr>
      <w:pStyle w:val="Header"/>
    </w:pPr>
    <w:r>
      <w:rPr>
        <w:noProof/>
      </w:rPr>
      <w:pict w14:anchorId="732EC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4"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EF89" w14:textId="697125A9" w:rsidR="00A16410" w:rsidRDefault="00D969AA">
    <w:pPr>
      <w:pStyle w:val="Header"/>
    </w:pPr>
    <w:r>
      <w:rPr>
        <w:noProof/>
      </w:rPr>
      <w:pict w14:anchorId="50946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2"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F9F"/>
    <w:multiLevelType w:val="hybridMultilevel"/>
    <w:tmpl w:val="58841D84"/>
    <w:lvl w:ilvl="0" w:tplc="6F50C472">
      <w:start w:val="1"/>
      <w:numFmt w:val="decimal"/>
      <w:lvlText w:val="3.6.11%1"/>
      <w:lvlJc w:val="left"/>
      <w:pPr>
        <w:ind w:left="1440" w:hanging="360"/>
      </w:pPr>
      <w:rPr>
        <w:rFonts w:hint="default"/>
      </w:rPr>
    </w:lvl>
    <w:lvl w:ilvl="1" w:tplc="04090019" w:tentative="1">
      <w:start w:val="1"/>
      <w:numFmt w:val="lowerLetter"/>
      <w:lvlText w:val="%2."/>
      <w:lvlJc w:val="left"/>
      <w:pPr>
        <w:ind w:left="2160" w:hanging="360"/>
      </w:pPr>
    </w:lvl>
    <w:lvl w:ilvl="2" w:tplc="6F50C472">
      <w:start w:val="1"/>
      <w:numFmt w:val="decimal"/>
      <w:lvlText w:val="3.6.11%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24D77"/>
    <w:multiLevelType w:val="multilevel"/>
    <w:tmpl w:val="9D44BD44"/>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080681"/>
    <w:multiLevelType w:val="multilevel"/>
    <w:tmpl w:val="F350CD30"/>
    <w:lvl w:ilvl="0">
      <w:start w:val="1"/>
      <w:numFmt w:val="decimal"/>
      <w:lvlText w:val="%1."/>
      <w:lvlJc w:val="left"/>
      <w:pPr>
        <w:ind w:left="720" w:hanging="360"/>
      </w:pPr>
      <w:rPr>
        <w:rFonts w:hint="default"/>
      </w:rPr>
    </w:lvl>
    <w:lvl w:ilvl="1">
      <w:start w:val="1"/>
      <w:numFmt w:val="decimal"/>
      <w:lvlText w:val="3.6.1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FA75E3"/>
    <w:multiLevelType w:val="multilevel"/>
    <w:tmpl w:val="8A9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81EB2"/>
    <w:multiLevelType w:val="hybridMultilevel"/>
    <w:tmpl w:val="A62E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C2A80"/>
    <w:multiLevelType w:val="hybridMultilevel"/>
    <w:tmpl w:val="F76C92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72255"/>
    <w:multiLevelType w:val="hybridMultilevel"/>
    <w:tmpl w:val="AAB2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56A1D"/>
    <w:multiLevelType w:val="hybridMultilevel"/>
    <w:tmpl w:val="C33EB97E"/>
    <w:lvl w:ilvl="0" w:tplc="429E1BC0">
      <w:start w:val="1"/>
      <w:numFmt w:val="decimal"/>
      <w:lvlText w:val="3.%1"/>
      <w:lvlJc w:val="left"/>
      <w:pPr>
        <w:ind w:left="720" w:hanging="360"/>
      </w:pPr>
      <w:rPr>
        <w:rFonts w:hint="default"/>
      </w:rPr>
    </w:lvl>
    <w:lvl w:ilvl="1" w:tplc="429E1BC0">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D63E8"/>
    <w:multiLevelType w:val="hybridMultilevel"/>
    <w:tmpl w:val="915E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305D3"/>
    <w:multiLevelType w:val="hybridMultilevel"/>
    <w:tmpl w:val="630E7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8"/>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2C"/>
    <w:rsid w:val="000265CF"/>
    <w:rsid w:val="0005102C"/>
    <w:rsid w:val="00072DAE"/>
    <w:rsid w:val="000D0A72"/>
    <w:rsid w:val="001008B9"/>
    <w:rsid w:val="00113B32"/>
    <w:rsid w:val="00115919"/>
    <w:rsid w:val="001A5B4A"/>
    <w:rsid w:val="001B6D58"/>
    <w:rsid w:val="001E1115"/>
    <w:rsid w:val="001E3267"/>
    <w:rsid w:val="001F56E1"/>
    <w:rsid w:val="00220423"/>
    <w:rsid w:val="002B5B47"/>
    <w:rsid w:val="00331991"/>
    <w:rsid w:val="00382C78"/>
    <w:rsid w:val="00384711"/>
    <w:rsid w:val="0038728F"/>
    <w:rsid w:val="003F49DC"/>
    <w:rsid w:val="004B0B7A"/>
    <w:rsid w:val="004D1C11"/>
    <w:rsid w:val="004F5170"/>
    <w:rsid w:val="00522DFF"/>
    <w:rsid w:val="00541BE7"/>
    <w:rsid w:val="00542044"/>
    <w:rsid w:val="005869D0"/>
    <w:rsid w:val="005D3AB1"/>
    <w:rsid w:val="005E177A"/>
    <w:rsid w:val="00625917"/>
    <w:rsid w:val="00697D30"/>
    <w:rsid w:val="006C2583"/>
    <w:rsid w:val="006E15B9"/>
    <w:rsid w:val="0073188F"/>
    <w:rsid w:val="00767B2C"/>
    <w:rsid w:val="00787BE5"/>
    <w:rsid w:val="008100B7"/>
    <w:rsid w:val="009B751C"/>
    <w:rsid w:val="00A16410"/>
    <w:rsid w:val="00A60472"/>
    <w:rsid w:val="00A6543C"/>
    <w:rsid w:val="00A728BD"/>
    <w:rsid w:val="00A81817"/>
    <w:rsid w:val="00B408AA"/>
    <w:rsid w:val="00B617C7"/>
    <w:rsid w:val="00B74CE3"/>
    <w:rsid w:val="00C06AB9"/>
    <w:rsid w:val="00C15670"/>
    <w:rsid w:val="00C337D5"/>
    <w:rsid w:val="00C35546"/>
    <w:rsid w:val="00C50072"/>
    <w:rsid w:val="00C541C8"/>
    <w:rsid w:val="00C77E28"/>
    <w:rsid w:val="00C86B64"/>
    <w:rsid w:val="00CC5AC2"/>
    <w:rsid w:val="00CC688E"/>
    <w:rsid w:val="00D27A7B"/>
    <w:rsid w:val="00D70795"/>
    <w:rsid w:val="00D8664F"/>
    <w:rsid w:val="00D969AA"/>
    <w:rsid w:val="00D977CC"/>
    <w:rsid w:val="00DC1074"/>
    <w:rsid w:val="00E10180"/>
    <w:rsid w:val="00E242CD"/>
    <w:rsid w:val="00E434E0"/>
    <w:rsid w:val="00E951B9"/>
    <w:rsid w:val="00F05ACD"/>
    <w:rsid w:val="00F13E6D"/>
    <w:rsid w:val="00F64EBD"/>
    <w:rsid w:val="00F755CF"/>
    <w:rsid w:val="00F83042"/>
    <w:rsid w:val="00FA5E1A"/>
    <w:rsid w:val="00FA7F23"/>
    <w:rsid w:val="00FB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E1D9C"/>
  <w15:chartTrackingRefBased/>
  <w15:docId w15:val="{363EE7A2-BBF3-4C8E-ACF8-AF023E35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49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B75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9DC"/>
    <w:rPr>
      <w:rFonts w:ascii="Times New Roman" w:eastAsia="Times New Roman" w:hAnsi="Times New Roman" w:cs="Times New Roman"/>
      <w:b/>
      <w:bCs/>
      <w:sz w:val="36"/>
      <w:szCs w:val="36"/>
    </w:rPr>
  </w:style>
  <w:style w:type="paragraph" w:styleId="NormalWeb">
    <w:name w:val="Normal (Web)"/>
    <w:basedOn w:val="Normal"/>
    <w:uiPriority w:val="99"/>
    <w:unhideWhenUsed/>
    <w:rsid w:val="003F49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B751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B751C"/>
    <w:rPr>
      <w:b/>
      <w:bCs/>
    </w:rPr>
  </w:style>
  <w:style w:type="character" w:customStyle="1" w:styleId="ms-1">
    <w:name w:val="ms-1"/>
    <w:basedOn w:val="DefaultParagraphFont"/>
    <w:rsid w:val="009B751C"/>
  </w:style>
  <w:style w:type="character" w:customStyle="1" w:styleId="max-w-15ch">
    <w:name w:val="max-w-[15ch]"/>
    <w:basedOn w:val="DefaultParagraphFont"/>
    <w:rsid w:val="009B751C"/>
  </w:style>
  <w:style w:type="character" w:customStyle="1" w:styleId="-me-1">
    <w:name w:val="-me-1"/>
    <w:basedOn w:val="DefaultParagraphFont"/>
    <w:rsid w:val="009B751C"/>
  </w:style>
  <w:style w:type="character" w:customStyle="1" w:styleId="Heading1Char">
    <w:name w:val="Heading 1 Char"/>
    <w:basedOn w:val="DefaultParagraphFont"/>
    <w:link w:val="Heading1"/>
    <w:uiPriority w:val="9"/>
    <w:rsid w:val="009B75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C688E"/>
    <w:rPr>
      <w:color w:val="0563C1" w:themeColor="hyperlink"/>
      <w:u w:val="single"/>
    </w:rPr>
  </w:style>
  <w:style w:type="character" w:styleId="UnresolvedMention">
    <w:name w:val="Unresolved Mention"/>
    <w:basedOn w:val="DefaultParagraphFont"/>
    <w:uiPriority w:val="99"/>
    <w:semiHidden/>
    <w:unhideWhenUsed/>
    <w:rsid w:val="00CC688E"/>
    <w:rPr>
      <w:color w:val="605E5C"/>
      <w:shd w:val="clear" w:color="auto" w:fill="E1DFDD"/>
    </w:rPr>
  </w:style>
  <w:style w:type="character" w:styleId="Emphasis">
    <w:name w:val="Emphasis"/>
    <w:basedOn w:val="DefaultParagraphFont"/>
    <w:uiPriority w:val="20"/>
    <w:qFormat/>
    <w:rsid w:val="00C77E28"/>
    <w:rPr>
      <w:i/>
      <w:iCs/>
    </w:rPr>
  </w:style>
  <w:style w:type="paragraph" w:styleId="ListParagraph">
    <w:name w:val="List Paragraph"/>
    <w:basedOn w:val="Normal"/>
    <w:uiPriority w:val="34"/>
    <w:qFormat/>
    <w:rsid w:val="00B617C7"/>
    <w:pPr>
      <w:ind w:left="720"/>
      <w:contextualSpacing/>
    </w:pPr>
  </w:style>
  <w:style w:type="paragraph" w:styleId="Header">
    <w:name w:val="header"/>
    <w:basedOn w:val="Normal"/>
    <w:link w:val="HeaderChar"/>
    <w:uiPriority w:val="99"/>
    <w:unhideWhenUsed/>
    <w:rsid w:val="00A16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10"/>
  </w:style>
  <w:style w:type="paragraph" w:styleId="Footer">
    <w:name w:val="footer"/>
    <w:basedOn w:val="Normal"/>
    <w:link w:val="FooterChar"/>
    <w:uiPriority w:val="99"/>
    <w:unhideWhenUsed/>
    <w:rsid w:val="00A16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10"/>
  </w:style>
  <w:style w:type="table" w:styleId="TableGrid">
    <w:name w:val="Table Grid"/>
    <w:basedOn w:val="TableNormal"/>
    <w:uiPriority w:val="39"/>
    <w:rsid w:val="00D2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02374">
      <w:bodyDiv w:val="1"/>
      <w:marLeft w:val="0"/>
      <w:marRight w:val="0"/>
      <w:marTop w:val="0"/>
      <w:marBottom w:val="0"/>
      <w:divBdr>
        <w:top w:val="none" w:sz="0" w:space="0" w:color="auto"/>
        <w:left w:val="none" w:sz="0" w:space="0" w:color="auto"/>
        <w:bottom w:val="none" w:sz="0" w:space="0" w:color="auto"/>
        <w:right w:val="none" w:sz="0" w:space="0" w:color="auto"/>
      </w:divBdr>
    </w:div>
    <w:div w:id="587889904">
      <w:bodyDiv w:val="1"/>
      <w:marLeft w:val="0"/>
      <w:marRight w:val="0"/>
      <w:marTop w:val="0"/>
      <w:marBottom w:val="0"/>
      <w:divBdr>
        <w:top w:val="none" w:sz="0" w:space="0" w:color="auto"/>
        <w:left w:val="none" w:sz="0" w:space="0" w:color="auto"/>
        <w:bottom w:val="none" w:sz="0" w:space="0" w:color="auto"/>
        <w:right w:val="none" w:sz="0" w:space="0" w:color="auto"/>
      </w:divBdr>
    </w:div>
    <w:div w:id="623728458">
      <w:bodyDiv w:val="1"/>
      <w:marLeft w:val="0"/>
      <w:marRight w:val="0"/>
      <w:marTop w:val="0"/>
      <w:marBottom w:val="0"/>
      <w:divBdr>
        <w:top w:val="none" w:sz="0" w:space="0" w:color="auto"/>
        <w:left w:val="none" w:sz="0" w:space="0" w:color="auto"/>
        <w:bottom w:val="none" w:sz="0" w:space="0" w:color="auto"/>
        <w:right w:val="none" w:sz="0" w:space="0" w:color="auto"/>
      </w:divBdr>
    </w:div>
    <w:div w:id="695424739">
      <w:bodyDiv w:val="1"/>
      <w:marLeft w:val="0"/>
      <w:marRight w:val="0"/>
      <w:marTop w:val="0"/>
      <w:marBottom w:val="0"/>
      <w:divBdr>
        <w:top w:val="none" w:sz="0" w:space="0" w:color="auto"/>
        <w:left w:val="none" w:sz="0" w:space="0" w:color="auto"/>
        <w:bottom w:val="none" w:sz="0" w:space="0" w:color="auto"/>
        <w:right w:val="none" w:sz="0" w:space="0" w:color="auto"/>
      </w:divBdr>
    </w:div>
    <w:div w:id="1002588013">
      <w:bodyDiv w:val="1"/>
      <w:marLeft w:val="0"/>
      <w:marRight w:val="0"/>
      <w:marTop w:val="0"/>
      <w:marBottom w:val="0"/>
      <w:divBdr>
        <w:top w:val="none" w:sz="0" w:space="0" w:color="auto"/>
        <w:left w:val="none" w:sz="0" w:space="0" w:color="auto"/>
        <w:bottom w:val="none" w:sz="0" w:space="0" w:color="auto"/>
        <w:right w:val="none" w:sz="0" w:space="0" w:color="auto"/>
      </w:divBdr>
    </w:div>
    <w:div w:id="1507131766">
      <w:bodyDiv w:val="1"/>
      <w:marLeft w:val="0"/>
      <w:marRight w:val="0"/>
      <w:marTop w:val="0"/>
      <w:marBottom w:val="0"/>
      <w:divBdr>
        <w:top w:val="none" w:sz="0" w:space="0" w:color="auto"/>
        <w:left w:val="none" w:sz="0" w:space="0" w:color="auto"/>
        <w:bottom w:val="none" w:sz="0" w:space="0" w:color="auto"/>
        <w:right w:val="none" w:sz="0" w:space="0" w:color="auto"/>
      </w:divBdr>
    </w:div>
    <w:div w:id="1598170394">
      <w:bodyDiv w:val="1"/>
      <w:marLeft w:val="0"/>
      <w:marRight w:val="0"/>
      <w:marTop w:val="0"/>
      <w:marBottom w:val="0"/>
      <w:divBdr>
        <w:top w:val="none" w:sz="0" w:space="0" w:color="auto"/>
        <w:left w:val="none" w:sz="0" w:space="0" w:color="auto"/>
        <w:bottom w:val="none" w:sz="0" w:space="0" w:color="auto"/>
        <w:right w:val="none" w:sz="0" w:space="0" w:color="auto"/>
      </w:divBdr>
    </w:div>
    <w:div w:id="1807317029">
      <w:bodyDiv w:val="1"/>
      <w:marLeft w:val="0"/>
      <w:marRight w:val="0"/>
      <w:marTop w:val="0"/>
      <w:marBottom w:val="0"/>
      <w:divBdr>
        <w:top w:val="none" w:sz="0" w:space="0" w:color="auto"/>
        <w:left w:val="none" w:sz="0" w:space="0" w:color="auto"/>
        <w:bottom w:val="none" w:sz="0" w:space="0" w:color="auto"/>
        <w:right w:val="none" w:sz="0" w:space="0" w:color="auto"/>
      </w:divBdr>
    </w:div>
    <w:div w:id="19623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227D-E2EC-4524-B7BC-79C17A62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neha sudan</cp:lastModifiedBy>
  <cp:revision>15</cp:revision>
  <dcterms:created xsi:type="dcterms:W3CDTF">2025-09-10T06:23:00Z</dcterms:created>
  <dcterms:modified xsi:type="dcterms:W3CDTF">2025-09-18T16:43:00Z</dcterms:modified>
</cp:coreProperties>
</file>