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0B77" w14:textId="77777777" w:rsidR="00473359" w:rsidRPr="00473359" w:rsidRDefault="00473359" w:rsidP="00473359">
      <w:pPr>
        <w:jc w:val="both"/>
        <w:rPr>
          <w:rFonts w:ascii="Arial" w:hAnsi="Arial" w:cs="Arial"/>
          <w:b/>
          <w:bCs/>
          <w:i/>
          <w:iCs/>
          <w:sz w:val="24"/>
          <w:szCs w:val="24"/>
          <w:u w:val="single"/>
        </w:rPr>
      </w:pPr>
      <w:r w:rsidRPr="00473359">
        <w:rPr>
          <w:rFonts w:ascii="Arial" w:hAnsi="Arial" w:cs="Arial"/>
          <w:b/>
          <w:bCs/>
          <w:i/>
          <w:iCs/>
          <w:sz w:val="24"/>
          <w:szCs w:val="24"/>
          <w:u w:val="single"/>
        </w:rPr>
        <w:t>Review Article</w:t>
      </w:r>
    </w:p>
    <w:p w14:paraId="5C86A0B9" w14:textId="6BEB97BC" w:rsidR="00A532CE" w:rsidRPr="00A532CE" w:rsidRDefault="00A532CE" w:rsidP="00A11ED3">
      <w:pPr>
        <w:jc w:val="both"/>
        <w:rPr>
          <w:rFonts w:ascii="Arial" w:hAnsi="Arial" w:cs="Arial"/>
          <w:sz w:val="24"/>
          <w:szCs w:val="24"/>
        </w:rPr>
      </w:pPr>
    </w:p>
    <w:p w14:paraId="3CCB4C7F" w14:textId="77777777" w:rsidR="00A11ED3" w:rsidRDefault="00A11ED3" w:rsidP="00A11ED3">
      <w:pPr>
        <w:jc w:val="center"/>
        <w:rPr>
          <w:b/>
          <w:bCs/>
          <w:sz w:val="32"/>
          <w:szCs w:val="32"/>
        </w:rPr>
      </w:pPr>
      <w:r w:rsidRPr="00866578">
        <w:rPr>
          <w:b/>
          <w:bCs/>
          <w:sz w:val="32"/>
          <w:szCs w:val="32"/>
        </w:rPr>
        <w:t>Biochemistry of Insect Pheromones: Pathways, Regulation, and Applications in Chemical Ecology</w:t>
      </w:r>
    </w:p>
    <w:p w14:paraId="5DC7A0A5" w14:textId="77777777" w:rsidR="00707577" w:rsidRPr="00866578" w:rsidRDefault="00707577" w:rsidP="00A11ED3">
      <w:pPr>
        <w:jc w:val="center"/>
        <w:rPr>
          <w:b/>
          <w:bCs/>
          <w:sz w:val="32"/>
          <w:szCs w:val="32"/>
        </w:rPr>
      </w:pPr>
    </w:p>
    <w:p w14:paraId="479F7D06" w14:textId="77777777" w:rsidR="00A11ED3" w:rsidRDefault="00A11ED3" w:rsidP="00A11ED3">
      <w:pPr>
        <w:jc w:val="both"/>
        <w:rPr>
          <w:rFonts w:ascii="Arial" w:hAnsi="Arial" w:cs="Arial"/>
          <w:b/>
          <w:bCs/>
          <w:sz w:val="24"/>
          <w:szCs w:val="24"/>
        </w:rPr>
      </w:pPr>
    </w:p>
    <w:p w14:paraId="1FB79B04" w14:textId="56F44A97" w:rsidR="0004619A" w:rsidRPr="00A50A11" w:rsidRDefault="0004619A" w:rsidP="0004619A">
      <w:pPr>
        <w:jc w:val="both"/>
        <w:rPr>
          <w:rFonts w:ascii="Arial" w:hAnsi="Arial" w:cs="Arial"/>
          <w:sz w:val="24"/>
          <w:szCs w:val="24"/>
        </w:rPr>
      </w:pPr>
      <w:r w:rsidRPr="00A50A11">
        <w:rPr>
          <w:rFonts w:ascii="Arial" w:hAnsi="Arial" w:cs="Arial"/>
          <w:b/>
          <w:bCs/>
          <w:sz w:val="24"/>
          <w:szCs w:val="24"/>
        </w:rPr>
        <w:t>ABSTRACT</w:t>
      </w:r>
      <w:r w:rsidRPr="00A50A11">
        <w:rPr>
          <w:rFonts w:ascii="Arial" w:hAnsi="Arial" w:cs="Arial"/>
          <w:sz w:val="24"/>
          <w:szCs w:val="24"/>
        </w:rPr>
        <w:br/>
      </w:r>
      <w:r w:rsidR="000450D2" w:rsidRPr="000450D2">
        <w:rPr>
          <w:rFonts w:ascii="Arial" w:hAnsi="Arial" w:cs="Arial"/>
          <w:sz w:val="24"/>
          <w:szCs w:val="24"/>
        </w:rPr>
        <w:t>Pheromones are chemical compounds released by an organism that function similarly to external hormones, influencing the behavior of other individuals of the same species. The initial identification of an insect sex pheromone, bombykol [(E,Z)-10,12-hexadecadien-1-ol], came from the silkworm moth Bombyx mori (Butenandt et al., 1959). The first pheromone linked to an insect pest, gyplure [(Z)-18-hydroxyoctadec-9-en-7-yl acetate], was synthesized from ricinoleic acid for the gypsy moth (Jacobson et al., 1964). Subsequently, (Z)-7-dodecenyl acetate was recognized as the sex pheromone for the cabbage looper Trichoplusia ni (Berger, 1966). In the bark beetle Ips paraconfusus, terpenoid alcohols such as ipsenol, ipsdienol, and verbenol serve as pheromones. By the 1980s, research revealed that pheromone diversity arises from fatty acid and isoprenoid pathway derivatives, modified by specialized enzymes (Bjostad et al., 1987; Jurenka, 2003). In honeybees, queen pheromones result from specific fatty acid chain modifications. In species like cockroaches and beetles, juvenile hormone controls both pheromone synthesis and ovarian development. Nutritional factors, particularly sugar metabolism, play a significant role in regulating pheromone levels in moths and cockroaches (Foster, 2009). Future pest control strategies may leverage sterile-male release techniques to interfere with pest reproduction.</w:t>
      </w:r>
    </w:p>
    <w:p w14:paraId="61C2A631" w14:textId="35904DFD" w:rsidR="0004619A" w:rsidRPr="00A50A11" w:rsidRDefault="0035759F" w:rsidP="0004619A">
      <w:pPr>
        <w:jc w:val="both"/>
        <w:rPr>
          <w:rFonts w:ascii="Arial" w:hAnsi="Arial" w:cs="Arial"/>
          <w:sz w:val="24"/>
          <w:szCs w:val="24"/>
        </w:rPr>
      </w:pPr>
      <w:r>
        <w:rPr>
          <w:rFonts w:ascii="Arial" w:hAnsi="Arial" w:cs="Arial"/>
          <w:sz w:val="24"/>
          <w:szCs w:val="24"/>
        </w:rPr>
        <w:t xml:space="preserve">Key words: </w:t>
      </w:r>
      <w:r w:rsidRPr="0035759F">
        <w:rPr>
          <w:rFonts w:ascii="Arial" w:hAnsi="Arial" w:cs="Arial"/>
          <w:sz w:val="24"/>
          <w:szCs w:val="24"/>
        </w:rPr>
        <w:t>Insect ,Pheromones, Terpenoid ,juvenile ,hormone,</w:t>
      </w:r>
    </w:p>
    <w:p w14:paraId="6BF8586A" w14:textId="2774D8BE" w:rsidR="00602B1D" w:rsidRPr="00602B1D" w:rsidRDefault="00065C86" w:rsidP="00602B1D">
      <w:pPr>
        <w:pStyle w:val="ListParagraph"/>
        <w:numPr>
          <w:ilvl w:val="0"/>
          <w:numId w:val="14"/>
        </w:numPr>
        <w:ind w:left="0"/>
        <w:jc w:val="both"/>
        <w:rPr>
          <w:rFonts w:ascii="Arial" w:hAnsi="Arial" w:cs="Arial"/>
        </w:rPr>
      </w:pPr>
      <w:r>
        <w:rPr>
          <w:rFonts w:ascii="Arial" w:hAnsi="Arial" w:cs="Arial"/>
          <w:b/>
          <w:bCs/>
          <w:sz w:val="24"/>
          <w:szCs w:val="24"/>
        </w:rPr>
        <w:t xml:space="preserve"> </w:t>
      </w:r>
      <w:r w:rsidR="0004619A" w:rsidRPr="00065C86">
        <w:rPr>
          <w:rFonts w:ascii="Arial" w:hAnsi="Arial" w:cs="Arial"/>
          <w:b/>
          <w:bCs/>
          <w:sz w:val="24"/>
          <w:szCs w:val="24"/>
        </w:rPr>
        <w:t>INTRODUCTION</w:t>
      </w:r>
      <w:r w:rsidR="0004619A" w:rsidRPr="00065C86">
        <w:rPr>
          <w:rFonts w:ascii="Arial" w:hAnsi="Arial" w:cs="Arial"/>
          <w:sz w:val="24"/>
          <w:szCs w:val="24"/>
        </w:rPr>
        <w:br/>
        <w:t xml:space="preserve">Pheromones are chemical messengers that influence </w:t>
      </w:r>
      <w:r>
        <w:rPr>
          <w:rFonts w:ascii="Arial" w:hAnsi="Arial" w:cs="Arial"/>
          <w:sz w:val="24"/>
          <w:szCs w:val="24"/>
        </w:rPr>
        <w:t xml:space="preserve">the </w:t>
      </w:r>
      <w:r w:rsidR="0004619A" w:rsidRPr="00065C86">
        <w:rPr>
          <w:rFonts w:ascii="Arial" w:hAnsi="Arial" w:cs="Arial"/>
          <w:sz w:val="24"/>
          <w:szCs w:val="24"/>
        </w:rPr>
        <w:t>behavior of individuals of the same species (Karlson &amp; Lüscher, 1959). Unlike hormones, which act internally, pheromones are secreted externally and received by conspecifics through olfaction or contact. Insects rely on pheromones for mate attraction, aggregation, oviposition, food location, and predator avoidance (Pedigo, 2003; Cork, 2004). Pheromonal communication is effective over long distances, stable in the environment, and independent of visual or auditory cues.</w:t>
      </w:r>
      <w:r w:rsidR="00602B1D" w:rsidRPr="00602B1D">
        <w:rPr>
          <w:kern w:val="0"/>
          <w:sz w:val="24"/>
          <w:szCs w:val="24"/>
          <w14:ligatures w14:val="none"/>
        </w:rPr>
        <w:t xml:space="preserve"> </w:t>
      </w:r>
      <w:r w:rsidR="00602B1D" w:rsidRPr="00602B1D">
        <w:rPr>
          <w:rFonts w:ascii="Arial" w:hAnsi="Arial" w:cs="Arial"/>
        </w:rPr>
        <w:t xml:space="preserve">This review aims to elucidate the biochemical pathways and regulatory </w:t>
      </w:r>
      <w:r w:rsidR="00602B1D" w:rsidRPr="00602B1D">
        <w:rPr>
          <w:rFonts w:ascii="Arial" w:hAnsi="Arial" w:cs="Arial"/>
        </w:rPr>
        <w:lastRenderedPageBreak/>
        <w:t>mechanisms of insect pheromone synthesis, focusing on fatty acid and isoprenoid metabolism. It also evaluates their applications in chemical ecology, particularly in pest management strategies like sterile-male release.</w:t>
      </w:r>
    </w:p>
    <w:p w14:paraId="036E996B" w14:textId="3164C3A2" w:rsidR="0004619A" w:rsidRPr="00065C86" w:rsidRDefault="0004619A" w:rsidP="00602B1D">
      <w:pPr>
        <w:pStyle w:val="ListParagraph"/>
        <w:ind w:left="0" w:firstLine="0"/>
        <w:jc w:val="both"/>
        <w:rPr>
          <w:rFonts w:ascii="Arial" w:hAnsi="Arial" w:cs="Arial"/>
          <w:sz w:val="24"/>
          <w:szCs w:val="24"/>
        </w:rPr>
      </w:pPr>
    </w:p>
    <w:p w14:paraId="610E5A95" w14:textId="77777777" w:rsidR="00065C86" w:rsidRDefault="00065C86" w:rsidP="0004619A">
      <w:pPr>
        <w:jc w:val="both"/>
        <w:rPr>
          <w:rFonts w:ascii="Arial" w:hAnsi="Arial" w:cs="Arial"/>
          <w:b/>
          <w:bCs/>
          <w:sz w:val="24"/>
          <w:szCs w:val="24"/>
        </w:rPr>
      </w:pPr>
    </w:p>
    <w:p w14:paraId="45005BC3" w14:textId="272567DD" w:rsidR="0004619A" w:rsidRPr="00A50A11" w:rsidRDefault="0004619A" w:rsidP="0004619A">
      <w:pPr>
        <w:jc w:val="both"/>
        <w:rPr>
          <w:rFonts w:ascii="Arial" w:hAnsi="Arial" w:cs="Arial"/>
          <w:b/>
          <w:bCs/>
          <w:sz w:val="24"/>
          <w:szCs w:val="24"/>
        </w:rPr>
      </w:pPr>
      <w:r w:rsidRPr="00A50A11">
        <w:rPr>
          <w:rFonts w:ascii="Arial" w:hAnsi="Arial" w:cs="Arial"/>
          <w:b/>
          <w:bCs/>
          <w:sz w:val="24"/>
          <w:szCs w:val="24"/>
        </w:rPr>
        <w:t>Pheromones are categorized as:</w:t>
      </w:r>
    </w:p>
    <w:p w14:paraId="39CD2307" w14:textId="77777777" w:rsidR="0004619A" w:rsidRPr="00A50A11" w:rsidRDefault="0004619A" w:rsidP="0004619A">
      <w:pPr>
        <w:numPr>
          <w:ilvl w:val="0"/>
          <w:numId w:val="1"/>
        </w:numPr>
        <w:ind w:left="0" w:firstLine="0"/>
        <w:jc w:val="both"/>
        <w:rPr>
          <w:rFonts w:ascii="Arial" w:hAnsi="Arial" w:cs="Arial"/>
          <w:sz w:val="24"/>
          <w:szCs w:val="24"/>
        </w:rPr>
      </w:pPr>
      <w:r w:rsidRPr="00A50A11">
        <w:rPr>
          <w:rFonts w:ascii="Arial" w:hAnsi="Arial" w:cs="Arial"/>
          <w:b/>
          <w:bCs/>
          <w:sz w:val="24"/>
          <w:szCs w:val="24"/>
        </w:rPr>
        <w:t>Primer pheromones</w:t>
      </w:r>
      <w:r w:rsidRPr="00A50A11">
        <w:rPr>
          <w:rFonts w:ascii="Arial" w:hAnsi="Arial" w:cs="Arial"/>
          <w:sz w:val="24"/>
          <w:szCs w:val="24"/>
        </w:rPr>
        <w:t xml:space="preserve"> – inducing long-term physiological changes, e.g., caste regulation in social insects (Pedigo, 2003; Cork, 2004).</w:t>
      </w:r>
    </w:p>
    <w:p w14:paraId="0DC59F8F" w14:textId="77777777" w:rsidR="0004619A" w:rsidRPr="00A50A11" w:rsidRDefault="0004619A" w:rsidP="0004619A">
      <w:pPr>
        <w:numPr>
          <w:ilvl w:val="0"/>
          <w:numId w:val="1"/>
        </w:numPr>
        <w:ind w:left="0" w:firstLine="0"/>
        <w:jc w:val="both"/>
        <w:rPr>
          <w:rFonts w:ascii="Arial" w:hAnsi="Arial" w:cs="Arial"/>
          <w:sz w:val="24"/>
          <w:szCs w:val="24"/>
        </w:rPr>
      </w:pPr>
      <w:r w:rsidRPr="00A50A11">
        <w:rPr>
          <w:rFonts w:ascii="Arial" w:hAnsi="Arial" w:cs="Arial"/>
          <w:b/>
          <w:bCs/>
          <w:sz w:val="24"/>
          <w:szCs w:val="24"/>
        </w:rPr>
        <w:t>Releaser pheromones</w:t>
      </w:r>
      <w:r w:rsidRPr="00A50A11">
        <w:rPr>
          <w:rFonts w:ascii="Arial" w:hAnsi="Arial" w:cs="Arial"/>
          <w:sz w:val="24"/>
          <w:szCs w:val="24"/>
        </w:rPr>
        <w:t xml:space="preserve"> – causing immediate, reversible behavioral changes, such as sex pheromones, aggregation signals, trail-marking, and alarm pheromones (Cork, 2004).</w:t>
      </w:r>
    </w:p>
    <w:p w14:paraId="7186E685" w14:textId="77777777" w:rsidR="0004619A" w:rsidRPr="00A50A11" w:rsidRDefault="0004619A" w:rsidP="0004619A">
      <w:pPr>
        <w:jc w:val="both"/>
        <w:rPr>
          <w:rFonts w:ascii="Arial" w:hAnsi="Arial" w:cs="Arial"/>
          <w:sz w:val="24"/>
          <w:szCs w:val="24"/>
        </w:rPr>
      </w:pPr>
      <w:r w:rsidRPr="00A50A11">
        <w:rPr>
          <w:rFonts w:ascii="Arial" w:hAnsi="Arial" w:cs="Arial"/>
          <w:sz w:val="24"/>
          <w:szCs w:val="24"/>
        </w:rPr>
        <w:t>Sex pheromones are usually female-produced to attract males, though in some species, males produce pheromones to trigger female courtship (Nieberding et al., 2008). Aggregation pheromones attract both sexes to shared resources (Heuskin et al., 2011), alarm pheromones trigger dispersal or defense (Verheggen et al., 2010), trail pheromones guide nestmates to food and host-marking pheromones reduce competition among parasitoids (Heuskin et al., 2011).</w:t>
      </w:r>
    </w:p>
    <w:p w14:paraId="27A108CD" w14:textId="77777777" w:rsidR="0004619A" w:rsidRPr="00A50A11" w:rsidRDefault="0004619A" w:rsidP="0004619A">
      <w:pPr>
        <w:jc w:val="both"/>
        <w:rPr>
          <w:rFonts w:ascii="Arial" w:hAnsi="Arial" w:cs="Arial"/>
          <w:b/>
          <w:bCs/>
          <w:sz w:val="24"/>
          <w:szCs w:val="24"/>
        </w:rPr>
      </w:pPr>
      <w:r w:rsidRPr="00A50A11">
        <w:rPr>
          <w:rFonts w:ascii="Arial" w:hAnsi="Arial" w:cs="Arial"/>
          <w:b/>
          <w:bCs/>
          <w:sz w:val="24"/>
          <w:szCs w:val="24"/>
        </w:rPr>
        <w:t xml:space="preserve">2.OVERVIEW OF PHEROMONE BIOCHEMISTRY </w:t>
      </w:r>
    </w:p>
    <w:p w14:paraId="4FAF809E" w14:textId="77777777" w:rsidR="008E22DF" w:rsidRPr="008E22DF" w:rsidRDefault="008E22DF" w:rsidP="008E22DF">
      <w:pPr>
        <w:jc w:val="both"/>
        <w:rPr>
          <w:rFonts w:ascii="Arial" w:hAnsi="Arial" w:cs="Arial"/>
          <w:sz w:val="24"/>
          <w:szCs w:val="24"/>
        </w:rPr>
      </w:pPr>
      <w:r w:rsidRPr="008E22DF">
        <w:rPr>
          <w:rFonts w:ascii="Arial" w:hAnsi="Arial" w:cs="Arial"/>
          <w:sz w:val="24"/>
          <w:szCs w:val="24"/>
        </w:rPr>
        <w:t>The initial insect sex pheromone, bombykol [(E,Z)-10,12-hexadecadien-1-ol], was discovered in the silkworm moth Bombyx mori (Butenandt et al., 1959), a process that took over two decades and involved extracting from nearly 500,000 female abdomens. Shortly thereafter, (Z)-7-dodecenyl acetate was recognized as the sex pheromone of the cabbage looper Trichoplusia ni (Berger, 1966), while around the same period, three terpenoid alcohols—ipsenol, ipsdienol, and verbenol—were identified as aggregation pheromones in the bark beetle Ips paraconfusus, underscoring that pheromones are typically complex blends with single-component cases being uncommon.</w:t>
      </w:r>
    </w:p>
    <w:p w14:paraId="1AE60FC8" w14:textId="77777777" w:rsidR="008E22DF" w:rsidRPr="008E22DF" w:rsidRDefault="008E22DF" w:rsidP="008E22DF">
      <w:pPr>
        <w:jc w:val="both"/>
        <w:rPr>
          <w:rFonts w:ascii="Arial" w:hAnsi="Arial" w:cs="Arial"/>
          <w:sz w:val="24"/>
          <w:szCs w:val="24"/>
        </w:rPr>
      </w:pPr>
      <w:r w:rsidRPr="008E22DF">
        <w:rPr>
          <w:rFonts w:ascii="Arial" w:hAnsi="Arial" w:cs="Arial"/>
          <w:sz w:val="24"/>
          <w:szCs w:val="24"/>
        </w:rPr>
        <w:t xml:space="preserve">Improvements in analytical tools have since lowered the number of insects needed for pheromone isolation from hundreds of thousands to just one. Over the last 40 years, researchers have identified and characterized pheromone components—both chemically and behaviorally—for thousands of species, especially those impacting agriculture. A key question in the field was whether these compounds originated from diet or were newly synthesized; it’s now clear that most are produced de novo from primary metabolites, though some exceptions occur (Tillman et al., 1999; Eisner &amp; Meinwald, 2003; Blomquist et al., 2005). By the 1980s, it was established that the diversity of insect </w:t>
      </w:r>
      <w:r w:rsidRPr="008E22DF">
        <w:rPr>
          <w:rFonts w:ascii="Arial" w:hAnsi="Arial" w:cs="Arial"/>
          <w:sz w:val="24"/>
          <w:szCs w:val="24"/>
        </w:rPr>
        <w:lastRenderedPageBreak/>
        <w:t>pheromones stems from fatty acid and isoprenoid pathway products, altered by a limited set of tissue-specific enzymes (Bjostad et al., 1987; Jurenka, 2003).</w:t>
      </w:r>
    </w:p>
    <w:p w14:paraId="06F83218" w14:textId="77777777" w:rsidR="008E22DF" w:rsidRPr="008E22DF" w:rsidRDefault="008E22DF" w:rsidP="008E22DF">
      <w:pPr>
        <w:jc w:val="both"/>
        <w:rPr>
          <w:rFonts w:ascii="Arial" w:hAnsi="Arial" w:cs="Arial"/>
          <w:sz w:val="24"/>
          <w:szCs w:val="24"/>
        </w:rPr>
      </w:pPr>
      <w:r w:rsidRPr="008E22DF">
        <w:rPr>
          <w:rFonts w:ascii="Arial" w:hAnsi="Arial" w:cs="Arial"/>
          <w:sz w:val="24"/>
          <w:szCs w:val="24"/>
        </w:rPr>
        <w:t>In Lepidoptera, Roelofs and his team showed that specific chain-shortening processes, Δ11-desaturases, and carboxyl alterations produce numerous moth pheromones (Bjostad et al., 1987; Jurenka, 2003). Honeybees also utilize fatty acid chain-shortening for queen pheromone production. In other insects, pheromone synthesis involves extending and oxidatively decarbonylating fatty acids to form hydrocarbons or similar compounds (Tillman et al., 1999; Blomquist, 2010). For bark beetles (Ips, Dendroctonus spp.), pheromones like ipsenol, ipsdienol, and frontalin arise from modifications of isoprenoid pathway intermediates (Blomquist et al., 2010). Studies in beetles, cockroaches, and flies reveal that juvenile hormone (JH) often synchronizes ovarian development with pheromone production, while in flies, ovarian ecdysteroids like 20-hydroxyecdysone also control pheromone synthesis (Wicker-Thomas, 1995a,b; Blomquist, 2003).</w:t>
      </w:r>
    </w:p>
    <w:p w14:paraId="54C9AAB7" w14:textId="77777777" w:rsidR="008E22DF" w:rsidRDefault="008E22DF" w:rsidP="008E22DF">
      <w:pPr>
        <w:jc w:val="both"/>
        <w:rPr>
          <w:rFonts w:ascii="Arial" w:hAnsi="Arial" w:cs="Arial"/>
          <w:sz w:val="24"/>
          <w:szCs w:val="24"/>
        </w:rPr>
      </w:pPr>
      <w:r w:rsidRPr="008E22DF">
        <w:rPr>
          <w:rFonts w:ascii="Arial" w:hAnsi="Arial" w:cs="Arial"/>
          <w:sz w:val="24"/>
          <w:szCs w:val="24"/>
        </w:rPr>
        <w:t>In female moths, a unique neuropeptide regulates pheromone production. The pheromone biosynthesis-activating neuropeptide (PBAN), identified in 1989, plays a critical role in triggering sex pheromone synthesis (Raina et al., 1989; Rafaeli, 2009). However, in certain species, pheromone production seems to be governed by developmental cues rather than hormonal signals.</w:t>
      </w:r>
    </w:p>
    <w:p w14:paraId="3CA6B298" w14:textId="77777777" w:rsidR="008E22DF" w:rsidRDefault="008E22DF" w:rsidP="008E22DF">
      <w:pPr>
        <w:jc w:val="both"/>
        <w:rPr>
          <w:rFonts w:ascii="Arial" w:hAnsi="Arial" w:cs="Arial"/>
          <w:sz w:val="24"/>
          <w:szCs w:val="24"/>
        </w:rPr>
      </w:pPr>
    </w:p>
    <w:p w14:paraId="2E649BF1" w14:textId="57A6FF8D" w:rsidR="0004619A" w:rsidRPr="00A50A11" w:rsidRDefault="0004619A" w:rsidP="008E22DF">
      <w:pPr>
        <w:jc w:val="both"/>
        <w:rPr>
          <w:rFonts w:ascii="Arial" w:hAnsi="Arial" w:cs="Arial"/>
          <w:b/>
          <w:bCs/>
          <w:sz w:val="24"/>
          <w:szCs w:val="24"/>
        </w:rPr>
      </w:pPr>
      <w:r w:rsidRPr="00A50A11">
        <w:rPr>
          <w:rFonts w:ascii="Arial" w:hAnsi="Arial" w:cs="Arial"/>
          <w:b/>
          <w:bCs/>
          <w:sz w:val="24"/>
          <w:szCs w:val="24"/>
        </w:rPr>
        <w:t xml:space="preserve">3. SOURCES OF PHEROMONE COMPONENTS </w:t>
      </w:r>
    </w:p>
    <w:p w14:paraId="64BF2E1C" w14:textId="77777777" w:rsidR="0004619A" w:rsidRPr="00A50A11" w:rsidRDefault="0004619A" w:rsidP="0004619A">
      <w:pPr>
        <w:jc w:val="both"/>
        <w:rPr>
          <w:rFonts w:ascii="Arial" w:hAnsi="Arial" w:cs="Arial"/>
          <w:sz w:val="24"/>
          <w:szCs w:val="24"/>
        </w:rPr>
      </w:pPr>
      <w:r w:rsidRPr="00A50A11">
        <w:rPr>
          <w:rFonts w:ascii="Arial" w:hAnsi="Arial" w:cs="Arial"/>
          <w:sz w:val="24"/>
          <w:szCs w:val="24"/>
        </w:rPr>
        <w:t>Insect pheromones are synthesized from primary metabolites, but the specific pathways vary among taxa.</w:t>
      </w:r>
    </w:p>
    <w:p w14:paraId="1558E5E8" w14:textId="77777777" w:rsidR="0004619A" w:rsidRPr="00A50A11" w:rsidRDefault="0004619A" w:rsidP="0004619A">
      <w:pPr>
        <w:pStyle w:val="ListParagraph"/>
        <w:numPr>
          <w:ilvl w:val="1"/>
          <w:numId w:val="9"/>
        </w:numPr>
        <w:jc w:val="both"/>
        <w:rPr>
          <w:rFonts w:ascii="Arial" w:hAnsi="Arial" w:cs="Arial"/>
          <w:b/>
          <w:bCs/>
          <w:sz w:val="24"/>
          <w:szCs w:val="24"/>
        </w:rPr>
      </w:pPr>
      <w:r w:rsidRPr="00A50A11">
        <w:rPr>
          <w:rFonts w:ascii="Arial" w:hAnsi="Arial" w:cs="Arial"/>
          <w:b/>
          <w:bCs/>
          <w:sz w:val="24"/>
          <w:szCs w:val="24"/>
        </w:rPr>
        <w:t>Fatty Acid–Derived Pheromones</w:t>
      </w:r>
    </w:p>
    <w:p w14:paraId="0E78A0D1"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In Lepidoptera, most female sex pheromones are derived from saturated fatty acids such as palmitic and stearic acid. These undergo chain-shortening, desaturation, reduction, and acetylation to form alcohols, aldehydes, or acetates (Bjostad et al., 1987; Jurenka, 2003). Honeybee queen pheromones also originate from selective chain-shortening of fatty acids. Similarly, cuticular hydrocarbons in cockroaches and beetles are synthesized via elongation and oxidative decarbonylation of fatty acids (Blomquist, 2010).</w:t>
      </w:r>
    </w:p>
    <w:p w14:paraId="44BE39DB" w14:textId="77777777" w:rsidR="0004619A" w:rsidRPr="00A50A11" w:rsidRDefault="0004619A" w:rsidP="0004619A">
      <w:pPr>
        <w:pStyle w:val="ListParagraph"/>
        <w:numPr>
          <w:ilvl w:val="1"/>
          <w:numId w:val="9"/>
        </w:numPr>
        <w:jc w:val="both"/>
        <w:rPr>
          <w:rFonts w:ascii="Arial" w:hAnsi="Arial" w:cs="Arial"/>
          <w:b/>
          <w:bCs/>
          <w:sz w:val="24"/>
          <w:szCs w:val="24"/>
        </w:rPr>
      </w:pPr>
      <w:r w:rsidRPr="00A50A11">
        <w:rPr>
          <w:rFonts w:ascii="Arial" w:hAnsi="Arial" w:cs="Arial"/>
          <w:b/>
          <w:bCs/>
          <w:sz w:val="24"/>
          <w:szCs w:val="24"/>
        </w:rPr>
        <w:t>Isoprenoid-Derived Pheromones</w:t>
      </w:r>
    </w:p>
    <w:p w14:paraId="50BE6EC8"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In bark beetles (</w:t>
      </w:r>
      <w:r w:rsidRPr="00A50A11">
        <w:rPr>
          <w:rFonts w:ascii="Arial" w:hAnsi="Arial" w:cs="Arial"/>
          <w:i/>
          <w:iCs/>
          <w:sz w:val="24"/>
          <w:szCs w:val="24"/>
        </w:rPr>
        <w:t>Ips</w:t>
      </w:r>
      <w:r w:rsidRPr="00A50A11">
        <w:rPr>
          <w:rFonts w:ascii="Arial" w:hAnsi="Arial" w:cs="Arial"/>
          <w:sz w:val="24"/>
          <w:szCs w:val="24"/>
        </w:rPr>
        <w:t xml:space="preserve"> spp., </w:t>
      </w:r>
      <w:r w:rsidRPr="00A50A11">
        <w:rPr>
          <w:rFonts w:ascii="Arial" w:hAnsi="Arial" w:cs="Arial"/>
          <w:i/>
          <w:iCs/>
          <w:sz w:val="24"/>
          <w:szCs w:val="24"/>
        </w:rPr>
        <w:t>Dendroctonus</w:t>
      </w:r>
      <w:r w:rsidRPr="00A50A11">
        <w:rPr>
          <w:rFonts w:ascii="Arial" w:hAnsi="Arial" w:cs="Arial"/>
          <w:sz w:val="24"/>
          <w:szCs w:val="24"/>
        </w:rPr>
        <w:t xml:space="preserve"> spp.), aggregation pheromones such as ipsenol, ipsdienol, and frontalin are produced from intermediates of the isoprenoid pathway. These compounds are generated by hydroxylation, </w:t>
      </w:r>
      <w:r w:rsidRPr="00A50A11">
        <w:rPr>
          <w:rFonts w:ascii="Arial" w:hAnsi="Arial" w:cs="Arial"/>
          <w:sz w:val="24"/>
          <w:szCs w:val="24"/>
        </w:rPr>
        <w:lastRenderedPageBreak/>
        <w:t>oxidation, or reduction of farnesyl diphosphate and related precursors (Blomquist et al., 2010).</w:t>
      </w:r>
    </w:p>
    <w:p w14:paraId="34ACE1E6" w14:textId="77777777" w:rsidR="0004619A" w:rsidRPr="00A50A11" w:rsidRDefault="0004619A" w:rsidP="0004619A">
      <w:pPr>
        <w:pStyle w:val="ListParagraph"/>
        <w:numPr>
          <w:ilvl w:val="1"/>
          <w:numId w:val="9"/>
        </w:numPr>
        <w:jc w:val="both"/>
        <w:rPr>
          <w:rFonts w:ascii="Arial" w:hAnsi="Arial" w:cs="Arial"/>
          <w:b/>
          <w:bCs/>
          <w:sz w:val="24"/>
          <w:szCs w:val="24"/>
        </w:rPr>
      </w:pPr>
      <w:r w:rsidRPr="00A50A11">
        <w:rPr>
          <w:rFonts w:ascii="Arial" w:hAnsi="Arial" w:cs="Arial"/>
          <w:b/>
          <w:bCs/>
          <w:sz w:val="24"/>
          <w:szCs w:val="24"/>
        </w:rPr>
        <w:t>Amino Acid– and Sterol-Derived Pheromones</w:t>
      </w:r>
    </w:p>
    <w:p w14:paraId="6762F5F7"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In some Diptera, ovarian ecdysteroids such as 20-hydroxyecdysone regulate pheromone biosynthesis, linking reproduction and chemical signaling (Wicker-Thomas, 1995a,b; Blomquist, 2003). In cockroaches, juvenile hormone functions both as a regulator of ovarian maturation and as a precursor or modulator in pheromone biosynthesis.</w:t>
      </w:r>
    </w:p>
    <w:p w14:paraId="5A82F486" w14:textId="77777777" w:rsidR="0004619A" w:rsidRPr="00A50A11" w:rsidRDefault="0004619A" w:rsidP="0004619A">
      <w:pPr>
        <w:pStyle w:val="ListParagraph"/>
        <w:numPr>
          <w:ilvl w:val="1"/>
          <w:numId w:val="9"/>
        </w:numPr>
        <w:jc w:val="both"/>
        <w:rPr>
          <w:rFonts w:ascii="Arial" w:hAnsi="Arial" w:cs="Arial"/>
          <w:b/>
          <w:bCs/>
          <w:sz w:val="24"/>
          <w:szCs w:val="24"/>
        </w:rPr>
      </w:pPr>
      <w:r w:rsidRPr="00A50A11">
        <w:rPr>
          <w:rFonts w:ascii="Arial" w:hAnsi="Arial" w:cs="Arial"/>
          <w:b/>
          <w:bCs/>
          <w:sz w:val="24"/>
          <w:szCs w:val="24"/>
        </w:rPr>
        <w:t>Dietary Contributions</w:t>
      </w:r>
    </w:p>
    <w:p w14:paraId="6CEB92D1"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 xml:space="preserve">Although most pheromones are synthesized </w:t>
      </w:r>
      <w:r w:rsidRPr="00A50A11">
        <w:rPr>
          <w:rFonts w:ascii="Arial" w:hAnsi="Arial" w:cs="Arial"/>
          <w:i/>
          <w:iCs/>
          <w:sz w:val="24"/>
          <w:szCs w:val="24"/>
        </w:rPr>
        <w:t>de novo</w:t>
      </w:r>
      <w:r w:rsidRPr="00A50A11">
        <w:rPr>
          <w:rFonts w:ascii="Arial" w:hAnsi="Arial" w:cs="Arial"/>
          <w:sz w:val="24"/>
          <w:szCs w:val="24"/>
        </w:rPr>
        <w:t>, some insects incorporate dietary precursors. For instance, plant-derived compounds are sequestered and modified for pheromone production in certain Lepidoptera and Coleoptera species (Tillman et al., 1999; Eisner &amp; Meinwald, 2003). Feeding and sugar metabolism significantly influence pheromone titers in moths and cockroaches. Overall, fatty acid and isoprenoid pathways represent the dominant sources of pheromone components, with hormonal and nutritional factors fine-tuning their synthesis.</w:t>
      </w:r>
    </w:p>
    <w:p w14:paraId="246C4979" w14:textId="77777777" w:rsidR="0004619A" w:rsidRPr="00A50A11" w:rsidRDefault="0004619A" w:rsidP="0004619A">
      <w:pPr>
        <w:jc w:val="both"/>
        <w:rPr>
          <w:rFonts w:ascii="Arial" w:hAnsi="Arial" w:cs="Arial"/>
          <w:sz w:val="24"/>
          <w:szCs w:val="24"/>
        </w:rPr>
      </w:pPr>
    </w:p>
    <w:p w14:paraId="694B7003" w14:textId="77777777" w:rsidR="0004619A" w:rsidRPr="00A50A11" w:rsidRDefault="0004619A" w:rsidP="0004619A">
      <w:pPr>
        <w:jc w:val="both"/>
        <w:rPr>
          <w:rFonts w:ascii="Arial" w:hAnsi="Arial" w:cs="Arial"/>
          <w:b/>
          <w:bCs/>
          <w:sz w:val="24"/>
          <w:szCs w:val="24"/>
        </w:rPr>
      </w:pPr>
      <w:r w:rsidRPr="00A50A11">
        <w:rPr>
          <w:rFonts w:ascii="Arial" w:hAnsi="Arial" w:cs="Arial"/>
          <w:b/>
          <w:bCs/>
          <w:sz w:val="24"/>
          <w:szCs w:val="24"/>
        </w:rPr>
        <w:t xml:space="preserve">4. REGULATION OF PHEROMONE PRODUCTION </w:t>
      </w:r>
    </w:p>
    <w:p w14:paraId="0E1500C1" w14:textId="64B75DBE" w:rsidR="0004619A" w:rsidRPr="00A50A11" w:rsidRDefault="0004619A" w:rsidP="0004619A">
      <w:pPr>
        <w:jc w:val="both"/>
        <w:rPr>
          <w:rFonts w:ascii="Arial" w:hAnsi="Arial" w:cs="Arial"/>
          <w:sz w:val="24"/>
          <w:szCs w:val="24"/>
        </w:rPr>
      </w:pPr>
      <w:r w:rsidRPr="00A50A11">
        <w:rPr>
          <w:rFonts w:ascii="Arial" w:hAnsi="Arial" w:cs="Arial"/>
          <w:sz w:val="24"/>
          <w:szCs w:val="24"/>
        </w:rPr>
        <w:t>Pheromone production in insects is tightly regulated by hormonal, neural, nutritional, and environmental factors to ensure synchronization with reproductive and behavioral needs.</w:t>
      </w:r>
      <w:r w:rsidR="001F21A6">
        <w:rPr>
          <w:rFonts w:ascii="Arial" w:hAnsi="Arial" w:cs="Arial"/>
          <w:sz w:val="24"/>
          <w:szCs w:val="24"/>
        </w:rPr>
        <w:t xml:space="preserve"> </w:t>
      </w:r>
    </w:p>
    <w:p w14:paraId="56CAA189" w14:textId="77777777" w:rsidR="0004619A" w:rsidRPr="00A50A11" w:rsidRDefault="0004619A" w:rsidP="0004619A">
      <w:pPr>
        <w:pStyle w:val="ListParagraph"/>
        <w:numPr>
          <w:ilvl w:val="1"/>
          <w:numId w:val="10"/>
        </w:numPr>
        <w:jc w:val="both"/>
        <w:rPr>
          <w:rFonts w:ascii="Arial" w:hAnsi="Arial" w:cs="Arial"/>
          <w:b/>
          <w:bCs/>
          <w:sz w:val="24"/>
          <w:szCs w:val="24"/>
        </w:rPr>
      </w:pPr>
      <w:r w:rsidRPr="00A50A11">
        <w:rPr>
          <w:rFonts w:ascii="Arial" w:hAnsi="Arial" w:cs="Arial"/>
          <w:b/>
          <w:bCs/>
          <w:sz w:val="24"/>
          <w:szCs w:val="24"/>
        </w:rPr>
        <w:t>Hormonal Regulation</w:t>
      </w:r>
    </w:p>
    <w:p w14:paraId="36A3F22A"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t>Juvenile hormone (JH) plays a central role in coordinating reproduction and pheromone biosynthesis in many insects. In cockroaches and beetles, JH regulates both ovarian maturation and pheromone production. In Diptera, ovarian ecdysteroids such as 20-hydroxyecdysone influence pheromone biosynthesis and sexual signaling (Wicker-Thomas, 1995a,b; Blomquist, 2003).</w:t>
      </w:r>
    </w:p>
    <w:p w14:paraId="4A8E1697" w14:textId="45D02692" w:rsidR="0004619A" w:rsidRDefault="0004619A" w:rsidP="0004619A">
      <w:pPr>
        <w:jc w:val="both"/>
        <w:rPr>
          <w:rFonts w:ascii="Arial" w:hAnsi="Arial" w:cs="Arial"/>
          <w:sz w:val="24"/>
          <w:szCs w:val="24"/>
        </w:rPr>
      </w:pPr>
      <w:r w:rsidRPr="00A50A11">
        <w:rPr>
          <w:rFonts w:ascii="Arial" w:hAnsi="Arial" w:cs="Arial"/>
          <w:sz w:val="24"/>
          <w:szCs w:val="24"/>
        </w:rPr>
        <w:t>In female moths, pheromone production is uniquely controlled by the pheromone biosynthesis-activating neuropeptide (PBAN), identified in 1989 (Raina et al., 1989). PBAN binds to receptors in pheromone glands, triggering second messenger cascades that activate key biosynthetic enzymes (Rafaeli, 2009).</w:t>
      </w:r>
      <w:r w:rsidR="008243BB">
        <w:rPr>
          <w:rFonts w:ascii="Arial" w:hAnsi="Arial" w:cs="Arial"/>
          <w:sz w:val="24"/>
          <w:szCs w:val="24"/>
        </w:rPr>
        <w:t xml:space="preserve"> </w:t>
      </w:r>
      <w:r w:rsidR="008243BB" w:rsidRPr="008243BB">
        <w:rPr>
          <w:rFonts w:ascii="Arial" w:hAnsi="Arial" w:cs="Arial"/>
          <w:sz w:val="24"/>
          <w:szCs w:val="24"/>
        </w:rPr>
        <w:t xml:space="preserve">Blomquist et al. (2012) proposed that while </w:t>
      </w:r>
      <w:r w:rsidR="008243BB" w:rsidRPr="008243BB">
        <w:rPr>
          <w:rFonts w:ascii="Arial" w:hAnsi="Arial" w:cs="Arial"/>
          <w:i/>
          <w:iCs/>
          <w:sz w:val="24"/>
          <w:szCs w:val="24"/>
        </w:rPr>
        <w:t>Bombyx mori</w:t>
      </w:r>
      <w:r w:rsidR="008243BB" w:rsidRPr="008243BB">
        <w:rPr>
          <w:rFonts w:ascii="Arial" w:hAnsi="Arial" w:cs="Arial"/>
          <w:sz w:val="24"/>
          <w:szCs w:val="24"/>
        </w:rPr>
        <w:t xml:space="preserve"> utilizes a calcium–calmodulin–phosphatase pathway to activate reductase for bombykol production, </w:t>
      </w:r>
      <w:r w:rsidR="008243BB" w:rsidRPr="008243BB">
        <w:rPr>
          <w:rFonts w:ascii="Arial" w:hAnsi="Arial" w:cs="Arial"/>
          <w:i/>
          <w:iCs/>
          <w:sz w:val="24"/>
          <w:szCs w:val="24"/>
        </w:rPr>
        <w:t>Helicoverpa</w:t>
      </w:r>
      <w:r w:rsidR="008243BB" w:rsidRPr="008243BB">
        <w:rPr>
          <w:rFonts w:ascii="Arial" w:hAnsi="Arial" w:cs="Arial"/>
          <w:sz w:val="24"/>
          <w:szCs w:val="24"/>
        </w:rPr>
        <w:t xml:space="preserve"> spp. employ a calcium–calmodulin–cAMP cascade to stimulate acetyl-CoA carboxylase in pheromone biosynthesis</w:t>
      </w:r>
      <w:r w:rsidR="008243BB">
        <w:rPr>
          <w:rFonts w:ascii="Arial" w:hAnsi="Arial" w:cs="Arial"/>
          <w:sz w:val="24"/>
          <w:szCs w:val="24"/>
        </w:rPr>
        <w:t xml:space="preserve"> (Figure 1)</w:t>
      </w:r>
    </w:p>
    <w:p w14:paraId="530D2F73" w14:textId="77777777" w:rsidR="001F21A6" w:rsidRDefault="001F21A6" w:rsidP="0004619A">
      <w:pPr>
        <w:jc w:val="both"/>
        <w:rPr>
          <w:rFonts w:ascii="Arial" w:hAnsi="Arial" w:cs="Arial"/>
          <w:sz w:val="24"/>
          <w:szCs w:val="24"/>
        </w:rPr>
      </w:pPr>
    </w:p>
    <w:p w14:paraId="479406D9" w14:textId="77777777" w:rsidR="001F21A6" w:rsidRDefault="001F21A6" w:rsidP="001F21A6">
      <w:r w:rsidRPr="00F065AB">
        <w:rPr>
          <w:noProof/>
        </w:rPr>
        <w:lastRenderedPageBreak/>
        <w:drawing>
          <wp:inline distT="0" distB="0" distL="0" distR="0" wp14:anchorId="2B08E1FF" wp14:editId="0ED2B9A0">
            <wp:extent cx="5394960" cy="3162300"/>
            <wp:effectExtent l="0" t="0" r="0" b="0"/>
            <wp:docPr id="14338" name="Picture 2" descr="C:\Users\RNBK\Desktop\Credit Seminar\New folder\2011_GILBERT_Blomquist_etal_chapter-p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descr="C:\Users\RNBK\Desktop\Credit Seminar\New folder\2011_GILBERT_Blomquist_etal_chapter-page-03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935" t="7662" r="10196" b="54570"/>
                    <a:stretch>
                      <a:fillRect/>
                    </a:stretch>
                  </pic:blipFill>
                  <pic:spPr bwMode="auto">
                    <a:xfrm>
                      <a:off x="0" y="0"/>
                      <a:ext cx="5394960" cy="3162300"/>
                    </a:xfrm>
                    <a:prstGeom prst="rect">
                      <a:avLst/>
                    </a:prstGeom>
                    <a:noFill/>
                    <a:ln>
                      <a:noFill/>
                    </a:ln>
                    <a:extLst>
                      <a:ext uri="{53640926-AAD7-44D8-BBD7-CCE9431645EC}">
                        <a14:shadowObscured xmlns:a14="http://schemas.microsoft.com/office/drawing/2010/main"/>
                      </a:ext>
                    </a:extLst>
                  </pic:spPr>
                </pic:pic>
              </a:graphicData>
            </a:graphic>
          </wp:inline>
        </w:drawing>
      </w:r>
    </w:p>
    <w:p w14:paraId="442C16B5" w14:textId="77777777" w:rsidR="00A438AE" w:rsidRDefault="00A438AE" w:rsidP="001F21A6"/>
    <w:p w14:paraId="635800F3" w14:textId="16571BD5" w:rsidR="00A438AE" w:rsidRDefault="00A438AE" w:rsidP="001F21A6">
      <w:r>
        <w:t xml:space="preserve">Fig 1: </w:t>
      </w:r>
      <w:r w:rsidRPr="00A438AE">
        <w:t>Proposed signal transduction mechanisms that stimulate the pheromone biosynthetic pathway in Helicoverpa zea and other heliothines as compared with that in Bombyx mori</w:t>
      </w:r>
    </w:p>
    <w:p w14:paraId="14D784A8" w14:textId="79A1EC81" w:rsidR="001F21A6" w:rsidRPr="001F21A6" w:rsidRDefault="006A1D04" w:rsidP="001F21A6">
      <w:pPr>
        <w:jc w:val="both"/>
        <w:rPr>
          <w:rFonts w:ascii="Arial" w:hAnsi="Arial" w:cs="Arial"/>
        </w:rPr>
      </w:pPr>
      <w:r>
        <w:rPr>
          <w:rFonts w:ascii="Arial" w:hAnsi="Arial" w:cs="Arial"/>
        </w:rPr>
        <w:t>Above figure showing</w:t>
      </w:r>
      <w:r w:rsidR="00D55B1D">
        <w:rPr>
          <w:rFonts w:ascii="Arial" w:hAnsi="Arial" w:cs="Arial"/>
        </w:rPr>
        <w:t xml:space="preserve"> </w:t>
      </w:r>
      <w:r w:rsidR="001F21A6" w:rsidRPr="001F21A6">
        <w:rPr>
          <w:rFonts w:ascii="Arial" w:hAnsi="Arial" w:cs="Arial"/>
        </w:rPr>
        <w:t xml:space="preserve">Proposed signal transduction mechanisms that stimulate the pheromone biosynthetic pathway in </w:t>
      </w:r>
      <w:r w:rsidR="001F21A6" w:rsidRPr="001F21A6">
        <w:rPr>
          <w:rFonts w:ascii="Arial" w:hAnsi="Arial" w:cs="Arial"/>
          <w:i/>
          <w:iCs/>
        </w:rPr>
        <w:t>Helicoverpa zea</w:t>
      </w:r>
      <w:r w:rsidR="001F21A6" w:rsidRPr="001F21A6">
        <w:rPr>
          <w:rFonts w:ascii="Arial" w:hAnsi="Arial" w:cs="Arial"/>
        </w:rPr>
        <w:t xml:space="preserve"> and other </w:t>
      </w:r>
      <w:r w:rsidR="001F21A6" w:rsidRPr="001F21A6">
        <w:rPr>
          <w:rFonts w:ascii="Arial" w:hAnsi="Arial" w:cs="Arial"/>
          <w:i/>
          <w:iCs/>
        </w:rPr>
        <w:t>heliothines</w:t>
      </w:r>
      <w:r w:rsidR="001F21A6" w:rsidRPr="001F21A6">
        <w:rPr>
          <w:rFonts w:ascii="Arial" w:hAnsi="Arial" w:cs="Arial"/>
        </w:rPr>
        <w:t xml:space="preserve"> as compared with that in </w:t>
      </w:r>
      <w:r w:rsidR="001F21A6" w:rsidRPr="001F21A6">
        <w:rPr>
          <w:rFonts w:ascii="Arial" w:hAnsi="Arial" w:cs="Arial"/>
          <w:i/>
          <w:iCs/>
        </w:rPr>
        <w:t>Bombyx mori</w:t>
      </w:r>
      <w:r w:rsidR="001F21A6" w:rsidRPr="001F21A6">
        <w:rPr>
          <w:rFonts w:ascii="Arial" w:hAnsi="Arial" w:cs="Arial"/>
        </w:rPr>
        <w:t xml:space="preserve">. It is proposed that PBAN binds to a receptor present in the cell membrane. Binding to the receptor somehow induces a receptor-activated calcium channel to open causing an influx of extracellular calcium. This calcium binds to calmodulin and in the case of B. mori will directly stimulate a phosphatase that will dephosphorylate and activate a reductase in the biosynthetic pathway. This activated reductase will then produce the pheromone bombykol. In </w:t>
      </w:r>
      <w:r w:rsidR="001F21A6" w:rsidRPr="001F21A6">
        <w:rPr>
          <w:rFonts w:ascii="Arial" w:hAnsi="Arial" w:cs="Arial"/>
          <w:i/>
          <w:iCs/>
        </w:rPr>
        <w:t>H. zea</w:t>
      </w:r>
      <w:r w:rsidR="001F21A6" w:rsidRPr="001F21A6">
        <w:rPr>
          <w:rFonts w:ascii="Arial" w:hAnsi="Arial" w:cs="Arial"/>
        </w:rPr>
        <w:t xml:space="preserve"> and other </w:t>
      </w:r>
      <w:r w:rsidR="001F21A6" w:rsidRPr="001F21A6">
        <w:rPr>
          <w:rFonts w:ascii="Arial" w:hAnsi="Arial" w:cs="Arial"/>
          <w:i/>
          <w:iCs/>
        </w:rPr>
        <w:t>heliothine</w:t>
      </w:r>
      <w:r w:rsidR="001F21A6" w:rsidRPr="001F21A6">
        <w:rPr>
          <w:rFonts w:ascii="Arial" w:hAnsi="Arial" w:cs="Arial"/>
        </w:rPr>
        <w:t>s like Helicoverpa armigera, the calcium-calmodulin will activate adenylate cyclase to produce cAMP that will then act through kinases and/or phosphatases to stimulate acetyl-CoA carboxylase in the biosynthetic pathway. (Source: Blomquist, et al., 2012).</w:t>
      </w:r>
    </w:p>
    <w:p w14:paraId="6E6DFBDF" w14:textId="77777777" w:rsidR="001F21A6" w:rsidRPr="00A50A11" w:rsidRDefault="001F21A6" w:rsidP="0004619A">
      <w:pPr>
        <w:jc w:val="both"/>
        <w:rPr>
          <w:rFonts w:ascii="Arial" w:hAnsi="Arial" w:cs="Arial"/>
          <w:sz w:val="24"/>
          <w:szCs w:val="24"/>
        </w:rPr>
      </w:pPr>
    </w:p>
    <w:p w14:paraId="480576D2" w14:textId="77777777" w:rsidR="0004619A" w:rsidRPr="00A50A11" w:rsidRDefault="0004619A" w:rsidP="0004619A">
      <w:pPr>
        <w:pStyle w:val="ListParagraph"/>
        <w:numPr>
          <w:ilvl w:val="1"/>
          <w:numId w:val="10"/>
        </w:numPr>
        <w:jc w:val="both"/>
        <w:rPr>
          <w:rFonts w:ascii="Arial" w:hAnsi="Arial" w:cs="Arial"/>
          <w:b/>
          <w:bCs/>
          <w:sz w:val="24"/>
          <w:szCs w:val="24"/>
        </w:rPr>
      </w:pPr>
      <w:r w:rsidRPr="00A50A11">
        <w:rPr>
          <w:rFonts w:ascii="Arial" w:hAnsi="Arial" w:cs="Arial"/>
          <w:b/>
          <w:bCs/>
          <w:sz w:val="24"/>
          <w:szCs w:val="24"/>
        </w:rPr>
        <w:t>Nutritional Regulation</w:t>
      </w:r>
    </w:p>
    <w:p w14:paraId="14AC3992"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t>Feeding strongly influences pheromone titers. In moths, sugar availability affects fatty acid metabolism, altering pheromone gland activity. Similarly, cockroaches rely on dietary nutrients to maintain pheromone output (Foster, 2009).</w:t>
      </w:r>
    </w:p>
    <w:p w14:paraId="2E29635E" w14:textId="77777777" w:rsidR="0004619A" w:rsidRPr="00A50A11" w:rsidRDefault="0004619A" w:rsidP="0004619A">
      <w:pPr>
        <w:pStyle w:val="ListParagraph"/>
        <w:numPr>
          <w:ilvl w:val="1"/>
          <w:numId w:val="10"/>
        </w:numPr>
        <w:jc w:val="both"/>
        <w:rPr>
          <w:rFonts w:ascii="Arial" w:hAnsi="Arial" w:cs="Arial"/>
          <w:b/>
          <w:bCs/>
          <w:sz w:val="24"/>
          <w:szCs w:val="24"/>
        </w:rPr>
      </w:pPr>
      <w:r w:rsidRPr="00A50A11">
        <w:rPr>
          <w:rFonts w:ascii="Arial" w:hAnsi="Arial" w:cs="Arial"/>
          <w:b/>
          <w:bCs/>
          <w:sz w:val="24"/>
          <w:szCs w:val="24"/>
        </w:rPr>
        <w:t>Environmental Regulation</w:t>
      </w:r>
    </w:p>
    <w:p w14:paraId="04D5D203"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r>
      <w:r w:rsidRPr="00A50A11">
        <w:rPr>
          <w:rFonts w:ascii="Arial" w:hAnsi="Arial" w:cs="Arial"/>
          <w:sz w:val="24"/>
          <w:szCs w:val="24"/>
        </w:rPr>
        <w:lastRenderedPageBreak/>
        <w:t>Pheromone production often follows diel rhythms, ensuring release at specific times of day or night that maximize mate attraction (Jurenka, 2003). Light–dark cycles, temperature, and humidity can modulate both the quantity and blend composition of pheromones.</w:t>
      </w:r>
    </w:p>
    <w:p w14:paraId="19E66DCC" w14:textId="77777777" w:rsidR="0004619A" w:rsidRPr="00A50A11" w:rsidRDefault="0004619A" w:rsidP="0004619A">
      <w:pPr>
        <w:pStyle w:val="ListParagraph"/>
        <w:numPr>
          <w:ilvl w:val="1"/>
          <w:numId w:val="10"/>
        </w:numPr>
        <w:jc w:val="both"/>
        <w:rPr>
          <w:rFonts w:ascii="Arial" w:hAnsi="Arial" w:cs="Arial"/>
          <w:b/>
          <w:bCs/>
          <w:sz w:val="24"/>
          <w:szCs w:val="24"/>
        </w:rPr>
      </w:pPr>
      <w:r w:rsidRPr="00A50A11">
        <w:rPr>
          <w:rFonts w:ascii="Arial" w:hAnsi="Arial" w:cs="Arial"/>
          <w:b/>
          <w:bCs/>
          <w:sz w:val="24"/>
          <w:szCs w:val="24"/>
        </w:rPr>
        <w:t>Developmental and Neural Factors</w:t>
      </w:r>
    </w:p>
    <w:p w14:paraId="380EE122"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In some species, pheromone production follows developmental programming rather than active endocrine regulation. Neural control also influences pheromone release, ensuring context-dependent signaling such as during courtship or alarm responses.</w:t>
      </w:r>
    </w:p>
    <w:p w14:paraId="2DDFADC5" w14:textId="77777777" w:rsidR="0004619A" w:rsidRPr="00A50A11" w:rsidRDefault="0004619A" w:rsidP="0004619A">
      <w:pPr>
        <w:jc w:val="both"/>
        <w:rPr>
          <w:rFonts w:ascii="Arial" w:hAnsi="Arial" w:cs="Arial"/>
          <w:b/>
          <w:bCs/>
          <w:sz w:val="24"/>
          <w:szCs w:val="24"/>
        </w:rPr>
      </w:pPr>
      <w:r w:rsidRPr="00A50A11">
        <w:rPr>
          <w:rFonts w:ascii="Arial" w:hAnsi="Arial" w:cs="Arial"/>
          <w:b/>
          <w:bCs/>
          <w:sz w:val="24"/>
          <w:szCs w:val="24"/>
        </w:rPr>
        <w:t xml:space="preserve">5. MODE OF ACTION AND RECEPTION OF PHEROMONES </w:t>
      </w:r>
    </w:p>
    <w:p w14:paraId="791A1EED" w14:textId="77777777" w:rsidR="0004619A" w:rsidRPr="00A50A11" w:rsidRDefault="0004619A" w:rsidP="0004619A">
      <w:pPr>
        <w:jc w:val="both"/>
        <w:rPr>
          <w:rFonts w:ascii="Arial" w:hAnsi="Arial" w:cs="Arial"/>
          <w:sz w:val="24"/>
          <w:szCs w:val="24"/>
        </w:rPr>
      </w:pPr>
      <w:r w:rsidRPr="00A50A11">
        <w:rPr>
          <w:rFonts w:ascii="Arial" w:hAnsi="Arial" w:cs="Arial"/>
          <w:sz w:val="24"/>
          <w:szCs w:val="24"/>
        </w:rPr>
        <w:t>The effectiveness of pheromones depends not only on their biosynthesis and release but also on their detection and processing by the insect’s sensory system.</w:t>
      </w:r>
    </w:p>
    <w:p w14:paraId="7A216B6C" w14:textId="77777777" w:rsidR="0004619A" w:rsidRPr="00A50A11" w:rsidRDefault="0004619A" w:rsidP="0004619A">
      <w:pPr>
        <w:pStyle w:val="ListParagraph"/>
        <w:numPr>
          <w:ilvl w:val="1"/>
          <w:numId w:val="11"/>
        </w:numPr>
        <w:jc w:val="both"/>
        <w:rPr>
          <w:rFonts w:ascii="Arial" w:hAnsi="Arial" w:cs="Arial"/>
          <w:b/>
          <w:bCs/>
          <w:sz w:val="24"/>
          <w:szCs w:val="24"/>
        </w:rPr>
      </w:pPr>
      <w:r w:rsidRPr="00A50A11">
        <w:rPr>
          <w:rFonts w:ascii="Arial" w:hAnsi="Arial" w:cs="Arial"/>
          <w:b/>
          <w:bCs/>
          <w:sz w:val="24"/>
          <w:szCs w:val="24"/>
        </w:rPr>
        <w:t>Olfactory Detection</w:t>
      </w:r>
    </w:p>
    <w:p w14:paraId="6F22FBDA"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Most pheromones are detected through olfactory sensilla located on the antennae. Volatile molecules enter the sensillar lymph and are transported by odorant-binding proteins (OBPs) to specific olfactory receptors (ORs) on the dendritic membranes of sensory neurons (Vogt, 2005). In Lepidoptera, pheromone-binding proteins (PBPs), a specialized class of OBPs, are highly selective for sex pheromone components (Leal, 2013).</w:t>
      </w:r>
    </w:p>
    <w:p w14:paraId="2C24D082" w14:textId="77777777" w:rsidR="0004619A" w:rsidRPr="00A50A11" w:rsidRDefault="0004619A" w:rsidP="0004619A">
      <w:pPr>
        <w:pStyle w:val="ListParagraph"/>
        <w:numPr>
          <w:ilvl w:val="1"/>
          <w:numId w:val="11"/>
        </w:numPr>
        <w:jc w:val="both"/>
        <w:rPr>
          <w:rFonts w:ascii="Arial" w:hAnsi="Arial" w:cs="Arial"/>
          <w:b/>
          <w:bCs/>
          <w:sz w:val="24"/>
          <w:szCs w:val="24"/>
        </w:rPr>
      </w:pPr>
      <w:r w:rsidRPr="00A50A11">
        <w:rPr>
          <w:rFonts w:ascii="Arial" w:hAnsi="Arial" w:cs="Arial"/>
          <w:b/>
          <w:bCs/>
          <w:sz w:val="24"/>
          <w:szCs w:val="24"/>
        </w:rPr>
        <w:t>Signal Transduction</w:t>
      </w:r>
    </w:p>
    <w:p w14:paraId="1B5FDDE0"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Upon binding to ORs, pheromone molecules trigger conformational changes that activate ion channels, leading to depolarization of olfactory receptor neurons (ORNs). The resulting electrical signals are transmitted to the antennal lobe, where glomeruli integrate input from different receptor types .</w:t>
      </w:r>
    </w:p>
    <w:p w14:paraId="47CF9B43" w14:textId="77777777" w:rsidR="0004619A" w:rsidRPr="00A50A11" w:rsidRDefault="0004619A" w:rsidP="0004619A">
      <w:pPr>
        <w:pStyle w:val="ListParagraph"/>
        <w:ind w:left="0" w:firstLine="0"/>
        <w:jc w:val="both"/>
        <w:rPr>
          <w:rFonts w:ascii="Arial" w:hAnsi="Arial" w:cs="Arial"/>
          <w:sz w:val="24"/>
          <w:szCs w:val="24"/>
        </w:rPr>
      </w:pPr>
    </w:p>
    <w:p w14:paraId="02843EB9" w14:textId="77777777" w:rsidR="0004619A" w:rsidRPr="00A50A11" w:rsidRDefault="0004619A" w:rsidP="0004619A">
      <w:pPr>
        <w:pStyle w:val="ListParagraph"/>
        <w:ind w:left="0" w:firstLine="0"/>
        <w:jc w:val="both"/>
        <w:rPr>
          <w:rFonts w:ascii="Arial" w:hAnsi="Arial" w:cs="Arial"/>
          <w:b/>
          <w:bCs/>
          <w:sz w:val="24"/>
          <w:szCs w:val="24"/>
        </w:rPr>
      </w:pPr>
      <w:r w:rsidRPr="00A50A11">
        <w:rPr>
          <w:rFonts w:ascii="Arial" w:hAnsi="Arial" w:cs="Arial"/>
          <w:b/>
          <w:bCs/>
          <w:sz w:val="24"/>
          <w:szCs w:val="24"/>
        </w:rPr>
        <w:t>Central Processing</w:t>
      </w:r>
    </w:p>
    <w:p w14:paraId="2666E978"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From the antennal lobe, pheromone signals are relayed to higher brain centers such as the mushroom bodies and lateral protocerebrum, where they are integrated with other sensory inputs to produce appropriate behavioral responses (Hansson &amp; Stensmyr, 2011).</w:t>
      </w:r>
    </w:p>
    <w:p w14:paraId="55176528" w14:textId="77777777" w:rsidR="0004619A" w:rsidRPr="00A50A11" w:rsidRDefault="0004619A" w:rsidP="0004619A">
      <w:pPr>
        <w:pStyle w:val="ListParagraph"/>
        <w:numPr>
          <w:ilvl w:val="1"/>
          <w:numId w:val="11"/>
        </w:numPr>
        <w:jc w:val="both"/>
        <w:rPr>
          <w:rFonts w:ascii="Arial" w:hAnsi="Arial" w:cs="Arial"/>
          <w:b/>
          <w:bCs/>
          <w:sz w:val="24"/>
          <w:szCs w:val="24"/>
        </w:rPr>
      </w:pPr>
      <w:r w:rsidRPr="00A50A11">
        <w:rPr>
          <w:rFonts w:ascii="Arial" w:hAnsi="Arial" w:cs="Arial"/>
          <w:b/>
          <w:bCs/>
          <w:sz w:val="24"/>
          <w:szCs w:val="24"/>
        </w:rPr>
        <w:t>Contact and Gustatory Reception</w:t>
      </w:r>
    </w:p>
    <w:p w14:paraId="7D9081B9"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Not all pheromones are volatile. Cuticular hydrocarbons and contact pheromones, often involved in mate recognition, are detected via gustatory receptors on the antennae, palps, or tarsi (Howard &amp; Blomquist, 2005).</w:t>
      </w:r>
    </w:p>
    <w:p w14:paraId="2BCDA060" w14:textId="77777777" w:rsidR="0004619A" w:rsidRPr="00A50A11" w:rsidRDefault="0004619A" w:rsidP="0004619A">
      <w:pPr>
        <w:pStyle w:val="ListParagraph"/>
        <w:numPr>
          <w:ilvl w:val="1"/>
          <w:numId w:val="11"/>
        </w:numPr>
        <w:jc w:val="both"/>
        <w:rPr>
          <w:rFonts w:ascii="Arial" w:hAnsi="Arial" w:cs="Arial"/>
          <w:b/>
          <w:bCs/>
          <w:sz w:val="24"/>
          <w:szCs w:val="24"/>
        </w:rPr>
      </w:pPr>
      <w:r w:rsidRPr="00A50A11">
        <w:rPr>
          <w:rFonts w:ascii="Arial" w:hAnsi="Arial" w:cs="Arial"/>
          <w:b/>
          <w:bCs/>
          <w:sz w:val="24"/>
          <w:szCs w:val="24"/>
        </w:rPr>
        <w:t>Specificity and Sensitivity</w:t>
      </w:r>
    </w:p>
    <w:p w14:paraId="0A8E5A9F"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 xml:space="preserve">The pheromone communication system is highly specific, allowing insects to </w:t>
      </w:r>
      <w:r w:rsidRPr="00A50A11">
        <w:rPr>
          <w:rFonts w:ascii="Arial" w:hAnsi="Arial" w:cs="Arial"/>
          <w:sz w:val="24"/>
          <w:szCs w:val="24"/>
        </w:rPr>
        <w:lastRenderedPageBreak/>
        <w:t>distinguish conspecific signals even in environments with multiple pheromone blends. Sensitivity is remarkable—male moths can detect single molecules of female pheromones.</w:t>
      </w:r>
    </w:p>
    <w:p w14:paraId="12372DC7" w14:textId="77777777" w:rsidR="0004619A" w:rsidRPr="00A50A11" w:rsidRDefault="0004619A" w:rsidP="0004619A">
      <w:pPr>
        <w:jc w:val="both"/>
        <w:rPr>
          <w:rFonts w:ascii="Arial" w:hAnsi="Arial" w:cs="Arial"/>
          <w:b/>
          <w:bCs/>
          <w:sz w:val="24"/>
          <w:szCs w:val="24"/>
        </w:rPr>
      </w:pPr>
      <w:r w:rsidRPr="00A50A11">
        <w:rPr>
          <w:rFonts w:ascii="Arial" w:hAnsi="Arial" w:cs="Arial"/>
          <w:b/>
          <w:bCs/>
          <w:sz w:val="24"/>
          <w:szCs w:val="24"/>
        </w:rPr>
        <w:t xml:space="preserve">6. APPLICATIONS IN CHEMICAL ECOLOGY AND PEST MANAGEMENT </w:t>
      </w:r>
    </w:p>
    <w:p w14:paraId="69E3DE9E" w14:textId="77777777" w:rsidR="0004619A" w:rsidRPr="00A50A11" w:rsidRDefault="0004619A" w:rsidP="0004619A">
      <w:pPr>
        <w:jc w:val="both"/>
        <w:rPr>
          <w:rFonts w:ascii="Arial" w:hAnsi="Arial" w:cs="Arial"/>
          <w:sz w:val="24"/>
          <w:szCs w:val="24"/>
        </w:rPr>
      </w:pPr>
      <w:r w:rsidRPr="00A50A11">
        <w:rPr>
          <w:rFonts w:ascii="Arial" w:hAnsi="Arial" w:cs="Arial"/>
          <w:sz w:val="24"/>
          <w:szCs w:val="24"/>
        </w:rPr>
        <w:t>The discovery and synthesis of insect pheromones have enabled environmentally friendly strategies for pest management. Unlike conventional insecticides, pheromone-based methods are species-specific, non-toxic to natural enemies, and compatible with integrated pest management (IPM) programs.</w:t>
      </w:r>
    </w:p>
    <w:p w14:paraId="65E03D7F" w14:textId="77777777" w:rsidR="0004619A" w:rsidRPr="00A50A11" w:rsidRDefault="0004619A" w:rsidP="0004619A">
      <w:pPr>
        <w:pStyle w:val="ListParagraph"/>
        <w:numPr>
          <w:ilvl w:val="1"/>
          <w:numId w:val="12"/>
        </w:numPr>
        <w:jc w:val="both"/>
        <w:rPr>
          <w:rFonts w:ascii="Arial" w:hAnsi="Arial" w:cs="Arial"/>
          <w:b/>
          <w:bCs/>
          <w:sz w:val="24"/>
          <w:szCs w:val="24"/>
        </w:rPr>
      </w:pPr>
      <w:r w:rsidRPr="00A50A11">
        <w:rPr>
          <w:rFonts w:ascii="Arial" w:hAnsi="Arial" w:cs="Arial"/>
          <w:b/>
          <w:bCs/>
          <w:sz w:val="24"/>
          <w:szCs w:val="24"/>
        </w:rPr>
        <w:t>Monitoring and Surveillance</w:t>
      </w:r>
    </w:p>
    <w:p w14:paraId="66A412C4"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Synthetic pheromone lures are widely used for monitoring pest populations. They provide reliable information on species presence, seasonal abundance, and population dynamics, thereby guiding decisions on the timing of control measures (Witzgall et al., 2010).</w:t>
      </w:r>
    </w:p>
    <w:p w14:paraId="3F70DD0B" w14:textId="77777777" w:rsidR="0004619A" w:rsidRPr="00A50A11" w:rsidRDefault="0004619A" w:rsidP="0004619A">
      <w:pPr>
        <w:pStyle w:val="ListParagraph"/>
        <w:numPr>
          <w:ilvl w:val="1"/>
          <w:numId w:val="12"/>
        </w:numPr>
        <w:jc w:val="both"/>
        <w:rPr>
          <w:rFonts w:ascii="Arial" w:hAnsi="Arial" w:cs="Arial"/>
          <w:b/>
          <w:bCs/>
          <w:sz w:val="24"/>
          <w:szCs w:val="24"/>
        </w:rPr>
      </w:pPr>
      <w:r w:rsidRPr="00A50A11">
        <w:rPr>
          <w:rFonts w:ascii="Arial" w:hAnsi="Arial" w:cs="Arial"/>
          <w:b/>
          <w:bCs/>
          <w:sz w:val="24"/>
          <w:szCs w:val="24"/>
        </w:rPr>
        <w:t>Mass Trapping</w:t>
      </w:r>
    </w:p>
    <w:p w14:paraId="67DCC1CA"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In some cropping systems, pheromone traps are deployed at high density to capture and remove large numbers of adult insects. This reduces mating opportunities and suppresses pest populations, as demonstrated in fruit fly and moth management programs (El-Sayed et al., 2006).</w:t>
      </w:r>
    </w:p>
    <w:p w14:paraId="1B035793" w14:textId="77777777" w:rsidR="0004619A" w:rsidRPr="00A50A11" w:rsidRDefault="0004619A" w:rsidP="0004619A">
      <w:pPr>
        <w:pStyle w:val="ListParagraph"/>
        <w:numPr>
          <w:ilvl w:val="1"/>
          <w:numId w:val="12"/>
        </w:numPr>
        <w:jc w:val="both"/>
        <w:rPr>
          <w:rFonts w:ascii="Arial" w:hAnsi="Arial" w:cs="Arial"/>
          <w:b/>
          <w:bCs/>
          <w:sz w:val="24"/>
          <w:szCs w:val="24"/>
        </w:rPr>
      </w:pPr>
      <w:r w:rsidRPr="00A50A11">
        <w:rPr>
          <w:rFonts w:ascii="Arial" w:hAnsi="Arial" w:cs="Arial"/>
          <w:b/>
          <w:bCs/>
          <w:sz w:val="24"/>
          <w:szCs w:val="24"/>
        </w:rPr>
        <w:t>Mating Disruption</w:t>
      </w:r>
    </w:p>
    <w:p w14:paraId="6A43592C"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 xml:space="preserve">Mating disruption is one of the most successful applications of sex pheromones. By saturating the environment with synthetic pheromones, males are unable to locate females, leading to reduced mating and lower pest densities in subsequent generations (Cardé &amp; Minks, 1995; Witzgall et al., 2010). This strategy is used extensively in managing pests such as the codling moth </w:t>
      </w:r>
      <w:r w:rsidRPr="00A50A11">
        <w:rPr>
          <w:rFonts w:ascii="Arial" w:hAnsi="Arial" w:cs="Arial"/>
          <w:i/>
          <w:iCs/>
          <w:sz w:val="24"/>
          <w:szCs w:val="24"/>
        </w:rPr>
        <w:t>Cydia pomonella</w:t>
      </w:r>
      <w:r w:rsidRPr="00A50A11">
        <w:rPr>
          <w:rFonts w:ascii="Arial" w:hAnsi="Arial" w:cs="Arial"/>
          <w:sz w:val="24"/>
          <w:szCs w:val="24"/>
        </w:rPr>
        <w:t xml:space="preserve"> and pink bollworm </w:t>
      </w:r>
      <w:r w:rsidRPr="00A50A11">
        <w:rPr>
          <w:rFonts w:ascii="Arial" w:hAnsi="Arial" w:cs="Arial"/>
          <w:i/>
          <w:iCs/>
          <w:sz w:val="24"/>
          <w:szCs w:val="24"/>
        </w:rPr>
        <w:t>Pectinophora gossypiella</w:t>
      </w:r>
      <w:r w:rsidRPr="00A50A11">
        <w:rPr>
          <w:rFonts w:ascii="Arial" w:hAnsi="Arial" w:cs="Arial"/>
          <w:sz w:val="24"/>
          <w:szCs w:val="24"/>
        </w:rPr>
        <w:t>.</w:t>
      </w:r>
    </w:p>
    <w:p w14:paraId="34C0E4B9" w14:textId="77777777" w:rsidR="0004619A" w:rsidRPr="00A50A11" w:rsidRDefault="0004619A" w:rsidP="0004619A">
      <w:pPr>
        <w:pStyle w:val="ListParagraph"/>
        <w:numPr>
          <w:ilvl w:val="1"/>
          <w:numId w:val="12"/>
        </w:numPr>
        <w:jc w:val="both"/>
        <w:rPr>
          <w:rFonts w:ascii="Arial" w:hAnsi="Arial" w:cs="Arial"/>
          <w:b/>
          <w:bCs/>
          <w:sz w:val="24"/>
          <w:szCs w:val="24"/>
        </w:rPr>
      </w:pPr>
      <w:r w:rsidRPr="00A50A11">
        <w:rPr>
          <w:rFonts w:ascii="Arial" w:hAnsi="Arial" w:cs="Arial"/>
          <w:b/>
          <w:bCs/>
          <w:sz w:val="24"/>
          <w:szCs w:val="24"/>
        </w:rPr>
        <w:t>Attract-and-Kill and Push–Pull Strategies</w:t>
      </w:r>
    </w:p>
    <w:p w14:paraId="67134AB9"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Pheromones can be combined with insecticides in “attract-and-kill” formulations, which selectively target pests while minimizing chemical inputs. In push–pull strategies, pheromones repel pests from the crop (push) while attractants lure them into traps (pull), thereby reducing infestation levels (Cook et al., 2007).</w:t>
      </w:r>
    </w:p>
    <w:p w14:paraId="6A2679EA" w14:textId="77777777" w:rsidR="0004619A" w:rsidRPr="00A50A11" w:rsidRDefault="0004619A" w:rsidP="0004619A">
      <w:pPr>
        <w:pStyle w:val="ListParagraph"/>
        <w:numPr>
          <w:ilvl w:val="1"/>
          <w:numId w:val="12"/>
        </w:numPr>
        <w:jc w:val="both"/>
        <w:rPr>
          <w:rFonts w:ascii="Arial" w:hAnsi="Arial" w:cs="Arial"/>
          <w:b/>
          <w:bCs/>
          <w:sz w:val="24"/>
          <w:szCs w:val="24"/>
        </w:rPr>
      </w:pPr>
      <w:r w:rsidRPr="00A50A11">
        <w:rPr>
          <w:rFonts w:ascii="Arial" w:hAnsi="Arial" w:cs="Arial"/>
          <w:b/>
          <w:bCs/>
          <w:sz w:val="24"/>
          <w:szCs w:val="24"/>
        </w:rPr>
        <w:t>Conservation of Natural Enemies</w:t>
      </w:r>
    </w:p>
    <w:p w14:paraId="611FF6A0"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Because pheromone-based approaches are highly specific, they avoid harming predators, parasitoids, and pollinators. This makes them particularly valuable in sustainable pest management and organic agriculture (Kogan, 1998).</w:t>
      </w:r>
    </w:p>
    <w:p w14:paraId="22453231" w14:textId="77777777" w:rsidR="0004619A" w:rsidRPr="00A50A11" w:rsidRDefault="0004619A" w:rsidP="0004619A">
      <w:pPr>
        <w:pStyle w:val="ListParagraph"/>
        <w:numPr>
          <w:ilvl w:val="1"/>
          <w:numId w:val="12"/>
        </w:numPr>
        <w:jc w:val="both"/>
        <w:rPr>
          <w:rFonts w:ascii="Arial" w:hAnsi="Arial" w:cs="Arial"/>
          <w:b/>
          <w:bCs/>
          <w:sz w:val="24"/>
          <w:szCs w:val="24"/>
        </w:rPr>
      </w:pPr>
      <w:r w:rsidRPr="00A50A11">
        <w:rPr>
          <w:rFonts w:ascii="Arial" w:hAnsi="Arial" w:cs="Arial"/>
          <w:b/>
          <w:bCs/>
          <w:sz w:val="24"/>
          <w:szCs w:val="24"/>
        </w:rPr>
        <w:t>Post-Harvest Applications</w:t>
      </w:r>
    </w:p>
    <w:p w14:paraId="53A34203"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r>
      <w:r w:rsidRPr="00A50A11">
        <w:rPr>
          <w:rFonts w:ascii="Arial" w:hAnsi="Arial" w:cs="Arial"/>
          <w:sz w:val="24"/>
          <w:szCs w:val="24"/>
        </w:rPr>
        <w:lastRenderedPageBreak/>
        <w:t>Pheromone traps are also employed in storage systems to monitor and control pests such as moths and beetles, thereby protecting stored products without chemical residues.</w:t>
      </w:r>
    </w:p>
    <w:p w14:paraId="3928607B" w14:textId="77777777" w:rsidR="0004619A" w:rsidRDefault="0004619A" w:rsidP="0004619A">
      <w:pPr>
        <w:jc w:val="both"/>
        <w:rPr>
          <w:rFonts w:ascii="Arial" w:hAnsi="Arial" w:cs="Arial"/>
          <w:sz w:val="24"/>
          <w:szCs w:val="24"/>
        </w:rPr>
      </w:pPr>
      <w:r w:rsidRPr="00A50A11">
        <w:rPr>
          <w:rFonts w:ascii="Arial" w:hAnsi="Arial" w:cs="Arial"/>
          <w:sz w:val="24"/>
          <w:szCs w:val="24"/>
        </w:rPr>
        <w:t>Overall, pheromone technology offers precise, ecologically sound alternatives to insecticides and plays an important role in sustainable agriculture.</w:t>
      </w:r>
    </w:p>
    <w:p w14:paraId="6E580073" w14:textId="460E6A2F" w:rsidR="00AF06DA" w:rsidRPr="00A50A11" w:rsidRDefault="00AF06DA" w:rsidP="0004619A">
      <w:pPr>
        <w:jc w:val="both"/>
        <w:rPr>
          <w:rFonts w:ascii="Arial" w:hAnsi="Arial" w:cs="Arial"/>
          <w:sz w:val="24"/>
          <w:szCs w:val="24"/>
        </w:rPr>
      </w:pPr>
      <w:r w:rsidRPr="00AF06DA">
        <w:rPr>
          <w:rFonts w:ascii="Arial" w:hAnsi="Arial" w:cs="Arial"/>
          <w:sz w:val="24"/>
          <w:szCs w:val="24"/>
        </w:rPr>
        <w:t>Gaffke et al. (2021) highlighted that signaling chemicals produced by one organism to elicit a behavioral response in another, known as semiochemicals, play an important role in ecological interactions, with pheromones being a classic example. While semiochemicals have been extensively applied in agriculture and forestry for pest monitoring and control, their use in weed biological control remains limited. The authors documented a few cases where semiochemicals have been employed in classical weed biocontrol, in which natural enemies from the plant’s native range are introduced into invaded regions. Applications include monitoring of biocontrol agents through sex pheromones, promoting establishment by retaining agents in a target area using aggregation pheromones, and deterring agents from non-target habitats via volatile organic compounds. Given the considerable potential of biological control in suppressing invasive plants, they argue that the development and integration of semiochemicals into weed biocontrol programs is both justified and necessary. Broader adoption of chemical ecology principles, supported by multidisciplinary collaborations, could enhance the efficacy, monitoring, and long-term success of such programs.</w:t>
      </w:r>
    </w:p>
    <w:p w14:paraId="5D0A1E08" w14:textId="77777777" w:rsidR="0004619A" w:rsidRPr="00A50A11" w:rsidRDefault="0004619A" w:rsidP="0004619A">
      <w:pPr>
        <w:jc w:val="both"/>
        <w:rPr>
          <w:rFonts w:ascii="Arial" w:hAnsi="Arial" w:cs="Arial"/>
          <w:b/>
          <w:bCs/>
          <w:sz w:val="24"/>
          <w:szCs w:val="24"/>
        </w:rPr>
      </w:pPr>
      <w:r w:rsidRPr="00A50A11">
        <w:rPr>
          <w:rFonts w:ascii="Arial" w:hAnsi="Arial" w:cs="Arial"/>
          <w:b/>
          <w:bCs/>
          <w:sz w:val="24"/>
          <w:szCs w:val="24"/>
        </w:rPr>
        <w:t xml:space="preserve">7. FUTURE PROSPECTS AND CONCLUSIONS </w:t>
      </w:r>
    </w:p>
    <w:p w14:paraId="682F0074" w14:textId="77777777" w:rsidR="0004619A" w:rsidRPr="00A50A11" w:rsidRDefault="0004619A" w:rsidP="0004619A">
      <w:pPr>
        <w:jc w:val="both"/>
        <w:rPr>
          <w:rFonts w:ascii="Arial" w:hAnsi="Arial" w:cs="Arial"/>
          <w:sz w:val="24"/>
          <w:szCs w:val="24"/>
        </w:rPr>
      </w:pPr>
      <w:r w:rsidRPr="00A50A11">
        <w:rPr>
          <w:rFonts w:ascii="Arial" w:hAnsi="Arial" w:cs="Arial"/>
          <w:sz w:val="24"/>
          <w:szCs w:val="24"/>
        </w:rPr>
        <w:t>Research in pheromone biochemistry has provided fundamental insights into insect communication and opened novel avenues for pest management. Despite decades of progress, several challenges and opportunities remain.</w:t>
      </w:r>
    </w:p>
    <w:p w14:paraId="6E316364" w14:textId="77777777" w:rsidR="0004619A" w:rsidRPr="00A50A11" w:rsidRDefault="0004619A" w:rsidP="0004619A">
      <w:pPr>
        <w:pStyle w:val="ListParagraph"/>
        <w:numPr>
          <w:ilvl w:val="1"/>
          <w:numId w:val="13"/>
        </w:numPr>
        <w:jc w:val="both"/>
        <w:rPr>
          <w:rFonts w:ascii="Arial" w:hAnsi="Arial" w:cs="Arial"/>
          <w:b/>
          <w:bCs/>
          <w:sz w:val="24"/>
          <w:szCs w:val="24"/>
        </w:rPr>
      </w:pPr>
      <w:r w:rsidRPr="00A50A11">
        <w:rPr>
          <w:rFonts w:ascii="Arial" w:hAnsi="Arial" w:cs="Arial"/>
          <w:b/>
          <w:bCs/>
          <w:sz w:val="24"/>
          <w:szCs w:val="24"/>
        </w:rPr>
        <w:t>Advances in Molecular Biology and Genomics</w:t>
      </w:r>
    </w:p>
    <w:p w14:paraId="77BED9D4"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The sequencing of insect genomes and advances in functional genomics now allow identification of genes encoding desaturases, reductases, and other pheromone biosynthetic enzymes (Jurenka, 2003; Groot et al., 2016). CRISPR/Cas9 and RNAi technologies provide tools for manipulating these pathways, offering potential for genetic disruption of pheromone production in pest species.</w:t>
      </w:r>
    </w:p>
    <w:p w14:paraId="6FB7866F" w14:textId="77777777" w:rsidR="0004619A" w:rsidRPr="00A50A11" w:rsidRDefault="0004619A" w:rsidP="0004619A">
      <w:pPr>
        <w:pStyle w:val="ListParagraph"/>
        <w:numPr>
          <w:ilvl w:val="1"/>
          <w:numId w:val="13"/>
        </w:numPr>
        <w:jc w:val="both"/>
        <w:rPr>
          <w:rFonts w:ascii="Arial" w:hAnsi="Arial" w:cs="Arial"/>
          <w:b/>
          <w:bCs/>
          <w:sz w:val="24"/>
          <w:szCs w:val="24"/>
        </w:rPr>
      </w:pPr>
      <w:r w:rsidRPr="00A50A11">
        <w:rPr>
          <w:rFonts w:ascii="Arial" w:hAnsi="Arial" w:cs="Arial"/>
          <w:b/>
          <w:bCs/>
          <w:sz w:val="24"/>
          <w:szCs w:val="24"/>
        </w:rPr>
        <w:t>Synthetic Biology and Microbial Production</w:t>
      </w:r>
    </w:p>
    <w:p w14:paraId="6EAD4A3B"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Recent studies suggest that microbial or plant-based expression systems can be engineered to produce pheromone components at scale (Holkenbrink et al., 2020). Such biotechnological approaches may reduce costs and improve the accessibility of pheromone formulations.</w:t>
      </w:r>
    </w:p>
    <w:p w14:paraId="0905A7A8" w14:textId="77777777" w:rsidR="0004619A" w:rsidRPr="00A50A11" w:rsidRDefault="0004619A" w:rsidP="0004619A">
      <w:pPr>
        <w:pStyle w:val="ListParagraph"/>
        <w:numPr>
          <w:ilvl w:val="1"/>
          <w:numId w:val="13"/>
        </w:numPr>
        <w:jc w:val="both"/>
        <w:rPr>
          <w:rFonts w:ascii="Arial" w:hAnsi="Arial" w:cs="Arial"/>
          <w:b/>
          <w:bCs/>
          <w:sz w:val="24"/>
          <w:szCs w:val="24"/>
        </w:rPr>
      </w:pPr>
      <w:r w:rsidRPr="00A50A11">
        <w:rPr>
          <w:rFonts w:ascii="Arial" w:hAnsi="Arial" w:cs="Arial"/>
          <w:b/>
          <w:bCs/>
          <w:sz w:val="24"/>
          <w:szCs w:val="24"/>
        </w:rPr>
        <w:lastRenderedPageBreak/>
        <w:t>Improved Delivery Systems</w:t>
      </w:r>
    </w:p>
    <w:p w14:paraId="38FD9300"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Current formulations often face challenges such as limited field longevity and environmental degradation. Development of controlled-release dispensers, nanotechnology-based carriers, and biodegradable matrices could enhance field performance and reduce application costs (Witzgall et al., 2010).</w:t>
      </w:r>
    </w:p>
    <w:p w14:paraId="72FD3EF7" w14:textId="77777777" w:rsidR="0004619A" w:rsidRPr="00A50A11" w:rsidRDefault="0004619A" w:rsidP="0004619A">
      <w:pPr>
        <w:pStyle w:val="ListParagraph"/>
        <w:numPr>
          <w:ilvl w:val="1"/>
          <w:numId w:val="13"/>
        </w:numPr>
        <w:jc w:val="both"/>
        <w:rPr>
          <w:rFonts w:ascii="Arial" w:hAnsi="Arial" w:cs="Arial"/>
          <w:b/>
          <w:bCs/>
          <w:sz w:val="24"/>
          <w:szCs w:val="24"/>
        </w:rPr>
      </w:pPr>
      <w:r w:rsidRPr="00A50A11">
        <w:rPr>
          <w:rFonts w:ascii="Arial" w:hAnsi="Arial" w:cs="Arial"/>
          <w:b/>
          <w:bCs/>
          <w:sz w:val="24"/>
          <w:szCs w:val="24"/>
        </w:rPr>
        <w:t>Integration into IPM Programs</w:t>
      </w:r>
    </w:p>
    <w:p w14:paraId="78656D02" w14:textId="763E01A6"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Future pest management will increasingly depend on pheromone-based tools integrated with biological control, host plant resistance, and cultural practices. Adoption at the farmer level requires cost-effective products, user-friendly technologies, and effective extension strategies (Kogan, 1998).</w:t>
      </w:r>
      <w:r w:rsidR="00DE3898">
        <w:rPr>
          <w:rFonts w:ascii="Arial" w:hAnsi="Arial" w:cs="Arial"/>
          <w:sz w:val="24"/>
          <w:szCs w:val="24"/>
        </w:rPr>
        <w:t xml:space="preserve"> </w:t>
      </w:r>
      <w:r w:rsidR="00DE3898" w:rsidRPr="00DE3898">
        <w:rPr>
          <w:rFonts w:ascii="Arial" w:hAnsi="Arial" w:cs="Arial"/>
          <w:sz w:val="24"/>
          <w:szCs w:val="24"/>
        </w:rPr>
        <w:t>The integration of biopesticides with pheromone traps proved effective in reducing major insect pests while conserving natural enemies in cabbage ecosystems (Begum et al., 2021)</w:t>
      </w:r>
    </w:p>
    <w:p w14:paraId="6613D97D" w14:textId="77777777" w:rsidR="0004619A" w:rsidRPr="00A50A11" w:rsidRDefault="0004619A" w:rsidP="0004619A">
      <w:pPr>
        <w:pStyle w:val="ListParagraph"/>
        <w:ind w:left="0" w:firstLine="0"/>
        <w:jc w:val="both"/>
        <w:rPr>
          <w:rFonts w:ascii="Arial" w:hAnsi="Arial" w:cs="Arial"/>
          <w:sz w:val="24"/>
          <w:szCs w:val="24"/>
        </w:rPr>
      </w:pPr>
    </w:p>
    <w:p w14:paraId="228B82AE" w14:textId="77777777" w:rsidR="0004619A" w:rsidRPr="00A50A11" w:rsidRDefault="0004619A" w:rsidP="0004619A">
      <w:pPr>
        <w:pStyle w:val="ListParagraph"/>
        <w:numPr>
          <w:ilvl w:val="1"/>
          <w:numId w:val="13"/>
        </w:numPr>
        <w:jc w:val="both"/>
        <w:rPr>
          <w:rFonts w:ascii="Arial" w:hAnsi="Arial" w:cs="Arial"/>
          <w:b/>
          <w:bCs/>
          <w:sz w:val="24"/>
          <w:szCs w:val="24"/>
        </w:rPr>
      </w:pPr>
      <w:r w:rsidRPr="00A50A11">
        <w:rPr>
          <w:rFonts w:ascii="Arial" w:hAnsi="Arial" w:cs="Arial"/>
          <w:b/>
          <w:bCs/>
          <w:sz w:val="24"/>
          <w:szCs w:val="24"/>
        </w:rPr>
        <w:t>Climate Change and Ecological Considerations</w:t>
      </w:r>
    </w:p>
    <w:p w14:paraId="5D2100C3"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br/>
        <w:t>Changing climates may alter pheromone production, release, and reception in insects, potentially shifting pest dynamics. Understanding these interactions will be critical for maintaining the reliability of pheromone-based monitoring and control (El-Sayed et al., 2006).</w:t>
      </w:r>
    </w:p>
    <w:p w14:paraId="5627117B" w14:textId="77777777" w:rsidR="0004619A" w:rsidRPr="00A50A11" w:rsidRDefault="0004619A" w:rsidP="0004619A">
      <w:pPr>
        <w:pStyle w:val="ListParagraph"/>
        <w:ind w:left="0" w:firstLine="0"/>
        <w:jc w:val="both"/>
        <w:rPr>
          <w:rFonts w:ascii="Arial" w:hAnsi="Arial" w:cs="Arial"/>
          <w:sz w:val="24"/>
          <w:szCs w:val="24"/>
        </w:rPr>
      </w:pPr>
    </w:p>
    <w:p w14:paraId="33D670F4" w14:textId="77777777" w:rsidR="0004619A" w:rsidRPr="00A50A11" w:rsidRDefault="0004619A" w:rsidP="0004619A">
      <w:pPr>
        <w:pStyle w:val="ListParagraph"/>
        <w:ind w:left="0" w:firstLine="0"/>
        <w:jc w:val="both"/>
        <w:rPr>
          <w:rFonts w:ascii="Arial" w:hAnsi="Arial" w:cs="Arial"/>
          <w:sz w:val="24"/>
          <w:szCs w:val="24"/>
        </w:rPr>
      </w:pPr>
      <w:r w:rsidRPr="00A50A11">
        <w:rPr>
          <w:rFonts w:ascii="Arial" w:hAnsi="Arial" w:cs="Arial"/>
          <w:sz w:val="24"/>
          <w:szCs w:val="24"/>
        </w:rPr>
        <w:t xml:space="preserve">8. </w:t>
      </w:r>
      <w:r w:rsidRPr="00A50A11">
        <w:rPr>
          <w:rFonts w:ascii="Arial" w:hAnsi="Arial" w:cs="Arial"/>
          <w:b/>
          <w:bCs/>
          <w:sz w:val="24"/>
          <w:szCs w:val="24"/>
        </w:rPr>
        <w:t>FUTURE SCOPE IN ASSAM CONDITION</w:t>
      </w:r>
    </w:p>
    <w:p w14:paraId="44B80F3E" w14:textId="77777777" w:rsidR="0004619A" w:rsidRPr="00A50A11" w:rsidRDefault="0004619A" w:rsidP="0004619A">
      <w:pPr>
        <w:pStyle w:val="ListParagraph"/>
        <w:ind w:left="0" w:firstLine="0"/>
        <w:jc w:val="both"/>
        <w:rPr>
          <w:rFonts w:ascii="Arial" w:hAnsi="Arial" w:cs="Arial"/>
          <w:sz w:val="24"/>
          <w:szCs w:val="24"/>
        </w:rPr>
      </w:pPr>
    </w:p>
    <w:p w14:paraId="3EF9390A" w14:textId="77777777" w:rsidR="008E22DF" w:rsidRPr="008E22DF" w:rsidRDefault="008E22DF" w:rsidP="008E22DF">
      <w:pPr>
        <w:jc w:val="both"/>
        <w:rPr>
          <w:rFonts w:ascii="Arial" w:eastAsia="Times New Roman" w:hAnsi="Arial" w:cs="Arial"/>
          <w:sz w:val="24"/>
          <w:szCs w:val="24"/>
        </w:rPr>
      </w:pPr>
      <w:r w:rsidRPr="008E22DF">
        <w:rPr>
          <w:rFonts w:ascii="Arial" w:eastAsia="Times New Roman" w:hAnsi="Arial" w:cs="Arial"/>
          <w:sz w:val="24"/>
          <w:szCs w:val="24"/>
        </w:rPr>
        <w:t xml:space="preserve">The future of pheromone-based pest management in Assam offers great potential for sustainable agriculture and ecological security, given its diverse pest challenges in crops like cabbage, brinjal, bhut jolokia, tomato, mustard, potato, and cucurbits, where chemical controls often harm natural enemies (Ahmed et al., 2016; Borah et al., 2016; Begam et al., 2016; Buragohain et al., 2017; Pradhan et al., 2020; Ganesh et al., 2023). Research highlights the role of parasitoids and predators in pest regulation (Saikia et al., 2017; Daizy Sarma et al., 2021; Venkatesh et al., 2025), supporting the integration of pheromone traps, mating disruption, and monitoring into IPM to reduce pesticide use, building on successful biopesticide adoption (Kashyap et al., 2020; Saikia &amp; Borkakati, 2019). With growing farmer awareness of eco-friendly practices (Barman et al., 2022; Nath et al., 2023; Rahman et al., 2022), future efforts should prioritize crop-specific pheromone formulations, cost-effective systems, and bio-intensive modules to minimize crop losses and protect Assam’s agroecosystem. Assam’s agro-climatic diversity and high humidity foster pest proliferation, making pheromone-based mass trapping and mating disruption key eco-friendly alternatives to chemical pesticides, targeting pests like yellow stem borer, rice leaf folder, brinjal shoot and fruit borer, mustard aphid, and tea </w:t>
      </w:r>
      <w:r w:rsidRPr="008E22DF">
        <w:rPr>
          <w:rFonts w:ascii="Arial" w:eastAsia="Times New Roman" w:hAnsi="Arial" w:cs="Arial"/>
          <w:sz w:val="24"/>
          <w:szCs w:val="24"/>
        </w:rPr>
        <w:lastRenderedPageBreak/>
        <w:t>mosquito bug in crops such as rice, pulses, rapeseed-mustard, jute, tea, and horticulture.</w:t>
      </w:r>
    </w:p>
    <w:p w14:paraId="2AE3A374" w14:textId="77777777" w:rsidR="009D63B7" w:rsidRPr="009D63B7" w:rsidRDefault="0004619A" w:rsidP="009D63B7">
      <w:pPr>
        <w:jc w:val="both"/>
        <w:rPr>
          <w:rFonts w:ascii="Arial" w:hAnsi="Arial" w:cs="Arial"/>
        </w:rPr>
      </w:pPr>
      <w:r w:rsidRPr="00A50A11">
        <w:rPr>
          <w:rFonts w:ascii="Arial" w:hAnsi="Arial" w:cs="Arial"/>
          <w:b/>
          <w:bCs/>
          <w:sz w:val="24"/>
          <w:szCs w:val="24"/>
        </w:rPr>
        <w:t>9.</w:t>
      </w:r>
      <w:r w:rsidR="00065C86">
        <w:rPr>
          <w:rFonts w:ascii="Arial" w:hAnsi="Arial" w:cs="Arial"/>
          <w:b/>
          <w:bCs/>
          <w:sz w:val="24"/>
          <w:szCs w:val="24"/>
        </w:rPr>
        <w:t xml:space="preserve"> </w:t>
      </w:r>
      <w:r w:rsidRPr="00A50A11">
        <w:rPr>
          <w:rFonts w:ascii="Arial" w:hAnsi="Arial" w:cs="Arial"/>
          <w:b/>
          <w:bCs/>
          <w:sz w:val="24"/>
          <w:szCs w:val="24"/>
        </w:rPr>
        <w:t>CONCLUSION</w:t>
      </w:r>
      <w:r w:rsidRPr="00A50A11">
        <w:rPr>
          <w:rFonts w:ascii="Arial" w:hAnsi="Arial" w:cs="Arial"/>
          <w:sz w:val="24"/>
          <w:szCs w:val="24"/>
        </w:rPr>
        <w:br/>
      </w:r>
      <w:r w:rsidR="009D63B7" w:rsidRPr="009D63B7">
        <w:rPr>
          <w:rFonts w:ascii="Arial" w:hAnsi="Arial" w:cs="Arial"/>
        </w:rPr>
        <w:t>Pheromones offer a precise, species-specific, and eco-friendly approach to managing insect pests, with growing potential driven by advancements in molecular biology, chemical ecology, and biotechnology. Integrating these strategies into Integrated Pest Management (IPM) systems can greatly enhance sustainable agriculture and food security, particularly as a greener substitute for chemical pesticides. In Assam, the warm, humid climate, diverse crops, and pest challenges create ideal conditions for deploying pheromone traps in mass trapping, monitoring, and mating disruption. Targeting key local pests in rice, pulses, oilseeds, vegetables, and tea, while embedding pheromones into current IPM practices, could reduce pesticide reliance and foster eco-conscious farming. Success will depend on boosting local pheromone production, ensuring affordability, and raising farmer awareness through training and demonstrations, supported by collaborative research, extension services, and policy initiatives for effective, environmentally safe crop protection.</w:t>
      </w:r>
    </w:p>
    <w:p w14:paraId="2B1FD997" w14:textId="7A026E2E" w:rsidR="0004619A" w:rsidRPr="00A50A11" w:rsidRDefault="0004619A" w:rsidP="0004619A">
      <w:pPr>
        <w:jc w:val="both"/>
        <w:rPr>
          <w:rFonts w:ascii="Arial" w:hAnsi="Arial" w:cs="Arial"/>
          <w:sz w:val="24"/>
          <w:szCs w:val="24"/>
        </w:rPr>
      </w:pPr>
    </w:p>
    <w:p w14:paraId="7FEB38C3" w14:textId="77777777" w:rsidR="0004619A" w:rsidRPr="00A50A11" w:rsidRDefault="0004619A" w:rsidP="0004619A">
      <w:pPr>
        <w:shd w:val="clear" w:color="auto" w:fill="FFFFFF"/>
        <w:spacing w:after="0" w:line="360" w:lineRule="auto"/>
        <w:rPr>
          <w:rFonts w:ascii="Arial" w:hAnsi="Arial" w:cs="Arial"/>
          <w:b/>
          <w:bCs/>
          <w:sz w:val="24"/>
          <w:szCs w:val="24"/>
        </w:rPr>
      </w:pPr>
      <w:r w:rsidRPr="00A50A11">
        <w:rPr>
          <w:rFonts w:ascii="Arial" w:hAnsi="Arial" w:cs="Arial"/>
          <w:b/>
          <w:bCs/>
          <w:sz w:val="24"/>
          <w:szCs w:val="24"/>
        </w:rPr>
        <w:t xml:space="preserve">DISCLAIMER (ARTIFICIAL INTELLIGENCE) </w:t>
      </w:r>
    </w:p>
    <w:p w14:paraId="7DED98E8" w14:textId="015E04BC" w:rsidR="0004619A" w:rsidRPr="00A50A11" w:rsidRDefault="00065C86" w:rsidP="0004619A">
      <w:pPr>
        <w:shd w:val="clear" w:color="auto" w:fill="FFFFFF"/>
        <w:spacing w:after="0" w:line="360" w:lineRule="auto"/>
        <w:rPr>
          <w:rFonts w:ascii="Arial" w:hAnsi="Arial" w:cs="Arial"/>
          <w:sz w:val="24"/>
          <w:szCs w:val="24"/>
        </w:rPr>
      </w:pPr>
      <w:r>
        <w:rPr>
          <w:rFonts w:ascii="Arial" w:hAnsi="Arial" w:cs="Arial"/>
          <w:sz w:val="24"/>
          <w:szCs w:val="24"/>
        </w:rPr>
        <w:t>The a</w:t>
      </w:r>
      <w:r w:rsidR="0004619A" w:rsidRPr="00A50A11">
        <w:rPr>
          <w:rFonts w:ascii="Arial" w:hAnsi="Arial" w:cs="Arial"/>
          <w:sz w:val="24"/>
          <w:szCs w:val="24"/>
        </w:rPr>
        <w:t>uthor(s) hereby declares that NO generative AI technologies such as Large Language Models (ChatGPT, COPILOT, etc) and text-to-image generators have been used during writing or editing of this manuscript.</w:t>
      </w:r>
    </w:p>
    <w:p w14:paraId="1F0FF717" w14:textId="77777777" w:rsidR="0004619A" w:rsidRPr="00A50A11" w:rsidRDefault="0004619A" w:rsidP="0004619A">
      <w:pPr>
        <w:shd w:val="clear" w:color="auto" w:fill="FFFFFF"/>
        <w:spacing w:after="0" w:line="360" w:lineRule="auto"/>
        <w:rPr>
          <w:rFonts w:ascii="Arial" w:hAnsi="Arial" w:cs="Arial"/>
          <w:b/>
          <w:bCs/>
          <w:sz w:val="24"/>
          <w:szCs w:val="24"/>
        </w:rPr>
      </w:pPr>
      <w:r w:rsidRPr="00A50A11">
        <w:rPr>
          <w:rFonts w:ascii="Arial" w:hAnsi="Arial" w:cs="Arial"/>
          <w:b/>
          <w:bCs/>
          <w:sz w:val="24"/>
          <w:szCs w:val="24"/>
        </w:rPr>
        <w:t xml:space="preserve">ACKNOWLEDGEMENT </w:t>
      </w:r>
    </w:p>
    <w:p w14:paraId="4286FC1B" w14:textId="77777777" w:rsidR="0004619A" w:rsidRPr="00A50A11" w:rsidRDefault="0004619A" w:rsidP="0004619A">
      <w:pPr>
        <w:shd w:val="clear" w:color="auto" w:fill="FFFFFF"/>
        <w:spacing w:after="0" w:line="360" w:lineRule="auto"/>
        <w:rPr>
          <w:rFonts w:ascii="Arial" w:hAnsi="Arial" w:cs="Arial"/>
          <w:b/>
          <w:bCs/>
          <w:sz w:val="24"/>
          <w:szCs w:val="24"/>
        </w:rPr>
      </w:pPr>
      <w:r w:rsidRPr="00A50A11">
        <w:rPr>
          <w:rFonts w:ascii="Arial" w:hAnsi="Arial" w:cs="Arial"/>
          <w:sz w:val="24"/>
          <w:szCs w:val="24"/>
        </w:rPr>
        <w:t>The author sincerely acknowledges the financial support provided by the co-authors, as well as their valuable supervision and assistance in review and editing.</w:t>
      </w:r>
      <w:r w:rsidRPr="00A50A11">
        <w:rPr>
          <w:rFonts w:ascii="Arial" w:hAnsi="Arial" w:cs="Arial"/>
          <w:b/>
          <w:bCs/>
          <w:sz w:val="24"/>
          <w:szCs w:val="24"/>
        </w:rPr>
        <w:t xml:space="preserve"> </w:t>
      </w:r>
    </w:p>
    <w:p w14:paraId="4F826DFA" w14:textId="77777777" w:rsidR="0004619A" w:rsidRPr="00A50A11" w:rsidRDefault="0004619A" w:rsidP="0004619A">
      <w:pPr>
        <w:shd w:val="clear" w:color="auto" w:fill="FFFFFF"/>
        <w:spacing w:after="0" w:line="360" w:lineRule="auto"/>
        <w:rPr>
          <w:rFonts w:ascii="Arial" w:hAnsi="Arial" w:cs="Arial"/>
          <w:b/>
          <w:bCs/>
          <w:sz w:val="24"/>
          <w:szCs w:val="24"/>
        </w:rPr>
      </w:pPr>
      <w:r w:rsidRPr="00A50A11">
        <w:rPr>
          <w:rFonts w:ascii="Arial" w:hAnsi="Arial" w:cs="Arial"/>
          <w:b/>
          <w:bCs/>
          <w:sz w:val="24"/>
          <w:szCs w:val="24"/>
        </w:rPr>
        <w:t xml:space="preserve">COMPETING INTERESTS </w:t>
      </w:r>
    </w:p>
    <w:p w14:paraId="59C1E550" w14:textId="77777777" w:rsidR="0004619A" w:rsidRPr="00A50A11" w:rsidRDefault="0004619A" w:rsidP="0004619A">
      <w:pPr>
        <w:shd w:val="clear" w:color="auto" w:fill="FFFFFF"/>
        <w:spacing w:after="0" w:line="360" w:lineRule="auto"/>
        <w:rPr>
          <w:rFonts w:ascii="Arial" w:hAnsi="Arial" w:cs="Arial"/>
          <w:sz w:val="24"/>
          <w:szCs w:val="24"/>
        </w:rPr>
      </w:pPr>
      <w:r w:rsidRPr="00A50A11">
        <w:rPr>
          <w:rFonts w:ascii="Arial" w:hAnsi="Arial" w:cs="Arial"/>
          <w:sz w:val="24"/>
          <w:szCs w:val="24"/>
        </w:rPr>
        <w:t xml:space="preserve">Authors have declared that no competing interests exist. </w:t>
      </w:r>
    </w:p>
    <w:p w14:paraId="7E871190" w14:textId="77777777" w:rsidR="0004619A" w:rsidRPr="00A50A11" w:rsidRDefault="0004619A" w:rsidP="0004619A">
      <w:pPr>
        <w:jc w:val="both"/>
        <w:rPr>
          <w:rFonts w:ascii="Arial" w:hAnsi="Arial" w:cs="Arial"/>
          <w:sz w:val="24"/>
          <w:szCs w:val="24"/>
        </w:rPr>
      </w:pPr>
    </w:p>
    <w:p w14:paraId="1EB9C9E9" w14:textId="77777777" w:rsidR="0004619A" w:rsidRPr="00A50A11" w:rsidRDefault="0004619A" w:rsidP="0004619A">
      <w:pPr>
        <w:jc w:val="both"/>
        <w:rPr>
          <w:rFonts w:ascii="Arial" w:hAnsi="Arial" w:cs="Arial"/>
          <w:sz w:val="24"/>
          <w:szCs w:val="24"/>
        </w:rPr>
      </w:pPr>
      <w:r w:rsidRPr="00A50A11">
        <w:rPr>
          <w:rFonts w:ascii="Arial" w:hAnsi="Arial" w:cs="Arial"/>
          <w:b/>
          <w:bCs/>
          <w:sz w:val="24"/>
          <w:szCs w:val="24"/>
        </w:rPr>
        <w:t>REFERENCES</w:t>
      </w:r>
    </w:p>
    <w:p w14:paraId="5883A837"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Acín, P., Rosell, G., Guerrero, A., &amp; Quero, C. (2010). Sex pheromone of the Spanish population of the beet armyworm </w:t>
      </w:r>
      <w:r w:rsidRPr="00A50A11">
        <w:rPr>
          <w:rFonts w:ascii="Arial" w:hAnsi="Arial" w:cs="Arial"/>
          <w:i/>
          <w:iCs/>
          <w:color w:val="EE0000"/>
          <w:sz w:val="24"/>
          <w:szCs w:val="24"/>
        </w:rPr>
        <w:t>Spodoptera exigua</w:t>
      </w:r>
      <w:r w:rsidRPr="00A50A11">
        <w:rPr>
          <w:rFonts w:ascii="Arial" w:hAnsi="Arial" w:cs="Arial"/>
          <w:color w:val="EE0000"/>
          <w:sz w:val="24"/>
          <w:szCs w:val="24"/>
        </w:rPr>
        <w:t xml:space="preserve">. </w:t>
      </w:r>
      <w:r w:rsidRPr="00A50A11">
        <w:rPr>
          <w:rFonts w:ascii="Arial" w:hAnsi="Arial" w:cs="Arial"/>
          <w:i/>
          <w:iCs/>
          <w:color w:val="EE0000"/>
          <w:sz w:val="24"/>
          <w:szCs w:val="24"/>
        </w:rPr>
        <w:t>Journal of Chemical Ecology, 36</w:t>
      </w:r>
      <w:r w:rsidRPr="00A50A11">
        <w:rPr>
          <w:rFonts w:ascii="Arial" w:hAnsi="Arial" w:cs="Arial"/>
          <w:color w:val="EE0000"/>
          <w:sz w:val="24"/>
          <w:szCs w:val="24"/>
        </w:rPr>
        <w:t xml:space="preserve">(7), 778–786. </w:t>
      </w:r>
      <w:hyperlink r:id="rId8" w:history="1">
        <w:r w:rsidRPr="00A50A11">
          <w:rPr>
            <w:rStyle w:val="Hyperlink"/>
            <w:rFonts w:ascii="Arial" w:hAnsi="Arial" w:cs="Arial"/>
            <w:color w:val="EE0000"/>
            <w:sz w:val="24"/>
            <w:szCs w:val="24"/>
          </w:rPr>
          <w:t>https://doi.org/10.1007/s10886-010-9817-z</w:t>
        </w:r>
      </w:hyperlink>
    </w:p>
    <w:p w14:paraId="4DD92524"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lastRenderedPageBreak/>
        <w:t xml:space="preserve">Ahmed, S. S., Saikia, D. K., &amp; Borkakati, R. N. (2016). Seasonal incidence of major pests of cabbage and their natural enemies in Jorhat district of Assam. </w:t>
      </w:r>
      <w:r w:rsidRPr="00A50A11">
        <w:rPr>
          <w:rFonts w:ascii="Arial" w:hAnsi="Arial" w:cs="Arial"/>
          <w:i/>
          <w:iCs/>
          <w:color w:val="EE0000"/>
          <w:sz w:val="24"/>
          <w:szCs w:val="24"/>
        </w:rPr>
        <w:t>Pestology, 40</w:t>
      </w:r>
      <w:r w:rsidRPr="00A50A11">
        <w:rPr>
          <w:rFonts w:ascii="Arial" w:hAnsi="Arial" w:cs="Arial"/>
          <w:color w:val="EE0000"/>
          <w:sz w:val="24"/>
          <w:szCs w:val="24"/>
        </w:rPr>
        <w:t>(5), 54–60.</w:t>
      </w:r>
    </w:p>
    <w:p w14:paraId="1E72A3C8"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Barman, S., Deka, A., Borkakati, R. N., Deka, N., &amp; Pathak, P. K. (2022). Evaluation of ICAR schemes/approaches: Progressive farmers’ perception on KVKs activities. </w:t>
      </w:r>
      <w:r w:rsidRPr="00A50A11">
        <w:rPr>
          <w:rFonts w:ascii="Arial" w:hAnsi="Arial" w:cs="Arial"/>
          <w:i/>
          <w:iCs/>
          <w:color w:val="EE0000"/>
          <w:sz w:val="24"/>
          <w:szCs w:val="24"/>
        </w:rPr>
        <w:t>Journal of Experimental Agriculture International, 44</w:t>
      </w:r>
      <w:r w:rsidRPr="00A50A11">
        <w:rPr>
          <w:rFonts w:ascii="Arial" w:hAnsi="Arial" w:cs="Arial"/>
          <w:color w:val="EE0000"/>
          <w:sz w:val="24"/>
          <w:szCs w:val="24"/>
        </w:rPr>
        <w:t xml:space="preserve">(10), 100–104. </w:t>
      </w:r>
      <w:hyperlink r:id="rId9" w:history="1">
        <w:r w:rsidRPr="00A50A11">
          <w:rPr>
            <w:rStyle w:val="Hyperlink"/>
            <w:rFonts w:ascii="Arial" w:hAnsi="Arial" w:cs="Arial"/>
            <w:color w:val="EE0000"/>
            <w:sz w:val="24"/>
            <w:szCs w:val="24"/>
          </w:rPr>
          <w:t>https://doi.org/10.9734/jeai/2022/v44i1030883</w:t>
        </w:r>
      </w:hyperlink>
    </w:p>
    <w:p w14:paraId="2F01F0FF" w14:textId="77777777" w:rsidR="0004619A"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Begam, N., Saikia, D. K., &amp; Borkakati, R. N. (2016). Seasonal incidence of major insect-pests and their natural enemies of Bhut Jolokia. </w:t>
      </w:r>
      <w:r w:rsidRPr="00A50A11">
        <w:rPr>
          <w:rFonts w:ascii="Arial" w:hAnsi="Arial" w:cs="Arial"/>
          <w:i/>
          <w:iCs/>
          <w:color w:val="EE0000"/>
          <w:sz w:val="24"/>
          <w:szCs w:val="24"/>
        </w:rPr>
        <w:t>Annals of Plant Protection Sciences, 24</w:t>
      </w:r>
      <w:r w:rsidRPr="00A50A11">
        <w:rPr>
          <w:rFonts w:ascii="Arial" w:hAnsi="Arial" w:cs="Arial"/>
          <w:color w:val="EE0000"/>
          <w:sz w:val="24"/>
          <w:szCs w:val="24"/>
        </w:rPr>
        <w:t>(2), 259–264.</w:t>
      </w:r>
    </w:p>
    <w:p w14:paraId="504F7E8A" w14:textId="173A1E70" w:rsidR="00765DF5" w:rsidRPr="00A50A11" w:rsidRDefault="00765DF5" w:rsidP="0004619A">
      <w:pPr>
        <w:spacing w:after="0"/>
        <w:ind w:left="709" w:right="-9" w:hanging="993"/>
        <w:jc w:val="both"/>
        <w:rPr>
          <w:rFonts w:ascii="Arial" w:hAnsi="Arial" w:cs="Arial"/>
          <w:color w:val="EE0000"/>
          <w:sz w:val="24"/>
          <w:szCs w:val="24"/>
        </w:rPr>
      </w:pPr>
      <w:r w:rsidRPr="00765DF5">
        <w:rPr>
          <w:rFonts w:ascii="Arial" w:hAnsi="Arial" w:cs="Arial"/>
          <w:color w:val="EE0000"/>
          <w:sz w:val="24"/>
          <w:szCs w:val="24"/>
        </w:rPr>
        <w:t xml:space="preserve">Begum, A., Latif, M. A., Ali, M., &amp; Farhana, F. (2021). Effect of biopesticides and pheromone traps on major insect-pests and their natural enemies of cabbage. </w:t>
      </w:r>
      <w:r w:rsidRPr="00765DF5">
        <w:rPr>
          <w:rFonts w:ascii="Arial" w:hAnsi="Arial" w:cs="Arial"/>
          <w:i/>
          <w:iCs/>
          <w:color w:val="EE0000"/>
          <w:sz w:val="24"/>
          <w:szCs w:val="24"/>
        </w:rPr>
        <w:t>Journal of Experimental Agriculture International, 43</w:t>
      </w:r>
      <w:r w:rsidRPr="00765DF5">
        <w:rPr>
          <w:rFonts w:ascii="Arial" w:hAnsi="Arial" w:cs="Arial"/>
          <w:color w:val="EE0000"/>
          <w:sz w:val="24"/>
          <w:szCs w:val="24"/>
        </w:rPr>
        <w:t xml:space="preserve">(4), 64–75. </w:t>
      </w:r>
      <w:hyperlink r:id="rId10" w:tgtFrame="_new" w:history="1">
        <w:r w:rsidRPr="00765DF5">
          <w:rPr>
            <w:rStyle w:val="Hyperlink"/>
            <w:rFonts w:ascii="Arial" w:hAnsi="Arial" w:cs="Arial"/>
            <w:sz w:val="24"/>
            <w:szCs w:val="24"/>
          </w:rPr>
          <w:t>https://doi.org/10.9734/jeai/2021/v43i430673</w:t>
        </w:r>
      </w:hyperlink>
    </w:p>
    <w:p w14:paraId="78872918"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Berger, R. S. (1966). Isolation, identification, and synthesis of the sex attractant of the cabbage looper </w:t>
      </w:r>
      <w:r w:rsidRPr="00A50A11">
        <w:rPr>
          <w:rFonts w:ascii="Arial" w:hAnsi="Arial" w:cs="Arial"/>
          <w:i/>
          <w:iCs/>
          <w:color w:val="EE0000"/>
          <w:sz w:val="24"/>
          <w:szCs w:val="24"/>
        </w:rPr>
        <w:t>Trichoplusia ni</w:t>
      </w:r>
      <w:r w:rsidRPr="00A50A11">
        <w:rPr>
          <w:rFonts w:ascii="Arial" w:hAnsi="Arial" w:cs="Arial"/>
          <w:color w:val="EE0000"/>
          <w:sz w:val="24"/>
          <w:szCs w:val="24"/>
        </w:rPr>
        <w:t xml:space="preserve">. </w:t>
      </w:r>
      <w:r w:rsidRPr="00A50A11">
        <w:rPr>
          <w:rFonts w:ascii="Arial" w:hAnsi="Arial" w:cs="Arial"/>
          <w:i/>
          <w:iCs/>
          <w:color w:val="EE0000"/>
          <w:sz w:val="24"/>
          <w:szCs w:val="24"/>
        </w:rPr>
        <w:t>Annals of the Entomological Society of America, 59</w:t>
      </w:r>
      <w:r w:rsidRPr="00A50A11">
        <w:rPr>
          <w:rFonts w:ascii="Arial" w:hAnsi="Arial" w:cs="Arial"/>
          <w:color w:val="EE0000"/>
          <w:sz w:val="24"/>
          <w:szCs w:val="24"/>
        </w:rPr>
        <w:t>(4), 767–771.</w:t>
      </w:r>
    </w:p>
    <w:p w14:paraId="74408257"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Blassioli-Moraes, M. C., Khrimian, A., Michereff, M. F. F., Magalhães, D. M., Hickel, E., de Freitas, T. F. S., Barrigossi, J. A. F., Laumann, R. A., Silva, A. T., &amp; Guggilapu, S. D. (2020). Male-produced sex pheromone of </w:t>
      </w:r>
      <w:r w:rsidRPr="00A50A11">
        <w:rPr>
          <w:rFonts w:ascii="Arial" w:hAnsi="Arial" w:cs="Arial"/>
          <w:i/>
          <w:iCs/>
          <w:color w:val="EE0000"/>
          <w:sz w:val="24"/>
          <w:szCs w:val="24"/>
        </w:rPr>
        <w:t>Tibraca limbativentris</w:t>
      </w:r>
      <w:r w:rsidRPr="00A50A11">
        <w:rPr>
          <w:rFonts w:ascii="Arial" w:hAnsi="Arial" w:cs="Arial"/>
          <w:color w:val="EE0000"/>
          <w:sz w:val="24"/>
          <w:szCs w:val="24"/>
        </w:rPr>
        <w:t xml:space="preserve"> revisited: Absolute configurations of zingiberenol stereoisomers and their influence on chemotaxis behavior of conspecific females. </w:t>
      </w:r>
      <w:r w:rsidRPr="00A50A11">
        <w:rPr>
          <w:rFonts w:ascii="Arial" w:hAnsi="Arial" w:cs="Arial"/>
          <w:i/>
          <w:iCs/>
          <w:color w:val="EE0000"/>
          <w:sz w:val="24"/>
          <w:szCs w:val="24"/>
        </w:rPr>
        <w:t>Journal of Chemical Ecology, 46</w:t>
      </w:r>
      <w:r w:rsidRPr="00A50A11">
        <w:rPr>
          <w:rFonts w:ascii="Arial" w:hAnsi="Arial" w:cs="Arial"/>
          <w:color w:val="EE0000"/>
          <w:sz w:val="24"/>
          <w:szCs w:val="24"/>
        </w:rPr>
        <w:t xml:space="preserve">(1), 1–9. </w:t>
      </w:r>
      <w:hyperlink r:id="rId11" w:history="1">
        <w:r w:rsidRPr="00A50A11">
          <w:rPr>
            <w:rStyle w:val="Hyperlink"/>
            <w:rFonts w:ascii="Arial" w:hAnsi="Arial" w:cs="Arial"/>
            <w:color w:val="EE0000"/>
            <w:sz w:val="24"/>
            <w:szCs w:val="24"/>
          </w:rPr>
          <w:t>https://doi.org/10.1007/s10886-019-01125-w</w:t>
        </w:r>
      </w:hyperlink>
    </w:p>
    <w:p w14:paraId="69D530EC"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b/>
          <w:bCs/>
          <w:color w:val="EE0000"/>
          <w:sz w:val="24"/>
          <w:szCs w:val="24"/>
        </w:rPr>
        <w:t>Blomquist, G. J.</w:t>
      </w:r>
      <w:r w:rsidRPr="00A50A11">
        <w:rPr>
          <w:rFonts w:ascii="Arial" w:hAnsi="Arial" w:cs="Arial"/>
          <w:color w:val="EE0000"/>
          <w:sz w:val="24"/>
          <w:szCs w:val="24"/>
        </w:rPr>
        <w:t xml:space="preserve"> (2003). </w:t>
      </w:r>
      <w:r w:rsidRPr="00A50A11">
        <w:rPr>
          <w:rFonts w:ascii="Arial" w:hAnsi="Arial" w:cs="Arial"/>
          <w:i/>
          <w:iCs/>
          <w:color w:val="EE0000"/>
          <w:sz w:val="24"/>
          <w:szCs w:val="24"/>
        </w:rPr>
        <w:t>Biosynthesis and ecdysteroid regulation of housefly sex pheromone production</w:t>
      </w:r>
      <w:r w:rsidRPr="00A50A11">
        <w:rPr>
          <w:rFonts w:ascii="Arial" w:hAnsi="Arial" w:cs="Arial"/>
          <w:color w:val="EE0000"/>
          <w:sz w:val="24"/>
          <w:szCs w:val="24"/>
        </w:rPr>
        <w:t xml:space="preserve">. In </w:t>
      </w:r>
      <w:r w:rsidRPr="00A50A11">
        <w:rPr>
          <w:rFonts w:ascii="Arial" w:hAnsi="Arial" w:cs="Arial"/>
          <w:i/>
          <w:iCs/>
          <w:color w:val="EE0000"/>
          <w:sz w:val="24"/>
          <w:szCs w:val="24"/>
        </w:rPr>
        <w:t>Insect Pheromone Biochemistry and Molecular Biology</w:t>
      </w:r>
      <w:r w:rsidRPr="00A50A11">
        <w:rPr>
          <w:rFonts w:ascii="Arial" w:hAnsi="Arial" w:cs="Arial"/>
          <w:color w:val="EE0000"/>
          <w:sz w:val="24"/>
          <w:szCs w:val="24"/>
        </w:rPr>
        <w:t xml:space="preserve"> (pp. –). Elsevier. https://doi.org/10.1016/B978-012107151-6/50010-4.</w:t>
      </w:r>
    </w:p>
    <w:p w14:paraId="32C2CE8A"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Blomquist, G. J. (2010). Biosynthesis of cuticular hydrocarbons. In G. J. Blomquist &amp; A. G. Bagnères (Eds.), </w:t>
      </w:r>
      <w:r w:rsidRPr="00A50A11">
        <w:rPr>
          <w:rFonts w:ascii="Arial" w:hAnsi="Arial" w:cs="Arial"/>
          <w:i/>
          <w:iCs/>
          <w:color w:val="EE0000"/>
          <w:sz w:val="24"/>
          <w:szCs w:val="24"/>
        </w:rPr>
        <w:t>Insect hydrocarbons: Biology, biochemistry, and chemical ecology</w:t>
      </w:r>
      <w:r w:rsidRPr="00A50A11">
        <w:rPr>
          <w:rFonts w:ascii="Arial" w:hAnsi="Arial" w:cs="Arial"/>
          <w:color w:val="EE0000"/>
          <w:sz w:val="24"/>
          <w:szCs w:val="24"/>
        </w:rPr>
        <w:t xml:space="preserve"> (pp. 35–52). Cambridge University Press.</w:t>
      </w:r>
    </w:p>
    <w:p w14:paraId="767A40D2"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b/>
          <w:bCs/>
          <w:color w:val="EE0000"/>
          <w:sz w:val="24"/>
          <w:szCs w:val="24"/>
        </w:rPr>
        <w:t>Blomquist, G. J., &amp; Vogt, R. G.</w:t>
      </w:r>
      <w:r w:rsidRPr="00A50A11">
        <w:rPr>
          <w:rFonts w:ascii="Arial" w:hAnsi="Arial" w:cs="Arial"/>
          <w:color w:val="EE0000"/>
          <w:sz w:val="24"/>
          <w:szCs w:val="24"/>
        </w:rPr>
        <w:t xml:space="preserve"> (2003). Biosynthesis and detection of pheromones and plant volatiles—Introduction and overview. In G. J. Blomquist &amp; R. G. Vogt (Eds.), </w:t>
      </w:r>
      <w:r w:rsidRPr="00A50A11">
        <w:rPr>
          <w:rFonts w:ascii="Arial" w:hAnsi="Arial" w:cs="Arial"/>
          <w:i/>
          <w:iCs/>
          <w:color w:val="EE0000"/>
          <w:sz w:val="24"/>
          <w:szCs w:val="24"/>
        </w:rPr>
        <w:t>Insect pheromone biochemistry and molecular biology</w:t>
      </w:r>
      <w:r w:rsidRPr="00A50A11">
        <w:rPr>
          <w:rFonts w:ascii="Arial" w:hAnsi="Arial" w:cs="Arial"/>
          <w:color w:val="EE0000"/>
          <w:sz w:val="24"/>
          <w:szCs w:val="24"/>
        </w:rPr>
        <w:t xml:space="preserve"> (pp. 3–18). Academic Press. </w:t>
      </w:r>
      <w:hyperlink r:id="rId12" w:tgtFrame="_new" w:history="1">
        <w:r w:rsidRPr="00A50A11">
          <w:rPr>
            <w:rStyle w:val="Hyperlink"/>
            <w:rFonts w:ascii="Arial" w:hAnsi="Arial" w:cs="Arial"/>
            <w:color w:val="EE0000"/>
            <w:sz w:val="24"/>
            <w:szCs w:val="24"/>
          </w:rPr>
          <w:t>https://doi.org/10.1016/B978-012107151-6/50003-7</w:t>
        </w:r>
      </w:hyperlink>
    </w:p>
    <w:p w14:paraId="4B15BD70" w14:textId="77777777" w:rsidR="0004619A"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Blomquist, G.J., Tillman, J.A., Mpuru, S., Seybold, S.J. (1998) The cuticle and cuticular hydrocarbons of insects: structure, function, and biochemistry. In: Vander Meer, R.K., Breed, M.D., Winston, M.L., Espelie, K.E. (eds.) </w:t>
      </w:r>
      <w:r w:rsidRPr="00A50A11">
        <w:rPr>
          <w:rFonts w:ascii="Arial" w:hAnsi="Arial" w:cs="Arial"/>
          <w:color w:val="EE0000"/>
          <w:sz w:val="24"/>
          <w:szCs w:val="24"/>
        </w:rPr>
        <w:lastRenderedPageBreak/>
        <w:t>Pheromone Communication in Social Insect, pp. 35–54. Westview, Boulder</w:t>
      </w:r>
    </w:p>
    <w:p w14:paraId="7C9D2CD8" w14:textId="514C974C" w:rsidR="0020289D" w:rsidRPr="00A50A11" w:rsidRDefault="0020289D" w:rsidP="0004619A">
      <w:pPr>
        <w:spacing w:after="0"/>
        <w:ind w:left="709" w:right="-9" w:hanging="993"/>
        <w:jc w:val="both"/>
        <w:rPr>
          <w:rFonts w:ascii="Arial" w:hAnsi="Arial" w:cs="Arial"/>
          <w:color w:val="EE0000"/>
          <w:sz w:val="24"/>
          <w:szCs w:val="24"/>
        </w:rPr>
      </w:pPr>
      <w:r w:rsidRPr="0020289D">
        <w:rPr>
          <w:rFonts w:ascii="Arial" w:hAnsi="Arial" w:cs="Arial"/>
          <w:color w:val="EE0000"/>
          <w:sz w:val="24"/>
          <w:szCs w:val="24"/>
        </w:rPr>
        <w:t xml:space="preserve">Blomquist, G. J., Jurenka, R., Schal, C., &amp; Tittiger, C. (2012). Pheromone production: Biochemistry and molecular biology. In L. I. Gilbert (Ed.), </w:t>
      </w:r>
      <w:r w:rsidRPr="0020289D">
        <w:rPr>
          <w:rFonts w:ascii="Arial" w:hAnsi="Arial" w:cs="Arial"/>
          <w:i/>
          <w:iCs/>
          <w:color w:val="EE0000"/>
          <w:sz w:val="24"/>
          <w:szCs w:val="24"/>
        </w:rPr>
        <w:t>Insect endocrinology</w:t>
      </w:r>
      <w:r w:rsidRPr="0020289D">
        <w:rPr>
          <w:rFonts w:ascii="Arial" w:hAnsi="Arial" w:cs="Arial"/>
          <w:color w:val="EE0000"/>
          <w:sz w:val="24"/>
          <w:szCs w:val="24"/>
        </w:rPr>
        <w:t xml:space="preserve"> (pp. 523–567). Academic Press. https://doi.org/10.1016/B978-0-12-384749-2.10012-3</w:t>
      </w:r>
    </w:p>
    <w:p w14:paraId="1C1142FD"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Borah, N., Saikia, D. K., &amp; Borkakati, R. N. (2016). Field efficacy of certain insecticides and biopesticides against the major pests of brinjal and their effect on natural enemies. </w:t>
      </w:r>
      <w:r w:rsidRPr="00A50A11">
        <w:rPr>
          <w:rFonts w:ascii="Arial" w:hAnsi="Arial" w:cs="Arial"/>
          <w:i/>
          <w:iCs/>
          <w:color w:val="EE0000"/>
          <w:sz w:val="24"/>
          <w:szCs w:val="24"/>
        </w:rPr>
        <w:t>Pestology, 40</w:t>
      </w:r>
      <w:r w:rsidRPr="00A50A11">
        <w:rPr>
          <w:rFonts w:ascii="Arial" w:hAnsi="Arial" w:cs="Arial"/>
          <w:color w:val="EE0000"/>
          <w:sz w:val="24"/>
          <w:szCs w:val="24"/>
        </w:rPr>
        <w:t>(7), 29–33.</w:t>
      </w:r>
    </w:p>
    <w:p w14:paraId="5D439A75"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Bouwer, M. C., Slippers, B., Degefu, D., Wingfield, M. J., Lawson, S., &amp; Rohwer, E. R. (2015). Identification of the sex pheromone of the tree-infesting cossid moth </w:t>
      </w:r>
      <w:r w:rsidRPr="00A50A11">
        <w:rPr>
          <w:rFonts w:ascii="Arial" w:hAnsi="Arial" w:cs="Arial"/>
          <w:i/>
          <w:iCs/>
          <w:color w:val="EE0000"/>
          <w:sz w:val="24"/>
          <w:szCs w:val="24"/>
        </w:rPr>
        <w:t>Coryphodema tristis</w:t>
      </w:r>
      <w:r w:rsidRPr="00A50A11">
        <w:rPr>
          <w:rFonts w:ascii="Arial" w:hAnsi="Arial" w:cs="Arial"/>
          <w:color w:val="EE0000"/>
          <w:sz w:val="24"/>
          <w:szCs w:val="24"/>
        </w:rPr>
        <w:t xml:space="preserve"> (Lepidoptera: Cossidae). </w:t>
      </w:r>
      <w:r w:rsidRPr="00A50A11">
        <w:rPr>
          <w:rFonts w:ascii="Arial" w:hAnsi="Arial" w:cs="Arial"/>
          <w:i/>
          <w:iCs/>
          <w:color w:val="EE0000"/>
          <w:sz w:val="24"/>
          <w:szCs w:val="24"/>
        </w:rPr>
        <w:t>PLoS ONE, 10</w:t>
      </w:r>
      <w:r w:rsidRPr="00A50A11">
        <w:rPr>
          <w:rFonts w:ascii="Arial" w:hAnsi="Arial" w:cs="Arial"/>
          <w:color w:val="EE0000"/>
          <w:sz w:val="24"/>
          <w:szCs w:val="24"/>
        </w:rPr>
        <w:t xml:space="preserve">(3), e0118575. </w:t>
      </w:r>
      <w:hyperlink r:id="rId13" w:history="1">
        <w:r w:rsidRPr="00A50A11">
          <w:rPr>
            <w:rStyle w:val="Hyperlink"/>
            <w:rFonts w:ascii="Arial" w:hAnsi="Arial" w:cs="Arial"/>
            <w:color w:val="EE0000"/>
            <w:sz w:val="24"/>
            <w:szCs w:val="24"/>
          </w:rPr>
          <w:t>https://doi.org/10.1371/journal.pone.0118575</w:t>
        </w:r>
      </w:hyperlink>
    </w:p>
    <w:p w14:paraId="05895D57"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Būda, V., Blažytė-Čereškienė, L., Radžiutė, S., Apšegaitė, V., Stamm, P., Schulz, S., Aleknavičius, D., &amp; Mozūraitis, R. (2020). Male-produced (−)-δ-heptalactone, pheromone of fruit fly </w:t>
      </w:r>
      <w:r w:rsidRPr="00A50A11">
        <w:rPr>
          <w:rFonts w:ascii="Arial" w:hAnsi="Arial" w:cs="Arial"/>
          <w:i/>
          <w:iCs/>
          <w:color w:val="EE0000"/>
          <w:sz w:val="24"/>
          <w:szCs w:val="24"/>
        </w:rPr>
        <w:t>Rhagoletis batava</w:t>
      </w:r>
      <w:r w:rsidRPr="00A50A11">
        <w:rPr>
          <w:rFonts w:ascii="Arial" w:hAnsi="Arial" w:cs="Arial"/>
          <w:color w:val="EE0000"/>
          <w:sz w:val="24"/>
          <w:szCs w:val="24"/>
        </w:rPr>
        <w:t xml:space="preserve"> (Diptera: Tephritidae), a sea buckthorn berries pest. </w:t>
      </w:r>
      <w:r w:rsidRPr="00A50A11">
        <w:rPr>
          <w:rFonts w:ascii="Arial" w:hAnsi="Arial" w:cs="Arial"/>
          <w:i/>
          <w:iCs/>
          <w:color w:val="EE0000"/>
          <w:sz w:val="24"/>
          <w:szCs w:val="24"/>
        </w:rPr>
        <w:t>Insects, 11</w:t>
      </w:r>
      <w:r w:rsidRPr="00A50A11">
        <w:rPr>
          <w:rFonts w:ascii="Arial" w:hAnsi="Arial" w:cs="Arial"/>
          <w:color w:val="EE0000"/>
          <w:sz w:val="24"/>
          <w:szCs w:val="24"/>
        </w:rPr>
        <w:t xml:space="preserve">(2), 138. </w:t>
      </w:r>
      <w:hyperlink r:id="rId14" w:history="1">
        <w:r w:rsidRPr="00A50A11">
          <w:rPr>
            <w:rStyle w:val="Hyperlink"/>
            <w:rFonts w:ascii="Arial" w:hAnsi="Arial" w:cs="Arial"/>
            <w:color w:val="EE0000"/>
            <w:sz w:val="24"/>
            <w:szCs w:val="24"/>
          </w:rPr>
          <w:t>https://doi.org/10.3390/insects11020138</w:t>
        </w:r>
      </w:hyperlink>
    </w:p>
    <w:p w14:paraId="01CE7620"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Buragohain, P., Saikia, D. K., Borkakati, R. N., Dutta, B. C., &amp; Thangjam, R. (2017). Pest complex and the population dynamics of major pests of Bhoot Jolokia. </w:t>
      </w:r>
      <w:r w:rsidRPr="00A50A11">
        <w:rPr>
          <w:rFonts w:ascii="Arial" w:hAnsi="Arial" w:cs="Arial"/>
          <w:i/>
          <w:iCs/>
          <w:color w:val="EE0000"/>
          <w:sz w:val="24"/>
          <w:szCs w:val="24"/>
        </w:rPr>
        <w:t>Ecology, Environment and Conservation, 23</w:t>
      </w:r>
      <w:r w:rsidRPr="00A50A11">
        <w:rPr>
          <w:rFonts w:ascii="Arial" w:hAnsi="Arial" w:cs="Arial"/>
          <w:color w:val="EE0000"/>
          <w:sz w:val="24"/>
          <w:szCs w:val="24"/>
        </w:rPr>
        <w:t>(3), 265–272.</w:t>
      </w:r>
    </w:p>
    <w:p w14:paraId="689660D8"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Cork, A. (2004). Pheromones in insect pest management. In O. Koul, G. S. Dhaliwal, &amp; G. Cuperus (Eds.), </w:t>
      </w:r>
      <w:r w:rsidRPr="00A50A11">
        <w:rPr>
          <w:rFonts w:ascii="Arial" w:hAnsi="Arial" w:cs="Arial"/>
          <w:i/>
          <w:iCs/>
          <w:color w:val="EE0000"/>
          <w:sz w:val="24"/>
          <w:szCs w:val="24"/>
        </w:rPr>
        <w:t>Integrated pest management: Potential, constraints and challenges</w:t>
      </w:r>
      <w:r w:rsidRPr="00A50A11">
        <w:rPr>
          <w:rFonts w:ascii="Arial" w:hAnsi="Arial" w:cs="Arial"/>
          <w:color w:val="EE0000"/>
          <w:sz w:val="24"/>
          <w:szCs w:val="24"/>
        </w:rPr>
        <w:t xml:space="preserve"> (pp. 293–317). CABI Publishing.</w:t>
      </w:r>
    </w:p>
    <w:p w14:paraId="6C0E39A7"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de Oliveira, M. W., Borges, M., Andrade, C. K., Laumann, R. A., Barrigossi, J. A., &amp; Blassioli-Moraes, M. C. (2013). Zingiberenol, (1R,4R,1′S)-4-(1′,5′-dimethylhex-4′-enyl)-1-methylcyclohex-2-en-1-ol, identified as the sex pheromone produced by males of the rice stink bug Oebalus poecilus (Heteroptera: Pentatomidae). Journal of Agricultural and Food Chemistry, 61(32), 7777–7785. https://doi.org/10.1021/jf402765bEisner, T., &amp; Meinwald, J. (2003). Alkaloid-derived pheromones and sexual selection in Lepidoptera. </w:t>
      </w:r>
      <w:r w:rsidRPr="00A50A11">
        <w:rPr>
          <w:rFonts w:ascii="Arial" w:hAnsi="Arial" w:cs="Arial"/>
          <w:i/>
          <w:iCs/>
          <w:color w:val="EE0000"/>
          <w:sz w:val="24"/>
          <w:szCs w:val="24"/>
        </w:rPr>
        <w:t>Proceedings of the National Academy of Sciences USA, 100</w:t>
      </w:r>
      <w:r w:rsidRPr="00A50A11">
        <w:rPr>
          <w:rFonts w:ascii="Arial" w:hAnsi="Arial" w:cs="Arial"/>
          <w:color w:val="EE0000"/>
          <w:sz w:val="24"/>
          <w:szCs w:val="24"/>
        </w:rPr>
        <w:t>(Suppl 2), 14599–14604.</w:t>
      </w:r>
    </w:p>
    <w:p w14:paraId="78C69DD2"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Eliyahu, D., Nojima, S., Santangelo, R. G., Carpenter, S., Webster, F. X., Kiemle, D. J., Gemeno, C., Leal, W. S., &amp; Schal, C. (2012). Unusual macrocyclic lactone sex pheromone of </w:t>
      </w:r>
      <w:r w:rsidRPr="00A50A11">
        <w:rPr>
          <w:rFonts w:ascii="Arial" w:hAnsi="Arial" w:cs="Arial"/>
          <w:i/>
          <w:iCs/>
          <w:color w:val="EE0000"/>
          <w:sz w:val="24"/>
          <w:szCs w:val="24"/>
        </w:rPr>
        <w:t>Parcoblatta lata</w:t>
      </w:r>
      <w:r w:rsidRPr="00A50A11">
        <w:rPr>
          <w:rFonts w:ascii="Arial" w:hAnsi="Arial" w:cs="Arial"/>
          <w:color w:val="EE0000"/>
          <w:sz w:val="24"/>
          <w:szCs w:val="24"/>
        </w:rPr>
        <w:t xml:space="preserve">, a primary food source of the endangered red-cockaded woodpecker. </w:t>
      </w:r>
      <w:r w:rsidRPr="00A50A11">
        <w:rPr>
          <w:rFonts w:ascii="Arial" w:hAnsi="Arial" w:cs="Arial"/>
          <w:i/>
          <w:iCs/>
          <w:color w:val="EE0000"/>
          <w:sz w:val="24"/>
          <w:szCs w:val="24"/>
        </w:rPr>
        <w:t>Proceedings of the National Academy of Sciences of the United States of America, 109</w:t>
      </w:r>
      <w:r w:rsidRPr="00A50A11">
        <w:rPr>
          <w:rFonts w:ascii="Arial" w:hAnsi="Arial" w:cs="Arial"/>
          <w:color w:val="EE0000"/>
          <w:sz w:val="24"/>
          <w:szCs w:val="24"/>
        </w:rPr>
        <w:t xml:space="preserve">(5), E490–E496. </w:t>
      </w:r>
      <w:hyperlink r:id="rId15" w:history="1">
        <w:r w:rsidRPr="00A50A11">
          <w:rPr>
            <w:rStyle w:val="Hyperlink"/>
            <w:rFonts w:ascii="Arial" w:hAnsi="Arial" w:cs="Arial"/>
            <w:color w:val="EE0000"/>
            <w:sz w:val="24"/>
            <w:szCs w:val="24"/>
          </w:rPr>
          <w:t>https://doi.org/10.1073/pnas.1111748109</w:t>
        </w:r>
      </w:hyperlink>
    </w:p>
    <w:p w14:paraId="76A17FB1"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lastRenderedPageBreak/>
        <w:t xml:space="preserve">El-Sayed, A. M., Gibb, A. R., Mitchell, V. J., Manning, L.-A. M., Revell, J., Thistleton, B., &amp; Suckling, D. M. (2013). Identification of the sex pheromone of </w:t>
      </w:r>
      <w:r w:rsidRPr="00A50A11">
        <w:rPr>
          <w:rFonts w:ascii="Arial" w:hAnsi="Arial" w:cs="Arial"/>
          <w:i/>
          <w:iCs/>
          <w:color w:val="EE0000"/>
          <w:sz w:val="24"/>
          <w:szCs w:val="24"/>
        </w:rPr>
        <w:t>Conogethes pluto</w:t>
      </w:r>
      <w:r w:rsidRPr="00A50A11">
        <w:rPr>
          <w:rFonts w:ascii="Arial" w:hAnsi="Arial" w:cs="Arial"/>
          <w:color w:val="EE0000"/>
          <w:sz w:val="24"/>
          <w:szCs w:val="24"/>
        </w:rPr>
        <w:t xml:space="preserve">: A pest of </w:t>
      </w:r>
      <w:r w:rsidRPr="00A50A11">
        <w:rPr>
          <w:rFonts w:ascii="Arial" w:hAnsi="Arial" w:cs="Arial"/>
          <w:i/>
          <w:iCs/>
          <w:color w:val="EE0000"/>
          <w:sz w:val="24"/>
          <w:szCs w:val="24"/>
        </w:rPr>
        <w:t>Alpinia</w:t>
      </w:r>
      <w:r w:rsidRPr="00A50A11">
        <w:rPr>
          <w:rFonts w:ascii="Arial" w:hAnsi="Arial" w:cs="Arial"/>
          <w:color w:val="EE0000"/>
          <w:sz w:val="24"/>
          <w:szCs w:val="24"/>
        </w:rPr>
        <w:t xml:space="preserve">. </w:t>
      </w:r>
      <w:r w:rsidRPr="00A50A11">
        <w:rPr>
          <w:rFonts w:ascii="Arial" w:hAnsi="Arial" w:cs="Arial"/>
          <w:i/>
          <w:iCs/>
          <w:color w:val="EE0000"/>
          <w:sz w:val="24"/>
          <w:szCs w:val="24"/>
        </w:rPr>
        <w:t>Chemoecology, 23</w:t>
      </w:r>
      <w:r w:rsidRPr="00A50A11">
        <w:rPr>
          <w:rFonts w:ascii="Arial" w:hAnsi="Arial" w:cs="Arial"/>
          <w:color w:val="EE0000"/>
          <w:sz w:val="24"/>
          <w:szCs w:val="24"/>
        </w:rPr>
        <w:t xml:space="preserve">(2), 93–101. </w:t>
      </w:r>
      <w:hyperlink r:id="rId16" w:history="1">
        <w:r w:rsidRPr="00A50A11">
          <w:rPr>
            <w:rStyle w:val="Hyperlink"/>
            <w:rFonts w:ascii="Arial" w:hAnsi="Arial" w:cs="Arial"/>
            <w:color w:val="EE0000"/>
            <w:sz w:val="24"/>
            <w:szCs w:val="24"/>
          </w:rPr>
          <w:t>https://doi.org/10.1007/s00049-012-0123-9</w:t>
        </w:r>
      </w:hyperlink>
    </w:p>
    <w:p w14:paraId="2CAC93A0"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El-Sayed, A. M., Mitchell, V. J., Manning, L. A., &amp; Suckling, D. M. (2011). New sex pheromone blend for the lightbrown apple moth, </w:t>
      </w:r>
      <w:r w:rsidRPr="00A50A11">
        <w:rPr>
          <w:rFonts w:ascii="Arial" w:hAnsi="Arial" w:cs="Arial"/>
          <w:i/>
          <w:iCs/>
          <w:color w:val="EE0000"/>
          <w:sz w:val="24"/>
          <w:szCs w:val="24"/>
        </w:rPr>
        <w:t>Epiphyas postvittana</w:t>
      </w:r>
      <w:r w:rsidRPr="00A50A11">
        <w:rPr>
          <w:rFonts w:ascii="Arial" w:hAnsi="Arial" w:cs="Arial"/>
          <w:color w:val="EE0000"/>
          <w:sz w:val="24"/>
          <w:szCs w:val="24"/>
        </w:rPr>
        <w:t xml:space="preserve">. </w:t>
      </w:r>
      <w:r w:rsidRPr="00A50A11">
        <w:rPr>
          <w:rFonts w:ascii="Arial" w:hAnsi="Arial" w:cs="Arial"/>
          <w:i/>
          <w:iCs/>
          <w:color w:val="EE0000"/>
          <w:sz w:val="24"/>
          <w:szCs w:val="24"/>
        </w:rPr>
        <w:t>Journal of Chemical Ecology, 37</w:t>
      </w:r>
      <w:r w:rsidRPr="00A50A11">
        <w:rPr>
          <w:rFonts w:ascii="Arial" w:hAnsi="Arial" w:cs="Arial"/>
          <w:color w:val="EE0000"/>
          <w:sz w:val="24"/>
          <w:szCs w:val="24"/>
        </w:rPr>
        <w:t xml:space="preserve">(6), 640–646. </w:t>
      </w:r>
      <w:hyperlink r:id="rId17" w:history="1">
        <w:r w:rsidRPr="00A50A11">
          <w:rPr>
            <w:rStyle w:val="Hyperlink"/>
            <w:rFonts w:ascii="Arial" w:hAnsi="Arial" w:cs="Arial"/>
            <w:color w:val="EE0000"/>
            <w:sz w:val="24"/>
            <w:szCs w:val="24"/>
          </w:rPr>
          <w:t>https://doi.org/10.1007/s10886-011-9964-x</w:t>
        </w:r>
      </w:hyperlink>
    </w:p>
    <w:p w14:paraId="73A8315F"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Gago, R., Allyson, J. D., McElfresh, J. S., Haynes, K. F., McKenney, J., Guerrero, A., &amp; Millar, J. (2013). A tetraene aldehyde as the major sex pheromone component of the promethea moth (</w:t>
      </w:r>
      <w:r w:rsidRPr="00A50A11">
        <w:rPr>
          <w:rFonts w:ascii="Arial" w:hAnsi="Arial" w:cs="Arial"/>
          <w:i/>
          <w:iCs/>
          <w:color w:val="EE0000"/>
          <w:sz w:val="24"/>
          <w:szCs w:val="24"/>
        </w:rPr>
        <w:t>Callosamia promethea</w:t>
      </w:r>
      <w:r w:rsidRPr="00A50A11">
        <w:rPr>
          <w:rFonts w:ascii="Arial" w:hAnsi="Arial" w:cs="Arial"/>
          <w:color w:val="EE0000"/>
          <w:sz w:val="24"/>
          <w:szCs w:val="24"/>
        </w:rPr>
        <w:t xml:space="preserve"> (Drury)). </w:t>
      </w:r>
      <w:r w:rsidRPr="00A50A11">
        <w:rPr>
          <w:rFonts w:ascii="Arial" w:hAnsi="Arial" w:cs="Arial"/>
          <w:i/>
          <w:iCs/>
          <w:color w:val="EE0000"/>
          <w:sz w:val="24"/>
          <w:szCs w:val="24"/>
        </w:rPr>
        <w:t>Journal of Chemical Ecology, 39</w:t>
      </w:r>
      <w:r w:rsidRPr="00A50A11">
        <w:rPr>
          <w:rFonts w:ascii="Arial" w:hAnsi="Arial" w:cs="Arial"/>
          <w:color w:val="EE0000"/>
          <w:sz w:val="24"/>
          <w:szCs w:val="24"/>
        </w:rPr>
        <w:t xml:space="preserve">(9–10), 1263–1272. </w:t>
      </w:r>
      <w:hyperlink r:id="rId18" w:history="1">
        <w:r w:rsidRPr="00A50A11">
          <w:rPr>
            <w:rStyle w:val="Hyperlink"/>
            <w:rFonts w:ascii="Arial" w:hAnsi="Arial" w:cs="Arial"/>
            <w:color w:val="EE0000"/>
            <w:sz w:val="24"/>
            <w:szCs w:val="24"/>
          </w:rPr>
          <w:t>https://doi.org/10.1007/s10886-013-0349-1</w:t>
        </w:r>
      </w:hyperlink>
    </w:p>
    <w:p w14:paraId="167AF7F5"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Ganesh, B. M., Saikia, D. K., &amp; Borkakati, R. N. (2023). Determination of crop loss and economic injury levels against tephritid fruit flies (</w:t>
      </w:r>
      <w:r w:rsidRPr="00A50A11">
        <w:rPr>
          <w:rFonts w:ascii="Arial" w:hAnsi="Arial" w:cs="Arial"/>
          <w:i/>
          <w:iCs/>
          <w:color w:val="EE0000"/>
          <w:sz w:val="24"/>
          <w:szCs w:val="24"/>
        </w:rPr>
        <w:t>Bactrocera</w:t>
      </w:r>
      <w:r w:rsidRPr="00A50A11">
        <w:rPr>
          <w:rFonts w:ascii="Arial" w:hAnsi="Arial" w:cs="Arial"/>
          <w:color w:val="EE0000"/>
          <w:sz w:val="24"/>
          <w:szCs w:val="24"/>
        </w:rPr>
        <w:t xml:space="preserve"> spp.) in cucumber ecosystem. </w:t>
      </w:r>
      <w:r w:rsidRPr="00A50A11">
        <w:rPr>
          <w:rFonts w:ascii="Arial" w:hAnsi="Arial" w:cs="Arial"/>
          <w:i/>
          <w:iCs/>
          <w:color w:val="EE0000"/>
          <w:sz w:val="24"/>
          <w:szCs w:val="24"/>
        </w:rPr>
        <w:t>Journal of Entomological Research, 47</w:t>
      </w:r>
      <w:r w:rsidRPr="00A50A11">
        <w:rPr>
          <w:rFonts w:ascii="Arial" w:hAnsi="Arial" w:cs="Arial"/>
          <w:color w:val="EE0000"/>
          <w:sz w:val="24"/>
          <w:szCs w:val="24"/>
        </w:rPr>
        <w:t xml:space="preserve">(4), 621–624. </w:t>
      </w:r>
      <w:hyperlink r:id="rId19" w:history="1">
        <w:r w:rsidRPr="00A50A11">
          <w:rPr>
            <w:rStyle w:val="Hyperlink"/>
            <w:rFonts w:ascii="Arial" w:hAnsi="Arial" w:cs="Arial"/>
            <w:color w:val="EE0000"/>
            <w:sz w:val="24"/>
            <w:szCs w:val="24"/>
          </w:rPr>
          <w:t>https://doi.org/10.5958/0974-4576.2023.00114.7</w:t>
        </w:r>
      </w:hyperlink>
    </w:p>
    <w:p w14:paraId="068741F5"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Groot, A. T., Dekker, T., &amp; Heckel, D. G. (2016). The genetic basis of pheromone evolution in moths. </w:t>
      </w:r>
      <w:r w:rsidRPr="00A50A11">
        <w:rPr>
          <w:rFonts w:ascii="Arial" w:hAnsi="Arial" w:cs="Arial"/>
          <w:i/>
          <w:iCs/>
          <w:color w:val="EE0000"/>
          <w:sz w:val="24"/>
          <w:szCs w:val="24"/>
        </w:rPr>
        <w:t>Annual Review of Entomology, 61</w:t>
      </w:r>
      <w:r w:rsidRPr="00A50A11">
        <w:rPr>
          <w:rFonts w:ascii="Arial" w:hAnsi="Arial" w:cs="Arial"/>
          <w:color w:val="EE0000"/>
          <w:sz w:val="24"/>
          <w:szCs w:val="24"/>
        </w:rPr>
        <w:t>, 99–117.</w:t>
      </w:r>
    </w:p>
    <w:p w14:paraId="0DFA0037"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Guerrero, A., Ramos, V. E., López, S., Alvarez, J. M., Domínguez, A., Coca-Abia, M. M., Bosch, M. P., &amp; Quero, C. (2019). Enantioselective synthesis and activity of all diastereoisomers of (E)-phytal, a pheromone component of the Moroccan locust, </w:t>
      </w:r>
      <w:r w:rsidRPr="00A50A11">
        <w:rPr>
          <w:rFonts w:ascii="Arial" w:hAnsi="Arial" w:cs="Arial"/>
          <w:i/>
          <w:iCs/>
          <w:color w:val="EE0000"/>
          <w:sz w:val="24"/>
          <w:szCs w:val="24"/>
        </w:rPr>
        <w:t>Dociostaurus maroccanus</w:t>
      </w:r>
      <w:r w:rsidRPr="00A50A11">
        <w:rPr>
          <w:rFonts w:ascii="Arial" w:hAnsi="Arial" w:cs="Arial"/>
          <w:color w:val="EE0000"/>
          <w:sz w:val="24"/>
          <w:szCs w:val="24"/>
        </w:rPr>
        <w:t xml:space="preserve">. </w:t>
      </w:r>
      <w:r w:rsidRPr="00A50A11">
        <w:rPr>
          <w:rFonts w:ascii="Arial" w:hAnsi="Arial" w:cs="Arial"/>
          <w:i/>
          <w:iCs/>
          <w:color w:val="EE0000"/>
          <w:sz w:val="24"/>
          <w:szCs w:val="24"/>
        </w:rPr>
        <w:t>Journal of Agricultural and Food Chemistry, 67</w:t>
      </w:r>
      <w:r w:rsidRPr="00A50A11">
        <w:rPr>
          <w:rFonts w:ascii="Arial" w:hAnsi="Arial" w:cs="Arial"/>
          <w:color w:val="EE0000"/>
          <w:sz w:val="24"/>
          <w:szCs w:val="24"/>
        </w:rPr>
        <w:t xml:space="preserve">(1), 72–80. </w:t>
      </w:r>
      <w:hyperlink r:id="rId20" w:history="1">
        <w:r w:rsidRPr="00A50A11">
          <w:rPr>
            <w:rStyle w:val="Hyperlink"/>
            <w:rFonts w:ascii="Arial" w:hAnsi="Arial" w:cs="Arial"/>
            <w:color w:val="EE0000"/>
            <w:sz w:val="24"/>
            <w:szCs w:val="24"/>
          </w:rPr>
          <w:t>https://doi.org/10.1021/acs.jafc.8b06346</w:t>
        </w:r>
      </w:hyperlink>
    </w:p>
    <w:p w14:paraId="4AE6F7E6"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Hansson, B. S., &amp; Stensmyr, M. C. (2011). Evolution of insect olfaction. </w:t>
      </w:r>
      <w:r w:rsidRPr="00A50A11">
        <w:rPr>
          <w:rFonts w:ascii="Arial" w:hAnsi="Arial" w:cs="Arial"/>
          <w:i/>
          <w:iCs/>
          <w:color w:val="EE0000"/>
          <w:sz w:val="24"/>
          <w:szCs w:val="24"/>
        </w:rPr>
        <w:t>Neuron, 72</w:t>
      </w:r>
      <w:r w:rsidRPr="00A50A11">
        <w:rPr>
          <w:rFonts w:ascii="Arial" w:hAnsi="Arial" w:cs="Arial"/>
          <w:color w:val="EE0000"/>
          <w:sz w:val="24"/>
          <w:szCs w:val="24"/>
        </w:rPr>
        <w:t>(5), 698–711.</w:t>
      </w:r>
    </w:p>
    <w:p w14:paraId="19C11C0E" w14:textId="77777777" w:rsidR="0004619A" w:rsidRPr="00A50A11" w:rsidRDefault="0004619A" w:rsidP="0004619A">
      <w:pPr>
        <w:spacing w:after="0"/>
        <w:ind w:left="709" w:right="-9" w:hanging="993"/>
        <w:jc w:val="both"/>
        <w:rPr>
          <w:rFonts w:ascii="Arial" w:hAnsi="Arial" w:cs="Arial"/>
          <w:sz w:val="24"/>
          <w:szCs w:val="24"/>
        </w:rPr>
      </w:pPr>
      <w:r w:rsidRPr="00A50A11">
        <w:rPr>
          <w:rFonts w:ascii="Arial" w:hAnsi="Arial" w:cs="Arial"/>
          <w:color w:val="EE0000"/>
          <w:sz w:val="24"/>
          <w:szCs w:val="24"/>
        </w:rPr>
        <w:t xml:space="preserve">Holkenbrink, C., Ding, B. J., Wang, H. L., &amp; Paddon, C. J. (2020). Production of moth sex pheromones for pest control by yeast fermentation. </w:t>
      </w:r>
      <w:r w:rsidRPr="00A50A11">
        <w:rPr>
          <w:rFonts w:ascii="Arial" w:hAnsi="Arial" w:cs="Arial"/>
          <w:i/>
          <w:iCs/>
          <w:color w:val="EE0000"/>
          <w:sz w:val="24"/>
          <w:szCs w:val="24"/>
        </w:rPr>
        <w:t>Metabolic Engineering, 62</w:t>
      </w:r>
      <w:r w:rsidRPr="00A50A11">
        <w:rPr>
          <w:rFonts w:ascii="Arial" w:hAnsi="Arial" w:cs="Arial"/>
          <w:color w:val="EE0000"/>
          <w:sz w:val="24"/>
          <w:szCs w:val="24"/>
        </w:rPr>
        <w:t>, 312–321</w:t>
      </w:r>
      <w:r w:rsidRPr="00A50A11">
        <w:rPr>
          <w:rFonts w:ascii="Arial" w:hAnsi="Arial" w:cs="Arial"/>
          <w:sz w:val="24"/>
          <w:szCs w:val="24"/>
        </w:rPr>
        <w:t>.</w:t>
      </w:r>
    </w:p>
    <w:p w14:paraId="205E1556"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Howard, R. W., &amp; Blomquist, G. J. (2005). Ecological, behavioral, and biochemical aspects of insect hydrocarbons. </w:t>
      </w:r>
      <w:r w:rsidRPr="00A50A11">
        <w:rPr>
          <w:rFonts w:ascii="Arial" w:hAnsi="Arial" w:cs="Arial"/>
          <w:i/>
          <w:iCs/>
          <w:color w:val="EE0000"/>
          <w:sz w:val="24"/>
          <w:szCs w:val="24"/>
        </w:rPr>
        <w:t>Annual Review of Entomology, 50</w:t>
      </w:r>
      <w:r w:rsidRPr="00A50A11">
        <w:rPr>
          <w:rFonts w:ascii="Arial" w:hAnsi="Arial" w:cs="Arial"/>
          <w:color w:val="EE0000"/>
          <w:sz w:val="24"/>
          <w:szCs w:val="24"/>
        </w:rPr>
        <w:t>, 371–393.</w:t>
      </w:r>
    </w:p>
    <w:p w14:paraId="54654C53"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Jacobson, M., Beroza, M., &amp; Bierl, B. A. (1964). Gypsy moth sex attractant: Isolation and identification. </w:t>
      </w:r>
      <w:r w:rsidRPr="00A50A11">
        <w:rPr>
          <w:rFonts w:ascii="Arial" w:hAnsi="Arial" w:cs="Arial"/>
          <w:i/>
          <w:iCs/>
          <w:color w:val="EE0000"/>
          <w:sz w:val="24"/>
          <w:szCs w:val="24"/>
        </w:rPr>
        <w:t>Science, 144</w:t>
      </w:r>
      <w:r w:rsidRPr="00A50A11">
        <w:rPr>
          <w:rFonts w:ascii="Arial" w:hAnsi="Arial" w:cs="Arial"/>
          <w:color w:val="EE0000"/>
          <w:sz w:val="24"/>
          <w:szCs w:val="24"/>
        </w:rPr>
        <w:t>(3620), 285–286.</w:t>
      </w:r>
    </w:p>
    <w:p w14:paraId="4D2DDBF3"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Jurenka, R. (2003). Biochemistry of female moth sex pheromones. In G. J. Blomquist &amp; R. G. Vogt (Eds.), </w:t>
      </w:r>
      <w:r w:rsidRPr="00A50A11">
        <w:rPr>
          <w:rFonts w:ascii="Arial" w:hAnsi="Arial" w:cs="Arial"/>
          <w:i/>
          <w:iCs/>
          <w:color w:val="EE0000"/>
          <w:sz w:val="24"/>
          <w:szCs w:val="24"/>
        </w:rPr>
        <w:t>Insect pheromone biochemistry and molecular biology</w:t>
      </w:r>
      <w:r w:rsidRPr="00A50A11">
        <w:rPr>
          <w:rFonts w:ascii="Arial" w:hAnsi="Arial" w:cs="Arial"/>
          <w:color w:val="EE0000"/>
          <w:sz w:val="24"/>
          <w:szCs w:val="24"/>
        </w:rPr>
        <w:t xml:space="preserve"> (pp. 53–80). Elsevier Academic Press.</w:t>
      </w:r>
    </w:p>
    <w:p w14:paraId="735BE446" w14:textId="77777777" w:rsidR="0004619A" w:rsidRPr="00A50A11" w:rsidRDefault="0004619A" w:rsidP="0004619A">
      <w:pPr>
        <w:spacing w:after="0"/>
        <w:ind w:left="709" w:right="-9" w:hanging="993"/>
        <w:jc w:val="both"/>
        <w:rPr>
          <w:rFonts w:ascii="Arial" w:hAnsi="Arial" w:cs="Arial"/>
          <w:sz w:val="24"/>
          <w:szCs w:val="24"/>
        </w:rPr>
      </w:pPr>
      <w:r w:rsidRPr="00A50A11">
        <w:rPr>
          <w:rFonts w:ascii="Arial" w:hAnsi="Arial" w:cs="Arial"/>
          <w:color w:val="EE0000"/>
          <w:sz w:val="24"/>
          <w:szCs w:val="24"/>
        </w:rPr>
        <w:lastRenderedPageBreak/>
        <w:t xml:space="preserve">Kashyap, G., Borkakati, R. N., Dutta, B. C., &amp; Saikia, D. K. (2020). Efficacy of different botanicals against subterranean insect pests of potato. </w:t>
      </w:r>
      <w:r w:rsidRPr="00A50A11">
        <w:rPr>
          <w:rFonts w:ascii="Arial" w:hAnsi="Arial" w:cs="Arial"/>
          <w:i/>
          <w:iCs/>
          <w:color w:val="EE0000"/>
          <w:sz w:val="24"/>
          <w:szCs w:val="24"/>
        </w:rPr>
        <w:t>Journal of Entomology and Zoology Studies, 8</w:t>
      </w:r>
      <w:r w:rsidRPr="00A50A11">
        <w:rPr>
          <w:rFonts w:ascii="Arial" w:hAnsi="Arial" w:cs="Arial"/>
          <w:color w:val="EE0000"/>
          <w:sz w:val="24"/>
          <w:szCs w:val="24"/>
        </w:rPr>
        <w:t>(1), 875–878</w:t>
      </w:r>
      <w:r w:rsidRPr="00A50A11">
        <w:rPr>
          <w:rFonts w:ascii="Arial" w:hAnsi="Arial" w:cs="Arial"/>
          <w:sz w:val="24"/>
          <w:szCs w:val="24"/>
        </w:rPr>
        <w:t>.</w:t>
      </w:r>
    </w:p>
    <w:p w14:paraId="275139F5"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Kogan, M. (1998). Integrated pest management: Historical perspectives and contemporary developments. </w:t>
      </w:r>
      <w:r w:rsidRPr="00A50A11">
        <w:rPr>
          <w:rFonts w:ascii="Arial" w:hAnsi="Arial" w:cs="Arial"/>
          <w:i/>
          <w:iCs/>
          <w:color w:val="EE0000"/>
          <w:sz w:val="24"/>
          <w:szCs w:val="24"/>
        </w:rPr>
        <w:t>Annual Review of Entomology, 43</w:t>
      </w:r>
      <w:r w:rsidRPr="00A50A11">
        <w:rPr>
          <w:rFonts w:ascii="Arial" w:hAnsi="Arial" w:cs="Arial"/>
          <w:color w:val="EE0000"/>
          <w:sz w:val="24"/>
          <w:szCs w:val="24"/>
        </w:rPr>
        <w:t>(1), 243–270.</w:t>
      </w:r>
    </w:p>
    <w:p w14:paraId="72292E76"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Kong, X. B., Liu, K. W., Wang, H. B., Zhang, S. F., &amp; Zhang, Z. (2012). Identification and behavioral evaluation of sex pheromone components of the Chinese pine caterpillar moth, </w:t>
      </w:r>
      <w:r w:rsidRPr="00A50A11">
        <w:rPr>
          <w:rFonts w:ascii="Arial" w:hAnsi="Arial" w:cs="Arial"/>
          <w:i/>
          <w:iCs/>
          <w:color w:val="EE0000"/>
          <w:sz w:val="24"/>
          <w:szCs w:val="24"/>
        </w:rPr>
        <w:t>Dendrolimus tabulaeformis</w:t>
      </w:r>
      <w:r w:rsidRPr="00A50A11">
        <w:rPr>
          <w:rFonts w:ascii="Arial" w:hAnsi="Arial" w:cs="Arial"/>
          <w:color w:val="EE0000"/>
          <w:sz w:val="24"/>
          <w:szCs w:val="24"/>
        </w:rPr>
        <w:t xml:space="preserve">. </w:t>
      </w:r>
      <w:r w:rsidRPr="00A50A11">
        <w:rPr>
          <w:rFonts w:ascii="Arial" w:hAnsi="Arial" w:cs="Arial"/>
          <w:i/>
          <w:iCs/>
          <w:color w:val="EE0000"/>
          <w:sz w:val="24"/>
          <w:szCs w:val="24"/>
        </w:rPr>
        <w:t>PLoS ONE, 7</w:t>
      </w:r>
      <w:r w:rsidRPr="00A50A11">
        <w:rPr>
          <w:rFonts w:ascii="Arial" w:hAnsi="Arial" w:cs="Arial"/>
          <w:color w:val="EE0000"/>
          <w:sz w:val="24"/>
          <w:szCs w:val="24"/>
        </w:rPr>
        <w:t xml:space="preserve">(4), e33381. </w:t>
      </w:r>
      <w:hyperlink r:id="rId21" w:history="1">
        <w:r w:rsidRPr="00A50A11">
          <w:rPr>
            <w:rStyle w:val="Hyperlink"/>
            <w:rFonts w:ascii="Arial" w:hAnsi="Arial" w:cs="Arial"/>
            <w:color w:val="EE0000"/>
            <w:sz w:val="24"/>
            <w:szCs w:val="24"/>
          </w:rPr>
          <w:t>https://doi.org/10.1371/journal.pone.0033381</w:t>
        </w:r>
      </w:hyperlink>
    </w:p>
    <w:p w14:paraId="30E8697E"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Leal, W. S. (2013). Odorant reception in insects: Roles of receptors, binding proteins, and degrading enzymes. </w:t>
      </w:r>
      <w:r w:rsidRPr="00A50A11">
        <w:rPr>
          <w:rFonts w:ascii="Arial" w:hAnsi="Arial" w:cs="Arial"/>
          <w:i/>
          <w:iCs/>
          <w:color w:val="EE0000"/>
          <w:sz w:val="24"/>
          <w:szCs w:val="24"/>
        </w:rPr>
        <w:t>Annual Review of Entomology, 58</w:t>
      </w:r>
      <w:r w:rsidRPr="00A50A11">
        <w:rPr>
          <w:rFonts w:ascii="Arial" w:hAnsi="Arial" w:cs="Arial"/>
          <w:color w:val="EE0000"/>
          <w:sz w:val="24"/>
          <w:szCs w:val="24"/>
        </w:rPr>
        <w:t>, 373–391.</w:t>
      </w:r>
    </w:p>
    <w:p w14:paraId="5F23CDBB"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Levi-Zada, A., Ben-Yehuda, S., Dunkelblum, E., Gindin, G., Fefer, D., Protasov, A., Kuznetsowa, T., Manulis-Sasson, S., &amp; Mendel, Z. (2011). Identification and field bioassays of the sex pheromone of the yellow-legged clearwing </w:t>
      </w:r>
      <w:r w:rsidRPr="00A50A11">
        <w:rPr>
          <w:rFonts w:ascii="Arial" w:hAnsi="Arial" w:cs="Arial"/>
          <w:i/>
          <w:iCs/>
          <w:color w:val="EE0000"/>
          <w:sz w:val="24"/>
          <w:szCs w:val="24"/>
        </w:rPr>
        <w:t>Synanthedon vespiformis</w:t>
      </w:r>
      <w:r w:rsidRPr="00A50A11">
        <w:rPr>
          <w:rFonts w:ascii="Arial" w:hAnsi="Arial" w:cs="Arial"/>
          <w:color w:val="EE0000"/>
          <w:sz w:val="24"/>
          <w:szCs w:val="24"/>
        </w:rPr>
        <w:t xml:space="preserve"> (Lepidoptera: Sesiidae). </w:t>
      </w:r>
      <w:r w:rsidRPr="00A50A11">
        <w:rPr>
          <w:rFonts w:ascii="Arial" w:hAnsi="Arial" w:cs="Arial"/>
          <w:i/>
          <w:iCs/>
          <w:color w:val="EE0000"/>
          <w:sz w:val="24"/>
          <w:szCs w:val="24"/>
        </w:rPr>
        <w:t>Chemoecology, 21</w:t>
      </w:r>
      <w:r w:rsidRPr="00A50A11">
        <w:rPr>
          <w:rFonts w:ascii="Arial" w:hAnsi="Arial" w:cs="Arial"/>
          <w:color w:val="EE0000"/>
          <w:sz w:val="24"/>
          <w:szCs w:val="24"/>
        </w:rPr>
        <w:t xml:space="preserve">(4), 227–233. </w:t>
      </w:r>
      <w:hyperlink r:id="rId22" w:history="1">
        <w:r w:rsidRPr="00A50A11">
          <w:rPr>
            <w:rStyle w:val="Hyperlink"/>
            <w:rFonts w:ascii="Arial" w:hAnsi="Arial" w:cs="Arial"/>
            <w:color w:val="EE0000"/>
            <w:sz w:val="24"/>
            <w:szCs w:val="24"/>
          </w:rPr>
          <w:t>https://doi.org/10.1007/s00049-011-0081-7</w:t>
        </w:r>
      </w:hyperlink>
    </w:p>
    <w:p w14:paraId="7B98594B"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Nath, D. C., Gogoi, B., Barman, S., Bora, D., Saikia, S., Chowdhury, P., &amp; Borkakati, R. N. (2023). Yield enhancement of rajmah through integrated nutrient management (INM) in Cachar district of Assam. </w:t>
      </w:r>
      <w:r w:rsidRPr="00A50A11">
        <w:rPr>
          <w:rFonts w:ascii="Arial" w:hAnsi="Arial" w:cs="Arial"/>
          <w:i/>
          <w:iCs/>
          <w:color w:val="EE0000"/>
          <w:sz w:val="24"/>
          <w:szCs w:val="24"/>
        </w:rPr>
        <w:t>The Pharma Innovation Journal, 12</w:t>
      </w:r>
      <w:r w:rsidRPr="00A50A11">
        <w:rPr>
          <w:rFonts w:ascii="Arial" w:hAnsi="Arial" w:cs="Arial"/>
          <w:color w:val="EE0000"/>
          <w:sz w:val="24"/>
          <w:szCs w:val="24"/>
        </w:rPr>
        <w:t>(7S), 385–387.</w:t>
      </w:r>
    </w:p>
    <w:p w14:paraId="1EA694B3"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Nieberding, C. M., de Vos, H., Schneider, M. V., Lassance, J. M., Estramil, N., Andersson, J., Bång, J., Hedenström, E., Löfstedt, C., &amp; Brakefield, P. M. (2008). The male sex pheromone of the butterfly </w:t>
      </w:r>
      <w:r w:rsidRPr="00A50A11">
        <w:rPr>
          <w:rFonts w:ascii="Arial" w:hAnsi="Arial" w:cs="Arial"/>
          <w:i/>
          <w:iCs/>
          <w:color w:val="EE0000"/>
          <w:sz w:val="24"/>
          <w:szCs w:val="24"/>
        </w:rPr>
        <w:t>Bicyclus anynana</w:t>
      </w:r>
      <w:r w:rsidRPr="00A50A11">
        <w:rPr>
          <w:rFonts w:ascii="Arial" w:hAnsi="Arial" w:cs="Arial"/>
          <w:color w:val="EE0000"/>
          <w:sz w:val="24"/>
          <w:szCs w:val="24"/>
        </w:rPr>
        <w:t xml:space="preserve">: Towards an evolutionary analysis. </w:t>
      </w:r>
      <w:r w:rsidRPr="00A50A11">
        <w:rPr>
          <w:rFonts w:ascii="Arial" w:hAnsi="Arial" w:cs="Arial"/>
          <w:i/>
          <w:iCs/>
          <w:color w:val="EE0000"/>
          <w:sz w:val="24"/>
          <w:szCs w:val="24"/>
        </w:rPr>
        <w:t>PLoS ONE, 3</w:t>
      </w:r>
      <w:r w:rsidRPr="00A50A11">
        <w:rPr>
          <w:rFonts w:ascii="Arial" w:hAnsi="Arial" w:cs="Arial"/>
          <w:color w:val="EE0000"/>
          <w:sz w:val="24"/>
          <w:szCs w:val="24"/>
        </w:rPr>
        <w:t>(7), e2751.</w:t>
      </w:r>
    </w:p>
    <w:p w14:paraId="77A353A4"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Pedigo, L. P. (2003). </w:t>
      </w:r>
      <w:r w:rsidRPr="00A50A11">
        <w:rPr>
          <w:rFonts w:ascii="Arial" w:hAnsi="Arial" w:cs="Arial"/>
          <w:i/>
          <w:iCs/>
          <w:color w:val="EE0000"/>
          <w:sz w:val="24"/>
          <w:szCs w:val="24"/>
        </w:rPr>
        <w:t>Entomology and pest management</w:t>
      </w:r>
      <w:r w:rsidRPr="00A50A11">
        <w:rPr>
          <w:rFonts w:ascii="Arial" w:hAnsi="Arial" w:cs="Arial"/>
          <w:color w:val="EE0000"/>
          <w:sz w:val="24"/>
          <w:szCs w:val="24"/>
        </w:rPr>
        <w:t xml:space="preserve"> (4th ed.). Prentice Hall.</w:t>
      </w:r>
    </w:p>
    <w:p w14:paraId="4FCCB8C2"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Pradhan, P. P., Borkakati, R. N., &amp; Saikia, D. K. (2019). A review on Ekbom Syndrome. </w:t>
      </w:r>
      <w:r w:rsidRPr="00A50A11">
        <w:rPr>
          <w:rFonts w:ascii="Arial" w:hAnsi="Arial" w:cs="Arial"/>
          <w:i/>
          <w:iCs/>
          <w:color w:val="EE0000"/>
          <w:sz w:val="24"/>
          <w:szCs w:val="24"/>
        </w:rPr>
        <w:t>Journal of Entomology and Zoology Studies, 7</w:t>
      </w:r>
      <w:r w:rsidRPr="00A50A11">
        <w:rPr>
          <w:rFonts w:ascii="Arial" w:hAnsi="Arial" w:cs="Arial"/>
          <w:color w:val="EE0000"/>
          <w:sz w:val="24"/>
          <w:szCs w:val="24"/>
        </w:rPr>
        <w:t>(3), 894–900.</w:t>
      </w:r>
    </w:p>
    <w:p w14:paraId="7BD8BFD1"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Pradhan, P. P., Borkakati, R. N., &amp; Saikia, D. K. (2020). Seasonal incidence of insect pests and natural enemies of mustard in relation to meteorological parameters. </w:t>
      </w:r>
      <w:r w:rsidRPr="00A50A11">
        <w:rPr>
          <w:rFonts w:ascii="Arial" w:hAnsi="Arial" w:cs="Arial"/>
          <w:i/>
          <w:iCs/>
          <w:color w:val="EE0000"/>
          <w:sz w:val="24"/>
          <w:szCs w:val="24"/>
        </w:rPr>
        <w:t>Journal of Entomology and Zoology Studies, 8</w:t>
      </w:r>
      <w:r w:rsidRPr="00A50A11">
        <w:rPr>
          <w:rFonts w:ascii="Arial" w:hAnsi="Arial" w:cs="Arial"/>
          <w:color w:val="EE0000"/>
          <w:sz w:val="24"/>
          <w:szCs w:val="24"/>
        </w:rPr>
        <w:t>(1), 1538–1542.</w:t>
      </w:r>
    </w:p>
    <w:p w14:paraId="4543B0DB"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Rafaeli, A. (2009). Pheromone biosynthesis activating neuropeptide (PBAN): Regulatory role and mode of action. </w:t>
      </w:r>
      <w:r w:rsidRPr="00A50A11">
        <w:rPr>
          <w:rFonts w:ascii="Arial" w:hAnsi="Arial" w:cs="Arial"/>
          <w:i/>
          <w:iCs/>
          <w:color w:val="EE0000"/>
          <w:sz w:val="24"/>
          <w:szCs w:val="24"/>
        </w:rPr>
        <w:t>General and Comparative Endocrinology, 162</w:t>
      </w:r>
      <w:r w:rsidRPr="00A50A11">
        <w:rPr>
          <w:rFonts w:ascii="Arial" w:hAnsi="Arial" w:cs="Arial"/>
          <w:color w:val="EE0000"/>
          <w:sz w:val="24"/>
          <w:szCs w:val="24"/>
        </w:rPr>
        <w:t>(1), 69–78.</w:t>
      </w:r>
    </w:p>
    <w:p w14:paraId="50E4AC2E"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Rahman, N., Das, R., Das, P., Phookan, D. B., Narzary, B. D., Kalita, B., Saikia, A., Alam, S., Gogoi, B., Borkakati, R. N., Nath, H. K. D., &amp; Barman, S. (2022, November 29). Performance of garlic (</w:t>
      </w:r>
      <w:r w:rsidRPr="00A50A11">
        <w:rPr>
          <w:rFonts w:ascii="Arial" w:hAnsi="Arial" w:cs="Arial"/>
          <w:i/>
          <w:iCs/>
          <w:color w:val="EE0000"/>
          <w:sz w:val="24"/>
          <w:szCs w:val="24"/>
        </w:rPr>
        <w:t>Allium sativum</w:t>
      </w:r>
      <w:r w:rsidRPr="00A50A11">
        <w:rPr>
          <w:rFonts w:ascii="Arial" w:hAnsi="Arial" w:cs="Arial"/>
          <w:color w:val="EE0000"/>
          <w:sz w:val="24"/>
          <w:szCs w:val="24"/>
        </w:rPr>
        <w:t xml:space="preserve"> L.) germplasm/varieties as affected by the planting time in North Eastern </w:t>
      </w:r>
      <w:r w:rsidRPr="00A50A11">
        <w:rPr>
          <w:rFonts w:ascii="Arial" w:hAnsi="Arial" w:cs="Arial"/>
          <w:color w:val="EE0000"/>
          <w:sz w:val="24"/>
          <w:szCs w:val="24"/>
        </w:rPr>
        <w:lastRenderedPageBreak/>
        <w:t xml:space="preserve">India. </w:t>
      </w:r>
      <w:r w:rsidRPr="00A50A11">
        <w:rPr>
          <w:rFonts w:ascii="Arial" w:hAnsi="Arial" w:cs="Arial"/>
          <w:i/>
          <w:iCs/>
          <w:color w:val="EE0000"/>
          <w:sz w:val="24"/>
          <w:szCs w:val="24"/>
        </w:rPr>
        <w:t>The Pharma Innovation Journal.</w:t>
      </w:r>
      <w:r w:rsidRPr="00A50A11">
        <w:rPr>
          <w:rFonts w:ascii="Arial" w:hAnsi="Arial" w:cs="Arial"/>
          <w:color w:val="EE0000"/>
          <w:sz w:val="24"/>
          <w:szCs w:val="24"/>
        </w:rPr>
        <w:t xml:space="preserve"> </w:t>
      </w:r>
      <w:hyperlink r:id="rId23" w:history="1">
        <w:r w:rsidRPr="00A50A11">
          <w:rPr>
            <w:rStyle w:val="Hyperlink"/>
            <w:rFonts w:ascii="Arial" w:hAnsi="Arial" w:cs="Arial"/>
            <w:color w:val="EE0000"/>
            <w:sz w:val="24"/>
            <w:szCs w:val="24"/>
          </w:rPr>
          <w:t>https://doi.org/10.9734/jeai/2022/v44i1030883</w:t>
        </w:r>
      </w:hyperlink>
    </w:p>
    <w:p w14:paraId="6FAE4CC1"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Raina, A. K., Jaffe, H., Kempe, T. G., Keim, P., Blacher, R. W., Fales, H. M., Riley, C. T., Klun, J. A., Ridgway, R. L., &amp; Hayes, D. K. (1989). Identification of a neuropeptide hormone that regulates sex pheromone production in female moths. </w:t>
      </w:r>
      <w:r w:rsidRPr="00A50A11">
        <w:rPr>
          <w:rFonts w:ascii="Arial" w:hAnsi="Arial" w:cs="Arial"/>
          <w:i/>
          <w:iCs/>
          <w:color w:val="EE0000"/>
          <w:sz w:val="24"/>
          <w:szCs w:val="24"/>
        </w:rPr>
        <w:t>Science, 244</w:t>
      </w:r>
      <w:r w:rsidRPr="00A50A11">
        <w:rPr>
          <w:rFonts w:ascii="Arial" w:hAnsi="Arial" w:cs="Arial"/>
          <w:color w:val="EE0000"/>
          <w:sz w:val="24"/>
          <w:szCs w:val="24"/>
        </w:rPr>
        <w:t>(4906), 796–798.</w:t>
      </w:r>
    </w:p>
    <w:p w14:paraId="0CC38579"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Rizvi, S. A. H., George, J., Reddy, G. V. P., Zeng, X., &amp; Guerrero, A. (2021). Latest developments in insect sex pheromone research and its application in agricultural pest management. </w:t>
      </w:r>
      <w:r w:rsidRPr="00A50A11">
        <w:rPr>
          <w:rFonts w:ascii="Arial" w:hAnsi="Arial" w:cs="Arial"/>
          <w:i/>
          <w:iCs/>
          <w:color w:val="EE0000"/>
          <w:sz w:val="24"/>
          <w:szCs w:val="24"/>
        </w:rPr>
        <w:t>Insects, 12</w:t>
      </w:r>
      <w:r w:rsidRPr="00A50A11">
        <w:rPr>
          <w:rFonts w:ascii="Arial" w:hAnsi="Arial" w:cs="Arial"/>
          <w:color w:val="EE0000"/>
          <w:sz w:val="24"/>
          <w:szCs w:val="24"/>
        </w:rPr>
        <w:t xml:space="preserve">(6), 484. </w:t>
      </w:r>
      <w:hyperlink r:id="rId24" w:history="1">
        <w:r w:rsidRPr="00A50A11">
          <w:rPr>
            <w:rStyle w:val="Hyperlink"/>
            <w:rFonts w:ascii="Arial" w:hAnsi="Arial" w:cs="Arial"/>
            <w:color w:val="EE0000"/>
            <w:sz w:val="24"/>
            <w:szCs w:val="24"/>
          </w:rPr>
          <w:t>https://doi.org/10.3390/insects12060484</w:t>
        </w:r>
      </w:hyperlink>
    </w:p>
    <w:p w14:paraId="43E42216"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Saikia, D. K., &amp; Borkakati, R. N. (2019). Efficacy of BIPM module against major insect pests of tomato. </w:t>
      </w:r>
      <w:r w:rsidRPr="00A50A11">
        <w:rPr>
          <w:rFonts w:ascii="Arial" w:hAnsi="Arial" w:cs="Arial"/>
          <w:i/>
          <w:iCs/>
          <w:color w:val="EE0000"/>
          <w:sz w:val="24"/>
          <w:szCs w:val="24"/>
        </w:rPr>
        <w:t>Journal of Entomology and Zoology Studies, 7</w:t>
      </w:r>
      <w:r w:rsidRPr="00A50A11">
        <w:rPr>
          <w:rFonts w:ascii="Arial" w:hAnsi="Arial" w:cs="Arial"/>
          <w:color w:val="EE0000"/>
          <w:sz w:val="24"/>
          <w:szCs w:val="24"/>
        </w:rPr>
        <w:t>(1), 986–988.</w:t>
      </w:r>
    </w:p>
    <w:p w14:paraId="21FC8980"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Saikia, R., Saikia, D. K., Bora, D. K., Dutta, B. C., &amp; Borkakati, R. N. (2017). </w:t>
      </w:r>
      <w:r w:rsidRPr="00A50A11">
        <w:rPr>
          <w:rFonts w:ascii="Arial" w:hAnsi="Arial" w:cs="Arial"/>
          <w:i/>
          <w:iCs/>
          <w:color w:val="EE0000"/>
          <w:sz w:val="24"/>
          <w:szCs w:val="24"/>
        </w:rPr>
        <w:t>Cotesia angustibasis</w:t>
      </w:r>
      <w:r w:rsidRPr="00A50A11">
        <w:rPr>
          <w:rFonts w:ascii="Arial" w:hAnsi="Arial" w:cs="Arial"/>
          <w:color w:val="EE0000"/>
          <w:sz w:val="24"/>
          <w:szCs w:val="24"/>
        </w:rPr>
        <w:t xml:space="preserve">, a potential larval parasitoid of rice leaf folder, </w:t>
      </w:r>
      <w:r w:rsidRPr="00A50A11">
        <w:rPr>
          <w:rFonts w:ascii="Arial" w:hAnsi="Arial" w:cs="Arial"/>
          <w:i/>
          <w:iCs/>
          <w:color w:val="EE0000"/>
          <w:sz w:val="24"/>
          <w:szCs w:val="24"/>
        </w:rPr>
        <w:t>Cnaphalocrocis medinalis</w:t>
      </w:r>
      <w:r w:rsidRPr="00A50A11">
        <w:rPr>
          <w:rFonts w:ascii="Arial" w:hAnsi="Arial" w:cs="Arial"/>
          <w:color w:val="EE0000"/>
          <w:sz w:val="24"/>
          <w:szCs w:val="24"/>
        </w:rPr>
        <w:t xml:space="preserve">. </w:t>
      </w:r>
      <w:r w:rsidRPr="00A50A11">
        <w:rPr>
          <w:rFonts w:ascii="Arial" w:hAnsi="Arial" w:cs="Arial"/>
          <w:i/>
          <w:iCs/>
          <w:color w:val="EE0000"/>
          <w:sz w:val="24"/>
          <w:szCs w:val="24"/>
        </w:rPr>
        <w:t>Indian Journal of Plant Protection, 45</w:t>
      </w:r>
      <w:r w:rsidRPr="00A50A11">
        <w:rPr>
          <w:rFonts w:ascii="Arial" w:hAnsi="Arial" w:cs="Arial"/>
          <w:color w:val="EE0000"/>
          <w:sz w:val="24"/>
          <w:szCs w:val="24"/>
        </w:rPr>
        <w:t>(4), 391–392.</w:t>
      </w:r>
    </w:p>
    <w:p w14:paraId="7033AF5D"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Sarma, D., Saikia, D. K., Devee, A., &amp; Borkakati, R. N. (2021). Diversity of insect pests and predators of cabbage ecosystem in different phenological stages of cabbage. </w:t>
      </w:r>
      <w:r w:rsidRPr="00A50A11">
        <w:rPr>
          <w:rFonts w:ascii="Arial" w:hAnsi="Arial" w:cs="Arial"/>
          <w:i/>
          <w:iCs/>
          <w:color w:val="EE0000"/>
          <w:sz w:val="24"/>
          <w:szCs w:val="24"/>
        </w:rPr>
        <w:t>International Journal of Current Microbiology and Applied Sciences, 10</w:t>
      </w:r>
      <w:r w:rsidRPr="00A50A11">
        <w:rPr>
          <w:rFonts w:ascii="Arial" w:hAnsi="Arial" w:cs="Arial"/>
          <w:color w:val="EE0000"/>
          <w:sz w:val="24"/>
          <w:szCs w:val="24"/>
        </w:rPr>
        <w:t xml:space="preserve">(7), 427–433. </w:t>
      </w:r>
      <w:hyperlink r:id="rId25" w:history="1">
        <w:r w:rsidRPr="00A50A11">
          <w:rPr>
            <w:rStyle w:val="Hyperlink"/>
            <w:rFonts w:ascii="Arial" w:hAnsi="Arial" w:cs="Arial"/>
            <w:color w:val="EE0000"/>
            <w:sz w:val="24"/>
            <w:szCs w:val="24"/>
          </w:rPr>
          <w:t>https://doi.org/10.20546/ijcmas.2021.1007.047</w:t>
        </w:r>
      </w:hyperlink>
    </w:p>
    <w:p w14:paraId="09DB8803"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Shibasaki, H., Yamamoto, M., Yan, Q., Naka, H., Suzuki, T., &amp; Ando, T. (2013). Identification of the sex pheromone secreted by a nettle moth, </w:t>
      </w:r>
      <w:r w:rsidRPr="00A50A11">
        <w:rPr>
          <w:rFonts w:ascii="Arial" w:hAnsi="Arial" w:cs="Arial"/>
          <w:i/>
          <w:iCs/>
          <w:color w:val="EE0000"/>
          <w:sz w:val="24"/>
          <w:szCs w:val="24"/>
        </w:rPr>
        <w:t>Monema flavescens</w:t>
      </w:r>
      <w:r w:rsidRPr="00A50A11">
        <w:rPr>
          <w:rFonts w:ascii="Arial" w:hAnsi="Arial" w:cs="Arial"/>
          <w:color w:val="EE0000"/>
          <w:sz w:val="24"/>
          <w:szCs w:val="24"/>
        </w:rPr>
        <w:t xml:space="preserve">, using gas chromatography/Fourier transform infrared spectroscopy. </w:t>
      </w:r>
      <w:r w:rsidRPr="00A50A11">
        <w:rPr>
          <w:rFonts w:ascii="Arial" w:hAnsi="Arial" w:cs="Arial"/>
          <w:i/>
          <w:iCs/>
          <w:color w:val="EE0000"/>
          <w:sz w:val="24"/>
          <w:szCs w:val="24"/>
        </w:rPr>
        <w:t>Journal of Chemical Ecology, 39</w:t>
      </w:r>
      <w:r w:rsidRPr="00A50A11">
        <w:rPr>
          <w:rFonts w:ascii="Arial" w:hAnsi="Arial" w:cs="Arial"/>
          <w:color w:val="EE0000"/>
          <w:sz w:val="24"/>
          <w:szCs w:val="24"/>
        </w:rPr>
        <w:t xml:space="preserve">(3), 350–357. </w:t>
      </w:r>
      <w:hyperlink r:id="rId26" w:history="1">
        <w:r w:rsidRPr="00A50A11">
          <w:rPr>
            <w:rStyle w:val="Hyperlink"/>
            <w:rFonts w:ascii="Arial" w:hAnsi="Arial" w:cs="Arial"/>
            <w:color w:val="EE0000"/>
            <w:sz w:val="24"/>
            <w:szCs w:val="24"/>
          </w:rPr>
          <w:t>https://doi.org/10.1007/s10886-013-0253-8</w:t>
        </w:r>
      </w:hyperlink>
    </w:p>
    <w:p w14:paraId="45FD8D11"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Symmes, E. J., Dewhirst, S. Y., Birkett, M. A., Campbell, C. A., Chamberlain, K., Pickett, J. A., &amp; Zalom, F. G. (2012). The sex pheromones of mealy plum (</w:t>
      </w:r>
      <w:r w:rsidRPr="00A50A11">
        <w:rPr>
          <w:rFonts w:ascii="Arial" w:hAnsi="Arial" w:cs="Arial"/>
          <w:i/>
          <w:iCs/>
          <w:color w:val="EE0000"/>
          <w:sz w:val="24"/>
          <w:szCs w:val="24"/>
        </w:rPr>
        <w:t>Hyalopterus pruni</w:t>
      </w:r>
      <w:r w:rsidRPr="00A50A11">
        <w:rPr>
          <w:rFonts w:ascii="Arial" w:hAnsi="Arial" w:cs="Arial"/>
          <w:color w:val="EE0000"/>
          <w:sz w:val="24"/>
          <w:szCs w:val="24"/>
        </w:rPr>
        <w:t>) and leaf-curl plum (</w:t>
      </w:r>
      <w:r w:rsidRPr="00A50A11">
        <w:rPr>
          <w:rFonts w:ascii="Arial" w:hAnsi="Arial" w:cs="Arial"/>
          <w:i/>
          <w:iCs/>
          <w:color w:val="EE0000"/>
          <w:sz w:val="24"/>
          <w:szCs w:val="24"/>
        </w:rPr>
        <w:t>Brachycaudus helichrysi</w:t>
      </w:r>
      <w:r w:rsidRPr="00A50A11">
        <w:rPr>
          <w:rFonts w:ascii="Arial" w:hAnsi="Arial" w:cs="Arial"/>
          <w:color w:val="EE0000"/>
          <w:sz w:val="24"/>
          <w:szCs w:val="24"/>
        </w:rPr>
        <w:t xml:space="preserve">) aphids: Identification and field trapping of male and gynoparous aphids in prune orchards. </w:t>
      </w:r>
      <w:r w:rsidRPr="00A50A11">
        <w:rPr>
          <w:rFonts w:ascii="Arial" w:hAnsi="Arial" w:cs="Arial"/>
          <w:i/>
          <w:iCs/>
          <w:color w:val="EE0000"/>
          <w:sz w:val="24"/>
          <w:szCs w:val="24"/>
        </w:rPr>
        <w:t>Journal of Chemical Ecology, 38</w:t>
      </w:r>
      <w:r w:rsidRPr="00A50A11">
        <w:rPr>
          <w:rFonts w:ascii="Arial" w:hAnsi="Arial" w:cs="Arial"/>
          <w:color w:val="EE0000"/>
          <w:sz w:val="24"/>
          <w:szCs w:val="24"/>
        </w:rPr>
        <w:t xml:space="preserve">(5), 576–583. </w:t>
      </w:r>
      <w:hyperlink r:id="rId27" w:history="1">
        <w:r w:rsidRPr="00A50A11">
          <w:rPr>
            <w:rStyle w:val="Hyperlink"/>
            <w:rFonts w:ascii="Arial" w:hAnsi="Arial" w:cs="Arial"/>
            <w:color w:val="EE0000"/>
            <w:sz w:val="24"/>
            <w:szCs w:val="24"/>
          </w:rPr>
          <w:t>https://doi.org/10.1007/s10886-012-0121-y</w:t>
        </w:r>
      </w:hyperlink>
    </w:p>
    <w:p w14:paraId="2B19A4F0"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Tillman, J. A., Seybold, S. J., Jurenka, R. A., &amp; Blomquist, G. J. (1999). Insect pheromones: An overview of biosynthesis and endocrine regulation. </w:t>
      </w:r>
      <w:r w:rsidRPr="00A50A11">
        <w:rPr>
          <w:rFonts w:ascii="Arial" w:hAnsi="Arial" w:cs="Arial"/>
          <w:i/>
          <w:iCs/>
          <w:color w:val="EE0000"/>
          <w:sz w:val="24"/>
          <w:szCs w:val="24"/>
        </w:rPr>
        <w:t>Insect Biochemistry and Molecular Biology, 29</w:t>
      </w:r>
      <w:r w:rsidRPr="00A50A11">
        <w:rPr>
          <w:rFonts w:ascii="Arial" w:hAnsi="Arial" w:cs="Arial"/>
          <w:color w:val="EE0000"/>
          <w:sz w:val="24"/>
          <w:szCs w:val="24"/>
        </w:rPr>
        <w:t>(6), 481–514.</w:t>
      </w:r>
    </w:p>
    <w:p w14:paraId="11D943E9"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Vacas, S., Navarro, I., Marzo, J., Navarro-Llopis, V., &amp; Primo, J. (2019). Sex pheromone of the invasive mealybug citrus pest, </w:t>
      </w:r>
      <w:r w:rsidRPr="00A50A11">
        <w:rPr>
          <w:rFonts w:ascii="Arial" w:hAnsi="Arial" w:cs="Arial"/>
          <w:i/>
          <w:iCs/>
          <w:color w:val="EE0000"/>
          <w:sz w:val="24"/>
          <w:szCs w:val="24"/>
        </w:rPr>
        <w:t>Delottococcus aberiae</w:t>
      </w:r>
      <w:r w:rsidRPr="00A50A11">
        <w:rPr>
          <w:rFonts w:ascii="Arial" w:hAnsi="Arial" w:cs="Arial"/>
          <w:color w:val="EE0000"/>
          <w:sz w:val="24"/>
          <w:szCs w:val="24"/>
        </w:rPr>
        <w:t xml:space="preserve"> (Hemiptera: Pseudococcidae): A new monoterpenoid with a necrodane </w:t>
      </w:r>
      <w:r w:rsidRPr="00A50A11">
        <w:rPr>
          <w:rFonts w:ascii="Arial" w:hAnsi="Arial" w:cs="Arial"/>
          <w:color w:val="EE0000"/>
          <w:sz w:val="24"/>
          <w:szCs w:val="24"/>
        </w:rPr>
        <w:lastRenderedPageBreak/>
        <w:t xml:space="preserve">skeleton. </w:t>
      </w:r>
      <w:r w:rsidRPr="00A50A11">
        <w:rPr>
          <w:rFonts w:ascii="Arial" w:hAnsi="Arial" w:cs="Arial"/>
          <w:i/>
          <w:iCs/>
          <w:color w:val="EE0000"/>
          <w:sz w:val="24"/>
          <w:szCs w:val="24"/>
        </w:rPr>
        <w:t>Journal of Agricultural and Food Chemistry, 67</w:t>
      </w:r>
      <w:r w:rsidRPr="00A50A11">
        <w:rPr>
          <w:rFonts w:ascii="Arial" w:hAnsi="Arial" w:cs="Arial"/>
          <w:color w:val="EE0000"/>
          <w:sz w:val="24"/>
          <w:szCs w:val="24"/>
        </w:rPr>
        <w:t xml:space="preserve">(34), 9441–9449. </w:t>
      </w:r>
      <w:hyperlink r:id="rId28" w:history="1">
        <w:r w:rsidRPr="00A50A11">
          <w:rPr>
            <w:rStyle w:val="Hyperlink"/>
            <w:rFonts w:ascii="Arial" w:hAnsi="Arial" w:cs="Arial"/>
            <w:color w:val="EE0000"/>
            <w:sz w:val="24"/>
            <w:szCs w:val="24"/>
          </w:rPr>
          <w:t>https://doi.org/10.1021/acs.jafc.9b01443</w:t>
        </w:r>
      </w:hyperlink>
    </w:p>
    <w:p w14:paraId="570F0860"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Venkatesh, M. R., Rahman, N., Bordoloi, P. K., &amp; Borkakati, R. N. (2025). Insect pest complex of brinjal and the role of natural enemies and plant diversification in their management. </w:t>
      </w:r>
      <w:r w:rsidRPr="00A50A11">
        <w:rPr>
          <w:rFonts w:ascii="Arial" w:hAnsi="Arial" w:cs="Arial"/>
          <w:i/>
          <w:iCs/>
          <w:color w:val="EE0000"/>
          <w:sz w:val="24"/>
          <w:szCs w:val="24"/>
        </w:rPr>
        <w:t>Journal of Advances in Biology &amp; Biotechnology, 28</w:t>
      </w:r>
      <w:r w:rsidRPr="00A50A11">
        <w:rPr>
          <w:rFonts w:ascii="Arial" w:hAnsi="Arial" w:cs="Arial"/>
          <w:color w:val="EE0000"/>
          <w:sz w:val="24"/>
          <w:szCs w:val="24"/>
        </w:rPr>
        <w:t xml:space="preserve">(9), 847–856. </w:t>
      </w:r>
      <w:hyperlink r:id="rId29" w:history="1">
        <w:r w:rsidRPr="00A50A11">
          <w:rPr>
            <w:rStyle w:val="Hyperlink"/>
            <w:rFonts w:ascii="Arial" w:hAnsi="Arial" w:cs="Arial"/>
            <w:color w:val="EE0000"/>
            <w:sz w:val="24"/>
            <w:szCs w:val="24"/>
          </w:rPr>
          <w:t>https://doi.org/10.9734/jabb/2025/v28i92932</w:t>
        </w:r>
      </w:hyperlink>
    </w:p>
    <w:p w14:paraId="76C136B2"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Verheggen, F. J., Haubruge, É., &amp; Mescher, M. C. (2010). Alarm pheromones—Chemical signaling in response to danger. </w:t>
      </w:r>
      <w:r w:rsidRPr="00A50A11">
        <w:rPr>
          <w:rFonts w:ascii="Arial" w:hAnsi="Arial" w:cs="Arial"/>
          <w:i/>
          <w:iCs/>
          <w:color w:val="EE0000"/>
          <w:sz w:val="24"/>
          <w:szCs w:val="24"/>
        </w:rPr>
        <w:t>Insect Biochemistry and Molecular Biology, 40</w:t>
      </w:r>
      <w:r w:rsidRPr="00A50A11">
        <w:rPr>
          <w:rFonts w:ascii="Arial" w:hAnsi="Arial" w:cs="Arial"/>
          <w:color w:val="EE0000"/>
          <w:sz w:val="24"/>
          <w:szCs w:val="24"/>
        </w:rPr>
        <w:t>(9), 699–707.</w:t>
      </w:r>
    </w:p>
    <w:p w14:paraId="6D5C331D"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Vogt, R. G. (2005). Molecular basis of pheromone detection in insects. In L. Gilbert, K. Iatrou, &amp; S. Gill (Eds.), </w:t>
      </w:r>
      <w:r w:rsidRPr="00A50A11">
        <w:rPr>
          <w:rFonts w:ascii="Arial" w:hAnsi="Arial" w:cs="Arial"/>
          <w:i/>
          <w:iCs/>
          <w:color w:val="EE0000"/>
          <w:sz w:val="24"/>
          <w:szCs w:val="24"/>
        </w:rPr>
        <w:t>Comprehensive insect molecular science</w:t>
      </w:r>
      <w:r w:rsidRPr="00A50A11">
        <w:rPr>
          <w:rFonts w:ascii="Arial" w:hAnsi="Arial" w:cs="Arial"/>
          <w:color w:val="EE0000"/>
          <w:sz w:val="24"/>
          <w:szCs w:val="24"/>
        </w:rPr>
        <w:t xml:space="preserve"> (Vol. 3, pp. 753–804). Elsevier.</w:t>
      </w:r>
    </w:p>
    <w:p w14:paraId="0521C178"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Weiss, I., Rössler, T., Hofferberth, J., Brummer, M., Ruther, J., &amp; Stökl, J. (2013). A nonspecific defensive compound evolves into a competition avoidance cue and a female sex pheromone. </w:t>
      </w:r>
      <w:r w:rsidRPr="00A50A11">
        <w:rPr>
          <w:rFonts w:ascii="Arial" w:hAnsi="Arial" w:cs="Arial"/>
          <w:i/>
          <w:iCs/>
          <w:color w:val="EE0000"/>
          <w:sz w:val="24"/>
          <w:szCs w:val="24"/>
        </w:rPr>
        <w:t>Nature Communications, 4</w:t>
      </w:r>
      <w:r w:rsidRPr="00A50A11">
        <w:rPr>
          <w:rFonts w:ascii="Arial" w:hAnsi="Arial" w:cs="Arial"/>
          <w:color w:val="EE0000"/>
          <w:sz w:val="24"/>
          <w:szCs w:val="24"/>
        </w:rPr>
        <w:t xml:space="preserve">, 2767. </w:t>
      </w:r>
      <w:hyperlink r:id="rId30" w:history="1">
        <w:r w:rsidRPr="00A50A11">
          <w:rPr>
            <w:rStyle w:val="Hyperlink"/>
            <w:rFonts w:ascii="Arial" w:hAnsi="Arial" w:cs="Arial"/>
            <w:color w:val="EE0000"/>
            <w:sz w:val="24"/>
            <w:szCs w:val="24"/>
          </w:rPr>
          <w:t>https://doi.org/10.1038/ncomms3767</w:t>
        </w:r>
      </w:hyperlink>
    </w:p>
    <w:p w14:paraId="7B07DBA7"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Wicker-Thomas, C. (1995a). Regulation of hydrocarbon profile by ovarian ecdysteroids in </w:t>
      </w:r>
      <w:r w:rsidRPr="00A50A11">
        <w:rPr>
          <w:rFonts w:ascii="Arial" w:hAnsi="Arial" w:cs="Arial"/>
          <w:i/>
          <w:iCs/>
          <w:color w:val="EE0000"/>
          <w:sz w:val="24"/>
          <w:szCs w:val="24"/>
        </w:rPr>
        <w:t>Drosophila melanogaster</w:t>
      </w:r>
      <w:r w:rsidRPr="00A50A11">
        <w:rPr>
          <w:rFonts w:ascii="Arial" w:hAnsi="Arial" w:cs="Arial"/>
          <w:color w:val="EE0000"/>
          <w:sz w:val="24"/>
          <w:szCs w:val="24"/>
        </w:rPr>
        <w:t xml:space="preserve">. </w:t>
      </w:r>
      <w:r w:rsidRPr="00A50A11">
        <w:rPr>
          <w:rFonts w:ascii="Arial" w:hAnsi="Arial" w:cs="Arial"/>
          <w:i/>
          <w:iCs/>
          <w:color w:val="EE0000"/>
          <w:sz w:val="24"/>
          <w:szCs w:val="24"/>
        </w:rPr>
        <w:t>Journal of Insect Physiology, 41</w:t>
      </w:r>
      <w:r w:rsidRPr="00A50A11">
        <w:rPr>
          <w:rFonts w:ascii="Arial" w:hAnsi="Arial" w:cs="Arial"/>
          <w:color w:val="EE0000"/>
          <w:sz w:val="24"/>
          <w:szCs w:val="24"/>
        </w:rPr>
        <w:t>(1), 17–22.</w:t>
      </w:r>
    </w:p>
    <w:p w14:paraId="7782854F" w14:textId="77777777" w:rsidR="0004619A" w:rsidRPr="00A50A11" w:rsidRDefault="0004619A" w:rsidP="0004619A">
      <w:pPr>
        <w:spacing w:after="0"/>
        <w:ind w:left="709" w:right="-9" w:hanging="993"/>
        <w:jc w:val="both"/>
        <w:rPr>
          <w:rFonts w:ascii="Arial" w:hAnsi="Arial" w:cs="Arial"/>
          <w:color w:val="EE0000"/>
          <w:sz w:val="24"/>
          <w:szCs w:val="24"/>
        </w:rPr>
      </w:pPr>
      <w:r w:rsidRPr="00A50A11">
        <w:rPr>
          <w:rFonts w:ascii="Arial" w:hAnsi="Arial" w:cs="Arial"/>
          <w:color w:val="EE0000"/>
          <w:sz w:val="24"/>
          <w:szCs w:val="24"/>
        </w:rPr>
        <w:t xml:space="preserve">Wicker-Thomas, C. (1995b). Pheromonal communication involved in courtship behavior in </w:t>
      </w:r>
      <w:r w:rsidRPr="00A50A11">
        <w:rPr>
          <w:rFonts w:ascii="Arial" w:hAnsi="Arial" w:cs="Arial"/>
          <w:i/>
          <w:iCs/>
          <w:color w:val="EE0000"/>
          <w:sz w:val="24"/>
          <w:szCs w:val="24"/>
        </w:rPr>
        <w:t>Drosophila melanogaster</w:t>
      </w:r>
      <w:r w:rsidRPr="00A50A11">
        <w:rPr>
          <w:rFonts w:ascii="Arial" w:hAnsi="Arial" w:cs="Arial"/>
          <w:color w:val="EE0000"/>
          <w:sz w:val="24"/>
          <w:szCs w:val="24"/>
        </w:rPr>
        <w:t xml:space="preserve">. </w:t>
      </w:r>
      <w:r w:rsidRPr="00A50A11">
        <w:rPr>
          <w:rFonts w:ascii="Arial" w:hAnsi="Arial" w:cs="Arial"/>
          <w:i/>
          <w:iCs/>
          <w:color w:val="EE0000"/>
          <w:sz w:val="24"/>
          <w:szCs w:val="24"/>
        </w:rPr>
        <w:t>Behavior Genetics, 25</w:t>
      </w:r>
      <w:r w:rsidRPr="00A50A11">
        <w:rPr>
          <w:rFonts w:ascii="Arial" w:hAnsi="Arial" w:cs="Arial"/>
          <w:color w:val="EE0000"/>
          <w:sz w:val="24"/>
          <w:szCs w:val="24"/>
        </w:rPr>
        <w:t>(5), 475–489.</w:t>
      </w:r>
    </w:p>
    <w:p w14:paraId="65411A6A" w14:textId="77777777" w:rsidR="0004619A" w:rsidRPr="00A50A11" w:rsidRDefault="0004619A" w:rsidP="0004619A">
      <w:pPr>
        <w:widowControl w:val="0"/>
        <w:autoSpaceDE w:val="0"/>
        <w:autoSpaceDN w:val="0"/>
        <w:spacing w:after="0"/>
        <w:ind w:left="630" w:right="26" w:hanging="540"/>
        <w:jc w:val="both"/>
        <w:rPr>
          <w:rFonts w:ascii="Arial" w:hAnsi="Arial" w:cs="Arial"/>
          <w:color w:val="EE0000"/>
          <w:sz w:val="24"/>
          <w:szCs w:val="24"/>
        </w:rPr>
      </w:pPr>
      <w:r w:rsidRPr="00A50A11">
        <w:rPr>
          <w:rFonts w:ascii="Arial" w:hAnsi="Arial" w:cs="Arial"/>
          <w:color w:val="EE0000"/>
          <w:sz w:val="24"/>
          <w:szCs w:val="24"/>
        </w:rPr>
        <w:t>Bjostad, L. B., Wolf, W. A. and Roelofs, W. L. (1987). Pheromone biosynthesis in lepidopterans: Desaturation and chain shortening. In G. D. Prestwich, &amp; G. J. Blomquist (Eds.), Pheromone Biochemistry (pp. 77–120). New York: Academic Press.</w:t>
      </w:r>
    </w:p>
    <w:p w14:paraId="0D9F31F2" w14:textId="77777777" w:rsidR="0004619A" w:rsidRPr="00A50A11" w:rsidRDefault="0004619A" w:rsidP="0004619A">
      <w:pPr>
        <w:spacing w:after="0"/>
        <w:ind w:left="630" w:right="26" w:hanging="540"/>
        <w:jc w:val="both"/>
        <w:rPr>
          <w:rFonts w:ascii="Arial" w:hAnsi="Arial" w:cs="Arial"/>
          <w:color w:val="EE0000"/>
          <w:sz w:val="24"/>
          <w:szCs w:val="24"/>
        </w:rPr>
      </w:pPr>
      <w:hyperlink r:id="rId31">
        <w:r w:rsidRPr="00A50A11">
          <w:rPr>
            <w:rFonts w:ascii="Arial" w:hAnsi="Arial" w:cs="Arial"/>
            <w:color w:val="EE0000"/>
            <w:sz w:val="24"/>
            <w:szCs w:val="24"/>
          </w:rPr>
          <w:t>Butenandt, A., Beckmann, R., Stamm, D. and Hecker, E. (1959).</w:t>
        </w:r>
      </w:hyperlink>
      <w:r w:rsidRPr="00A50A11">
        <w:rPr>
          <w:rFonts w:ascii="Arial" w:hAnsi="Arial" w:cs="Arial"/>
          <w:color w:val="EE0000"/>
          <w:sz w:val="24"/>
          <w:szCs w:val="24"/>
        </w:rPr>
        <w:t xml:space="preserve"> </w:t>
      </w:r>
      <w:hyperlink r:id="rId32">
        <w:r w:rsidRPr="00A50A11">
          <w:rPr>
            <w:rFonts w:ascii="Arial" w:hAnsi="Arial" w:cs="Arial"/>
            <w:color w:val="EE0000"/>
            <w:sz w:val="24"/>
            <w:szCs w:val="24"/>
          </w:rPr>
          <w:t xml:space="preserve">Uber den Sexual-Lockstoff des Seidenspinners </w:t>
        </w:r>
        <w:r w:rsidRPr="00A50A11">
          <w:rPr>
            <w:rFonts w:ascii="Arial" w:hAnsi="Arial" w:cs="Arial"/>
            <w:i/>
            <w:color w:val="EE0000"/>
            <w:sz w:val="24"/>
            <w:szCs w:val="24"/>
          </w:rPr>
          <w:t>Bombyx</w:t>
        </w:r>
      </w:hyperlink>
      <w:r w:rsidRPr="00A50A11">
        <w:rPr>
          <w:rFonts w:ascii="Arial" w:hAnsi="Arial" w:cs="Arial"/>
          <w:color w:val="EE0000"/>
          <w:sz w:val="24"/>
          <w:szCs w:val="24"/>
        </w:rPr>
        <w:t xml:space="preserve"> </w:t>
      </w:r>
      <w:hyperlink r:id="rId33">
        <w:r w:rsidRPr="00A50A11">
          <w:rPr>
            <w:rFonts w:ascii="Arial" w:hAnsi="Arial" w:cs="Arial"/>
            <w:i/>
            <w:color w:val="EE0000"/>
            <w:sz w:val="24"/>
            <w:szCs w:val="24"/>
          </w:rPr>
          <w:t>mori</w:t>
        </w:r>
        <w:r w:rsidRPr="00A50A11">
          <w:rPr>
            <w:rFonts w:ascii="Arial" w:hAnsi="Arial" w:cs="Arial"/>
            <w:color w:val="EE0000"/>
            <w:sz w:val="24"/>
            <w:szCs w:val="24"/>
          </w:rPr>
          <w:t xml:space="preserve">. Reindarstellung und Konstitution. </w:t>
        </w:r>
        <w:r w:rsidRPr="00A50A11">
          <w:rPr>
            <w:rFonts w:ascii="Arial" w:hAnsi="Arial" w:cs="Arial"/>
            <w:i/>
            <w:color w:val="EE0000"/>
            <w:sz w:val="24"/>
            <w:szCs w:val="24"/>
          </w:rPr>
          <w:t>Z.</w:t>
        </w:r>
        <w:r w:rsidRPr="00A50A11">
          <w:rPr>
            <w:rFonts w:ascii="Arial" w:hAnsi="Arial" w:cs="Arial"/>
            <w:color w:val="EE0000"/>
            <w:sz w:val="24"/>
            <w:szCs w:val="24"/>
          </w:rPr>
          <w:t xml:space="preserve"> </w:t>
        </w:r>
        <w:r w:rsidRPr="00A50A11">
          <w:rPr>
            <w:rFonts w:ascii="Arial" w:hAnsi="Arial" w:cs="Arial"/>
            <w:i/>
            <w:color w:val="EE0000"/>
            <w:sz w:val="24"/>
            <w:szCs w:val="24"/>
          </w:rPr>
          <w:t>Naturforsch</w:t>
        </w:r>
        <w:r w:rsidRPr="00A50A11">
          <w:rPr>
            <w:rFonts w:ascii="Arial" w:hAnsi="Arial" w:cs="Arial"/>
            <w:color w:val="EE0000"/>
            <w:sz w:val="24"/>
            <w:szCs w:val="24"/>
          </w:rPr>
          <w:t>.</w:t>
        </w:r>
      </w:hyperlink>
      <w:hyperlink r:id="rId34">
        <w:r w:rsidRPr="00A50A11">
          <w:rPr>
            <w:rFonts w:ascii="Arial" w:hAnsi="Arial" w:cs="Arial"/>
            <w:i/>
            <w:color w:val="EE0000"/>
            <w:sz w:val="24"/>
            <w:szCs w:val="24"/>
          </w:rPr>
          <w:t>B</w:t>
        </w:r>
        <w:r w:rsidRPr="00A50A11">
          <w:rPr>
            <w:rFonts w:ascii="Arial" w:hAnsi="Arial" w:cs="Arial"/>
            <w:color w:val="EE0000"/>
            <w:sz w:val="24"/>
            <w:szCs w:val="24"/>
          </w:rPr>
          <w:t xml:space="preserve">. </w:t>
        </w:r>
        <w:r w:rsidRPr="00A50A11">
          <w:rPr>
            <w:rFonts w:ascii="Arial" w:hAnsi="Arial" w:cs="Arial"/>
            <w:b/>
            <w:color w:val="EE0000"/>
            <w:sz w:val="24"/>
            <w:szCs w:val="24"/>
          </w:rPr>
          <w:t>14</w:t>
        </w:r>
        <w:r w:rsidRPr="00A50A11">
          <w:rPr>
            <w:rFonts w:ascii="Arial" w:hAnsi="Arial" w:cs="Arial"/>
            <w:color w:val="EE0000"/>
            <w:sz w:val="24"/>
            <w:szCs w:val="24"/>
          </w:rPr>
          <w:t>: 283.</w:t>
        </w:r>
      </w:hyperlink>
    </w:p>
    <w:p w14:paraId="2F4BD7CC" w14:textId="77777777" w:rsidR="0004619A" w:rsidRPr="00A50A11" w:rsidRDefault="0004619A" w:rsidP="0004619A">
      <w:pPr>
        <w:spacing w:after="0"/>
        <w:ind w:left="630" w:right="26" w:hanging="540"/>
        <w:jc w:val="both"/>
        <w:rPr>
          <w:rFonts w:ascii="Arial" w:hAnsi="Arial" w:cs="Arial"/>
          <w:color w:val="EE0000"/>
          <w:sz w:val="24"/>
          <w:szCs w:val="24"/>
        </w:rPr>
      </w:pPr>
      <w:hyperlink r:id="rId35">
        <w:r w:rsidRPr="00A50A11">
          <w:rPr>
            <w:rFonts w:ascii="Arial" w:hAnsi="Arial" w:cs="Arial"/>
            <w:color w:val="EE0000"/>
            <w:sz w:val="24"/>
            <w:szCs w:val="24"/>
          </w:rPr>
          <w:t xml:space="preserve">Cardé, </w:t>
        </w:r>
        <w:r w:rsidRPr="00A50A11">
          <w:rPr>
            <w:rFonts w:ascii="Arial" w:hAnsi="Arial" w:cs="Arial"/>
            <w:color w:val="EE0000"/>
            <w:spacing w:val="-3"/>
            <w:sz w:val="24"/>
            <w:szCs w:val="24"/>
          </w:rPr>
          <w:t xml:space="preserve">R.T. and </w:t>
        </w:r>
        <w:r w:rsidRPr="00A50A11">
          <w:rPr>
            <w:rFonts w:ascii="Arial" w:hAnsi="Arial" w:cs="Arial"/>
            <w:color w:val="EE0000"/>
            <w:sz w:val="24"/>
            <w:szCs w:val="24"/>
          </w:rPr>
          <w:t>Minks, A.K. (1995). Control of moth pests by</w:t>
        </w:r>
      </w:hyperlink>
      <w:hyperlink r:id="rId36">
        <w:r w:rsidRPr="00A50A11">
          <w:rPr>
            <w:rFonts w:ascii="Arial" w:hAnsi="Arial" w:cs="Arial"/>
            <w:color w:val="EE0000"/>
            <w:sz w:val="24"/>
            <w:szCs w:val="24"/>
          </w:rPr>
          <w:t xml:space="preserve">mating disruption: successes and constraints. </w:t>
        </w:r>
        <w:r w:rsidRPr="00A50A11">
          <w:rPr>
            <w:rFonts w:ascii="Arial" w:hAnsi="Arial" w:cs="Arial"/>
            <w:i/>
            <w:color w:val="EE0000"/>
            <w:spacing w:val="-3"/>
            <w:sz w:val="24"/>
            <w:szCs w:val="24"/>
          </w:rPr>
          <w:t>Annu</w:t>
        </w:r>
        <w:r w:rsidRPr="00A50A11">
          <w:rPr>
            <w:rFonts w:ascii="Arial" w:hAnsi="Arial" w:cs="Arial"/>
            <w:color w:val="EE0000"/>
            <w:spacing w:val="-3"/>
            <w:sz w:val="24"/>
            <w:szCs w:val="24"/>
          </w:rPr>
          <w:t>.</w:t>
        </w:r>
      </w:hyperlink>
      <w:r w:rsidRPr="00A50A11">
        <w:rPr>
          <w:rFonts w:ascii="Arial" w:hAnsi="Arial" w:cs="Arial"/>
          <w:color w:val="EE0000"/>
          <w:sz w:val="24"/>
          <w:szCs w:val="24"/>
        </w:rPr>
        <w:t xml:space="preserve"> </w:t>
      </w:r>
      <w:hyperlink r:id="rId37">
        <w:r w:rsidRPr="00A50A11">
          <w:rPr>
            <w:rFonts w:ascii="Arial" w:hAnsi="Arial" w:cs="Arial"/>
            <w:i/>
            <w:color w:val="EE0000"/>
            <w:spacing w:val="-5"/>
            <w:sz w:val="24"/>
            <w:szCs w:val="24"/>
          </w:rPr>
          <w:t>Rev</w:t>
        </w:r>
        <w:r w:rsidRPr="00A50A11">
          <w:rPr>
            <w:rFonts w:ascii="Arial" w:hAnsi="Arial" w:cs="Arial"/>
            <w:color w:val="EE0000"/>
            <w:spacing w:val="-5"/>
            <w:sz w:val="24"/>
            <w:szCs w:val="24"/>
          </w:rPr>
          <w:t xml:space="preserve">. </w:t>
        </w:r>
        <w:r w:rsidRPr="00A50A11">
          <w:rPr>
            <w:rFonts w:ascii="Arial" w:hAnsi="Arial" w:cs="Arial"/>
            <w:i/>
            <w:color w:val="EE0000"/>
            <w:sz w:val="24"/>
            <w:szCs w:val="24"/>
          </w:rPr>
          <w:t>Entomol</w:t>
        </w:r>
        <w:r w:rsidRPr="00A50A11">
          <w:rPr>
            <w:rFonts w:ascii="Arial" w:hAnsi="Arial" w:cs="Arial"/>
            <w:color w:val="EE0000"/>
            <w:sz w:val="24"/>
            <w:szCs w:val="24"/>
          </w:rPr>
          <w:t xml:space="preserve">. </w:t>
        </w:r>
        <w:r w:rsidRPr="00A50A11">
          <w:rPr>
            <w:rFonts w:ascii="Arial" w:hAnsi="Arial" w:cs="Arial"/>
            <w:b/>
            <w:color w:val="EE0000"/>
            <w:sz w:val="24"/>
            <w:szCs w:val="24"/>
          </w:rPr>
          <w:t>40</w:t>
        </w:r>
        <w:r w:rsidRPr="00A50A11">
          <w:rPr>
            <w:rFonts w:ascii="Arial" w:hAnsi="Arial" w:cs="Arial"/>
            <w:color w:val="EE0000"/>
            <w:sz w:val="24"/>
            <w:szCs w:val="24"/>
          </w:rPr>
          <w:t>: 559–585.</w:t>
        </w:r>
      </w:hyperlink>
    </w:p>
    <w:p w14:paraId="0BA28082" w14:textId="77777777" w:rsidR="0004619A" w:rsidRPr="00A50A11" w:rsidRDefault="0004619A" w:rsidP="0004619A">
      <w:pPr>
        <w:spacing w:after="0"/>
        <w:ind w:left="630" w:right="26" w:hanging="540"/>
        <w:jc w:val="both"/>
        <w:rPr>
          <w:rFonts w:ascii="Arial" w:hAnsi="Arial" w:cs="Arial"/>
          <w:color w:val="EE0000"/>
          <w:sz w:val="24"/>
          <w:szCs w:val="24"/>
        </w:rPr>
      </w:pPr>
      <w:hyperlink r:id="rId38">
        <w:r w:rsidRPr="00A50A11">
          <w:rPr>
            <w:rFonts w:ascii="Arial" w:hAnsi="Arial" w:cs="Arial"/>
            <w:color w:val="EE0000"/>
            <w:sz w:val="24"/>
            <w:szCs w:val="24"/>
          </w:rPr>
          <w:t>Cook, S.M., Khan, Z.R., and Pickett, J.A. (2007). The use of push-</w:t>
        </w:r>
      </w:hyperlink>
      <w:hyperlink r:id="rId39">
        <w:r w:rsidRPr="00A50A11">
          <w:rPr>
            <w:rFonts w:ascii="Arial" w:hAnsi="Arial" w:cs="Arial"/>
            <w:color w:val="EE0000"/>
            <w:sz w:val="24"/>
            <w:szCs w:val="24"/>
          </w:rPr>
          <w:t xml:space="preserve">pull strategies in integrated pest management. </w:t>
        </w:r>
        <w:r w:rsidRPr="00A50A11">
          <w:rPr>
            <w:rFonts w:ascii="Arial" w:hAnsi="Arial" w:cs="Arial"/>
            <w:i/>
            <w:color w:val="EE0000"/>
            <w:sz w:val="24"/>
            <w:szCs w:val="24"/>
          </w:rPr>
          <w:t>Annu</w:t>
        </w:r>
        <w:r w:rsidRPr="00A50A11">
          <w:rPr>
            <w:rFonts w:ascii="Arial" w:hAnsi="Arial" w:cs="Arial"/>
            <w:color w:val="EE0000"/>
            <w:sz w:val="24"/>
            <w:szCs w:val="24"/>
          </w:rPr>
          <w:t>.</w:t>
        </w:r>
      </w:hyperlink>
      <w:r w:rsidRPr="00A50A11">
        <w:rPr>
          <w:rFonts w:ascii="Arial" w:hAnsi="Arial" w:cs="Arial"/>
          <w:color w:val="EE0000"/>
          <w:sz w:val="24"/>
          <w:szCs w:val="24"/>
        </w:rPr>
        <w:t xml:space="preserve"> </w:t>
      </w:r>
      <w:r w:rsidRPr="00A50A11">
        <w:rPr>
          <w:rFonts w:ascii="Arial" w:hAnsi="Arial" w:cs="Arial"/>
          <w:i/>
          <w:color w:val="EE0000"/>
          <w:sz w:val="24"/>
          <w:szCs w:val="24"/>
        </w:rPr>
        <w:t xml:space="preserve">Rev. Entomol. </w:t>
      </w:r>
      <w:r w:rsidRPr="00A50A11">
        <w:rPr>
          <w:rFonts w:ascii="Arial" w:hAnsi="Arial" w:cs="Arial"/>
          <w:b/>
          <w:color w:val="EE0000"/>
          <w:sz w:val="24"/>
          <w:szCs w:val="24"/>
        </w:rPr>
        <w:t>52</w:t>
      </w:r>
      <w:r w:rsidRPr="00A50A11">
        <w:rPr>
          <w:rFonts w:ascii="Arial" w:hAnsi="Arial" w:cs="Arial"/>
          <w:color w:val="EE0000"/>
          <w:sz w:val="24"/>
          <w:szCs w:val="24"/>
        </w:rPr>
        <w:t>,: 375–400.</w:t>
      </w:r>
    </w:p>
    <w:p w14:paraId="7428B511" w14:textId="77777777" w:rsidR="0004619A" w:rsidRPr="00A50A11" w:rsidRDefault="0004619A" w:rsidP="0004619A">
      <w:pPr>
        <w:spacing w:after="0"/>
        <w:ind w:left="630" w:right="26" w:hanging="540"/>
        <w:jc w:val="both"/>
        <w:rPr>
          <w:rFonts w:ascii="Arial" w:hAnsi="Arial" w:cs="Arial"/>
          <w:color w:val="EE0000"/>
          <w:sz w:val="24"/>
          <w:szCs w:val="24"/>
        </w:rPr>
      </w:pPr>
      <w:r w:rsidRPr="00A50A11">
        <w:rPr>
          <w:rFonts w:ascii="Arial" w:hAnsi="Arial" w:cs="Arial"/>
          <w:color w:val="EE0000"/>
          <w:sz w:val="24"/>
          <w:szCs w:val="24"/>
        </w:rPr>
        <w:t xml:space="preserve">El-Sayed, A.M., Suckling, D.M., Wearing, C.H. and Byers, J.A. (2006). Potential of mass trapping for long-term pest man-agement and eradication of invasive species. </w:t>
      </w:r>
      <w:r w:rsidRPr="00A50A11">
        <w:rPr>
          <w:rFonts w:ascii="Arial" w:hAnsi="Arial" w:cs="Arial"/>
          <w:i/>
          <w:color w:val="EE0000"/>
          <w:sz w:val="24"/>
          <w:szCs w:val="24"/>
        </w:rPr>
        <w:t>J</w:t>
      </w:r>
      <w:r w:rsidRPr="00A50A11">
        <w:rPr>
          <w:rFonts w:ascii="Arial" w:hAnsi="Arial" w:cs="Arial"/>
          <w:color w:val="EE0000"/>
          <w:sz w:val="24"/>
          <w:szCs w:val="24"/>
        </w:rPr>
        <w:t xml:space="preserve">. </w:t>
      </w:r>
      <w:r w:rsidRPr="00A50A11">
        <w:rPr>
          <w:rFonts w:ascii="Arial" w:hAnsi="Arial" w:cs="Arial"/>
          <w:i/>
          <w:color w:val="EE0000"/>
          <w:sz w:val="24"/>
          <w:szCs w:val="24"/>
        </w:rPr>
        <w:t>Econ</w:t>
      </w:r>
      <w:r w:rsidRPr="00A50A11">
        <w:rPr>
          <w:rFonts w:ascii="Arial" w:hAnsi="Arial" w:cs="Arial"/>
          <w:color w:val="EE0000"/>
          <w:sz w:val="24"/>
          <w:szCs w:val="24"/>
        </w:rPr>
        <w:t xml:space="preserve">. </w:t>
      </w:r>
      <w:hyperlink r:id="rId40">
        <w:r w:rsidRPr="00A50A11">
          <w:rPr>
            <w:rFonts w:ascii="Arial" w:hAnsi="Arial" w:cs="Arial"/>
            <w:i/>
            <w:color w:val="EE0000"/>
            <w:sz w:val="24"/>
            <w:szCs w:val="24"/>
          </w:rPr>
          <w:t>Entomol</w:t>
        </w:r>
        <w:r w:rsidRPr="00A50A11">
          <w:rPr>
            <w:rFonts w:ascii="Arial" w:hAnsi="Arial" w:cs="Arial"/>
            <w:color w:val="EE0000"/>
            <w:sz w:val="24"/>
            <w:szCs w:val="24"/>
          </w:rPr>
          <w:t xml:space="preserve">. </w:t>
        </w:r>
        <w:r w:rsidRPr="00A50A11">
          <w:rPr>
            <w:rFonts w:ascii="Arial" w:hAnsi="Arial" w:cs="Arial"/>
            <w:b/>
            <w:color w:val="EE0000"/>
            <w:sz w:val="24"/>
            <w:szCs w:val="24"/>
          </w:rPr>
          <w:t>99</w:t>
        </w:r>
        <w:r w:rsidRPr="00A50A11">
          <w:rPr>
            <w:rFonts w:ascii="Arial" w:hAnsi="Arial" w:cs="Arial"/>
            <w:color w:val="EE0000"/>
            <w:sz w:val="24"/>
            <w:szCs w:val="24"/>
          </w:rPr>
          <w:t>: 1550–1564.</w:t>
        </w:r>
      </w:hyperlink>
    </w:p>
    <w:p w14:paraId="58B75612" w14:textId="77777777" w:rsidR="0004619A" w:rsidRPr="00A50A11" w:rsidRDefault="0004619A" w:rsidP="0004619A">
      <w:pPr>
        <w:spacing w:after="0"/>
        <w:ind w:left="630" w:right="26" w:hanging="540"/>
        <w:jc w:val="both"/>
        <w:rPr>
          <w:rFonts w:ascii="Arial" w:hAnsi="Arial" w:cs="Arial"/>
          <w:color w:val="EE0000"/>
          <w:sz w:val="24"/>
          <w:szCs w:val="24"/>
        </w:rPr>
      </w:pPr>
      <w:hyperlink r:id="rId41">
        <w:r w:rsidRPr="00A50A11">
          <w:rPr>
            <w:rFonts w:ascii="Arial" w:hAnsi="Arial" w:cs="Arial"/>
            <w:color w:val="EE0000"/>
            <w:sz w:val="24"/>
            <w:szCs w:val="24"/>
          </w:rPr>
          <w:t>Heuskin, S., Verheggen, F.J., Haubruge, E., Wathelet, J.</w:t>
        </w:r>
      </w:hyperlink>
      <w:r w:rsidRPr="00A50A11">
        <w:rPr>
          <w:rFonts w:ascii="Arial" w:hAnsi="Arial" w:cs="Arial"/>
          <w:color w:val="EE0000"/>
          <w:sz w:val="24"/>
          <w:szCs w:val="24"/>
        </w:rPr>
        <w:t xml:space="preserve"> and </w:t>
      </w:r>
      <w:hyperlink r:id="rId42">
        <w:r w:rsidRPr="00A50A11">
          <w:rPr>
            <w:rFonts w:ascii="Arial" w:hAnsi="Arial" w:cs="Arial"/>
            <w:color w:val="EE0000"/>
            <w:sz w:val="24"/>
            <w:szCs w:val="24"/>
          </w:rPr>
          <w:t>Lognay, G. (2011). The use of semiochemical slow-release</w:t>
        </w:r>
      </w:hyperlink>
      <w:hyperlink r:id="rId43">
        <w:r w:rsidRPr="00A50A11">
          <w:rPr>
            <w:rFonts w:ascii="Arial" w:hAnsi="Arial" w:cs="Arial"/>
            <w:color w:val="EE0000"/>
            <w:sz w:val="24"/>
            <w:szCs w:val="24"/>
          </w:rPr>
          <w:t>devices in integrated pest management strategies.</w:t>
        </w:r>
      </w:hyperlink>
      <w:r w:rsidRPr="00A50A11">
        <w:rPr>
          <w:rFonts w:ascii="Arial" w:hAnsi="Arial" w:cs="Arial"/>
          <w:color w:val="EE0000"/>
          <w:sz w:val="24"/>
          <w:szCs w:val="24"/>
        </w:rPr>
        <w:t xml:space="preserve"> </w:t>
      </w:r>
      <w:hyperlink r:id="rId44">
        <w:r w:rsidRPr="00A50A11">
          <w:rPr>
            <w:rFonts w:ascii="Arial" w:hAnsi="Arial" w:cs="Arial"/>
            <w:i/>
            <w:color w:val="EE0000"/>
            <w:sz w:val="24"/>
            <w:szCs w:val="24"/>
          </w:rPr>
          <w:t>Biotechnol</w:t>
        </w:r>
        <w:r w:rsidRPr="00A50A11">
          <w:rPr>
            <w:rFonts w:ascii="Arial" w:hAnsi="Arial" w:cs="Arial"/>
            <w:color w:val="EE0000"/>
            <w:sz w:val="24"/>
            <w:szCs w:val="24"/>
          </w:rPr>
          <w:t xml:space="preserve">. </w:t>
        </w:r>
        <w:r w:rsidRPr="00A50A11">
          <w:rPr>
            <w:rFonts w:ascii="Arial" w:hAnsi="Arial" w:cs="Arial"/>
            <w:i/>
            <w:color w:val="EE0000"/>
            <w:sz w:val="24"/>
            <w:szCs w:val="24"/>
          </w:rPr>
          <w:t>Agron</w:t>
        </w:r>
        <w:r w:rsidRPr="00A50A11">
          <w:rPr>
            <w:rFonts w:ascii="Arial" w:hAnsi="Arial" w:cs="Arial"/>
            <w:color w:val="EE0000"/>
            <w:sz w:val="24"/>
            <w:szCs w:val="24"/>
          </w:rPr>
          <w:t xml:space="preserve">. </w:t>
        </w:r>
        <w:r w:rsidRPr="00A50A11">
          <w:rPr>
            <w:rFonts w:ascii="Arial" w:hAnsi="Arial" w:cs="Arial"/>
            <w:i/>
            <w:color w:val="EE0000"/>
            <w:sz w:val="24"/>
            <w:szCs w:val="24"/>
          </w:rPr>
          <w:t>Soc</w:t>
        </w:r>
        <w:r w:rsidRPr="00A50A11">
          <w:rPr>
            <w:rFonts w:ascii="Arial" w:hAnsi="Arial" w:cs="Arial"/>
            <w:color w:val="EE0000"/>
            <w:sz w:val="24"/>
            <w:szCs w:val="24"/>
          </w:rPr>
          <w:t xml:space="preserve">. </w:t>
        </w:r>
        <w:r w:rsidRPr="00A50A11">
          <w:rPr>
            <w:rFonts w:ascii="Arial" w:hAnsi="Arial" w:cs="Arial"/>
            <w:i/>
            <w:color w:val="EE0000"/>
            <w:sz w:val="24"/>
            <w:szCs w:val="24"/>
          </w:rPr>
          <w:t>Environ</w:t>
        </w:r>
        <w:r w:rsidRPr="00A50A11">
          <w:rPr>
            <w:rFonts w:ascii="Arial" w:hAnsi="Arial" w:cs="Arial"/>
            <w:color w:val="EE0000"/>
            <w:sz w:val="24"/>
            <w:szCs w:val="24"/>
          </w:rPr>
          <w:t xml:space="preserve">. </w:t>
        </w:r>
        <w:r w:rsidRPr="00A50A11">
          <w:rPr>
            <w:rFonts w:ascii="Arial" w:hAnsi="Arial" w:cs="Arial"/>
            <w:b/>
            <w:color w:val="EE0000"/>
            <w:sz w:val="24"/>
            <w:szCs w:val="24"/>
          </w:rPr>
          <w:t>15</w:t>
        </w:r>
        <w:r w:rsidRPr="00A50A11">
          <w:rPr>
            <w:rFonts w:ascii="Arial" w:hAnsi="Arial" w:cs="Arial"/>
            <w:color w:val="EE0000"/>
            <w:sz w:val="24"/>
            <w:szCs w:val="24"/>
          </w:rPr>
          <w:t>: 459–470.</w:t>
        </w:r>
      </w:hyperlink>
    </w:p>
    <w:p w14:paraId="0C6DC4FD" w14:textId="77777777" w:rsidR="0004619A" w:rsidRPr="00A50A11" w:rsidRDefault="0004619A" w:rsidP="0004619A">
      <w:pPr>
        <w:widowControl w:val="0"/>
        <w:autoSpaceDE w:val="0"/>
        <w:autoSpaceDN w:val="0"/>
        <w:spacing w:after="0"/>
        <w:ind w:left="630" w:right="26" w:hanging="540"/>
        <w:jc w:val="both"/>
        <w:rPr>
          <w:rFonts w:ascii="Arial" w:hAnsi="Arial" w:cs="Arial"/>
          <w:bCs/>
          <w:color w:val="EE0000"/>
          <w:sz w:val="24"/>
          <w:szCs w:val="24"/>
        </w:rPr>
      </w:pPr>
      <w:r w:rsidRPr="00A50A11">
        <w:rPr>
          <w:rFonts w:ascii="Arial" w:hAnsi="Arial" w:cs="Arial"/>
          <w:bCs/>
          <w:color w:val="EE0000"/>
          <w:sz w:val="24"/>
          <w:szCs w:val="24"/>
        </w:rPr>
        <w:t xml:space="preserve">Karlson, P., and A. Butenandt. (1959). </w:t>
      </w:r>
      <w:r w:rsidRPr="00A50A11">
        <w:rPr>
          <w:rFonts w:ascii="Arial" w:hAnsi="Arial" w:cs="Arial"/>
          <w:bCs/>
          <w:i/>
          <w:color w:val="EE0000"/>
          <w:sz w:val="24"/>
          <w:szCs w:val="24"/>
        </w:rPr>
        <w:t xml:space="preserve">Ann. Rev. Entomol. </w:t>
      </w:r>
      <w:r w:rsidRPr="00A50A11">
        <w:rPr>
          <w:rFonts w:ascii="Arial" w:hAnsi="Arial" w:cs="Arial"/>
          <w:b/>
          <w:bCs/>
          <w:color w:val="EE0000"/>
          <w:sz w:val="24"/>
          <w:szCs w:val="24"/>
        </w:rPr>
        <w:t>4</w:t>
      </w:r>
      <w:r w:rsidRPr="00A50A11">
        <w:rPr>
          <w:rFonts w:ascii="Arial" w:hAnsi="Arial" w:cs="Arial"/>
          <w:bCs/>
          <w:i/>
          <w:color w:val="EE0000"/>
          <w:sz w:val="24"/>
          <w:szCs w:val="24"/>
        </w:rPr>
        <w:t xml:space="preserve">: </w:t>
      </w:r>
      <w:r w:rsidRPr="00A50A11">
        <w:rPr>
          <w:rFonts w:ascii="Arial" w:hAnsi="Arial" w:cs="Arial"/>
          <w:bCs/>
          <w:color w:val="EE0000"/>
          <w:sz w:val="24"/>
          <w:szCs w:val="24"/>
        </w:rPr>
        <w:t>39.</w:t>
      </w:r>
    </w:p>
    <w:p w14:paraId="6A2AC638" w14:textId="77777777" w:rsidR="0004619A" w:rsidRPr="00A50A11" w:rsidRDefault="0004619A" w:rsidP="0004619A">
      <w:pPr>
        <w:spacing w:after="0"/>
        <w:ind w:left="630" w:right="26" w:hanging="540"/>
        <w:jc w:val="both"/>
        <w:rPr>
          <w:rFonts w:ascii="Arial" w:hAnsi="Arial" w:cs="Arial"/>
          <w:color w:val="EE0000"/>
          <w:sz w:val="24"/>
          <w:szCs w:val="24"/>
        </w:rPr>
      </w:pPr>
      <w:hyperlink r:id="rId45">
        <w:r w:rsidRPr="00A50A11">
          <w:rPr>
            <w:rFonts w:ascii="Arial" w:hAnsi="Arial" w:cs="Arial"/>
            <w:color w:val="EE0000"/>
            <w:sz w:val="24"/>
            <w:szCs w:val="24"/>
          </w:rPr>
          <w:t>Witzgall, P., Kirsch, P. and Cork, A. (2010). Sex pheromones and</w:t>
        </w:r>
      </w:hyperlink>
      <w:hyperlink r:id="rId46">
        <w:r w:rsidRPr="00A50A11">
          <w:rPr>
            <w:rFonts w:ascii="Arial" w:hAnsi="Arial" w:cs="Arial"/>
            <w:color w:val="EE0000"/>
            <w:sz w:val="24"/>
            <w:szCs w:val="24"/>
          </w:rPr>
          <w:t xml:space="preserve">their impact on pest management. </w:t>
        </w:r>
        <w:r w:rsidRPr="00A50A11">
          <w:rPr>
            <w:rFonts w:ascii="Arial" w:hAnsi="Arial" w:cs="Arial"/>
            <w:i/>
            <w:color w:val="EE0000"/>
            <w:sz w:val="24"/>
            <w:szCs w:val="24"/>
          </w:rPr>
          <w:t xml:space="preserve">J. Chem. Ecol. </w:t>
        </w:r>
        <w:r w:rsidRPr="00A50A11">
          <w:rPr>
            <w:rFonts w:ascii="Arial" w:hAnsi="Arial" w:cs="Arial"/>
            <w:b/>
            <w:color w:val="EE0000"/>
            <w:sz w:val="24"/>
            <w:szCs w:val="24"/>
          </w:rPr>
          <w:t>36</w:t>
        </w:r>
        <w:r w:rsidRPr="00A50A11">
          <w:rPr>
            <w:rFonts w:ascii="Arial" w:hAnsi="Arial" w:cs="Arial"/>
            <w:color w:val="EE0000"/>
            <w:sz w:val="24"/>
            <w:szCs w:val="24"/>
          </w:rPr>
          <w:t>:</w:t>
        </w:r>
      </w:hyperlink>
      <w:r w:rsidRPr="00A50A11">
        <w:rPr>
          <w:rFonts w:ascii="Arial" w:hAnsi="Arial" w:cs="Arial"/>
          <w:color w:val="EE0000"/>
          <w:sz w:val="24"/>
          <w:szCs w:val="24"/>
        </w:rPr>
        <w:t xml:space="preserve"> </w:t>
      </w:r>
      <w:hyperlink r:id="rId47">
        <w:r w:rsidRPr="00A50A11">
          <w:rPr>
            <w:rFonts w:ascii="Arial" w:hAnsi="Arial" w:cs="Arial"/>
            <w:color w:val="EE0000"/>
            <w:sz w:val="24"/>
            <w:szCs w:val="24"/>
          </w:rPr>
          <w:t>80–100.</w:t>
        </w:r>
      </w:hyperlink>
    </w:p>
    <w:p w14:paraId="2510A1BA" w14:textId="77777777" w:rsidR="0054546F" w:rsidRPr="00F921E5" w:rsidRDefault="0054546F" w:rsidP="0054546F">
      <w:pPr>
        <w:spacing w:after="0"/>
        <w:ind w:left="709" w:right="-9" w:hanging="993"/>
        <w:jc w:val="both"/>
        <w:rPr>
          <w:rFonts w:ascii="Arial" w:hAnsi="Arial" w:cs="Arial"/>
        </w:rPr>
      </w:pPr>
    </w:p>
    <w:p w14:paraId="11C98F0F" w14:textId="77777777" w:rsidR="00B74D44" w:rsidRDefault="00B74D44" w:rsidP="004C4D80">
      <w:pPr>
        <w:ind w:left="709" w:hanging="993"/>
        <w:jc w:val="both"/>
        <w:rPr>
          <w:rFonts w:ascii="Arial" w:hAnsi="Arial" w:cs="Arial"/>
        </w:rPr>
      </w:pPr>
    </w:p>
    <w:p w14:paraId="200233E4" w14:textId="77777777" w:rsidR="00B74D44" w:rsidRDefault="00B74D44" w:rsidP="004C4D80">
      <w:pPr>
        <w:ind w:left="709" w:hanging="993"/>
        <w:jc w:val="both"/>
        <w:rPr>
          <w:rFonts w:ascii="Arial" w:hAnsi="Arial" w:cs="Arial"/>
        </w:rPr>
      </w:pPr>
    </w:p>
    <w:p w14:paraId="40349ED5" w14:textId="77777777" w:rsidR="00B74D44" w:rsidRDefault="00B74D44" w:rsidP="004C4D80">
      <w:pPr>
        <w:ind w:left="709" w:hanging="993"/>
        <w:jc w:val="both"/>
        <w:rPr>
          <w:rFonts w:ascii="Arial" w:hAnsi="Arial" w:cs="Arial"/>
        </w:rPr>
      </w:pPr>
    </w:p>
    <w:p w14:paraId="00F5CCE9" w14:textId="77777777" w:rsidR="00B74D44" w:rsidRDefault="00B74D44" w:rsidP="00B74D44">
      <w:pPr>
        <w:rPr>
          <w:rFonts w:ascii="Arial" w:hAnsi="Arial" w:cs="Arial"/>
        </w:rPr>
        <w:sectPr w:rsidR="00B74D44" w:rsidSect="00CD4BF0">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2304" w:header="720" w:footer="720" w:gutter="0"/>
          <w:cols w:space="720"/>
          <w:docGrid w:linePitch="360"/>
        </w:sectPr>
      </w:pPr>
    </w:p>
    <w:p w14:paraId="6149A2F0" w14:textId="77777777" w:rsidR="00B74D44" w:rsidRPr="00F921E5" w:rsidRDefault="00B74D44" w:rsidP="00B74D44">
      <w:pPr>
        <w:rPr>
          <w:rFonts w:ascii="Arial" w:hAnsi="Arial" w:cs="Arial"/>
        </w:rPr>
      </w:pPr>
      <w:r w:rsidRPr="00F921E5">
        <w:rPr>
          <w:rFonts w:ascii="Arial" w:hAnsi="Arial" w:cs="Arial"/>
        </w:rPr>
        <w:lastRenderedPageBreak/>
        <w:t>Table 1. New sex pheromones and sex pheromone components recently identified from insect pests (2010–2020). (Source: Rizvi, et al., 2021)</w:t>
      </w:r>
    </w:p>
    <w:tbl>
      <w:tblPr>
        <w:tblW w:w="12858" w:type="dxa"/>
        <w:tblInd w:w="118" w:type="dxa"/>
        <w:tblLook w:val="04A0" w:firstRow="1" w:lastRow="0" w:firstColumn="1" w:lastColumn="0" w:noHBand="0" w:noVBand="1"/>
      </w:tblPr>
      <w:tblGrid>
        <w:gridCol w:w="6227"/>
        <w:gridCol w:w="4253"/>
        <w:gridCol w:w="2378"/>
      </w:tblGrid>
      <w:tr w:rsidR="00B74D44" w:rsidRPr="00B74D44" w14:paraId="062B52F2" w14:textId="77777777" w:rsidTr="00B65990">
        <w:trPr>
          <w:trHeight w:val="191"/>
        </w:trPr>
        <w:tc>
          <w:tcPr>
            <w:tcW w:w="6227" w:type="dxa"/>
            <w:tcBorders>
              <w:top w:val="single" w:sz="8" w:space="0" w:color="auto"/>
              <w:left w:val="single" w:sz="8" w:space="0" w:color="auto"/>
              <w:bottom w:val="single" w:sz="8" w:space="0" w:color="auto"/>
              <w:right w:val="single" w:sz="8" w:space="0" w:color="auto"/>
            </w:tcBorders>
            <w:noWrap/>
            <w:vAlign w:val="center"/>
            <w:hideMark/>
          </w:tcPr>
          <w:p w14:paraId="60FCCB9E"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Pheromone/Pheromone Components</w:t>
            </w:r>
          </w:p>
        </w:tc>
        <w:tc>
          <w:tcPr>
            <w:tcW w:w="4253" w:type="dxa"/>
            <w:tcBorders>
              <w:top w:val="single" w:sz="8" w:space="0" w:color="auto"/>
              <w:left w:val="nil"/>
              <w:bottom w:val="single" w:sz="8" w:space="0" w:color="auto"/>
              <w:right w:val="single" w:sz="8" w:space="0" w:color="auto"/>
            </w:tcBorders>
            <w:noWrap/>
            <w:vAlign w:val="center"/>
            <w:hideMark/>
          </w:tcPr>
          <w:p w14:paraId="5D1C64F5"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Insect</w:t>
            </w:r>
          </w:p>
        </w:tc>
        <w:tc>
          <w:tcPr>
            <w:tcW w:w="2378" w:type="dxa"/>
            <w:tcBorders>
              <w:top w:val="single" w:sz="8" w:space="0" w:color="auto"/>
              <w:left w:val="nil"/>
              <w:bottom w:val="single" w:sz="8" w:space="0" w:color="auto"/>
              <w:right w:val="single" w:sz="8" w:space="0" w:color="auto"/>
            </w:tcBorders>
            <w:noWrap/>
            <w:vAlign w:val="center"/>
            <w:hideMark/>
          </w:tcPr>
          <w:p w14:paraId="2559EECF" w14:textId="77777777" w:rsidR="00B74D44" w:rsidRPr="00885B85" w:rsidRDefault="00B74D44" w:rsidP="00B65990">
            <w:pPr>
              <w:spacing w:after="0" w:line="240" w:lineRule="auto"/>
              <w:rPr>
                <w:rFonts w:ascii="Arial" w:eastAsia="Times New Roman" w:hAnsi="Arial" w:cs="Arial"/>
                <w:b/>
                <w:bCs/>
                <w:color w:val="000000"/>
                <w:kern w:val="0"/>
                <w:sz w:val="18"/>
                <w:szCs w:val="18"/>
                <w14:ligatures w14:val="none"/>
              </w:rPr>
            </w:pPr>
            <w:r w:rsidRPr="00885B85">
              <w:rPr>
                <w:rFonts w:ascii="Arial" w:eastAsia="Times New Roman" w:hAnsi="Arial" w:cs="Arial"/>
                <w:b/>
                <w:bCs/>
                <w:color w:val="000000"/>
                <w:kern w:val="0"/>
                <w:sz w:val="18"/>
                <w:szCs w:val="18"/>
                <w14:ligatures w14:val="none"/>
              </w:rPr>
              <w:t>References</w:t>
            </w:r>
          </w:p>
        </w:tc>
      </w:tr>
      <w:tr w:rsidR="00B74D44" w:rsidRPr="00B74D44" w14:paraId="7594338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719B5E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(E)-11-hexadecenal, (E,E)-10,12-hexadecadienal</w:t>
            </w:r>
          </w:p>
        </w:tc>
        <w:tc>
          <w:tcPr>
            <w:tcW w:w="4253" w:type="dxa"/>
            <w:tcBorders>
              <w:top w:val="nil"/>
              <w:left w:val="nil"/>
              <w:bottom w:val="single" w:sz="8" w:space="0" w:color="auto"/>
              <w:right w:val="single" w:sz="8" w:space="0" w:color="auto"/>
            </w:tcBorders>
            <w:noWrap/>
            <w:vAlign w:val="center"/>
            <w:hideMark/>
          </w:tcPr>
          <w:p w14:paraId="40651EC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Diaphania glauculalis</w:t>
            </w:r>
            <w:r w:rsidRPr="00885B85">
              <w:rPr>
                <w:rFonts w:ascii="Arial" w:eastAsia="Times New Roman" w:hAnsi="Arial" w:cs="Arial"/>
                <w:color w:val="000000"/>
                <w:kern w:val="0"/>
                <w:sz w:val="18"/>
                <w:szCs w:val="18"/>
                <w14:ligatures w14:val="none"/>
              </w:rPr>
              <w:t xml:space="preserve"> (Lepidoptera: Crambidae)</w:t>
            </w:r>
          </w:p>
        </w:tc>
        <w:tc>
          <w:tcPr>
            <w:tcW w:w="2378" w:type="dxa"/>
            <w:tcBorders>
              <w:top w:val="nil"/>
              <w:left w:val="nil"/>
              <w:bottom w:val="single" w:sz="8" w:space="0" w:color="auto"/>
              <w:right w:val="single" w:sz="8" w:space="0" w:color="auto"/>
            </w:tcBorders>
            <w:noWrap/>
            <w:vAlign w:val="center"/>
            <w:hideMark/>
          </w:tcPr>
          <w:p w14:paraId="025AEF1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Ma et al. [15]</w:t>
            </w:r>
          </w:p>
        </w:tc>
      </w:tr>
      <w:tr w:rsidR="00B74D44" w:rsidRPr="00B74D44" w14:paraId="2813F3B3"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189B5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(E)-10-hexadecenal, (Z)-10-hexadecenal, (E)-10-hexadecenol, (E,E)-10,12-hexadecadienal, (Z,Z,Z)-3,6,9-tricosatriene</w:t>
            </w:r>
          </w:p>
        </w:tc>
        <w:tc>
          <w:tcPr>
            <w:tcW w:w="4253" w:type="dxa"/>
            <w:tcBorders>
              <w:top w:val="nil"/>
              <w:left w:val="nil"/>
              <w:bottom w:val="single" w:sz="8" w:space="0" w:color="auto"/>
              <w:right w:val="single" w:sz="8" w:space="0" w:color="auto"/>
            </w:tcBorders>
            <w:noWrap/>
            <w:vAlign w:val="center"/>
            <w:hideMark/>
          </w:tcPr>
          <w:p w14:paraId="2B1388F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Conogethes pluto</w:t>
            </w:r>
            <w:r w:rsidRPr="00885B85">
              <w:rPr>
                <w:rFonts w:ascii="Arial" w:eastAsia="Times New Roman" w:hAnsi="Arial" w:cs="Arial"/>
                <w:color w:val="000000"/>
                <w:kern w:val="0"/>
                <w:sz w:val="18"/>
                <w:szCs w:val="18"/>
                <w14:ligatures w14:val="none"/>
              </w:rPr>
              <w:t xml:space="preserve"> (Lepidoptera: Crambidae)</w:t>
            </w:r>
          </w:p>
        </w:tc>
        <w:tc>
          <w:tcPr>
            <w:tcW w:w="2378" w:type="dxa"/>
            <w:tcBorders>
              <w:top w:val="nil"/>
              <w:left w:val="nil"/>
              <w:bottom w:val="single" w:sz="8" w:space="0" w:color="auto"/>
              <w:right w:val="single" w:sz="8" w:space="0" w:color="auto"/>
            </w:tcBorders>
            <w:noWrap/>
            <w:vAlign w:val="center"/>
            <w:hideMark/>
          </w:tcPr>
          <w:p w14:paraId="277AAB8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[16]</w:t>
            </w:r>
          </w:p>
        </w:tc>
      </w:tr>
      <w:tr w:rsidR="00B74D44" w:rsidRPr="00B74D44" w14:paraId="778B48D5"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2078EBB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(Z)-11-hexadecenyl acetate, (Z)-11-hexadecenal, (Z)-11-hexadecenol</w:t>
            </w:r>
          </w:p>
        </w:tc>
        <w:tc>
          <w:tcPr>
            <w:tcW w:w="4253" w:type="dxa"/>
            <w:tcBorders>
              <w:top w:val="nil"/>
              <w:left w:val="nil"/>
              <w:bottom w:val="single" w:sz="8" w:space="0" w:color="auto"/>
              <w:right w:val="single" w:sz="8" w:space="0" w:color="auto"/>
            </w:tcBorders>
            <w:noWrap/>
            <w:vAlign w:val="center"/>
            <w:hideMark/>
          </w:tcPr>
          <w:p w14:paraId="59F70B6A"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Trichophysetis cretacea</w:t>
            </w:r>
            <w:r w:rsidRPr="00885B85">
              <w:rPr>
                <w:rFonts w:ascii="Arial" w:eastAsia="Times New Roman" w:hAnsi="Arial" w:cs="Arial"/>
                <w:color w:val="000000"/>
                <w:kern w:val="0"/>
                <w:sz w:val="18"/>
                <w:szCs w:val="18"/>
                <w14:ligatures w14:val="none"/>
              </w:rPr>
              <w:t xml:space="preserve"> (Lepidoptera: Crambidae)</w:t>
            </w:r>
          </w:p>
        </w:tc>
        <w:tc>
          <w:tcPr>
            <w:tcW w:w="2378" w:type="dxa"/>
            <w:tcBorders>
              <w:top w:val="nil"/>
              <w:left w:val="nil"/>
              <w:bottom w:val="single" w:sz="8" w:space="0" w:color="auto"/>
              <w:right w:val="single" w:sz="8" w:space="0" w:color="auto"/>
            </w:tcBorders>
            <w:noWrap/>
            <w:vAlign w:val="center"/>
            <w:hideMark/>
          </w:tcPr>
          <w:p w14:paraId="757DD61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Pong et al. [17]</w:t>
            </w:r>
          </w:p>
        </w:tc>
      </w:tr>
      <w:tr w:rsidR="00B74D44" w:rsidRPr="00B74D44" w14:paraId="5003CA1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57605CC"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(4aS,7S,7aR)-nepetalactone, (1R,4aS,7S,7aR)-nepetalactol</w:t>
            </w:r>
          </w:p>
        </w:tc>
        <w:tc>
          <w:tcPr>
            <w:tcW w:w="4253" w:type="dxa"/>
            <w:tcBorders>
              <w:top w:val="nil"/>
              <w:left w:val="nil"/>
              <w:bottom w:val="single" w:sz="8" w:space="0" w:color="auto"/>
              <w:right w:val="single" w:sz="8" w:space="0" w:color="auto"/>
            </w:tcBorders>
            <w:noWrap/>
            <w:vAlign w:val="center"/>
            <w:hideMark/>
          </w:tcPr>
          <w:p w14:paraId="0BC924AD"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Hyalopterus pruni</w:t>
            </w:r>
            <w:r w:rsidRPr="00885B85">
              <w:rPr>
                <w:rFonts w:ascii="Arial" w:eastAsia="Times New Roman" w:hAnsi="Arial" w:cs="Arial"/>
                <w:color w:val="000000"/>
                <w:kern w:val="0"/>
                <w:sz w:val="18"/>
                <w:szCs w:val="18"/>
                <w14:ligatures w14:val="none"/>
              </w:rPr>
              <w:t xml:space="preserve">, </w:t>
            </w:r>
            <w:r w:rsidRPr="00885B85">
              <w:rPr>
                <w:rFonts w:ascii="Arial" w:eastAsia="Times New Roman" w:hAnsi="Arial" w:cs="Arial"/>
                <w:i/>
                <w:iCs/>
                <w:color w:val="000000"/>
                <w:kern w:val="0"/>
                <w:sz w:val="18"/>
                <w:szCs w:val="18"/>
                <w14:ligatures w14:val="none"/>
              </w:rPr>
              <w:t>Brachycaudus helichrysi</w:t>
            </w:r>
            <w:r w:rsidRPr="00885B85">
              <w:rPr>
                <w:rFonts w:ascii="Arial" w:eastAsia="Times New Roman" w:hAnsi="Arial" w:cs="Arial"/>
                <w:color w:val="000000"/>
                <w:kern w:val="0"/>
                <w:sz w:val="18"/>
                <w:szCs w:val="18"/>
                <w14:ligatures w14:val="none"/>
              </w:rPr>
              <w:t xml:space="preserve"> (Hemiptera: Aphididae)</w:t>
            </w:r>
          </w:p>
        </w:tc>
        <w:tc>
          <w:tcPr>
            <w:tcW w:w="2378" w:type="dxa"/>
            <w:tcBorders>
              <w:top w:val="nil"/>
              <w:left w:val="nil"/>
              <w:bottom w:val="single" w:sz="8" w:space="0" w:color="auto"/>
              <w:right w:val="single" w:sz="8" w:space="0" w:color="auto"/>
            </w:tcBorders>
            <w:noWrap/>
            <w:vAlign w:val="center"/>
            <w:hideMark/>
          </w:tcPr>
          <w:p w14:paraId="3E90B1DA"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Symmes et al. [18]</w:t>
            </w:r>
          </w:p>
        </w:tc>
      </w:tr>
      <w:tr w:rsidR="00B74D44" w:rsidRPr="00B74D44" w14:paraId="5BFB39E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C6CC2A7"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(E,Z)-3,13-octadecadienyl acetate, (Z,Z)-3,13-octadecadienyl acetate</w:t>
            </w:r>
          </w:p>
        </w:tc>
        <w:tc>
          <w:tcPr>
            <w:tcW w:w="4253" w:type="dxa"/>
            <w:tcBorders>
              <w:top w:val="nil"/>
              <w:left w:val="nil"/>
              <w:bottom w:val="single" w:sz="8" w:space="0" w:color="auto"/>
              <w:right w:val="single" w:sz="8" w:space="0" w:color="auto"/>
            </w:tcBorders>
            <w:noWrap/>
            <w:vAlign w:val="center"/>
            <w:hideMark/>
          </w:tcPr>
          <w:p w14:paraId="3374428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Synanthedon vespiformis</w:t>
            </w:r>
            <w:r w:rsidRPr="00885B85">
              <w:rPr>
                <w:rFonts w:ascii="Arial" w:eastAsia="Times New Roman" w:hAnsi="Arial" w:cs="Arial"/>
                <w:color w:val="000000"/>
                <w:kern w:val="0"/>
                <w:sz w:val="18"/>
                <w:szCs w:val="18"/>
                <w14:ligatures w14:val="none"/>
              </w:rPr>
              <w:t xml:space="preserve"> (Lepidoptera: Sesiidae)</w:t>
            </w:r>
          </w:p>
        </w:tc>
        <w:tc>
          <w:tcPr>
            <w:tcW w:w="2378" w:type="dxa"/>
            <w:tcBorders>
              <w:top w:val="nil"/>
              <w:left w:val="nil"/>
              <w:bottom w:val="single" w:sz="8" w:space="0" w:color="auto"/>
              <w:right w:val="single" w:sz="8" w:space="0" w:color="auto"/>
            </w:tcBorders>
            <w:noWrap/>
            <w:vAlign w:val="center"/>
            <w:hideMark/>
          </w:tcPr>
          <w:p w14:paraId="0E29284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Levi-Zada et al. [19]</w:t>
            </w:r>
          </w:p>
        </w:tc>
      </w:tr>
      <w:tr w:rsidR="00B74D44" w:rsidRPr="00B74D44" w14:paraId="7F534DA9"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EA4F4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(E)-11-tetradecenyl acetate, (E,E)-9,11-tetradecadienyl acetate, (E)-11-tetradecenol, (E)-11-hexadecenyl acetate</w:t>
            </w:r>
          </w:p>
        </w:tc>
        <w:tc>
          <w:tcPr>
            <w:tcW w:w="4253" w:type="dxa"/>
            <w:tcBorders>
              <w:top w:val="nil"/>
              <w:left w:val="nil"/>
              <w:bottom w:val="single" w:sz="8" w:space="0" w:color="auto"/>
              <w:right w:val="single" w:sz="8" w:space="0" w:color="auto"/>
            </w:tcBorders>
            <w:noWrap/>
            <w:vAlign w:val="center"/>
            <w:hideMark/>
          </w:tcPr>
          <w:p w14:paraId="6AEF4AC0"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Epiphyas postvittana</w:t>
            </w:r>
            <w:r w:rsidRPr="00885B85">
              <w:rPr>
                <w:rFonts w:ascii="Arial" w:eastAsia="Times New Roman" w:hAnsi="Arial" w:cs="Arial"/>
                <w:color w:val="000000"/>
                <w:kern w:val="0"/>
                <w:sz w:val="18"/>
                <w:szCs w:val="18"/>
                <w14:ligatures w14:val="none"/>
              </w:rPr>
              <w:t xml:space="preserve"> (Lepidoptera: Tortricidae)</w:t>
            </w:r>
          </w:p>
        </w:tc>
        <w:tc>
          <w:tcPr>
            <w:tcW w:w="2378" w:type="dxa"/>
            <w:tcBorders>
              <w:top w:val="nil"/>
              <w:left w:val="nil"/>
              <w:bottom w:val="single" w:sz="8" w:space="0" w:color="auto"/>
              <w:right w:val="single" w:sz="8" w:space="0" w:color="auto"/>
            </w:tcBorders>
            <w:noWrap/>
            <w:vAlign w:val="center"/>
            <w:hideMark/>
          </w:tcPr>
          <w:p w14:paraId="7913954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 Sayed et al. [20]</w:t>
            </w:r>
          </w:p>
        </w:tc>
      </w:tr>
      <w:tr w:rsidR="00B74D44" w:rsidRPr="00B74D44" w14:paraId="131AF707"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9D7507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(Z,E)-9,12-tetradecadienyl acetate, (Z)-9-tetradecenyl acetate, (Z)-11-hexadecenyl acetate, (Z,E)-9,12-tetradecadienol, (Z)-9-tetradecenol, (Z)-11-hexadecenol</w:t>
            </w:r>
          </w:p>
        </w:tc>
        <w:tc>
          <w:tcPr>
            <w:tcW w:w="4253" w:type="dxa"/>
            <w:tcBorders>
              <w:top w:val="nil"/>
              <w:left w:val="nil"/>
              <w:bottom w:val="single" w:sz="8" w:space="0" w:color="auto"/>
              <w:right w:val="single" w:sz="8" w:space="0" w:color="auto"/>
            </w:tcBorders>
            <w:noWrap/>
            <w:vAlign w:val="center"/>
            <w:hideMark/>
          </w:tcPr>
          <w:p w14:paraId="1437D49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Spodoptera exigua</w:t>
            </w:r>
            <w:r w:rsidRPr="00885B85">
              <w:rPr>
                <w:rFonts w:ascii="Arial" w:eastAsia="Times New Roman" w:hAnsi="Arial" w:cs="Arial"/>
                <w:color w:val="000000"/>
                <w:kern w:val="0"/>
                <w:sz w:val="18"/>
                <w:szCs w:val="18"/>
                <w14:ligatures w14:val="none"/>
              </w:rPr>
              <w:t xml:space="preserve"> (Lepidoptera: Noctuidae)</w:t>
            </w:r>
          </w:p>
        </w:tc>
        <w:tc>
          <w:tcPr>
            <w:tcW w:w="2378" w:type="dxa"/>
            <w:tcBorders>
              <w:top w:val="nil"/>
              <w:left w:val="nil"/>
              <w:bottom w:val="single" w:sz="8" w:space="0" w:color="auto"/>
              <w:right w:val="single" w:sz="8" w:space="0" w:color="auto"/>
            </w:tcBorders>
            <w:noWrap/>
            <w:vAlign w:val="center"/>
            <w:hideMark/>
          </w:tcPr>
          <w:p w14:paraId="3CE4083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Acín et al. [21]</w:t>
            </w:r>
          </w:p>
        </w:tc>
      </w:tr>
      <w:tr w:rsidR="00B74D44" w:rsidRPr="00B74D44" w14:paraId="11008D1E"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C83760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(Z,Z)-3,13-dodecadienolide</w:t>
            </w:r>
          </w:p>
        </w:tc>
        <w:tc>
          <w:tcPr>
            <w:tcW w:w="4253" w:type="dxa"/>
            <w:tcBorders>
              <w:top w:val="nil"/>
              <w:left w:val="nil"/>
              <w:bottom w:val="single" w:sz="8" w:space="0" w:color="auto"/>
              <w:right w:val="single" w:sz="8" w:space="0" w:color="auto"/>
            </w:tcBorders>
            <w:noWrap/>
            <w:vAlign w:val="center"/>
            <w:hideMark/>
          </w:tcPr>
          <w:p w14:paraId="2A52A92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Parcoblatta lata</w:t>
            </w:r>
            <w:r w:rsidRPr="00885B85">
              <w:rPr>
                <w:rFonts w:ascii="Arial" w:eastAsia="Times New Roman" w:hAnsi="Arial" w:cs="Arial"/>
                <w:color w:val="000000"/>
                <w:kern w:val="0"/>
                <w:sz w:val="18"/>
                <w:szCs w:val="18"/>
                <w14:ligatures w14:val="none"/>
              </w:rPr>
              <w:t xml:space="preserve"> (broad wood cockroach)</w:t>
            </w:r>
          </w:p>
        </w:tc>
        <w:tc>
          <w:tcPr>
            <w:tcW w:w="2378" w:type="dxa"/>
            <w:tcBorders>
              <w:top w:val="nil"/>
              <w:left w:val="nil"/>
              <w:bottom w:val="single" w:sz="8" w:space="0" w:color="auto"/>
              <w:right w:val="single" w:sz="8" w:space="0" w:color="auto"/>
            </w:tcBorders>
            <w:noWrap/>
            <w:vAlign w:val="center"/>
            <w:hideMark/>
          </w:tcPr>
          <w:p w14:paraId="40301E2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Eliyahu et al. [22]</w:t>
            </w:r>
          </w:p>
        </w:tc>
      </w:tr>
      <w:tr w:rsidR="00B74D44" w:rsidRPr="00B74D44" w14:paraId="1E158E1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5D32630E"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(R,R)-(Z)-3,7,11,15-tetramethyl hexadec-2-enal, (R,R)-(E)-3,7,11,15-tetramethyl hexadec-2-enal</w:t>
            </w:r>
          </w:p>
        </w:tc>
        <w:tc>
          <w:tcPr>
            <w:tcW w:w="4253" w:type="dxa"/>
            <w:tcBorders>
              <w:top w:val="nil"/>
              <w:left w:val="nil"/>
              <w:bottom w:val="single" w:sz="8" w:space="0" w:color="auto"/>
              <w:right w:val="single" w:sz="8" w:space="0" w:color="auto"/>
            </w:tcBorders>
            <w:noWrap/>
            <w:vAlign w:val="center"/>
            <w:hideMark/>
          </w:tcPr>
          <w:p w14:paraId="710F01E6"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Dociostaurus maroccanus</w:t>
            </w:r>
            <w:r w:rsidRPr="00885B85">
              <w:rPr>
                <w:rFonts w:ascii="Arial" w:eastAsia="Times New Roman" w:hAnsi="Arial" w:cs="Arial"/>
                <w:color w:val="000000"/>
                <w:kern w:val="0"/>
                <w:sz w:val="18"/>
                <w:szCs w:val="18"/>
                <w14:ligatures w14:val="none"/>
              </w:rPr>
              <w:t xml:space="preserve"> (Moroccan locust)</w:t>
            </w:r>
          </w:p>
        </w:tc>
        <w:tc>
          <w:tcPr>
            <w:tcW w:w="2378" w:type="dxa"/>
            <w:tcBorders>
              <w:top w:val="nil"/>
              <w:left w:val="nil"/>
              <w:bottom w:val="single" w:sz="8" w:space="0" w:color="auto"/>
              <w:right w:val="single" w:sz="8" w:space="0" w:color="auto"/>
            </w:tcBorders>
            <w:noWrap/>
            <w:vAlign w:val="center"/>
            <w:hideMark/>
          </w:tcPr>
          <w:p w14:paraId="67C8D16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Guerrero et al. [23]</w:t>
            </w:r>
          </w:p>
        </w:tc>
      </w:tr>
      <w:tr w:rsidR="00B74D44" w:rsidRPr="00B74D44" w14:paraId="1FAB508F"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BF9F5D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(4,5,5)-(trimethyl-3-methylenecyclopent-1-en-1-yl)methyl acetate</w:t>
            </w:r>
          </w:p>
        </w:tc>
        <w:tc>
          <w:tcPr>
            <w:tcW w:w="4253" w:type="dxa"/>
            <w:tcBorders>
              <w:top w:val="nil"/>
              <w:left w:val="nil"/>
              <w:bottom w:val="single" w:sz="8" w:space="0" w:color="auto"/>
              <w:right w:val="single" w:sz="8" w:space="0" w:color="auto"/>
            </w:tcBorders>
            <w:noWrap/>
            <w:vAlign w:val="center"/>
            <w:hideMark/>
          </w:tcPr>
          <w:p w14:paraId="7F59AE0B"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Delottococcus aberiae</w:t>
            </w:r>
            <w:r w:rsidRPr="00885B85">
              <w:rPr>
                <w:rFonts w:ascii="Arial" w:eastAsia="Times New Roman" w:hAnsi="Arial" w:cs="Arial"/>
                <w:color w:val="000000"/>
                <w:kern w:val="0"/>
                <w:sz w:val="18"/>
                <w:szCs w:val="18"/>
                <w14:ligatures w14:val="none"/>
              </w:rPr>
              <w:t xml:space="preserve"> (Hemiptera: Pseudococcidae)</w:t>
            </w:r>
          </w:p>
        </w:tc>
        <w:tc>
          <w:tcPr>
            <w:tcW w:w="2378" w:type="dxa"/>
            <w:tcBorders>
              <w:top w:val="nil"/>
              <w:left w:val="nil"/>
              <w:bottom w:val="single" w:sz="8" w:space="0" w:color="auto"/>
              <w:right w:val="single" w:sz="8" w:space="0" w:color="auto"/>
            </w:tcBorders>
            <w:noWrap/>
            <w:vAlign w:val="center"/>
            <w:hideMark/>
          </w:tcPr>
          <w:p w14:paraId="2E76D3E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Vacas et al. [24]</w:t>
            </w:r>
          </w:p>
        </w:tc>
      </w:tr>
      <w:tr w:rsidR="00B74D44" w:rsidRPr="00B74D44" w14:paraId="646E419A"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A3E2E0F"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(Z)-9-tetradecenyl acetate, (Z)-9-tetradecenol, tetradecyl acetate</w:t>
            </w:r>
          </w:p>
        </w:tc>
        <w:tc>
          <w:tcPr>
            <w:tcW w:w="4253" w:type="dxa"/>
            <w:tcBorders>
              <w:top w:val="nil"/>
              <w:left w:val="nil"/>
              <w:bottom w:val="single" w:sz="8" w:space="0" w:color="auto"/>
              <w:right w:val="single" w:sz="8" w:space="0" w:color="auto"/>
            </w:tcBorders>
            <w:noWrap/>
            <w:vAlign w:val="center"/>
            <w:hideMark/>
          </w:tcPr>
          <w:p w14:paraId="0E799A18"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Coryphodema tristis</w:t>
            </w:r>
            <w:r w:rsidRPr="00885B85">
              <w:rPr>
                <w:rFonts w:ascii="Arial" w:eastAsia="Times New Roman" w:hAnsi="Arial" w:cs="Arial"/>
                <w:color w:val="000000"/>
                <w:kern w:val="0"/>
                <w:sz w:val="18"/>
                <w:szCs w:val="18"/>
                <w14:ligatures w14:val="none"/>
              </w:rPr>
              <w:t xml:space="preserve"> (Lepidoptera: Cossidae)</w:t>
            </w:r>
          </w:p>
        </w:tc>
        <w:tc>
          <w:tcPr>
            <w:tcW w:w="2378" w:type="dxa"/>
            <w:tcBorders>
              <w:top w:val="nil"/>
              <w:left w:val="nil"/>
              <w:bottom w:val="single" w:sz="8" w:space="0" w:color="auto"/>
              <w:right w:val="single" w:sz="8" w:space="0" w:color="auto"/>
            </w:tcBorders>
            <w:noWrap/>
            <w:vAlign w:val="center"/>
            <w:hideMark/>
          </w:tcPr>
          <w:p w14:paraId="6A193760"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Bouwer et al. [25]</w:t>
            </w:r>
          </w:p>
        </w:tc>
      </w:tr>
      <w:tr w:rsidR="00B74D44" w:rsidRPr="00B74D44" w14:paraId="5C0C58A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74D7A81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(−)-δ-heptalactone</w:t>
            </w:r>
          </w:p>
        </w:tc>
        <w:tc>
          <w:tcPr>
            <w:tcW w:w="4253" w:type="dxa"/>
            <w:tcBorders>
              <w:top w:val="nil"/>
              <w:left w:val="nil"/>
              <w:bottom w:val="single" w:sz="8" w:space="0" w:color="auto"/>
              <w:right w:val="single" w:sz="8" w:space="0" w:color="auto"/>
            </w:tcBorders>
            <w:noWrap/>
            <w:vAlign w:val="center"/>
            <w:hideMark/>
          </w:tcPr>
          <w:p w14:paraId="1058002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Rhagoletis batava</w:t>
            </w:r>
            <w:r w:rsidRPr="00885B85">
              <w:rPr>
                <w:rFonts w:ascii="Arial" w:eastAsia="Times New Roman" w:hAnsi="Arial" w:cs="Arial"/>
                <w:color w:val="000000"/>
                <w:kern w:val="0"/>
                <w:sz w:val="18"/>
                <w:szCs w:val="18"/>
                <w14:ligatures w14:val="none"/>
              </w:rPr>
              <w:t xml:space="preserve"> (Diptera: Tephritidae)</w:t>
            </w:r>
          </w:p>
        </w:tc>
        <w:tc>
          <w:tcPr>
            <w:tcW w:w="2378" w:type="dxa"/>
            <w:tcBorders>
              <w:top w:val="nil"/>
              <w:left w:val="nil"/>
              <w:bottom w:val="single" w:sz="8" w:space="0" w:color="auto"/>
              <w:right w:val="single" w:sz="8" w:space="0" w:color="auto"/>
            </w:tcBorders>
            <w:noWrap/>
            <w:vAlign w:val="center"/>
            <w:hideMark/>
          </w:tcPr>
          <w:p w14:paraId="1B09A50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Büda et al. [26]</w:t>
            </w:r>
          </w:p>
        </w:tc>
      </w:tr>
      <w:tr w:rsidR="00B74D44" w:rsidRPr="00B74D44" w14:paraId="7649F6BB"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60B2D6F6"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(E,E,Z,Z)-4,6,11,13-hexadecatetraenal</w:t>
            </w:r>
          </w:p>
        </w:tc>
        <w:tc>
          <w:tcPr>
            <w:tcW w:w="4253" w:type="dxa"/>
            <w:tcBorders>
              <w:top w:val="nil"/>
              <w:left w:val="nil"/>
              <w:bottom w:val="single" w:sz="8" w:space="0" w:color="auto"/>
              <w:right w:val="single" w:sz="8" w:space="0" w:color="auto"/>
            </w:tcBorders>
            <w:noWrap/>
            <w:vAlign w:val="center"/>
            <w:hideMark/>
          </w:tcPr>
          <w:p w14:paraId="47ED8D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Callosamia promethea</w:t>
            </w:r>
            <w:r w:rsidRPr="00885B85">
              <w:rPr>
                <w:rFonts w:ascii="Arial" w:eastAsia="Times New Roman" w:hAnsi="Arial" w:cs="Arial"/>
                <w:color w:val="000000"/>
                <w:kern w:val="0"/>
                <w:sz w:val="18"/>
                <w:szCs w:val="18"/>
                <w14:ligatures w14:val="none"/>
              </w:rPr>
              <w:t xml:space="preserve"> (Lepidoptera: Saturniidae)</w:t>
            </w:r>
          </w:p>
        </w:tc>
        <w:tc>
          <w:tcPr>
            <w:tcW w:w="2378" w:type="dxa"/>
            <w:tcBorders>
              <w:top w:val="nil"/>
              <w:left w:val="nil"/>
              <w:bottom w:val="single" w:sz="8" w:space="0" w:color="auto"/>
              <w:right w:val="single" w:sz="8" w:space="0" w:color="auto"/>
            </w:tcBorders>
            <w:noWrap/>
            <w:vAlign w:val="center"/>
            <w:hideMark/>
          </w:tcPr>
          <w:p w14:paraId="7F6239A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Gago et al. [27]</w:t>
            </w:r>
          </w:p>
        </w:tc>
      </w:tr>
      <w:tr w:rsidR="00B74D44" w:rsidRPr="00B74D44" w14:paraId="678F66D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E8B5FF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(−)-iridomyrmecin</w:t>
            </w:r>
          </w:p>
        </w:tc>
        <w:tc>
          <w:tcPr>
            <w:tcW w:w="4253" w:type="dxa"/>
            <w:tcBorders>
              <w:top w:val="nil"/>
              <w:left w:val="nil"/>
              <w:bottom w:val="single" w:sz="8" w:space="0" w:color="auto"/>
              <w:right w:val="single" w:sz="8" w:space="0" w:color="auto"/>
            </w:tcBorders>
            <w:noWrap/>
            <w:vAlign w:val="center"/>
            <w:hideMark/>
          </w:tcPr>
          <w:p w14:paraId="13EC6BB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Leptopilina heterotoma</w:t>
            </w:r>
            <w:r w:rsidRPr="00885B85">
              <w:rPr>
                <w:rFonts w:ascii="Arial" w:eastAsia="Times New Roman" w:hAnsi="Arial" w:cs="Arial"/>
                <w:color w:val="000000"/>
                <w:kern w:val="0"/>
                <w:sz w:val="18"/>
                <w:szCs w:val="18"/>
                <w14:ligatures w14:val="none"/>
              </w:rPr>
              <w:t xml:space="preserve"> (Hymenoptera: Figitidae)</w:t>
            </w:r>
          </w:p>
        </w:tc>
        <w:tc>
          <w:tcPr>
            <w:tcW w:w="2378" w:type="dxa"/>
            <w:tcBorders>
              <w:top w:val="nil"/>
              <w:left w:val="nil"/>
              <w:bottom w:val="single" w:sz="8" w:space="0" w:color="auto"/>
              <w:right w:val="single" w:sz="8" w:space="0" w:color="auto"/>
            </w:tcBorders>
            <w:noWrap/>
            <w:vAlign w:val="center"/>
            <w:hideMark/>
          </w:tcPr>
          <w:p w14:paraId="6FECB958"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Weiss et al. [28]</w:t>
            </w:r>
          </w:p>
        </w:tc>
      </w:tr>
      <w:tr w:rsidR="00B74D44" w:rsidRPr="00B74D44" w14:paraId="4EB96DF1"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036857E4"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(Z,E)-5,7-dodecadienyl acetate, (Z,E)-5,7-dodecadienol, (Z,E)-5,7-dodecadienyl propionate</w:t>
            </w:r>
          </w:p>
        </w:tc>
        <w:tc>
          <w:tcPr>
            <w:tcW w:w="4253" w:type="dxa"/>
            <w:tcBorders>
              <w:top w:val="nil"/>
              <w:left w:val="nil"/>
              <w:bottom w:val="single" w:sz="8" w:space="0" w:color="auto"/>
              <w:right w:val="single" w:sz="8" w:space="0" w:color="auto"/>
            </w:tcBorders>
            <w:noWrap/>
            <w:vAlign w:val="center"/>
            <w:hideMark/>
          </w:tcPr>
          <w:p w14:paraId="550071E3"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Dendrolimus tabulaeformis</w:t>
            </w:r>
            <w:r w:rsidRPr="00885B85">
              <w:rPr>
                <w:rFonts w:ascii="Arial" w:eastAsia="Times New Roman" w:hAnsi="Arial" w:cs="Arial"/>
                <w:color w:val="000000"/>
                <w:kern w:val="0"/>
                <w:sz w:val="18"/>
                <w:szCs w:val="18"/>
                <w14:ligatures w14:val="none"/>
              </w:rPr>
              <w:t xml:space="preserve"> (Lepidoptera: Lasiocampidae)</w:t>
            </w:r>
          </w:p>
        </w:tc>
        <w:tc>
          <w:tcPr>
            <w:tcW w:w="2378" w:type="dxa"/>
            <w:tcBorders>
              <w:top w:val="nil"/>
              <w:left w:val="nil"/>
              <w:bottom w:val="single" w:sz="8" w:space="0" w:color="auto"/>
              <w:right w:val="single" w:sz="8" w:space="0" w:color="auto"/>
            </w:tcBorders>
            <w:noWrap/>
            <w:vAlign w:val="center"/>
            <w:hideMark/>
          </w:tcPr>
          <w:p w14:paraId="0D1DE3D1"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Kong et al. [29]</w:t>
            </w:r>
          </w:p>
        </w:tc>
      </w:tr>
      <w:tr w:rsidR="00B74D44" w:rsidRPr="00B74D44" w14:paraId="6FEDF192"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3ABB860D"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(E)-7,9-decadienol, (E)-8-decenol</w:t>
            </w:r>
          </w:p>
        </w:tc>
        <w:tc>
          <w:tcPr>
            <w:tcW w:w="4253" w:type="dxa"/>
            <w:tcBorders>
              <w:top w:val="nil"/>
              <w:left w:val="nil"/>
              <w:bottom w:val="single" w:sz="8" w:space="0" w:color="auto"/>
              <w:right w:val="single" w:sz="8" w:space="0" w:color="auto"/>
            </w:tcBorders>
            <w:noWrap/>
            <w:vAlign w:val="center"/>
            <w:hideMark/>
          </w:tcPr>
          <w:p w14:paraId="47126FD9"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Monema flavescens</w:t>
            </w:r>
            <w:r w:rsidRPr="00885B85">
              <w:rPr>
                <w:rFonts w:ascii="Arial" w:eastAsia="Times New Roman" w:hAnsi="Arial" w:cs="Arial"/>
                <w:color w:val="000000"/>
                <w:kern w:val="0"/>
                <w:sz w:val="18"/>
                <w:szCs w:val="18"/>
                <w14:ligatures w14:val="none"/>
              </w:rPr>
              <w:t xml:space="preserve"> (Lepidoptera: Limacodidae)</w:t>
            </w:r>
          </w:p>
        </w:tc>
        <w:tc>
          <w:tcPr>
            <w:tcW w:w="2378" w:type="dxa"/>
            <w:tcBorders>
              <w:top w:val="nil"/>
              <w:left w:val="nil"/>
              <w:bottom w:val="single" w:sz="8" w:space="0" w:color="auto"/>
              <w:right w:val="single" w:sz="8" w:space="0" w:color="auto"/>
            </w:tcBorders>
            <w:noWrap/>
            <w:vAlign w:val="center"/>
            <w:hideMark/>
          </w:tcPr>
          <w:p w14:paraId="2959AA7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Shibasaki et al. [30]</w:t>
            </w:r>
          </w:p>
        </w:tc>
      </w:tr>
      <w:tr w:rsidR="00B74D44" w:rsidRPr="00B74D44" w14:paraId="3AB5141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16595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(1S,4R,1′S)-4-(1′,5′-dimethylhex-4′-enyl)-1-methylcyclohex-2-en-1-ol</w:t>
            </w:r>
          </w:p>
        </w:tc>
        <w:tc>
          <w:tcPr>
            <w:tcW w:w="4253" w:type="dxa"/>
            <w:tcBorders>
              <w:top w:val="nil"/>
              <w:left w:val="nil"/>
              <w:bottom w:val="single" w:sz="8" w:space="0" w:color="auto"/>
              <w:right w:val="single" w:sz="8" w:space="0" w:color="auto"/>
            </w:tcBorders>
            <w:noWrap/>
            <w:vAlign w:val="center"/>
            <w:hideMark/>
          </w:tcPr>
          <w:p w14:paraId="7BE20091"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Oebalus poecilus</w:t>
            </w:r>
            <w:r w:rsidRPr="00885B85">
              <w:rPr>
                <w:rFonts w:ascii="Arial" w:eastAsia="Times New Roman" w:hAnsi="Arial" w:cs="Arial"/>
                <w:color w:val="000000"/>
                <w:kern w:val="0"/>
                <w:sz w:val="18"/>
                <w:szCs w:val="18"/>
                <w14:ligatures w14:val="none"/>
              </w:rPr>
              <w:t xml:space="preserve"> (Heteroptera: Pentatomidae)</w:t>
            </w:r>
          </w:p>
        </w:tc>
        <w:tc>
          <w:tcPr>
            <w:tcW w:w="2378" w:type="dxa"/>
            <w:tcBorders>
              <w:top w:val="nil"/>
              <w:left w:val="nil"/>
              <w:bottom w:val="single" w:sz="8" w:space="0" w:color="auto"/>
              <w:right w:val="single" w:sz="8" w:space="0" w:color="auto"/>
            </w:tcBorders>
            <w:noWrap/>
            <w:vAlign w:val="center"/>
            <w:hideMark/>
          </w:tcPr>
          <w:p w14:paraId="283CAC92"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Oliveira et al. [31]</w:t>
            </w:r>
          </w:p>
        </w:tc>
      </w:tr>
      <w:tr w:rsidR="00B74D44" w:rsidRPr="00B74D44" w14:paraId="5874482D" w14:textId="77777777" w:rsidTr="00B65990">
        <w:trPr>
          <w:trHeight w:val="191"/>
        </w:trPr>
        <w:tc>
          <w:tcPr>
            <w:tcW w:w="6227" w:type="dxa"/>
            <w:tcBorders>
              <w:top w:val="nil"/>
              <w:left w:val="single" w:sz="8" w:space="0" w:color="auto"/>
              <w:bottom w:val="single" w:sz="8" w:space="0" w:color="auto"/>
              <w:right w:val="single" w:sz="8" w:space="0" w:color="auto"/>
            </w:tcBorders>
            <w:noWrap/>
            <w:vAlign w:val="center"/>
            <w:hideMark/>
          </w:tcPr>
          <w:p w14:paraId="4FD1636B"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(3S,6S,7R)-1,10-bisaboladien-3-ol, (3R,6S,7R)-1,10-bisaboladien-3-ol</w:t>
            </w:r>
          </w:p>
        </w:tc>
        <w:tc>
          <w:tcPr>
            <w:tcW w:w="4253" w:type="dxa"/>
            <w:tcBorders>
              <w:top w:val="nil"/>
              <w:left w:val="nil"/>
              <w:bottom w:val="single" w:sz="8" w:space="0" w:color="auto"/>
              <w:right w:val="single" w:sz="8" w:space="0" w:color="auto"/>
            </w:tcBorders>
            <w:noWrap/>
            <w:vAlign w:val="center"/>
            <w:hideMark/>
          </w:tcPr>
          <w:p w14:paraId="2EDFD345" w14:textId="77777777" w:rsidR="00B74D44" w:rsidRPr="00885B85" w:rsidRDefault="00B74D44" w:rsidP="00B65990">
            <w:pPr>
              <w:spacing w:after="0" w:line="240" w:lineRule="auto"/>
              <w:rPr>
                <w:rFonts w:ascii="Arial" w:eastAsia="Times New Roman" w:hAnsi="Arial" w:cs="Arial"/>
                <w:i/>
                <w:iCs/>
                <w:color w:val="000000"/>
                <w:kern w:val="0"/>
                <w:sz w:val="18"/>
                <w:szCs w:val="18"/>
                <w14:ligatures w14:val="none"/>
              </w:rPr>
            </w:pPr>
            <w:r w:rsidRPr="00885B85">
              <w:rPr>
                <w:rFonts w:ascii="Arial" w:eastAsia="Times New Roman" w:hAnsi="Arial" w:cs="Arial"/>
                <w:i/>
                <w:iCs/>
                <w:color w:val="000000"/>
                <w:kern w:val="0"/>
                <w:sz w:val="18"/>
                <w:szCs w:val="18"/>
                <w14:ligatures w14:val="none"/>
              </w:rPr>
              <w:t>Tibraca limbativentris</w:t>
            </w:r>
            <w:r w:rsidRPr="00885B85">
              <w:rPr>
                <w:rFonts w:ascii="Arial" w:eastAsia="Times New Roman" w:hAnsi="Arial" w:cs="Arial"/>
                <w:color w:val="000000"/>
                <w:kern w:val="0"/>
                <w:sz w:val="18"/>
                <w:szCs w:val="18"/>
                <w14:ligatures w14:val="none"/>
              </w:rPr>
              <w:t xml:space="preserve"> (Hemiptera: Pentatomidae)</w:t>
            </w:r>
          </w:p>
        </w:tc>
        <w:tc>
          <w:tcPr>
            <w:tcW w:w="2378" w:type="dxa"/>
            <w:tcBorders>
              <w:top w:val="nil"/>
              <w:left w:val="nil"/>
              <w:bottom w:val="single" w:sz="8" w:space="0" w:color="auto"/>
              <w:right w:val="single" w:sz="8" w:space="0" w:color="auto"/>
            </w:tcBorders>
            <w:noWrap/>
            <w:vAlign w:val="center"/>
            <w:hideMark/>
          </w:tcPr>
          <w:p w14:paraId="5BB8B7E9" w14:textId="77777777" w:rsidR="00B74D44" w:rsidRPr="00885B85" w:rsidRDefault="00B74D44" w:rsidP="00B65990">
            <w:pPr>
              <w:spacing w:after="0" w:line="240" w:lineRule="auto"/>
              <w:rPr>
                <w:rFonts w:ascii="Arial" w:eastAsia="Times New Roman" w:hAnsi="Arial" w:cs="Arial"/>
                <w:color w:val="000000"/>
                <w:kern w:val="0"/>
                <w:sz w:val="18"/>
                <w:szCs w:val="18"/>
                <w14:ligatures w14:val="none"/>
              </w:rPr>
            </w:pPr>
            <w:r w:rsidRPr="00885B85">
              <w:rPr>
                <w:rFonts w:ascii="Arial" w:eastAsia="Times New Roman" w:hAnsi="Arial" w:cs="Arial"/>
                <w:color w:val="000000"/>
                <w:kern w:val="0"/>
                <w:sz w:val="18"/>
                <w:szCs w:val="18"/>
                <w14:ligatures w14:val="none"/>
              </w:rPr>
              <w:t>Blassioli-Moraes et al. [32]</w:t>
            </w:r>
          </w:p>
        </w:tc>
      </w:tr>
    </w:tbl>
    <w:p w14:paraId="3319D464" w14:textId="77777777" w:rsidR="00B74D44" w:rsidRDefault="00B74D44" w:rsidP="00B74D44">
      <w:pPr>
        <w:rPr>
          <w:rFonts w:ascii="Arial" w:hAnsi="Arial" w:cs="Arial"/>
        </w:rPr>
        <w:sectPr w:rsidR="00B74D44" w:rsidSect="00B74D44">
          <w:pgSz w:w="15840" w:h="12240" w:orient="landscape"/>
          <w:pgMar w:top="1440" w:right="1440" w:bottom="2302" w:left="1440" w:header="720" w:footer="720" w:gutter="0"/>
          <w:cols w:space="720"/>
          <w:docGrid w:linePitch="360"/>
        </w:sectPr>
      </w:pPr>
    </w:p>
    <w:p w14:paraId="0001BAB9" w14:textId="77777777" w:rsidR="00B74D44" w:rsidRPr="00F921E5" w:rsidRDefault="00B74D44" w:rsidP="00B74D44">
      <w:pPr>
        <w:rPr>
          <w:rFonts w:ascii="Arial" w:hAnsi="Arial" w:cs="Arial"/>
        </w:rPr>
      </w:pPr>
    </w:p>
    <w:p w14:paraId="5D64EC8C" w14:textId="77777777" w:rsidR="00B74D44" w:rsidRPr="00F921E5" w:rsidRDefault="00B74D44" w:rsidP="00B74D44">
      <w:pPr>
        <w:rPr>
          <w:rFonts w:ascii="Arial" w:hAnsi="Arial" w:cs="Arial"/>
        </w:rPr>
      </w:pPr>
    </w:p>
    <w:p w14:paraId="44E005C1" w14:textId="77777777" w:rsidR="00B74D44" w:rsidRPr="009D51D7" w:rsidRDefault="00B74D44" w:rsidP="004C4D80">
      <w:pPr>
        <w:ind w:left="709" w:hanging="993"/>
        <w:jc w:val="both"/>
        <w:rPr>
          <w:rFonts w:ascii="Arial" w:hAnsi="Arial" w:cs="Arial"/>
        </w:rPr>
      </w:pPr>
    </w:p>
    <w:p w14:paraId="62E46B53" w14:textId="77777777" w:rsidR="004C4D80" w:rsidRPr="009D51D7" w:rsidRDefault="004C4D80" w:rsidP="004C4D80">
      <w:pPr>
        <w:ind w:left="709" w:hanging="993"/>
        <w:jc w:val="both"/>
        <w:rPr>
          <w:rFonts w:ascii="Arial" w:hAnsi="Arial" w:cs="Arial"/>
        </w:rPr>
      </w:pPr>
    </w:p>
    <w:p w14:paraId="55B3951C" w14:textId="77777777" w:rsidR="004C4D80" w:rsidRPr="00A11ED3" w:rsidRDefault="004C4D80" w:rsidP="00A11ED3">
      <w:pPr>
        <w:jc w:val="both"/>
        <w:rPr>
          <w:rFonts w:ascii="Arial" w:hAnsi="Arial" w:cs="Arial"/>
          <w:sz w:val="24"/>
          <w:szCs w:val="24"/>
        </w:rPr>
      </w:pPr>
    </w:p>
    <w:sectPr w:rsidR="004C4D80" w:rsidRPr="00A11ED3" w:rsidSect="00CD4BF0">
      <w:pgSz w:w="12240" w:h="15840"/>
      <w:pgMar w:top="1440" w:right="1440" w:bottom="1440"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AFD7" w14:textId="77777777" w:rsidR="000E7979" w:rsidRDefault="000E7979" w:rsidP="00E70216">
      <w:pPr>
        <w:spacing w:after="0" w:line="240" w:lineRule="auto"/>
      </w:pPr>
      <w:r>
        <w:separator/>
      </w:r>
    </w:p>
  </w:endnote>
  <w:endnote w:type="continuationSeparator" w:id="0">
    <w:p w14:paraId="700596D9" w14:textId="77777777" w:rsidR="000E7979" w:rsidRDefault="000E7979" w:rsidP="00E7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DBCE" w14:textId="77777777" w:rsidR="00E70216" w:rsidRDefault="00E70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1AB4" w14:textId="77777777" w:rsidR="00E70216" w:rsidRDefault="00E70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F84D" w14:textId="77777777" w:rsidR="00E70216" w:rsidRDefault="00E7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6A39" w14:textId="77777777" w:rsidR="000E7979" w:rsidRDefault="000E7979" w:rsidP="00E70216">
      <w:pPr>
        <w:spacing w:after="0" w:line="240" w:lineRule="auto"/>
      </w:pPr>
      <w:r>
        <w:separator/>
      </w:r>
    </w:p>
  </w:footnote>
  <w:footnote w:type="continuationSeparator" w:id="0">
    <w:p w14:paraId="66AA79AE" w14:textId="77777777" w:rsidR="000E7979" w:rsidRDefault="000E7979" w:rsidP="00E7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9869" w14:textId="7442CF8A" w:rsidR="00E70216" w:rsidRDefault="00000000">
    <w:pPr>
      <w:pStyle w:val="Header"/>
    </w:pPr>
    <w:r>
      <w:rPr>
        <w:noProof/>
      </w:rPr>
      <w:pict w14:anchorId="20583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5" o:spid="_x0000_s1026"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647" w14:textId="0C3E1202" w:rsidR="00E70216" w:rsidRDefault="00000000">
    <w:pPr>
      <w:pStyle w:val="Header"/>
    </w:pPr>
    <w:r>
      <w:rPr>
        <w:noProof/>
      </w:rPr>
      <w:pict w14:anchorId="31BF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6" o:spid="_x0000_s1027"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3361" w14:textId="35B29031" w:rsidR="00E70216" w:rsidRDefault="00000000">
    <w:pPr>
      <w:pStyle w:val="Header"/>
    </w:pPr>
    <w:r>
      <w:rPr>
        <w:noProof/>
      </w:rPr>
      <w:pict w14:anchorId="1A407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370984" o:spid="_x0000_s1025"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495C"/>
    <w:multiLevelType w:val="multilevel"/>
    <w:tmpl w:val="3D5C7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C349A"/>
    <w:multiLevelType w:val="hybridMultilevel"/>
    <w:tmpl w:val="FDAE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011C"/>
    <w:multiLevelType w:val="hybridMultilevel"/>
    <w:tmpl w:val="BB9C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1178"/>
    <w:multiLevelType w:val="hybridMultilevel"/>
    <w:tmpl w:val="9774B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62921"/>
    <w:multiLevelType w:val="hybridMultilevel"/>
    <w:tmpl w:val="8B7C90EA"/>
    <w:lvl w:ilvl="0" w:tplc="F7F86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F7AA9"/>
    <w:multiLevelType w:val="multilevel"/>
    <w:tmpl w:val="11507C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AF7BE8"/>
    <w:multiLevelType w:val="multilevel"/>
    <w:tmpl w:val="83C83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BD2E1F"/>
    <w:multiLevelType w:val="multilevel"/>
    <w:tmpl w:val="25E4E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A62624"/>
    <w:multiLevelType w:val="hybridMultilevel"/>
    <w:tmpl w:val="AEB6E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46AD7"/>
    <w:multiLevelType w:val="hybridMultilevel"/>
    <w:tmpl w:val="A43CF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32791"/>
    <w:multiLevelType w:val="multilevel"/>
    <w:tmpl w:val="316C42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BA5E22"/>
    <w:multiLevelType w:val="multilevel"/>
    <w:tmpl w:val="FDE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163F9"/>
    <w:multiLevelType w:val="multilevel"/>
    <w:tmpl w:val="49802C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7E1109"/>
    <w:multiLevelType w:val="multilevel"/>
    <w:tmpl w:val="6EA40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616868">
    <w:abstractNumId w:val="11"/>
  </w:num>
  <w:num w:numId="2" w16cid:durableId="1958945739">
    <w:abstractNumId w:val="0"/>
  </w:num>
  <w:num w:numId="3" w16cid:durableId="1821771383">
    <w:abstractNumId w:val="13"/>
  </w:num>
  <w:num w:numId="4" w16cid:durableId="2099402615">
    <w:abstractNumId w:val="8"/>
  </w:num>
  <w:num w:numId="5" w16cid:durableId="275794677">
    <w:abstractNumId w:val="3"/>
  </w:num>
  <w:num w:numId="6" w16cid:durableId="404030360">
    <w:abstractNumId w:val="2"/>
  </w:num>
  <w:num w:numId="7" w16cid:durableId="658849382">
    <w:abstractNumId w:val="9"/>
  </w:num>
  <w:num w:numId="8" w16cid:durableId="1574702225">
    <w:abstractNumId w:val="1"/>
  </w:num>
  <w:num w:numId="9" w16cid:durableId="823156930">
    <w:abstractNumId w:val="12"/>
  </w:num>
  <w:num w:numId="10" w16cid:durableId="287249850">
    <w:abstractNumId w:val="7"/>
  </w:num>
  <w:num w:numId="11" w16cid:durableId="993216793">
    <w:abstractNumId w:val="10"/>
  </w:num>
  <w:num w:numId="12" w16cid:durableId="191917971">
    <w:abstractNumId w:val="5"/>
  </w:num>
  <w:num w:numId="13" w16cid:durableId="1289165814">
    <w:abstractNumId w:val="6"/>
  </w:num>
  <w:num w:numId="14" w16cid:durableId="1698777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32CE"/>
    <w:rsid w:val="00001CA1"/>
    <w:rsid w:val="000343A9"/>
    <w:rsid w:val="0004300D"/>
    <w:rsid w:val="000450D2"/>
    <w:rsid w:val="0004619A"/>
    <w:rsid w:val="00065C86"/>
    <w:rsid w:val="000935E7"/>
    <w:rsid w:val="000D1A55"/>
    <w:rsid w:val="000E7979"/>
    <w:rsid w:val="00104D21"/>
    <w:rsid w:val="0018237F"/>
    <w:rsid w:val="001F21A6"/>
    <w:rsid w:val="0020289D"/>
    <w:rsid w:val="002D406B"/>
    <w:rsid w:val="002F25E8"/>
    <w:rsid w:val="0035759F"/>
    <w:rsid w:val="003D3A9E"/>
    <w:rsid w:val="00473359"/>
    <w:rsid w:val="004C4D80"/>
    <w:rsid w:val="0054546F"/>
    <w:rsid w:val="005A6D3D"/>
    <w:rsid w:val="005C745C"/>
    <w:rsid w:val="00602B1D"/>
    <w:rsid w:val="006A1D04"/>
    <w:rsid w:val="006B1C26"/>
    <w:rsid w:val="006B41BD"/>
    <w:rsid w:val="00707577"/>
    <w:rsid w:val="00765DF5"/>
    <w:rsid w:val="007C1E6C"/>
    <w:rsid w:val="00801621"/>
    <w:rsid w:val="008243BB"/>
    <w:rsid w:val="008B3EB2"/>
    <w:rsid w:val="008E22DF"/>
    <w:rsid w:val="009D63B7"/>
    <w:rsid w:val="009E21ED"/>
    <w:rsid w:val="009E3586"/>
    <w:rsid w:val="00A11ED3"/>
    <w:rsid w:val="00A438AE"/>
    <w:rsid w:val="00A532CE"/>
    <w:rsid w:val="00A56B16"/>
    <w:rsid w:val="00AD4393"/>
    <w:rsid w:val="00AF06DA"/>
    <w:rsid w:val="00B74D44"/>
    <w:rsid w:val="00BF0E1B"/>
    <w:rsid w:val="00CD4BF0"/>
    <w:rsid w:val="00D55B1D"/>
    <w:rsid w:val="00D934B2"/>
    <w:rsid w:val="00DA47D4"/>
    <w:rsid w:val="00DE3898"/>
    <w:rsid w:val="00E70216"/>
    <w:rsid w:val="00F76F9B"/>
    <w:rsid w:val="00FF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8D9B3"/>
  <w15:chartTrackingRefBased/>
  <w15:docId w15:val="{5DD92C18-FA25-4B6C-8E19-64491829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A532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32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A532C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32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32CE"/>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A532C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CE"/>
    <w:rPr>
      <w:rFonts w:eastAsiaTheme="majorEastAsia" w:cstheme="majorBidi"/>
      <w:color w:val="272727" w:themeColor="text1" w:themeTint="D8"/>
    </w:rPr>
  </w:style>
  <w:style w:type="paragraph" w:styleId="Title">
    <w:name w:val="Title"/>
    <w:basedOn w:val="Normal"/>
    <w:next w:val="Normal"/>
    <w:link w:val="TitleChar"/>
    <w:uiPriority w:val="10"/>
    <w:qFormat/>
    <w:rsid w:val="00A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32CE"/>
    <w:rPr>
      <w:i/>
      <w:iCs/>
      <w:color w:val="404040" w:themeColor="text1" w:themeTint="BF"/>
    </w:rPr>
  </w:style>
  <w:style w:type="character" w:styleId="IntenseEmphasis">
    <w:name w:val="Intense Emphasis"/>
    <w:basedOn w:val="DefaultParagraphFont"/>
    <w:uiPriority w:val="21"/>
    <w:qFormat/>
    <w:rsid w:val="00A532CE"/>
    <w:rPr>
      <w:i/>
      <w:iCs/>
      <w:color w:val="365F91" w:themeColor="accent1" w:themeShade="BF"/>
    </w:rPr>
  </w:style>
  <w:style w:type="paragraph" w:styleId="IntenseQuote">
    <w:name w:val="Intense Quote"/>
    <w:basedOn w:val="Normal"/>
    <w:next w:val="Normal"/>
    <w:link w:val="IntenseQuoteChar"/>
    <w:uiPriority w:val="30"/>
    <w:qFormat/>
    <w:rsid w:val="00A532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32CE"/>
    <w:rPr>
      <w:i/>
      <w:iCs/>
      <w:color w:val="365F91" w:themeColor="accent1" w:themeShade="BF"/>
    </w:rPr>
  </w:style>
  <w:style w:type="character" w:styleId="IntenseReference">
    <w:name w:val="Intense Reference"/>
    <w:basedOn w:val="DefaultParagraphFont"/>
    <w:uiPriority w:val="32"/>
    <w:qFormat/>
    <w:rsid w:val="00A532CE"/>
    <w:rPr>
      <w:b/>
      <w:bCs/>
      <w:smallCaps/>
      <w:color w:val="365F91" w:themeColor="accent1" w:themeShade="BF"/>
      <w:spacing w:val="5"/>
    </w:rPr>
  </w:style>
  <w:style w:type="character" w:styleId="Hyperlink">
    <w:name w:val="Hyperlink"/>
    <w:basedOn w:val="DefaultParagraphFont"/>
    <w:uiPriority w:val="99"/>
    <w:unhideWhenUsed/>
    <w:rsid w:val="002D406B"/>
    <w:rPr>
      <w:color w:val="0000FF" w:themeColor="hyperlink"/>
      <w:u w:val="single"/>
    </w:rPr>
  </w:style>
  <w:style w:type="character" w:styleId="UnresolvedMention">
    <w:name w:val="Unresolved Mention"/>
    <w:basedOn w:val="DefaultParagraphFont"/>
    <w:uiPriority w:val="99"/>
    <w:semiHidden/>
    <w:unhideWhenUsed/>
    <w:rsid w:val="008B3EB2"/>
    <w:rPr>
      <w:color w:val="605E5C"/>
      <w:shd w:val="clear" w:color="auto" w:fill="E1DFDD"/>
    </w:rPr>
  </w:style>
  <w:style w:type="table" w:customStyle="1" w:styleId="TableGrid1">
    <w:name w:val="Table Grid1"/>
    <w:basedOn w:val="TableNormal"/>
    <w:next w:val="TableGrid"/>
    <w:uiPriority w:val="59"/>
    <w:rsid w:val="008B3EB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B3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216"/>
  </w:style>
  <w:style w:type="paragraph" w:styleId="Footer">
    <w:name w:val="footer"/>
    <w:basedOn w:val="Normal"/>
    <w:link w:val="FooterChar"/>
    <w:uiPriority w:val="99"/>
    <w:unhideWhenUsed/>
    <w:rsid w:val="00E70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216"/>
  </w:style>
  <w:style w:type="paragraph" w:styleId="NormalWeb">
    <w:name w:val="Normal (Web)"/>
    <w:basedOn w:val="Normal"/>
    <w:uiPriority w:val="99"/>
    <w:semiHidden/>
    <w:unhideWhenUsed/>
    <w:rsid w:val="00602B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18575" TargetMode="External"/><Relationship Id="rId18" Type="http://schemas.openxmlformats.org/officeDocument/2006/relationships/hyperlink" Target="https://doi.org/10.1007/s10886-013-0349-1" TargetMode="External"/><Relationship Id="rId26" Type="http://schemas.openxmlformats.org/officeDocument/2006/relationships/hyperlink" Target="https://doi.org/10.1007/s10886-013-0253-8" TargetMode="External"/><Relationship Id="rId39" Type="http://schemas.openxmlformats.org/officeDocument/2006/relationships/hyperlink" Target="http://refhub.elsevier.com/B978-0-12-398529-3.00010-5/sbref43" TargetMode="External"/><Relationship Id="rId21" Type="http://schemas.openxmlformats.org/officeDocument/2006/relationships/hyperlink" Target="https://doi.org/10.1371/journal.pone.0033381" TargetMode="External"/><Relationship Id="rId34" Type="http://schemas.openxmlformats.org/officeDocument/2006/relationships/hyperlink" Target="http://refhub.elsevier.com/B978-0-12-398529-3.00010-5/sbref35" TargetMode="External"/><Relationship Id="rId42" Type="http://schemas.openxmlformats.org/officeDocument/2006/relationships/hyperlink" Target="http://refhub.elsevier.com/B978-0-12-398529-3.00010-5/sbref88" TargetMode="External"/><Relationship Id="rId47" Type="http://schemas.openxmlformats.org/officeDocument/2006/relationships/hyperlink" Target="http://refhub.elsevier.com/B978-0-12-398529-3.00010-5/sbref227"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16/B978-012107151-6/50003-7" TargetMode="External"/><Relationship Id="rId17" Type="http://schemas.openxmlformats.org/officeDocument/2006/relationships/hyperlink" Target="https://doi.org/10.1007/s10886-011-9964-x" TargetMode="External"/><Relationship Id="rId25" Type="http://schemas.openxmlformats.org/officeDocument/2006/relationships/hyperlink" Target="https://doi.org/10.20546/ijcmas.2021.1007.047" TargetMode="External"/><Relationship Id="rId33" Type="http://schemas.openxmlformats.org/officeDocument/2006/relationships/hyperlink" Target="http://refhub.elsevier.com/B978-0-12-398529-3.00010-5/sbref35" TargetMode="External"/><Relationship Id="rId38" Type="http://schemas.openxmlformats.org/officeDocument/2006/relationships/hyperlink" Target="http://refhub.elsevier.com/B978-0-12-398529-3.00010-5/sbref43" TargetMode="External"/><Relationship Id="rId46" Type="http://schemas.openxmlformats.org/officeDocument/2006/relationships/hyperlink" Target="http://refhub.elsevier.com/B978-0-12-398529-3.00010-5/sbref227" TargetMode="External"/><Relationship Id="rId2" Type="http://schemas.openxmlformats.org/officeDocument/2006/relationships/styles" Target="styles.xml"/><Relationship Id="rId16" Type="http://schemas.openxmlformats.org/officeDocument/2006/relationships/hyperlink" Target="https://doi.org/10.1007/s00049-012-0123-9" TargetMode="External"/><Relationship Id="rId20" Type="http://schemas.openxmlformats.org/officeDocument/2006/relationships/hyperlink" Target="https://doi.org/10.1021/acs.jafc.8b06346" TargetMode="External"/><Relationship Id="rId29" Type="http://schemas.openxmlformats.org/officeDocument/2006/relationships/hyperlink" Target="https://doi.org/10.9734/jabb/2025/v28i92932" TargetMode="External"/><Relationship Id="rId41" Type="http://schemas.openxmlformats.org/officeDocument/2006/relationships/hyperlink" Target="http://refhub.elsevier.com/B978-0-12-398529-3.00010-5/sbref8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886-019-01125-w" TargetMode="External"/><Relationship Id="rId24" Type="http://schemas.openxmlformats.org/officeDocument/2006/relationships/hyperlink" Target="https://doi.org/10.3390/insects12060484" TargetMode="External"/><Relationship Id="rId32" Type="http://schemas.openxmlformats.org/officeDocument/2006/relationships/hyperlink" Target="http://refhub.elsevier.com/B978-0-12-398529-3.00010-5/sbref35" TargetMode="External"/><Relationship Id="rId37" Type="http://schemas.openxmlformats.org/officeDocument/2006/relationships/hyperlink" Target="http://refhub.elsevier.com/B978-0-12-398529-3.00010-5/sbref40" TargetMode="External"/><Relationship Id="rId40" Type="http://schemas.openxmlformats.org/officeDocument/2006/relationships/hyperlink" Target="http://refhub.elsevier.com/B978-0-12-398529-3.00010-5/sbref60" TargetMode="External"/><Relationship Id="rId45" Type="http://schemas.openxmlformats.org/officeDocument/2006/relationships/hyperlink" Target="http://refhub.elsevier.com/B978-0-12-398529-3.00010-5/sbref227"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3/pnas.1111748109" TargetMode="External"/><Relationship Id="rId23" Type="http://schemas.openxmlformats.org/officeDocument/2006/relationships/hyperlink" Target="https://doi.org/10.9734/jeai/2022/v44i1030883" TargetMode="External"/><Relationship Id="rId28" Type="http://schemas.openxmlformats.org/officeDocument/2006/relationships/hyperlink" Target="https://doi.org/10.1021/acs.jafc.9b01443" TargetMode="External"/><Relationship Id="rId36" Type="http://schemas.openxmlformats.org/officeDocument/2006/relationships/hyperlink" Target="http://refhub.elsevier.com/B978-0-12-398529-3.00010-5/sbref40" TargetMode="External"/><Relationship Id="rId49" Type="http://schemas.openxmlformats.org/officeDocument/2006/relationships/header" Target="header2.xml"/><Relationship Id="rId10" Type="http://schemas.openxmlformats.org/officeDocument/2006/relationships/hyperlink" Target="https://doi.org/10.9734/jeai/2021/v43i430673" TargetMode="External"/><Relationship Id="rId19" Type="http://schemas.openxmlformats.org/officeDocument/2006/relationships/hyperlink" Target="https://doi.org/10.5958/0974-4576.2023.00114.7" TargetMode="External"/><Relationship Id="rId31" Type="http://schemas.openxmlformats.org/officeDocument/2006/relationships/hyperlink" Target="http://refhub.elsevier.com/B978-0-12-398529-3.00010-5/sbref35" TargetMode="External"/><Relationship Id="rId44" Type="http://schemas.openxmlformats.org/officeDocument/2006/relationships/hyperlink" Target="http://refhub.elsevier.com/B978-0-12-398529-3.00010-5/sbref88"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9734/jeai/2022/v44i1030883" TargetMode="External"/><Relationship Id="rId14" Type="http://schemas.openxmlformats.org/officeDocument/2006/relationships/hyperlink" Target="https://doi.org/10.3390/insects11020138" TargetMode="External"/><Relationship Id="rId22" Type="http://schemas.openxmlformats.org/officeDocument/2006/relationships/hyperlink" Target="https://doi.org/10.1007/s00049-011-0081-7" TargetMode="External"/><Relationship Id="rId27" Type="http://schemas.openxmlformats.org/officeDocument/2006/relationships/hyperlink" Target="https://doi.org/10.1007/s10886-012-0121-y" TargetMode="External"/><Relationship Id="rId30" Type="http://schemas.openxmlformats.org/officeDocument/2006/relationships/hyperlink" Target="https://doi.org/10.1038/ncomms3767" TargetMode="External"/><Relationship Id="rId35" Type="http://schemas.openxmlformats.org/officeDocument/2006/relationships/hyperlink" Target="http://refhub.elsevier.com/B978-0-12-398529-3.00010-5/sbref40" TargetMode="External"/><Relationship Id="rId43" Type="http://schemas.openxmlformats.org/officeDocument/2006/relationships/hyperlink" Target="http://refhub.elsevier.com/B978-0-12-398529-3.00010-5/sbref88" TargetMode="External"/><Relationship Id="rId48" Type="http://schemas.openxmlformats.org/officeDocument/2006/relationships/header" Target="header1.xml"/><Relationship Id="rId8" Type="http://schemas.openxmlformats.org/officeDocument/2006/relationships/hyperlink" Target="https://doi.org/10.1007/s10886-010-9817-z" TargetMode="Externa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19</Pages>
  <Words>6322</Words>
  <Characters>36037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Editor GP 005</cp:lastModifiedBy>
  <cp:revision>32</cp:revision>
  <dcterms:created xsi:type="dcterms:W3CDTF">2025-09-05T12:05:00Z</dcterms:created>
  <dcterms:modified xsi:type="dcterms:W3CDTF">2025-09-12T10:49:00Z</dcterms:modified>
</cp:coreProperties>
</file>