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6D48A" w14:textId="77777777" w:rsidR="00591619" w:rsidRPr="00591619" w:rsidRDefault="00591619" w:rsidP="00591619">
      <w:pPr>
        <w:pStyle w:val="Author"/>
        <w:rPr>
          <w:rFonts w:ascii="Arial" w:hAnsi="Arial" w:cs="Arial"/>
          <w:bCs/>
          <w:i/>
          <w:iCs/>
          <w:kern w:val="28"/>
          <w:sz w:val="32"/>
          <w:szCs w:val="18"/>
          <w:u w:val="single"/>
        </w:rPr>
      </w:pPr>
      <w:r w:rsidRPr="00591619">
        <w:rPr>
          <w:rFonts w:ascii="Arial" w:hAnsi="Arial" w:cs="Arial"/>
          <w:bCs/>
          <w:i/>
          <w:iCs/>
          <w:kern w:val="28"/>
          <w:sz w:val="32"/>
          <w:szCs w:val="18"/>
          <w:u w:val="single"/>
        </w:rPr>
        <w:t>Review Article</w:t>
      </w:r>
    </w:p>
    <w:p w14:paraId="2F5A9215" w14:textId="77777777" w:rsidR="00591619" w:rsidRDefault="00591619" w:rsidP="00441B6F">
      <w:pPr>
        <w:pStyle w:val="Author"/>
        <w:spacing w:line="240" w:lineRule="auto"/>
        <w:rPr>
          <w:rFonts w:ascii="Arial" w:hAnsi="Arial" w:cs="Arial"/>
          <w:bCs/>
          <w:iCs/>
          <w:kern w:val="28"/>
          <w:sz w:val="36"/>
        </w:rPr>
      </w:pPr>
    </w:p>
    <w:p w14:paraId="08ECCF97" w14:textId="5854269F" w:rsidR="00163BC4" w:rsidRPr="00163BC4" w:rsidRDefault="0048565B" w:rsidP="00441B6F">
      <w:pPr>
        <w:pStyle w:val="Author"/>
        <w:spacing w:line="240" w:lineRule="auto"/>
        <w:rPr>
          <w:rFonts w:ascii="Arial" w:hAnsi="Arial" w:cs="Arial"/>
          <w:bCs/>
          <w:iCs/>
          <w:kern w:val="28"/>
          <w:sz w:val="36"/>
        </w:rPr>
      </w:pPr>
      <w:r w:rsidRPr="0048565B">
        <w:rPr>
          <w:rFonts w:ascii="Arial" w:hAnsi="Arial" w:cs="Arial"/>
          <w:bCs/>
          <w:iCs/>
          <w:kern w:val="28"/>
          <w:sz w:val="36"/>
        </w:rPr>
        <w:t>Advances in Green Synthesis of Nanoparticles from Crop Residues and Their Application in Sustainable Agriculture: A Review</w:t>
      </w:r>
      <w:r w:rsidR="00231920">
        <w:rPr>
          <w:rFonts w:ascii="Arial" w:hAnsi="Arial" w:cs="Arial"/>
          <w:bCs/>
          <w:iCs/>
          <w:kern w:val="28"/>
          <w:sz w:val="36"/>
        </w:rPr>
        <w:t xml:space="preserve"> </w:t>
      </w:r>
    </w:p>
    <w:p w14:paraId="7FE49677" w14:textId="77777777" w:rsidR="00A258C3" w:rsidRPr="00790ADA" w:rsidRDefault="00A258C3" w:rsidP="00441B6F">
      <w:pPr>
        <w:pStyle w:val="Author"/>
        <w:spacing w:line="240" w:lineRule="auto"/>
        <w:jc w:val="both"/>
        <w:rPr>
          <w:rFonts w:ascii="Arial" w:hAnsi="Arial" w:cs="Arial"/>
          <w:sz w:val="36"/>
        </w:rPr>
      </w:pPr>
    </w:p>
    <w:p w14:paraId="67A9986D" w14:textId="77777777" w:rsidR="002C57D2" w:rsidRPr="00FB3A86" w:rsidRDefault="002C57D2" w:rsidP="00441B6F">
      <w:pPr>
        <w:pStyle w:val="Affiliation"/>
        <w:spacing w:after="0" w:line="240" w:lineRule="auto"/>
        <w:jc w:val="both"/>
        <w:rPr>
          <w:rFonts w:ascii="Arial" w:hAnsi="Arial" w:cs="Arial"/>
        </w:rPr>
      </w:pPr>
    </w:p>
    <w:p w14:paraId="70497838" w14:textId="77777777" w:rsidR="00B01FCD" w:rsidRPr="00FB3A86" w:rsidRDefault="00FF68EF" w:rsidP="00441B6F">
      <w:pPr>
        <w:pStyle w:val="Copyright"/>
        <w:spacing w:after="0" w:line="240" w:lineRule="auto"/>
        <w:jc w:val="both"/>
        <w:rPr>
          <w:rFonts w:ascii="Arial" w:hAnsi="Arial" w:cs="Arial"/>
        </w:rPr>
        <w:sectPr w:rsidR="00B01FCD" w:rsidRPr="00FB3A86" w:rsidSect="00F457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C06BB11">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D95E864" w14:textId="4FEFCDFF" w:rsidR="00B01FCD" w:rsidRDefault="00B01FCD" w:rsidP="00441B6F">
      <w:pPr>
        <w:pStyle w:val="AbstHead"/>
        <w:spacing w:after="0"/>
        <w:jc w:val="both"/>
        <w:rPr>
          <w:rFonts w:ascii="Arial" w:hAnsi="Arial" w:cs="Arial"/>
        </w:rPr>
      </w:pPr>
      <w:r w:rsidRPr="00FB3A86">
        <w:rPr>
          <w:rFonts w:ascii="Arial" w:hAnsi="Arial" w:cs="Arial"/>
        </w:rPr>
        <w:t>ABSTRACT</w:t>
      </w:r>
    </w:p>
    <w:p w14:paraId="0B011B7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F936136" w14:textId="77777777" w:rsidTr="001E44FE">
        <w:tc>
          <w:tcPr>
            <w:tcW w:w="9576" w:type="dxa"/>
            <w:shd w:val="clear" w:color="auto" w:fill="F2F2F2"/>
          </w:tcPr>
          <w:p w14:paraId="1F1BFBB0" w14:textId="73D2A89B" w:rsidR="00505F06" w:rsidRPr="00BA1B01" w:rsidRDefault="0048565B" w:rsidP="00441B6F">
            <w:pPr>
              <w:pStyle w:val="Body"/>
              <w:spacing w:after="0"/>
              <w:rPr>
                <w:rFonts w:ascii="Arial" w:eastAsia="Calibri" w:hAnsi="Arial" w:cs="Arial"/>
                <w:szCs w:val="22"/>
              </w:rPr>
            </w:pPr>
            <w:r w:rsidRPr="0048565B">
              <w:rPr>
                <w:rFonts w:ascii="Arial" w:eastAsia="Calibri" w:hAnsi="Arial" w:cs="Arial"/>
                <w:szCs w:val="22"/>
              </w:rPr>
              <w:t xml:space="preserve">The vast abundance of crop residues, amounting to millions of </w:t>
            </w:r>
            <w:proofErr w:type="spellStart"/>
            <w:r w:rsidRPr="0048565B">
              <w:rPr>
                <w:rFonts w:ascii="Arial" w:eastAsia="Calibri" w:hAnsi="Arial" w:cs="Arial"/>
                <w:szCs w:val="22"/>
              </w:rPr>
              <w:t>tonnes</w:t>
            </w:r>
            <w:proofErr w:type="spellEnd"/>
            <w:r w:rsidRPr="0048565B">
              <w:rPr>
                <w:rFonts w:ascii="Arial" w:eastAsia="Calibri" w:hAnsi="Arial" w:cs="Arial"/>
                <w:szCs w:val="22"/>
              </w:rPr>
              <w:t xml:space="preserve"> annually, remains a largely underutilized resource, underscoring the urgent need for sustainable valorization strategies. This review provides a comprehensive evaluation of the green synthesis and application of nanoparticles derived from a wide range of crop residues, including leaves, husks, straw, bagasse, and seeds. We explore the efficacy of various green pre-treatment methods—such as the use of </w:t>
            </w:r>
            <w:proofErr w:type="spellStart"/>
            <w:r w:rsidRPr="0048565B">
              <w:rPr>
                <w:rFonts w:ascii="Arial" w:eastAsia="Calibri" w:hAnsi="Arial" w:cs="Arial"/>
                <w:szCs w:val="22"/>
              </w:rPr>
              <w:t>organosolvents</w:t>
            </w:r>
            <w:proofErr w:type="spellEnd"/>
            <w:r w:rsidRPr="0048565B">
              <w:rPr>
                <w:rFonts w:ascii="Arial" w:eastAsia="Calibri" w:hAnsi="Arial" w:cs="Arial"/>
                <w:szCs w:val="22"/>
              </w:rPr>
              <w:t>, steam explosion, and deep eutectic solvents—for their potential to enhance nanoparticle yield while minimizing energy consumption and aligning with the principles of green chemistry. The applications of these crop residue-derived nanoparticles (CRNs) are extensive, spanning critical sectors such as sustainable agriculture, where they are used to improve crop protection, enhance nutrient delivery, and promote soil health. Special attention is given to their role in active food packaging and as controlled-release carriers for agrochemicals like fungicides and pesticides. While CRNs hold considerable promise, significant challenges related to the heterogeneity of raw materials, scalability of production, and potential nanotoxicity must be addressed to ensure consistent quality and safe application. This review synthesizes current research, highlights existing gaps, and emphasizes the critical role of CRNs in fostering a circular economy and supporting global sustainability goals.</w:t>
            </w:r>
          </w:p>
        </w:tc>
      </w:tr>
    </w:tbl>
    <w:p w14:paraId="24051907" w14:textId="77777777" w:rsidR="00636EB2" w:rsidRDefault="00636EB2" w:rsidP="00441B6F">
      <w:pPr>
        <w:pStyle w:val="Body"/>
        <w:spacing w:after="0"/>
        <w:rPr>
          <w:rFonts w:ascii="Arial" w:hAnsi="Arial" w:cs="Arial"/>
          <w:i/>
        </w:rPr>
      </w:pPr>
    </w:p>
    <w:p w14:paraId="46FA45B3" w14:textId="0931D4BE" w:rsidR="0024282C" w:rsidRDefault="00AC509D" w:rsidP="00AC509D">
      <w:pPr>
        <w:pStyle w:val="Body"/>
        <w:spacing w:after="0"/>
        <w:jc w:val="center"/>
        <w:rPr>
          <w:rFonts w:ascii="Arial" w:hAnsi="Arial" w:cs="Arial"/>
          <w:i/>
          <w:sz w:val="18"/>
        </w:rPr>
      </w:pPr>
      <w:r>
        <w:rPr>
          <w:noProof/>
        </w:rPr>
        <w:drawing>
          <wp:inline distT="0" distB="0" distL="0" distR="0" wp14:anchorId="57672F27" wp14:editId="00C7BE67">
            <wp:extent cx="5120023" cy="2676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1810" cy="2724507"/>
                    </a:xfrm>
                    <a:prstGeom prst="rect">
                      <a:avLst/>
                    </a:prstGeom>
                    <a:ln>
                      <a:noFill/>
                    </a:ln>
                    <a:effectLst>
                      <a:softEdge rad="112500"/>
                    </a:effectLst>
                  </pic:spPr>
                </pic:pic>
              </a:graphicData>
            </a:graphic>
          </wp:inline>
        </w:drawing>
      </w:r>
    </w:p>
    <w:p w14:paraId="57BB3299" w14:textId="7F1641EF" w:rsidR="00AC509D" w:rsidRDefault="00AC509D" w:rsidP="00AC509D">
      <w:pPr>
        <w:pStyle w:val="Body"/>
        <w:spacing w:after="0"/>
        <w:jc w:val="center"/>
        <w:rPr>
          <w:rFonts w:ascii="Arial" w:hAnsi="Arial" w:cs="Arial"/>
          <w:b/>
          <w:bCs/>
          <w:iCs/>
          <w:sz w:val="18"/>
        </w:rPr>
      </w:pPr>
      <w:r w:rsidRPr="00AC509D">
        <w:rPr>
          <w:rFonts w:ascii="Arial" w:hAnsi="Arial" w:cs="Arial"/>
          <w:b/>
          <w:bCs/>
          <w:iCs/>
          <w:sz w:val="18"/>
        </w:rPr>
        <w:t>Graphical Abstract</w:t>
      </w:r>
    </w:p>
    <w:p w14:paraId="586AE06D" w14:textId="77777777" w:rsidR="005B05B9" w:rsidRDefault="005B05B9" w:rsidP="00AC509D">
      <w:pPr>
        <w:pStyle w:val="Body"/>
        <w:spacing w:after="0"/>
        <w:jc w:val="center"/>
        <w:rPr>
          <w:rFonts w:ascii="Arial" w:hAnsi="Arial" w:cs="Arial"/>
          <w:b/>
          <w:bCs/>
          <w:iCs/>
          <w:sz w:val="18"/>
        </w:rPr>
      </w:pPr>
    </w:p>
    <w:p w14:paraId="5F6B408D" w14:textId="77777777" w:rsidR="005B05B9" w:rsidRDefault="005B05B9" w:rsidP="005B05B9">
      <w:pPr>
        <w:pStyle w:val="Body"/>
        <w:spacing w:after="0"/>
        <w:rPr>
          <w:rFonts w:ascii="Arial" w:hAnsi="Arial" w:cs="Arial"/>
          <w:i/>
        </w:rPr>
      </w:pPr>
      <w:r>
        <w:rPr>
          <w:rFonts w:ascii="Arial" w:hAnsi="Arial" w:cs="Arial"/>
          <w:i/>
        </w:rPr>
        <w:t xml:space="preserve">Keywords: </w:t>
      </w:r>
      <w:r w:rsidRPr="00AC509D">
        <w:rPr>
          <w:rFonts w:ascii="Arial" w:hAnsi="Arial" w:cs="Arial"/>
          <w:i/>
        </w:rPr>
        <w:t>Waste Valorization, Nanoparticles, Sustainable Agriculture, Food Preservation.</w:t>
      </w:r>
    </w:p>
    <w:p w14:paraId="5423EE6C" w14:textId="77777777" w:rsidR="005B05B9" w:rsidRPr="00AC509D" w:rsidRDefault="005B05B9" w:rsidP="00AC509D">
      <w:pPr>
        <w:pStyle w:val="Body"/>
        <w:spacing w:after="0"/>
        <w:jc w:val="center"/>
        <w:rPr>
          <w:rFonts w:ascii="Arial" w:hAnsi="Arial" w:cs="Arial"/>
          <w:b/>
          <w:bCs/>
          <w:iCs/>
          <w:sz w:val="18"/>
        </w:rPr>
      </w:pPr>
    </w:p>
    <w:p w14:paraId="56CA3CBC" w14:textId="6DB91CF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788CBFE" w14:textId="77777777" w:rsidR="00790ADA" w:rsidRPr="00FB3A86" w:rsidRDefault="00790ADA" w:rsidP="00441B6F">
      <w:pPr>
        <w:pStyle w:val="AbstHead"/>
        <w:spacing w:after="0"/>
        <w:jc w:val="both"/>
        <w:rPr>
          <w:rFonts w:ascii="Arial" w:hAnsi="Arial" w:cs="Arial"/>
        </w:rPr>
      </w:pPr>
    </w:p>
    <w:p w14:paraId="12278DD0" w14:textId="77777777" w:rsidR="00AC509D" w:rsidRDefault="00AC509D" w:rsidP="00AC509D">
      <w:pPr>
        <w:pStyle w:val="Body"/>
        <w:spacing w:after="0"/>
        <w:rPr>
          <w:rFonts w:ascii="Arial" w:eastAsia="Google Sans Text" w:hAnsi="Arial" w:cs="Arial"/>
          <w:color w:val="1B1C1D"/>
        </w:rPr>
      </w:pPr>
      <w:r w:rsidRPr="00AC509D">
        <w:rPr>
          <w:rFonts w:ascii="Arial" w:eastAsia="Google Sans Text" w:hAnsi="Arial" w:cs="Arial"/>
          <w:color w:val="1B1C1D"/>
        </w:rPr>
        <w:t>The global agri-food system stands at the center of profound economic, environmental, and social challenges. With the world population projected to reach 9.7 million by 2050, crop productivity must increase by 60-100% to meet the rising demand for food (Sidhu et al., 2025). This intensification of agriculture, however, contributes heavily to climate change and resource scarcity, while simultaneously generating vast quantities of agro-industrial waste. This waste, which accounts for approximately 30% of worldwide agricultural production, surpasses two billion tons annually (Sadh et al., 2018; Duque-Acevedo et al., 2020). Historically, the improper disposal of these residues through burning or decomposition has led to significant greenhouse gas emissions—including CO</w:t>
      </w:r>
      <w:r w:rsidRPr="00AC509D">
        <w:rPr>
          <w:rFonts w:ascii="Arial" w:eastAsia="Google Sans Text" w:hAnsi="Arial" w:cs="Arial"/>
          <w:color w:val="1B1C1D"/>
          <w:vertAlign w:val="subscript"/>
        </w:rPr>
        <w:t>2</w:t>
      </w:r>
      <w:r w:rsidRPr="00AC509D">
        <w:rPr>
          <w:rFonts w:ascii="Arial" w:eastAsia="Google Sans Text" w:hAnsi="Arial" w:cs="Arial"/>
          <w:color w:val="1B1C1D"/>
        </w:rPr>
        <w:t>​, CH</w:t>
      </w:r>
      <w:r w:rsidRPr="00AC509D">
        <w:rPr>
          <w:rFonts w:ascii="Arial" w:eastAsia="Google Sans Text" w:hAnsi="Arial" w:cs="Arial"/>
          <w:color w:val="1B1C1D"/>
          <w:vertAlign w:val="subscript"/>
        </w:rPr>
        <w:t>4</w:t>
      </w:r>
      <w:r w:rsidRPr="00AC509D">
        <w:rPr>
          <w:rFonts w:ascii="Arial" w:eastAsia="Google Sans Text" w:hAnsi="Arial" w:cs="Arial"/>
          <w:color w:val="1B1C1D"/>
        </w:rPr>
        <w:t>​, and N</w:t>
      </w:r>
      <w:r w:rsidRPr="00AC509D">
        <w:rPr>
          <w:rFonts w:ascii="Arial" w:eastAsia="Google Sans Text" w:hAnsi="Arial" w:cs="Arial"/>
          <w:color w:val="1B1C1D"/>
          <w:vertAlign w:val="subscript"/>
        </w:rPr>
        <w:t>2</w:t>
      </w:r>
      <w:r w:rsidRPr="00AC509D">
        <w:rPr>
          <w:rFonts w:ascii="Arial" w:eastAsia="Google Sans Text" w:hAnsi="Arial" w:cs="Arial"/>
          <w:color w:val="1B1C1D"/>
        </w:rPr>
        <w:t xml:space="preserve">​O—and the degradation of delicate ecosystems (Olaniyan et al., 2025). To address this unsustainable cycle, a paradigm shift towards a </w:t>
      </w:r>
      <w:r w:rsidRPr="00AC509D">
        <w:rPr>
          <w:rFonts w:ascii="Arial" w:eastAsia="Google Sans Text" w:hAnsi="Arial" w:cs="Arial"/>
          <w:bCs/>
          <w:color w:val="1B1C1D"/>
        </w:rPr>
        <w:t>circular economy</w:t>
      </w:r>
      <w:r w:rsidRPr="00AC509D">
        <w:rPr>
          <w:rFonts w:ascii="Arial" w:eastAsia="Google Sans Text" w:hAnsi="Arial" w:cs="Arial"/>
          <w:color w:val="1B1C1D"/>
        </w:rPr>
        <w:t xml:space="preserve"> is essential. This approach reframes "waste" as a valuable resource, employing biorefinery technologies to convert agricultural byproducts into value-added products such as biofuels, bioplastics, and biofertilizers, thereby aligning with the United Nations' Sustainable Development Goals to substantially reduce waste through prevention, reduction, recycling, and reuse (Olaniyan et al., 2025).</w:t>
      </w:r>
    </w:p>
    <w:p w14:paraId="74FDD764" w14:textId="77777777" w:rsidR="00AC509D" w:rsidRDefault="00AC509D" w:rsidP="00AC509D">
      <w:pPr>
        <w:pStyle w:val="Body"/>
        <w:spacing w:after="0"/>
        <w:rPr>
          <w:rFonts w:ascii="Arial" w:eastAsia="Google Sans Text" w:hAnsi="Arial" w:cs="Arial"/>
          <w:color w:val="1B1C1D"/>
        </w:rPr>
      </w:pPr>
    </w:p>
    <w:p w14:paraId="2C5E22CA" w14:textId="3BB7D5D2" w:rsidR="00AC509D" w:rsidRDefault="00AC509D" w:rsidP="00AC509D">
      <w:pPr>
        <w:pStyle w:val="Body"/>
        <w:spacing w:after="0"/>
        <w:rPr>
          <w:rFonts w:ascii="Arial" w:hAnsi="Arial" w:cs="Arial"/>
        </w:rPr>
      </w:pPr>
      <w:r w:rsidRPr="00AC509D">
        <w:rPr>
          <w:rFonts w:ascii="Arial" w:eastAsia="Google Sans Text" w:hAnsi="Arial" w:cs="Arial"/>
          <w:color w:val="1B1C1D"/>
        </w:rPr>
        <w:t>Within this circular framework, nanotechnology offers a transformative and innovative pathway for the valorization of agricultural waste. Nanomaterials, defined as materials possessing at least one dimension within the 1–100 nm range, exhibit unique physicochemical properties—such as high surface area-to-volume ratios and enhanced reactivity—that differ markedly from their bulk counterparts. These properties make them exceptionally suited for converting low-cost agricultural feedstocks into high-performance materials</w:t>
      </w:r>
      <w:r w:rsidR="005647C5">
        <w:rPr>
          <w:rFonts w:ascii="Arial" w:eastAsia="Google Sans Text" w:hAnsi="Arial" w:cs="Arial"/>
          <w:color w:val="1B1C1D"/>
        </w:rPr>
        <w:t xml:space="preserve"> </w:t>
      </w:r>
      <w:r w:rsidR="005647C5" w:rsidRPr="005647C5">
        <w:rPr>
          <w:rFonts w:ascii="Arial" w:eastAsia="Google Sans Text" w:hAnsi="Arial" w:cs="Arial"/>
          <w:color w:val="1B1C1D"/>
        </w:rPr>
        <w:t>(Palanisamy, Kumar, et al., 2025)</w:t>
      </w:r>
      <w:r w:rsidRPr="00AC509D">
        <w:rPr>
          <w:rFonts w:ascii="Arial" w:eastAsia="Google Sans Text" w:hAnsi="Arial" w:cs="Arial"/>
          <w:color w:val="1B1C1D"/>
        </w:rPr>
        <w:t>. Abundant agricultural wastes like leaves, stems, seeds, pulp, bagasse, and husks serve as rich precursors for a diverse array of nanoparticles, including organic materials like cellulose and pectin, and inorganic structures based on silica and various metals</w:t>
      </w:r>
      <w:r w:rsidR="00BD7F4F">
        <w:rPr>
          <w:rFonts w:ascii="Arial" w:eastAsia="Google Sans Text" w:hAnsi="Arial" w:cs="Arial"/>
          <w:color w:val="1B1C1D"/>
        </w:rPr>
        <w:t xml:space="preserve"> </w:t>
      </w:r>
      <w:r w:rsidR="00BD7F4F" w:rsidRPr="00BD7F4F">
        <w:rPr>
          <w:rFonts w:ascii="Arial" w:eastAsia="Google Sans Text" w:hAnsi="Arial" w:cs="Arial"/>
          <w:color w:val="1B1C1D"/>
        </w:rPr>
        <w:t xml:space="preserve">(Flores-Contreras et al., 2024; Melenia et al., 2024; Olaniyan et al., 2025; Pratama, Addy, et al., 2024; Pratama, </w:t>
      </w:r>
      <w:proofErr w:type="spellStart"/>
      <w:r w:rsidR="00BD7F4F" w:rsidRPr="00BD7F4F">
        <w:rPr>
          <w:rFonts w:ascii="Arial" w:eastAsia="Google Sans Text" w:hAnsi="Arial" w:cs="Arial"/>
          <w:color w:val="1B1C1D"/>
        </w:rPr>
        <w:t>Piluharto</w:t>
      </w:r>
      <w:proofErr w:type="spellEnd"/>
      <w:r w:rsidR="00BD7F4F" w:rsidRPr="00BD7F4F">
        <w:rPr>
          <w:rFonts w:ascii="Arial" w:eastAsia="Google Sans Text" w:hAnsi="Arial" w:cs="Arial"/>
          <w:color w:val="1B1C1D"/>
        </w:rPr>
        <w:t>, et al., 2024)</w:t>
      </w:r>
      <w:r w:rsidRPr="00AC509D">
        <w:rPr>
          <w:rFonts w:ascii="Arial" w:eastAsia="Google Sans Text" w:hAnsi="Arial" w:cs="Arial"/>
          <w:color w:val="1B1C1D"/>
        </w:rPr>
        <w:t>. The ability to engineer materials at the nanoscale opens up novel applications in medicine, environmental remediation, and agriculture that were previously unattainable with raw biomass.</w:t>
      </w:r>
    </w:p>
    <w:p w14:paraId="1A78E767" w14:textId="77777777" w:rsidR="00AC509D" w:rsidRDefault="00AC509D" w:rsidP="00AC509D">
      <w:pPr>
        <w:pStyle w:val="Body"/>
        <w:spacing w:after="0"/>
        <w:rPr>
          <w:rFonts w:ascii="Arial" w:hAnsi="Arial" w:cs="Arial"/>
        </w:rPr>
      </w:pPr>
    </w:p>
    <w:p w14:paraId="50F61EE3" w14:textId="3AFE76F9" w:rsidR="00AC509D" w:rsidRPr="00AC509D" w:rsidRDefault="00AC509D" w:rsidP="00AC509D">
      <w:pPr>
        <w:pStyle w:val="Body"/>
        <w:spacing w:after="0"/>
        <w:rPr>
          <w:rFonts w:ascii="Arial" w:hAnsi="Arial" w:cs="Arial"/>
        </w:rPr>
      </w:pPr>
      <w:r w:rsidRPr="00AC509D">
        <w:rPr>
          <w:rFonts w:ascii="Arial" w:eastAsia="Google Sans Text" w:hAnsi="Arial" w:cs="Arial"/>
          <w:color w:val="1B1C1D"/>
        </w:rPr>
        <w:t xml:space="preserve">The synthesis of </w:t>
      </w:r>
      <w:r w:rsidR="007B5078">
        <w:rPr>
          <w:rFonts w:ascii="Arial" w:eastAsia="Calibri" w:hAnsi="Arial" w:cs="Arial"/>
          <w:szCs w:val="22"/>
        </w:rPr>
        <w:t>CRNs</w:t>
      </w:r>
      <w:r w:rsidR="00BE7D28">
        <w:rPr>
          <w:rFonts w:ascii="Arial" w:eastAsia="Calibri" w:hAnsi="Arial" w:cs="Arial"/>
          <w:szCs w:val="22"/>
        </w:rPr>
        <w:t xml:space="preserve"> </w:t>
      </w:r>
      <w:r w:rsidRPr="00AC509D">
        <w:rPr>
          <w:rFonts w:ascii="Arial" w:eastAsia="Google Sans Text" w:hAnsi="Arial" w:cs="Arial"/>
          <w:color w:val="1B1C1D"/>
        </w:rPr>
        <w:t>is widely considered a green approach, presenting a sustainable alternative to conventional physical and chemical manufacturing methods that often rely on hazardous solvents and produce toxic residues (Sidhu et al., 2025). This green synthesis significantly reduces the carbon footprint, energy consumption, and use of harsh chemicals, aligning perfectly with the principles of green chemistry</w:t>
      </w:r>
      <w:r w:rsidR="00BD7F4F">
        <w:rPr>
          <w:rFonts w:ascii="Arial" w:eastAsia="Google Sans Text" w:hAnsi="Arial" w:cs="Arial"/>
          <w:color w:val="1B1C1D"/>
        </w:rPr>
        <w:t xml:space="preserve"> </w:t>
      </w:r>
      <w:r w:rsidR="00BD7F4F" w:rsidRPr="00BD7F4F">
        <w:rPr>
          <w:rFonts w:ascii="Arial" w:eastAsia="Google Sans Text" w:hAnsi="Arial" w:cs="Arial"/>
          <w:color w:val="1B1C1D"/>
        </w:rPr>
        <w:t>(</w:t>
      </w:r>
      <w:proofErr w:type="spellStart"/>
      <w:r w:rsidR="00BD7F4F" w:rsidRPr="00BD7F4F">
        <w:rPr>
          <w:rFonts w:ascii="Arial" w:eastAsia="Google Sans Text" w:hAnsi="Arial" w:cs="Arial"/>
          <w:color w:val="1B1C1D"/>
        </w:rPr>
        <w:t>Kurul</w:t>
      </w:r>
      <w:proofErr w:type="spellEnd"/>
      <w:r w:rsidR="00BD7F4F" w:rsidRPr="00BD7F4F">
        <w:rPr>
          <w:rFonts w:ascii="Arial" w:eastAsia="Google Sans Text" w:hAnsi="Arial" w:cs="Arial"/>
          <w:color w:val="1B1C1D"/>
        </w:rPr>
        <w:t xml:space="preserve"> et al., 2025)</w:t>
      </w:r>
      <w:r w:rsidRPr="00AC509D">
        <w:rPr>
          <w:rFonts w:ascii="Arial" w:eastAsia="Google Sans Text" w:hAnsi="Arial" w:cs="Arial"/>
          <w:color w:val="1B1C1D"/>
        </w:rPr>
        <w:t xml:space="preserve">. The resulting </w:t>
      </w:r>
      <w:r w:rsidR="00BE7D28">
        <w:rPr>
          <w:rFonts w:ascii="Arial" w:eastAsia="Google Sans Text" w:hAnsi="Arial" w:cs="Arial"/>
          <w:color w:val="1B1C1D"/>
        </w:rPr>
        <w:t>CRNs</w:t>
      </w:r>
      <w:r w:rsidRPr="00AC509D">
        <w:rPr>
          <w:rFonts w:ascii="Arial" w:eastAsia="Google Sans Text" w:hAnsi="Arial" w:cs="Arial"/>
          <w:color w:val="1B1C1D"/>
        </w:rPr>
        <w:t xml:space="preserve"> are being increasingly explored for a wide range of applications in sustainable agriculture. Among the most promising of these is their use in active food preservation and as delivery systems for agrochemicals. Polymeric nanoparticles, for example, can encapsulate fertilizers and pesticides, enabling controlled-release systems that can reduce agrochemical usage by up to 40% while improving crop yield (Sidhu et al., 2025). This review will provide a comprehensive analysis of the synthesis, characterization, and application of these novel nanomaterials, with a particular focus on their mechanisms of action and the critical challenges—including scalability, toxicity, and regulatory hurdles—that must be overcome for their successful implementation.</w:t>
      </w:r>
    </w:p>
    <w:p w14:paraId="71EEF603" w14:textId="77777777" w:rsidR="00790ADA" w:rsidRPr="00AC509D" w:rsidRDefault="00790ADA" w:rsidP="00441B6F">
      <w:pPr>
        <w:pStyle w:val="Body"/>
        <w:spacing w:after="0"/>
        <w:rPr>
          <w:rFonts w:ascii="Arial" w:hAnsi="Arial" w:cs="Arial"/>
        </w:rPr>
      </w:pPr>
    </w:p>
    <w:p w14:paraId="7760C513" w14:textId="0B2BB28B" w:rsidR="007F7B32" w:rsidRDefault="00902823" w:rsidP="00441B6F">
      <w:pPr>
        <w:pStyle w:val="AbstHead"/>
        <w:spacing w:after="0"/>
        <w:jc w:val="both"/>
        <w:rPr>
          <w:rFonts w:ascii="Arial" w:hAnsi="Arial" w:cs="Arial"/>
        </w:rPr>
      </w:pPr>
      <w:r>
        <w:rPr>
          <w:rFonts w:ascii="Arial" w:hAnsi="Arial" w:cs="Arial"/>
        </w:rPr>
        <w:t xml:space="preserve">2. </w:t>
      </w:r>
      <w:r w:rsidR="00AC509D" w:rsidRPr="00AC509D">
        <w:rPr>
          <w:rFonts w:ascii="Arial" w:hAnsi="Arial" w:cs="Arial"/>
        </w:rPr>
        <w:t>SYNTHESIS AND CHARACTERIZATION OF NANOPARTICLES</w:t>
      </w:r>
    </w:p>
    <w:p w14:paraId="567570FF" w14:textId="77777777" w:rsidR="00790ADA" w:rsidRPr="00FB3A86" w:rsidRDefault="00790ADA" w:rsidP="00441B6F">
      <w:pPr>
        <w:pStyle w:val="AbstHead"/>
        <w:spacing w:after="0"/>
        <w:jc w:val="both"/>
        <w:rPr>
          <w:rFonts w:ascii="Arial" w:hAnsi="Arial" w:cs="Arial"/>
        </w:rPr>
      </w:pPr>
    </w:p>
    <w:p w14:paraId="3340D596" w14:textId="2432C897" w:rsidR="00E16584" w:rsidRDefault="00E16584" w:rsidP="00E16584">
      <w:pPr>
        <w:pStyle w:val="Body"/>
        <w:spacing w:after="0"/>
        <w:rPr>
          <w:rFonts w:ascii="Arial" w:eastAsia="Google Sans Text" w:hAnsi="Arial" w:cs="Arial"/>
          <w:color w:val="1B1C1D"/>
        </w:rPr>
      </w:pPr>
      <w:r w:rsidRPr="00E16584">
        <w:rPr>
          <w:rFonts w:ascii="Arial" w:eastAsia="Google Sans Text" w:hAnsi="Arial" w:cs="Arial"/>
          <w:color w:val="1B1C1D"/>
        </w:rPr>
        <w:t xml:space="preserve">The conversion of raw </w:t>
      </w:r>
      <w:r w:rsidR="007B5078">
        <w:rPr>
          <w:rFonts w:ascii="Arial" w:eastAsia="Google Sans Text" w:hAnsi="Arial" w:cs="Arial"/>
          <w:color w:val="1B1C1D"/>
        </w:rPr>
        <w:t xml:space="preserve">crop residue </w:t>
      </w:r>
      <w:r w:rsidRPr="00E16584">
        <w:rPr>
          <w:rFonts w:ascii="Arial" w:eastAsia="Google Sans Text" w:hAnsi="Arial" w:cs="Arial"/>
          <w:color w:val="1B1C1D"/>
        </w:rPr>
        <w:t xml:space="preserve">into functional nanomaterials is a sophisticated, multi-stage process that begins with essential pre-treatments to overcome the natural </w:t>
      </w:r>
      <w:r w:rsidRPr="00E16584">
        <w:rPr>
          <w:rFonts w:ascii="Arial" w:eastAsia="Google Sans Text" w:hAnsi="Arial" w:cs="Arial"/>
          <w:color w:val="1B1C1D"/>
        </w:rPr>
        <w:lastRenderedPageBreak/>
        <w:t xml:space="preserve">recalcitrance of lignocellulosic biomass. Before nano-synthesis, residues must be processed through physical methods like grinding, chemical techniques such as acid and alkaline hydrolysis, or biological routes using enzymes and microbes. Advanced green pre-treatment methods are gaining prominence, including the use of </w:t>
      </w:r>
      <w:proofErr w:type="spellStart"/>
      <w:r w:rsidRPr="00E16584">
        <w:rPr>
          <w:rFonts w:ascii="Arial" w:eastAsia="Google Sans Text" w:hAnsi="Arial" w:cs="Arial"/>
          <w:color w:val="1B1C1D"/>
        </w:rPr>
        <w:t>organosolvents</w:t>
      </w:r>
      <w:proofErr w:type="spellEnd"/>
      <w:r w:rsidRPr="00E16584">
        <w:rPr>
          <w:rFonts w:ascii="Arial" w:eastAsia="Google Sans Text" w:hAnsi="Arial" w:cs="Arial"/>
          <w:color w:val="1B1C1D"/>
        </w:rPr>
        <w:t xml:space="preserve"> (e.g., ethanol, acetic acid) which effectively fractionate biomass into cellulose, lignin, and hemicellulose with high purity and ease of solvent recovery (Olaniyan et al., 2025). Other innovative methods include steam explosion, which uses rapid decompression to break down biomass structure, and the use of Deep Eutectic Solvents (DESs), which are eco-friendly solvents that efficiently dissolve lignin and hemicellulose under mild conditions (Olaniyan et al., 2025). The choice of pre-treatment is vital; for instance, alkaline treatment is a common step for rice husk to remove organic impurities before the extraction of high-purity </w:t>
      </w:r>
      <w:proofErr w:type="spellStart"/>
      <w:r w:rsidRPr="00E16584">
        <w:rPr>
          <w:rFonts w:ascii="Arial" w:eastAsia="Google Sans Text" w:hAnsi="Arial" w:cs="Arial"/>
          <w:color w:val="1B1C1D"/>
        </w:rPr>
        <w:t>nanosilica</w:t>
      </w:r>
      <w:proofErr w:type="spellEnd"/>
      <w:r w:rsidRPr="00E16584">
        <w:rPr>
          <w:rFonts w:ascii="Arial" w:eastAsia="Google Sans Text" w:hAnsi="Arial" w:cs="Arial"/>
          <w:color w:val="1B1C1D"/>
        </w:rPr>
        <w:t>. Following this, nanoparticle synthesis occurs via two main strategies: top-down and bottom-up approaches (Figure 1).</w:t>
      </w:r>
    </w:p>
    <w:p w14:paraId="52940133" w14:textId="1035F54F" w:rsidR="00E16584" w:rsidRDefault="00E16584" w:rsidP="00E16584">
      <w:pPr>
        <w:pStyle w:val="Body"/>
        <w:spacing w:after="0"/>
        <w:rPr>
          <w:rFonts w:ascii="Arial" w:eastAsia="Google Sans Text" w:hAnsi="Arial" w:cs="Arial"/>
          <w:color w:val="1B1C1D"/>
        </w:rPr>
      </w:pPr>
    </w:p>
    <w:p w14:paraId="68AE58C0" w14:textId="77777777" w:rsidR="00E16584" w:rsidRPr="00E16584" w:rsidRDefault="00E16584" w:rsidP="00E16584">
      <w:pPr>
        <w:pBdr>
          <w:top w:val="nil"/>
          <w:left w:val="nil"/>
          <w:bottom w:val="nil"/>
          <w:right w:val="nil"/>
          <w:between w:val="nil"/>
        </w:pBdr>
        <w:spacing w:after="240" w:line="275" w:lineRule="auto"/>
        <w:jc w:val="center"/>
        <w:rPr>
          <w:rFonts w:ascii="Arial" w:eastAsia="Google Sans Text" w:hAnsi="Arial" w:cs="Arial"/>
          <w:color w:val="1B1C1D"/>
        </w:rPr>
      </w:pPr>
      <w:r w:rsidRPr="00E16584">
        <w:rPr>
          <w:rFonts w:ascii="Arial" w:hAnsi="Arial" w:cs="Arial"/>
          <w:noProof/>
        </w:rPr>
        <w:drawing>
          <wp:inline distT="0" distB="0" distL="0" distR="0" wp14:anchorId="38AB7706" wp14:editId="720858AB">
            <wp:extent cx="4524375" cy="302108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5310" cy="3028387"/>
                    </a:xfrm>
                    <a:prstGeom prst="rect">
                      <a:avLst/>
                    </a:prstGeom>
                    <a:noFill/>
                    <a:ln>
                      <a:noFill/>
                    </a:ln>
                  </pic:spPr>
                </pic:pic>
              </a:graphicData>
            </a:graphic>
          </wp:inline>
        </w:drawing>
      </w:r>
    </w:p>
    <w:p w14:paraId="038FA4A1" w14:textId="700067AC" w:rsidR="00E16584" w:rsidRPr="00E16584" w:rsidRDefault="00E16584" w:rsidP="00700A76">
      <w:pPr>
        <w:pBdr>
          <w:top w:val="nil"/>
          <w:left w:val="nil"/>
          <w:bottom w:val="nil"/>
          <w:right w:val="nil"/>
          <w:between w:val="nil"/>
        </w:pBdr>
        <w:spacing w:after="240" w:line="275" w:lineRule="auto"/>
        <w:jc w:val="both"/>
        <w:rPr>
          <w:rFonts w:ascii="Arial" w:eastAsia="Google Sans Text" w:hAnsi="Arial" w:cs="Arial"/>
          <w:color w:val="1B1C1D"/>
        </w:rPr>
      </w:pPr>
      <w:r w:rsidRPr="00E16584">
        <w:rPr>
          <w:rFonts w:ascii="Arial" w:eastAsia="Google Sans Text" w:hAnsi="Arial" w:cs="Arial"/>
          <w:b/>
          <w:bCs/>
          <w:color w:val="1B1C1D"/>
        </w:rPr>
        <w:t xml:space="preserve">Fig 1.  </w:t>
      </w:r>
      <w:r w:rsidRPr="00E16584">
        <w:rPr>
          <w:rFonts w:ascii="Arial" w:eastAsia="Google Sans Text" w:hAnsi="Arial" w:cs="Arial"/>
          <w:color w:val="1B1C1D"/>
        </w:rPr>
        <w:t xml:space="preserve">Schematic of top-down and bottom-up approaches for nanoparticle synthesis. [Adapted with permission from </w:t>
      </w:r>
      <w:proofErr w:type="spellStart"/>
      <w:r w:rsidRPr="00E16584">
        <w:rPr>
          <w:rFonts w:ascii="Arial" w:eastAsia="Google Sans Text" w:hAnsi="Arial" w:cs="Arial"/>
          <w:color w:val="1B1C1D"/>
        </w:rPr>
        <w:t>Riseh</w:t>
      </w:r>
      <w:proofErr w:type="spellEnd"/>
      <w:r w:rsidRPr="00E16584">
        <w:rPr>
          <w:rFonts w:ascii="Arial" w:eastAsia="Google Sans Text" w:hAnsi="Arial" w:cs="Arial"/>
          <w:color w:val="1B1C1D"/>
        </w:rPr>
        <w:t xml:space="preserve"> &amp; </w:t>
      </w:r>
      <w:proofErr w:type="spellStart"/>
      <w:r w:rsidRPr="00E16584">
        <w:rPr>
          <w:rFonts w:ascii="Arial" w:eastAsia="Google Sans Text" w:hAnsi="Arial" w:cs="Arial"/>
          <w:color w:val="1B1C1D"/>
        </w:rPr>
        <w:t>Vazvani</w:t>
      </w:r>
      <w:proofErr w:type="spellEnd"/>
      <w:r w:rsidRPr="00E16584">
        <w:rPr>
          <w:rFonts w:ascii="Arial" w:eastAsia="Google Sans Text" w:hAnsi="Arial" w:cs="Arial"/>
          <w:color w:val="1B1C1D"/>
        </w:rPr>
        <w:t>, 2024]</w:t>
      </w:r>
      <w:r w:rsidR="00BD7F4F">
        <w:rPr>
          <w:rFonts w:ascii="Arial" w:eastAsia="Google Sans Text" w:hAnsi="Arial" w:cs="Arial"/>
          <w:color w:val="1B1C1D"/>
        </w:rPr>
        <w:t xml:space="preserve"> </w:t>
      </w:r>
      <w:r w:rsidR="00BD7F4F" w:rsidRPr="00BD7F4F">
        <w:rPr>
          <w:rFonts w:ascii="Arial" w:eastAsia="Google Sans Text" w:hAnsi="Arial" w:cs="Arial"/>
          <w:color w:val="1B1C1D"/>
        </w:rPr>
        <w:t>(</w:t>
      </w:r>
      <w:proofErr w:type="spellStart"/>
      <w:r w:rsidR="00BD7F4F" w:rsidRPr="00BD7F4F">
        <w:rPr>
          <w:rFonts w:ascii="Arial" w:eastAsia="Google Sans Text" w:hAnsi="Arial" w:cs="Arial"/>
          <w:color w:val="1B1C1D"/>
        </w:rPr>
        <w:t>Riseh</w:t>
      </w:r>
      <w:proofErr w:type="spellEnd"/>
      <w:r w:rsidR="00BD7F4F" w:rsidRPr="00BD7F4F">
        <w:rPr>
          <w:rFonts w:ascii="Arial" w:eastAsia="Google Sans Text" w:hAnsi="Arial" w:cs="Arial"/>
          <w:color w:val="1B1C1D"/>
        </w:rPr>
        <w:t xml:space="preserve"> &amp; </w:t>
      </w:r>
      <w:proofErr w:type="spellStart"/>
      <w:r w:rsidR="00BD7F4F" w:rsidRPr="00BD7F4F">
        <w:rPr>
          <w:rFonts w:ascii="Arial" w:eastAsia="Google Sans Text" w:hAnsi="Arial" w:cs="Arial"/>
          <w:color w:val="1B1C1D"/>
        </w:rPr>
        <w:t>Vazvani</w:t>
      </w:r>
      <w:proofErr w:type="spellEnd"/>
      <w:r w:rsidR="00BD7F4F" w:rsidRPr="00BD7F4F">
        <w:rPr>
          <w:rFonts w:ascii="Arial" w:eastAsia="Google Sans Text" w:hAnsi="Arial" w:cs="Arial"/>
          <w:color w:val="1B1C1D"/>
        </w:rPr>
        <w:t>, 2024)</w:t>
      </w:r>
    </w:p>
    <w:p w14:paraId="35FE1FDA" w14:textId="34917E75" w:rsidR="00E16584" w:rsidRPr="00E16584" w:rsidRDefault="00E16584" w:rsidP="00E16584">
      <w:pPr>
        <w:pStyle w:val="Body"/>
        <w:spacing w:after="0"/>
        <w:rPr>
          <w:rFonts w:ascii="Arial" w:hAnsi="Arial" w:cs="Arial"/>
        </w:rPr>
      </w:pPr>
      <w:r w:rsidRPr="00E16584">
        <w:rPr>
          <w:rFonts w:ascii="Arial" w:eastAsia="Google Sans Text" w:hAnsi="Arial" w:cs="Arial"/>
          <w:color w:val="1B1C1D"/>
        </w:rPr>
        <w:t xml:space="preserve">Top-down technologies involve the mechanical or chemical breakdown of bulk material into nanoscale particles. Key techniques include ball milling, a mechanical process that applies kinetic energy via rolling balls to wear down materials like wheat straw into nanocellulose, and electrospinning, which applies a high voltage to a polymer solution derived from biowaste, causing it to elongate into a conical "Taylor cone shape" and form nanofibers with high surface area (Sidhu et al., 2025). Bottom-up technologies, in contrast, construct nanoparticles from atomic or molecular units through controlled chemical and physical processes. Common methods include pyrolysis, a thermochemical process that degrades raw materials like groundnut shells in an oxygen-free environment to produce carbon-based nanoparticles; the hydrothermal technique, where synthesis of materials like carbon dots from corn cobs occurs in autoclaves under specific conditions of high temperature (120°C–550°C) and pressure (20–150 bar); and the sol-gel method, which produces a nano-scaled product like silica through hydrolysis and condensation reactions. A particularly promising bottom-up method is green synthesis, where aqueous extracts from fruit peels or leaves </w:t>
      </w:r>
      <w:r w:rsidRPr="00E16584">
        <w:rPr>
          <w:rFonts w:ascii="Arial" w:eastAsia="Google Sans Text" w:hAnsi="Arial" w:cs="Arial"/>
          <w:color w:val="1B1C1D"/>
        </w:rPr>
        <w:lastRenderedPageBreak/>
        <w:t>(e.g., avocado peel) act as natural reducing and capping agents to synthesize metallic nanoparticles like silver (Ag) and gold (Au) (Adebayo et al., 2019).</w:t>
      </w:r>
      <w:r w:rsidR="007B5078">
        <w:rPr>
          <w:rFonts w:ascii="Arial" w:eastAsia="Google Sans Text" w:hAnsi="Arial" w:cs="Arial"/>
          <w:color w:val="1B1C1D"/>
        </w:rPr>
        <w:t xml:space="preserve"> </w:t>
      </w:r>
      <w:r w:rsidR="007B5078" w:rsidRPr="00E16584">
        <w:rPr>
          <w:rFonts w:ascii="Arial" w:eastAsia="Google Sans Text" w:hAnsi="Arial" w:cs="Arial"/>
          <w:color w:val="1B1C1D"/>
        </w:rPr>
        <w:t xml:space="preserve">Table 1 summarizes several key examples of nanomaterials synthesized from various </w:t>
      </w:r>
      <w:r w:rsidR="007B5078">
        <w:rPr>
          <w:rFonts w:ascii="Arial" w:eastAsia="Google Sans Text" w:hAnsi="Arial" w:cs="Arial"/>
          <w:color w:val="1B1C1D"/>
        </w:rPr>
        <w:t>crop residues</w:t>
      </w:r>
      <w:r w:rsidR="007B5078" w:rsidRPr="00E16584">
        <w:rPr>
          <w:rFonts w:ascii="Arial" w:eastAsia="Google Sans Text" w:hAnsi="Arial" w:cs="Arial"/>
          <w:color w:val="1B1C1D"/>
        </w:rPr>
        <w:t>.</w:t>
      </w:r>
    </w:p>
    <w:p w14:paraId="760D9A1B" w14:textId="77777777" w:rsidR="00954EE7" w:rsidRDefault="00954EE7" w:rsidP="00954EE7">
      <w:pPr>
        <w:pStyle w:val="Body"/>
        <w:spacing w:after="0"/>
        <w:rPr>
          <w:rFonts w:ascii="Arial" w:eastAsia="Google Sans Text" w:hAnsi="Arial" w:cs="Arial"/>
          <w:color w:val="1B1C1D"/>
        </w:rPr>
      </w:pPr>
    </w:p>
    <w:p w14:paraId="0820C0CA" w14:textId="7535B883" w:rsidR="00954EE7" w:rsidRDefault="00954EE7" w:rsidP="00954EE7">
      <w:pPr>
        <w:pStyle w:val="Body"/>
        <w:spacing w:after="0"/>
        <w:jc w:val="center"/>
        <w:rPr>
          <w:rFonts w:ascii="Arial" w:eastAsia="Google Sans Text" w:hAnsi="Arial" w:cs="Arial"/>
          <w:b/>
          <w:color w:val="1B1C1D"/>
        </w:rPr>
      </w:pPr>
      <w:r w:rsidRPr="00954EE7">
        <w:rPr>
          <w:rFonts w:ascii="Arial" w:eastAsia="Google Sans Text" w:hAnsi="Arial" w:cs="Arial"/>
          <w:b/>
          <w:color w:val="1B1C1D"/>
        </w:rPr>
        <w:t xml:space="preserve">Table 1. Nanoparticle Synthesis from Various </w:t>
      </w:r>
      <w:r w:rsidR="007B5078">
        <w:rPr>
          <w:rFonts w:ascii="Arial" w:eastAsia="Google Sans Text" w:hAnsi="Arial" w:cs="Arial"/>
          <w:b/>
          <w:color w:val="1B1C1D"/>
        </w:rPr>
        <w:t>Crop Residues</w:t>
      </w:r>
    </w:p>
    <w:p w14:paraId="123C98EC" w14:textId="4C0EC077" w:rsidR="008231CE" w:rsidRDefault="008231CE" w:rsidP="00954EE7">
      <w:pPr>
        <w:pStyle w:val="Body"/>
        <w:spacing w:after="0"/>
        <w:jc w:val="center"/>
        <w:rPr>
          <w:rFonts w:ascii="Arial" w:eastAsia="Google Sans Text" w:hAnsi="Arial" w:cs="Arial"/>
          <w:b/>
          <w:color w:val="1B1C1D"/>
        </w:rPr>
      </w:pPr>
    </w:p>
    <w:tbl>
      <w:tblPr>
        <w:tblW w:w="810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95"/>
        <w:gridCol w:w="1662"/>
        <w:gridCol w:w="1667"/>
        <w:gridCol w:w="1763"/>
        <w:gridCol w:w="1617"/>
      </w:tblGrid>
      <w:tr w:rsidR="008231CE" w:rsidRPr="00DC3180" w14:paraId="536EA164" w14:textId="77777777" w:rsidTr="008231CE">
        <w:trPr>
          <w:jc w:val="center"/>
        </w:trPr>
        <w:tc>
          <w:tcPr>
            <w:tcW w:w="1395" w:type="dxa"/>
            <w:tcBorders>
              <w:bottom w:val="single" w:sz="4" w:space="0" w:color="auto"/>
            </w:tcBorders>
          </w:tcPr>
          <w:p w14:paraId="57399108" w14:textId="39AF82FB" w:rsidR="008231CE" w:rsidRPr="005525B6" w:rsidRDefault="008231CE" w:rsidP="008231CE">
            <w:pPr>
              <w:rPr>
                <w:rFonts w:ascii="Arial" w:eastAsia="Google Sans Text" w:hAnsi="Arial" w:cs="Arial"/>
                <w:b/>
                <w:color w:val="1B1C1D"/>
              </w:rPr>
            </w:pPr>
            <w:r w:rsidRPr="00954EE7">
              <w:rPr>
                <w:rFonts w:ascii="Arial" w:hAnsi="Arial" w:cs="Arial"/>
                <w:b/>
                <w:bCs/>
              </w:rPr>
              <w:t>Source</w:t>
            </w:r>
            <w:r w:rsidR="007B5078">
              <w:rPr>
                <w:rFonts w:ascii="Arial" w:hAnsi="Arial" w:cs="Arial"/>
                <w:b/>
                <w:bCs/>
              </w:rPr>
              <w:t>s</w:t>
            </w:r>
          </w:p>
        </w:tc>
        <w:tc>
          <w:tcPr>
            <w:tcW w:w="1662" w:type="dxa"/>
            <w:tcBorders>
              <w:bottom w:val="single" w:sz="4" w:space="0" w:color="auto"/>
            </w:tcBorders>
          </w:tcPr>
          <w:p w14:paraId="439B9854" w14:textId="71EBD1DD" w:rsidR="008231CE" w:rsidRPr="005525B6" w:rsidRDefault="008231CE" w:rsidP="008231CE">
            <w:pPr>
              <w:rPr>
                <w:rFonts w:ascii="Arial" w:eastAsia="Google Sans Text" w:hAnsi="Arial" w:cs="Arial"/>
                <w:b/>
                <w:color w:val="1B1C1D"/>
              </w:rPr>
            </w:pPr>
            <w:r w:rsidRPr="00954EE7">
              <w:rPr>
                <w:rFonts w:ascii="Arial" w:hAnsi="Arial" w:cs="Arial"/>
                <w:b/>
                <w:bCs/>
              </w:rPr>
              <w:t>Synthesis Method</w:t>
            </w:r>
          </w:p>
        </w:tc>
        <w:tc>
          <w:tcPr>
            <w:tcW w:w="1667" w:type="dxa"/>
            <w:tcBorders>
              <w:bottom w:val="single" w:sz="4" w:space="0" w:color="auto"/>
            </w:tcBorders>
          </w:tcPr>
          <w:p w14:paraId="432F96F9" w14:textId="7EDEEE86" w:rsidR="008231CE" w:rsidRPr="005525B6" w:rsidRDefault="008231CE" w:rsidP="008231CE">
            <w:pPr>
              <w:rPr>
                <w:rFonts w:ascii="Arial" w:eastAsia="Google Sans Text" w:hAnsi="Arial" w:cs="Arial"/>
                <w:b/>
                <w:color w:val="1B1C1D"/>
              </w:rPr>
            </w:pPr>
            <w:r w:rsidRPr="00954EE7">
              <w:rPr>
                <w:rFonts w:ascii="Arial" w:hAnsi="Arial" w:cs="Arial"/>
                <w:b/>
                <w:bCs/>
              </w:rPr>
              <w:t>Resulting Nanoparticle</w:t>
            </w:r>
          </w:p>
        </w:tc>
        <w:tc>
          <w:tcPr>
            <w:tcW w:w="1763" w:type="dxa"/>
            <w:tcBorders>
              <w:bottom w:val="single" w:sz="4" w:space="0" w:color="auto"/>
            </w:tcBorders>
          </w:tcPr>
          <w:p w14:paraId="13BF9ABD" w14:textId="49718E2E" w:rsidR="008231CE" w:rsidRPr="005525B6" w:rsidRDefault="008231CE" w:rsidP="008231CE">
            <w:pPr>
              <w:rPr>
                <w:rFonts w:ascii="Arial" w:eastAsia="Google Sans Text" w:hAnsi="Arial" w:cs="Arial"/>
                <w:b/>
                <w:color w:val="1B1C1D"/>
              </w:rPr>
            </w:pPr>
            <w:r w:rsidRPr="00954EE7">
              <w:rPr>
                <w:rFonts w:ascii="Arial" w:hAnsi="Arial" w:cs="Arial"/>
                <w:b/>
                <w:bCs/>
              </w:rPr>
              <w:t>Application</w:t>
            </w:r>
          </w:p>
        </w:tc>
        <w:tc>
          <w:tcPr>
            <w:tcW w:w="1617" w:type="dxa"/>
            <w:tcBorders>
              <w:bottom w:val="single" w:sz="4" w:space="0" w:color="auto"/>
            </w:tcBorders>
          </w:tcPr>
          <w:p w14:paraId="389FF4B1" w14:textId="24684C29" w:rsidR="008231CE" w:rsidRPr="005525B6" w:rsidRDefault="008231CE" w:rsidP="008231CE">
            <w:pPr>
              <w:rPr>
                <w:rFonts w:ascii="Arial" w:eastAsia="Google Sans Text" w:hAnsi="Arial" w:cs="Arial"/>
                <w:b/>
                <w:color w:val="1B1C1D"/>
              </w:rPr>
            </w:pPr>
            <w:r w:rsidRPr="00954EE7">
              <w:rPr>
                <w:rFonts w:ascii="Arial" w:hAnsi="Arial" w:cs="Arial"/>
                <w:b/>
                <w:bCs/>
              </w:rPr>
              <w:t>Reference</w:t>
            </w:r>
          </w:p>
        </w:tc>
      </w:tr>
      <w:tr w:rsidR="008231CE" w:rsidRPr="00DC3180" w14:paraId="74AF49E7" w14:textId="77777777" w:rsidTr="008231CE">
        <w:trPr>
          <w:trHeight w:val="773"/>
          <w:jc w:val="center"/>
        </w:trPr>
        <w:tc>
          <w:tcPr>
            <w:tcW w:w="1395" w:type="dxa"/>
            <w:tcBorders>
              <w:bottom w:val="nil"/>
            </w:tcBorders>
          </w:tcPr>
          <w:p w14:paraId="335F42A0" w14:textId="594696E8" w:rsidR="008231CE" w:rsidRPr="005525B6" w:rsidRDefault="008231CE" w:rsidP="008231CE">
            <w:pPr>
              <w:rPr>
                <w:rFonts w:ascii="Arial" w:eastAsia="Google Sans Text" w:hAnsi="Arial" w:cs="Arial"/>
                <w:color w:val="1B1C1D"/>
              </w:rPr>
            </w:pPr>
            <w:r w:rsidRPr="00954EE7">
              <w:rPr>
                <w:rFonts w:ascii="Arial" w:hAnsi="Arial" w:cs="Arial"/>
              </w:rPr>
              <w:t>Rice Husk</w:t>
            </w:r>
          </w:p>
        </w:tc>
        <w:tc>
          <w:tcPr>
            <w:tcW w:w="1662" w:type="dxa"/>
            <w:tcBorders>
              <w:bottom w:val="nil"/>
            </w:tcBorders>
          </w:tcPr>
          <w:p w14:paraId="66163062" w14:textId="503E8561" w:rsidR="008231CE" w:rsidRPr="005525B6" w:rsidRDefault="008231CE" w:rsidP="008231CE">
            <w:pPr>
              <w:rPr>
                <w:rFonts w:ascii="Arial" w:eastAsia="Google Sans Text" w:hAnsi="Arial" w:cs="Arial"/>
                <w:color w:val="1B1C1D"/>
              </w:rPr>
            </w:pPr>
            <w:r w:rsidRPr="00954EE7">
              <w:rPr>
                <w:rFonts w:ascii="Arial" w:hAnsi="Arial" w:cs="Arial"/>
              </w:rPr>
              <w:t>Thermo-chemical / Sol-gel</w:t>
            </w:r>
          </w:p>
        </w:tc>
        <w:tc>
          <w:tcPr>
            <w:tcW w:w="1667" w:type="dxa"/>
            <w:tcBorders>
              <w:bottom w:val="nil"/>
            </w:tcBorders>
          </w:tcPr>
          <w:p w14:paraId="386DBC9D" w14:textId="77777777" w:rsidR="008231CE" w:rsidRDefault="008231CE" w:rsidP="008231CE">
            <w:pPr>
              <w:rPr>
                <w:rFonts w:ascii="Arial" w:hAnsi="Arial" w:cs="Arial"/>
              </w:rPr>
            </w:pPr>
            <w:proofErr w:type="spellStart"/>
            <w:r w:rsidRPr="00954EE7">
              <w:rPr>
                <w:rFonts w:ascii="Arial" w:hAnsi="Arial" w:cs="Arial"/>
              </w:rPr>
              <w:t>Nanosilica</w:t>
            </w:r>
            <w:proofErr w:type="spellEnd"/>
            <w:r w:rsidRPr="00954EE7">
              <w:rPr>
                <w:rFonts w:ascii="Arial" w:hAnsi="Arial" w:cs="Arial"/>
              </w:rPr>
              <w:t xml:space="preserve"> </w:t>
            </w:r>
          </w:p>
          <w:p w14:paraId="7C4B0307" w14:textId="2A346E07" w:rsidR="008231CE" w:rsidRPr="005525B6" w:rsidRDefault="008231CE" w:rsidP="008231CE">
            <w:pPr>
              <w:rPr>
                <w:rFonts w:ascii="Arial" w:eastAsia="Google Sans Text" w:hAnsi="Arial" w:cs="Arial"/>
                <w:color w:val="1B1C1D"/>
              </w:rPr>
            </w:pPr>
            <w:r w:rsidRPr="00954EE7">
              <w:rPr>
                <w:rFonts w:ascii="Arial" w:hAnsi="Arial" w:cs="Arial"/>
              </w:rPr>
              <w:t>(SiO</w:t>
            </w:r>
            <w:r w:rsidRPr="00954EE7">
              <w:rPr>
                <w:rFonts w:ascii="Arial" w:hAnsi="Arial" w:cs="Arial"/>
                <w:vertAlign w:val="subscript"/>
              </w:rPr>
              <w:t>2</w:t>
            </w:r>
            <w:r w:rsidRPr="00954EE7">
              <w:rPr>
                <w:rFonts w:ascii="Arial" w:hAnsi="Arial" w:cs="Arial"/>
              </w:rPr>
              <w:t>​)</w:t>
            </w:r>
          </w:p>
        </w:tc>
        <w:tc>
          <w:tcPr>
            <w:tcW w:w="1763" w:type="dxa"/>
            <w:tcBorders>
              <w:bottom w:val="nil"/>
            </w:tcBorders>
          </w:tcPr>
          <w:p w14:paraId="64C0252B" w14:textId="6918F3A4" w:rsidR="008231CE" w:rsidRPr="005525B6" w:rsidRDefault="008231CE" w:rsidP="008231CE">
            <w:pPr>
              <w:rPr>
                <w:rFonts w:ascii="Arial" w:eastAsia="Google Sans Text" w:hAnsi="Arial" w:cs="Arial"/>
                <w:color w:val="1B1C1D"/>
              </w:rPr>
            </w:pPr>
            <w:r w:rsidRPr="00954EE7">
              <w:rPr>
                <w:rFonts w:ascii="Arial" w:hAnsi="Arial" w:cs="Arial"/>
              </w:rPr>
              <w:t>Battery</w:t>
            </w:r>
          </w:p>
        </w:tc>
        <w:tc>
          <w:tcPr>
            <w:tcW w:w="1617" w:type="dxa"/>
            <w:tcBorders>
              <w:bottom w:val="nil"/>
            </w:tcBorders>
          </w:tcPr>
          <w:p w14:paraId="3A5EC5C0" w14:textId="36C3F85B" w:rsidR="008231CE" w:rsidRPr="005525B6" w:rsidRDefault="00BD7F4F" w:rsidP="008231CE">
            <w:pPr>
              <w:rPr>
                <w:rFonts w:ascii="Arial" w:eastAsia="Google Sans Text" w:hAnsi="Arial" w:cs="Arial"/>
                <w:color w:val="1B1C1D"/>
              </w:rPr>
            </w:pPr>
            <w:r w:rsidRPr="00BD7F4F">
              <w:rPr>
                <w:rFonts w:ascii="Arial" w:hAnsi="Arial" w:cs="Arial"/>
              </w:rPr>
              <w:t>(Shen, 2017)</w:t>
            </w:r>
          </w:p>
        </w:tc>
      </w:tr>
      <w:tr w:rsidR="008231CE" w:rsidRPr="00DC3180" w14:paraId="26526F57" w14:textId="77777777" w:rsidTr="008231CE">
        <w:trPr>
          <w:jc w:val="center"/>
        </w:trPr>
        <w:tc>
          <w:tcPr>
            <w:tcW w:w="1395" w:type="dxa"/>
            <w:tcBorders>
              <w:top w:val="nil"/>
              <w:bottom w:val="nil"/>
            </w:tcBorders>
          </w:tcPr>
          <w:p w14:paraId="53D9EBE3" w14:textId="041822F1" w:rsidR="008231CE" w:rsidRPr="005525B6" w:rsidRDefault="008231CE" w:rsidP="008231CE">
            <w:pPr>
              <w:rPr>
                <w:rFonts w:ascii="Arial" w:eastAsia="Google Sans Text" w:hAnsi="Arial" w:cs="Arial"/>
                <w:color w:val="1B1C1D"/>
              </w:rPr>
            </w:pPr>
            <w:r w:rsidRPr="00954EE7">
              <w:rPr>
                <w:rFonts w:ascii="Arial" w:hAnsi="Arial" w:cs="Arial"/>
              </w:rPr>
              <w:t>Sugarcane Bagasse</w:t>
            </w:r>
          </w:p>
        </w:tc>
        <w:tc>
          <w:tcPr>
            <w:tcW w:w="1662" w:type="dxa"/>
            <w:tcBorders>
              <w:top w:val="nil"/>
              <w:bottom w:val="nil"/>
            </w:tcBorders>
          </w:tcPr>
          <w:p w14:paraId="6F7EEDF6" w14:textId="48228205" w:rsidR="008231CE" w:rsidRPr="005525B6" w:rsidRDefault="008231CE" w:rsidP="008231CE">
            <w:pPr>
              <w:rPr>
                <w:rFonts w:ascii="Arial" w:eastAsia="Google Sans Text" w:hAnsi="Arial" w:cs="Arial"/>
                <w:color w:val="1B1C1D"/>
              </w:rPr>
            </w:pPr>
            <w:r w:rsidRPr="00954EE7">
              <w:rPr>
                <w:rFonts w:ascii="Arial" w:hAnsi="Arial" w:cs="Arial"/>
              </w:rPr>
              <w:t>Acid Hydrolysis, Homogenization</w:t>
            </w:r>
          </w:p>
        </w:tc>
        <w:tc>
          <w:tcPr>
            <w:tcW w:w="1667" w:type="dxa"/>
            <w:tcBorders>
              <w:top w:val="nil"/>
              <w:bottom w:val="nil"/>
            </w:tcBorders>
          </w:tcPr>
          <w:p w14:paraId="737BF30C" w14:textId="6EE2C8DD" w:rsidR="008231CE" w:rsidRPr="005525B6" w:rsidRDefault="008231CE" w:rsidP="008231CE">
            <w:pPr>
              <w:rPr>
                <w:rFonts w:ascii="Arial" w:eastAsia="Google Sans Text" w:hAnsi="Arial" w:cs="Arial"/>
                <w:color w:val="1B1C1D"/>
              </w:rPr>
            </w:pPr>
            <w:r w:rsidRPr="00954EE7">
              <w:rPr>
                <w:rFonts w:ascii="Arial" w:hAnsi="Arial" w:cs="Arial"/>
              </w:rPr>
              <w:t>Nanocellulose (CNCs/CNFs)</w:t>
            </w:r>
          </w:p>
        </w:tc>
        <w:tc>
          <w:tcPr>
            <w:tcW w:w="1763" w:type="dxa"/>
            <w:tcBorders>
              <w:top w:val="nil"/>
              <w:bottom w:val="nil"/>
            </w:tcBorders>
          </w:tcPr>
          <w:p w14:paraId="7527F6C9" w14:textId="0D40B854" w:rsidR="008231CE" w:rsidRPr="005525B6" w:rsidRDefault="008231CE" w:rsidP="008231CE">
            <w:pPr>
              <w:rPr>
                <w:rFonts w:ascii="Arial" w:eastAsia="Google Sans Text" w:hAnsi="Arial" w:cs="Arial"/>
                <w:color w:val="1B1C1D"/>
              </w:rPr>
            </w:pPr>
            <w:r w:rsidRPr="00954EE7">
              <w:rPr>
                <w:rFonts w:ascii="Arial" w:hAnsi="Arial" w:cs="Arial"/>
              </w:rPr>
              <w:t xml:space="preserve">Food packaging films, drug delivery </w:t>
            </w:r>
          </w:p>
        </w:tc>
        <w:tc>
          <w:tcPr>
            <w:tcW w:w="1617" w:type="dxa"/>
            <w:tcBorders>
              <w:top w:val="nil"/>
              <w:bottom w:val="nil"/>
            </w:tcBorders>
          </w:tcPr>
          <w:p w14:paraId="19337EB9" w14:textId="06EC33AE" w:rsidR="008231CE" w:rsidRPr="005525B6" w:rsidRDefault="008231CE" w:rsidP="008231CE">
            <w:pPr>
              <w:rPr>
                <w:rFonts w:ascii="Arial" w:eastAsia="Google Sans Text" w:hAnsi="Arial" w:cs="Arial"/>
                <w:color w:val="1B1C1D"/>
              </w:rPr>
            </w:pPr>
            <w:r w:rsidRPr="00954EE7">
              <w:rPr>
                <w:rFonts w:ascii="Arial" w:hAnsi="Arial" w:cs="Arial"/>
              </w:rPr>
              <w:t>(Reddy et al., 2021)</w:t>
            </w:r>
          </w:p>
        </w:tc>
      </w:tr>
      <w:tr w:rsidR="008231CE" w:rsidRPr="00DC3180" w14:paraId="2F4E7D69" w14:textId="77777777" w:rsidTr="008231CE">
        <w:trPr>
          <w:jc w:val="center"/>
        </w:trPr>
        <w:tc>
          <w:tcPr>
            <w:tcW w:w="1395" w:type="dxa"/>
            <w:tcBorders>
              <w:top w:val="nil"/>
              <w:bottom w:val="nil"/>
            </w:tcBorders>
          </w:tcPr>
          <w:p w14:paraId="006ECB33" w14:textId="2D01372B" w:rsidR="008231CE" w:rsidRPr="005525B6" w:rsidRDefault="008231CE" w:rsidP="008231CE">
            <w:pPr>
              <w:rPr>
                <w:rFonts w:ascii="Arial" w:eastAsia="Google Sans Text" w:hAnsi="Arial" w:cs="Arial"/>
                <w:color w:val="1B1C1D"/>
              </w:rPr>
            </w:pPr>
            <w:r w:rsidRPr="00954EE7">
              <w:rPr>
                <w:rFonts w:ascii="Arial" w:hAnsi="Arial" w:cs="Arial"/>
              </w:rPr>
              <w:t>Groundnut Shell</w:t>
            </w:r>
          </w:p>
        </w:tc>
        <w:tc>
          <w:tcPr>
            <w:tcW w:w="1662" w:type="dxa"/>
            <w:tcBorders>
              <w:top w:val="nil"/>
              <w:bottom w:val="nil"/>
            </w:tcBorders>
          </w:tcPr>
          <w:p w14:paraId="4ABF1950" w14:textId="2E87406D" w:rsidR="008231CE" w:rsidRPr="005525B6" w:rsidRDefault="008231CE" w:rsidP="008231CE">
            <w:pPr>
              <w:rPr>
                <w:rFonts w:ascii="Arial" w:eastAsia="Google Sans Text" w:hAnsi="Arial" w:cs="Arial"/>
                <w:color w:val="1B1C1D"/>
              </w:rPr>
            </w:pPr>
            <w:r w:rsidRPr="00954EE7">
              <w:rPr>
                <w:rFonts w:ascii="Arial" w:hAnsi="Arial" w:cs="Arial"/>
              </w:rPr>
              <w:t>Pyrolysis</w:t>
            </w:r>
          </w:p>
        </w:tc>
        <w:tc>
          <w:tcPr>
            <w:tcW w:w="1667" w:type="dxa"/>
            <w:tcBorders>
              <w:top w:val="nil"/>
              <w:bottom w:val="nil"/>
            </w:tcBorders>
          </w:tcPr>
          <w:p w14:paraId="203AE3A9" w14:textId="15BF6181" w:rsidR="008231CE" w:rsidRPr="005525B6" w:rsidRDefault="008231CE" w:rsidP="008231CE">
            <w:pPr>
              <w:rPr>
                <w:rFonts w:ascii="Arial" w:eastAsia="Google Sans Text" w:hAnsi="Arial" w:cs="Arial"/>
                <w:color w:val="1B1C1D"/>
              </w:rPr>
            </w:pPr>
            <w:r w:rsidRPr="00954EE7">
              <w:rPr>
                <w:rFonts w:ascii="Arial" w:hAnsi="Arial" w:cs="Arial"/>
              </w:rPr>
              <w:t>Carbon Nanoparticles</w:t>
            </w:r>
          </w:p>
        </w:tc>
        <w:tc>
          <w:tcPr>
            <w:tcW w:w="1763" w:type="dxa"/>
            <w:tcBorders>
              <w:top w:val="nil"/>
              <w:bottom w:val="nil"/>
            </w:tcBorders>
          </w:tcPr>
          <w:p w14:paraId="0E3C9CD2" w14:textId="6A0C4569" w:rsidR="008231CE" w:rsidRPr="005525B6" w:rsidRDefault="008231CE" w:rsidP="008231CE">
            <w:pPr>
              <w:rPr>
                <w:rFonts w:ascii="Arial" w:eastAsia="Google Sans Text" w:hAnsi="Arial" w:cs="Arial"/>
                <w:color w:val="1B1C1D"/>
              </w:rPr>
            </w:pPr>
            <w:r w:rsidRPr="00954EE7">
              <w:rPr>
                <w:rFonts w:ascii="Arial" w:hAnsi="Arial" w:cs="Arial"/>
              </w:rPr>
              <w:t>Antimicrobial agents</w:t>
            </w:r>
          </w:p>
        </w:tc>
        <w:tc>
          <w:tcPr>
            <w:tcW w:w="1617" w:type="dxa"/>
            <w:tcBorders>
              <w:top w:val="nil"/>
              <w:bottom w:val="nil"/>
            </w:tcBorders>
          </w:tcPr>
          <w:p w14:paraId="4658D046" w14:textId="73CFCC25" w:rsidR="008231CE" w:rsidRPr="005525B6" w:rsidRDefault="008231CE" w:rsidP="008231CE">
            <w:pPr>
              <w:rPr>
                <w:rFonts w:ascii="Arial" w:eastAsia="Google Sans Text" w:hAnsi="Arial" w:cs="Arial"/>
                <w:color w:val="1B1C1D"/>
              </w:rPr>
            </w:pPr>
            <w:r w:rsidRPr="00954EE7">
              <w:rPr>
                <w:rFonts w:ascii="Arial" w:hAnsi="Arial" w:cs="Arial"/>
              </w:rPr>
              <w:t>(</w:t>
            </w:r>
            <w:proofErr w:type="spellStart"/>
            <w:r w:rsidRPr="00954EE7">
              <w:rPr>
                <w:rFonts w:ascii="Arial" w:hAnsi="Arial" w:cs="Arial"/>
              </w:rPr>
              <w:t>Yallappa</w:t>
            </w:r>
            <w:proofErr w:type="spellEnd"/>
            <w:r w:rsidRPr="00954EE7">
              <w:rPr>
                <w:rFonts w:ascii="Arial" w:hAnsi="Arial" w:cs="Arial"/>
              </w:rPr>
              <w:t xml:space="preserve"> et al., 2017)</w:t>
            </w:r>
          </w:p>
        </w:tc>
      </w:tr>
      <w:tr w:rsidR="008231CE" w:rsidRPr="00DC3180" w14:paraId="3ECC4312" w14:textId="77777777" w:rsidTr="008231CE">
        <w:trPr>
          <w:jc w:val="center"/>
        </w:trPr>
        <w:tc>
          <w:tcPr>
            <w:tcW w:w="1395" w:type="dxa"/>
            <w:tcBorders>
              <w:top w:val="nil"/>
              <w:bottom w:val="nil"/>
            </w:tcBorders>
          </w:tcPr>
          <w:p w14:paraId="0BD97002" w14:textId="22AE2844" w:rsidR="008231CE" w:rsidRPr="005525B6" w:rsidRDefault="008231CE" w:rsidP="008231CE">
            <w:pPr>
              <w:rPr>
                <w:rFonts w:ascii="Arial" w:eastAsia="Google Sans Text" w:hAnsi="Arial" w:cs="Arial"/>
                <w:color w:val="1B1C1D"/>
              </w:rPr>
            </w:pPr>
            <w:r w:rsidRPr="00954EE7">
              <w:rPr>
                <w:rFonts w:ascii="Arial" w:hAnsi="Arial" w:cs="Arial"/>
              </w:rPr>
              <w:t>Avocado Peel Extract</w:t>
            </w:r>
          </w:p>
        </w:tc>
        <w:tc>
          <w:tcPr>
            <w:tcW w:w="1662" w:type="dxa"/>
            <w:tcBorders>
              <w:top w:val="nil"/>
              <w:bottom w:val="nil"/>
            </w:tcBorders>
          </w:tcPr>
          <w:p w14:paraId="649C4CB2" w14:textId="05D7A314" w:rsidR="008231CE" w:rsidRPr="005525B6" w:rsidRDefault="008231CE" w:rsidP="008231CE">
            <w:pPr>
              <w:rPr>
                <w:rFonts w:ascii="Arial" w:eastAsia="Google Sans Text" w:hAnsi="Arial" w:cs="Arial"/>
                <w:color w:val="1B1C1D"/>
              </w:rPr>
            </w:pPr>
            <w:r w:rsidRPr="00954EE7">
              <w:rPr>
                <w:rFonts w:ascii="Arial" w:hAnsi="Arial" w:cs="Arial"/>
              </w:rPr>
              <w:t>Green Synthesis (Reduction)</w:t>
            </w:r>
          </w:p>
        </w:tc>
        <w:tc>
          <w:tcPr>
            <w:tcW w:w="1667" w:type="dxa"/>
            <w:tcBorders>
              <w:top w:val="nil"/>
              <w:bottom w:val="nil"/>
            </w:tcBorders>
          </w:tcPr>
          <w:p w14:paraId="5B373E26" w14:textId="3C97DEA7" w:rsidR="008231CE" w:rsidRPr="005525B6" w:rsidRDefault="008231CE" w:rsidP="008231CE">
            <w:pPr>
              <w:rPr>
                <w:rFonts w:ascii="Arial" w:eastAsia="Google Sans Text" w:hAnsi="Arial" w:cs="Arial"/>
                <w:color w:val="1B1C1D"/>
              </w:rPr>
            </w:pPr>
            <w:r w:rsidRPr="00954EE7">
              <w:rPr>
                <w:rFonts w:ascii="Arial" w:hAnsi="Arial" w:cs="Arial"/>
              </w:rPr>
              <w:t>Silver (Ag) &amp; Gold (Au)</w:t>
            </w:r>
          </w:p>
        </w:tc>
        <w:tc>
          <w:tcPr>
            <w:tcW w:w="1763" w:type="dxa"/>
            <w:tcBorders>
              <w:top w:val="nil"/>
              <w:bottom w:val="nil"/>
            </w:tcBorders>
          </w:tcPr>
          <w:p w14:paraId="715830D0" w14:textId="294582D6" w:rsidR="008231CE" w:rsidRPr="005525B6" w:rsidRDefault="008231CE" w:rsidP="008231CE">
            <w:pPr>
              <w:rPr>
                <w:rFonts w:ascii="Arial" w:eastAsia="Google Sans Text" w:hAnsi="Arial" w:cs="Arial"/>
                <w:color w:val="1B1C1D"/>
              </w:rPr>
            </w:pPr>
            <w:r w:rsidRPr="00954EE7">
              <w:rPr>
                <w:rFonts w:ascii="Arial" w:hAnsi="Arial" w:cs="Arial"/>
              </w:rPr>
              <w:t>Antimicrobial coatings, sensors</w:t>
            </w:r>
          </w:p>
        </w:tc>
        <w:tc>
          <w:tcPr>
            <w:tcW w:w="1617" w:type="dxa"/>
            <w:tcBorders>
              <w:top w:val="nil"/>
              <w:bottom w:val="nil"/>
            </w:tcBorders>
          </w:tcPr>
          <w:p w14:paraId="5F5582D0" w14:textId="6AB9213C" w:rsidR="008231CE" w:rsidRPr="005525B6" w:rsidRDefault="008231CE" w:rsidP="008231CE">
            <w:pPr>
              <w:rPr>
                <w:rFonts w:ascii="Arial" w:eastAsia="Google Sans Text" w:hAnsi="Arial" w:cs="Arial"/>
                <w:color w:val="1B1C1D"/>
              </w:rPr>
            </w:pPr>
            <w:r w:rsidRPr="00954EE7">
              <w:rPr>
                <w:rFonts w:ascii="Arial" w:hAnsi="Arial" w:cs="Arial"/>
              </w:rPr>
              <w:t>(Adebayo et al., 2019)</w:t>
            </w:r>
          </w:p>
        </w:tc>
      </w:tr>
      <w:tr w:rsidR="008231CE" w:rsidRPr="00DC3180" w14:paraId="28EFABE1" w14:textId="77777777" w:rsidTr="008231CE">
        <w:trPr>
          <w:jc w:val="center"/>
        </w:trPr>
        <w:tc>
          <w:tcPr>
            <w:tcW w:w="1395" w:type="dxa"/>
            <w:tcBorders>
              <w:top w:val="nil"/>
              <w:bottom w:val="nil"/>
            </w:tcBorders>
          </w:tcPr>
          <w:p w14:paraId="4439156A" w14:textId="0E4B82A9" w:rsidR="008231CE" w:rsidRPr="005525B6" w:rsidRDefault="008231CE" w:rsidP="008231CE">
            <w:pPr>
              <w:rPr>
                <w:rFonts w:ascii="Arial" w:eastAsia="Google Sans Text" w:hAnsi="Arial" w:cs="Arial"/>
                <w:color w:val="1B1C1D"/>
              </w:rPr>
            </w:pPr>
            <w:r w:rsidRPr="00954EE7">
              <w:rPr>
                <w:rFonts w:ascii="Arial" w:hAnsi="Arial" w:cs="Arial"/>
              </w:rPr>
              <w:t>Potato Peel</w:t>
            </w:r>
          </w:p>
        </w:tc>
        <w:tc>
          <w:tcPr>
            <w:tcW w:w="1662" w:type="dxa"/>
            <w:tcBorders>
              <w:top w:val="nil"/>
              <w:bottom w:val="nil"/>
            </w:tcBorders>
          </w:tcPr>
          <w:p w14:paraId="7DB58FE9" w14:textId="5B3CDE4D" w:rsidR="008231CE" w:rsidRPr="005525B6" w:rsidRDefault="008231CE" w:rsidP="008231CE">
            <w:pPr>
              <w:rPr>
                <w:rFonts w:ascii="Arial" w:eastAsia="Google Sans Text" w:hAnsi="Arial" w:cs="Arial"/>
                <w:color w:val="1B1C1D"/>
              </w:rPr>
            </w:pPr>
            <w:r w:rsidRPr="00954EE7">
              <w:rPr>
                <w:rFonts w:ascii="Arial" w:hAnsi="Arial" w:cs="Arial"/>
              </w:rPr>
              <w:t>Alkaline treatment, Hydrolysis</w:t>
            </w:r>
          </w:p>
        </w:tc>
        <w:tc>
          <w:tcPr>
            <w:tcW w:w="1667" w:type="dxa"/>
            <w:tcBorders>
              <w:top w:val="nil"/>
              <w:bottom w:val="nil"/>
            </w:tcBorders>
          </w:tcPr>
          <w:p w14:paraId="395EE6D7" w14:textId="49291234" w:rsidR="008231CE" w:rsidRPr="005525B6" w:rsidRDefault="008231CE" w:rsidP="008231CE">
            <w:pPr>
              <w:rPr>
                <w:rFonts w:ascii="Arial" w:eastAsia="Google Sans Text" w:hAnsi="Arial" w:cs="Arial"/>
                <w:color w:val="1B1C1D"/>
              </w:rPr>
            </w:pPr>
            <w:r w:rsidRPr="00954EE7">
              <w:rPr>
                <w:rFonts w:ascii="Arial" w:hAnsi="Arial" w:cs="Arial"/>
              </w:rPr>
              <w:t>Cellulose Nanoparticles</w:t>
            </w:r>
          </w:p>
        </w:tc>
        <w:tc>
          <w:tcPr>
            <w:tcW w:w="1763" w:type="dxa"/>
            <w:tcBorders>
              <w:top w:val="nil"/>
              <w:bottom w:val="nil"/>
            </w:tcBorders>
          </w:tcPr>
          <w:p w14:paraId="08CA9010" w14:textId="47AC33C0" w:rsidR="008231CE" w:rsidRPr="005525B6" w:rsidRDefault="008231CE" w:rsidP="008231CE">
            <w:pPr>
              <w:rPr>
                <w:rFonts w:ascii="Arial" w:eastAsia="Google Sans Text" w:hAnsi="Arial" w:cs="Arial"/>
                <w:color w:val="1B1C1D"/>
              </w:rPr>
            </w:pPr>
            <w:r w:rsidRPr="00954EE7">
              <w:rPr>
                <w:rFonts w:ascii="Arial" w:hAnsi="Arial" w:cs="Arial"/>
              </w:rPr>
              <w:t>Active packaging films</w:t>
            </w:r>
          </w:p>
        </w:tc>
        <w:tc>
          <w:tcPr>
            <w:tcW w:w="1617" w:type="dxa"/>
            <w:tcBorders>
              <w:top w:val="nil"/>
              <w:bottom w:val="nil"/>
            </w:tcBorders>
          </w:tcPr>
          <w:p w14:paraId="5E057400" w14:textId="344A24F1" w:rsidR="008231CE" w:rsidRPr="005525B6" w:rsidRDefault="008231CE" w:rsidP="008231CE">
            <w:pPr>
              <w:rPr>
                <w:rFonts w:ascii="Arial" w:eastAsia="Google Sans Text" w:hAnsi="Arial" w:cs="Arial"/>
                <w:color w:val="1B1C1D"/>
              </w:rPr>
            </w:pPr>
            <w:r w:rsidRPr="00954EE7">
              <w:rPr>
                <w:rFonts w:ascii="Arial" w:hAnsi="Arial" w:cs="Arial"/>
              </w:rPr>
              <w:t>(Ramesh &amp; Radhakrishnan, 2019)</w:t>
            </w:r>
          </w:p>
        </w:tc>
      </w:tr>
      <w:tr w:rsidR="008231CE" w:rsidRPr="00DC3180" w14:paraId="4F25F2C0" w14:textId="77777777" w:rsidTr="008231CE">
        <w:trPr>
          <w:jc w:val="center"/>
        </w:trPr>
        <w:tc>
          <w:tcPr>
            <w:tcW w:w="1395" w:type="dxa"/>
            <w:tcBorders>
              <w:top w:val="nil"/>
              <w:bottom w:val="nil"/>
            </w:tcBorders>
          </w:tcPr>
          <w:p w14:paraId="2C65125C" w14:textId="7DDE9161" w:rsidR="008231CE" w:rsidRPr="00954EE7" w:rsidRDefault="008231CE" w:rsidP="008231CE">
            <w:pPr>
              <w:rPr>
                <w:rFonts w:ascii="Arial" w:hAnsi="Arial" w:cs="Arial"/>
              </w:rPr>
            </w:pPr>
            <w:r w:rsidRPr="00954EE7">
              <w:rPr>
                <w:rFonts w:ascii="Arial" w:hAnsi="Arial" w:cs="Arial"/>
              </w:rPr>
              <w:t>Corn Cob</w:t>
            </w:r>
          </w:p>
        </w:tc>
        <w:tc>
          <w:tcPr>
            <w:tcW w:w="1662" w:type="dxa"/>
            <w:tcBorders>
              <w:top w:val="nil"/>
              <w:bottom w:val="nil"/>
            </w:tcBorders>
          </w:tcPr>
          <w:p w14:paraId="405B0057" w14:textId="1B780360" w:rsidR="008231CE" w:rsidRPr="005525B6" w:rsidRDefault="008231CE" w:rsidP="008231CE">
            <w:pPr>
              <w:rPr>
                <w:rFonts w:ascii="Arial" w:eastAsia="Google Sans Text" w:hAnsi="Arial" w:cs="Arial"/>
                <w:color w:val="1B1C1D"/>
              </w:rPr>
            </w:pPr>
            <w:r w:rsidRPr="00954EE7">
              <w:rPr>
                <w:rFonts w:ascii="Arial" w:hAnsi="Arial" w:cs="Arial"/>
              </w:rPr>
              <w:t>Hydrothermal Carbonization</w:t>
            </w:r>
          </w:p>
        </w:tc>
        <w:tc>
          <w:tcPr>
            <w:tcW w:w="1667" w:type="dxa"/>
            <w:tcBorders>
              <w:top w:val="nil"/>
              <w:bottom w:val="nil"/>
            </w:tcBorders>
          </w:tcPr>
          <w:p w14:paraId="7E28E70A" w14:textId="66263AD6" w:rsidR="008231CE" w:rsidRPr="005525B6" w:rsidRDefault="008231CE" w:rsidP="008231CE">
            <w:pPr>
              <w:rPr>
                <w:rFonts w:ascii="Arial" w:eastAsia="Google Sans Text" w:hAnsi="Arial" w:cs="Arial"/>
                <w:color w:val="1B1C1D"/>
              </w:rPr>
            </w:pPr>
            <w:r w:rsidRPr="00954EE7">
              <w:rPr>
                <w:rFonts w:ascii="Arial" w:hAnsi="Arial" w:cs="Arial"/>
              </w:rPr>
              <w:t>Carbon Dots (CDs)</w:t>
            </w:r>
          </w:p>
        </w:tc>
        <w:tc>
          <w:tcPr>
            <w:tcW w:w="1763" w:type="dxa"/>
            <w:tcBorders>
              <w:top w:val="nil"/>
              <w:bottom w:val="nil"/>
            </w:tcBorders>
          </w:tcPr>
          <w:p w14:paraId="023457E2" w14:textId="63AC1016" w:rsidR="008231CE" w:rsidRPr="005525B6" w:rsidRDefault="008231CE" w:rsidP="008231CE">
            <w:pPr>
              <w:rPr>
                <w:rFonts w:ascii="Arial" w:eastAsia="Google Sans Text" w:hAnsi="Arial" w:cs="Arial"/>
                <w:color w:val="1B1C1D"/>
              </w:rPr>
            </w:pPr>
            <w:r w:rsidRPr="00954EE7">
              <w:rPr>
                <w:rFonts w:ascii="Arial" w:hAnsi="Arial" w:cs="Arial"/>
              </w:rPr>
              <w:t>Bioimaging, heavy metal sensing</w:t>
            </w:r>
          </w:p>
        </w:tc>
        <w:tc>
          <w:tcPr>
            <w:tcW w:w="1617" w:type="dxa"/>
            <w:tcBorders>
              <w:top w:val="nil"/>
              <w:bottom w:val="nil"/>
            </w:tcBorders>
          </w:tcPr>
          <w:p w14:paraId="2D1C2649" w14:textId="096C79BB" w:rsidR="008231CE" w:rsidRPr="005525B6" w:rsidRDefault="00BD7F4F" w:rsidP="008231CE">
            <w:pPr>
              <w:rPr>
                <w:rFonts w:ascii="Arial" w:eastAsia="Google Sans Text" w:hAnsi="Arial" w:cs="Arial"/>
                <w:color w:val="1B1C1D"/>
              </w:rPr>
            </w:pPr>
            <w:r w:rsidRPr="00BD7F4F">
              <w:rPr>
                <w:rFonts w:ascii="Arial" w:hAnsi="Arial" w:cs="Arial"/>
              </w:rPr>
              <w:t>(Li et al., 2021)</w:t>
            </w:r>
          </w:p>
        </w:tc>
      </w:tr>
      <w:tr w:rsidR="008231CE" w:rsidRPr="00DC3180" w14:paraId="6335BBDC" w14:textId="77777777" w:rsidTr="008231CE">
        <w:trPr>
          <w:jc w:val="center"/>
        </w:trPr>
        <w:tc>
          <w:tcPr>
            <w:tcW w:w="1395" w:type="dxa"/>
            <w:tcBorders>
              <w:top w:val="nil"/>
              <w:bottom w:val="nil"/>
            </w:tcBorders>
          </w:tcPr>
          <w:p w14:paraId="51983F80" w14:textId="1F74DC1D" w:rsidR="008231CE" w:rsidRPr="00954EE7" w:rsidRDefault="008231CE" w:rsidP="008231CE">
            <w:pPr>
              <w:rPr>
                <w:rFonts w:ascii="Arial" w:hAnsi="Arial" w:cs="Arial"/>
              </w:rPr>
            </w:pPr>
            <w:r w:rsidRPr="00954EE7">
              <w:rPr>
                <w:rFonts w:ascii="Arial" w:hAnsi="Arial" w:cs="Arial"/>
              </w:rPr>
              <w:t>Mulberry Leaves</w:t>
            </w:r>
          </w:p>
        </w:tc>
        <w:tc>
          <w:tcPr>
            <w:tcW w:w="1662" w:type="dxa"/>
            <w:tcBorders>
              <w:top w:val="nil"/>
              <w:bottom w:val="nil"/>
            </w:tcBorders>
          </w:tcPr>
          <w:p w14:paraId="052E2945" w14:textId="1330D2DC" w:rsidR="008231CE" w:rsidRPr="005525B6" w:rsidRDefault="008231CE" w:rsidP="008231CE">
            <w:pPr>
              <w:rPr>
                <w:rFonts w:ascii="Arial" w:eastAsia="Google Sans Text" w:hAnsi="Arial" w:cs="Arial"/>
                <w:color w:val="1B1C1D"/>
              </w:rPr>
            </w:pPr>
            <w:r w:rsidRPr="00954EE7">
              <w:rPr>
                <w:rFonts w:ascii="Arial" w:hAnsi="Arial" w:cs="Arial"/>
              </w:rPr>
              <w:t>Green Synthesis (Reduction)</w:t>
            </w:r>
          </w:p>
        </w:tc>
        <w:tc>
          <w:tcPr>
            <w:tcW w:w="1667" w:type="dxa"/>
            <w:tcBorders>
              <w:top w:val="nil"/>
              <w:bottom w:val="nil"/>
            </w:tcBorders>
          </w:tcPr>
          <w:p w14:paraId="56F1E1C1" w14:textId="5315F998" w:rsidR="008231CE" w:rsidRPr="005525B6" w:rsidRDefault="008231CE" w:rsidP="008231CE">
            <w:pPr>
              <w:rPr>
                <w:rFonts w:ascii="Arial" w:eastAsia="Google Sans Text" w:hAnsi="Arial" w:cs="Arial"/>
                <w:color w:val="1B1C1D"/>
              </w:rPr>
            </w:pPr>
            <w:r w:rsidRPr="00954EE7">
              <w:rPr>
                <w:rFonts w:ascii="Arial" w:hAnsi="Arial" w:cs="Arial"/>
              </w:rPr>
              <w:t>Titanium Dioxide (TiO</w:t>
            </w:r>
            <w:r w:rsidRPr="00954EE7">
              <w:rPr>
                <w:rFonts w:ascii="Arial" w:hAnsi="Arial" w:cs="Arial"/>
                <w:vertAlign w:val="subscript"/>
              </w:rPr>
              <w:t>2</w:t>
            </w:r>
            <w:r w:rsidRPr="00954EE7">
              <w:rPr>
                <w:rFonts w:ascii="Arial" w:hAnsi="Arial" w:cs="Arial"/>
              </w:rPr>
              <w:t>)</w:t>
            </w:r>
          </w:p>
        </w:tc>
        <w:tc>
          <w:tcPr>
            <w:tcW w:w="1763" w:type="dxa"/>
            <w:tcBorders>
              <w:top w:val="nil"/>
              <w:bottom w:val="nil"/>
            </w:tcBorders>
          </w:tcPr>
          <w:p w14:paraId="186E90F7" w14:textId="0D15147D" w:rsidR="008231CE" w:rsidRPr="005525B6" w:rsidRDefault="008231CE" w:rsidP="008231CE">
            <w:pPr>
              <w:rPr>
                <w:rFonts w:ascii="Arial" w:eastAsia="Google Sans Text" w:hAnsi="Arial" w:cs="Arial"/>
                <w:color w:val="1B1C1D"/>
              </w:rPr>
            </w:pPr>
            <w:r w:rsidRPr="00954EE7">
              <w:rPr>
                <w:rFonts w:ascii="Arial" w:hAnsi="Arial" w:cs="Arial"/>
              </w:rPr>
              <w:t xml:space="preserve">Functionalization of fabrics, photocatalysis </w:t>
            </w:r>
          </w:p>
        </w:tc>
        <w:tc>
          <w:tcPr>
            <w:tcW w:w="1617" w:type="dxa"/>
            <w:tcBorders>
              <w:top w:val="nil"/>
              <w:bottom w:val="nil"/>
            </w:tcBorders>
          </w:tcPr>
          <w:p w14:paraId="64BC2420" w14:textId="7CBFB1D5" w:rsidR="008231CE" w:rsidRPr="005525B6" w:rsidRDefault="008231CE" w:rsidP="008231CE">
            <w:pPr>
              <w:rPr>
                <w:rFonts w:ascii="Arial" w:eastAsia="Google Sans Text" w:hAnsi="Arial" w:cs="Arial"/>
                <w:color w:val="1B1C1D"/>
              </w:rPr>
            </w:pPr>
            <w:r w:rsidRPr="00954EE7">
              <w:rPr>
                <w:rFonts w:ascii="Arial" w:hAnsi="Arial" w:cs="Arial"/>
              </w:rPr>
              <w:t>(Akram et al., 2024)</w:t>
            </w:r>
          </w:p>
        </w:tc>
      </w:tr>
      <w:tr w:rsidR="008231CE" w:rsidRPr="00DC3180" w14:paraId="6A1A0885" w14:textId="77777777" w:rsidTr="008231CE">
        <w:trPr>
          <w:jc w:val="center"/>
        </w:trPr>
        <w:tc>
          <w:tcPr>
            <w:tcW w:w="1395" w:type="dxa"/>
            <w:tcBorders>
              <w:top w:val="nil"/>
              <w:bottom w:val="single" w:sz="4" w:space="0" w:color="auto"/>
            </w:tcBorders>
          </w:tcPr>
          <w:p w14:paraId="17DC9748" w14:textId="03C5CAAF" w:rsidR="008231CE" w:rsidRPr="00954EE7" w:rsidRDefault="008231CE" w:rsidP="008231CE">
            <w:pPr>
              <w:rPr>
                <w:rFonts w:ascii="Arial" w:hAnsi="Arial" w:cs="Arial"/>
              </w:rPr>
            </w:pPr>
            <w:r w:rsidRPr="00954EE7">
              <w:rPr>
                <w:rFonts w:ascii="Arial" w:hAnsi="Arial" w:cs="Arial"/>
              </w:rPr>
              <w:t>Palm oil boiler ash</w:t>
            </w:r>
          </w:p>
        </w:tc>
        <w:tc>
          <w:tcPr>
            <w:tcW w:w="1662" w:type="dxa"/>
            <w:tcBorders>
              <w:top w:val="nil"/>
              <w:bottom w:val="single" w:sz="4" w:space="0" w:color="auto"/>
            </w:tcBorders>
          </w:tcPr>
          <w:p w14:paraId="6E7F0048" w14:textId="611641F2" w:rsidR="008231CE" w:rsidRPr="005525B6" w:rsidRDefault="008231CE" w:rsidP="008231CE">
            <w:pPr>
              <w:rPr>
                <w:rFonts w:ascii="Arial" w:eastAsia="Google Sans Text" w:hAnsi="Arial" w:cs="Arial"/>
                <w:color w:val="1B1C1D"/>
              </w:rPr>
            </w:pPr>
            <w:r w:rsidRPr="00954EE7">
              <w:rPr>
                <w:rFonts w:ascii="Arial" w:hAnsi="Arial" w:cs="Arial"/>
              </w:rPr>
              <w:t>Calcination and Ball Mill</w:t>
            </w:r>
          </w:p>
        </w:tc>
        <w:tc>
          <w:tcPr>
            <w:tcW w:w="1667" w:type="dxa"/>
            <w:tcBorders>
              <w:top w:val="nil"/>
              <w:bottom w:val="single" w:sz="4" w:space="0" w:color="auto"/>
            </w:tcBorders>
          </w:tcPr>
          <w:p w14:paraId="6211D3F3" w14:textId="77777777" w:rsidR="00700A76" w:rsidRDefault="008231CE" w:rsidP="008231CE">
            <w:pPr>
              <w:rPr>
                <w:rFonts w:ascii="Arial" w:hAnsi="Arial" w:cs="Arial"/>
              </w:rPr>
            </w:pPr>
            <w:proofErr w:type="spellStart"/>
            <w:r w:rsidRPr="00954EE7">
              <w:rPr>
                <w:rFonts w:ascii="Arial" w:hAnsi="Arial" w:cs="Arial"/>
              </w:rPr>
              <w:t>Nanosilica</w:t>
            </w:r>
            <w:proofErr w:type="spellEnd"/>
            <w:r w:rsidRPr="00954EE7">
              <w:rPr>
                <w:rFonts w:ascii="Arial" w:hAnsi="Arial" w:cs="Arial"/>
              </w:rPr>
              <w:t xml:space="preserve"> </w:t>
            </w:r>
          </w:p>
          <w:p w14:paraId="193AB5E8" w14:textId="3932847F" w:rsidR="008231CE" w:rsidRPr="005525B6" w:rsidRDefault="008231CE" w:rsidP="008231CE">
            <w:pPr>
              <w:rPr>
                <w:rFonts w:ascii="Arial" w:eastAsia="Google Sans Text" w:hAnsi="Arial" w:cs="Arial"/>
                <w:color w:val="1B1C1D"/>
              </w:rPr>
            </w:pPr>
            <w:r w:rsidRPr="00954EE7">
              <w:rPr>
                <w:rFonts w:ascii="Arial" w:hAnsi="Arial" w:cs="Arial"/>
              </w:rPr>
              <w:t>(SiO</w:t>
            </w:r>
            <w:r w:rsidRPr="00954EE7">
              <w:rPr>
                <w:rFonts w:ascii="Arial" w:hAnsi="Arial" w:cs="Arial"/>
                <w:vertAlign w:val="subscript"/>
              </w:rPr>
              <w:t>2</w:t>
            </w:r>
            <w:r w:rsidRPr="00954EE7">
              <w:rPr>
                <w:rFonts w:ascii="Arial" w:hAnsi="Arial" w:cs="Arial"/>
              </w:rPr>
              <w:t>​)</w:t>
            </w:r>
          </w:p>
        </w:tc>
        <w:tc>
          <w:tcPr>
            <w:tcW w:w="1763" w:type="dxa"/>
            <w:tcBorders>
              <w:top w:val="nil"/>
              <w:bottom w:val="single" w:sz="4" w:space="0" w:color="auto"/>
            </w:tcBorders>
          </w:tcPr>
          <w:p w14:paraId="7C61408C" w14:textId="7099AF31" w:rsidR="008231CE" w:rsidRPr="005525B6" w:rsidRDefault="008231CE" w:rsidP="008231CE">
            <w:pPr>
              <w:rPr>
                <w:rFonts w:ascii="Arial" w:eastAsia="Google Sans Text" w:hAnsi="Arial" w:cs="Arial"/>
                <w:color w:val="1B1C1D"/>
              </w:rPr>
            </w:pPr>
            <w:r w:rsidRPr="00954EE7">
              <w:rPr>
                <w:rFonts w:ascii="Arial" w:hAnsi="Arial" w:cs="Arial"/>
              </w:rPr>
              <w:t xml:space="preserve">Functionalization of fabrics, photocatalysis </w:t>
            </w:r>
          </w:p>
        </w:tc>
        <w:tc>
          <w:tcPr>
            <w:tcW w:w="1617" w:type="dxa"/>
            <w:tcBorders>
              <w:top w:val="nil"/>
              <w:bottom w:val="single" w:sz="4" w:space="0" w:color="auto"/>
            </w:tcBorders>
          </w:tcPr>
          <w:p w14:paraId="39F62EB3" w14:textId="5473E1C0" w:rsidR="008231CE" w:rsidRPr="005525B6" w:rsidRDefault="00BD7F4F" w:rsidP="008231CE">
            <w:pPr>
              <w:rPr>
                <w:rFonts w:ascii="Arial" w:eastAsia="Google Sans Text" w:hAnsi="Arial" w:cs="Arial"/>
                <w:color w:val="1B1C1D"/>
              </w:rPr>
            </w:pPr>
            <w:r w:rsidRPr="00BD7F4F">
              <w:rPr>
                <w:rFonts w:ascii="Arial" w:eastAsia="Google Sans Text" w:hAnsi="Arial" w:cs="Arial"/>
                <w:color w:val="1B1C1D"/>
              </w:rPr>
              <w:t>(Frida et al., 2024)</w:t>
            </w:r>
          </w:p>
        </w:tc>
      </w:tr>
    </w:tbl>
    <w:p w14:paraId="01B036CF" w14:textId="77777777" w:rsidR="00954EE7" w:rsidRPr="00E16584" w:rsidRDefault="00954EE7" w:rsidP="00E16584">
      <w:pPr>
        <w:pStyle w:val="Body"/>
        <w:spacing w:after="0"/>
        <w:rPr>
          <w:rFonts w:ascii="Arial" w:hAnsi="Arial" w:cs="Arial"/>
        </w:rPr>
      </w:pPr>
    </w:p>
    <w:p w14:paraId="32791415" w14:textId="77777777" w:rsidR="007B5078" w:rsidRDefault="007B5078" w:rsidP="007B5078">
      <w:pPr>
        <w:pStyle w:val="Body"/>
        <w:spacing w:after="0"/>
        <w:rPr>
          <w:rFonts w:ascii="Arial" w:eastAsia="Google Sans Text" w:hAnsi="Arial" w:cs="Arial"/>
          <w:color w:val="1B1C1D"/>
        </w:rPr>
      </w:pPr>
      <w:r w:rsidRPr="00E16584">
        <w:rPr>
          <w:rFonts w:ascii="Arial" w:eastAsia="Google Sans Text" w:hAnsi="Arial" w:cs="Arial"/>
          <w:color w:val="1B1C1D"/>
        </w:rPr>
        <w:t>Once synthesized, rigorous characterization is required to understand the nanoparticles' properties. This involves using techniques like Transmission Electron Microscopy (TEM) and Atomic Force Microscopy (AFM) to directly visualize morphology and crystalline structure. Dynamic Light Scattering (DLS) is used to measure the particle size distribution in a liquid medium, while spectroscopic methods like Fourier-Transform Infrared Spectroscopy (FTIR) and UV-Vis Spectroscopy analyze the chemical functional groups and optical properties, respectively. Furthermore, X-ray Diffraction (XRD) is crucial for determining the crystallinity and phase purity of the synthesized nanomaterials.</w:t>
      </w:r>
    </w:p>
    <w:p w14:paraId="4B659A01" w14:textId="77777777" w:rsidR="00790ADA" w:rsidRPr="00FB3A86" w:rsidRDefault="00790ADA" w:rsidP="00441B6F">
      <w:pPr>
        <w:pStyle w:val="Body"/>
        <w:spacing w:after="0"/>
        <w:rPr>
          <w:rFonts w:ascii="Arial" w:hAnsi="Arial" w:cs="Arial"/>
        </w:rPr>
      </w:pPr>
    </w:p>
    <w:p w14:paraId="13D1FEA5" w14:textId="082AD5D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954EE7" w:rsidRPr="00954EE7">
        <w:rPr>
          <w:rFonts w:ascii="Arial" w:hAnsi="Arial" w:cs="Arial"/>
        </w:rPr>
        <w:t>APPLICATION IN FOOD PRESERVATION AND SUSTAINABLE AGRICULTURE</w:t>
      </w:r>
    </w:p>
    <w:p w14:paraId="7A22B117" w14:textId="77777777" w:rsidR="00790ADA" w:rsidRPr="00FB3A86" w:rsidRDefault="00790ADA" w:rsidP="00441B6F">
      <w:pPr>
        <w:pStyle w:val="Head1"/>
        <w:spacing w:after="0"/>
        <w:jc w:val="both"/>
        <w:rPr>
          <w:rFonts w:ascii="Arial" w:hAnsi="Arial" w:cs="Arial"/>
        </w:rPr>
      </w:pPr>
    </w:p>
    <w:p w14:paraId="0BE23A53" w14:textId="591C9C90" w:rsidR="00954EE7" w:rsidRPr="00954EE7" w:rsidRDefault="00954EE7" w:rsidP="00441B6F">
      <w:pPr>
        <w:pStyle w:val="Body"/>
        <w:spacing w:after="0"/>
        <w:rPr>
          <w:rFonts w:ascii="Arial" w:hAnsi="Arial" w:cs="Arial"/>
        </w:rPr>
      </w:pPr>
      <w:r w:rsidRPr="00954EE7">
        <w:rPr>
          <w:rFonts w:ascii="Arial" w:eastAsia="Google Sans Text" w:hAnsi="Arial" w:cs="Arial"/>
          <w:color w:val="1B1C1D"/>
        </w:rPr>
        <w:t xml:space="preserve">The unique properties of </w:t>
      </w:r>
      <w:r w:rsidR="007B5078">
        <w:rPr>
          <w:rFonts w:ascii="Arial" w:eastAsia="Google Sans Text" w:hAnsi="Arial" w:cs="Arial"/>
          <w:color w:val="1B1C1D"/>
        </w:rPr>
        <w:t xml:space="preserve">CRNs </w:t>
      </w:r>
      <w:r w:rsidRPr="00954EE7">
        <w:rPr>
          <w:rFonts w:ascii="Arial" w:eastAsia="Google Sans Text" w:hAnsi="Arial" w:cs="Arial"/>
          <w:color w:val="1B1C1D"/>
        </w:rPr>
        <w:t xml:space="preserve">make them highly suitable for a range of applications aimed at improving agricultural sustainability. While there is growing interest in their use as </w:t>
      </w:r>
      <w:proofErr w:type="spellStart"/>
      <w:r w:rsidRPr="00954EE7">
        <w:rPr>
          <w:rFonts w:ascii="Arial" w:eastAsia="Google Sans Text" w:hAnsi="Arial" w:cs="Arial"/>
          <w:color w:val="1B1C1D"/>
        </w:rPr>
        <w:t>nanofertilizers</w:t>
      </w:r>
      <w:proofErr w:type="spellEnd"/>
      <w:r w:rsidRPr="00954EE7">
        <w:rPr>
          <w:rFonts w:ascii="Arial" w:eastAsia="Google Sans Text" w:hAnsi="Arial" w:cs="Arial"/>
          <w:color w:val="1B1C1D"/>
        </w:rPr>
        <w:t xml:space="preserve"> and for soil remediation, their most extensively researched and developed application is in the field of food preservation through the creation of advanced nanocomposites for active packaging (Salama et al., 2020).</w:t>
      </w:r>
    </w:p>
    <w:p w14:paraId="522CE312" w14:textId="77777777" w:rsidR="00954EE7" w:rsidRDefault="00954EE7" w:rsidP="00441B6F">
      <w:pPr>
        <w:pStyle w:val="Body"/>
        <w:spacing w:after="0"/>
        <w:rPr>
          <w:rFonts w:ascii="Arial" w:hAnsi="Arial" w:cs="Arial"/>
        </w:rPr>
      </w:pPr>
    </w:p>
    <w:p w14:paraId="528C505E" w14:textId="591D2C00" w:rsidR="00C30A0F" w:rsidRDefault="00C30A0F"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954EE7" w:rsidRPr="00954EE7">
        <w:rPr>
          <w:rFonts w:ascii="Arial" w:hAnsi="Arial" w:cs="Arial"/>
          <w:b/>
          <w:sz w:val="22"/>
        </w:rPr>
        <w:t>Active Food Packaging with Nanocomposites</w:t>
      </w:r>
    </w:p>
    <w:p w14:paraId="6BF4193C" w14:textId="77777777" w:rsidR="00505F06" w:rsidRDefault="00505F06" w:rsidP="00441B6F">
      <w:pPr>
        <w:pStyle w:val="Body"/>
        <w:spacing w:after="0"/>
        <w:rPr>
          <w:rFonts w:ascii="Arial" w:hAnsi="Arial" w:cs="Arial"/>
        </w:rPr>
      </w:pPr>
    </w:p>
    <w:p w14:paraId="377D62CD" w14:textId="4057C90F" w:rsidR="005525B6" w:rsidRDefault="005525B6" w:rsidP="005525B6">
      <w:pPr>
        <w:pStyle w:val="Body"/>
        <w:spacing w:after="0"/>
        <w:rPr>
          <w:rFonts w:ascii="Arial" w:eastAsia="Google Sans Text" w:hAnsi="Arial" w:cs="Arial"/>
          <w:color w:val="1B1C1D"/>
        </w:rPr>
      </w:pPr>
      <w:r w:rsidRPr="005525B6">
        <w:rPr>
          <w:rFonts w:ascii="Arial" w:eastAsia="Google Sans Text" w:hAnsi="Arial" w:cs="Arial"/>
          <w:color w:val="1B1C1D"/>
        </w:rPr>
        <w:lastRenderedPageBreak/>
        <w:t xml:space="preserve">The primary application for these </w:t>
      </w:r>
      <w:r w:rsidR="000F289D">
        <w:rPr>
          <w:rFonts w:ascii="Arial" w:eastAsia="Google Sans Text" w:hAnsi="Arial" w:cs="Arial"/>
          <w:color w:val="1B1C1D"/>
        </w:rPr>
        <w:t xml:space="preserve">CRNs </w:t>
      </w:r>
      <w:r w:rsidRPr="005525B6">
        <w:rPr>
          <w:rFonts w:ascii="Arial" w:eastAsia="Google Sans Text" w:hAnsi="Arial" w:cs="Arial"/>
          <w:color w:val="1B1C1D"/>
        </w:rPr>
        <w:t>is their incorporation as functional fillers into biopolymer matrices to create active food packaging</w:t>
      </w:r>
      <w:r w:rsidR="005647C5">
        <w:rPr>
          <w:rFonts w:ascii="Arial" w:eastAsia="Google Sans Text" w:hAnsi="Arial" w:cs="Arial"/>
          <w:color w:val="1B1C1D"/>
        </w:rPr>
        <w:t xml:space="preserve"> </w:t>
      </w:r>
      <w:r w:rsidR="005647C5" w:rsidRPr="005647C5">
        <w:rPr>
          <w:rFonts w:ascii="Arial" w:eastAsia="Google Sans Text" w:hAnsi="Arial" w:cs="Arial"/>
          <w:color w:val="1B1C1D"/>
        </w:rPr>
        <w:t>(Palanisamy, Saravana Kumar, et al., 2025)</w:t>
      </w:r>
      <w:r w:rsidRPr="005525B6">
        <w:rPr>
          <w:rFonts w:ascii="Arial" w:eastAsia="Google Sans Text" w:hAnsi="Arial" w:cs="Arial"/>
          <w:color w:val="1B1C1D"/>
        </w:rPr>
        <w:t xml:space="preserve">. These nanocomposites are designed to go beyond passive containment, actively interacting with the food or its environment to extend shelf-life and improve safety (Figure 2). Nanoparticles such as nanocellulose, </w:t>
      </w:r>
      <w:proofErr w:type="spellStart"/>
      <w:r w:rsidRPr="005525B6">
        <w:rPr>
          <w:rFonts w:ascii="Arial" w:eastAsia="Google Sans Text" w:hAnsi="Arial" w:cs="Arial"/>
          <w:color w:val="1B1C1D"/>
        </w:rPr>
        <w:t>nanosilica</w:t>
      </w:r>
      <w:proofErr w:type="spellEnd"/>
      <w:r w:rsidRPr="005525B6">
        <w:rPr>
          <w:rFonts w:ascii="Arial" w:eastAsia="Google Sans Text" w:hAnsi="Arial" w:cs="Arial"/>
          <w:color w:val="1B1C1D"/>
        </w:rPr>
        <w:t>, and metallic nanoparticles are embedded into matrices like chitosan, cellulose, or polyvinyl alcohol (PVA)</w:t>
      </w:r>
      <w:r w:rsidR="0030267F">
        <w:rPr>
          <w:rFonts w:ascii="Arial" w:eastAsia="Google Sans Text" w:hAnsi="Arial" w:cs="Arial"/>
          <w:color w:val="1B1C1D"/>
        </w:rPr>
        <w:t xml:space="preserve"> </w:t>
      </w:r>
      <w:r w:rsidR="0030267F" w:rsidRPr="0030267F">
        <w:rPr>
          <w:rFonts w:ascii="Arial" w:eastAsia="Google Sans Text" w:hAnsi="Arial" w:cs="Arial"/>
          <w:color w:val="1B1C1D"/>
        </w:rPr>
        <w:t>(Huang et al., 2024; Lu et al., 2022; Palanisamy et al., 2024; Rahmawati et al., 2024).</w:t>
      </w:r>
      <w:r w:rsidRPr="005525B6">
        <w:rPr>
          <w:rFonts w:ascii="Arial" w:eastAsia="Google Sans Text" w:hAnsi="Arial" w:cs="Arial"/>
          <w:color w:val="1B1C1D"/>
        </w:rPr>
        <w:t xml:space="preserve"> The resulting films or edible coatings exhibit significantly enhanced properties. For instance, the high aspect ratio and crystalline nature of nanocellulose from sugarcane bagasse can create a tortuous path for gas molecules, drastically improving the oxygen and water vapor barrier properties of the film. Similarly, inorganic nanoparticles like titanium oxide (TiO</w:t>
      </w:r>
      <w:r w:rsidRPr="005525B6">
        <w:rPr>
          <w:rFonts w:ascii="Arial" w:eastAsia="Google Sans Text" w:hAnsi="Arial" w:cs="Arial"/>
          <w:color w:val="1B1C1D"/>
          <w:vertAlign w:val="subscript"/>
        </w:rPr>
        <w:t>2</w:t>
      </w:r>
      <w:r w:rsidRPr="005525B6">
        <w:rPr>
          <w:rFonts w:ascii="Arial" w:eastAsia="Google Sans Text" w:hAnsi="Arial" w:cs="Arial"/>
          <w:color w:val="1B1C1D"/>
        </w:rPr>
        <w:t>​) and zinc oxide (</w:t>
      </w:r>
      <w:proofErr w:type="spellStart"/>
      <w:r w:rsidRPr="005525B6">
        <w:rPr>
          <w:rFonts w:ascii="Arial" w:eastAsia="Google Sans Text" w:hAnsi="Arial" w:cs="Arial"/>
          <w:color w:val="1B1C1D"/>
        </w:rPr>
        <w:t>ZnO</w:t>
      </w:r>
      <w:proofErr w:type="spellEnd"/>
      <w:r w:rsidRPr="005525B6">
        <w:rPr>
          <w:rFonts w:ascii="Arial" w:eastAsia="Google Sans Text" w:hAnsi="Arial" w:cs="Arial"/>
          <w:color w:val="1B1C1D"/>
        </w:rPr>
        <w:t>) are excellent UV blockers, protecting food from light-induced degradation. Beyond barrier properties, the addition of these nanoparticles enhances the mechanical strength, flexibility, and thermal stability of the biopolymer films, making them more robust for practical packaging applications (Hu et al., 2022). The most critical function, however, is the potent antimicrobial activity conferred by many of these nanoparticles, which directly inhibits the growth of spoilage and pathogenic microorganisms.</w:t>
      </w:r>
    </w:p>
    <w:p w14:paraId="6C7ED01D" w14:textId="77777777" w:rsidR="00700A76" w:rsidRPr="005525B6" w:rsidRDefault="00700A76" w:rsidP="005525B6">
      <w:pPr>
        <w:pStyle w:val="Body"/>
        <w:spacing w:after="0"/>
        <w:rPr>
          <w:rFonts w:ascii="Arial" w:hAnsi="Arial" w:cs="Arial"/>
        </w:rPr>
      </w:pPr>
    </w:p>
    <w:p w14:paraId="60441D66" w14:textId="77777777" w:rsidR="005525B6" w:rsidRPr="005525B6" w:rsidRDefault="005525B6" w:rsidP="005525B6">
      <w:pPr>
        <w:pBdr>
          <w:top w:val="nil"/>
          <w:left w:val="nil"/>
          <w:bottom w:val="nil"/>
          <w:right w:val="nil"/>
          <w:between w:val="nil"/>
        </w:pBdr>
        <w:spacing w:line="275" w:lineRule="auto"/>
        <w:jc w:val="center"/>
        <w:rPr>
          <w:rFonts w:ascii="Arial" w:eastAsia="Google Sans Text" w:hAnsi="Arial" w:cs="Arial"/>
          <w:color w:val="1B1C1D"/>
        </w:rPr>
      </w:pPr>
      <w:r w:rsidRPr="005525B6">
        <w:rPr>
          <w:rFonts w:ascii="Arial" w:hAnsi="Arial" w:cs="Arial"/>
          <w:noProof/>
        </w:rPr>
        <w:drawing>
          <wp:inline distT="0" distB="0" distL="0" distR="0" wp14:anchorId="27061772" wp14:editId="2FBE40D0">
            <wp:extent cx="4899025" cy="260234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1033" cy="2656532"/>
                    </a:xfrm>
                    <a:prstGeom prst="rect">
                      <a:avLst/>
                    </a:prstGeom>
                    <a:noFill/>
                    <a:ln>
                      <a:noFill/>
                    </a:ln>
                  </pic:spPr>
                </pic:pic>
              </a:graphicData>
            </a:graphic>
          </wp:inline>
        </w:drawing>
      </w:r>
    </w:p>
    <w:p w14:paraId="1D050CD6" w14:textId="6FA879B2" w:rsidR="005525B6" w:rsidRPr="005525B6" w:rsidRDefault="005525B6" w:rsidP="005525B6">
      <w:pPr>
        <w:pStyle w:val="Body"/>
        <w:spacing w:after="0"/>
        <w:rPr>
          <w:rFonts w:ascii="Arial" w:hAnsi="Arial" w:cs="Arial"/>
        </w:rPr>
      </w:pPr>
      <w:r w:rsidRPr="005525B6">
        <w:rPr>
          <w:rFonts w:ascii="Arial" w:eastAsia="Google Sans Text" w:hAnsi="Arial" w:cs="Arial"/>
          <w:b/>
          <w:bCs/>
          <w:color w:val="1B1C1D"/>
        </w:rPr>
        <w:t xml:space="preserve">Fig 2. </w:t>
      </w:r>
      <w:r w:rsidRPr="005525B6">
        <w:rPr>
          <w:rFonts w:ascii="Arial" w:eastAsia="Google Sans Text" w:hAnsi="Arial" w:cs="Arial"/>
          <w:color w:val="1B1C1D"/>
        </w:rPr>
        <w:t>Illustration of nanoparticle fillers enhancing the film's barrier, mechanical, and antimicrobial properties to extend food shelf life and improve safety in an active and sustainable food packaging system [Adapted with permission from Shi et al., 2023]</w:t>
      </w:r>
      <w:r w:rsidR="00BD7F4F">
        <w:rPr>
          <w:rFonts w:ascii="Arial" w:eastAsia="Google Sans Text" w:hAnsi="Arial" w:cs="Arial"/>
          <w:color w:val="1B1C1D"/>
        </w:rPr>
        <w:t xml:space="preserve"> </w:t>
      </w:r>
      <w:r w:rsidR="00BD7F4F" w:rsidRPr="00BD7F4F">
        <w:rPr>
          <w:rFonts w:ascii="Arial" w:eastAsia="Google Sans Text" w:hAnsi="Arial" w:cs="Arial"/>
          <w:color w:val="1B1C1D"/>
        </w:rPr>
        <w:t>(Shi et al., 2023)</w:t>
      </w:r>
      <w:r w:rsidRPr="005525B6">
        <w:rPr>
          <w:rFonts w:ascii="Arial" w:eastAsia="Google Sans Text" w:hAnsi="Arial" w:cs="Arial"/>
          <w:color w:val="1B1C1D"/>
        </w:rPr>
        <w:t>.</w:t>
      </w:r>
    </w:p>
    <w:p w14:paraId="3A3FEDE5" w14:textId="77777777" w:rsidR="005525B6" w:rsidRDefault="005525B6" w:rsidP="005525B6">
      <w:pPr>
        <w:pStyle w:val="Body"/>
        <w:spacing w:after="0"/>
        <w:rPr>
          <w:rFonts w:ascii="Arial" w:hAnsi="Arial" w:cs="Arial"/>
        </w:rPr>
      </w:pPr>
    </w:p>
    <w:p w14:paraId="41962D1A" w14:textId="2AD4E1D2" w:rsidR="005525B6" w:rsidRDefault="005525B6" w:rsidP="005525B6">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5525B6">
        <w:rPr>
          <w:rFonts w:ascii="Arial" w:hAnsi="Arial" w:cs="Arial"/>
          <w:b/>
          <w:sz w:val="22"/>
        </w:rPr>
        <w:t>Specific Applications in Agrochemical Delivery and Crop Protection</w:t>
      </w:r>
    </w:p>
    <w:p w14:paraId="394D2027" w14:textId="77777777" w:rsidR="005525B6" w:rsidRDefault="005525B6" w:rsidP="005525B6">
      <w:pPr>
        <w:pStyle w:val="Body"/>
        <w:spacing w:after="0"/>
        <w:rPr>
          <w:rFonts w:ascii="Arial" w:hAnsi="Arial" w:cs="Arial"/>
        </w:rPr>
      </w:pPr>
    </w:p>
    <w:p w14:paraId="3211C027" w14:textId="48AC7C36" w:rsidR="005525B6" w:rsidRDefault="005525B6" w:rsidP="00441B6F">
      <w:pPr>
        <w:pStyle w:val="Body"/>
        <w:spacing w:after="0"/>
        <w:rPr>
          <w:rFonts w:ascii="Arial" w:eastAsia="Google Sans Text" w:hAnsi="Arial" w:cs="Arial"/>
          <w:color w:val="1B1C1D"/>
        </w:rPr>
      </w:pPr>
      <w:r w:rsidRPr="005525B6">
        <w:rPr>
          <w:rFonts w:ascii="Arial" w:eastAsia="Google Sans Text" w:hAnsi="Arial" w:cs="Arial"/>
          <w:color w:val="1B1C1D"/>
        </w:rPr>
        <w:t xml:space="preserve">The versatility of these nanocomposites extends to the controlled delivery of agrochemicals, offering a more sustainable approach to crop protection. Polymeric nanoparticles made from biopolymers like chitosan and alginate can encapsulate fungicides, insecticides, and herbicides, providing a slow and sustained release of the active ingredients. This targeted delivery minimizes the amount of chemical needed, reduces environmental leaching, and improves efficacy. For example, nano-fungicides have shown significant promise. Chitosan-lactide copolymer nanoparticles loaded with the fungicide </w:t>
      </w:r>
      <w:proofErr w:type="spellStart"/>
      <w:r w:rsidRPr="005525B6">
        <w:rPr>
          <w:rFonts w:ascii="Arial" w:eastAsia="Google Sans Text" w:hAnsi="Arial" w:cs="Arial"/>
          <w:color w:val="1B1C1D"/>
        </w:rPr>
        <w:t>pyraclostrobin</w:t>
      </w:r>
      <w:proofErr w:type="spellEnd"/>
      <w:r w:rsidRPr="005525B6">
        <w:rPr>
          <w:rFonts w:ascii="Arial" w:eastAsia="Google Sans Text" w:hAnsi="Arial" w:cs="Arial"/>
          <w:color w:val="1B1C1D"/>
        </w:rPr>
        <w:t xml:space="preserve"> exhibited up to 85.1% inhibition against </w:t>
      </w:r>
      <w:r w:rsidRPr="005525B6">
        <w:rPr>
          <w:rFonts w:ascii="Arial" w:eastAsia="Google Sans Text" w:hAnsi="Arial" w:cs="Arial"/>
          <w:i/>
          <w:color w:val="1B1C1D"/>
        </w:rPr>
        <w:t>Colletotrichum gossypii</w:t>
      </w:r>
      <w:r w:rsidRPr="005525B6">
        <w:rPr>
          <w:rFonts w:ascii="Arial" w:eastAsia="Google Sans Text" w:hAnsi="Arial" w:cs="Arial"/>
          <w:color w:val="1B1C1D"/>
        </w:rPr>
        <w:t xml:space="preserve"> (Xu et al., 2014). Similarly, nano-insecticides have proven more effective than their conventional counterparts. A </w:t>
      </w:r>
      <w:proofErr w:type="spellStart"/>
      <w:r w:rsidRPr="005525B6">
        <w:rPr>
          <w:rFonts w:ascii="Arial" w:eastAsia="Google Sans Text" w:hAnsi="Arial" w:cs="Arial"/>
          <w:color w:val="1B1C1D"/>
        </w:rPr>
        <w:t>nanoformulation</w:t>
      </w:r>
      <w:proofErr w:type="spellEnd"/>
      <w:r w:rsidRPr="005525B6">
        <w:rPr>
          <w:rFonts w:ascii="Arial" w:eastAsia="Google Sans Text" w:hAnsi="Arial" w:cs="Arial"/>
          <w:color w:val="1B1C1D"/>
        </w:rPr>
        <w:t xml:space="preserve"> of methomyl and </w:t>
      </w:r>
      <w:proofErr w:type="spellStart"/>
      <w:r w:rsidRPr="005525B6">
        <w:rPr>
          <w:rFonts w:ascii="Arial" w:eastAsia="Google Sans Text" w:hAnsi="Arial" w:cs="Arial"/>
          <w:color w:val="1B1C1D"/>
        </w:rPr>
        <w:t>pyridalyl</w:t>
      </w:r>
      <w:proofErr w:type="spellEnd"/>
      <w:r w:rsidRPr="005525B6">
        <w:rPr>
          <w:rFonts w:ascii="Arial" w:eastAsia="Google Sans Text" w:hAnsi="Arial" w:cs="Arial"/>
          <w:color w:val="1B1C1D"/>
        </w:rPr>
        <w:t xml:space="preserve"> in a carboxymethyl chitosan and sodium alginate </w:t>
      </w:r>
      <w:r w:rsidRPr="005525B6">
        <w:rPr>
          <w:rFonts w:ascii="Arial" w:eastAsia="Google Sans Text" w:hAnsi="Arial" w:cs="Arial"/>
          <w:color w:val="1B1C1D"/>
        </w:rPr>
        <w:lastRenderedPageBreak/>
        <w:t>matrix resulted in only 1.6-2.3% fruit damage in tomatoes, compared to 3.5-7.4% damage with commercial formulations (Saini et al., 2015). Nano-herbicides also benefit from this technology; paraquat encapsulated in chitosan/tripolyphosphate nanoparticles showed high efficiency with delayed release and less soil penetration, making it more environmentally friendly (Grillo et al., 2014). Table 2 provides a summary of recent studies highlighting these applications.</w:t>
      </w:r>
    </w:p>
    <w:p w14:paraId="15351BD5" w14:textId="444E0D4D" w:rsidR="005525B6" w:rsidRPr="005525B6" w:rsidRDefault="005525B6" w:rsidP="00441B6F">
      <w:pPr>
        <w:pStyle w:val="Body"/>
        <w:spacing w:after="0"/>
        <w:rPr>
          <w:rFonts w:ascii="Arial" w:eastAsia="Google Sans Text" w:hAnsi="Arial" w:cs="Arial"/>
          <w:color w:val="1B1C1D"/>
        </w:rPr>
      </w:pPr>
    </w:p>
    <w:p w14:paraId="2268B03E" w14:textId="32F2E6EA" w:rsidR="005525B6" w:rsidRDefault="005525B6" w:rsidP="00700A76">
      <w:pPr>
        <w:pBdr>
          <w:top w:val="nil"/>
          <w:left w:val="nil"/>
          <w:bottom w:val="nil"/>
          <w:right w:val="nil"/>
          <w:between w:val="nil"/>
        </w:pBdr>
        <w:spacing w:line="275" w:lineRule="auto"/>
        <w:jc w:val="both"/>
        <w:rPr>
          <w:rFonts w:ascii="Arial" w:eastAsia="Google Sans Text" w:hAnsi="Arial" w:cs="Arial"/>
          <w:b/>
          <w:color w:val="1B1C1D"/>
        </w:rPr>
      </w:pPr>
      <w:r w:rsidRPr="005525B6">
        <w:rPr>
          <w:rFonts w:ascii="Arial" w:eastAsia="Google Sans Text" w:hAnsi="Arial" w:cs="Arial"/>
          <w:b/>
          <w:color w:val="1B1C1D"/>
        </w:rPr>
        <w:t xml:space="preserve">Table 2. Applications of Nanocomposites Derived from </w:t>
      </w:r>
      <w:r w:rsidR="00D227C0">
        <w:rPr>
          <w:rFonts w:ascii="Arial" w:eastAsia="Google Sans Text" w:hAnsi="Arial" w:cs="Arial"/>
          <w:b/>
          <w:color w:val="1B1C1D"/>
        </w:rPr>
        <w:t>CRNs</w:t>
      </w:r>
      <w:r w:rsidR="000F289D">
        <w:rPr>
          <w:rFonts w:ascii="Arial" w:eastAsia="Google Sans Text" w:hAnsi="Arial" w:cs="Arial"/>
          <w:b/>
          <w:color w:val="1B1C1D"/>
        </w:rPr>
        <w:t xml:space="preserve"> </w:t>
      </w:r>
      <w:r w:rsidRPr="005525B6">
        <w:rPr>
          <w:rFonts w:ascii="Arial" w:eastAsia="Google Sans Text" w:hAnsi="Arial" w:cs="Arial"/>
          <w:b/>
          <w:color w:val="1B1C1D"/>
        </w:rPr>
        <w:t>in Agrochemicals and Food Preservation</w:t>
      </w:r>
    </w:p>
    <w:p w14:paraId="10BF16B3" w14:textId="31E4EF26" w:rsidR="005525B6" w:rsidRDefault="005525B6" w:rsidP="005525B6">
      <w:pPr>
        <w:pBdr>
          <w:top w:val="nil"/>
          <w:left w:val="nil"/>
          <w:bottom w:val="nil"/>
          <w:right w:val="nil"/>
          <w:between w:val="nil"/>
        </w:pBdr>
        <w:spacing w:line="275" w:lineRule="auto"/>
        <w:jc w:val="center"/>
        <w:rPr>
          <w:rFonts w:ascii="Arial" w:eastAsia="Google Sans Text" w:hAnsi="Arial" w:cs="Arial"/>
          <w:b/>
          <w:color w:val="1B1C1D"/>
        </w:rPr>
      </w:pPr>
    </w:p>
    <w:tbl>
      <w:tblPr>
        <w:tblW w:w="827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84"/>
        <w:gridCol w:w="1735"/>
        <w:gridCol w:w="1406"/>
        <w:gridCol w:w="2050"/>
        <w:gridCol w:w="1299"/>
      </w:tblGrid>
      <w:tr w:rsidR="008231CE" w:rsidRPr="00DC3180" w14:paraId="4F98A1EE" w14:textId="77777777" w:rsidTr="008231CE">
        <w:trPr>
          <w:jc w:val="center"/>
        </w:trPr>
        <w:tc>
          <w:tcPr>
            <w:tcW w:w="1678" w:type="dxa"/>
            <w:tcBorders>
              <w:bottom w:val="single" w:sz="4" w:space="0" w:color="auto"/>
            </w:tcBorders>
          </w:tcPr>
          <w:p w14:paraId="076C01BD" w14:textId="098B5304" w:rsidR="008231CE" w:rsidRPr="00DC3180" w:rsidRDefault="000F289D" w:rsidP="008231CE">
            <w:pPr>
              <w:rPr>
                <w:rFonts w:ascii="Arial" w:hAnsi="Arial"/>
                <w:b/>
              </w:rPr>
            </w:pPr>
            <w:r>
              <w:rPr>
                <w:rFonts w:ascii="Arial" w:eastAsia="Google Sans Text" w:hAnsi="Arial" w:cs="Arial"/>
                <w:b/>
                <w:color w:val="1B1C1D"/>
              </w:rPr>
              <w:t xml:space="preserve">Nanomaterials </w:t>
            </w:r>
            <w:r w:rsidR="008231CE" w:rsidRPr="005525B6">
              <w:rPr>
                <w:rFonts w:ascii="Arial" w:eastAsia="Google Sans Text" w:hAnsi="Arial" w:cs="Arial"/>
                <w:b/>
                <w:color w:val="1B1C1D"/>
              </w:rPr>
              <w:t>Source</w:t>
            </w:r>
          </w:p>
        </w:tc>
        <w:tc>
          <w:tcPr>
            <w:tcW w:w="1738" w:type="dxa"/>
            <w:tcBorders>
              <w:bottom w:val="single" w:sz="4" w:space="0" w:color="auto"/>
            </w:tcBorders>
          </w:tcPr>
          <w:p w14:paraId="6FD79127" w14:textId="52ADEE87" w:rsidR="008231CE" w:rsidRPr="00DC3180" w:rsidRDefault="008231CE" w:rsidP="008231CE">
            <w:pPr>
              <w:rPr>
                <w:rFonts w:ascii="Arial" w:hAnsi="Arial"/>
                <w:b/>
              </w:rPr>
            </w:pPr>
            <w:r w:rsidRPr="005525B6">
              <w:rPr>
                <w:rFonts w:ascii="Arial" w:eastAsia="Google Sans Text" w:hAnsi="Arial" w:cs="Arial"/>
                <w:b/>
                <w:color w:val="1B1C1D"/>
              </w:rPr>
              <w:t>Nanocomposite</w:t>
            </w:r>
          </w:p>
        </w:tc>
        <w:tc>
          <w:tcPr>
            <w:tcW w:w="1406" w:type="dxa"/>
            <w:tcBorders>
              <w:bottom w:val="single" w:sz="4" w:space="0" w:color="auto"/>
            </w:tcBorders>
          </w:tcPr>
          <w:p w14:paraId="651CD25C" w14:textId="5AD90B43" w:rsidR="008231CE" w:rsidRPr="00DC3180" w:rsidRDefault="008231CE" w:rsidP="008231CE">
            <w:pPr>
              <w:rPr>
                <w:rFonts w:ascii="Arial" w:hAnsi="Arial"/>
                <w:b/>
              </w:rPr>
            </w:pPr>
            <w:r w:rsidRPr="005525B6">
              <w:rPr>
                <w:rFonts w:ascii="Arial" w:eastAsia="Google Sans Text" w:hAnsi="Arial" w:cs="Arial"/>
                <w:b/>
                <w:color w:val="1B1C1D"/>
              </w:rPr>
              <w:t>Application</w:t>
            </w:r>
          </w:p>
        </w:tc>
        <w:tc>
          <w:tcPr>
            <w:tcW w:w="2135" w:type="dxa"/>
            <w:tcBorders>
              <w:bottom w:val="single" w:sz="4" w:space="0" w:color="auto"/>
            </w:tcBorders>
          </w:tcPr>
          <w:p w14:paraId="2EF91E41" w14:textId="0BA35DDD" w:rsidR="008231CE" w:rsidRPr="00DC3180" w:rsidRDefault="008231CE" w:rsidP="008231CE">
            <w:pPr>
              <w:rPr>
                <w:rFonts w:ascii="Arial" w:hAnsi="Arial"/>
                <w:b/>
                <w:bCs/>
              </w:rPr>
            </w:pPr>
            <w:r w:rsidRPr="005525B6">
              <w:rPr>
                <w:rFonts w:ascii="Arial" w:eastAsia="Google Sans Text" w:hAnsi="Arial" w:cs="Arial"/>
                <w:b/>
                <w:color w:val="1B1C1D"/>
              </w:rPr>
              <w:t>Results</w:t>
            </w:r>
          </w:p>
        </w:tc>
        <w:tc>
          <w:tcPr>
            <w:tcW w:w="1317" w:type="dxa"/>
            <w:tcBorders>
              <w:bottom w:val="single" w:sz="4" w:space="0" w:color="auto"/>
            </w:tcBorders>
          </w:tcPr>
          <w:p w14:paraId="0CB0AB31" w14:textId="6D20E5AD" w:rsidR="008231CE" w:rsidRPr="00DC3180" w:rsidRDefault="008231CE" w:rsidP="008231CE">
            <w:pPr>
              <w:rPr>
                <w:rFonts w:ascii="Arial" w:hAnsi="Arial"/>
                <w:b/>
                <w:bCs/>
              </w:rPr>
            </w:pPr>
            <w:r w:rsidRPr="005525B6">
              <w:rPr>
                <w:rFonts w:ascii="Arial" w:eastAsia="Google Sans Text" w:hAnsi="Arial" w:cs="Arial"/>
                <w:b/>
                <w:color w:val="1B1C1D"/>
              </w:rPr>
              <w:t>Reference</w:t>
            </w:r>
          </w:p>
        </w:tc>
      </w:tr>
      <w:tr w:rsidR="008231CE" w:rsidRPr="00DC3180" w14:paraId="74E840C5" w14:textId="77777777" w:rsidTr="008231CE">
        <w:trPr>
          <w:trHeight w:val="773"/>
          <w:jc w:val="center"/>
        </w:trPr>
        <w:tc>
          <w:tcPr>
            <w:tcW w:w="1678" w:type="dxa"/>
            <w:tcBorders>
              <w:bottom w:val="nil"/>
            </w:tcBorders>
          </w:tcPr>
          <w:p w14:paraId="5D9DFBF3" w14:textId="49C61C45" w:rsidR="008231CE" w:rsidRPr="00DC3180" w:rsidRDefault="008231CE" w:rsidP="008231CE">
            <w:pPr>
              <w:rPr>
                <w:rFonts w:ascii="Arial" w:hAnsi="Arial"/>
                <w:vanish/>
              </w:rPr>
            </w:pPr>
            <w:r w:rsidRPr="005525B6">
              <w:rPr>
                <w:rFonts w:ascii="Arial" w:eastAsia="Google Sans Text" w:hAnsi="Arial" w:cs="Arial"/>
                <w:color w:val="1B1C1D"/>
              </w:rPr>
              <w:t>Chitosan (from crustacean shells)</w:t>
            </w:r>
          </w:p>
        </w:tc>
        <w:tc>
          <w:tcPr>
            <w:tcW w:w="1738" w:type="dxa"/>
            <w:tcBorders>
              <w:bottom w:val="nil"/>
            </w:tcBorders>
          </w:tcPr>
          <w:p w14:paraId="618B0841" w14:textId="75A497B1" w:rsidR="008231CE" w:rsidRPr="00DC3180" w:rsidRDefault="008231CE" w:rsidP="008231CE">
            <w:pPr>
              <w:rPr>
                <w:rFonts w:ascii="Arial" w:hAnsi="Arial"/>
                <w:vanish/>
              </w:rPr>
            </w:pPr>
            <w:r w:rsidRPr="005525B6">
              <w:rPr>
                <w:rFonts w:ascii="Arial" w:eastAsia="Google Sans Text" w:hAnsi="Arial" w:cs="Arial"/>
                <w:color w:val="1B1C1D"/>
              </w:rPr>
              <w:t xml:space="preserve">Chitosan-lactide copolymer NPs with </w:t>
            </w:r>
            <w:proofErr w:type="spellStart"/>
            <w:r w:rsidRPr="005525B6">
              <w:rPr>
                <w:rFonts w:ascii="Arial" w:eastAsia="Google Sans Text" w:hAnsi="Arial" w:cs="Arial"/>
                <w:color w:val="1B1C1D"/>
              </w:rPr>
              <w:t>pyraclostrobin</w:t>
            </w:r>
            <w:proofErr w:type="spellEnd"/>
          </w:p>
        </w:tc>
        <w:tc>
          <w:tcPr>
            <w:tcW w:w="1406" w:type="dxa"/>
            <w:tcBorders>
              <w:bottom w:val="nil"/>
            </w:tcBorders>
          </w:tcPr>
          <w:p w14:paraId="41B4E899" w14:textId="5391F490" w:rsidR="008231CE" w:rsidRPr="00DC3180" w:rsidRDefault="008231CE" w:rsidP="008231CE">
            <w:pPr>
              <w:rPr>
                <w:rFonts w:ascii="Arial" w:hAnsi="Arial"/>
                <w:vanish/>
              </w:rPr>
            </w:pPr>
            <w:r w:rsidRPr="005525B6">
              <w:rPr>
                <w:rFonts w:ascii="Arial" w:eastAsia="Google Sans Text" w:hAnsi="Arial" w:cs="Arial"/>
                <w:color w:val="1B1C1D"/>
              </w:rPr>
              <w:t>Nano-fungicide for cotton</w:t>
            </w:r>
          </w:p>
        </w:tc>
        <w:tc>
          <w:tcPr>
            <w:tcW w:w="2135" w:type="dxa"/>
            <w:tcBorders>
              <w:bottom w:val="nil"/>
            </w:tcBorders>
          </w:tcPr>
          <w:p w14:paraId="779BE96D" w14:textId="1554AAB9" w:rsidR="008231CE" w:rsidRPr="00DC3180" w:rsidRDefault="008231CE" w:rsidP="008231CE">
            <w:pPr>
              <w:rPr>
                <w:rFonts w:ascii="Arial" w:hAnsi="Arial" w:cs="Arial"/>
              </w:rPr>
            </w:pPr>
            <w:r w:rsidRPr="005525B6">
              <w:rPr>
                <w:rFonts w:ascii="Arial" w:eastAsia="Google Sans Text" w:hAnsi="Arial" w:cs="Arial"/>
                <w:color w:val="1B1C1D"/>
              </w:rPr>
              <w:t xml:space="preserve">Showed 52.2-85.1% inhibition against </w:t>
            </w:r>
            <w:r w:rsidRPr="005525B6">
              <w:rPr>
                <w:rFonts w:ascii="Arial" w:eastAsia="Google Sans Text" w:hAnsi="Arial" w:cs="Arial"/>
                <w:i/>
                <w:color w:val="1B1C1D"/>
              </w:rPr>
              <w:t>Colletotrichum gossypii</w:t>
            </w:r>
            <w:r w:rsidRPr="005525B6">
              <w:rPr>
                <w:rFonts w:ascii="Arial" w:eastAsia="Google Sans Text" w:hAnsi="Arial" w:cs="Arial"/>
                <w:color w:val="1B1C1D"/>
              </w:rPr>
              <w:t>.</w:t>
            </w:r>
          </w:p>
        </w:tc>
        <w:tc>
          <w:tcPr>
            <w:tcW w:w="1317" w:type="dxa"/>
            <w:tcBorders>
              <w:bottom w:val="nil"/>
            </w:tcBorders>
          </w:tcPr>
          <w:p w14:paraId="63D46486" w14:textId="2217FD4F" w:rsidR="008231CE" w:rsidRPr="00DC3180" w:rsidRDefault="008231CE" w:rsidP="008231CE">
            <w:pPr>
              <w:rPr>
                <w:rFonts w:ascii="Arial" w:hAnsi="Arial" w:cs="Arial"/>
              </w:rPr>
            </w:pPr>
            <w:r w:rsidRPr="005525B6">
              <w:rPr>
                <w:rFonts w:ascii="Arial" w:eastAsia="Google Sans Text" w:hAnsi="Arial" w:cs="Arial"/>
                <w:color w:val="1B1C1D"/>
              </w:rPr>
              <w:t>(Xu et al., 2014)</w:t>
            </w:r>
          </w:p>
        </w:tc>
      </w:tr>
      <w:tr w:rsidR="008231CE" w:rsidRPr="00DC3180" w14:paraId="680E4347" w14:textId="77777777" w:rsidTr="008231CE">
        <w:trPr>
          <w:jc w:val="center"/>
        </w:trPr>
        <w:tc>
          <w:tcPr>
            <w:tcW w:w="1678" w:type="dxa"/>
            <w:tcBorders>
              <w:top w:val="nil"/>
              <w:bottom w:val="nil"/>
            </w:tcBorders>
          </w:tcPr>
          <w:p w14:paraId="34CCB30B" w14:textId="50376FA4" w:rsidR="008231CE" w:rsidRPr="00DC3180" w:rsidRDefault="008231CE" w:rsidP="008231CE">
            <w:pPr>
              <w:rPr>
                <w:rFonts w:ascii="Arial" w:hAnsi="Arial" w:cs="Arial"/>
              </w:rPr>
            </w:pPr>
            <w:r w:rsidRPr="005525B6">
              <w:rPr>
                <w:rFonts w:ascii="Arial" w:eastAsia="Google Sans Text" w:hAnsi="Arial" w:cs="Arial"/>
                <w:color w:val="1B1C1D"/>
              </w:rPr>
              <w:t>Grape Seed Extract</w:t>
            </w:r>
          </w:p>
        </w:tc>
        <w:tc>
          <w:tcPr>
            <w:tcW w:w="1738" w:type="dxa"/>
            <w:tcBorders>
              <w:top w:val="nil"/>
              <w:bottom w:val="nil"/>
            </w:tcBorders>
          </w:tcPr>
          <w:p w14:paraId="04324440" w14:textId="465C671F" w:rsidR="008231CE" w:rsidRPr="00DC3180" w:rsidRDefault="008231CE" w:rsidP="008231CE">
            <w:pPr>
              <w:rPr>
                <w:rFonts w:ascii="Arial" w:hAnsi="Arial" w:cs="Arial"/>
              </w:rPr>
            </w:pPr>
            <w:r w:rsidRPr="005525B6">
              <w:rPr>
                <w:rFonts w:ascii="Arial" w:eastAsia="Google Sans Text" w:hAnsi="Arial" w:cs="Arial"/>
                <w:color w:val="1B1C1D"/>
              </w:rPr>
              <w:t>Chitosan/</w:t>
            </w:r>
            <w:proofErr w:type="spellStart"/>
            <w:r w:rsidRPr="005525B6">
              <w:rPr>
                <w:rFonts w:ascii="Arial" w:eastAsia="Google Sans Text" w:hAnsi="Arial" w:cs="Arial"/>
                <w:color w:val="1B1C1D"/>
              </w:rPr>
              <w:t>AgNPs</w:t>
            </w:r>
            <w:proofErr w:type="spellEnd"/>
            <w:r w:rsidRPr="005525B6">
              <w:rPr>
                <w:rFonts w:ascii="Arial" w:eastAsia="Google Sans Text" w:hAnsi="Arial" w:cs="Arial"/>
                <w:color w:val="1B1C1D"/>
              </w:rPr>
              <w:t xml:space="preserve"> composite film</w:t>
            </w:r>
          </w:p>
        </w:tc>
        <w:tc>
          <w:tcPr>
            <w:tcW w:w="1406" w:type="dxa"/>
            <w:tcBorders>
              <w:top w:val="nil"/>
              <w:bottom w:val="nil"/>
            </w:tcBorders>
          </w:tcPr>
          <w:p w14:paraId="031B4961" w14:textId="21600F62" w:rsidR="008231CE" w:rsidRPr="00DC3180" w:rsidRDefault="008231CE" w:rsidP="008231CE">
            <w:pPr>
              <w:rPr>
                <w:rFonts w:ascii="Arial" w:hAnsi="Arial" w:cs="Arial"/>
              </w:rPr>
            </w:pPr>
            <w:r w:rsidRPr="005525B6">
              <w:rPr>
                <w:rFonts w:ascii="Arial" w:eastAsia="Google Sans Text" w:hAnsi="Arial" w:cs="Arial"/>
                <w:color w:val="1B1C1D"/>
              </w:rPr>
              <w:t>Grape preservation</w:t>
            </w:r>
          </w:p>
        </w:tc>
        <w:tc>
          <w:tcPr>
            <w:tcW w:w="2135" w:type="dxa"/>
            <w:tcBorders>
              <w:top w:val="nil"/>
              <w:bottom w:val="nil"/>
            </w:tcBorders>
          </w:tcPr>
          <w:p w14:paraId="2B2838EA" w14:textId="6C2640F7" w:rsidR="008231CE" w:rsidRPr="00DC3180" w:rsidRDefault="008231CE" w:rsidP="008231CE">
            <w:pPr>
              <w:rPr>
                <w:rFonts w:ascii="Arial" w:hAnsi="Arial" w:cs="Arial"/>
              </w:rPr>
            </w:pPr>
            <w:r w:rsidRPr="005525B6">
              <w:rPr>
                <w:rFonts w:ascii="Arial" w:eastAsia="Google Sans Text" w:hAnsi="Arial" w:cs="Arial"/>
                <w:color w:val="1B1C1D"/>
              </w:rPr>
              <w:t>Reduced decay percentage and weight loss; maintained titratable acidity; inhibited mold growth.</w:t>
            </w:r>
          </w:p>
        </w:tc>
        <w:tc>
          <w:tcPr>
            <w:tcW w:w="1317" w:type="dxa"/>
            <w:tcBorders>
              <w:top w:val="nil"/>
              <w:bottom w:val="nil"/>
            </w:tcBorders>
          </w:tcPr>
          <w:p w14:paraId="29D5C261" w14:textId="0D5D8310" w:rsidR="008231CE" w:rsidRPr="00DC3180" w:rsidRDefault="008231CE" w:rsidP="008231CE">
            <w:pPr>
              <w:rPr>
                <w:rFonts w:ascii="Arial" w:hAnsi="Arial" w:cs="Arial"/>
              </w:rPr>
            </w:pPr>
            <w:r w:rsidRPr="005525B6">
              <w:rPr>
                <w:rFonts w:ascii="Arial" w:eastAsia="Google Sans Text" w:hAnsi="Arial" w:cs="Arial"/>
                <w:color w:val="1B1C1D"/>
              </w:rPr>
              <w:t>(Zhao et al., 2022)</w:t>
            </w:r>
          </w:p>
        </w:tc>
      </w:tr>
      <w:tr w:rsidR="008231CE" w:rsidRPr="00DC3180" w14:paraId="4E6ED812" w14:textId="77777777" w:rsidTr="008231CE">
        <w:trPr>
          <w:jc w:val="center"/>
        </w:trPr>
        <w:tc>
          <w:tcPr>
            <w:tcW w:w="1678" w:type="dxa"/>
            <w:tcBorders>
              <w:top w:val="nil"/>
              <w:bottom w:val="nil"/>
            </w:tcBorders>
          </w:tcPr>
          <w:p w14:paraId="397AE249" w14:textId="79C2B89F" w:rsidR="008231CE" w:rsidRPr="00DC3180" w:rsidRDefault="008231CE" w:rsidP="008231CE">
            <w:pPr>
              <w:rPr>
                <w:rFonts w:ascii="Arial" w:hAnsi="Arial"/>
              </w:rPr>
            </w:pPr>
            <w:r w:rsidRPr="005525B6">
              <w:rPr>
                <w:rFonts w:ascii="Arial" w:eastAsia="Google Sans Text" w:hAnsi="Arial" w:cs="Arial"/>
                <w:color w:val="1B1C1D"/>
              </w:rPr>
              <w:t>Chitosan/Alginate</w:t>
            </w:r>
          </w:p>
        </w:tc>
        <w:tc>
          <w:tcPr>
            <w:tcW w:w="1738" w:type="dxa"/>
            <w:tcBorders>
              <w:top w:val="nil"/>
              <w:bottom w:val="nil"/>
            </w:tcBorders>
          </w:tcPr>
          <w:p w14:paraId="64D4D825" w14:textId="61ECF9FC" w:rsidR="008231CE" w:rsidRPr="00DC3180" w:rsidRDefault="008231CE" w:rsidP="008231CE">
            <w:pPr>
              <w:rPr>
                <w:rFonts w:ascii="Arial" w:hAnsi="Arial"/>
              </w:rPr>
            </w:pPr>
            <w:r w:rsidRPr="005525B6">
              <w:rPr>
                <w:rFonts w:ascii="Arial" w:eastAsia="Google Sans Text" w:hAnsi="Arial" w:cs="Arial"/>
                <w:color w:val="1B1C1D"/>
              </w:rPr>
              <w:t xml:space="preserve">Polymeric NPs with methomyl and </w:t>
            </w:r>
            <w:proofErr w:type="spellStart"/>
            <w:r w:rsidRPr="005525B6">
              <w:rPr>
                <w:rFonts w:ascii="Arial" w:eastAsia="Google Sans Text" w:hAnsi="Arial" w:cs="Arial"/>
                <w:color w:val="1B1C1D"/>
              </w:rPr>
              <w:t>pyridalyl</w:t>
            </w:r>
            <w:proofErr w:type="spellEnd"/>
          </w:p>
        </w:tc>
        <w:tc>
          <w:tcPr>
            <w:tcW w:w="1406" w:type="dxa"/>
            <w:tcBorders>
              <w:top w:val="nil"/>
              <w:bottom w:val="nil"/>
            </w:tcBorders>
          </w:tcPr>
          <w:p w14:paraId="0A3DE70E" w14:textId="7D3AD89F" w:rsidR="008231CE" w:rsidRPr="00DC3180" w:rsidRDefault="008231CE" w:rsidP="008231CE">
            <w:pPr>
              <w:rPr>
                <w:rFonts w:ascii="Arial" w:hAnsi="Arial"/>
              </w:rPr>
            </w:pPr>
            <w:r w:rsidRPr="005525B6">
              <w:rPr>
                <w:rFonts w:ascii="Arial" w:eastAsia="Google Sans Text" w:hAnsi="Arial" w:cs="Arial"/>
                <w:color w:val="1B1C1D"/>
              </w:rPr>
              <w:t>Nano-insecticide for tomatoes</w:t>
            </w:r>
          </w:p>
        </w:tc>
        <w:tc>
          <w:tcPr>
            <w:tcW w:w="2135" w:type="dxa"/>
            <w:tcBorders>
              <w:top w:val="nil"/>
              <w:bottom w:val="nil"/>
            </w:tcBorders>
          </w:tcPr>
          <w:p w14:paraId="703B1EAC" w14:textId="129721B2" w:rsidR="008231CE" w:rsidRPr="00DC3180" w:rsidRDefault="008231CE" w:rsidP="008231CE">
            <w:pPr>
              <w:rPr>
                <w:rFonts w:ascii="Arial" w:hAnsi="Arial" w:cs="Arial"/>
              </w:rPr>
            </w:pPr>
            <w:r w:rsidRPr="005525B6">
              <w:rPr>
                <w:rFonts w:ascii="Arial" w:eastAsia="Google Sans Text" w:hAnsi="Arial" w:cs="Arial"/>
                <w:color w:val="1B1C1D"/>
              </w:rPr>
              <w:t>Reduced fruit damage to 1.6-2.3% compared to 3.5-7.4% with commercial formulations.</w:t>
            </w:r>
          </w:p>
        </w:tc>
        <w:tc>
          <w:tcPr>
            <w:tcW w:w="1317" w:type="dxa"/>
            <w:tcBorders>
              <w:top w:val="nil"/>
              <w:bottom w:val="nil"/>
            </w:tcBorders>
          </w:tcPr>
          <w:p w14:paraId="6A992763" w14:textId="5779BB9A" w:rsidR="008231CE" w:rsidRPr="00DC3180" w:rsidRDefault="008231CE" w:rsidP="008231CE">
            <w:pPr>
              <w:rPr>
                <w:rFonts w:ascii="Arial" w:hAnsi="Arial" w:cs="Arial"/>
              </w:rPr>
            </w:pPr>
            <w:r w:rsidRPr="005525B6">
              <w:rPr>
                <w:rFonts w:ascii="Arial" w:eastAsia="Google Sans Text" w:hAnsi="Arial" w:cs="Arial"/>
                <w:color w:val="1B1C1D"/>
              </w:rPr>
              <w:t>(Saini et al., 2015)</w:t>
            </w:r>
          </w:p>
        </w:tc>
      </w:tr>
      <w:tr w:rsidR="008231CE" w:rsidRPr="00DC3180" w14:paraId="183D4222" w14:textId="77777777" w:rsidTr="008231CE">
        <w:trPr>
          <w:jc w:val="center"/>
        </w:trPr>
        <w:tc>
          <w:tcPr>
            <w:tcW w:w="1678" w:type="dxa"/>
            <w:tcBorders>
              <w:top w:val="nil"/>
              <w:bottom w:val="nil"/>
            </w:tcBorders>
          </w:tcPr>
          <w:p w14:paraId="6FBAB580" w14:textId="3E31A7FE" w:rsidR="008231CE" w:rsidRPr="00DC3180" w:rsidRDefault="008231CE" w:rsidP="008231CE">
            <w:pPr>
              <w:rPr>
                <w:rFonts w:ascii="Arial" w:hAnsi="Arial"/>
              </w:rPr>
            </w:pPr>
            <w:r w:rsidRPr="005525B6">
              <w:rPr>
                <w:rFonts w:ascii="Arial" w:eastAsia="Google Sans Text" w:hAnsi="Arial" w:cs="Arial"/>
                <w:color w:val="1B1C1D"/>
              </w:rPr>
              <w:t>Rice Husk (implied source)</w:t>
            </w:r>
          </w:p>
        </w:tc>
        <w:tc>
          <w:tcPr>
            <w:tcW w:w="1738" w:type="dxa"/>
            <w:tcBorders>
              <w:top w:val="nil"/>
              <w:bottom w:val="nil"/>
            </w:tcBorders>
          </w:tcPr>
          <w:p w14:paraId="269B53D1" w14:textId="5B3F1DB3" w:rsidR="008231CE" w:rsidRPr="00DC3180" w:rsidRDefault="008231CE" w:rsidP="008231CE">
            <w:pPr>
              <w:rPr>
                <w:rFonts w:ascii="Arial" w:hAnsi="Arial"/>
              </w:rPr>
            </w:pPr>
            <w:r w:rsidRPr="005525B6">
              <w:rPr>
                <w:rFonts w:ascii="Arial" w:eastAsia="Google Sans Text" w:hAnsi="Arial" w:cs="Arial"/>
                <w:color w:val="1B1C1D"/>
              </w:rPr>
              <w:t xml:space="preserve">Chitosan film with </w:t>
            </w:r>
            <w:proofErr w:type="spellStart"/>
            <w:r w:rsidRPr="005525B6">
              <w:rPr>
                <w:rFonts w:ascii="Arial" w:eastAsia="Google Sans Text" w:hAnsi="Arial" w:cs="Arial"/>
                <w:color w:val="1B1C1D"/>
              </w:rPr>
              <w:t>Nanosilica</w:t>
            </w:r>
            <w:proofErr w:type="spellEnd"/>
            <w:r w:rsidRPr="005525B6">
              <w:rPr>
                <w:rFonts w:ascii="Arial" w:eastAsia="Google Sans Text" w:hAnsi="Arial" w:cs="Arial"/>
                <w:color w:val="1B1C1D"/>
              </w:rPr>
              <w:t xml:space="preserve"> and Hop Extract</w:t>
            </w:r>
          </w:p>
        </w:tc>
        <w:tc>
          <w:tcPr>
            <w:tcW w:w="1406" w:type="dxa"/>
            <w:tcBorders>
              <w:top w:val="nil"/>
              <w:bottom w:val="nil"/>
            </w:tcBorders>
          </w:tcPr>
          <w:p w14:paraId="3BA4A1D1" w14:textId="55954A8A" w:rsidR="008231CE" w:rsidRPr="00DC3180" w:rsidRDefault="008231CE" w:rsidP="008231CE">
            <w:pPr>
              <w:rPr>
                <w:rFonts w:ascii="Arial" w:hAnsi="Arial"/>
              </w:rPr>
            </w:pPr>
            <w:r w:rsidRPr="005525B6">
              <w:rPr>
                <w:rFonts w:ascii="Arial" w:eastAsia="Google Sans Text" w:hAnsi="Arial" w:cs="Arial"/>
                <w:color w:val="1B1C1D"/>
              </w:rPr>
              <w:t>Active packaging film</w:t>
            </w:r>
          </w:p>
        </w:tc>
        <w:tc>
          <w:tcPr>
            <w:tcW w:w="2135" w:type="dxa"/>
            <w:tcBorders>
              <w:top w:val="nil"/>
              <w:bottom w:val="nil"/>
            </w:tcBorders>
          </w:tcPr>
          <w:p w14:paraId="5B633973" w14:textId="4AF454BF" w:rsidR="008231CE" w:rsidRPr="00DC3180" w:rsidRDefault="008231CE" w:rsidP="008231CE">
            <w:pPr>
              <w:rPr>
                <w:rFonts w:ascii="Arial" w:hAnsi="Arial" w:cs="Arial"/>
              </w:rPr>
            </w:pPr>
            <w:r w:rsidRPr="005525B6">
              <w:rPr>
                <w:rFonts w:ascii="Arial" w:eastAsia="Google Sans Text" w:hAnsi="Arial" w:cs="Arial"/>
                <w:color w:val="1B1C1D"/>
              </w:rPr>
              <w:t>Improved tensile strength, enhanced barrier against UV and water vapor, excellent antioxidant and antibacterial capability.</w:t>
            </w:r>
          </w:p>
        </w:tc>
        <w:tc>
          <w:tcPr>
            <w:tcW w:w="1317" w:type="dxa"/>
            <w:tcBorders>
              <w:top w:val="nil"/>
              <w:bottom w:val="nil"/>
            </w:tcBorders>
          </w:tcPr>
          <w:p w14:paraId="6E2A97E7" w14:textId="741EE506" w:rsidR="008231CE" w:rsidRPr="00DC3180" w:rsidRDefault="008231CE" w:rsidP="008231CE">
            <w:pPr>
              <w:rPr>
                <w:rFonts w:ascii="Arial" w:hAnsi="Arial" w:cs="Arial"/>
              </w:rPr>
            </w:pPr>
            <w:r w:rsidRPr="005525B6">
              <w:rPr>
                <w:rFonts w:ascii="Arial" w:eastAsia="Google Sans Text" w:hAnsi="Arial" w:cs="Arial"/>
                <w:color w:val="1B1C1D"/>
              </w:rPr>
              <w:t>(Cheng et al., 2021)</w:t>
            </w:r>
          </w:p>
        </w:tc>
      </w:tr>
      <w:tr w:rsidR="008231CE" w:rsidRPr="00DC3180" w14:paraId="13DA5936" w14:textId="77777777" w:rsidTr="008231CE">
        <w:trPr>
          <w:jc w:val="center"/>
        </w:trPr>
        <w:tc>
          <w:tcPr>
            <w:tcW w:w="1678" w:type="dxa"/>
            <w:tcBorders>
              <w:top w:val="nil"/>
              <w:bottom w:val="single" w:sz="4" w:space="0" w:color="auto"/>
            </w:tcBorders>
          </w:tcPr>
          <w:p w14:paraId="5847852D" w14:textId="12069B69" w:rsidR="008231CE" w:rsidRPr="00DC3180" w:rsidRDefault="008231CE" w:rsidP="008231CE">
            <w:pPr>
              <w:rPr>
                <w:rFonts w:ascii="Arial" w:hAnsi="Arial"/>
              </w:rPr>
            </w:pPr>
            <w:r w:rsidRPr="005525B6">
              <w:rPr>
                <w:rFonts w:ascii="Arial" w:eastAsia="Google Sans Text" w:hAnsi="Arial" w:cs="Arial"/>
                <w:color w:val="1B1C1D"/>
              </w:rPr>
              <w:t>Chitosan/Pectin</w:t>
            </w:r>
          </w:p>
        </w:tc>
        <w:tc>
          <w:tcPr>
            <w:tcW w:w="1738" w:type="dxa"/>
            <w:tcBorders>
              <w:top w:val="nil"/>
              <w:bottom w:val="single" w:sz="4" w:space="0" w:color="auto"/>
            </w:tcBorders>
          </w:tcPr>
          <w:p w14:paraId="6DA88ADA" w14:textId="1F633E1C" w:rsidR="008231CE" w:rsidRPr="00DC3180" w:rsidRDefault="008231CE" w:rsidP="008231CE">
            <w:pPr>
              <w:rPr>
                <w:rFonts w:ascii="Arial" w:hAnsi="Arial"/>
              </w:rPr>
            </w:pPr>
            <w:r w:rsidRPr="005525B6">
              <w:rPr>
                <w:rFonts w:ascii="Arial" w:eastAsia="Google Sans Text" w:hAnsi="Arial" w:cs="Arial"/>
                <w:color w:val="1B1C1D"/>
              </w:rPr>
              <w:t>Polymeric NPs with paraquat</w:t>
            </w:r>
          </w:p>
        </w:tc>
        <w:tc>
          <w:tcPr>
            <w:tcW w:w="1406" w:type="dxa"/>
            <w:tcBorders>
              <w:top w:val="nil"/>
              <w:bottom w:val="single" w:sz="4" w:space="0" w:color="auto"/>
            </w:tcBorders>
          </w:tcPr>
          <w:p w14:paraId="0749D248" w14:textId="5B5976DC" w:rsidR="008231CE" w:rsidRPr="00DC3180" w:rsidRDefault="008231CE" w:rsidP="008231CE">
            <w:pPr>
              <w:rPr>
                <w:rFonts w:ascii="Arial" w:hAnsi="Arial"/>
              </w:rPr>
            </w:pPr>
            <w:r w:rsidRPr="005525B6">
              <w:rPr>
                <w:rFonts w:ascii="Arial" w:eastAsia="Google Sans Text" w:hAnsi="Arial" w:cs="Arial"/>
                <w:color w:val="1B1C1D"/>
              </w:rPr>
              <w:t>Nano-herbicide for corn/brassica</w:t>
            </w:r>
          </w:p>
        </w:tc>
        <w:tc>
          <w:tcPr>
            <w:tcW w:w="2135" w:type="dxa"/>
            <w:tcBorders>
              <w:top w:val="nil"/>
              <w:bottom w:val="single" w:sz="4" w:space="0" w:color="auto"/>
            </w:tcBorders>
          </w:tcPr>
          <w:p w14:paraId="777FE64C" w14:textId="1A640E3D" w:rsidR="008231CE" w:rsidRPr="00DC3180" w:rsidRDefault="008231CE" w:rsidP="008231CE">
            <w:pPr>
              <w:rPr>
                <w:rFonts w:ascii="Arial" w:hAnsi="Arial" w:cs="Arial"/>
              </w:rPr>
            </w:pPr>
            <w:r w:rsidRPr="005525B6">
              <w:rPr>
                <w:rFonts w:ascii="Arial" w:eastAsia="Google Sans Text" w:hAnsi="Arial" w:cs="Arial"/>
                <w:color w:val="1B1C1D"/>
              </w:rPr>
              <w:t>Showed high herbicidal activity with delayed release and reduced soil penetration.</w:t>
            </w:r>
          </w:p>
        </w:tc>
        <w:tc>
          <w:tcPr>
            <w:tcW w:w="1317" w:type="dxa"/>
            <w:tcBorders>
              <w:top w:val="nil"/>
              <w:bottom w:val="single" w:sz="4" w:space="0" w:color="auto"/>
            </w:tcBorders>
          </w:tcPr>
          <w:p w14:paraId="22062254" w14:textId="60450E77" w:rsidR="008231CE" w:rsidRPr="00DC3180" w:rsidRDefault="008231CE" w:rsidP="008231CE">
            <w:pPr>
              <w:rPr>
                <w:rFonts w:ascii="Arial" w:hAnsi="Arial" w:cs="Arial"/>
              </w:rPr>
            </w:pPr>
            <w:r w:rsidRPr="005525B6">
              <w:rPr>
                <w:rFonts w:ascii="Arial" w:eastAsia="Google Sans Text" w:hAnsi="Arial" w:cs="Arial"/>
                <w:color w:val="1B1C1D"/>
              </w:rPr>
              <w:t>(Grillo et al., 2014)</w:t>
            </w:r>
          </w:p>
        </w:tc>
      </w:tr>
    </w:tbl>
    <w:p w14:paraId="4CA9047E" w14:textId="77777777" w:rsidR="00E053D0" w:rsidRDefault="00E053D0" w:rsidP="00441B6F">
      <w:pPr>
        <w:pStyle w:val="Body"/>
        <w:spacing w:after="0"/>
        <w:rPr>
          <w:rFonts w:ascii="Arial" w:hAnsi="Arial" w:cs="Arial"/>
        </w:rPr>
      </w:pPr>
    </w:p>
    <w:p w14:paraId="3383B057" w14:textId="2273D861" w:rsidR="00700A76" w:rsidRDefault="00700A76" w:rsidP="00700A76">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700A76">
        <w:rPr>
          <w:rFonts w:ascii="Arial" w:hAnsi="Arial" w:cs="Arial"/>
          <w:b/>
          <w:sz w:val="22"/>
        </w:rPr>
        <w:t>Other Applications in Sustainable Agriculture</w:t>
      </w:r>
    </w:p>
    <w:p w14:paraId="5E10CC66" w14:textId="77777777" w:rsidR="00700A76" w:rsidRDefault="00700A76" w:rsidP="00700A76">
      <w:pPr>
        <w:pStyle w:val="Body"/>
        <w:spacing w:after="0"/>
        <w:rPr>
          <w:rFonts w:ascii="Arial" w:hAnsi="Arial" w:cs="Arial"/>
        </w:rPr>
      </w:pPr>
    </w:p>
    <w:p w14:paraId="4A7F8ED7" w14:textId="42B21816" w:rsidR="00700A76" w:rsidRDefault="00700A76" w:rsidP="00700A76">
      <w:pPr>
        <w:pStyle w:val="Body"/>
        <w:spacing w:after="0"/>
        <w:rPr>
          <w:rFonts w:ascii="Arial" w:eastAsia="Google Sans Text" w:hAnsi="Arial" w:cs="Arial"/>
          <w:color w:val="1B1C1D"/>
        </w:rPr>
      </w:pPr>
      <w:r w:rsidRPr="00700A76">
        <w:rPr>
          <w:rFonts w:ascii="Arial" w:eastAsia="Google Sans Text" w:hAnsi="Arial" w:cs="Arial"/>
          <w:color w:val="1B1C1D"/>
        </w:rPr>
        <w:t xml:space="preserve">Beyond food packaging and crop protection, these sustainably sourced nanomaterials are poised to make significant contributions to other areas of agriculture (Figure 3). </w:t>
      </w:r>
      <w:proofErr w:type="spellStart"/>
      <w:r w:rsidRPr="00700A76">
        <w:rPr>
          <w:rFonts w:ascii="Arial" w:eastAsia="Google Sans Text" w:hAnsi="Arial" w:cs="Arial"/>
          <w:color w:val="1B1C1D"/>
        </w:rPr>
        <w:t>Nanofertilizers</w:t>
      </w:r>
      <w:proofErr w:type="spellEnd"/>
      <w:r w:rsidRPr="00700A76">
        <w:rPr>
          <w:rFonts w:ascii="Arial" w:eastAsia="Google Sans Text" w:hAnsi="Arial" w:cs="Arial"/>
          <w:color w:val="1B1C1D"/>
        </w:rPr>
        <w:t xml:space="preserve">, for example, utilize nanoparticles like </w:t>
      </w:r>
      <w:proofErr w:type="spellStart"/>
      <w:r w:rsidRPr="00700A76">
        <w:rPr>
          <w:rFonts w:ascii="Arial" w:eastAsia="Google Sans Text" w:hAnsi="Arial" w:cs="Arial"/>
          <w:color w:val="1B1C1D"/>
        </w:rPr>
        <w:t>nanosilica</w:t>
      </w:r>
      <w:proofErr w:type="spellEnd"/>
      <w:r w:rsidRPr="00700A76">
        <w:rPr>
          <w:rFonts w:ascii="Arial" w:eastAsia="Google Sans Text" w:hAnsi="Arial" w:cs="Arial"/>
          <w:color w:val="1B1C1D"/>
        </w:rPr>
        <w:t xml:space="preserve"> from rice husks or chitosan from crustacean shells as carriers for essential nutrients (N, P, K). This nano-encapsulation allows for a slow, controlled release of nutrients directly to the plant, improving nutrient use efficiency and significantly reducing the runoff that causes water pollution. Similarly, polymeric nanoparticles can be used to manage abiotic stress. For example, O-Carboxymethyl chitosan nanoparticles have been shown to enhance water stress tolerance in maize by increasing chlorophyll content and antioxidant enzyme activity (Wu et al., 2024). Furthermore, carbon-based nanomaterials like biochar, produced from the pyrolysis of </w:t>
      </w:r>
      <w:r w:rsidRPr="00700A76">
        <w:rPr>
          <w:rFonts w:ascii="Arial" w:eastAsia="Google Sans Text" w:hAnsi="Arial" w:cs="Arial"/>
          <w:color w:val="1B1C1D"/>
        </w:rPr>
        <w:lastRenderedPageBreak/>
        <w:t>various biomass, are being used for soil remediation. Their high porosity and surface area enable them to effectively adsorb and immobilize heavy metals and organic pollutants, cleaning contaminated soils and improving overall soil health.</w:t>
      </w:r>
    </w:p>
    <w:p w14:paraId="4552CDCC" w14:textId="77777777" w:rsidR="00700A76" w:rsidRPr="00700A76" w:rsidRDefault="00700A76" w:rsidP="00700A76">
      <w:pPr>
        <w:pStyle w:val="Body"/>
        <w:spacing w:after="0"/>
        <w:rPr>
          <w:rFonts w:ascii="Arial" w:eastAsia="Google Sans Text" w:hAnsi="Arial" w:cs="Arial"/>
          <w:color w:val="1B1C1D"/>
        </w:rPr>
      </w:pPr>
    </w:p>
    <w:p w14:paraId="1A97AE2B" w14:textId="77777777" w:rsidR="00700A76" w:rsidRPr="00700A76" w:rsidRDefault="00700A76" w:rsidP="00700A76">
      <w:pPr>
        <w:pBdr>
          <w:top w:val="nil"/>
          <w:left w:val="nil"/>
          <w:bottom w:val="nil"/>
          <w:right w:val="nil"/>
          <w:between w:val="nil"/>
        </w:pBdr>
        <w:spacing w:line="275" w:lineRule="auto"/>
        <w:jc w:val="both"/>
        <w:rPr>
          <w:rFonts w:ascii="Arial" w:eastAsia="Google Sans Text" w:hAnsi="Arial" w:cs="Arial"/>
          <w:color w:val="1B1C1D"/>
        </w:rPr>
      </w:pPr>
      <w:r w:rsidRPr="00700A76">
        <w:rPr>
          <w:rFonts w:ascii="Arial" w:hAnsi="Arial" w:cs="Arial"/>
          <w:noProof/>
        </w:rPr>
        <w:drawing>
          <wp:inline distT="0" distB="0" distL="0" distR="0" wp14:anchorId="764768CE" wp14:editId="108F8BA7">
            <wp:extent cx="5186149" cy="3877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9107" cy="3887110"/>
                    </a:xfrm>
                    <a:prstGeom prst="rect">
                      <a:avLst/>
                    </a:prstGeom>
                    <a:noFill/>
                    <a:ln>
                      <a:noFill/>
                    </a:ln>
                  </pic:spPr>
                </pic:pic>
              </a:graphicData>
            </a:graphic>
          </wp:inline>
        </w:drawing>
      </w:r>
    </w:p>
    <w:p w14:paraId="1C772BB5" w14:textId="266653EC" w:rsidR="00700A76" w:rsidRDefault="00700A76" w:rsidP="00700A76">
      <w:pPr>
        <w:pStyle w:val="Body"/>
        <w:spacing w:after="0"/>
        <w:rPr>
          <w:rFonts w:ascii="Arial" w:eastAsia="Google Sans Text" w:hAnsi="Arial" w:cs="Arial"/>
          <w:color w:val="1B1C1D"/>
        </w:rPr>
      </w:pPr>
      <w:r w:rsidRPr="00700A76">
        <w:rPr>
          <w:rFonts w:ascii="Arial" w:eastAsia="Google Sans Text" w:hAnsi="Arial" w:cs="Arial"/>
          <w:b/>
          <w:bCs/>
          <w:color w:val="1B1C1D"/>
        </w:rPr>
        <w:t xml:space="preserve">Fig 3. </w:t>
      </w:r>
      <w:r w:rsidRPr="00700A76">
        <w:rPr>
          <w:rFonts w:ascii="Arial" w:eastAsia="Google Sans Text" w:hAnsi="Arial" w:cs="Arial"/>
          <w:color w:val="1B1C1D"/>
        </w:rPr>
        <w:t xml:space="preserve">An overview of </w:t>
      </w:r>
      <w:r w:rsidR="00D227C0">
        <w:rPr>
          <w:rFonts w:ascii="Arial" w:eastAsia="Google Sans Text" w:hAnsi="Arial" w:cs="Arial"/>
          <w:color w:val="1B1C1D"/>
        </w:rPr>
        <w:t>CRNs</w:t>
      </w:r>
      <w:r w:rsidR="000F289D">
        <w:rPr>
          <w:rFonts w:ascii="Arial" w:eastAsia="Google Sans Text" w:hAnsi="Arial" w:cs="Arial"/>
          <w:color w:val="1B1C1D"/>
        </w:rPr>
        <w:t xml:space="preserve"> </w:t>
      </w:r>
      <w:r w:rsidRPr="00700A76">
        <w:rPr>
          <w:rFonts w:ascii="Arial" w:eastAsia="Google Sans Text" w:hAnsi="Arial" w:cs="Arial"/>
          <w:color w:val="1B1C1D"/>
        </w:rPr>
        <w:t xml:space="preserve">applications in sustainable agriculture, including </w:t>
      </w:r>
      <w:proofErr w:type="spellStart"/>
      <w:r w:rsidRPr="00700A76">
        <w:rPr>
          <w:rFonts w:ascii="Arial" w:eastAsia="Google Sans Text" w:hAnsi="Arial" w:cs="Arial"/>
          <w:color w:val="1B1C1D"/>
        </w:rPr>
        <w:t>nanofertilizers</w:t>
      </w:r>
      <w:proofErr w:type="spellEnd"/>
      <w:r w:rsidRPr="00700A76">
        <w:rPr>
          <w:rFonts w:ascii="Arial" w:eastAsia="Google Sans Text" w:hAnsi="Arial" w:cs="Arial"/>
          <w:color w:val="1B1C1D"/>
        </w:rPr>
        <w:t xml:space="preserve">, </w:t>
      </w:r>
      <w:proofErr w:type="spellStart"/>
      <w:r w:rsidRPr="00700A76">
        <w:rPr>
          <w:rFonts w:ascii="Arial" w:eastAsia="Google Sans Text" w:hAnsi="Arial" w:cs="Arial"/>
          <w:color w:val="1B1C1D"/>
        </w:rPr>
        <w:t>nanopesticides</w:t>
      </w:r>
      <w:proofErr w:type="spellEnd"/>
      <w:r w:rsidRPr="00700A76">
        <w:rPr>
          <w:rFonts w:ascii="Arial" w:eastAsia="Google Sans Text" w:hAnsi="Arial" w:cs="Arial"/>
          <w:color w:val="1B1C1D"/>
        </w:rPr>
        <w:t xml:space="preserve">, and </w:t>
      </w:r>
      <w:proofErr w:type="spellStart"/>
      <w:r w:rsidRPr="00700A76">
        <w:rPr>
          <w:rFonts w:ascii="Arial" w:eastAsia="Google Sans Text" w:hAnsi="Arial" w:cs="Arial"/>
          <w:color w:val="1B1C1D"/>
        </w:rPr>
        <w:t>nanosensors</w:t>
      </w:r>
      <w:proofErr w:type="spellEnd"/>
      <w:r w:rsidRPr="00700A76">
        <w:rPr>
          <w:rFonts w:ascii="Arial" w:eastAsia="Google Sans Text" w:hAnsi="Arial" w:cs="Arial"/>
          <w:color w:val="1B1C1D"/>
        </w:rPr>
        <w:t xml:space="preserve">, which improve crop performance through targeted delivery [Adapted with permission from Shah et al., 2024] </w:t>
      </w:r>
      <w:r w:rsidR="00BD7F4F" w:rsidRPr="00BD7F4F">
        <w:rPr>
          <w:rFonts w:ascii="Arial" w:eastAsia="Google Sans Text" w:hAnsi="Arial" w:cs="Arial"/>
          <w:color w:val="1B1C1D"/>
        </w:rPr>
        <w:t>(</w:t>
      </w:r>
      <w:bookmarkStart w:id="0" w:name="_Hlk208394733"/>
      <w:r w:rsidR="00BD7F4F" w:rsidRPr="00BD7F4F">
        <w:rPr>
          <w:rFonts w:ascii="Arial" w:eastAsia="Google Sans Text" w:hAnsi="Arial" w:cs="Arial"/>
          <w:color w:val="1B1C1D"/>
        </w:rPr>
        <w:t xml:space="preserve">Shah </w:t>
      </w:r>
      <w:bookmarkEnd w:id="0"/>
      <w:r w:rsidR="00BD7F4F" w:rsidRPr="00BD7F4F">
        <w:rPr>
          <w:rFonts w:ascii="Arial" w:eastAsia="Google Sans Text" w:hAnsi="Arial" w:cs="Arial"/>
          <w:color w:val="1B1C1D"/>
        </w:rPr>
        <w:t>et al., 2024)</w:t>
      </w:r>
    </w:p>
    <w:p w14:paraId="4188A83F" w14:textId="77777777" w:rsidR="00700A76" w:rsidRPr="00700A76" w:rsidRDefault="00700A76" w:rsidP="00700A76">
      <w:pPr>
        <w:pStyle w:val="Body"/>
        <w:spacing w:after="0"/>
        <w:rPr>
          <w:rFonts w:ascii="Arial" w:hAnsi="Arial" w:cs="Arial"/>
        </w:rPr>
      </w:pPr>
    </w:p>
    <w:p w14:paraId="1E076360" w14:textId="211C50BF" w:rsidR="00B01FCD" w:rsidRDefault="00000F8F" w:rsidP="00441B6F">
      <w:pPr>
        <w:pStyle w:val="ConcHead"/>
        <w:spacing w:after="0"/>
        <w:jc w:val="both"/>
        <w:rPr>
          <w:rFonts w:ascii="Arial" w:hAnsi="Arial" w:cs="Arial"/>
        </w:rPr>
      </w:pPr>
      <w:r>
        <w:rPr>
          <w:rFonts w:ascii="Arial" w:hAnsi="Arial" w:cs="Arial"/>
        </w:rPr>
        <w:t xml:space="preserve">4. </w:t>
      </w:r>
      <w:r w:rsidR="00700A76" w:rsidRPr="00700A76">
        <w:rPr>
          <w:rFonts w:ascii="Arial" w:hAnsi="Arial" w:cs="Arial"/>
        </w:rPr>
        <w:t>MOLECULAR MECHANISMS OF ANTIMICROBIAL ACTION</w:t>
      </w:r>
    </w:p>
    <w:p w14:paraId="1C7C2628" w14:textId="77777777" w:rsidR="00790ADA" w:rsidRPr="00FB3A86" w:rsidRDefault="00790ADA" w:rsidP="00441B6F">
      <w:pPr>
        <w:pStyle w:val="ConcHead"/>
        <w:spacing w:after="0"/>
        <w:jc w:val="both"/>
        <w:rPr>
          <w:rFonts w:ascii="Arial" w:hAnsi="Arial" w:cs="Arial"/>
        </w:rPr>
      </w:pPr>
    </w:p>
    <w:p w14:paraId="309530C4" w14:textId="0C88081A" w:rsidR="00700A76" w:rsidRDefault="00700A76" w:rsidP="00700A76">
      <w:pPr>
        <w:pStyle w:val="Body"/>
        <w:spacing w:after="0"/>
        <w:rPr>
          <w:rFonts w:ascii="Arial" w:eastAsia="Google Sans Text" w:hAnsi="Arial" w:cs="Arial"/>
          <w:color w:val="1B1C1D"/>
        </w:rPr>
      </w:pPr>
      <w:r w:rsidRPr="00700A76">
        <w:rPr>
          <w:rFonts w:ascii="Arial" w:eastAsia="Google Sans Text" w:hAnsi="Arial" w:cs="Arial"/>
          <w:color w:val="1B1C1D"/>
        </w:rPr>
        <w:t xml:space="preserve">The efficacy of </w:t>
      </w:r>
      <w:r w:rsidR="00D227C0">
        <w:rPr>
          <w:rFonts w:ascii="Arial" w:eastAsia="Google Sans Text" w:hAnsi="Arial" w:cs="Arial"/>
          <w:color w:val="1B1C1D"/>
        </w:rPr>
        <w:t>CRNs</w:t>
      </w:r>
      <w:r w:rsidR="000F289D">
        <w:rPr>
          <w:rFonts w:ascii="Arial" w:eastAsia="Google Sans Text" w:hAnsi="Arial" w:cs="Arial"/>
          <w:color w:val="1B1C1D"/>
        </w:rPr>
        <w:t xml:space="preserve"> </w:t>
      </w:r>
      <w:r w:rsidRPr="00700A76">
        <w:rPr>
          <w:rFonts w:ascii="Arial" w:eastAsia="Google Sans Text" w:hAnsi="Arial" w:cs="Arial"/>
          <w:color w:val="1B1C1D"/>
        </w:rPr>
        <w:t xml:space="preserve">in food preservation stems from their ability to inhibit microbial growth through several molecular mechanisms, often acting on multiple cellular targets simultaneously, which helps prevent the development of antimicrobial resistance. A primary mechanism is the induction of oxidative stress through the generation of reactive oxygen species (ROS), which damage critical biomolecules like DNA, disrupt ATP synthesis, and ultimately lead to cell death. </w:t>
      </w:r>
      <w:r w:rsidR="00D227C0">
        <w:rPr>
          <w:rFonts w:ascii="Arial" w:eastAsia="Google Sans Text" w:hAnsi="Arial" w:cs="Arial"/>
          <w:color w:val="1B1C1D"/>
        </w:rPr>
        <w:t>CRNs</w:t>
      </w:r>
      <w:r w:rsidRPr="00700A76">
        <w:rPr>
          <w:rFonts w:ascii="Arial" w:eastAsia="Google Sans Text" w:hAnsi="Arial" w:cs="Arial"/>
          <w:color w:val="1B1C1D"/>
        </w:rPr>
        <w:t xml:space="preserve"> also cause direct physical damage to microbial cells. Inorganic metallic nanoparticles, for instance, often possess a positive surface charge that facilitates an electrostatic interaction with the negatively charged bacterial cell wall, leading to membrane destabilization, increased permeability, and the leakage of essential intracellular contents (Sánchez-López et al., 2020). In addition to direct contact, many metallic nanoparticles release metal ions that can inactivate key enzymes and proteins, thereby disrupting vital metabolic pathways. While inorganic nanoparticles like silver (Ag), zinc oxide (</w:t>
      </w:r>
      <w:proofErr w:type="spellStart"/>
      <w:r w:rsidRPr="00700A76">
        <w:rPr>
          <w:rFonts w:ascii="Arial" w:eastAsia="Google Sans Text" w:hAnsi="Arial" w:cs="Arial"/>
          <w:color w:val="1B1C1D"/>
        </w:rPr>
        <w:t>ZnO</w:t>
      </w:r>
      <w:proofErr w:type="spellEnd"/>
      <w:r w:rsidRPr="00700A76">
        <w:rPr>
          <w:rFonts w:ascii="Arial" w:eastAsia="Google Sans Text" w:hAnsi="Arial" w:cs="Arial"/>
          <w:color w:val="1B1C1D"/>
        </w:rPr>
        <w:t>), and titanium oxide (TiO</w:t>
      </w:r>
      <w:r w:rsidRPr="00700A76">
        <w:rPr>
          <w:rFonts w:ascii="Arial" w:eastAsia="Google Sans Text" w:hAnsi="Arial" w:cs="Arial"/>
          <w:color w:val="1B1C1D"/>
          <w:vertAlign w:val="subscript"/>
        </w:rPr>
        <w:t>2​</w:t>
      </w:r>
      <w:r w:rsidRPr="00700A76">
        <w:rPr>
          <w:rFonts w:ascii="Arial" w:eastAsia="Google Sans Text" w:hAnsi="Arial" w:cs="Arial"/>
          <w:color w:val="1B1C1D"/>
        </w:rPr>
        <w:t xml:space="preserve">) exhibit strong, broad-spectrum antimicrobial activity on their own, organic nanoparticles such as pectin and cellulose often possess weak antimicrobial properties and must be conjugated with other active agents, like essential oils </w:t>
      </w:r>
      <w:r w:rsidRPr="00700A76">
        <w:rPr>
          <w:rFonts w:ascii="Arial" w:eastAsia="Google Sans Text" w:hAnsi="Arial" w:cs="Arial"/>
          <w:color w:val="1B1C1D"/>
        </w:rPr>
        <w:lastRenderedPageBreak/>
        <w:t xml:space="preserve">or metals, to be effective. The mechanisms by which these various </w:t>
      </w:r>
      <w:r w:rsidR="00D227C0">
        <w:rPr>
          <w:rFonts w:ascii="Arial" w:eastAsia="Google Sans Text" w:hAnsi="Arial" w:cs="Arial"/>
          <w:color w:val="1B1C1D"/>
        </w:rPr>
        <w:t>CRNs</w:t>
      </w:r>
      <w:r w:rsidR="000F289D">
        <w:rPr>
          <w:rFonts w:ascii="Arial" w:eastAsia="Google Sans Text" w:hAnsi="Arial" w:cs="Arial"/>
          <w:color w:val="1B1C1D"/>
        </w:rPr>
        <w:t xml:space="preserve"> </w:t>
      </w:r>
      <w:r w:rsidRPr="00700A76">
        <w:rPr>
          <w:rFonts w:ascii="Arial" w:eastAsia="Google Sans Text" w:hAnsi="Arial" w:cs="Arial"/>
          <w:color w:val="1B1C1D"/>
        </w:rPr>
        <w:t>are taken up by plants are illustrated in Figure 4.</w:t>
      </w:r>
    </w:p>
    <w:p w14:paraId="50B3AAC0" w14:textId="77777777" w:rsidR="000F289D" w:rsidRPr="00700A76" w:rsidRDefault="000F289D" w:rsidP="00700A76">
      <w:pPr>
        <w:pStyle w:val="Body"/>
        <w:spacing w:after="0"/>
        <w:rPr>
          <w:rFonts w:ascii="Arial" w:hAnsi="Arial" w:cs="Arial"/>
        </w:rPr>
      </w:pPr>
    </w:p>
    <w:p w14:paraId="667CA7B1" w14:textId="77777777" w:rsidR="00700A76" w:rsidRPr="00700A76" w:rsidRDefault="00700A76" w:rsidP="00700A76">
      <w:pPr>
        <w:pBdr>
          <w:top w:val="nil"/>
          <w:left w:val="nil"/>
          <w:bottom w:val="nil"/>
          <w:right w:val="nil"/>
          <w:between w:val="nil"/>
        </w:pBdr>
        <w:spacing w:line="275" w:lineRule="auto"/>
        <w:jc w:val="both"/>
        <w:rPr>
          <w:rFonts w:ascii="Arial" w:eastAsia="Google Sans Text" w:hAnsi="Arial" w:cs="Arial"/>
          <w:color w:val="1B1C1D"/>
        </w:rPr>
      </w:pPr>
      <w:r w:rsidRPr="00700A76">
        <w:rPr>
          <w:rFonts w:ascii="Arial" w:eastAsia="Google Sans Text" w:hAnsi="Arial" w:cs="Arial"/>
          <w:noProof/>
          <w:color w:val="1B1C1D"/>
        </w:rPr>
        <w:drawing>
          <wp:inline distT="0" distB="0" distL="0" distR="0" wp14:anchorId="6BC3F37A" wp14:editId="739A6975">
            <wp:extent cx="5199797" cy="19004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8325" cy="1903598"/>
                    </a:xfrm>
                    <a:prstGeom prst="rect">
                      <a:avLst/>
                    </a:prstGeom>
                  </pic:spPr>
                </pic:pic>
              </a:graphicData>
            </a:graphic>
          </wp:inline>
        </w:drawing>
      </w:r>
    </w:p>
    <w:p w14:paraId="144D4926" w14:textId="1EFBDAB3" w:rsidR="00700A76" w:rsidRDefault="00700A76" w:rsidP="00700A76">
      <w:pPr>
        <w:pStyle w:val="Body"/>
        <w:spacing w:after="0"/>
        <w:rPr>
          <w:rFonts w:ascii="Arial" w:eastAsia="Google Sans Text" w:hAnsi="Arial" w:cs="Arial"/>
          <w:color w:val="1B1C1D"/>
        </w:rPr>
      </w:pPr>
      <w:r w:rsidRPr="00700A76">
        <w:rPr>
          <w:rFonts w:ascii="Arial" w:eastAsia="Google Sans Text" w:hAnsi="Arial" w:cs="Arial"/>
          <w:b/>
          <w:bCs/>
          <w:color w:val="1B1C1D"/>
        </w:rPr>
        <w:t xml:space="preserve">Fig 4. </w:t>
      </w:r>
      <w:r w:rsidRPr="00700A76">
        <w:rPr>
          <w:rFonts w:ascii="Arial" w:eastAsia="Google Sans Text" w:hAnsi="Arial" w:cs="Arial"/>
          <w:color w:val="1B1C1D"/>
        </w:rPr>
        <w:t xml:space="preserve">Mechanisms of </w:t>
      </w:r>
      <w:r w:rsidR="00D227C0">
        <w:rPr>
          <w:rFonts w:ascii="Arial" w:eastAsia="Google Sans Text" w:hAnsi="Arial" w:cs="Arial"/>
          <w:color w:val="1B1C1D"/>
        </w:rPr>
        <w:t>CRNs</w:t>
      </w:r>
      <w:r w:rsidRPr="00700A76">
        <w:rPr>
          <w:rFonts w:ascii="Arial" w:eastAsia="Google Sans Text" w:hAnsi="Arial" w:cs="Arial"/>
          <w:color w:val="1B1C1D"/>
        </w:rPr>
        <w:t xml:space="preserve"> uptake and transport in plants for agricultural applications [Adapted with permission from Shah et al., 2024] </w:t>
      </w:r>
      <w:r w:rsidR="00BD7F4F" w:rsidRPr="00BD7F4F">
        <w:rPr>
          <w:rFonts w:ascii="Arial" w:eastAsia="Google Sans Text" w:hAnsi="Arial" w:cs="Arial"/>
          <w:color w:val="1B1C1D"/>
        </w:rPr>
        <w:t>(Shah et al., 2024)</w:t>
      </w:r>
      <w:r w:rsidR="00BD7F4F">
        <w:rPr>
          <w:rFonts w:ascii="Arial" w:eastAsia="Google Sans Text" w:hAnsi="Arial" w:cs="Arial"/>
          <w:color w:val="1B1C1D"/>
        </w:rPr>
        <w:t>.</w:t>
      </w:r>
    </w:p>
    <w:p w14:paraId="0FA6B746" w14:textId="53CC209C" w:rsidR="00700A76" w:rsidRDefault="00700A76" w:rsidP="00700A76">
      <w:pPr>
        <w:pStyle w:val="Body"/>
        <w:spacing w:after="0"/>
        <w:rPr>
          <w:rFonts w:ascii="Arial" w:eastAsia="Google Sans Text" w:hAnsi="Arial" w:cs="Arial"/>
          <w:color w:val="1B1C1D"/>
        </w:rPr>
      </w:pPr>
    </w:p>
    <w:p w14:paraId="4A93B341" w14:textId="384CAF5E" w:rsidR="00700A76" w:rsidRDefault="00700A76" w:rsidP="00700A76">
      <w:pPr>
        <w:pStyle w:val="ConcHead"/>
        <w:spacing w:after="0"/>
        <w:jc w:val="both"/>
        <w:rPr>
          <w:rFonts w:ascii="Arial" w:hAnsi="Arial" w:cs="Arial"/>
        </w:rPr>
      </w:pPr>
      <w:r>
        <w:rPr>
          <w:rFonts w:ascii="Arial" w:hAnsi="Arial" w:cs="Arial"/>
        </w:rPr>
        <w:t xml:space="preserve">5. </w:t>
      </w:r>
      <w:r w:rsidR="00AC2DAF" w:rsidRPr="00AC2DAF">
        <w:rPr>
          <w:rFonts w:ascii="Arial" w:hAnsi="Arial" w:cs="Arial"/>
        </w:rPr>
        <w:t>CHALLENGES, SAFETY, AND FUTURE PROSPECTS</w:t>
      </w:r>
    </w:p>
    <w:p w14:paraId="1F509B9B" w14:textId="77777777" w:rsidR="00700A76" w:rsidRPr="00FB3A86" w:rsidRDefault="00700A76" w:rsidP="00700A76">
      <w:pPr>
        <w:pStyle w:val="ConcHead"/>
        <w:spacing w:after="0"/>
        <w:jc w:val="both"/>
        <w:rPr>
          <w:rFonts w:ascii="Arial" w:hAnsi="Arial" w:cs="Arial"/>
        </w:rPr>
      </w:pPr>
    </w:p>
    <w:p w14:paraId="5E7CCCEC" w14:textId="622CE86B" w:rsidR="00700A76" w:rsidRDefault="00700A76" w:rsidP="00700A76">
      <w:pPr>
        <w:pStyle w:val="Body"/>
        <w:spacing w:after="0"/>
        <w:rPr>
          <w:rFonts w:ascii="Arial" w:eastAsia="Google Sans Text" w:hAnsi="Arial" w:cs="Arial"/>
          <w:color w:val="1B1C1D"/>
        </w:rPr>
      </w:pPr>
      <w:r w:rsidRPr="00700A76">
        <w:rPr>
          <w:rFonts w:ascii="Arial" w:eastAsia="Google Sans Text" w:hAnsi="Arial" w:cs="Arial"/>
          <w:color w:val="1B1C1D"/>
        </w:rPr>
        <w:t xml:space="preserve">Despite their immense potential, the widespread application of </w:t>
      </w:r>
      <w:r w:rsidR="00D227C0">
        <w:rPr>
          <w:rFonts w:ascii="Arial" w:eastAsia="Google Sans Text" w:hAnsi="Arial" w:cs="Arial"/>
          <w:color w:val="1B1C1D"/>
        </w:rPr>
        <w:t>CRNs</w:t>
      </w:r>
      <w:r w:rsidR="000F289D">
        <w:rPr>
          <w:rFonts w:ascii="Arial" w:eastAsia="Google Sans Text" w:hAnsi="Arial" w:cs="Arial"/>
          <w:color w:val="1B1C1D"/>
        </w:rPr>
        <w:t xml:space="preserve"> </w:t>
      </w:r>
      <w:r w:rsidRPr="00700A76">
        <w:rPr>
          <w:rFonts w:ascii="Arial" w:eastAsia="Google Sans Text" w:hAnsi="Arial" w:cs="Arial"/>
          <w:color w:val="1B1C1D"/>
        </w:rPr>
        <w:t xml:space="preserve">faces significant hurdles, particularly concerning synthesis, safety, and regulation. A major challenge is the heterogeneity of the raw material; agro-industrial waste has a highly variable chemical composition, which makes it difficult to standardize synthesis methods and obtain </w:t>
      </w:r>
      <w:r w:rsidR="00D227C0">
        <w:rPr>
          <w:rFonts w:ascii="Arial" w:eastAsia="Google Sans Text" w:hAnsi="Arial" w:cs="Arial"/>
          <w:color w:val="1B1C1D"/>
        </w:rPr>
        <w:t>CRNs</w:t>
      </w:r>
      <w:r w:rsidRPr="00700A76">
        <w:rPr>
          <w:rFonts w:ascii="Arial" w:eastAsia="Google Sans Text" w:hAnsi="Arial" w:cs="Arial"/>
          <w:color w:val="1B1C1D"/>
        </w:rPr>
        <w:t xml:space="preserve"> with consistent and predictable properties (Olaniyan et al., 2025). Scaling up production from the lab to an industrial level in a cost-effective manner while achieving high yields also remains a formidable obstacle. The most critical concern, however, is the potential toxicity and risk to human health and the environment. </w:t>
      </w:r>
      <w:r w:rsidR="00D227C0">
        <w:rPr>
          <w:rFonts w:ascii="Arial" w:eastAsia="Google Sans Text" w:hAnsi="Arial" w:cs="Arial"/>
          <w:color w:val="1B1C1D"/>
        </w:rPr>
        <w:t>CRNs</w:t>
      </w:r>
      <w:r w:rsidRPr="00700A76">
        <w:rPr>
          <w:rFonts w:ascii="Arial" w:eastAsia="Google Sans Text" w:hAnsi="Arial" w:cs="Arial"/>
          <w:color w:val="1B1C1D"/>
        </w:rPr>
        <w:t xml:space="preserve"> possess unique properties different from their bulk forms, and their small size allows them to migrate from packaging into food, be absorbed by plants, and potentially enter the food chain. Reports suggest that higher doses of some </w:t>
      </w:r>
      <w:r w:rsidR="00D227C0">
        <w:rPr>
          <w:rFonts w:ascii="Arial" w:eastAsia="Google Sans Text" w:hAnsi="Arial" w:cs="Arial"/>
          <w:color w:val="1B1C1D"/>
        </w:rPr>
        <w:t>CRN</w:t>
      </w:r>
      <w:r w:rsidRPr="00700A76">
        <w:rPr>
          <w:rFonts w:ascii="Arial" w:eastAsia="Google Sans Text" w:hAnsi="Arial" w:cs="Arial"/>
          <w:color w:val="1B1C1D"/>
        </w:rPr>
        <w:t xml:space="preserve">s could lead to a 10-15% reduction in soil microbial diversity (Sidhu et al., 2025). Nanoparticle toxicity is complex and depends on multiple factors, including size, shape, surface charge, and concentration. For example, studies have shown that spherical </w:t>
      </w:r>
      <w:proofErr w:type="spellStart"/>
      <w:r w:rsidRPr="00700A76">
        <w:rPr>
          <w:rFonts w:ascii="Arial" w:eastAsia="Google Sans Text" w:hAnsi="Arial" w:cs="Arial"/>
          <w:color w:val="1B1C1D"/>
        </w:rPr>
        <w:t>ZnO</w:t>
      </w:r>
      <w:proofErr w:type="spellEnd"/>
      <w:r w:rsidRPr="00700A76">
        <w:rPr>
          <w:rFonts w:ascii="Arial" w:eastAsia="Google Sans Text" w:hAnsi="Arial" w:cs="Arial"/>
          <w:color w:val="1B1C1D"/>
        </w:rPr>
        <w:t xml:space="preserve"> nanoparticles can be more toxic than their nanorod counterparts (Medici et al., 2021).</w:t>
      </w:r>
    </w:p>
    <w:p w14:paraId="47E1C16E" w14:textId="77777777" w:rsidR="00700A76" w:rsidRDefault="00700A76" w:rsidP="00700A76">
      <w:pPr>
        <w:pStyle w:val="Body"/>
        <w:spacing w:after="0"/>
        <w:rPr>
          <w:rFonts w:ascii="Arial" w:eastAsia="Google Sans Text" w:hAnsi="Arial" w:cs="Arial"/>
          <w:color w:val="1B1C1D"/>
        </w:rPr>
      </w:pPr>
    </w:p>
    <w:p w14:paraId="14768FA2" w14:textId="2E6DDDC6" w:rsidR="00700A76" w:rsidRPr="00700A76" w:rsidRDefault="00700A76" w:rsidP="00700A76">
      <w:pPr>
        <w:pStyle w:val="Body"/>
        <w:spacing w:after="0"/>
        <w:rPr>
          <w:rFonts w:ascii="Arial" w:eastAsia="Google Sans Text" w:hAnsi="Arial" w:cs="Arial"/>
          <w:color w:val="1B1C1D"/>
        </w:rPr>
      </w:pPr>
      <w:r w:rsidRPr="00700A76">
        <w:rPr>
          <w:rFonts w:ascii="Arial" w:eastAsia="Google Sans Text" w:hAnsi="Arial" w:cs="Arial"/>
          <w:color w:val="1B1C1D"/>
        </w:rPr>
        <w:t>Due to these risks, there is a pressing need for clear regulatory frameworks. Currently, guidelines for the use of nanomaterials in agriculture vary significantly across regions. In the United States, the EPA, FDA, and USDA oversee safety assessments and labeling. The European Union has a strict framework requiring mandatory labeling and traceability through agencies like EFSA and ECHA. Similarly, countries like India and China have established guidelines for the safety assessment and management of agricultural nanoproducts (Sidhu et al., 2025). However, these regulations often lag behind the rapid pace of innovation. Future research must prioritize the development of standardized green synthesis methods alongside comprehensive, long-term studies on the environmental fate and toxicological profiles of these promising materials to ensure their safe and sustainable integration into agricultural practices.</w:t>
      </w:r>
    </w:p>
    <w:p w14:paraId="1647645A" w14:textId="27CF2B63" w:rsidR="00790ADA" w:rsidRDefault="00790ADA" w:rsidP="00441B6F">
      <w:pPr>
        <w:pStyle w:val="Body"/>
        <w:spacing w:after="0"/>
        <w:rPr>
          <w:rFonts w:ascii="Arial" w:hAnsi="Arial" w:cs="Arial"/>
        </w:rPr>
      </w:pPr>
    </w:p>
    <w:p w14:paraId="6DC57EF2" w14:textId="40BA6222" w:rsidR="00700A76" w:rsidRDefault="00700A76" w:rsidP="00700A76">
      <w:pPr>
        <w:pStyle w:val="ConcHead"/>
        <w:spacing w:after="0"/>
        <w:jc w:val="both"/>
        <w:rPr>
          <w:rFonts w:ascii="Arial" w:hAnsi="Arial" w:cs="Arial"/>
        </w:rPr>
      </w:pPr>
      <w:r>
        <w:rPr>
          <w:rFonts w:ascii="Arial" w:hAnsi="Arial" w:cs="Arial"/>
        </w:rPr>
        <w:t xml:space="preserve">6. </w:t>
      </w:r>
      <w:r w:rsidRPr="00700A76">
        <w:rPr>
          <w:rFonts w:ascii="Arial" w:hAnsi="Arial" w:cs="Arial"/>
        </w:rPr>
        <w:t>CONCLUSION</w:t>
      </w:r>
    </w:p>
    <w:p w14:paraId="4CA3FEE0" w14:textId="77777777" w:rsidR="00700A76" w:rsidRPr="00FB3A86" w:rsidRDefault="00700A76" w:rsidP="00700A76">
      <w:pPr>
        <w:pStyle w:val="ConcHead"/>
        <w:spacing w:after="0"/>
        <w:jc w:val="both"/>
        <w:rPr>
          <w:rFonts w:ascii="Arial" w:hAnsi="Arial" w:cs="Arial"/>
        </w:rPr>
      </w:pPr>
    </w:p>
    <w:p w14:paraId="11B4ED0A" w14:textId="461A9B82" w:rsidR="00700A76" w:rsidRPr="00700A76" w:rsidRDefault="00700A76" w:rsidP="00700A76">
      <w:pPr>
        <w:pStyle w:val="Body"/>
        <w:spacing w:after="0"/>
        <w:rPr>
          <w:rFonts w:ascii="Arial" w:eastAsia="Google Sans Text" w:hAnsi="Arial" w:cs="Arial"/>
          <w:color w:val="1B1C1D"/>
        </w:rPr>
      </w:pPr>
      <w:r w:rsidRPr="00700A76">
        <w:rPr>
          <w:rFonts w:ascii="Arial" w:eastAsia="Google Sans Text" w:hAnsi="Arial" w:cs="Arial"/>
          <w:color w:val="1B1C1D"/>
        </w:rPr>
        <w:t xml:space="preserve">The valorization of </w:t>
      </w:r>
      <w:r w:rsidR="00D227C0">
        <w:rPr>
          <w:rFonts w:ascii="Arial" w:eastAsia="Google Sans Text" w:hAnsi="Arial" w:cs="Arial"/>
          <w:color w:val="1B1C1D"/>
        </w:rPr>
        <w:t xml:space="preserve">crop residue </w:t>
      </w:r>
      <w:r w:rsidRPr="00700A76">
        <w:rPr>
          <w:rFonts w:ascii="Arial" w:eastAsia="Google Sans Text" w:hAnsi="Arial" w:cs="Arial"/>
          <w:color w:val="1B1C1D"/>
        </w:rPr>
        <w:t xml:space="preserve">through nanotechnology presents a powerful and sustainable solution to concurrent challenges in waste management, food security, and environmental protection. Green synthesis methods offer an eco-friendly and economically </w:t>
      </w:r>
      <w:r w:rsidRPr="00700A76">
        <w:rPr>
          <w:rFonts w:ascii="Arial" w:eastAsia="Google Sans Text" w:hAnsi="Arial" w:cs="Arial"/>
          <w:color w:val="1B1C1D"/>
        </w:rPr>
        <w:lastRenderedPageBreak/>
        <w:t>viable route to producing a wide array of organic, inorganic, and hybrid nanoparticles with significant potential to revolutionize agrotechnology. Their application in active food packaging and as controlled-release systems for agrochemicals can drastically improve food preservation, reduce waste, enhance crop protection, and promote soil health. However, the path to widespread commercialization is fraught with challenges. Issues of production scalability, cost-effectiveness, and, most importantly, the potential for nanotoxicity must be thoroughly addressed through continued interdisciplinary research and the establishment of clear, harmonized regulatory guidelines. Overcoming these hurdles will be key to unlocking the full potential of these materials and advancing a truly circular economy in the agricultural sector, contributing to a more sustainable and resilient global food system.</w:t>
      </w:r>
    </w:p>
    <w:p w14:paraId="4C5B06C3" w14:textId="77777777" w:rsidR="00700A76" w:rsidRPr="00FB3A86" w:rsidRDefault="00700A76" w:rsidP="00700A76">
      <w:pPr>
        <w:pStyle w:val="Body"/>
        <w:spacing w:after="0"/>
        <w:rPr>
          <w:rFonts w:ascii="Arial" w:hAnsi="Arial" w:cs="Arial"/>
        </w:rPr>
      </w:pPr>
    </w:p>
    <w:p w14:paraId="777FC0A9" w14:textId="77777777" w:rsidR="00371FB6" w:rsidRDefault="00371FB6" w:rsidP="00441B6F">
      <w:pPr>
        <w:pStyle w:val="ReferHead"/>
        <w:spacing w:after="0"/>
        <w:jc w:val="both"/>
        <w:rPr>
          <w:rFonts w:ascii="Arial" w:hAnsi="Arial" w:cs="Arial"/>
          <w:b w:val="0"/>
          <w:caps w:val="0"/>
          <w:sz w:val="20"/>
        </w:rPr>
      </w:pPr>
    </w:p>
    <w:p w14:paraId="7B0F0249" w14:textId="209C65EC" w:rsidR="00371FB6" w:rsidRDefault="007A607C" w:rsidP="00441B6F">
      <w:pPr>
        <w:pStyle w:val="ReferHead"/>
        <w:spacing w:after="0"/>
        <w:jc w:val="both"/>
        <w:rPr>
          <w:rFonts w:ascii="Arial" w:hAnsi="Arial" w:cs="Arial"/>
          <w:bCs/>
        </w:rPr>
      </w:pPr>
      <w:r w:rsidRPr="007A607C">
        <w:rPr>
          <w:rFonts w:ascii="Arial" w:hAnsi="Arial" w:cs="Arial"/>
          <w:bCs/>
        </w:rPr>
        <w:t>Declaration of Generative AI</w:t>
      </w:r>
    </w:p>
    <w:p w14:paraId="09D7A422" w14:textId="77777777" w:rsidR="00371FB6" w:rsidRPr="00371FB6" w:rsidRDefault="00371FB6" w:rsidP="00441B6F">
      <w:pPr>
        <w:pStyle w:val="ReferHead"/>
        <w:spacing w:after="0"/>
        <w:jc w:val="both"/>
        <w:rPr>
          <w:rFonts w:ascii="Arial" w:hAnsi="Arial" w:cs="Arial"/>
          <w:bCs/>
        </w:rPr>
      </w:pPr>
    </w:p>
    <w:p w14:paraId="1FA0652E" w14:textId="3C229119" w:rsidR="00860000" w:rsidRDefault="007A607C" w:rsidP="007A607C">
      <w:pPr>
        <w:pBdr>
          <w:top w:val="nil"/>
          <w:left w:val="nil"/>
          <w:bottom w:val="nil"/>
          <w:right w:val="nil"/>
          <w:between w:val="nil"/>
        </w:pBdr>
        <w:spacing w:line="275" w:lineRule="auto"/>
        <w:jc w:val="both"/>
        <w:rPr>
          <w:rFonts w:ascii="Arial" w:eastAsia="Google Sans Text" w:hAnsi="Arial" w:cs="Arial"/>
          <w:color w:val="1B1C1D"/>
        </w:rPr>
      </w:pPr>
      <w:r w:rsidRPr="007A607C">
        <w:rPr>
          <w:rFonts w:ascii="Arial" w:eastAsia="Google Sans Text" w:hAnsi="Arial" w:cs="Arial"/>
          <w:color w:val="1B1C1D"/>
        </w:rPr>
        <w:t>During the preparation of this work, the author used Gemini AI in order to refine the English. After using this tool/service, the authors reviewed and edited the content as needed and take full responsibility for the content of the publication.</w:t>
      </w:r>
    </w:p>
    <w:p w14:paraId="1525519D" w14:textId="77777777" w:rsidR="007A607C" w:rsidRPr="007A607C" w:rsidRDefault="007A607C" w:rsidP="007A607C">
      <w:pPr>
        <w:pBdr>
          <w:top w:val="nil"/>
          <w:left w:val="nil"/>
          <w:bottom w:val="nil"/>
          <w:right w:val="nil"/>
          <w:between w:val="nil"/>
        </w:pBdr>
        <w:spacing w:line="275" w:lineRule="auto"/>
        <w:jc w:val="both"/>
        <w:rPr>
          <w:rFonts w:ascii="Arial" w:eastAsia="Google Sans Text" w:hAnsi="Arial" w:cs="Arial"/>
          <w:color w:val="1B1C1D"/>
        </w:rPr>
      </w:pPr>
    </w:p>
    <w:p w14:paraId="675645D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3C12DED" w14:textId="77777777" w:rsidR="00790ADA" w:rsidRPr="007A607C" w:rsidRDefault="00790ADA" w:rsidP="00441B6F">
      <w:pPr>
        <w:pStyle w:val="ReferHead"/>
        <w:spacing w:after="0"/>
        <w:jc w:val="both"/>
        <w:rPr>
          <w:rFonts w:ascii="Arial" w:hAnsi="Arial" w:cs="Arial"/>
          <w:sz w:val="20"/>
        </w:rPr>
      </w:pPr>
    </w:p>
    <w:p w14:paraId="4C2029B9"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Adebayo, A. E., Oke, A. M., Lateef, A., et al. (2019). Biosynthesis of silver, gold and silver-gold alloy nanoparticles using </w:t>
      </w:r>
      <w:proofErr w:type="spellStart"/>
      <w:r w:rsidRPr="007A607C">
        <w:rPr>
          <w:rFonts w:ascii="Arial" w:eastAsia="Google Sans Text" w:hAnsi="Arial" w:cs="Arial"/>
          <w:color w:val="1B1C1D"/>
        </w:rPr>
        <w:t>Persea</w:t>
      </w:r>
      <w:proofErr w:type="spellEnd"/>
      <w:r w:rsidRPr="007A607C">
        <w:rPr>
          <w:rFonts w:ascii="Arial" w:eastAsia="Google Sans Text" w:hAnsi="Arial" w:cs="Arial"/>
          <w:color w:val="1B1C1D"/>
        </w:rPr>
        <w:t xml:space="preserve"> americana fruit peel aqueous extract for their biomedical properties. </w:t>
      </w:r>
      <w:r w:rsidRPr="007A607C">
        <w:rPr>
          <w:rFonts w:ascii="Arial" w:eastAsia="Google Sans Text" w:hAnsi="Arial" w:cs="Arial"/>
          <w:i/>
          <w:color w:val="1B1C1D"/>
        </w:rPr>
        <w:t>Nanotechnology for Environmental Engineering</w:t>
      </w:r>
      <w:r w:rsidRPr="007A607C">
        <w:rPr>
          <w:rFonts w:ascii="Arial" w:eastAsia="Google Sans Text" w:hAnsi="Arial" w:cs="Arial"/>
          <w:color w:val="1B1C1D"/>
        </w:rPr>
        <w:t>, 4(1), 13. https://doi.org/10.1007/s41204-019-0060-8</w:t>
      </w:r>
    </w:p>
    <w:p w14:paraId="08ED8BD5"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Akram, W., et al. (2024). Simultaneous synthesis and application of TiO</w:t>
      </w:r>
      <w:r w:rsidRPr="007A607C">
        <w:rPr>
          <w:rFonts w:ascii="Arial" w:eastAsia="Google Sans Text" w:hAnsi="Arial" w:cs="Arial"/>
          <w:color w:val="1B1C1D"/>
          <w:vertAlign w:val="subscript"/>
        </w:rPr>
        <w:t>2</w:t>
      </w:r>
      <w:r w:rsidRPr="007A607C">
        <w:rPr>
          <w:rFonts w:ascii="Arial" w:eastAsia="Google Sans Text" w:hAnsi="Arial" w:cs="Arial"/>
          <w:color w:val="1B1C1D"/>
        </w:rPr>
        <w:t xml:space="preserve"> nanoparticles using mulberry leaves for functionalization of organic cotton fabric. </w:t>
      </w:r>
      <w:r w:rsidRPr="007A607C">
        <w:rPr>
          <w:rFonts w:ascii="Arial" w:eastAsia="Google Sans Text" w:hAnsi="Arial" w:cs="Arial"/>
          <w:i/>
          <w:color w:val="1B1C1D"/>
        </w:rPr>
        <w:t>Journal of Cleaner Production</w:t>
      </w:r>
      <w:r w:rsidRPr="007A607C">
        <w:rPr>
          <w:rFonts w:ascii="Arial" w:eastAsia="Google Sans Text" w:hAnsi="Arial" w:cs="Arial"/>
          <w:color w:val="1B1C1D"/>
        </w:rPr>
        <w:t>, 440, 140939. https://doi.org/10.1016/j.jclepro.2024.140939</w:t>
      </w:r>
    </w:p>
    <w:p w14:paraId="1C1A13E4"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Cheng, J., Tian, B., Wang, J., Wang, Z., &amp; Liu, Y. (2021). Development of multifunctional films based on chitosan, nano silica and hops extracts. </w:t>
      </w:r>
      <w:r w:rsidRPr="007A607C">
        <w:rPr>
          <w:rFonts w:ascii="Arial" w:eastAsia="Google Sans Text" w:hAnsi="Arial" w:cs="Arial"/>
          <w:i/>
          <w:color w:val="1B1C1D"/>
        </w:rPr>
        <w:t>European Polymer Journal</w:t>
      </w:r>
      <w:r w:rsidRPr="007A607C">
        <w:rPr>
          <w:rFonts w:ascii="Arial" w:eastAsia="Google Sans Text" w:hAnsi="Arial" w:cs="Arial"/>
          <w:color w:val="1B1C1D"/>
        </w:rPr>
        <w:t>, 161, 110816. https://doi.org/10.1016/j.eurpolymj.2021.110816</w:t>
      </w:r>
    </w:p>
    <w:p w14:paraId="2F79DD6F"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Duque-Acevedo, M., Belmonte-Ureña, L. J., Cortés-García, F. J., &amp; Camacho-Ferre, F. (2020). Agricultural waste: Review of the evolution, approaches and perspectives on alternative uses. </w:t>
      </w:r>
      <w:r w:rsidRPr="007A607C">
        <w:rPr>
          <w:rFonts w:ascii="Arial" w:eastAsia="Google Sans Text" w:hAnsi="Arial" w:cs="Arial"/>
          <w:i/>
          <w:color w:val="1B1C1D"/>
        </w:rPr>
        <w:t>Global Ecology and Conservation</w:t>
      </w:r>
      <w:r w:rsidRPr="007A607C">
        <w:rPr>
          <w:rFonts w:ascii="Arial" w:eastAsia="Google Sans Text" w:hAnsi="Arial" w:cs="Arial"/>
          <w:color w:val="1B1C1D"/>
        </w:rPr>
        <w:t>, 22, e00902. https://doi.org/10.1016/j.gecco.2020.e00902</w:t>
      </w:r>
    </w:p>
    <w:p w14:paraId="7130A95D"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Flores-Contreras, E. A., González-González, R. B., Pablo Pizaña-Aranda, J. J., Parra-Arroyo, L., Rodríguez-Aguayo, A. A., Iñiguez-Moreno, M., González-Meza, G. M., Araújo, R. G., Ramírez-</w:t>
      </w:r>
      <w:proofErr w:type="spellStart"/>
      <w:r w:rsidRPr="007A607C">
        <w:rPr>
          <w:rFonts w:ascii="Arial" w:eastAsia="Google Sans Text" w:hAnsi="Arial" w:cs="Arial"/>
          <w:color w:val="1B1C1D"/>
        </w:rPr>
        <w:t>Gamboa</w:t>
      </w:r>
      <w:proofErr w:type="spellEnd"/>
      <w:r w:rsidRPr="007A607C">
        <w:rPr>
          <w:rFonts w:ascii="Arial" w:eastAsia="Google Sans Text" w:hAnsi="Arial" w:cs="Arial"/>
          <w:color w:val="1B1C1D"/>
        </w:rPr>
        <w:t xml:space="preserve">, D., Parra-Saldívar, R., &amp; Melchor-Martínez, E. M. (2024). Agricultural waste as a sustainable source for nanoparticle synthesis and their antimicrobial properties for food preservation. </w:t>
      </w:r>
      <w:r w:rsidRPr="0046415B">
        <w:rPr>
          <w:rFonts w:ascii="Arial" w:eastAsia="Google Sans Text" w:hAnsi="Arial" w:cs="Arial"/>
          <w:i/>
          <w:iCs/>
          <w:color w:val="1B1C1D"/>
        </w:rPr>
        <w:t>Frontiers in Nanotechnology</w:t>
      </w:r>
      <w:r w:rsidRPr="007A607C">
        <w:rPr>
          <w:rFonts w:ascii="Arial" w:eastAsia="Google Sans Text" w:hAnsi="Arial" w:cs="Arial"/>
          <w:color w:val="1B1C1D"/>
        </w:rPr>
        <w:t>, 6, 1346069. https://doi.org/10.3389/FNANO.2024.1346069</w:t>
      </w:r>
    </w:p>
    <w:p w14:paraId="52F9E77D" w14:textId="24ECF766" w:rsid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Frida, E., </w:t>
      </w:r>
      <w:proofErr w:type="spellStart"/>
      <w:r w:rsidRPr="007A607C">
        <w:rPr>
          <w:rFonts w:ascii="Arial" w:eastAsia="Google Sans Text" w:hAnsi="Arial" w:cs="Arial"/>
          <w:color w:val="1B1C1D"/>
        </w:rPr>
        <w:t>Ratnawulan</w:t>
      </w:r>
      <w:proofErr w:type="spellEnd"/>
      <w:r w:rsidRPr="007A607C">
        <w:rPr>
          <w:rFonts w:ascii="Arial" w:eastAsia="Google Sans Text" w:hAnsi="Arial" w:cs="Arial"/>
          <w:color w:val="1B1C1D"/>
        </w:rPr>
        <w:t xml:space="preserve">, Bukit, N., Bukit, B. F., Taufiq, A., Pratama, A. W., Rahmawati, I., &amp; Bukit, F. R. A. (2024). </w:t>
      </w:r>
      <w:proofErr w:type="spellStart"/>
      <w:r w:rsidRPr="007A607C">
        <w:rPr>
          <w:rFonts w:ascii="Arial" w:eastAsia="Google Sans Text" w:hAnsi="Arial" w:cs="Arial"/>
          <w:color w:val="1B1C1D"/>
        </w:rPr>
        <w:t>Superhydrophilic</w:t>
      </w:r>
      <w:proofErr w:type="spellEnd"/>
      <w:r w:rsidRPr="007A607C">
        <w:rPr>
          <w:rFonts w:ascii="Arial" w:eastAsia="Google Sans Text" w:hAnsi="Arial" w:cs="Arial"/>
          <w:color w:val="1B1C1D"/>
        </w:rPr>
        <w:t xml:space="preserve"> and self-cleaning properties of cotton fabric coated with oil palm boiler ash and titanium dioxide. </w:t>
      </w:r>
      <w:r w:rsidRPr="0046415B">
        <w:rPr>
          <w:rFonts w:ascii="Arial" w:eastAsia="Google Sans Text" w:hAnsi="Arial" w:cs="Arial"/>
          <w:i/>
          <w:iCs/>
          <w:color w:val="1B1C1D"/>
        </w:rPr>
        <w:t>Case Studies in Chemical and Environmental Engineering</w:t>
      </w:r>
      <w:r w:rsidRPr="007A607C">
        <w:rPr>
          <w:rFonts w:ascii="Arial" w:eastAsia="Google Sans Text" w:hAnsi="Arial" w:cs="Arial"/>
          <w:color w:val="1B1C1D"/>
        </w:rPr>
        <w:t>, 10, 100946. https://doi.org/10.1016/J.CSCEE.2024.100946</w:t>
      </w:r>
    </w:p>
    <w:p w14:paraId="31DBBA61" w14:textId="293DFA8C" w:rsidR="007E33CC" w:rsidRPr="007A607C" w:rsidRDefault="007E33C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E33CC">
        <w:rPr>
          <w:rFonts w:ascii="Arial" w:eastAsia="Google Sans Text" w:hAnsi="Arial" w:cs="Arial"/>
          <w:color w:val="1B1C1D"/>
        </w:rPr>
        <w:t xml:space="preserve">Grillo, R., Pereira, A. E. S., </w:t>
      </w:r>
      <w:proofErr w:type="spellStart"/>
      <w:r w:rsidRPr="007E33CC">
        <w:rPr>
          <w:rFonts w:ascii="Arial" w:eastAsia="Google Sans Text" w:hAnsi="Arial" w:cs="Arial"/>
          <w:color w:val="1B1C1D"/>
        </w:rPr>
        <w:t>Nishisaka</w:t>
      </w:r>
      <w:proofErr w:type="spellEnd"/>
      <w:r w:rsidRPr="007E33CC">
        <w:rPr>
          <w:rFonts w:ascii="Arial" w:eastAsia="Google Sans Text" w:hAnsi="Arial" w:cs="Arial"/>
          <w:color w:val="1B1C1D"/>
        </w:rPr>
        <w:t xml:space="preserve">, C. S., De Lima, R., Oehlke, K., Greiner, R., &amp; </w:t>
      </w:r>
      <w:proofErr w:type="spellStart"/>
      <w:r w:rsidRPr="007E33CC">
        <w:rPr>
          <w:rFonts w:ascii="Arial" w:eastAsia="Google Sans Text" w:hAnsi="Arial" w:cs="Arial"/>
          <w:color w:val="1B1C1D"/>
        </w:rPr>
        <w:t>Fraceto</w:t>
      </w:r>
      <w:proofErr w:type="spellEnd"/>
      <w:r w:rsidRPr="007E33CC">
        <w:rPr>
          <w:rFonts w:ascii="Arial" w:eastAsia="Google Sans Text" w:hAnsi="Arial" w:cs="Arial"/>
          <w:color w:val="1B1C1D"/>
        </w:rPr>
        <w:t xml:space="preserve">, L. F. (2014). Chitosan/tripolyphosphate nanoparticles loaded with paraquat herbicide: </w:t>
      </w:r>
      <w:r w:rsidRPr="007E33CC">
        <w:rPr>
          <w:rFonts w:ascii="Arial" w:eastAsia="Google Sans Text" w:hAnsi="Arial" w:cs="Arial"/>
          <w:color w:val="1B1C1D"/>
        </w:rPr>
        <w:lastRenderedPageBreak/>
        <w:t xml:space="preserve">An environmentally safer alternative for weed control. </w:t>
      </w:r>
      <w:r w:rsidRPr="00C458D1">
        <w:rPr>
          <w:rFonts w:ascii="Arial" w:eastAsia="Google Sans Text" w:hAnsi="Arial" w:cs="Arial"/>
          <w:i/>
          <w:iCs/>
          <w:color w:val="1B1C1D"/>
        </w:rPr>
        <w:t>Journal of Hazardous Materials</w:t>
      </w:r>
      <w:r w:rsidRPr="007E33CC">
        <w:rPr>
          <w:rFonts w:ascii="Arial" w:eastAsia="Google Sans Text" w:hAnsi="Arial" w:cs="Arial"/>
          <w:color w:val="1B1C1D"/>
        </w:rPr>
        <w:t>, 278, 163–171. https://doi.org/10.1016/J.JHAZMAT.2014.05.079</w:t>
      </w:r>
    </w:p>
    <w:p w14:paraId="58328A23"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Hu, W., Zou, Z., Li, H., Zhang, Z., Yu, J., &amp; Tang, Q. (2022). Fabrication of highly transparent and multifunctional polyvinyl alcohol/starch based nanocomposite films using zinc oxide nanoparticles as compatibilizers. </w:t>
      </w:r>
      <w:r w:rsidRPr="007A607C">
        <w:rPr>
          <w:rFonts w:ascii="Arial" w:eastAsia="Google Sans Text" w:hAnsi="Arial" w:cs="Arial"/>
          <w:i/>
          <w:color w:val="1B1C1D"/>
        </w:rPr>
        <w:t>International Journal of Biological Macromolecules</w:t>
      </w:r>
      <w:r w:rsidRPr="007A607C">
        <w:rPr>
          <w:rFonts w:ascii="Arial" w:eastAsia="Google Sans Text" w:hAnsi="Arial" w:cs="Arial"/>
          <w:color w:val="1B1C1D"/>
        </w:rPr>
        <w:t>, 204, 284-292. https://doi.org/10.1016/j.ijbiomac.2022.02.020</w:t>
      </w:r>
    </w:p>
    <w:p w14:paraId="25EA57DA"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Huang, X., Wang, F., Hu, W., Zou, Z., Tang, Q., Li, H., &amp; Xu, L. (2024). Smart packaging films based on corn starch/polyvinyl alcohol containing nano SIM-1 for monitoring food freshness. </w:t>
      </w:r>
      <w:r w:rsidRPr="0046415B">
        <w:rPr>
          <w:rFonts w:ascii="Arial" w:eastAsia="Google Sans Text" w:hAnsi="Arial" w:cs="Arial"/>
          <w:i/>
          <w:iCs/>
          <w:color w:val="1B1C1D"/>
        </w:rPr>
        <w:t>International Journal of Biological Macromolecules</w:t>
      </w:r>
      <w:r w:rsidRPr="007A607C">
        <w:rPr>
          <w:rFonts w:ascii="Arial" w:eastAsia="Google Sans Text" w:hAnsi="Arial" w:cs="Arial"/>
          <w:color w:val="1B1C1D"/>
        </w:rPr>
        <w:t>, 256, 128373. https://doi.org/10.1016/J.IJBIOMAC.2023.128373</w:t>
      </w:r>
    </w:p>
    <w:p w14:paraId="2A3918B1" w14:textId="39B14BEA"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proofErr w:type="spellStart"/>
      <w:r w:rsidRPr="007A607C">
        <w:rPr>
          <w:rFonts w:ascii="Arial" w:eastAsia="Google Sans Text" w:hAnsi="Arial" w:cs="Arial"/>
          <w:color w:val="1B1C1D"/>
        </w:rPr>
        <w:t>Kurul</w:t>
      </w:r>
      <w:proofErr w:type="spellEnd"/>
      <w:r w:rsidRPr="007A607C">
        <w:rPr>
          <w:rFonts w:ascii="Arial" w:eastAsia="Google Sans Text" w:hAnsi="Arial" w:cs="Arial"/>
          <w:color w:val="1B1C1D"/>
        </w:rPr>
        <w:t xml:space="preserve">, F., Doruk, · Beyzanur, Seda, ·, &amp; </w:t>
      </w:r>
      <w:proofErr w:type="spellStart"/>
      <w:r w:rsidRPr="007A607C">
        <w:rPr>
          <w:rFonts w:ascii="Arial" w:eastAsia="Google Sans Text" w:hAnsi="Arial" w:cs="Arial"/>
          <w:color w:val="1B1C1D"/>
        </w:rPr>
        <w:t>Topkaya</w:t>
      </w:r>
      <w:proofErr w:type="spellEnd"/>
      <w:r w:rsidRPr="007A607C">
        <w:rPr>
          <w:rFonts w:ascii="Arial" w:eastAsia="Google Sans Text" w:hAnsi="Arial" w:cs="Arial"/>
          <w:color w:val="1B1C1D"/>
        </w:rPr>
        <w:t xml:space="preserve">, N. (2025). Principles of green chemistry: building a sustainable future. </w:t>
      </w:r>
      <w:r w:rsidRPr="0046415B">
        <w:rPr>
          <w:rFonts w:ascii="Arial" w:eastAsia="Google Sans Text" w:hAnsi="Arial" w:cs="Arial"/>
          <w:i/>
          <w:iCs/>
          <w:color w:val="1B1C1D"/>
        </w:rPr>
        <w:t>Discover Chemistry</w:t>
      </w:r>
      <w:r w:rsidRPr="007A607C">
        <w:rPr>
          <w:rFonts w:ascii="Arial" w:eastAsia="Google Sans Text" w:hAnsi="Arial" w:cs="Arial"/>
          <w:color w:val="1B1C1D"/>
        </w:rPr>
        <w:t xml:space="preserve"> 2(1), 1–25. https://doi.org/10.1007/S44371-025-00152-9</w:t>
      </w:r>
    </w:p>
    <w:p w14:paraId="6B75179D"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Li, Z., Wang, Q., Zhou, Z., Zhao, S., Zhong, S., Xu, L., Gao, Y., &amp; Cui, X. (2021). Green synthesis of carbon quantum dots from corn stalk shell by hydrothermal approach in near-critical water and applications in detecting and bioimaging. </w:t>
      </w:r>
      <w:r w:rsidRPr="0046415B">
        <w:rPr>
          <w:rFonts w:ascii="Arial" w:eastAsia="Google Sans Text" w:hAnsi="Arial" w:cs="Arial"/>
          <w:i/>
          <w:iCs/>
          <w:color w:val="1B1C1D"/>
        </w:rPr>
        <w:t>Microchemical Journal</w:t>
      </w:r>
      <w:r w:rsidRPr="007A607C">
        <w:rPr>
          <w:rFonts w:ascii="Arial" w:eastAsia="Google Sans Text" w:hAnsi="Arial" w:cs="Arial"/>
          <w:color w:val="1B1C1D"/>
        </w:rPr>
        <w:t>, 166, 106250. https://doi.org/10.1016/J.MICROC.2021.106250</w:t>
      </w:r>
    </w:p>
    <w:p w14:paraId="0617CFA9"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Lu, P., Zhao, H., Zheng, L., Duan, Y., Wu, M., Yu, X., &amp; Yang, Y. (2022). Nanocellulose/Nisin Hydrogel Microparticles as Sustained Antimicrobial Coatings for Paper Packaging. </w:t>
      </w:r>
      <w:r w:rsidRPr="0046415B">
        <w:rPr>
          <w:rFonts w:ascii="Arial" w:eastAsia="Google Sans Text" w:hAnsi="Arial" w:cs="Arial"/>
          <w:i/>
          <w:iCs/>
          <w:color w:val="1B1C1D"/>
        </w:rPr>
        <w:t>ACS Applied Polymer Materials</w:t>
      </w:r>
      <w:r w:rsidRPr="007A607C">
        <w:rPr>
          <w:rFonts w:ascii="Arial" w:eastAsia="Google Sans Text" w:hAnsi="Arial" w:cs="Arial"/>
          <w:color w:val="1B1C1D"/>
        </w:rPr>
        <w:t>, 4(4), 2664–2673. https://doi.org/10.1021/ACSAPM.2C00001</w:t>
      </w:r>
    </w:p>
    <w:p w14:paraId="5A862FFA"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Medici, S., </w:t>
      </w:r>
      <w:proofErr w:type="spellStart"/>
      <w:r w:rsidRPr="007A607C">
        <w:rPr>
          <w:rFonts w:ascii="Arial" w:eastAsia="Google Sans Text" w:hAnsi="Arial" w:cs="Arial"/>
          <w:color w:val="1B1C1D"/>
        </w:rPr>
        <w:t>Peana</w:t>
      </w:r>
      <w:proofErr w:type="spellEnd"/>
      <w:r w:rsidRPr="007A607C">
        <w:rPr>
          <w:rFonts w:ascii="Arial" w:eastAsia="Google Sans Text" w:hAnsi="Arial" w:cs="Arial"/>
          <w:color w:val="1B1C1D"/>
        </w:rPr>
        <w:t xml:space="preserve">, M., </w:t>
      </w:r>
      <w:proofErr w:type="spellStart"/>
      <w:r w:rsidRPr="007A607C">
        <w:rPr>
          <w:rFonts w:ascii="Arial" w:eastAsia="Google Sans Text" w:hAnsi="Arial" w:cs="Arial"/>
          <w:color w:val="1B1C1D"/>
        </w:rPr>
        <w:t>Pelucelli</w:t>
      </w:r>
      <w:proofErr w:type="spellEnd"/>
      <w:r w:rsidRPr="007A607C">
        <w:rPr>
          <w:rFonts w:ascii="Arial" w:eastAsia="Google Sans Text" w:hAnsi="Arial" w:cs="Arial"/>
          <w:color w:val="1B1C1D"/>
        </w:rPr>
        <w:t xml:space="preserve">, A., &amp; </w:t>
      </w:r>
      <w:proofErr w:type="spellStart"/>
      <w:r w:rsidRPr="007A607C">
        <w:rPr>
          <w:rFonts w:ascii="Arial" w:eastAsia="Google Sans Text" w:hAnsi="Arial" w:cs="Arial"/>
          <w:color w:val="1B1C1D"/>
        </w:rPr>
        <w:t>Zoroddu</w:t>
      </w:r>
      <w:proofErr w:type="spellEnd"/>
      <w:r w:rsidRPr="007A607C">
        <w:rPr>
          <w:rFonts w:ascii="Arial" w:eastAsia="Google Sans Text" w:hAnsi="Arial" w:cs="Arial"/>
          <w:color w:val="1B1C1D"/>
        </w:rPr>
        <w:t xml:space="preserve">, M. A. (2021). An updated overview on metal nanoparticles toxicity. </w:t>
      </w:r>
      <w:r w:rsidRPr="007A607C">
        <w:rPr>
          <w:rFonts w:ascii="Arial" w:eastAsia="Google Sans Text" w:hAnsi="Arial" w:cs="Arial"/>
          <w:i/>
          <w:color w:val="1B1C1D"/>
        </w:rPr>
        <w:t>Seminars in Cancer Biology</w:t>
      </w:r>
      <w:r w:rsidRPr="007A607C">
        <w:rPr>
          <w:rFonts w:ascii="Arial" w:eastAsia="Google Sans Text" w:hAnsi="Arial" w:cs="Arial"/>
          <w:color w:val="1B1C1D"/>
        </w:rPr>
        <w:t>, 76, 17-26. https://doi.org/10.1016/j.semcancer.2021.06.020</w:t>
      </w:r>
    </w:p>
    <w:p w14:paraId="68EB82C1"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Melenia, A. T., Jovita, S., </w:t>
      </w:r>
      <w:proofErr w:type="spellStart"/>
      <w:r w:rsidRPr="007A607C">
        <w:rPr>
          <w:rFonts w:ascii="Arial" w:eastAsia="Google Sans Text" w:hAnsi="Arial" w:cs="Arial"/>
          <w:color w:val="1B1C1D"/>
        </w:rPr>
        <w:t>Utami</w:t>
      </w:r>
      <w:proofErr w:type="spellEnd"/>
      <w:r w:rsidRPr="007A607C">
        <w:rPr>
          <w:rFonts w:ascii="Arial" w:eastAsia="Google Sans Text" w:hAnsi="Arial" w:cs="Arial"/>
          <w:color w:val="1B1C1D"/>
        </w:rPr>
        <w:t xml:space="preserve">, D. I., Tamim, R., </w:t>
      </w:r>
      <w:proofErr w:type="spellStart"/>
      <w:r w:rsidRPr="007A607C">
        <w:rPr>
          <w:rFonts w:ascii="Arial" w:eastAsia="Google Sans Text" w:hAnsi="Arial" w:cs="Arial"/>
          <w:color w:val="1B1C1D"/>
        </w:rPr>
        <w:t>Holilah</w:t>
      </w:r>
      <w:proofErr w:type="spellEnd"/>
      <w:r w:rsidRPr="007A607C">
        <w:rPr>
          <w:rFonts w:ascii="Arial" w:eastAsia="Google Sans Text" w:hAnsi="Arial" w:cs="Arial"/>
          <w:color w:val="1B1C1D"/>
        </w:rPr>
        <w:t xml:space="preserve">, H., </w:t>
      </w:r>
      <w:proofErr w:type="spellStart"/>
      <w:r w:rsidRPr="007A607C">
        <w:rPr>
          <w:rFonts w:ascii="Arial" w:eastAsia="Google Sans Text" w:hAnsi="Arial" w:cs="Arial"/>
          <w:color w:val="1B1C1D"/>
        </w:rPr>
        <w:t>Bahruji</w:t>
      </w:r>
      <w:proofErr w:type="spellEnd"/>
      <w:r w:rsidRPr="007A607C">
        <w:rPr>
          <w:rFonts w:ascii="Arial" w:eastAsia="Google Sans Text" w:hAnsi="Arial" w:cs="Arial"/>
          <w:color w:val="1B1C1D"/>
        </w:rPr>
        <w:t xml:space="preserve">, H., Hamid, Z. A. A., </w:t>
      </w:r>
      <w:proofErr w:type="spellStart"/>
      <w:r w:rsidRPr="007A607C">
        <w:rPr>
          <w:rFonts w:ascii="Arial" w:eastAsia="Google Sans Text" w:hAnsi="Arial" w:cs="Arial"/>
          <w:color w:val="1B1C1D"/>
        </w:rPr>
        <w:t>Mubarok</w:t>
      </w:r>
      <w:proofErr w:type="spellEnd"/>
      <w:r w:rsidRPr="007A607C">
        <w:rPr>
          <w:rFonts w:ascii="Arial" w:eastAsia="Google Sans Text" w:hAnsi="Arial" w:cs="Arial"/>
          <w:color w:val="1B1C1D"/>
        </w:rPr>
        <w:t xml:space="preserve">, F., </w:t>
      </w:r>
      <w:proofErr w:type="spellStart"/>
      <w:r w:rsidRPr="007A607C">
        <w:rPr>
          <w:rFonts w:ascii="Arial" w:eastAsia="Google Sans Text" w:hAnsi="Arial" w:cs="Arial"/>
          <w:color w:val="1B1C1D"/>
        </w:rPr>
        <w:t>Widiyastuti</w:t>
      </w:r>
      <w:proofErr w:type="spellEnd"/>
      <w:r w:rsidRPr="007A607C">
        <w:rPr>
          <w:rFonts w:ascii="Arial" w:eastAsia="Google Sans Text" w:hAnsi="Arial" w:cs="Arial"/>
          <w:color w:val="1B1C1D"/>
        </w:rPr>
        <w:t xml:space="preserve">, W., Wibisono, A. T., </w:t>
      </w:r>
      <w:proofErr w:type="spellStart"/>
      <w:r w:rsidRPr="007A607C">
        <w:rPr>
          <w:rFonts w:ascii="Arial" w:eastAsia="Google Sans Text" w:hAnsi="Arial" w:cs="Arial"/>
          <w:color w:val="1B1C1D"/>
        </w:rPr>
        <w:t>Suprapto</w:t>
      </w:r>
      <w:proofErr w:type="spellEnd"/>
      <w:r w:rsidRPr="007A607C">
        <w:rPr>
          <w:rFonts w:ascii="Arial" w:eastAsia="Google Sans Text" w:hAnsi="Arial" w:cs="Arial"/>
          <w:color w:val="1B1C1D"/>
        </w:rPr>
        <w:t xml:space="preserve">, S., Jalil, A. A., &amp; </w:t>
      </w:r>
      <w:proofErr w:type="spellStart"/>
      <w:r w:rsidRPr="007A607C">
        <w:rPr>
          <w:rFonts w:ascii="Arial" w:eastAsia="Google Sans Text" w:hAnsi="Arial" w:cs="Arial"/>
          <w:color w:val="1B1C1D"/>
        </w:rPr>
        <w:t>Prasetyoko</w:t>
      </w:r>
      <w:proofErr w:type="spellEnd"/>
      <w:r w:rsidRPr="007A607C">
        <w:rPr>
          <w:rFonts w:ascii="Arial" w:eastAsia="Google Sans Text" w:hAnsi="Arial" w:cs="Arial"/>
          <w:color w:val="1B1C1D"/>
        </w:rPr>
        <w:t xml:space="preserve">, D. (2024). Nanocrystalline cellulose from </w:t>
      </w:r>
      <w:proofErr w:type="spellStart"/>
      <w:r w:rsidRPr="007A607C">
        <w:rPr>
          <w:rFonts w:ascii="Arial" w:eastAsia="Google Sans Text" w:hAnsi="Arial" w:cs="Arial"/>
          <w:color w:val="1B1C1D"/>
        </w:rPr>
        <w:t>Calophyllum</w:t>
      </w:r>
      <w:proofErr w:type="spellEnd"/>
      <w:r w:rsidRPr="007A607C">
        <w:rPr>
          <w:rFonts w:ascii="Arial" w:eastAsia="Google Sans Text" w:hAnsi="Arial" w:cs="Arial"/>
          <w:color w:val="1B1C1D"/>
        </w:rPr>
        <w:t xml:space="preserve"> </w:t>
      </w:r>
      <w:proofErr w:type="spellStart"/>
      <w:r w:rsidRPr="007A607C">
        <w:rPr>
          <w:rFonts w:ascii="Arial" w:eastAsia="Google Sans Text" w:hAnsi="Arial" w:cs="Arial"/>
          <w:color w:val="1B1C1D"/>
        </w:rPr>
        <w:t>inophyllum</w:t>
      </w:r>
      <w:proofErr w:type="spellEnd"/>
      <w:r w:rsidRPr="007A607C">
        <w:rPr>
          <w:rFonts w:ascii="Arial" w:eastAsia="Google Sans Text" w:hAnsi="Arial" w:cs="Arial"/>
          <w:color w:val="1B1C1D"/>
        </w:rPr>
        <w:t xml:space="preserve"> shells waste by adjusting organic acid hydrolysis and optimization of reaction parameters using response surface methodology. </w:t>
      </w:r>
      <w:r w:rsidRPr="0046415B">
        <w:rPr>
          <w:rFonts w:ascii="Arial" w:eastAsia="Google Sans Text" w:hAnsi="Arial" w:cs="Arial"/>
          <w:i/>
          <w:iCs/>
          <w:color w:val="1B1C1D"/>
        </w:rPr>
        <w:t>International Journal of Biological Macromolecules</w:t>
      </w:r>
      <w:r w:rsidRPr="007A607C">
        <w:rPr>
          <w:rFonts w:ascii="Arial" w:eastAsia="Google Sans Text" w:hAnsi="Arial" w:cs="Arial"/>
          <w:color w:val="1B1C1D"/>
        </w:rPr>
        <w:t>, 281, 135705. https://doi.org/10.1016/J.IJBIOMAC.2024.135705</w:t>
      </w:r>
    </w:p>
    <w:p w14:paraId="2E040666" w14:textId="4ADEA48F" w:rsid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Olaniyan, O. F., </w:t>
      </w:r>
      <w:proofErr w:type="spellStart"/>
      <w:r w:rsidRPr="007A607C">
        <w:rPr>
          <w:rFonts w:ascii="Arial" w:eastAsia="Google Sans Text" w:hAnsi="Arial" w:cs="Arial"/>
          <w:color w:val="1B1C1D"/>
        </w:rPr>
        <w:t>Ariwaodo</w:t>
      </w:r>
      <w:proofErr w:type="spellEnd"/>
      <w:r w:rsidRPr="007A607C">
        <w:rPr>
          <w:rFonts w:ascii="Arial" w:eastAsia="Google Sans Text" w:hAnsi="Arial" w:cs="Arial"/>
          <w:color w:val="1B1C1D"/>
        </w:rPr>
        <w:t xml:space="preserve">, C. A., Ibrahim, S. O., </w:t>
      </w:r>
      <w:proofErr w:type="spellStart"/>
      <w:r w:rsidRPr="007A607C">
        <w:rPr>
          <w:rFonts w:ascii="Arial" w:eastAsia="Google Sans Text" w:hAnsi="Arial" w:cs="Arial"/>
          <w:color w:val="1B1C1D"/>
        </w:rPr>
        <w:t>Atolani</w:t>
      </w:r>
      <w:proofErr w:type="spellEnd"/>
      <w:r w:rsidRPr="007A607C">
        <w:rPr>
          <w:rFonts w:ascii="Arial" w:eastAsia="Google Sans Text" w:hAnsi="Arial" w:cs="Arial"/>
          <w:color w:val="1B1C1D"/>
        </w:rPr>
        <w:t xml:space="preserve">, O., &amp; </w:t>
      </w:r>
      <w:proofErr w:type="spellStart"/>
      <w:r w:rsidRPr="007A607C">
        <w:rPr>
          <w:rFonts w:ascii="Arial" w:eastAsia="Google Sans Text" w:hAnsi="Arial" w:cs="Arial"/>
          <w:color w:val="1B1C1D"/>
        </w:rPr>
        <w:t>Kambizi</w:t>
      </w:r>
      <w:proofErr w:type="spellEnd"/>
      <w:r w:rsidRPr="007A607C">
        <w:rPr>
          <w:rFonts w:ascii="Arial" w:eastAsia="Google Sans Text" w:hAnsi="Arial" w:cs="Arial"/>
          <w:color w:val="1B1C1D"/>
        </w:rPr>
        <w:t xml:space="preserve">, L. (2025). Advances in green synthesis and application of nanoparticles from crop residues: A comprehensive review. </w:t>
      </w:r>
      <w:r w:rsidRPr="007A607C">
        <w:rPr>
          <w:rFonts w:ascii="Arial" w:eastAsia="Google Sans Text" w:hAnsi="Arial" w:cs="Arial"/>
          <w:i/>
          <w:color w:val="1B1C1D"/>
        </w:rPr>
        <w:t>Scientific African</w:t>
      </w:r>
      <w:r w:rsidRPr="007A607C">
        <w:rPr>
          <w:rFonts w:ascii="Arial" w:eastAsia="Google Sans Text" w:hAnsi="Arial" w:cs="Arial"/>
          <w:color w:val="1B1C1D"/>
        </w:rPr>
        <w:t>, 28, e02654. https://doi.org/10.1016/j.sciaf.2025.e02654</w:t>
      </w:r>
    </w:p>
    <w:p w14:paraId="0248BA0C" w14:textId="77777777" w:rsidR="0046415B" w:rsidRPr="0046415B" w:rsidRDefault="0046415B" w:rsidP="0046415B">
      <w:pPr>
        <w:pBdr>
          <w:top w:val="nil"/>
          <w:left w:val="nil"/>
          <w:bottom w:val="nil"/>
          <w:right w:val="nil"/>
          <w:between w:val="nil"/>
        </w:pBdr>
        <w:spacing w:line="275" w:lineRule="auto"/>
        <w:ind w:left="567" w:hanging="567"/>
        <w:jc w:val="both"/>
        <w:rPr>
          <w:rFonts w:ascii="Arial" w:eastAsia="Google Sans Text" w:hAnsi="Arial" w:cs="Arial"/>
          <w:color w:val="1B1C1D"/>
        </w:rPr>
      </w:pPr>
      <w:r w:rsidRPr="0046415B">
        <w:rPr>
          <w:rFonts w:ascii="Arial" w:eastAsia="Google Sans Text" w:hAnsi="Arial" w:cs="Arial"/>
          <w:color w:val="1B1C1D"/>
        </w:rPr>
        <w:t xml:space="preserve">Palanisamy, S., Kumar, B. K. S., Senthilkumar, D., Ajith, S. J., Sreedharan, S., Pathrose, J. M., </w:t>
      </w:r>
      <w:proofErr w:type="spellStart"/>
      <w:r w:rsidRPr="0046415B">
        <w:rPr>
          <w:rFonts w:ascii="Arial" w:eastAsia="Google Sans Text" w:hAnsi="Arial" w:cs="Arial"/>
          <w:color w:val="1B1C1D"/>
        </w:rPr>
        <w:t>Pitchumani</w:t>
      </w:r>
      <w:proofErr w:type="spellEnd"/>
      <w:r w:rsidRPr="0046415B">
        <w:rPr>
          <w:rFonts w:ascii="Arial" w:eastAsia="Google Sans Text" w:hAnsi="Arial" w:cs="Arial"/>
          <w:color w:val="1B1C1D"/>
        </w:rPr>
        <w:t xml:space="preserve">, G. L., Ganesan, N., Venkatachalam, S., Saravanan, B., Lee, J., &amp; Bharathi, D. (2025). Enhancing tomato shelf life using isolated cellulose fibers from Asian Palmyra palm coated with garlic oil. </w:t>
      </w:r>
      <w:r w:rsidRPr="0046415B">
        <w:rPr>
          <w:rFonts w:ascii="Arial" w:eastAsia="Google Sans Text" w:hAnsi="Arial" w:cs="Arial"/>
          <w:i/>
          <w:iCs/>
          <w:color w:val="1B1C1D"/>
        </w:rPr>
        <w:t>Food Chemistry</w:t>
      </w:r>
      <w:r w:rsidRPr="0046415B">
        <w:rPr>
          <w:rFonts w:ascii="Arial" w:eastAsia="Google Sans Text" w:hAnsi="Arial" w:cs="Arial"/>
          <w:color w:val="1B1C1D"/>
        </w:rPr>
        <w:t>, 466, 142163. https://doi.org/10.1016/J.FOODCHEM.2024.142163</w:t>
      </w:r>
    </w:p>
    <w:p w14:paraId="3B16162E" w14:textId="77777777" w:rsidR="0046415B" w:rsidRPr="0046415B" w:rsidRDefault="0046415B" w:rsidP="0046415B">
      <w:pPr>
        <w:pBdr>
          <w:top w:val="nil"/>
          <w:left w:val="nil"/>
          <w:bottom w:val="nil"/>
          <w:right w:val="nil"/>
          <w:between w:val="nil"/>
        </w:pBdr>
        <w:spacing w:line="275" w:lineRule="auto"/>
        <w:ind w:left="567" w:hanging="567"/>
        <w:jc w:val="both"/>
        <w:rPr>
          <w:rFonts w:ascii="Arial" w:eastAsia="Google Sans Text" w:hAnsi="Arial" w:cs="Arial"/>
          <w:color w:val="1B1C1D"/>
        </w:rPr>
      </w:pPr>
      <w:r w:rsidRPr="0046415B">
        <w:rPr>
          <w:rFonts w:ascii="Arial" w:eastAsia="Google Sans Text" w:hAnsi="Arial" w:cs="Arial"/>
          <w:color w:val="1B1C1D"/>
        </w:rPr>
        <w:t xml:space="preserve">Palanisamy, S., Saravana Kumar, B. K., Sivakumar, G., Selvan, S., Lee, J., &amp; Bharathi, D. (2025). Advancing marine cellulose-based packaging: A review on sustainable biorefinery perspectives. </w:t>
      </w:r>
      <w:r w:rsidRPr="0046415B">
        <w:rPr>
          <w:rFonts w:ascii="Arial" w:eastAsia="Google Sans Text" w:hAnsi="Arial" w:cs="Arial"/>
          <w:i/>
          <w:iCs/>
          <w:color w:val="1B1C1D"/>
        </w:rPr>
        <w:t>Biomass and Bioenergy</w:t>
      </w:r>
      <w:r w:rsidRPr="0046415B">
        <w:rPr>
          <w:rFonts w:ascii="Arial" w:eastAsia="Google Sans Text" w:hAnsi="Arial" w:cs="Arial"/>
          <w:color w:val="1B1C1D"/>
        </w:rPr>
        <w:t>, 197, 107849. https://doi.org/10.1016/J.BIOMBIOE.2025.107849</w:t>
      </w:r>
    </w:p>
    <w:p w14:paraId="5A5BD964" w14:textId="595DC8EA" w:rsidR="0046415B" w:rsidRPr="007A607C" w:rsidRDefault="0046415B" w:rsidP="0046415B">
      <w:pPr>
        <w:pBdr>
          <w:top w:val="nil"/>
          <w:left w:val="nil"/>
          <w:bottom w:val="nil"/>
          <w:right w:val="nil"/>
          <w:between w:val="nil"/>
        </w:pBdr>
        <w:spacing w:line="275" w:lineRule="auto"/>
        <w:ind w:left="567" w:hanging="567"/>
        <w:jc w:val="both"/>
        <w:rPr>
          <w:rFonts w:ascii="Arial" w:eastAsia="Google Sans Text" w:hAnsi="Arial" w:cs="Arial"/>
          <w:color w:val="1B1C1D"/>
        </w:rPr>
      </w:pPr>
      <w:r w:rsidRPr="0046415B">
        <w:rPr>
          <w:rFonts w:ascii="Arial" w:eastAsia="Google Sans Text" w:hAnsi="Arial" w:cs="Arial"/>
          <w:color w:val="1B1C1D"/>
        </w:rPr>
        <w:t xml:space="preserve">Palanisamy, S., Selvaraju, G. D., </w:t>
      </w:r>
      <w:proofErr w:type="spellStart"/>
      <w:r w:rsidRPr="0046415B">
        <w:rPr>
          <w:rFonts w:ascii="Arial" w:eastAsia="Google Sans Text" w:hAnsi="Arial" w:cs="Arial"/>
          <w:color w:val="1B1C1D"/>
        </w:rPr>
        <w:t>Selvakesavan</w:t>
      </w:r>
      <w:proofErr w:type="spellEnd"/>
      <w:r w:rsidRPr="0046415B">
        <w:rPr>
          <w:rFonts w:ascii="Arial" w:eastAsia="Google Sans Text" w:hAnsi="Arial" w:cs="Arial"/>
          <w:color w:val="1B1C1D"/>
        </w:rPr>
        <w:t xml:space="preserve">, R. K., Venkatachalam, S., Bharathi, D., &amp; Lee, J. (2024). Unlocking sustainable solutions: Nanocellulose innovations for enhancing the shelf life of fruits and vegetables – A comprehensive review. </w:t>
      </w:r>
      <w:r w:rsidRPr="0046415B">
        <w:rPr>
          <w:rFonts w:ascii="Arial" w:eastAsia="Google Sans Text" w:hAnsi="Arial" w:cs="Arial"/>
          <w:i/>
          <w:iCs/>
          <w:color w:val="1B1C1D"/>
        </w:rPr>
        <w:lastRenderedPageBreak/>
        <w:t>International Journal of Biological Macromolecules</w:t>
      </w:r>
      <w:r w:rsidRPr="0046415B">
        <w:rPr>
          <w:rFonts w:ascii="Arial" w:eastAsia="Google Sans Text" w:hAnsi="Arial" w:cs="Arial"/>
          <w:color w:val="1B1C1D"/>
        </w:rPr>
        <w:t>, 261, 129592. https://doi.org/10.1016/J.IJBIOMAC.2024.129592</w:t>
      </w:r>
    </w:p>
    <w:p w14:paraId="6B763A30"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Pratama, A. W., Addy, H. S., </w:t>
      </w:r>
      <w:proofErr w:type="spellStart"/>
      <w:r w:rsidRPr="007A607C">
        <w:rPr>
          <w:rFonts w:ascii="Arial" w:eastAsia="Google Sans Text" w:hAnsi="Arial" w:cs="Arial"/>
          <w:color w:val="1B1C1D"/>
        </w:rPr>
        <w:t>Widiastuti</w:t>
      </w:r>
      <w:proofErr w:type="spellEnd"/>
      <w:r w:rsidRPr="007A607C">
        <w:rPr>
          <w:rFonts w:ascii="Arial" w:eastAsia="Google Sans Text" w:hAnsi="Arial" w:cs="Arial"/>
          <w:color w:val="1B1C1D"/>
        </w:rPr>
        <w:t xml:space="preserve">, N., </w:t>
      </w:r>
      <w:proofErr w:type="spellStart"/>
      <w:r w:rsidRPr="007A607C">
        <w:rPr>
          <w:rFonts w:ascii="Arial" w:eastAsia="Google Sans Text" w:hAnsi="Arial" w:cs="Arial"/>
          <w:color w:val="1B1C1D"/>
        </w:rPr>
        <w:t>Widyanto</w:t>
      </w:r>
      <w:proofErr w:type="spellEnd"/>
      <w:r w:rsidRPr="007A607C">
        <w:rPr>
          <w:rFonts w:ascii="Arial" w:eastAsia="Google Sans Text" w:hAnsi="Arial" w:cs="Arial"/>
          <w:color w:val="1B1C1D"/>
        </w:rPr>
        <w:t xml:space="preserve">, A. R., </w:t>
      </w:r>
      <w:proofErr w:type="spellStart"/>
      <w:r w:rsidRPr="007A607C">
        <w:rPr>
          <w:rFonts w:ascii="Arial" w:eastAsia="Google Sans Text" w:hAnsi="Arial" w:cs="Arial"/>
          <w:color w:val="1B1C1D"/>
        </w:rPr>
        <w:t>Ratnasari</w:t>
      </w:r>
      <w:proofErr w:type="spellEnd"/>
      <w:r w:rsidRPr="007A607C">
        <w:rPr>
          <w:rFonts w:ascii="Arial" w:eastAsia="Google Sans Text" w:hAnsi="Arial" w:cs="Arial"/>
          <w:color w:val="1B1C1D"/>
        </w:rPr>
        <w:t xml:space="preserve">, A., </w:t>
      </w:r>
      <w:proofErr w:type="spellStart"/>
      <w:r w:rsidRPr="007A607C">
        <w:rPr>
          <w:rFonts w:ascii="Arial" w:eastAsia="Google Sans Text" w:hAnsi="Arial" w:cs="Arial"/>
          <w:color w:val="1B1C1D"/>
        </w:rPr>
        <w:t>Indarti</w:t>
      </w:r>
      <w:proofErr w:type="spellEnd"/>
      <w:r w:rsidRPr="007A607C">
        <w:rPr>
          <w:rFonts w:ascii="Arial" w:eastAsia="Google Sans Text" w:hAnsi="Arial" w:cs="Arial"/>
          <w:color w:val="1B1C1D"/>
        </w:rPr>
        <w:t xml:space="preserve">, D., &amp; </w:t>
      </w:r>
      <w:proofErr w:type="spellStart"/>
      <w:r w:rsidRPr="007A607C">
        <w:rPr>
          <w:rFonts w:ascii="Arial" w:eastAsia="Google Sans Text" w:hAnsi="Arial" w:cs="Arial"/>
          <w:color w:val="1B1C1D"/>
        </w:rPr>
        <w:t>Piluharto</w:t>
      </w:r>
      <w:proofErr w:type="spellEnd"/>
      <w:r w:rsidRPr="007A607C">
        <w:rPr>
          <w:rFonts w:ascii="Arial" w:eastAsia="Google Sans Text" w:hAnsi="Arial" w:cs="Arial"/>
          <w:color w:val="1B1C1D"/>
        </w:rPr>
        <w:t xml:space="preserve">, B. (2024). Cellulose Nanofibrils from Corncobs and Their Nanocomposite with Alginate : Study of Swelling Behavior. </w:t>
      </w:r>
      <w:proofErr w:type="spellStart"/>
      <w:r w:rsidRPr="0046415B">
        <w:rPr>
          <w:rFonts w:ascii="Arial" w:eastAsia="Google Sans Text" w:hAnsi="Arial" w:cs="Arial"/>
          <w:i/>
          <w:iCs/>
          <w:color w:val="1B1C1D"/>
        </w:rPr>
        <w:t>Biointerface</w:t>
      </w:r>
      <w:proofErr w:type="spellEnd"/>
      <w:r w:rsidRPr="0046415B">
        <w:rPr>
          <w:rFonts w:ascii="Arial" w:eastAsia="Google Sans Text" w:hAnsi="Arial" w:cs="Arial"/>
          <w:i/>
          <w:iCs/>
          <w:color w:val="1B1C1D"/>
        </w:rPr>
        <w:t xml:space="preserve"> Research in Applied Chemistry</w:t>
      </w:r>
      <w:r w:rsidRPr="007A607C">
        <w:rPr>
          <w:rFonts w:ascii="Arial" w:eastAsia="Google Sans Text" w:hAnsi="Arial" w:cs="Arial"/>
          <w:color w:val="1B1C1D"/>
        </w:rPr>
        <w:t>, 14(1), 4–21. https://doi.org/10.33263/BRIAC141.004</w:t>
      </w:r>
    </w:p>
    <w:p w14:paraId="31A33A0D"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Pratama, A. W., </w:t>
      </w:r>
      <w:proofErr w:type="spellStart"/>
      <w:r w:rsidRPr="007A607C">
        <w:rPr>
          <w:rFonts w:ascii="Arial" w:eastAsia="Google Sans Text" w:hAnsi="Arial" w:cs="Arial"/>
          <w:color w:val="1B1C1D"/>
        </w:rPr>
        <w:t>Piluharto</w:t>
      </w:r>
      <w:proofErr w:type="spellEnd"/>
      <w:r w:rsidRPr="007A607C">
        <w:rPr>
          <w:rFonts w:ascii="Arial" w:eastAsia="Google Sans Text" w:hAnsi="Arial" w:cs="Arial"/>
          <w:color w:val="1B1C1D"/>
        </w:rPr>
        <w:t xml:space="preserve">, B., Mahardika, M., </w:t>
      </w:r>
      <w:proofErr w:type="spellStart"/>
      <w:r w:rsidRPr="007A607C">
        <w:rPr>
          <w:rFonts w:ascii="Arial" w:eastAsia="Google Sans Text" w:hAnsi="Arial" w:cs="Arial"/>
          <w:color w:val="1B1C1D"/>
        </w:rPr>
        <w:t>Widiastuti</w:t>
      </w:r>
      <w:proofErr w:type="spellEnd"/>
      <w:r w:rsidRPr="007A607C">
        <w:rPr>
          <w:rFonts w:ascii="Arial" w:eastAsia="Google Sans Text" w:hAnsi="Arial" w:cs="Arial"/>
          <w:color w:val="1B1C1D"/>
        </w:rPr>
        <w:t xml:space="preserve">, N., </w:t>
      </w:r>
      <w:proofErr w:type="spellStart"/>
      <w:r w:rsidRPr="007A607C">
        <w:rPr>
          <w:rFonts w:ascii="Arial" w:eastAsia="Google Sans Text" w:hAnsi="Arial" w:cs="Arial"/>
          <w:color w:val="1B1C1D"/>
        </w:rPr>
        <w:t>Firmanda</w:t>
      </w:r>
      <w:proofErr w:type="spellEnd"/>
      <w:r w:rsidRPr="007A607C">
        <w:rPr>
          <w:rFonts w:ascii="Arial" w:eastAsia="Google Sans Text" w:hAnsi="Arial" w:cs="Arial"/>
          <w:color w:val="1B1C1D"/>
        </w:rPr>
        <w:t xml:space="preserve">, A., &amp; </w:t>
      </w:r>
      <w:proofErr w:type="spellStart"/>
      <w:r w:rsidRPr="007A607C">
        <w:rPr>
          <w:rFonts w:ascii="Arial" w:eastAsia="Google Sans Text" w:hAnsi="Arial" w:cs="Arial"/>
          <w:color w:val="1B1C1D"/>
        </w:rPr>
        <w:t>Norrrahim</w:t>
      </w:r>
      <w:proofErr w:type="spellEnd"/>
      <w:r w:rsidRPr="007A607C">
        <w:rPr>
          <w:rFonts w:ascii="Arial" w:eastAsia="Google Sans Text" w:hAnsi="Arial" w:cs="Arial"/>
          <w:color w:val="1B1C1D"/>
        </w:rPr>
        <w:t xml:space="preserve">, M. N. F. (2024). Comparative study of oxidized cellulose nanofibrils properties from diverse sources via TEMPO-mediated oxidation. </w:t>
      </w:r>
      <w:r w:rsidRPr="0046415B">
        <w:rPr>
          <w:rFonts w:ascii="Arial" w:eastAsia="Google Sans Text" w:hAnsi="Arial" w:cs="Arial"/>
          <w:i/>
          <w:iCs/>
          <w:color w:val="1B1C1D"/>
        </w:rPr>
        <w:t>Case Studies in Chemical and Environmental Engineering</w:t>
      </w:r>
      <w:r w:rsidRPr="007A607C">
        <w:rPr>
          <w:rFonts w:ascii="Arial" w:eastAsia="Google Sans Text" w:hAnsi="Arial" w:cs="Arial"/>
          <w:color w:val="1B1C1D"/>
        </w:rPr>
        <w:t>, 10, 100823. https://doi.org/10.1016/J.CSCEE.2024.100823</w:t>
      </w:r>
    </w:p>
    <w:p w14:paraId="5DF6CCE1"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Rahmawati, I., Pratama, A. W., Pratama, S. A., </w:t>
      </w:r>
      <w:proofErr w:type="spellStart"/>
      <w:r w:rsidRPr="007A607C">
        <w:rPr>
          <w:rFonts w:ascii="Arial" w:eastAsia="Google Sans Text" w:hAnsi="Arial" w:cs="Arial"/>
          <w:color w:val="1B1C1D"/>
        </w:rPr>
        <w:t>Khozin</w:t>
      </w:r>
      <w:proofErr w:type="spellEnd"/>
      <w:r w:rsidRPr="007A607C">
        <w:rPr>
          <w:rFonts w:ascii="Arial" w:eastAsia="Google Sans Text" w:hAnsi="Arial" w:cs="Arial"/>
          <w:color w:val="1B1C1D"/>
        </w:rPr>
        <w:t xml:space="preserve">, M. N., </w:t>
      </w:r>
      <w:proofErr w:type="spellStart"/>
      <w:r w:rsidRPr="007A607C">
        <w:rPr>
          <w:rFonts w:ascii="Arial" w:eastAsia="Google Sans Text" w:hAnsi="Arial" w:cs="Arial"/>
          <w:color w:val="1B1C1D"/>
        </w:rPr>
        <w:t>Firmanda</w:t>
      </w:r>
      <w:proofErr w:type="spellEnd"/>
      <w:r w:rsidRPr="007A607C">
        <w:rPr>
          <w:rFonts w:ascii="Arial" w:eastAsia="Google Sans Text" w:hAnsi="Arial" w:cs="Arial"/>
          <w:color w:val="1B1C1D"/>
        </w:rPr>
        <w:t xml:space="preserve">, A., Irawan, F. H., </w:t>
      </w:r>
      <w:proofErr w:type="spellStart"/>
      <w:r w:rsidRPr="007A607C">
        <w:rPr>
          <w:rFonts w:ascii="Arial" w:eastAsia="Google Sans Text" w:hAnsi="Arial" w:cs="Arial"/>
          <w:color w:val="1B1C1D"/>
        </w:rPr>
        <w:t>Asranudin</w:t>
      </w:r>
      <w:proofErr w:type="spellEnd"/>
      <w:r w:rsidRPr="007A607C">
        <w:rPr>
          <w:rFonts w:ascii="Arial" w:eastAsia="Google Sans Text" w:hAnsi="Arial" w:cs="Arial"/>
          <w:color w:val="1B1C1D"/>
        </w:rPr>
        <w:t xml:space="preserve">, </w:t>
      </w:r>
      <w:proofErr w:type="spellStart"/>
      <w:r w:rsidRPr="007A607C">
        <w:rPr>
          <w:rFonts w:ascii="Arial" w:eastAsia="Google Sans Text" w:hAnsi="Arial" w:cs="Arial"/>
          <w:color w:val="1B1C1D"/>
        </w:rPr>
        <w:t>Ansori</w:t>
      </w:r>
      <w:proofErr w:type="spellEnd"/>
      <w:r w:rsidRPr="007A607C">
        <w:rPr>
          <w:rFonts w:ascii="Arial" w:eastAsia="Google Sans Text" w:hAnsi="Arial" w:cs="Arial"/>
          <w:color w:val="1B1C1D"/>
        </w:rPr>
        <w:t xml:space="preserve">, A. N. M., &amp; Sucipto, T. H. (2024). Gallic acid: A promising bioactive agent for food preservation and sustainable packaging development. </w:t>
      </w:r>
      <w:r w:rsidRPr="0046415B">
        <w:rPr>
          <w:rFonts w:ascii="Arial" w:eastAsia="Google Sans Text" w:hAnsi="Arial" w:cs="Arial"/>
          <w:i/>
          <w:iCs/>
          <w:color w:val="1B1C1D"/>
        </w:rPr>
        <w:t>Case Studies in Chemical and Environmental Engineering</w:t>
      </w:r>
      <w:r w:rsidRPr="007A607C">
        <w:rPr>
          <w:rFonts w:ascii="Arial" w:eastAsia="Google Sans Text" w:hAnsi="Arial" w:cs="Arial"/>
          <w:color w:val="1B1C1D"/>
        </w:rPr>
        <w:t>, 10, 100776. https://doi.org/10.1016/J.CSCEE.2024.100776</w:t>
      </w:r>
    </w:p>
    <w:p w14:paraId="601EAA81"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Ramesh, S., &amp; Radhakrishnan, P. (2019). Cellulose nanoparticles from agro-industrial waste for the development of active packaging. </w:t>
      </w:r>
      <w:r w:rsidRPr="007A607C">
        <w:rPr>
          <w:rFonts w:ascii="Arial" w:eastAsia="Google Sans Text" w:hAnsi="Arial" w:cs="Arial"/>
          <w:i/>
          <w:color w:val="1B1C1D"/>
        </w:rPr>
        <w:t>Applied Surface Science</w:t>
      </w:r>
      <w:r w:rsidRPr="007A607C">
        <w:rPr>
          <w:rFonts w:ascii="Arial" w:eastAsia="Google Sans Text" w:hAnsi="Arial" w:cs="Arial"/>
          <w:color w:val="1B1C1D"/>
        </w:rPr>
        <w:t>, 484, 1274-1281. https://doi.org/10.1016/j.apsusc.2019.04.003</w:t>
      </w:r>
    </w:p>
    <w:p w14:paraId="30362490" w14:textId="6445F408" w:rsidR="007A607C" w:rsidRPr="007A607C" w:rsidRDefault="007A607C" w:rsidP="00FF5C12">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Reddy, K. O., Maheswari, C. U., &amp; Shukla, M. (2021). A review on the valorization of sugarcane bagasse for the production of nanocellulose and its applications. </w:t>
      </w:r>
      <w:r w:rsidRPr="007A607C">
        <w:rPr>
          <w:rFonts w:ascii="Arial" w:eastAsia="Google Sans Text" w:hAnsi="Arial" w:cs="Arial"/>
          <w:i/>
          <w:color w:val="1B1C1D"/>
        </w:rPr>
        <w:t>Carbohydrate Polymers</w:t>
      </w:r>
      <w:r w:rsidRPr="007A607C">
        <w:rPr>
          <w:rFonts w:ascii="Arial" w:eastAsia="Google Sans Text" w:hAnsi="Arial" w:cs="Arial"/>
          <w:color w:val="1B1C1D"/>
        </w:rPr>
        <w:t>, 261, 117892. https://doi.org/10.1016/j.jece.2024.114900</w:t>
      </w:r>
    </w:p>
    <w:p w14:paraId="1D150C13" w14:textId="29EB39A0" w:rsidR="0091605A" w:rsidRDefault="0091605A"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proofErr w:type="spellStart"/>
      <w:r w:rsidRPr="0091605A">
        <w:rPr>
          <w:rFonts w:ascii="Arial" w:eastAsia="Google Sans Text" w:hAnsi="Arial" w:cs="Arial"/>
          <w:color w:val="1B1C1D"/>
        </w:rPr>
        <w:t>Riseh</w:t>
      </w:r>
      <w:proofErr w:type="spellEnd"/>
      <w:r w:rsidRPr="0091605A">
        <w:rPr>
          <w:rFonts w:ascii="Arial" w:eastAsia="Google Sans Text" w:hAnsi="Arial" w:cs="Arial"/>
          <w:color w:val="1B1C1D"/>
        </w:rPr>
        <w:t xml:space="preserve">, R., &amp; </w:t>
      </w:r>
      <w:proofErr w:type="spellStart"/>
      <w:r w:rsidRPr="0091605A">
        <w:rPr>
          <w:rFonts w:ascii="Arial" w:eastAsia="Google Sans Text" w:hAnsi="Arial" w:cs="Arial"/>
          <w:color w:val="1B1C1D"/>
        </w:rPr>
        <w:t>Vazvani</w:t>
      </w:r>
      <w:proofErr w:type="spellEnd"/>
      <w:r w:rsidRPr="0091605A">
        <w:rPr>
          <w:rFonts w:ascii="Arial" w:eastAsia="Google Sans Text" w:hAnsi="Arial" w:cs="Arial"/>
          <w:color w:val="1B1C1D"/>
        </w:rPr>
        <w:t>, M. (2024). Green synthesis of metal nanoparticles using plant growth promoting rhizobacteria and application in agriculture. Plant Nano Biology, 10, 100111. https://doi.org/10.1016/J.PLANA.2024.100111</w:t>
      </w:r>
    </w:p>
    <w:p w14:paraId="2825672E" w14:textId="7CF6A496" w:rsid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Sadh, P. K., Duhan, S., &amp; Duhan, J. S. (2018). Agro-industrial wastes and their utilization using solid state fermentation: a review. </w:t>
      </w:r>
      <w:r w:rsidRPr="007A607C">
        <w:rPr>
          <w:rFonts w:ascii="Arial" w:eastAsia="Google Sans Text" w:hAnsi="Arial" w:cs="Arial"/>
          <w:i/>
          <w:color w:val="1B1C1D"/>
        </w:rPr>
        <w:t>Bioresources and Bioprocessing</w:t>
      </w:r>
      <w:r w:rsidRPr="007A607C">
        <w:rPr>
          <w:rFonts w:ascii="Arial" w:eastAsia="Google Sans Text" w:hAnsi="Arial" w:cs="Arial"/>
          <w:color w:val="1B1C1D"/>
        </w:rPr>
        <w:t>, 5(1), 1-15. https://doi.org/10.1186/s40643-017-0187-z</w:t>
      </w:r>
    </w:p>
    <w:p w14:paraId="1CC7843B" w14:textId="56342D8A" w:rsidR="007E33CC" w:rsidRPr="007A607C" w:rsidRDefault="007E33C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E33CC">
        <w:rPr>
          <w:rFonts w:ascii="Arial" w:eastAsia="Google Sans Text" w:hAnsi="Arial" w:cs="Arial"/>
          <w:color w:val="1B1C1D"/>
        </w:rPr>
        <w:t xml:space="preserve">Saini, P., Gopal, M., Kumar, R., Gogoi, R., &amp; Srivastava, C. (2015). </w:t>
      </w:r>
      <w:proofErr w:type="spellStart"/>
      <w:r w:rsidRPr="007E33CC">
        <w:rPr>
          <w:rFonts w:ascii="Arial" w:eastAsia="Google Sans Text" w:hAnsi="Arial" w:cs="Arial"/>
          <w:color w:val="1B1C1D"/>
        </w:rPr>
        <w:t>Bioefficacy</w:t>
      </w:r>
      <w:proofErr w:type="spellEnd"/>
      <w:r w:rsidRPr="007E33CC">
        <w:rPr>
          <w:rFonts w:ascii="Arial" w:eastAsia="Google Sans Text" w:hAnsi="Arial" w:cs="Arial"/>
          <w:color w:val="1B1C1D"/>
        </w:rPr>
        <w:t xml:space="preserve"> evaluation and dissipation pattern of </w:t>
      </w:r>
      <w:proofErr w:type="spellStart"/>
      <w:r w:rsidRPr="007E33CC">
        <w:rPr>
          <w:rFonts w:ascii="Arial" w:eastAsia="Google Sans Text" w:hAnsi="Arial" w:cs="Arial"/>
          <w:color w:val="1B1C1D"/>
        </w:rPr>
        <w:t>nanoformulation</w:t>
      </w:r>
      <w:proofErr w:type="spellEnd"/>
      <w:r w:rsidRPr="007E33CC">
        <w:rPr>
          <w:rFonts w:ascii="Arial" w:eastAsia="Google Sans Text" w:hAnsi="Arial" w:cs="Arial"/>
          <w:color w:val="1B1C1D"/>
        </w:rPr>
        <w:t xml:space="preserve"> versus commercial formulation of </w:t>
      </w:r>
      <w:proofErr w:type="spellStart"/>
      <w:r w:rsidRPr="007E33CC">
        <w:rPr>
          <w:rFonts w:ascii="Arial" w:eastAsia="Google Sans Text" w:hAnsi="Arial" w:cs="Arial"/>
          <w:color w:val="1B1C1D"/>
        </w:rPr>
        <w:t>pyridalyl</w:t>
      </w:r>
      <w:proofErr w:type="spellEnd"/>
      <w:r w:rsidRPr="007E33CC">
        <w:rPr>
          <w:rFonts w:ascii="Arial" w:eastAsia="Google Sans Text" w:hAnsi="Arial" w:cs="Arial"/>
          <w:color w:val="1B1C1D"/>
        </w:rPr>
        <w:t xml:space="preserve"> in tomato (Solanum </w:t>
      </w:r>
      <w:proofErr w:type="spellStart"/>
      <w:r w:rsidRPr="007E33CC">
        <w:rPr>
          <w:rFonts w:ascii="Arial" w:eastAsia="Google Sans Text" w:hAnsi="Arial" w:cs="Arial"/>
          <w:color w:val="1B1C1D"/>
        </w:rPr>
        <w:t>lycopersicum</w:t>
      </w:r>
      <w:proofErr w:type="spellEnd"/>
      <w:r w:rsidRPr="007E33CC">
        <w:rPr>
          <w:rFonts w:ascii="Arial" w:eastAsia="Google Sans Text" w:hAnsi="Arial" w:cs="Arial"/>
          <w:color w:val="1B1C1D"/>
        </w:rPr>
        <w:t xml:space="preserve">). </w:t>
      </w:r>
      <w:r w:rsidRPr="007E33CC">
        <w:rPr>
          <w:rFonts w:ascii="Arial" w:eastAsia="Google Sans Text" w:hAnsi="Arial" w:cs="Arial"/>
          <w:i/>
          <w:iCs/>
          <w:color w:val="1B1C1D"/>
        </w:rPr>
        <w:t>Environmental Monitoring and Assessment</w:t>
      </w:r>
      <w:r w:rsidRPr="007E33CC">
        <w:rPr>
          <w:rFonts w:ascii="Arial" w:eastAsia="Google Sans Text" w:hAnsi="Arial" w:cs="Arial"/>
          <w:color w:val="1B1C1D"/>
        </w:rPr>
        <w:t>, 187(8), 1–9. https://doi.org/10.1007/S10661-015-4767-0</w:t>
      </w:r>
    </w:p>
    <w:p w14:paraId="3DF41266"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Salama, H. E., &amp; Abdel Aziz, M. S. (2020). Optimized carboxymethyl cellulose and </w:t>
      </w:r>
      <w:proofErr w:type="spellStart"/>
      <w:r w:rsidRPr="007A607C">
        <w:rPr>
          <w:rFonts w:ascii="Arial" w:eastAsia="Google Sans Text" w:hAnsi="Arial" w:cs="Arial"/>
          <w:color w:val="1B1C1D"/>
        </w:rPr>
        <w:t>guanidinylated</w:t>
      </w:r>
      <w:proofErr w:type="spellEnd"/>
      <w:r w:rsidRPr="007A607C">
        <w:rPr>
          <w:rFonts w:ascii="Arial" w:eastAsia="Google Sans Text" w:hAnsi="Arial" w:cs="Arial"/>
          <w:color w:val="1B1C1D"/>
        </w:rPr>
        <w:t xml:space="preserve"> chitosan enriched with titanium oxide nanoparticles of improved UV barrier properties for the active packaging of green bell pepper. </w:t>
      </w:r>
      <w:r w:rsidRPr="007A607C">
        <w:rPr>
          <w:rFonts w:ascii="Arial" w:eastAsia="Google Sans Text" w:hAnsi="Arial" w:cs="Arial"/>
          <w:i/>
          <w:color w:val="1B1C1D"/>
        </w:rPr>
        <w:t>International Journal of Biological Macromolecules</w:t>
      </w:r>
      <w:r w:rsidRPr="007A607C">
        <w:rPr>
          <w:rFonts w:ascii="Arial" w:eastAsia="Google Sans Text" w:hAnsi="Arial" w:cs="Arial"/>
          <w:color w:val="1B1C1D"/>
        </w:rPr>
        <w:t>, 165, 1187-1197. https://doi.org/10.1016/j.ijbiomac.2020.09.254</w:t>
      </w:r>
    </w:p>
    <w:p w14:paraId="57729FDB"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Sánchez-López, E., Gomes, D., </w:t>
      </w:r>
      <w:proofErr w:type="spellStart"/>
      <w:r w:rsidRPr="007A607C">
        <w:rPr>
          <w:rFonts w:ascii="Arial" w:eastAsia="Google Sans Text" w:hAnsi="Arial" w:cs="Arial"/>
          <w:color w:val="1B1C1D"/>
        </w:rPr>
        <w:t>Esteruelas</w:t>
      </w:r>
      <w:proofErr w:type="spellEnd"/>
      <w:r w:rsidRPr="007A607C">
        <w:rPr>
          <w:rFonts w:ascii="Arial" w:eastAsia="Google Sans Text" w:hAnsi="Arial" w:cs="Arial"/>
          <w:color w:val="1B1C1D"/>
        </w:rPr>
        <w:t xml:space="preserve">, G., Bonilla, L., Lopez-Machado, A. L., Galindo, R., ... &amp; Souto, E. B. (2020). Metal-based nanoparticles as antimicrobial agents: an overview. </w:t>
      </w:r>
      <w:r w:rsidRPr="007A607C">
        <w:rPr>
          <w:rFonts w:ascii="Arial" w:eastAsia="Google Sans Text" w:hAnsi="Arial" w:cs="Arial"/>
          <w:i/>
          <w:color w:val="1B1C1D"/>
        </w:rPr>
        <w:t>Nanomaterials</w:t>
      </w:r>
      <w:r w:rsidRPr="007A607C">
        <w:rPr>
          <w:rFonts w:ascii="Arial" w:eastAsia="Google Sans Text" w:hAnsi="Arial" w:cs="Arial"/>
          <w:color w:val="1B1C1D"/>
        </w:rPr>
        <w:t>, 10(2), 292. https://doi.org/10.3390/nano10020292</w:t>
      </w:r>
    </w:p>
    <w:p w14:paraId="636B755D"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Shah, M. A., Shahnaz, T., Zehab-</w:t>
      </w:r>
      <w:proofErr w:type="spellStart"/>
      <w:r w:rsidRPr="007A607C">
        <w:rPr>
          <w:rFonts w:ascii="Arial" w:eastAsia="Google Sans Text" w:hAnsi="Arial" w:cs="Arial"/>
          <w:color w:val="1B1C1D"/>
        </w:rPr>
        <w:t>ud</w:t>
      </w:r>
      <w:proofErr w:type="spellEnd"/>
      <w:r w:rsidRPr="007A607C">
        <w:rPr>
          <w:rFonts w:ascii="Arial" w:eastAsia="Google Sans Text" w:hAnsi="Arial" w:cs="Arial"/>
          <w:color w:val="1B1C1D"/>
        </w:rPr>
        <w:t xml:space="preserve">-Din, </w:t>
      </w:r>
      <w:proofErr w:type="spellStart"/>
      <w:r w:rsidRPr="007A607C">
        <w:rPr>
          <w:rFonts w:ascii="Arial" w:eastAsia="Google Sans Text" w:hAnsi="Arial" w:cs="Arial"/>
          <w:color w:val="1B1C1D"/>
        </w:rPr>
        <w:t>Masoodi</w:t>
      </w:r>
      <w:proofErr w:type="spellEnd"/>
      <w:r w:rsidRPr="007A607C">
        <w:rPr>
          <w:rFonts w:ascii="Arial" w:eastAsia="Google Sans Text" w:hAnsi="Arial" w:cs="Arial"/>
          <w:color w:val="1B1C1D"/>
        </w:rPr>
        <w:t xml:space="preserve">, J. H., Nazir, S., Qurashi, A., &amp; Ahmed, G. H. (2024). Application of nanotechnology in the agricultural and food processing industries: A review. </w:t>
      </w:r>
      <w:r w:rsidRPr="0046415B">
        <w:rPr>
          <w:rFonts w:ascii="Arial" w:eastAsia="Google Sans Text" w:hAnsi="Arial" w:cs="Arial"/>
          <w:i/>
          <w:iCs/>
          <w:color w:val="1B1C1D"/>
        </w:rPr>
        <w:t>Sustainable Materials and Technologies</w:t>
      </w:r>
      <w:r w:rsidRPr="007A607C">
        <w:rPr>
          <w:rFonts w:ascii="Arial" w:eastAsia="Google Sans Text" w:hAnsi="Arial" w:cs="Arial"/>
          <w:color w:val="1B1C1D"/>
        </w:rPr>
        <w:t>, 39, e00809. https://doi.org/10.1016/J.SUSMAT.2023.E00809</w:t>
      </w:r>
    </w:p>
    <w:p w14:paraId="2C8264B3"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Shen, Y. (2017). Rice Husk Silica-Derived Nanomaterials for Battery Applications: A Literature Review. </w:t>
      </w:r>
      <w:r w:rsidRPr="0046415B">
        <w:rPr>
          <w:rFonts w:ascii="Arial" w:eastAsia="Google Sans Text" w:hAnsi="Arial" w:cs="Arial"/>
          <w:i/>
          <w:iCs/>
          <w:color w:val="1B1C1D"/>
        </w:rPr>
        <w:t>Journal of Agricultural and Food Chemistry</w:t>
      </w:r>
      <w:r w:rsidRPr="007A607C">
        <w:rPr>
          <w:rFonts w:ascii="Arial" w:eastAsia="Google Sans Text" w:hAnsi="Arial" w:cs="Arial"/>
          <w:color w:val="1B1C1D"/>
        </w:rPr>
        <w:t>, 65(5), 995–1004. https://doi.org/10.1021/ACS.JAFC.6B04777</w:t>
      </w:r>
    </w:p>
    <w:p w14:paraId="215E00CB"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lastRenderedPageBreak/>
        <w:t xml:space="preserve">Shi, J., Zhang, R., Liu, X., Zhang, Y., Du, Y., Dong, H., Ma, Y., Li, X., Cheung, P. C. K., &amp; Chen, F. (2023). Advances in multifunctional biomass-derived nanocomposite films for active and sustainable food packaging. </w:t>
      </w:r>
      <w:r w:rsidRPr="0046415B">
        <w:rPr>
          <w:rFonts w:ascii="Arial" w:eastAsia="Google Sans Text" w:hAnsi="Arial" w:cs="Arial"/>
          <w:i/>
          <w:iCs/>
          <w:color w:val="1B1C1D"/>
        </w:rPr>
        <w:t>Carbohydrate Polymers</w:t>
      </w:r>
      <w:r w:rsidRPr="007A607C">
        <w:rPr>
          <w:rFonts w:ascii="Arial" w:eastAsia="Google Sans Text" w:hAnsi="Arial" w:cs="Arial"/>
          <w:color w:val="1B1C1D"/>
        </w:rPr>
        <w:t>, 301, 120323. https://doi.org/10.1016/J.CARBPOL.2022.120323</w:t>
      </w:r>
    </w:p>
    <w:p w14:paraId="2E513673" w14:textId="77777777"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Sidhu, A. K., Verma, N., Kaushal, P., Agrawal, S. B., &amp; Bhatia, S. (2025). Green synthesis of polymeric nanoparticles: agricultural applications and toxicological implications. </w:t>
      </w:r>
      <w:r w:rsidRPr="007A607C">
        <w:rPr>
          <w:rFonts w:ascii="Arial" w:eastAsia="Google Sans Text" w:hAnsi="Arial" w:cs="Arial"/>
          <w:i/>
          <w:color w:val="1B1C1D"/>
        </w:rPr>
        <w:t>Discover Applied Sciences</w:t>
      </w:r>
      <w:r w:rsidRPr="007A607C">
        <w:rPr>
          <w:rFonts w:ascii="Arial" w:eastAsia="Google Sans Text" w:hAnsi="Arial" w:cs="Arial"/>
          <w:color w:val="1B1C1D"/>
        </w:rPr>
        <w:t>, 7, 505. https://doi.org/10.1007/s42452-025-06877-7</w:t>
      </w:r>
    </w:p>
    <w:p w14:paraId="07CB85E1" w14:textId="6CE5E6B2" w:rsidR="00C458D1" w:rsidRDefault="00C458D1"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C458D1">
        <w:rPr>
          <w:rFonts w:ascii="Arial" w:eastAsia="Google Sans Text" w:hAnsi="Arial" w:cs="Arial"/>
          <w:color w:val="1B1C1D"/>
        </w:rPr>
        <w:t xml:space="preserve">Xu, L., Cao, L. D., Li, F. M., Wang, X. J., &amp; Huang, Q. L. (2014). Utilization of Chitosan-Lactide Copolymer Nanoparticles as Controlled Release Pesticide Carrier for </w:t>
      </w:r>
      <w:proofErr w:type="spellStart"/>
      <w:r w:rsidRPr="00C458D1">
        <w:rPr>
          <w:rFonts w:ascii="Arial" w:eastAsia="Google Sans Text" w:hAnsi="Arial" w:cs="Arial"/>
          <w:color w:val="1B1C1D"/>
        </w:rPr>
        <w:t>Pyraclostrobin</w:t>
      </w:r>
      <w:proofErr w:type="spellEnd"/>
      <w:r w:rsidRPr="00C458D1">
        <w:rPr>
          <w:rFonts w:ascii="Arial" w:eastAsia="Google Sans Text" w:hAnsi="Arial" w:cs="Arial"/>
          <w:color w:val="1B1C1D"/>
        </w:rPr>
        <w:t xml:space="preserve"> Against Colletotrichum gossypii Southw. </w:t>
      </w:r>
      <w:r w:rsidRPr="00C458D1">
        <w:rPr>
          <w:rFonts w:ascii="Arial" w:eastAsia="Google Sans Text" w:hAnsi="Arial" w:cs="Arial"/>
          <w:i/>
          <w:iCs/>
          <w:color w:val="1B1C1D"/>
        </w:rPr>
        <w:t>Journal of Dispersion Science and Technology</w:t>
      </w:r>
      <w:r w:rsidRPr="00C458D1">
        <w:rPr>
          <w:rFonts w:ascii="Arial" w:eastAsia="Google Sans Text" w:hAnsi="Arial" w:cs="Arial"/>
          <w:color w:val="1B1C1D"/>
        </w:rPr>
        <w:t>, 35(4), 544–550. https://doi.org/10.1080/01932691.2013.800455</w:t>
      </w:r>
    </w:p>
    <w:p w14:paraId="0FF7D025" w14:textId="40549456" w:rsid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proofErr w:type="spellStart"/>
      <w:r w:rsidRPr="007A607C">
        <w:rPr>
          <w:rFonts w:ascii="Arial" w:eastAsia="Google Sans Text" w:hAnsi="Arial" w:cs="Arial"/>
          <w:color w:val="1B1C1D"/>
        </w:rPr>
        <w:t>Yallappa</w:t>
      </w:r>
      <w:proofErr w:type="spellEnd"/>
      <w:r w:rsidRPr="007A607C">
        <w:rPr>
          <w:rFonts w:ascii="Arial" w:eastAsia="Google Sans Text" w:hAnsi="Arial" w:cs="Arial"/>
          <w:color w:val="1B1C1D"/>
        </w:rPr>
        <w:t xml:space="preserve">, S., Deepthi, D. R., Yashaswini, S., et al. (2017). Natural biowaste of Groundnut shell derived nanocarbons: synthesis, characterization and </w:t>
      </w:r>
      <w:proofErr w:type="spellStart"/>
      <w:r w:rsidRPr="007A607C">
        <w:rPr>
          <w:rFonts w:ascii="Arial" w:eastAsia="Google Sans Text" w:hAnsi="Arial" w:cs="Arial"/>
          <w:color w:val="1B1C1D"/>
        </w:rPr>
        <w:t>its</w:t>
      </w:r>
      <w:proofErr w:type="spellEnd"/>
      <w:r w:rsidRPr="007A607C">
        <w:rPr>
          <w:rFonts w:ascii="Arial" w:eastAsia="Google Sans Text" w:hAnsi="Arial" w:cs="Arial"/>
          <w:color w:val="1B1C1D"/>
        </w:rPr>
        <w:t xml:space="preserve"> in vitro antibacterial activity. </w:t>
      </w:r>
      <w:r w:rsidRPr="007A607C">
        <w:rPr>
          <w:rFonts w:ascii="Arial" w:eastAsia="Google Sans Text" w:hAnsi="Arial" w:cs="Arial"/>
          <w:i/>
          <w:color w:val="1B1C1D"/>
        </w:rPr>
        <w:t>Nano-Structures &amp; Nano-Objects</w:t>
      </w:r>
      <w:r w:rsidRPr="007A607C">
        <w:rPr>
          <w:rFonts w:ascii="Arial" w:eastAsia="Google Sans Text" w:hAnsi="Arial" w:cs="Arial"/>
          <w:color w:val="1B1C1D"/>
        </w:rPr>
        <w:t>, 12, 84-90. https://doi.org/10.1016/j.nanoso.2017.09.009</w:t>
      </w:r>
    </w:p>
    <w:p w14:paraId="53261A4E" w14:textId="4C87C75B" w:rsidR="007A607C" w:rsidRPr="007A607C" w:rsidRDefault="007A607C" w:rsidP="00297A29">
      <w:pPr>
        <w:pBdr>
          <w:top w:val="nil"/>
          <w:left w:val="nil"/>
          <w:bottom w:val="nil"/>
          <w:right w:val="nil"/>
          <w:between w:val="nil"/>
        </w:pBdr>
        <w:spacing w:line="275" w:lineRule="auto"/>
        <w:ind w:left="567" w:hanging="567"/>
        <w:jc w:val="both"/>
        <w:rPr>
          <w:rFonts w:ascii="Arial" w:eastAsia="Google Sans Text" w:hAnsi="Arial" w:cs="Arial"/>
          <w:color w:val="1B1C1D"/>
        </w:rPr>
      </w:pPr>
      <w:r w:rsidRPr="007A607C">
        <w:rPr>
          <w:rFonts w:ascii="Arial" w:eastAsia="Google Sans Text" w:hAnsi="Arial" w:cs="Arial"/>
          <w:color w:val="1B1C1D"/>
        </w:rPr>
        <w:t xml:space="preserve">Zhao, X., Tian, R., Zhou, J., &amp; Liu, Y. (2022). Multifunctional chitosan/grape seed extract/silver nanoparticle composite for food packaging application. </w:t>
      </w:r>
      <w:r w:rsidRPr="007A607C">
        <w:rPr>
          <w:rFonts w:ascii="Arial" w:eastAsia="Google Sans Text" w:hAnsi="Arial" w:cs="Arial"/>
          <w:i/>
          <w:color w:val="1B1C1D"/>
        </w:rPr>
        <w:t>International Journal of Biological Macromolecules</w:t>
      </w:r>
      <w:r w:rsidRPr="007A607C">
        <w:rPr>
          <w:rFonts w:ascii="Arial" w:eastAsia="Google Sans Text" w:hAnsi="Arial" w:cs="Arial"/>
          <w:color w:val="1B1C1D"/>
        </w:rPr>
        <w:t>, 207, 152-160. https://doi.org/10.1016/j.ijbiomac.2022.02.180</w:t>
      </w:r>
    </w:p>
    <w:p w14:paraId="1A5D0A58" w14:textId="77777777" w:rsidR="00790ADA" w:rsidRPr="00FB3A86" w:rsidRDefault="00790ADA" w:rsidP="00297A29">
      <w:pPr>
        <w:pStyle w:val="Body"/>
        <w:spacing w:after="0"/>
        <w:rPr>
          <w:rFonts w:ascii="Arial" w:hAnsi="Arial" w:cs="Arial"/>
        </w:rPr>
      </w:pPr>
    </w:p>
    <w:p w14:paraId="7E628118" w14:textId="6A333C9F" w:rsidR="004D4277" w:rsidRPr="00FB3A86" w:rsidRDefault="004D4277" w:rsidP="00441B6F">
      <w:pPr>
        <w:pStyle w:val="Appendix"/>
        <w:spacing w:after="0"/>
        <w:jc w:val="both"/>
        <w:rPr>
          <w:rFonts w:ascii="Arial" w:hAnsi="Arial" w:cs="Arial"/>
          <w:b w:val="0"/>
        </w:rPr>
        <w:sectPr w:rsidR="004D4277" w:rsidRPr="00FB3A86" w:rsidSect="00F457C6">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23FF7F97" w14:textId="77777777" w:rsidR="00B01FCD" w:rsidRPr="00FB3A86" w:rsidRDefault="00B01FCD" w:rsidP="00441B6F">
      <w:pPr>
        <w:pStyle w:val="Appendix"/>
        <w:spacing w:after="0"/>
        <w:jc w:val="both"/>
        <w:rPr>
          <w:rFonts w:ascii="Arial" w:hAnsi="Arial" w:cs="Arial"/>
          <w:b w:val="0"/>
        </w:rPr>
      </w:pPr>
    </w:p>
    <w:sectPr w:rsidR="00B01FCD" w:rsidRPr="00FB3A86" w:rsidSect="00F457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088CA" w14:textId="77777777" w:rsidR="00FF68EF" w:rsidRDefault="00FF68EF" w:rsidP="00C37E61">
      <w:r>
        <w:separator/>
      </w:r>
    </w:p>
  </w:endnote>
  <w:endnote w:type="continuationSeparator" w:id="0">
    <w:p w14:paraId="12CEAFEB" w14:textId="77777777" w:rsidR="00FF68EF" w:rsidRDefault="00FF68E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oogle Sans Tex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9C61" w14:textId="77777777" w:rsidR="00F457C6" w:rsidRDefault="00F457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AA89" w14:textId="77777777" w:rsidR="00F457C6" w:rsidRDefault="00F457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B8E7" w14:textId="12CB6BB9" w:rsidR="00754C9A" w:rsidRPr="00F457C6" w:rsidRDefault="00754C9A" w:rsidP="00F457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B85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9291C" w14:textId="77777777" w:rsidR="00FF68EF" w:rsidRDefault="00FF68EF" w:rsidP="00C37E61">
      <w:r>
        <w:separator/>
      </w:r>
    </w:p>
  </w:footnote>
  <w:footnote w:type="continuationSeparator" w:id="0">
    <w:p w14:paraId="41626A3F" w14:textId="77777777" w:rsidR="00FF68EF" w:rsidRDefault="00FF68E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CA8E" w14:textId="7D9B3222" w:rsidR="00F457C6" w:rsidRDefault="00FF68EF">
    <w:pPr>
      <w:pStyle w:val="Header"/>
    </w:pPr>
    <w:r>
      <w:rPr>
        <w:noProof/>
      </w:rPr>
      <w:pict w14:anchorId="63E25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5"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B802" w14:textId="75A03ABC" w:rsidR="00F457C6" w:rsidRDefault="00FF68EF">
    <w:pPr>
      <w:pStyle w:val="Header"/>
    </w:pPr>
    <w:r>
      <w:rPr>
        <w:noProof/>
      </w:rPr>
      <w:pict w14:anchorId="420C8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6"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709FF" w14:textId="29EFA8FA" w:rsidR="00296529" w:rsidRPr="00296529" w:rsidRDefault="00FF68EF" w:rsidP="00296529">
    <w:pPr>
      <w:ind w:left="2160"/>
      <w:jc w:val="center"/>
      <w:rPr>
        <w:rFonts w:ascii="Times New Roman" w:eastAsia="Calibri" w:hAnsi="Times New Roman"/>
        <w:i/>
        <w:sz w:val="18"/>
        <w:szCs w:val="22"/>
      </w:rPr>
    </w:pPr>
    <w:r>
      <w:rPr>
        <w:noProof/>
      </w:rPr>
      <w:pict w14:anchorId="73E81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4"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DD75A1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9A932F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1560E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32A3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B9562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C2BE33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1081" w14:textId="1771996B" w:rsidR="00F457C6" w:rsidRDefault="00FF68EF">
    <w:pPr>
      <w:pStyle w:val="Header"/>
    </w:pPr>
    <w:r>
      <w:rPr>
        <w:noProof/>
      </w:rPr>
      <w:pict w14:anchorId="7DD2B4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8"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ABC6F" w14:textId="7BC91159" w:rsidR="00F457C6" w:rsidRDefault="00FF68EF">
    <w:pPr>
      <w:pStyle w:val="Header"/>
    </w:pPr>
    <w:r>
      <w:rPr>
        <w:noProof/>
      </w:rPr>
      <w:pict w14:anchorId="493E7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9"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3DBA" w14:textId="64FC8760" w:rsidR="00F457C6" w:rsidRDefault="00FF68EF">
    <w:pPr>
      <w:pStyle w:val="Header"/>
    </w:pPr>
    <w:r>
      <w:rPr>
        <w:noProof/>
      </w:rPr>
      <w:pict w14:anchorId="3E372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07487"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StyleGuidePreference" w:val="-1"/>
  </w:docVars>
  <w:rsids>
    <w:rsidRoot w:val="00AA6219"/>
    <w:rsid w:val="00000F8F"/>
    <w:rsid w:val="00011E92"/>
    <w:rsid w:val="00030174"/>
    <w:rsid w:val="0004579C"/>
    <w:rsid w:val="000A47FA"/>
    <w:rsid w:val="000A65D3"/>
    <w:rsid w:val="000A7908"/>
    <w:rsid w:val="000B1E33"/>
    <w:rsid w:val="000C2438"/>
    <w:rsid w:val="000D689F"/>
    <w:rsid w:val="000E7B7B"/>
    <w:rsid w:val="000E7D62"/>
    <w:rsid w:val="000F289D"/>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65FF"/>
    <w:rsid w:val="00200595"/>
    <w:rsid w:val="00204835"/>
    <w:rsid w:val="00231920"/>
    <w:rsid w:val="0023195C"/>
    <w:rsid w:val="0024282C"/>
    <w:rsid w:val="002460DC"/>
    <w:rsid w:val="00250985"/>
    <w:rsid w:val="002556F6"/>
    <w:rsid w:val="00283105"/>
    <w:rsid w:val="00284C4C"/>
    <w:rsid w:val="00287E68"/>
    <w:rsid w:val="00296529"/>
    <w:rsid w:val="00297A29"/>
    <w:rsid w:val="002B27FB"/>
    <w:rsid w:val="002B685A"/>
    <w:rsid w:val="002C57D2"/>
    <w:rsid w:val="002E0D56"/>
    <w:rsid w:val="0030267F"/>
    <w:rsid w:val="00315186"/>
    <w:rsid w:val="0033343E"/>
    <w:rsid w:val="003435DC"/>
    <w:rsid w:val="003512C2"/>
    <w:rsid w:val="00371FB6"/>
    <w:rsid w:val="0037455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415B"/>
    <w:rsid w:val="00471A80"/>
    <w:rsid w:val="0048565B"/>
    <w:rsid w:val="004D305E"/>
    <w:rsid w:val="004D4277"/>
    <w:rsid w:val="00502516"/>
    <w:rsid w:val="00505F06"/>
    <w:rsid w:val="00506828"/>
    <w:rsid w:val="0053056E"/>
    <w:rsid w:val="005525B6"/>
    <w:rsid w:val="00554FDA"/>
    <w:rsid w:val="005647C5"/>
    <w:rsid w:val="00591619"/>
    <w:rsid w:val="005B05B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06E"/>
    <w:rsid w:val="006F11EC"/>
    <w:rsid w:val="0070082C"/>
    <w:rsid w:val="00700A76"/>
    <w:rsid w:val="00732F71"/>
    <w:rsid w:val="007369E6"/>
    <w:rsid w:val="00746E59"/>
    <w:rsid w:val="00754C9A"/>
    <w:rsid w:val="0075599A"/>
    <w:rsid w:val="00761D52"/>
    <w:rsid w:val="00771D0C"/>
    <w:rsid w:val="0077749E"/>
    <w:rsid w:val="00790ADA"/>
    <w:rsid w:val="007A607C"/>
    <w:rsid w:val="007B5078"/>
    <w:rsid w:val="007D2288"/>
    <w:rsid w:val="007E088F"/>
    <w:rsid w:val="007E33CC"/>
    <w:rsid w:val="007F7B32"/>
    <w:rsid w:val="008006F7"/>
    <w:rsid w:val="00804BC2"/>
    <w:rsid w:val="0081431A"/>
    <w:rsid w:val="008231CE"/>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1605A"/>
    <w:rsid w:val="00922080"/>
    <w:rsid w:val="00927834"/>
    <w:rsid w:val="009500A6"/>
    <w:rsid w:val="00954EE7"/>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2DAF"/>
    <w:rsid w:val="00AC509D"/>
    <w:rsid w:val="00AC6BB8"/>
    <w:rsid w:val="00AE008F"/>
    <w:rsid w:val="00AF19C1"/>
    <w:rsid w:val="00B01FCD"/>
    <w:rsid w:val="00B1776C"/>
    <w:rsid w:val="00B52583"/>
    <w:rsid w:val="00B52896"/>
    <w:rsid w:val="00B63B87"/>
    <w:rsid w:val="00B95236"/>
    <w:rsid w:val="00B96BD9"/>
    <w:rsid w:val="00BA1B01"/>
    <w:rsid w:val="00BA2641"/>
    <w:rsid w:val="00BB37AA"/>
    <w:rsid w:val="00BB68F4"/>
    <w:rsid w:val="00BC53A0"/>
    <w:rsid w:val="00BD7F4F"/>
    <w:rsid w:val="00BE62AD"/>
    <w:rsid w:val="00BE7D28"/>
    <w:rsid w:val="00BF121F"/>
    <w:rsid w:val="00BF1F80"/>
    <w:rsid w:val="00C166EF"/>
    <w:rsid w:val="00C17EB0"/>
    <w:rsid w:val="00C27F5F"/>
    <w:rsid w:val="00C30A0F"/>
    <w:rsid w:val="00C37E61"/>
    <w:rsid w:val="00C458D1"/>
    <w:rsid w:val="00C70F1B"/>
    <w:rsid w:val="00C71A47"/>
    <w:rsid w:val="00C7464C"/>
    <w:rsid w:val="00C85588"/>
    <w:rsid w:val="00CD6755"/>
    <w:rsid w:val="00CD6856"/>
    <w:rsid w:val="00CE0089"/>
    <w:rsid w:val="00CE793C"/>
    <w:rsid w:val="00CF193C"/>
    <w:rsid w:val="00CF2852"/>
    <w:rsid w:val="00CF680F"/>
    <w:rsid w:val="00D173F1"/>
    <w:rsid w:val="00D227C0"/>
    <w:rsid w:val="00D34C43"/>
    <w:rsid w:val="00D74CB0"/>
    <w:rsid w:val="00D8295D"/>
    <w:rsid w:val="00DC2A65"/>
    <w:rsid w:val="00DE15F0"/>
    <w:rsid w:val="00DE5663"/>
    <w:rsid w:val="00DE78AA"/>
    <w:rsid w:val="00E053D0"/>
    <w:rsid w:val="00E15994"/>
    <w:rsid w:val="00E16584"/>
    <w:rsid w:val="00E22972"/>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57C6"/>
    <w:rsid w:val="00F469F0"/>
    <w:rsid w:val="00F53273"/>
    <w:rsid w:val="00F755E4"/>
    <w:rsid w:val="00F77D02"/>
    <w:rsid w:val="00FB3A86"/>
    <w:rsid w:val="00FD36C8"/>
    <w:rsid w:val="00FF5C12"/>
    <w:rsid w:val="00FF6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771371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C24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link w:val="SubtitleChar"/>
    <w:uiPriority w:val="11"/>
    <w:qFormat/>
    <w:rsid w:val="00AC509D"/>
    <w:pPr>
      <w:keepNext/>
      <w:keepLines/>
      <w:widowControl w:val="0"/>
      <w:spacing w:before="360" w:after="80"/>
    </w:pPr>
    <w:rPr>
      <w:rFonts w:ascii="Georgia" w:eastAsia="Georgia" w:hAnsi="Georgia" w:cs="Georgia"/>
      <w:i/>
      <w:color w:val="666666"/>
      <w:sz w:val="48"/>
      <w:szCs w:val="48"/>
      <w:lang w:val="en-ID" w:eastAsia="en-ID"/>
    </w:rPr>
  </w:style>
  <w:style w:type="character" w:customStyle="1" w:styleId="SubtitleChar">
    <w:name w:val="Subtitle Char"/>
    <w:basedOn w:val="DefaultParagraphFont"/>
    <w:link w:val="Subtitle"/>
    <w:uiPriority w:val="11"/>
    <w:rsid w:val="00AC509D"/>
    <w:rPr>
      <w:rFonts w:ascii="Georgia" w:eastAsia="Georgia" w:hAnsi="Georgia" w:cs="Georgia"/>
      <w:i/>
      <w:color w:val="666666"/>
      <w:sz w:val="48"/>
      <w:szCs w:val="48"/>
      <w:lang w:val="en-ID" w:eastAsia="en-ID"/>
    </w:rPr>
  </w:style>
  <w:style w:type="character" w:customStyle="1" w:styleId="Heading3Char">
    <w:name w:val="Heading 3 Char"/>
    <w:basedOn w:val="DefaultParagraphFont"/>
    <w:link w:val="Heading3"/>
    <w:semiHidden/>
    <w:rsid w:val="000C243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C497C-69A9-425D-A98A-5C69C76C0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220</TotalTime>
  <Pages>12</Pages>
  <Words>3874</Words>
  <Characters>28363</Characters>
  <Application>Microsoft Office Word</Application>
  <DocSecurity>0</DocSecurity>
  <Lines>691</Lines>
  <Paragraphs>257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31980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Agus Wedi Pratama</cp:lastModifiedBy>
  <cp:revision>26</cp:revision>
  <cp:lastPrinted>1999-07-06T11:00:00Z</cp:lastPrinted>
  <dcterms:created xsi:type="dcterms:W3CDTF">2014-10-25T14:34:00Z</dcterms:created>
  <dcterms:modified xsi:type="dcterms:W3CDTF">2025-09-10T05:38:00Z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e597befa-56a7-44ee-9e5f-7ff7540c5af2</vt:lpwstr>
  </property>
  <property fmtid="{D5CDD505-2E9C-101B-9397-08002B2CF9AE}" pid="3" name="Mendeley Recent Style Id 0_1">
    <vt:lpwstr>https://csl.mendeley.com/styles/681033821/american-institute-of-physics</vt:lpwstr>
  </property>
  <property fmtid="{D5CDD505-2E9C-101B-9397-08002B2CF9AE}" pid="4" name="Mendeley Recent Style Name 0_1">
    <vt:lpwstr>AIP Publishing Style</vt:lpwstr>
  </property>
  <property fmtid="{D5CDD505-2E9C-101B-9397-08002B2CF9AE}" pid="5" name="Mendeley Recent Style Id 1_1">
    <vt:lpwstr>http://www.zotero.org/styles/alexandria-engineering-journal</vt:lpwstr>
  </property>
  <property fmtid="{D5CDD505-2E9C-101B-9397-08002B2CF9AE}" pid="6" name="Mendeley Recent Style Name 1_1">
    <vt:lpwstr>Alexandria Engineering Journal</vt:lpwstr>
  </property>
  <property fmtid="{D5CDD505-2E9C-101B-9397-08002B2CF9AE}" pid="7" name="Mendeley Recent Style Id 2_1">
    <vt:lpwstr>http://www.zotero.org/styles/american-institute-of-physics</vt:lpwstr>
  </property>
  <property fmtid="{D5CDD505-2E9C-101B-9397-08002B2CF9AE}" pid="8" name="Mendeley Recent Style Name 2_1">
    <vt:lpwstr>American Institute of Physics 4th edition</vt:lpwstr>
  </property>
  <property fmtid="{D5CDD505-2E9C-101B-9397-08002B2CF9AE}" pid="9" name="Mendeley Recent Style Id 3_1">
    <vt:lpwstr>http://www.zotero.org/styles/american-political-science-association</vt:lpwstr>
  </property>
  <property fmtid="{D5CDD505-2E9C-101B-9397-08002B2CF9AE}" pid="10" name="Mendeley Recent Style Name 3_1">
    <vt:lpwstr>American Political Science Association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 edition</vt:lpwstr>
  </property>
  <property fmtid="{D5CDD505-2E9C-101B-9397-08002B2CF9AE}" pid="13" name="Mendeley Recent Style Id 5_1">
    <vt:lpwstr>http://www.zotero.org/styles/elsevier-with-titles</vt:lpwstr>
  </property>
  <property fmtid="{D5CDD505-2E9C-101B-9397-08002B2CF9AE}" pid="14" name="Mendeley Recent Style Name 5_1">
    <vt:lpwstr>Elsevier (numeric, with titles)</vt:lpwstr>
  </property>
  <property fmtid="{D5CDD505-2E9C-101B-9397-08002B2CF9AE}" pid="15" name="Mendeley Recent Style Id 6_1">
    <vt:lpwstr>https://csl.mendeley.com/styles/681033821/elsevier-with-titles-alphabetical</vt:lpwstr>
  </property>
  <property fmtid="{D5CDD505-2E9C-101B-9397-08002B2CF9AE}" pid="16" name="Mendeley Recent Style Name 6_1">
    <vt:lpwstr>Elsevier (numeric, with titles, sorted alphabetically) - Agus Wedi Pratama</vt:lpwstr>
  </property>
  <property fmtid="{D5CDD505-2E9C-101B-9397-08002B2CF9AE}" pid="17" name="Mendeley Recent Style Id 7_1">
    <vt:lpwstr>http://www.zotero.org/styles/elsevier-american-chemical-society</vt:lpwstr>
  </property>
  <property fmtid="{D5CDD505-2E9C-101B-9397-08002B2CF9AE}" pid="18" name="Mendeley Recent Style Name 7_1">
    <vt:lpwstr>Elsevier - American Chemical Society</vt:lpwstr>
  </property>
  <property fmtid="{D5CDD505-2E9C-101B-9397-08002B2CF9AE}" pid="19" name="Mendeley Recent Style Id 8_1">
    <vt:lpwstr>http://www.zotero.org/styles/elsevier-harvard</vt:lpwstr>
  </property>
  <property fmtid="{D5CDD505-2E9C-101B-9397-08002B2CF9AE}" pid="20" name="Mendeley Recent Style Name 8_1">
    <vt:lpwstr>Elsevier - Harvard (with titles)</vt:lpwstr>
  </property>
  <property fmtid="{D5CDD505-2E9C-101B-9397-08002B2CF9AE}" pid="21" name="Mendeley Recent Style Id 9_1">
    <vt:lpwstr>http://www.zotero.org/styles/elsevier-harvard2</vt:lpwstr>
  </property>
  <property fmtid="{D5CDD505-2E9C-101B-9397-08002B2CF9AE}" pid="22" name="Mendeley Recent Style Name 9_1">
    <vt:lpwstr>Elsevier - Harvard 2</vt:lpwstr>
  </property>
  <property fmtid="{D5CDD505-2E9C-101B-9397-08002B2CF9AE}" pid="23" name="Mendeley Document_1">
    <vt:lpwstr>True</vt:lpwstr>
  </property>
  <property fmtid="{D5CDD505-2E9C-101B-9397-08002B2CF9AE}" pid="24" name="Mendeley Unique User Id_1">
    <vt:lpwstr>4d68ba9d-bcd4-38cf-8b84-6c0f80e58b9c</vt:lpwstr>
  </property>
  <property fmtid="{D5CDD505-2E9C-101B-9397-08002B2CF9AE}" pid="25" name="Mendeley Citation Style_1">
    <vt:lpwstr>http://www.zotero.org/styles/elsevier-harvard</vt:lpwstr>
  </property>
</Properties>
</file>