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938C1" w14:textId="77777777" w:rsidR="0014769C" w:rsidRPr="0014769C" w:rsidRDefault="0014769C" w:rsidP="0014769C">
      <w:pPr>
        <w:jc w:val="center"/>
        <w:rPr>
          <w:rFonts w:ascii="Times New Roman" w:hAnsi="Times New Roman" w:cs="Times New Roman"/>
          <w:b/>
          <w:bCs/>
          <w:i/>
          <w:iCs/>
          <w:sz w:val="32"/>
          <w:szCs w:val="32"/>
          <w:u w:val="single"/>
          <w:lang w:val="en-US"/>
        </w:rPr>
      </w:pPr>
      <w:r w:rsidRPr="0014769C">
        <w:rPr>
          <w:rFonts w:ascii="Times New Roman" w:hAnsi="Times New Roman" w:cs="Times New Roman"/>
          <w:b/>
          <w:bCs/>
          <w:i/>
          <w:iCs/>
          <w:sz w:val="32"/>
          <w:szCs w:val="32"/>
          <w:u w:val="single"/>
          <w:lang w:val="en-US"/>
        </w:rPr>
        <w:t>Review Article</w:t>
      </w:r>
    </w:p>
    <w:p w14:paraId="13FECFE1" w14:textId="77777777" w:rsidR="0014769C" w:rsidRDefault="0014769C" w:rsidP="00B13DEF">
      <w:pPr>
        <w:rPr>
          <w:rFonts w:ascii="Times New Roman" w:hAnsi="Times New Roman" w:cs="Times New Roman"/>
          <w:b/>
          <w:bCs/>
          <w:sz w:val="32"/>
          <w:szCs w:val="32"/>
        </w:rPr>
      </w:pPr>
    </w:p>
    <w:p w14:paraId="3051D054" w14:textId="699951BF" w:rsidR="0014769C" w:rsidRDefault="00B13DEF">
      <w:pPr>
        <w:jc w:val="center"/>
        <w:rPr>
          <w:rFonts w:ascii="Times New Roman" w:hAnsi="Times New Roman" w:cs="Times New Roman"/>
          <w:b/>
          <w:bCs/>
          <w:sz w:val="32"/>
          <w:szCs w:val="32"/>
        </w:rPr>
      </w:pPr>
      <w:r w:rsidRPr="00B13DEF">
        <w:rPr>
          <w:rFonts w:ascii="Times New Roman" w:hAnsi="Times New Roman" w:cs="Times New Roman"/>
          <w:b/>
          <w:bCs/>
          <w:sz w:val="32"/>
          <w:szCs w:val="32"/>
        </w:rPr>
        <w:t>“Molecular Recognition and Signaling Cascades in Plant Immunity: PTI, ETI</w:t>
      </w:r>
      <w:r>
        <w:rPr>
          <w:rFonts w:ascii="Times New Roman" w:hAnsi="Times New Roman" w:cs="Times New Roman"/>
          <w:b/>
          <w:bCs/>
          <w:sz w:val="32"/>
          <w:szCs w:val="32"/>
        </w:rPr>
        <w:t xml:space="preserve"> </w:t>
      </w:r>
      <w:r w:rsidRPr="00B13DEF">
        <w:rPr>
          <w:rFonts w:ascii="Times New Roman" w:hAnsi="Times New Roman" w:cs="Times New Roman"/>
          <w:b/>
          <w:bCs/>
          <w:sz w:val="32"/>
          <w:szCs w:val="32"/>
        </w:rPr>
        <w:t>and Beyond”</w:t>
      </w:r>
    </w:p>
    <w:p w14:paraId="08FE3A09" w14:textId="77777777" w:rsidR="000E1FB3" w:rsidRDefault="00124AB5">
      <w:pPr>
        <w:jc w:val="center"/>
        <w:rPr>
          <w:rFonts w:ascii="Times New Roman" w:hAnsi="Times New Roman" w:cs="Times New Roman"/>
          <w:b/>
          <w:bCs/>
        </w:rPr>
      </w:pPr>
      <w:r>
        <w:rPr>
          <w:rFonts w:ascii="Times New Roman" w:hAnsi="Times New Roman" w:cs="Times New Roman"/>
          <w:b/>
          <w:bCs/>
        </w:rPr>
        <w:t>Abstract</w:t>
      </w:r>
    </w:p>
    <w:p w14:paraId="1C053081" w14:textId="749EBF18"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Plants are constantly exposed to broad spectrum of pathogens, ranging from bacteria and fungi to viruses and nematodes. Unlike animals, plants lack an adaptive immune system and instead depend on a complex, multilayered innate defense framework to counteract pathogenic attacks. This review delves into the intricate biological processes by which plants sense invading pathogens and transduce those signals to mount appropriate immune responses. The frontline of this inducible defense, termed Pattern-Triggered Immunity (PTI), is initiated when pattern recognition receptors (PRRs) located on the cell surface detect conserved molecular patterns unique to pathogens, known as PAMPs. Well-characterized receptors like FLS2 and CERK1 recognize microbial cues such as bacterial flagellin and fungal chitin, respectively. Once triggered, this recognition sets off a cascade of early immune responses marked by calcium ion fluxes, bursts of reactive oxygen species (ROS), and the activation of mitogen-activated protein kinases (MAPKs) which collectively drive large-scale transcriptional changes aimed at fortifying plant defense. However, many pathogens have evolved mechanisms to overcome PTI by secreting specialized effector molecules into the host, thereby promoting Effector-Triggered Susceptibility (ETS). To combat this, plants possess intracellular immune receptors, notably nucleotide-binding leucine-rich repeat (NLR) proteins, which detect these effectors directly or indirectly and activate a secondary, often more potent response known as Effector-Triggered Immunity (ETI). ETI frequently involves localized cell death at the infection site, termed the hypersensitive response (HR), which restricts pathogen spread. Additionally, immune activation often culminates in Systemic Acquired Resistance (SAR) a long-lasting, broad-spectrum defense response that primes distal, uninfected tissues against future infections. </w:t>
      </w:r>
      <w:r w:rsidR="00C12F12" w:rsidRPr="00C12F12">
        <w:rPr>
          <w:rFonts w:ascii="Times New Roman" w:hAnsi="Times New Roman" w:cs="Times New Roman"/>
        </w:rPr>
        <w:t>C</w:t>
      </w:r>
      <w:r w:rsidRPr="00C12F12">
        <w:rPr>
          <w:rFonts w:ascii="Times New Roman" w:hAnsi="Times New Roman" w:cs="Times New Roman"/>
        </w:rPr>
        <w:t>entral</w:t>
      </w:r>
      <w:r>
        <w:rPr>
          <w:rFonts w:ascii="Times New Roman" w:hAnsi="Times New Roman" w:cs="Times New Roman"/>
        </w:rPr>
        <w:t xml:space="preserve"> to the regulation and fine-tuning of these immune layers are hormonal pathways involving salicylic acid, jasmonic acid, and ethylene, which help determine the specificity, strength, and duration of immune responses. </w:t>
      </w:r>
    </w:p>
    <w:p w14:paraId="603DBBED" w14:textId="7C383B85" w:rsidR="000E1FB3" w:rsidRDefault="00124AB5">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Pattern-Triggered Immunity (PTI), Effector-Triggered Immunity (ETI), Pathogen-Associated Molecular Patterns (PAMPs), Nucleotide-binding Leucine-rich Repeat (NLR) proteins and Systemic Acquired Resistance (SAR).</w:t>
      </w:r>
    </w:p>
    <w:p w14:paraId="3B5F4D63"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lastRenderedPageBreak/>
        <w:t>Introduction:</w:t>
      </w:r>
    </w:p>
    <w:p w14:paraId="5228A415" w14:textId="60ED61F6"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Plants constantly face threats from a diverse range of pathogens present in their surroundings. When infection occurs successfully, it can severely impact both the quality and quantity of crop yields. As a result, effective disease management has become a vital aspect of modern agricultural practices. With the global population steadily increasing, there is a growing need to boost agricultural productivity in order to ensure sufficient food supply for future generations (Hofstra &amp; Vermeulen, 2016). In this way, protection of plant particularly against plant diseases plays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important role in maintaining crop productivity and food security (Strange &amp; Scott, 2005). The diseases are not only threatening yield stability but also contribute to </w:t>
      </w:r>
      <w:proofErr w:type="spellStart"/>
      <w:r>
        <w:rPr>
          <w:rFonts w:ascii="Times New Roman" w:hAnsi="Times New Roman" w:cs="Times New Roman"/>
        </w:rPr>
        <w:t>rhe</w:t>
      </w:r>
      <w:proofErr w:type="spellEnd"/>
      <w:r>
        <w:rPr>
          <w:rFonts w:ascii="Times New Roman" w:hAnsi="Times New Roman" w:cs="Times New Roman"/>
        </w:rPr>
        <w:t xml:space="preserve"> significant economic losses globally. Currently, worldwide crop losses due to disease are estimated to exceed $100 billion (</w:t>
      </w:r>
      <w:proofErr w:type="gramStart"/>
      <w:r>
        <w:rPr>
          <w:rFonts w:ascii="Times New Roman" w:hAnsi="Times New Roman" w:cs="Times New Roman"/>
        </w:rPr>
        <w:t>Brears</w:t>
      </w:r>
      <w:r w:rsidR="00130AD2">
        <w:rPr>
          <w:rFonts w:ascii="Times New Roman" w:hAnsi="Times New Roman" w:cs="Times New Roman"/>
        </w:rPr>
        <w:t xml:space="preserve"> </w:t>
      </w:r>
      <w:r>
        <w:rPr>
          <w:rFonts w:ascii="Times New Roman" w:hAnsi="Times New Roman" w:cs="Times New Roman"/>
        </w:rPr>
        <w:t xml:space="preserve"> &amp;</w:t>
      </w:r>
      <w:proofErr w:type="gramEnd"/>
      <w:r>
        <w:rPr>
          <w:rFonts w:ascii="Times New Roman" w:hAnsi="Times New Roman" w:cs="Times New Roman"/>
        </w:rPr>
        <w:t xml:space="preserve"> Ryals, 1994). Plant disease susceptibility and resistance are due to the combined genotypes of host and pathogen which depend on a complex communication of signals and responses occurring under certain environmental conditions; during the long process of host-pathogen co-evolution, plants have evolving by developing various elaborate mechanisms to ward off pathogen attack, whereas some of these defense mechanisms are preformed and provide the chemical and physical barriers to reduce pathogen infection, others are induced only after pathogen attack (Yang </w:t>
      </w:r>
      <w:r>
        <w:rPr>
          <w:rFonts w:ascii="Times New Roman" w:hAnsi="Times New Roman" w:cs="Times New Roman"/>
          <w:i/>
          <w:iCs/>
        </w:rPr>
        <w:t>et al.,</w:t>
      </w:r>
      <w:r>
        <w:rPr>
          <w:rFonts w:ascii="Times New Roman" w:hAnsi="Times New Roman" w:cs="Times New Roman"/>
        </w:rPr>
        <w:t xml:space="preserve"> 1997).</w:t>
      </w:r>
    </w:p>
    <w:p w14:paraId="7C2BA0A7"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 plants, the first layer of defense against pathogenic organisms and herbivores is formed by physical structures namely, the cuticle and cell wall which serve as passive barriers that prevent the initial entry of invaders (Stael </w:t>
      </w:r>
      <w:r>
        <w:rPr>
          <w:rFonts w:ascii="Times New Roman" w:hAnsi="Times New Roman" w:cs="Times New Roman"/>
          <w:i/>
          <w:iCs/>
        </w:rPr>
        <w:t>et al.,</w:t>
      </w:r>
      <w:r>
        <w:rPr>
          <w:rFonts w:ascii="Times New Roman" w:hAnsi="Times New Roman" w:cs="Times New Roman"/>
        </w:rPr>
        <w:t xml:space="preserve"> 2015). However, when these structural </w:t>
      </w:r>
      <w:proofErr w:type="spellStart"/>
      <w:r>
        <w:rPr>
          <w:rFonts w:ascii="Times New Roman" w:hAnsi="Times New Roman" w:cs="Times New Roman"/>
        </w:rPr>
        <w:t>defenses</w:t>
      </w:r>
      <w:proofErr w:type="spellEnd"/>
      <w:r>
        <w:rPr>
          <w:rFonts w:ascii="Times New Roman" w:hAnsi="Times New Roman" w:cs="Times New Roman"/>
        </w:rPr>
        <w:t xml:space="preserve"> are compromised, plants are capable of sensing disruptions in the cuticle, which can activate a cascade of defense </w:t>
      </w:r>
      <w:proofErr w:type="spellStart"/>
      <w:r>
        <w:rPr>
          <w:rFonts w:ascii="Times New Roman" w:hAnsi="Times New Roman" w:cs="Times New Roman"/>
        </w:rPr>
        <w:t>signaling</w:t>
      </w:r>
      <w:proofErr w:type="spellEnd"/>
      <w:r>
        <w:rPr>
          <w:rFonts w:ascii="Times New Roman" w:hAnsi="Times New Roman" w:cs="Times New Roman"/>
        </w:rPr>
        <w:t xml:space="preserve"> events (</w:t>
      </w:r>
      <w:proofErr w:type="spellStart"/>
      <w:r>
        <w:rPr>
          <w:rFonts w:ascii="Times New Roman" w:hAnsi="Times New Roman" w:cs="Times New Roman"/>
        </w:rPr>
        <w:t>Chassot</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2007). Once the integrity of this outer barrier is breached, plants shift to deploying inducible immune responses that function to contain the threat and limit further tissue damage. These secondary defense mechanisms are often localized and involve the detection of distinct molecular cues—such as proteins or elicitors—released by invading pathogens or herbivores (Malik </w:t>
      </w:r>
      <w:r>
        <w:rPr>
          <w:rFonts w:ascii="Times New Roman" w:hAnsi="Times New Roman" w:cs="Times New Roman"/>
          <w:i/>
          <w:iCs/>
        </w:rPr>
        <w:t>et al.,</w:t>
      </w:r>
      <w:r>
        <w:rPr>
          <w:rFonts w:ascii="Times New Roman" w:hAnsi="Times New Roman" w:cs="Times New Roman"/>
        </w:rPr>
        <w:t xml:space="preserve"> 2020). </w:t>
      </w:r>
    </w:p>
    <w:p w14:paraId="30BF1D81" w14:textId="343B892F" w:rsidR="000E1FB3" w:rsidRDefault="00124AB5">
      <w:pPr>
        <w:spacing w:line="360" w:lineRule="auto"/>
        <w:ind w:firstLine="720"/>
        <w:jc w:val="both"/>
        <w:rPr>
          <w:rFonts w:ascii="Times New Roman" w:hAnsi="Times New Roman" w:cs="Times New Roman"/>
        </w:rPr>
      </w:pPr>
      <w:r>
        <w:rPr>
          <w:rFonts w:ascii="Times New Roman" w:hAnsi="Times New Roman" w:cs="Times New Roman"/>
          <w:color w:val="000000"/>
        </w:rPr>
        <w:t xml:space="preserve">A robust immune response in plants initiates with the capacity to detect invading pathogens </w:t>
      </w:r>
      <w:r>
        <w:rPr>
          <w:rFonts w:ascii="Times New Roman" w:hAnsi="Times New Roman" w:cs="Times New Roman"/>
          <w:i/>
          <w:iCs/>
          <w:color w:val="000000"/>
        </w:rPr>
        <w:t>via</w:t>
      </w:r>
      <w:r>
        <w:rPr>
          <w:rFonts w:ascii="Times New Roman" w:hAnsi="Times New Roman" w:cs="Times New Roman"/>
          <w:color w:val="000000"/>
        </w:rPr>
        <w:t xml:space="preserve"> specialized surveillance mechanisms.</w:t>
      </w:r>
      <w:r>
        <w:rPr>
          <w:rFonts w:ascii="Times New Roman" w:hAnsi="Times New Roman" w:cs="Times New Roman"/>
        </w:rPr>
        <w:t xml:space="preserve"> This recognition is mediated by host-encoded receptors that detect either conserved microbial signatures or specific pathogen-derived effectors McDowell</w:t>
      </w:r>
      <w:r w:rsidR="00130AD2">
        <w:rPr>
          <w:rFonts w:ascii="Times New Roman" w:hAnsi="Times New Roman" w:cs="Times New Roman"/>
        </w:rPr>
        <w:t xml:space="preserve"> </w:t>
      </w:r>
      <w:r>
        <w:rPr>
          <w:rFonts w:ascii="Times New Roman" w:hAnsi="Times New Roman" w:cs="Times New Roman"/>
        </w:rPr>
        <w:t>&amp; Dangl, (2000).</w:t>
      </w:r>
      <w:r>
        <w:t xml:space="preserve">  </w:t>
      </w:r>
      <w:r>
        <w:rPr>
          <w:rFonts w:ascii="Times New Roman" w:hAnsi="Times New Roman" w:cs="Times New Roman"/>
        </w:rPr>
        <w:t>The plant immune system is fundamentally composed of two distinct but interconnected branches</w:t>
      </w:r>
      <w:r>
        <w:t xml:space="preserve">. </w:t>
      </w:r>
      <w:r>
        <w:rPr>
          <w:rFonts w:ascii="Times New Roman" w:hAnsi="Times New Roman" w:cs="Times New Roman"/>
        </w:rPr>
        <w:t xml:space="preserve">PTI is mediated by transmembrane like pattern recognition receptors (PRRs) such as FLS2 or CERK1, which recognize conserved </w:t>
      </w:r>
      <w:r>
        <w:rPr>
          <w:rFonts w:ascii="Times New Roman" w:hAnsi="Times New Roman" w:cs="Times New Roman"/>
        </w:rPr>
        <w:lastRenderedPageBreak/>
        <w:t>microbial features known as pathogen-associated molecular patterns (PAMPs) or microbe-associated molecular patterns (MAMPs), including flagellin of bacterial and fungal chitin at cell surface (Zipfel</w:t>
      </w:r>
      <w:r w:rsidR="00130AD2">
        <w:rPr>
          <w:rFonts w:ascii="Times New Roman" w:hAnsi="Times New Roman" w:cs="Times New Roman"/>
        </w:rPr>
        <w:t xml:space="preserve"> </w:t>
      </w:r>
      <w:r>
        <w:rPr>
          <w:rFonts w:ascii="Times New Roman" w:hAnsi="Times New Roman" w:cs="Times New Roman"/>
        </w:rPr>
        <w:t>&amp; Felix</w:t>
      </w:r>
      <w:r w:rsidR="00130AD2">
        <w:rPr>
          <w:rFonts w:ascii="Times New Roman" w:hAnsi="Times New Roman" w:cs="Times New Roman"/>
        </w:rPr>
        <w:t xml:space="preserve">, </w:t>
      </w:r>
      <w:r>
        <w:rPr>
          <w:rFonts w:ascii="Times New Roman" w:hAnsi="Times New Roman" w:cs="Times New Roman"/>
        </w:rPr>
        <w:t>2005). The second branch functions predominantly within the cytoplasm and involves highly polymorphic nucleotide-binding leucine-rich repeat (NB-LRR) proteins encoded by resistance (R) genes Dangl, J. L., &amp; Jones, J. D. (2001). These intracellular receptors are defined by their conserved NB and LRR domains and are responsible for detecting pathogen-secreted effector molecules Pattern-Triggered Immunity (PTI) and Effector-Triggered Immunity (ETI). PTI is typically initiated at cell surface by the recognition of pathogen-associated molecular patterns (PAMPs) through pattern recognition receptors (PRRs), while ETI is activated inside cell upon detection of effector proteins by resistance (R) proteins. Together, these layers form a robust defense framework that allows plants to detect a wide range of microbial threats and activate appropriate defense responses.</w:t>
      </w:r>
    </w:p>
    <w:p w14:paraId="2EDBBB00"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Though once considered distinct, PTI and ETI are now viewed as overlapping and synergistic branches of plant immunity, with shared signaling components such as Ca</w:t>
      </w:r>
      <w:r>
        <w:rPr>
          <w:rFonts w:ascii="Times New Roman" w:hAnsi="Times New Roman" w:cs="Times New Roman"/>
          <w:vertAlign w:val="superscript"/>
        </w:rPr>
        <w:t>2+</w:t>
      </w:r>
      <w:r>
        <w:rPr>
          <w:rFonts w:ascii="Times New Roman" w:hAnsi="Times New Roman" w:cs="Times New Roman"/>
        </w:rPr>
        <w:t xml:space="preserve"> influx, reactive oxygen species (ROS), mitogen-activated protein kinases (MAPKs) and transcription factors like WRKYs. Hormonal pathways, including jasmonic acid (JA), salicylic acid (SA) and ethylene (ET), further modulate these immune responses. Understanding pathways related to this offers critical insights for developing durable, broad-spectrum resistance in crops through both traditional breeding and modern biotechnological tools.</w:t>
      </w:r>
    </w:p>
    <w:p w14:paraId="3EA1C05F" w14:textId="77777777" w:rsidR="000E1FB3" w:rsidRDefault="00124AB5">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Pattern Recognition and Pattern-Triggered Immunity (PTI)</w:t>
      </w:r>
    </w:p>
    <w:p w14:paraId="5E5DE064" w14:textId="77777777" w:rsidR="000E1FB3" w:rsidRDefault="00124AB5">
      <w:pPr>
        <w:spacing w:before="100" w:beforeAutospacing="1" w:after="100" w:afterAutospacing="1"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first layer of inducible plant defense is initiated through the perception of conserved pathogen-derived molecules known as pathogen-associated molecular patterns (PAMPs) or microbe-associated molecular patterns (MAMPs) (</w:t>
      </w:r>
      <w:r>
        <w:rPr>
          <w:rFonts w:ascii="Times New Roman" w:hAnsi="Times New Roman" w:cs="Times New Roman"/>
        </w:rPr>
        <w:t>Nürnberger, T. and Kemmerling, B., 2009)</w:t>
      </w:r>
      <w:r>
        <w:rPr>
          <w:rFonts w:ascii="Times New Roman" w:eastAsia="Times New Roman" w:hAnsi="Times New Roman" w:cs="Times New Roman"/>
          <w:kern w:val="0"/>
          <w:lang w:eastAsia="en-IN"/>
          <w14:ligatures w14:val="none"/>
        </w:rPr>
        <w:t xml:space="preserve">. These PAMPs are typically essential microbial structures /molecules/ </w:t>
      </w:r>
      <w:proofErr w:type="spellStart"/>
      <w:r>
        <w:rPr>
          <w:rFonts w:ascii="Times New Roman" w:eastAsia="Times New Roman" w:hAnsi="Times New Roman" w:cs="Times New Roman"/>
          <w:kern w:val="0"/>
          <w:lang w:eastAsia="en-IN"/>
          <w14:ligatures w14:val="none"/>
        </w:rPr>
        <w:t>compouds</w:t>
      </w:r>
      <w:proofErr w:type="spellEnd"/>
      <w:r>
        <w:rPr>
          <w:rFonts w:ascii="Times New Roman" w:eastAsia="Times New Roman" w:hAnsi="Times New Roman" w:cs="Times New Roman"/>
          <w:kern w:val="0"/>
          <w:lang w:eastAsia="en-IN"/>
          <w14:ligatures w14:val="none"/>
        </w:rPr>
        <w:t xml:space="preserve"> that are conserved across a wide range of taxa and unlikely to mutate due to functional constraints. The recognition of these molecules occurs at the cell surface through transmembrane pattern recognition receptors (PRRs), triggering a robust basal immune response referred to as pattern-triggered immunity (PTI). PTI is considered the foundational defense layer in plants and plays a vital role in preventing infection by non-adapted or weakly virulent pathogens (</w:t>
      </w:r>
      <w:r>
        <w:rPr>
          <w:rFonts w:ascii="Times New Roman" w:hAnsi="Times New Roman" w:cs="Times New Roman"/>
        </w:rPr>
        <w:t xml:space="preserve">Hou </w:t>
      </w:r>
      <w:r>
        <w:rPr>
          <w:rFonts w:ascii="Times New Roman" w:hAnsi="Times New Roman" w:cs="Times New Roman"/>
          <w:i/>
          <w:iCs/>
        </w:rPr>
        <w:t xml:space="preserve">et al., </w:t>
      </w:r>
      <w:r>
        <w:rPr>
          <w:rFonts w:ascii="Times New Roman" w:hAnsi="Times New Roman" w:cs="Times New Roman"/>
        </w:rPr>
        <w:t>2019)</w:t>
      </w:r>
      <w:r>
        <w:rPr>
          <w:rFonts w:ascii="Times New Roman" w:eastAsia="Times New Roman" w:hAnsi="Times New Roman" w:cs="Times New Roman"/>
          <w:kern w:val="0"/>
          <w:lang w:eastAsia="en-IN"/>
          <w14:ligatures w14:val="none"/>
        </w:rPr>
        <w:t>.</w:t>
      </w:r>
    </w:p>
    <w:p w14:paraId="52763B09" w14:textId="77777777" w:rsidR="000E1FB3" w:rsidRDefault="00124AB5">
      <w:pPr>
        <w:spacing w:after="0" w:line="360" w:lineRule="auto"/>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Pattern Recognition Receptors (PRRs)</w:t>
      </w:r>
    </w:p>
    <w:p w14:paraId="1CC3B8E4"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Numerous microbes associate with plants and establish complex interactions. PAMPs are conserved molecular structures derived from microbes, which are sensed by plant cell surface-localized PRRs to trigger an immune response and prevent microbial infection (Ausubel, </w:t>
      </w:r>
      <w:hyperlink r:id="rId7" w:history="1">
        <w:r w:rsidR="000E1FB3">
          <w:rPr>
            <w:rStyle w:val="Hyperlink"/>
            <w:rFonts w:ascii="Times New Roman" w:eastAsia="Times New Roman" w:hAnsi="Times New Roman" w:cs="Times New Roman"/>
            <w:color w:val="auto"/>
            <w:kern w:val="0"/>
            <w:u w:val="none"/>
            <w:lang w:eastAsia="en-IN"/>
            <w14:ligatures w14:val="none"/>
          </w:rPr>
          <w:t>2005</w:t>
        </w:r>
      </w:hyperlink>
      <w:r>
        <w:rPr>
          <w:rFonts w:ascii="Times New Roman" w:eastAsia="Times New Roman" w:hAnsi="Times New Roman" w:cs="Times New Roman"/>
          <w:kern w:val="0"/>
          <w:u w:val="single"/>
          <w:lang w:eastAsia="en-IN"/>
          <w14:ligatures w14:val="none"/>
        </w:rPr>
        <w:t>;</w:t>
      </w:r>
      <w:r>
        <w:rPr>
          <w:rFonts w:ascii="Times New Roman" w:eastAsia="Times New Roman" w:hAnsi="Times New Roman" w:cs="Times New Roman"/>
          <w:kern w:val="0"/>
          <w:lang w:eastAsia="en-IN"/>
          <w14:ligatures w14:val="none"/>
        </w:rPr>
        <w:t xml:space="preserve"> </w:t>
      </w:r>
      <w:proofErr w:type="spellStart"/>
      <w:r>
        <w:rPr>
          <w:rFonts w:ascii="Times New Roman" w:eastAsia="Times New Roman" w:hAnsi="Times New Roman" w:cs="Times New Roman"/>
          <w:kern w:val="0"/>
          <w:lang w:eastAsia="en-IN"/>
          <w14:ligatures w14:val="none"/>
        </w:rPr>
        <w:t>Bittel</w:t>
      </w:r>
      <w:proofErr w:type="spellEnd"/>
      <w:r>
        <w:rPr>
          <w:rFonts w:ascii="Times New Roman" w:eastAsia="Times New Roman" w:hAnsi="Times New Roman" w:cs="Times New Roman"/>
          <w:kern w:val="0"/>
          <w:lang w:eastAsia="en-IN"/>
          <w14:ligatures w14:val="none"/>
        </w:rPr>
        <w:t xml:space="preserve"> and </w:t>
      </w:r>
      <w:proofErr w:type="spellStart"/>
      <w:r>
        <w:rPr>
          <w:rFonts w:ascii="Times New Roman" w:eastAsia="Times New Roman" w:hAnsi="Times New Roman" w:cs="Times New Roman"/>
          <w:kern w:val="0"/>
          <w:lang w:eastAsia="en-IN"/>
          <w14:ligatures w14:val="none"/>
        </w:rPr>
        <w:t>Robatzek</w:t>
      </w:r>
      <w:proofErr w:type="spellEnd"/>
      <w:r>
        <w:rPr>
          <w:rFonts w:ascii="Times New Roman" w:eastAsia="Times New Roman" w:hAnsi="Times New Roman" w:cs="Times New Roman"/>
          <w:kern w:val="0"/>
          <w:lang w:eastAsia="en-IN"/>
          <w14:ligatures w14:val="none"/>
        </w:rPr>
        <w:t>,  </w:t>
      </w:r>
      <w:hyperlink r:id="rId8" w:history="1">
        <w:r w:rsidR="000E1FB3">
          <w:rPr>
            <w:rStyle w:val="Hyperlink"/>
            <w:rFonts w:ascii="Times New Roman" w:eastAsia="Times New Roman" w:hAnsi="Times New Roman" w:cs="Times New Roman"/>
            <w:color w:val="auto"/>
            <w:kern w:val="0"/>
            <w:u w:val="none"/>
            <w:lang w:eastAsia="en-IN"/>
            <w14:ligatures w14:val="none"/>
          </w:rPr>
          <w:t>2007</w:t>
        </w:r>
      </w:hyperlink>
      <w:r>
        <w:rPr>
          <w:rFonts w:ascii="Times New Roman" w:eastAsia="Times New Roman" w:hAnsi="Times New Roman" w:cs="Times New Roman"/>
          <w:kern w:val="0"/>
          <w:lang w:eastAsia="en-IN"/>
          <w14:ligatures w14:val="none"/>
        </w:rPr>
        <w:t xml:space="preserve">; </w:t>
      </w:r>
      <w:proofErr w:type="spellStart"/>
      <w:r>
        <w:rPr>
          <w:rFonts w:ascii="Times New Roman" w:eastAsia="Times New Roman" w:hAnsi="Times New Roman" w:cs="Times New Roman"/>
          <w:kern w:val="0"/>
          <w:lang w:eastAsia="en-IN"/>
          <w14:ligatures w14:val="none"/>
        </w:rPr>
        <w:t>Boller</w:t>
      </w:r>
      <w:proofErr w:type="spellEnd"/>
      <w:r>
        <w:rPr>
          <w:rFonts w:ascii="Times New Roman" w:eastAsia="Times New Roman" w:hAnsi="Times New Roman" w:cs="Times New Roman"/>
          <w:kern w:val="0"/>
          <w:lang w:eastAsia="en-IN"/>
          <w14:ligatures w14:val="none"/>
        </w:rPr>
        <w:t xml:space="preserve"> and Felix, </w:t>
      </w:r>
      <w:hyperlink r:id="rId9" w:history="1">
        <w:r w:rsidR="000E1FB3">
          <w:rPr>
            <w:rStyle w:val="Hyperlink"/>
            <w:rFonts w:ascii="Times New Roman" w:eastAsia="Times New Roman" w:hAnsi="Times New Roman" w:cs="Times New Roman"/>
            <w:color w:val="auto"/>
            <w:kern w:val="0"/>
            <w:u w:val="none"/>
            <w:lang w:eastAsia="en-IN"/>
            <w14:ligatures w14:val="none"/>
          </w:rPr>
          <w:t>2009</w:t>
        </w:r>
      </w:hyperlink>
      <w:r>
        <w:rPr>
          <w:rFonts w:ascii="Times New Roman" w:eastAsia="Times New Roman" w:hAnsi="Times New Roman" w:cs="Times New Roman"/>
          <w:kern w:val="0"/>
          <w:lang w:eastAsia="en-IN"/>
          <w14:ligatures w14:val="none"/>
        </w:rPr>
        <w:t>; Zipfel, </w:t>
      </w:r>
      <w:hyperlink r:id="rId10" w:history="1">
        <w:r w:rsidR="000E1FB3">
          <w:rPr>
            <w:rStyle w:val="Hyperlink"/>
            <w:rFonts w:ascii="Times New Roman" w:eastAsia="Times New Roman" w:hAnsi="Times New Roman" w:cs="Times New Roman"/>
            <w:color w:val="auto"/>
            <w:kern w:val="0"/>
            <w:u w:val="none"/>
            <w:lang w:eastAsia="en-IN"/>
            <w14:ligatures w14:val="none"/>
          </w:rPr>
          <w:t>2009</w:t>
        </w:r>
      </w:hyperlink>
      <w:r>
        <w:rPr>
          <w:rFonts w:ascii="Times New Roman" w:eastAsia="Times New Roman" w:hAnsi="Times New Roman" w:cs="Times New Roman"/>
          <w:kern w:val="0"/>
          <w:lang w:eastAsia="en-IN"/>
          <w14:ligatures w14:val="none"/>
        </w:rPr>
        <w:t>; Sun </w:t>
      </w:r>
      <w:r>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w:t>
      </w:r>
      <w:hyperlink r:id="rId11" w:history="1">
        <w:r w:rsidR="000E1FB3">
          <w:rPr>
            <w:rStyle w:val="Hyperlink"/>
            <w:rFonts w:ascii="Times New Roman" w:eastAsia="Times New Roman" w:hAnsi="Times New Roman" w:cs="Times New Roman"/>
            <w:color w:val="auto"/>
            <w:kern w:val="0"/>
            <w:u w:val="none"/>
            <w:lang w:eastAsia="en-IN"/>
            <w14:ligatures w14:val="none"/>
          </w:rPr>
          <w:t>2017</w:t>
        </w:r>
      </w:hyperlink>
      <w:r>
        <w:rPr>
          <w:rFonts w:ascii="Times New Roman" w:eastAsia="Times New Roman" w:hAnsi="Times New Roman" w:cs="Times New Roman"/>
          <w:kern w:val="0"/>
          <w:lang w:eastAsia="en-IN"/>
          <w14:ligatures w14:val="none"/>
        </w:rPr>
        <w:t>). PRRs are typically divided into two main structural categories: receptor-like kinases (RLKs) and receptor-like proteins (RLPs). RLKs possess an extracellular domain for binding of ligand, a transmembrane domain, and an intracellular threonine/serine kinase domain required for downstream signaling. One of the best-characterized PRRs is FLS2 (Flagellin Sensing 2), an RLK that recognizes a conserved 22-amino acid epitope of bacterial flagellin known as flg22. Another well-known PRR is EFR (EF-Tu Receptor), which detects the elf18 epitope of elongation factor-Tu, another bacterial protein. In fungal interactions, CERK1 (Chitin Elicitor Receptor Kinase 1) plays a central role in detecting chitin, a key component of fungal cell walls. These PRRs can detect PAMPs at nanomolar concentrations, enabling plants to mount a rapid immune response (</w:t>
      </w:r>
      <w:r>
        <w:rPr>
          <w:rFonts w:ascii="Times New Roman" w:hAnsi="Times New Roman" w:cs="Times New Roman"/>
        </w:rPr>
        <w:t>Fröhlich, K., 2020)</w:t>
      </w:r>
      <w:r>
        <w:rPr>
          <w:rFonts w:ascii="Times New Roman" w:eastAsia="Times New Roman" w:hAnsi="Times New Roman" w:cs="Times New Roman"/>
          <w:kern w:val="0"/>
          <w:lang w:eastAsia="en-IN"/>
          <w14:ligatures w14:val="none"/>
        </w:rPr>
        <w:t>.</w:t>
      </w:r>
    </w:p>
    <w:p w14:paraId="1B98B688" w14:textId="77777777" w:rsidR="000E1FB3" w:rsidRDefault="00124AB5">
      <w:pPr>
        <w:spacing w:before="100" w:beforeAutospacing="1"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many cases, pattern recognition receptors (PRRs) do not perform function alone but instead rely on co-receptors to achieve full signaling competence. A well-known example is BAK1 (BRI1-Associated Receptor Kinase 1), which forms ligand-induced complexes with surface-localized PRRs such as FLS2 and EFR upon perception of their respective PAMPs, flg22 and elf18 (Roux, 2010; Yu </w:t>
      </w:r>
      <w:r>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2021). BAK1 is not limited to immunity alone; it also plays crucial roles in developmental processes, underscoring the multifunctionality of certain signaling components. Another key co-receptor, SOBIR1 (Suppressor of BIR1-1), is essential for the activation of receptor-like proteins (RLPs), which lack intracellular kinase domains. For instance, SOBIR1 is required for the signaling activity of RLP42, a receptor involved in recognizing fungal endopolygalacturonases and initiating downstream immune responses (Gust &amp; Felix, 2014).</w:t>
      </w:r>
    </w:p>
    <w:p w14:paraId="4C9F3F9F"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PAMPs: Diverse Triggers of Defense</w:t>
      </w:r>
    </w:p>
    <w:p w14:paraId="145883CA"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PAMPs encompass a wide range of molecular structures that include proteins, carbohydrates and lipopolysaccharides. These molecules must meet certain criteria: which are highly conserved across a broad group of microbes, essential for microbial fitness, and absent in host plants. These are key traits which make them ideal molecules for the plant immune system to target, as pathogens cannot easily mutate them without incurring a fitness cost.</w:t>
      </w:r>
    </w:p>
    <w:p w14:paraId="22C4ABBC" w14:textId="77777777" w:rsidR="000E1FB3" w:rsidRDefault="000E1FB3">
      <w:pPr>
        <w:spacing w:after="0" w:line="360" w:lineRule="auto"/>
        <w:ind w:firstLine="720"/>
        <w:jc w:val="both"/>
        <w:rPr>
          <w:rFonts w:ascii="Times New Roman" w:eastAsia="Times New Roman" w:hAnsi="Times New Roman" w:cs="Times New Roman"/>
          <w:kern w:val="0"/>
          <w:lang w:eastAsia="en-IN"/>
          <w14:ligatures w14:val="none"/>
        </w:rPr>
      </w:pPr>
    </w:p>
    <w:p w14:paraId="6DFD0C7B"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Examples of bacterial PAMPs include:</w:t>
      </w:r>
      <w:r>
        <w:rPr>
          <w:rFonts w:ascii="Times New Roman" w:eastAsia="Times New Roman" w:hAnsi="Times New Roman" w:cs="Times New Roman"/>
          <w:kern w:val="0"/>
          <w:lang w:eastAsia="en-IN"/>
          <w14:ligatures w14:val="none"/>
        </w:rPr>
        <w:t xml:space="preserve"> </w:t>
      </w:r>
    </w:p>
    <w:p w14:paraId="1FD4CBF0" w14:textId="703B4F1F"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Flagellin (flg22) detected by FLS2, EF-Tu (elf18) detected by EFR and Cold shock proteins (csp22) recognized by CORE in tomato (</w:t>
      </w:r>
      <w:r>
        <w:rPr>
          <w:rFonts w:ascii="Times New Roman" w:hAnsi="Times New Roman" w:cs="Times New Roman"/>
          <w:color w:val="222222"/>
          <w:shd w:val="clear" w:color="auto" w:fill="FFFFFF"/>
        </w:rPr>
        <w:t>Wang, 2018). </w:t>
      </w:r>
      <w:r>
        <w:rPr>
          <w:rFonts w:ascii="Times New Roman" w:eastAsia="Times New Roman" w:hAnsi="Times New Roman" w:cs="Times New Roman"/>
          <w:kern w:val="0"/>
          <w:lang w:eastAsia="en-IN"/>
          <w14:ligatures w14:val="none"/>
        </w:rPr>
        <w:t xml:space="preserve">Fungal and oomycete PAMPs include: Chitin fragments recognized by CERK,1 β-glucans recognized by yet-unidentified receptors and necrosis and ethylene-inducing peptide 1-like proteins (NLPs) recognized by RLP23 in </w:t>
      </w:r>
      <w:r>
        <w:rPr>
          <w:rFonts w:ascii="Times New Roman" w:eastAsia="Times New Roman" w:hAnsi="Times New Roman" w:cs="Times New Roman"/>
          <w:i/>
          <w:iCs/>
          <w:kern w:val="0"/>
          <w:lang w:eastAsia="en-IN"/>
          <w14:ligatures w14:val="none"/>
        </w:rPr>
        <w:t xml:space="preserve">Arabidopsis </w:t>
      </w:r>
      <w:r>
        <w:rPr>
          <w:rFonts w:ascii="Times New Roman" w:eastAsia="Times New Roman" w:hAnsi="Times New Roman" w:cs="Times New Roman"/>
          <w:kern w:val="0"/>
          <w:lang w:eastAsia="en-IN"/>
          <w14:ligatures w14:val="none"/>
        </w:rPr>
        <w:t>(</w:t>
      </w:r>
      <w:proofErr w:type="spellStart"/>
      <w:r>
        <w:rPr>
          <w:rFonts w:ascii="Times New Roman" w:eastAsia="Times New Roman" w:hAnsi="Times New Roman" w:cs="Times New Roman"/>
          <w:kern w:val="0"/>
          <w:lang w:eastAsia="en-IN"/>
          <w14:ligatures w14:val="none"/>
        </w:rPr>
        <w:t>Wang'ombe</w:t>
      </w:r>
      <w:proofErr w:type="spellEnd"/>
      <w:r>
        <w:rPr>
          <w:rFonts w:ascii="Times New Roman" w:eastAsia="Times New Roman" w:hAnsi="Times New Roman" w:cs="Times New Roman"/>
          <w:kern w:val="0"/>
          <w:lang w:eastAsia="en-IN"/>
          <w14:ligatures w14:val="none"/>
        </w:rPr>
        <w:t>, 2019).</w:t>
      </w:r>
      <w:r>
        <w:rPr>
          <w:rFonts w:ascii="Times New Roman" w:eastAsia="Times New Roman" w:hAnsi="Times New Roman" w:cs="Times New Roman"/>
          <w:i/>
          <w:iCs/>
          <w:kern w:val="0"/>
          <w:lang w:eastAsia="en-IN"/>
          <w14:ligatures w14:val="none"/>
        </w:rPr>
        <w:t> </w:t>
      </w:r>
      <w:r>
        <w:rPr>
          <w:rFonts w:ascii="Times New Roman" w:eastAsia="Times New Roman" w:hAnsi="Times New Roman" w:cs="Times New Roman"/>
          <w:kern w:val="0"/>
          <w:lang w:eastAsia="en-IN"/>
          <w14:ligatures w14:val="none"/>
        </w:rPr>
        <w:t xml:space="preserve"> Fungal and oomycete PAMPs include: Chitin fragments recognized by CERK,1 β-glucans recognized by yet-unidentified receptors and necrosis and ethylene-inducing peptide 1-like proteins (NLPs) recognized by RLP23 in </w:t>
      </w:r>
      <w:r>
        <w:rPr>
          <w:rFonts w:ascii="Times New Roman" w:eastAsia="Times New Roman" w:hAnsi="Times New Roman" w:cs="Times New Roman"/>
          <w:i/>
          <w:iCs/>
          <w:kern w:val="0"/>
          <w:lang w:eastAsia="en-IN"/>
          <w14:ligatures w14:val="none"/>
        </w:rPr>
        <w:t xml:space="preserve">Arabidopsis </w:t>
      </w:r>
      <w:r>
        <w:rPr>
          <w:rFonts w:ascii="Times New Roman" w:eastAsia="Times New Roman" w:hAnsi="Times New Roman" w:cs="Times New Roman"/>
          <w:kern w:val="0"/>
          <w:lang w:eastAsia="en-IN"/>
          <w14:ligatures w14:val="none"/>
        </w:rPr>
        <w:t>(</w:t>
      </w:r>
      <w:proofErr w:type="spellStart"/>
      <w:r>
        <w:rPr>
          <w:rFonts w:ascii="Times New Roman" w:eastAsia="Times New Roman" w:hAnsi="Times New Roman" w:cs="Times New Roman"/>
          <w:kern w:val="0"/>
          <w:lang w:eastAsia="en-IN"/>
          <w14:ligatures w14:val="none"/>
        </w:rPr>
        <w:t>Wang'ombe</w:t>
      </w:r>
      <w:proofErr w:type="spellEnd"/>
      <w:r>
        <w:rPr>
          <w:rFonts w:ascii="Times New Roman" w:eastAsia="Times New Roman" w:hAnsi="Times New Roman" w:cs="Times New Roman"/>
          <w:kern w:val="0"/>
          <w:lang w:eastAsia="en-IN"/>
          <w14:ligatures w14:val="none"/>
        </w:rPr>
        <w:t>, M. W. 2019).</w:t>
      </w:r>
      <w:r>
        <w:rPr>
          <w:rFonts w:ascii="Times New Roman" w:eastAsia="Times New Roman" w:hAnsi="Times New Roman" w:cs="Times New Roman"/>
          <w:i/>
          <w:iCs/>
          <w:kern w:val="0"/>
          <w:lang w:eastAsia="en-IN"/>
          <w14:ligatures w14:val="none"/>
        </w:rPr>
        <w:t> </w:t>
      </w:r>
      <w:r>
        <w:rPr>
          <w:rFonts w:ascii="Times New Roman" w:eastAsia="Times New Roman" w:hAnsi="Times New Roman" w:cs="Times New Roman"/>
          <w:kern w:val="0"/>
          <w:lang w:eastAsia="en-IN"/>
          <w14:ligatures w14:val="none"/>
        </w:rPr>
        <w:t xml:space="preserve"> An example of bacteria flagellin and the chitin fragment is shown in the figure is show in the Fig. 1</w:t>
      </w:r>
      <w:r w:rsidR="00B13DEF">
        <w:rPr>
          <w:rFonts w:ascii="Times New Roman" w:eastAsia="Times New Roman" w:hAnsi="Times New Roman" w:cs="Times New Roman"/>
          <w:kern w:val="0"/>
          <w:lang w:eastAsia="en-IN"/>
          <w14:ligatures w14:val="none"/>
        </w:rPr>
        <w:t>.</w:t>
      </w:r>
      <w:r w:rsidR="00B13DEF" w:rsidRPr="00B13DEF">
        <w:t xml:space="preserve"> </w:t>
      </w:r>
      <w:r w:rsidR="00B13DEF" w:rsidRPr="00B13DEF">
        <w:rPr>
          <w:rFonts w:ascii="Times New Roman" w:eastAsia="Times New Roman" w:hAnsi="Times New Roman" w:cs="Times New Roman"/>
          <w:kern w:val="0"/>
          <w:lang w:eastAsia="en-IN"/>
          <w14:ligatures w14:val="none"/>
        </w:rPr>
        <w:t>while a broader list of PAMPs and their corresponding receptors is summarized in Table 1.</w:t>
      </w:r>
    </w:p>
    <w:p w14:paraId="41A07667"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drawing>
          <wp:inline distT="0" distB="0" distL="0" distR="0" wp14:anchorId="05A363D1" wp14:editId="68390098">
            <wp:extent cx="5623560" cy="2419985"/>
            <wp:effectExtent l="0" t="0" r="0" b="0"/>
            <wp:docPr id="184921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9159" name="Picture 1"/>
                    <pic:cNvPicPr>
                      <a:picLocks noChangeAspect="1"/>
                    </pic:cNvPicPr>
                  </pic:nvPicPr>
                  <pic:blipFill>
                    <a:blip r:embed="rId12" cstate="print">
                      <a:extLst>
                        <a:ext uri="{28A0092B-C50C-407E-A947-70E740481C1C}">
                          <a14:useLocalDpi xmlns:a14="http://schemas.microsoft.com/office/drawing/2010/main" val="0"/>
                        </a:ext>
                      </a:extLst>
                    </a:blip>
                    <a:srcRect t="20365"/>
                    <a:stretch>
                      <a:fillRect/>
                    </a:stretch>
                  </pic:blipFill>
                  <pic:spPr>
                    <a:xfrm>
                      <a:off x="0" y="0"/>
                      <a:ext cx="5642422" cy="2428699"/>
                    </a:xfrm>
                    <a:prstGeom prst="rect">
                      <a:avLst/>
                    </a:prstGeom>
                    <a:ln>
                      <a:noFill/>
                    </a:ln>
                  </pic:spPr>
                </pic:pic>
              </a:graphicData>
            </a:graphic>
          </wp:inline>
        </w:drawing>
      </w:r>
    </w:p>
    <w:p w14:paraId="43EB1A72" w14:textId="5439CD54" w:rsidR="000E1FB3" w:rsidRDefault="00124AB5">
      <w:pPr>
        <w:jc w:val="both"/>
        <w:rPr>
          <w:rFonts w:ascii="Times New Roman" w:hAnsi="Times New Roman" w:cs="Times New Roman"/>
        </w:rPr>
      </w:pPr>
      <w:r>
        <w:rPr>
          <w:rFonts w:ascii="Times New Roman" w:hAnsi="Times New Roman" w:cs="Times New Roman"/>
        </w:rPr>
        <w:t>Fig 1: Examples for PAMPs and their receptors (A) Flg22</w:t>
      </w:r>
      <w:r w:rsidR="00B13DEF">
        <w:rPr>
          <w:rFonts w:ascii="Times New Roman" w:hAnsi="Times New Roman" w:cs="Times New Roman"/>
        </w:rPr>
        <w:t xml:space="preserve"> </w:t>
      </w:r>
      <w:r>
        <w:rPr>
          <w:rFonts w:ascii="Times New Roman" w:hAnsi="Times New Roman" w:cs="Times New Roman"/>
        </w:rPr>
        <w:t xml:space="preserve">(Flagellin 22) from bacteria flagellin. (B) Cho’s (chitin oligosaccharides) from fungi </w:t>
      </w:r>
    </w:p>
    <w:p w14:paraId="79996667" w14:textId="0E9DF6BE" w:rsidR="00B13DEF" w:rsidRPr="00B13DEF" w:rsidRDefault="00B13DEF">
      <w:pPr>
        <w:jc w:val="both"/>
        <w:rPr>
          <w:rFonts w:ascii="Times New Roman" w:hAnsi="Times New Roman" w:cs="Times New Roman"/>
          <w:b/>
          <w:bCs/>
        </w:rPr>
      </w:pPr>
      <w:r w:rsidRPr="00B13DEF">
        <w:rPr>
          <w:rFonts w:ascii="Times New Roman" w:hAnsi="Times New Roman" w:cs="Times New Roman"/>
          <w:b/>
          <w:bCs/>
        </w:rPr>
        <w:t>Table 1. Major PAMPs and Their Recognized PRRs in Plants</w:t>
      </w:r>
    </w:p>
    <w:tbl>
      <w:tblPr>
        <w:tblStyle w:val="TableGrid"/>
        <w:tblW w:w="0" w:type="auto"/>
        <w:tblLook w:val="04A0" w:firstRow="1" w:lastRow="0" w:firstColumn="1" w:lastColumn="0" w:noHBand="0" w:noVBand="1"/>
      </w:tblPr>
      <w:tblGrid>
        <w:gridCol w:w="1923"/>
        <w:gridCol w:w="2098"/>
        <w:gridCol w:w="1804"/>
        <w:gridCol w:w="1641"/>
        <w:gridCol w:w="1550"/>
      </w:tblGrid>
      <w:tr w:rsidR="00B13DEF" w:rsidRPr="00B13DEF" w14:paraId="52A35502" w14:textId="77777777" w:rsidTr="00B13DEF">
        <w:tc>
          <w:tcPr>
            <w:tcW w:w="0" w:type="auto"/>
            <w:vAlign w:val="center"/>
            <w:hideMark/>
          </w:tcPr>
          <w:p w14:paraId="378E9172" w14:textId="77777777" w:rsidR="00B13DEF" w:rsidRPr="00B13DEF" w:rsidRDefault="00B13DEF" w:rsidP="00B13DEF">
            <w:pPr>
              <w:spacing w:after="0" w:line="240" w:lineRule="auto"/>
              <w:jc w:val="center"/>
              <w:rPr>
                <w:rFonts w:ascii="Times New Roman" w:hAnsi="Times New Roman" w:cs="Times New Roman"/>
                <w:b/>
                <w:bCs/>
              </w:rPr>
            </w:pPr>
            <w:r w:rsidRPr="00B13DEF">
              <w:rPr>
                <w:rFonts w:ascii="Times New Roman" w:hAnsi="Times New Roman" w:cs="Times New Roman"/>
                <w:b/>
                <w:bCs/>
              </w:rPr>
              <w:t>Pathogen type</w:t>
            </w:r>
          </w:p>
        </w:tc>
        <w:tc>
          <w:tcPr>
            <w:tcW w:w="0" w:type="auto"/>
            <w:vAlign w:val="center"/>
            <w:hideMark/>
          </w:tcPr>
          <w:p w14:paraId="736EA445" w14:textId="77777777" w:rsidR="00B13DEF" w:rsidRPr="00B13DEF" w:rsidRDefault="00B13DEF" w:rsidP="00B13DEF">
            <w:pPr>
              <w:spacing w:after="0" w:line="240" w:lineRule="auto"/>
              <w:jc w:val="center"/>
              <w:rPr>
                <w:rFonts w:ascii="Times New Roman" w:hAnsi="Times New Roman" w:cs="Times New Roman"/>
                <w:b/>
                <w:bCs/>
              </w:rPr>
            </w:pPr>
            <w:r w:rsidRPr="00B13DEF">
              <w:rPr>
                <w:rFonts w:ascii="Times New Roman" w:hAnsi="Times New Roman" w:cs="Times New Roman"/>
                <w:b/>
                <w:bCs/>
              </w:rPr>
              <w:t>PAMP/MAMP molecule</w:t>
            </w:r>
          </w:p>
        </w:tc>
        <w:tc>
          <w:tcPr>
            <w:tcW w:w="0" w:type="auto"/>
            <w:vAlign w:val="center"/>
            <w:hideMark/>
          </w:tcPr>
          <w:p w14:paraId="76A0CD72" w14:textId="77777777" w:rsidR="00B13DEF" w:rsidRPr="00B13DEF" w:rsidRDefault="00B13DEF" w:rsidP="00B13DEF">
            <w:pPr>
              <w:spacing w:after="0" w:line="240" w:lineRule="auto"/>
              <w:jc w:val="center"/>
              <w:rPr>
                <w:rFonts w:ascii="Times New Roman" w:hAnsi="Times New Roman" w:cs="Times New Roman"/>
                <w:b/>
                <w:bCs/>
              </w:rPr>
            </w:pPr>
            <w:r w:rsidRPr="00B13DEF">
              <w:rPr>
                <w:rFonts w:ascii="Times New Roman" w:hAnsi="Times New Roman" w:cs="Times New Roman"/>
                <w:b/>
                <w:bCs/>
              </w:rPr>
              <w:t>Recognized PRR (plant)</w:t>
            </w:r>
          </w:p>
        </w:tc>
        <w:tc>
          <w:tcPr>
            <w:tcW w:w="0" w:type="auto"/>
            <w:vAlign w:val="center"/>
            <w:hideMark/>
          </w:tcPr>
          <w:p w14:paraId="11F67B4A" w14:textId="77777777" w:rsidR="00B13DEF" w:rsidRPr="00B13DEF" w:rsidRDefault="00B13DEF" w:rsidP="00B13DEF">
            <w:pPr>
              <w:spacing w:after="0" w:line="240" w:lineRule="auto"/>
              <w:jc w:val="center"/>
              <w:rPr>
                <w:rFonts w:ascii="Times New Roman" w:hAnsi="Times New Roman" w:cs="Times New Roman"/>
                <w:b/>
                <w:bCs/>
              </w:rPr>
            </w:pPr>
            <w:r w:rsidRPr="00B13DEF">
              <w:rPr>
                <w:rFonts w:ascii="Times New Roman" w:hAnsi="Times New Roman" w:cs="Times New Roman"/>
                <w:b/>
                <w:bCs/>
              </w:rPr>
              <w:t>Model plant example</w:t>
            </w:r>
          </w:p>
        </w:tc>
        <w:tc>
          <w:tcPr>
            <w:tcW w:w="0" w:type="auto"/>
            <w:vAlign w:val="center"/>
            <w:hideMark/>
          </w:tcPr>
          <w:p w14:paraId="37E47683" w14:textId="77777777" w:rsidR="00B13DEF" w:rsidRPr="00B13DEF" w:rsidRDefault="00B13DEF" w:rsidP="00B13DEF">
            <w:pPr>
              <w:spacing w:after="0" w:line="240" w:lineRule="auto"/>
              <w:jc w:val="center"/>
              <w:rPr>
                <w:rFonts w:ascii="Times New Roman" w:hAnsi="Times New Roman" w:cs="Times New Roman"/>
                <w:b/>
                <w:bCs/>
              </w:rPr>
            </w:pPr>
            <w:r w:rsidRPr="00B13DEF">
              <w:rPr>
                <w:rFonts w:ascii="Times New Roman" w:hAnsi="Times New Roman" w:cs="Times New Roman"/>
                <w:b/>
                <w:bCs/>
              </w:rPr>
              <w:t>Reference</w:t>
            </w:r>
          </w:p>
        </w:tc>
      </w:tr>
      <w:tr w:rsidR="00B13DEF" w:rsidRPr="00B13DEF" w14:paraId="36CDDAF3" w14:textId="77777777" w:rsidTr="00B13DEF">
        <w:tc>
          <w:tcPr>
            <w:tcW w:w="0" w:type="auto"/>
            <w:vAlign w:val="center"/>
            <w:hideMark/>
          </w:tcPr>
          <w:p w14:paraId="5F010A43"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Bacteria</w:t>
            </w:r>
          </w:p>
        </w:tc>
        <w:tc>
          <w:tcPr>
            <w:tcW w:w="0" w:type="auto"/>
            <w:vAlign w:val="center"/>
            <w:hideMark/>
          </w:tcPr>
          <w:p w14:paraId="45F392B1"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Flagellin (flg22)</w:t>
            </w:r>
          </w:p>
        </w:tc>
        <w:tc>
          <w:tcPr>
            <w:tcW w:w="0" w:type="auto"/>
            <w:vAlign w:val="center"/>
            <w:hideMark/>
          </w:tcPr>
          <w:p w14:paraId="2C4F6EC9"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FLS2 (LRR-RLK)</w:t>
            </w:r>
          </w:p>
        </w:tc>
        <w:tc>
          <w:tcPr>
            <w:tcW w:w="0" w:type="auto"/>
            <w:vAlign w:val="center"/>
            <w:hideMark/>
          </w:tcPr>
          <w:p w14:paraId="7E59F0BA"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i/>
                <w:iCs/>
              </w:rPr>
              <w:t>Arabidopsis thaliana</w:t>
            </w:r>
          </w:p>
        </w:tc>
        <w:tc>
          <w:tcPr>
            <w:tcW w:w="0" w:type="auto"/>
            <w:vAlign w:val="center"/>
            <w:hideMark/>
          </w:tcPr>
          <w:p w14:paraId="5B751C5C" w14:textId="49F4A3A3" w:rsidR="00B13DEF" w:rsidRPr="00B13DEF" w:rsidRDefault="00527E47" w:rsidP="00B13DEF">
            <w:pPr>
              <w:spacing w:after="0" w:line="240" w:lineRule="auto"/>
              <w:jc w:val="center"/>
              <w:rPr>
                <w:rFonts w:ascii="Times New Roman" w:hAnsi="Times New Roman" w:cs="Times New Roman"/>
              </w:rPr>
            </w:pPr>
            <w:r>
              <w:rPr>
                <w:rFonts w:ascii="Times New Roman" w:hAnsi="Times New Roman" w:cs="Times New Roman"/>
                <w:color w:val="222222"/>
                <w:shd w:val="clear" w:color="auto" w:fill="FFFFFF"/>
              </w:rPr>
              <w:t>Wang, 2018</w:t>
            </w:r>
          </w:p>
        </w:tc>
      </w:tr>
      <w:tr w:rsidR="00B13DEF" w:rsidRPr="00B13DEF" w14:paraId="50C6CDE2" w14:textId="77777777" w:rsidTr="00B13DEF">
        <w:tc>
          <w:tcPr>
            <w:tcW w:w="0" w:type="auto"/>
            <w:vAlign w:val="center"/>
            <w:hideMark/>
          </w:tcPr>
          <w:p w14:paraId="12557AD7"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Bacteria</w:t>
            </w:r>
          </w:p>
        </w:tc>
        <w:tc>
          <w:tcPr>
            <w:tcW w:w="0" w:type="auto"/>
            <w:vAlign w:val="center"/>
            <w:hideMark/>
          </w:tcPr>
          <w:p w14:paraId="7456466B"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EF-Tu (elf18)</w:t>
            </w:r>
          </w:p>
        </w:tc>
        <w:tc>
          <w:tcPr>
            <w:tcW w:w="0" w:type="auto"/>
            <w:vAlign w:val="center"/>
            <w:hideMark/>
          </w:tcPr>
          <w:p w14:paraId="2CD87F8B"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EFR (LRR-RLK)</w:t>
            </w:r>
          </w:p>
        </w:tc>
        <w:tc>
          <w:tcPr>
            <w:tcW w:w="0" w:type="auto"/>
            <w:vAlign w:val="center"/>
            <w:hideMark/>
          </w:tcPr>
          <w:p w14:paraId="08A1B6F7"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i/>
                <w:iCs/>
              </w:rPr>
              <w:t>Arabidopsis thaliana</w:t>
            </w:r>
          </w:p>
        </w:tc>
        <w:tc>
          <w:tcPr>
            <w:tcW w:w="0" w:type="auto"/>
            <w:vAlign w:val="center"/>
            <w:hideMark/>
          </w:tcPr>
          <w:p w14:paraId="3EF4CF70" w14:textId="155299C9"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 xml:space="preserve">Zipfel et al., 2006 </w:t>
            </w:r>
          </w:p>
        </w:tc>
      </w:tr>
      <w:tr w:rsidR="00B13DEF" w:rsidRPr="00B13DEF" w14:paraId="18E652E1" w14:textId="77777777" w:rsidTr="00B13DEF">
        <w:tc>
          <w:tcPr>
            <w:tcW w:w="0" w:type="auto"/>
            <w:vAlign w:val="center"/>
            <w:hideMark/>
          </w:tcPr>
          <w:p w14:paraId="75D53AE7"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Fungi/Oomycetes</w:t>
            </w:r>
          </w:p>
        </w:tc>
        <w:tc>
          <w:tcPr>
            <w:tcW w:w="0" w:type="auto"/>
            <w:vAlign w:val="center"/>
            <w:hideMark/>
          </w:tcPr>
          <w:p w14:paraId="1041AE07"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Chitin fragments</w:t>
            </w:r>
          </w:p>
        </w:tc>
        <w:tc>
          <w:tcPr>
            <w:tcW w:w="0" w:type="auto"/>
            <w:vAlign w:val="center"/>
            <w:hideMark/>
          </w:tcPr>
          <w:p w14:paraId="42BDEAA1"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CERK1/LYK5 (</w:t>
            </w:r>
            <w:proofErr w:type="spellStart"/>
            <w:r w:rsidRPr="00B13DEF">
              <w:rPr>
                <w:rFonts w:ascii="Times New Roman" w:hAnsi="Times New Roman" w:cs="Times New Roman"/>
              </w:rPr>
              <w:t>LysM</w:t>
            </w:r>
            <w:proofErr w:type="spellEnd"/>
            <w:r w:rsidRPr="00B13DEF">
              <w:rPr>
                <w:rFonts w:ascii="Times New Roman" w:hAnsi="Times New Roman" w:cs="Times New Roman"/>
              </w:rPr>
              <w:t>-RLKs)</w:t>
            </w:r>
          </w:p>
        </w:tc>
        <w:tc>
          <w:tcPr>
            <w:tcW w:w="0" w:type="auto"/>
            <w:vAlign w:val="center"/>
            <w:hideMark/>
          </w:tcPr>
          <w:p w14:paraId="0ADF0326"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i/>
                <w:iCs/>
              </w:rPr>
              <w:t>Arabidopsis thaliana</w:t>
            </w:r>
            <w:r w:rsidRPr="00B13DEF">
              <w:rPr>
                <w:rFonts w:ascii="Times New Roman" w:hAnsi="Times New Roman" w:cs="Times New Roman"/>
              </w:rPr>
              <w:t xml:space="preserve">, </w:t>
            </w:r>
            <w:r w:rsidRPr="00B13DEF">
              <w:rPr>
                <w:rFonts w:ascii="Times New Roman" w:hAnsi="Times New Roman" w:cs="Times New Roman"/>
                <w:i/>
                <w:iCs/>
              </w:rPr>
              <w:t>Oryza sativa</w:t>
            </w:r>
          </w:p>
        </w:tc>
        <w:tc>
          <w:tcPr>
            <w:tcW w:w="0" w:type="auto"/>
            <w:vAlign w:val="center"/>
            <w:hideMark/>
          </w:tcPr>
          <w:p w14:paraId="2888886C" w14:textId="5A1FFFE2"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 xml:space="preserve">Miya et al., 2007 Shimizu et al., 2010 </w:t>
            </w:r>
          </w:p>
        </w:tc>
      </w:tr>
      <w:tr w:rsidR="00B13DEF" w:rsidRPr="00B13DEF" w14:paraId="776804DA" w14:textId="77777777" w:rsidTr="00B13DEF">
        <w:tc>
          <w:tcPr>
            <w:tcW w:w="0" w:type="auto"/>
            <w:vAlign w:val="center"/>
            <w:hideMark/>
          </w:tcPr>
          <w:p w14:paraId="57064BB1"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Fungi</w:t>
            </w:r>
          </w:p>
        </w:tc>
        <w:tc>
          <w:tcPr>
            <w:tcW w:w="0" w:type="auto"/>
            <w:vAlign w:val="center"/>
            <w:hideMark/>
          </w:tcPr>
          <w:p w14:paraId="2792A9DB"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β-glucans</w:t>
            </w:r>
          </w:p>
        </w:tc>
        <w:tc>
          <w:tcPr>
            <w:tcW w:w="0" w:type="auto"/>
            <w:vAlign w:val="center"/>
            <w:hideMark/>
          </w:tcPr>
          <w:p w14:paraId="408B0742"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DORN1 (LecRK-I.9)</w:t>
            </w:r>
          </w:p>
        </w:tc>
        <w:tc>
          <w:tcPr>
            <w:tcW w:w="0" w:type="auto"/>
            <w:vAlign w:val="center"/>
            <w:hideMark/>
          </w:tcPr>
          <w:p w14:paraId="30A23A81"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i/>
                <w:iCs/>
              </w:rPr>
              <w:t>Arabidopsis thaliana</w:t>
            </w:r>
          </w:p>
        </w:tc>
        <w:tc>
          <w:tcPr>
            <w:tcW w:w="0" w:type="auto"/>
            <w:vAlign w:val="center"/>
            <w:hideMark/>
          </w:tcPr>
          <w:p w14:paraId="5AAB444C" w14:textId="18A860DD" w:rsidR="00B13DEF" w:rsidRPr="00B13DEF" w:rsidRDefault="00B13DEF" w:rsidP="00B13DEF">
            <w:pPr>
              <w:spacing w:after="0" w:line="240" w:lineRule="auto"/>
              <w:jc w:val="center"/>
              <w:rPr>
                <w:rFonts w:ascii="Times New Roman" w:hAnsi="Times New Roman" w:cs="Times New Roman"/>
              </w:rPr>
            </w:pPr>
            <w:proofErr w:type="spellStart"/>
            <w:r w:rsidRPr="00B13DEF">
              <w:rPr>
                <w:rFonts w:ascii="Times New Roman" w:hAnsi="Times New Roman" w:cs="Times New Roman"/>
              </w:rPr>
              <w:t>Mélida</w:t>
            </w:r>
            <w:proofErr w:type="spellEnd"/>
            <w:r w:rsidRPr="00B13DEF">
              <w:rPr>
                <w:rFonts w:ascii="Times New Roman" w:hAnsi="Times New Roman" w:cs="Times New Roman"/>
              </w:rPr>
              <w:t xml:space="preserve"> et al., 2018 </w:t>
            </w:r>
          </w:p>
        </w:tc>
      </w:tr>
      <w:tr w:rsidR="00B13DEF" w:rsidRPr="00B13DEF" w14:paraId="6DD19C0D" w14:textId="77777777" w:rsidTr="00B13DEF">
        <w:tc>
          <w:tcPr>
            <w:tcW w:w="0" w:type="auto"/>
            <w:vAlign w:val="center"/>
            <w:hideMark/>
          </w:tcPr>
          <w:p w14:paraId="6C8F18F4"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Oomycetes</w:t>
            </w:r>
          </w:p>
        </w:tc>
        <w:tc>
          <w:tcPr>
            <w:tcW w:w="0" w:type="auto"/>
            <w:vAlign w:val="center"/>
            <w:hideMark/>
          </w:tcPr>
          <w:p w14:paraId="48BD28EC"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Necrosis and ethylene-inducing peptides (NLPs)</w:t>
            </w:r>
          </w:p>
        </w:tc>
        <w:tc>
          <w:tcPr>
            <w:tcW w:w="0" w:type="auto"/>
            <w:vAlign w:val="center"/>
            <w:hideMark/>
          </w:tcPr>
          <w:p w14:paraId="1BD7CF50"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RLP23</w:t>
            </w:r>
          </w:p>
        </w:tc>
        <w:tc>
          <w:tcPr>
            <w:tcW w:w="0" w:type="auto"/>
            <w:vAlign w:val="center"/>
            <w:hideMark/>
          </w:tcPr>
          <w:p w14:paraId="4138E0EA"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i/>
                <w:iCs/>
              </w:rPr>
              <w:t>Arabidopsis thaliana</w:t>
            </w:r>
          </w:p>
        </w:tc>
        <w:tc>
          <w:tcPr>
            <w:tcW w:w="0" w:type="auto"/>
            <w:vAlign w:val="center"/>
            <w:hideMark/>
          </w:tcPr>
          <w:p w14:paraId="3E195B55" w14:textId="24C4060F"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 xml:space="preserve">Albert et al., 2015 </w:t>
            </w:r>
          </w:p>
        </w:tc>
      </w:tr>
      <w:tr w:rsidR="00B13DEF" w:rsidRPr="00B13DEF" w14:paraId="776D86DE" w14:textId="77777777" w:rsidTr="00B13DEF">
        <w:tc>
          <w:tcPr>
            <w:tcW w:w="0" w:type="auto"/>
            <w:vAlign w:val="center"/>
            <w:hideMark/>
          </w:tcPr>
          <w:p w14:paraId="1D5C8633"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lastRenderedPageBreak/>
              <w:t>Viruses</w:t>
            </w:r>
          </w:p>
        </w:tc>
        <w:tc>
          <w:tcPr>
            <w:tcW w:w="0" w:type="auto"/>
            <w:vAlign w:val="center"/>
            <w:hideMark/>
          </w:tcPr>
          <w:p w14:paraId="01952687"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dsRNA</w:t>
            </w:r>
          </w:p>
        </w:tc>
        <w:tc>
          <w:tcPr>
            <w:tcW w:w="0" w:type="auto"/>
            <w:vAlign w:val="center"/>
            <w:hideMark/>
          </w:tcPr>
          <w:p w14:paraId="51F3ADE8"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rPr>
              <w:t>SERK1-associated receptors</w:t>
            </w:r>
          </w:p>
        </w:tc>
        <w:tc>
          <w:tcPr>
            <w:tcW w:w="0" w:type="auto"/>
            <w:vAlign w:val="center"/>
            <w:hideMark/>
          </w:tcPr>
          <w:p w14:paraId="0C638536" w14:textId="77777777" w:rsidR="00B13DEF" w:rsidRPr="00B13DEF" w:rsidRDefault="00B13DEF" w:rsidP="00B13DEF">
            <w:pPr>
              <w:spacing w:after="0" w:line="240" w:lineRule="auto"/>
              <w:jc w:val="center"/>
              <w:rPr>
                <w:rFonts w:ascii="Times New Roman" w:hAnsi="Times New Roman" w:cs="Times New Roman"/>
              </w:rPr>
            </w:pPr>
            <w:r w:rsidRPr="00B13DEF">
              <w:rPr>
                <w:rFonts w:ascii="Times New Roman" w:hAnsi="Times New Roman" w:cs="Times New Roman"/>
                <w:i/>
                <w:iCs/>
              </w:rPr>
              <w:t>Arabidopsis thaliana</w:t>
            </w:r>
          </w:p>
        </w:tc>
        <w:tc>
          <w:tcPr>
            <w:tcW w:w="0" w:type="auto"/>
            <w:vAlign w:val="center"/>
            <w:hideMark/>
          </w:tcPr>
          <w:p w14:paraId="60FA2515" w14:textId="10E249E7" w:rsidR="00B13DEF" w:rsidRPr="00B13DEF" w:rsidRDefault="00B13DEF" w:rsidP="00B13DEF">
            <w:pPr>
              <w:spacing w:after="0" w:line="240" w:lineRule="auto"/>
              <w:jc w:val="center"/>
              <w:rPr>
                <w:rFonts w:ascii="Times New Roman" w:hAnsi="Times New Roman" w:cs="Times New Roman"/>
              </w:rPr>
            </w:pPr>
            <w:proofErr w:type="spellStart"/>
            <w:r w:rsidRPr="00B13DEF">
              <w:rPr>
                <w:rFonts w:ascii="Times New Roman" w:hAnsi="Times New Roman" w:cs="Times New Roman"/>
              </w:rPr>
              <w:t>Niehl</w:t>
            </w:r>
            <w:proofErr w:type="spellEnd"/>
            <w:r w:rsidRPr="00B13DEF">
              <w:rPr>
                <w:rFonts w:ascii="Times New Roman" w:hAnsi="Times New Roman" w:cs="Times New Roman"/>
              </w:rPr>
              <w:t xml:space="preserve"> et al., 2016 </w:t>
            </w:r>
          </w:p>
        </w:tc>
      </w:tr>
    </w:tbl>
    <w:p w14:paraId="7756EEA7" w14:textId="77777777" w:rsidR="00B13DEF" w:rsidRDefault="00B13DEF">
      <w:pPr>
        <w:jc w:val="both"/>
        <w:rPr>
          <w:rFonts w:ascii="Times New Roman" w:hAnsi="Times New Roman" w:cs="Times New Roman"/>
        </w:rPr>
      </w:pPr>
    </w:p>
    <w:p w14:paraId="2D6256C4"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Early PTI Signaling Events</w:t>
      </w:r>
    </w:p>
    <w:p w14:paraId="1FDCFD38" w14:textId="1654A278" w:rsidR="000E1FB3" w:rsidRPr="004C1003" w:rsidRDefault="004C1003" w:rsidP="004C1003">
      <w:pPr>
        <w:spacing w:before="100" w:beforeAutospacing="1" w:after="100" w:afterAutospacing="1" w:line="360" w:lineRule="auto"/>
        <w:jc w:val="both"/>
        <w:outlineLvl w:val="2"/>
        <w:rPr>
          <w:rFonts w:ascii="Times New Roman" w:eastAsia="Times New Roman" w:hAnsi="Times New Roman" w:cs="Times New Roman"/>
          <w:kern w:val="0"/>
          <w:lang w:eastAsia="en-IN"/>
          <w14:ligatures w14:val="none"/>
        </w:rPr>
      </w:pPr>
      <w:r w:rsidRPr="004C1003">
        <w:rPr>
          <w:rFonts w:ascii="Times New Roman" w:eastAsia="Times New Roman" w:hAnsi="Times New Roman" w:cs="Times New Roman"/>
          <w:kern w:val="0"/>
          <w:lang w:eastAsia="en-IN"/>
          <w14:ligatures w14:val="none"/>
        </w:rPr>
        <w:t>When plants recognize PAMPs through their pattern recognition receptors (PRRs), these receptors rapidly change conformation and undergo phosphorylation, setting off intracellular signaling cascades. A key early step involves the activation of cytoplasmic kinases, particularly receptor-like cytoplasmic kinases (RLCKs) such as BIK1 (Botrytis-induced kinase 1). BIK1 interacts with the FLS2–BAK1 complex, where it becomes phosphorylated and, in turn, phosphorylates downstream targets. This process contributes to calcium influx and the generation of reactive oxygen species (ROS) (Macho &amp; Zipfel, 2014). Within just a few minutes of PRR activation, plants typically display several hallmark responses: an increase in cytosolic calcium mediated by channels such as cyclic nucleotide-gated channels (CNGCs); a rapid oxidative burst driven mainly by NADPH oxidases like RBOHD; and the activation of MAP kinase (MAPK) cascades, with MPK3, MPK6, and MPK4 being the most prominent (Demidchik &amp; Shabala, 2017).</w:t>
      </w:r>
      <w:r>
        <w:rPr>
          <w:rFonts w:ascii="Times New Roman" w:eastAsia="Times New Roman" w:hAnsi="Times New Roman" w:cs="Times New Roman"/>
          <w:kern w:val="0"/>
          <w:lang w:eastAsia="en-IN"/>
          <w14:ligatures w14:val="none"/>
        </w:rPr>
        <w:t xml:space="preserve"> </w:t>
      </w:r>
      <w:r w:rsidR="00124AB5" w:rsidRPr="004C1003">
        <w:rPr>
          <w:rFonts w:ascii="Times New Roman" w:eastAsia="Times New Roman" w:hAnsi="Times New Roman" w:cs="Times New Roman"/>
          <w:kern w:val="0"/>
          <w:lang w:eastAsia="en-IN"/>
          <w14:ligatures w14:val="none"/>
        </w:rPr>
        <w:t>Transcriptional Reprogramming and Defense Output</w:t>
      </w:r>
    </w:p>
    <w:p w14:paraId="2C2B1BE7" w14:textId="77777777" w:rsidR="00352093" w:rsidRPr="00352093" w:rsidRDefault="00352093" w:rsidP="00352093">
      <w:pPr>
        <w:spacing w:after="0" w:line="360" w:lineRule="auto"/>
        <w:ind w:firstLine="720"/>
        <w:jc w:val="both"/>
        <w:outlineLvl w:val="2"/>
        <w:rPr>
          <w:rFonts w:ascii="Times New Roman" w:eastAsia="Times New Roman" w:hAnsi="Times New Roman" w:cs="Times New Roman"/>
          <w:kern w:val="0"/>
          <w:lang w:eastAsia="en-IN"/>
          <w14:ligatures w14:val="none"/>
        </w:rPr>
      </w:pPr>
      <w:r w:rsidRPr="00352093">
        <w:rPr>
          <w:rFonts w:ascii="Times New Roman" w:eastAsia="Times New Roman" w:hAnsi="Times New Roman" w:cs="Times New Roman"/>
          <w:kern w:val="0"/>
          <w:lang w:eastAsia="en-IN"/>
          <w14:ligatures w14:val="none"/>
        </w:rPr>
        <w:t xml:space="preserve">One of the major outcomes of PTI activation is a broad reprogramming of the plant transcriptome. Following PAMP recognition, numerous genes are either upregulated or suppressed, many of which contribute directly to defense. These include genes that reinforce cell walls, for example those controlling callose deposition through enzymes such as PMR4. Others promote the synthesis of antimicrobial secondary metabolites, notably phytoalexins like camalexin, which help restrict pathogen spread. Defense-related proteins, including pathogenesis-related (PR) proteins, protease inhibitors, and chitinases, are also strongly induced as part of this immune response (Wang </w:t>
      </w:r>
      <w:r w:rsidRPr="00352093">
        <w:rPr>
          <w:rFonts w:ascii="Times New Roman" w:eastAsia="Times New Roman" w:hAnsi="Times New Roman" w:cs="Times New Roman"/>
          <w:i/>
          <w:iCs/>
          <w:kern w:val="0"/>
          <w:lang w:eastAsia="en-IN"/>
          <w14:ligatures w14:val="none"/>
        </w:rPr>
        <w:t>et al.,</w:t>
      </w:r>
      <w:r w:rsidRPr="00352093">
        <w:rPr>
          <w:rFonts w:ascii="Times New Roman" w:eastAsia="Times New Roman" w:hAnsi="Times New Roman" w:cs="Times New Roman"/>
          <w:kern w:val="0"/>
          <w:lang w:eastAsia="en-IN"/>
          <w14:ligatures w14:val="none"/>
        </w:rPr>
        <w:t xml:space="preserve"> 2021; Chen et al., 2024).</w:t>
      </w:r>
    </w:p>
    <w:p w14:paraId="0CDA4304" w14:textId="77777777" w:rsidR="00352093" w:rsidRDefault="00352093" w:rsidP="00352093">
      <w:pPr>
        <w:spacing w:after="0" w:line="360" w:lineRule="auto"/>
        <w:ind w:firstLine="720"/>
        <w:jc w:val="both"/>
        <w:outlineLvl w:val="2"/>
        <w:rPr>
          <w:rFonts w:ascii="Times New Roman" w:eastAsia="Times New Roman" w:hAnsi="Times New Roman" w:cs="Times New Roman"/>
          <w:kern w:val="0"/>
          <w:lang w:eastAsia="en-IN"/>
          <w14:ligatures w14:val="none"/>
        </w:rPr>
      </w:pPr>
      <w:r w:rsidRPr="00352093">
        <w:rPr>
          <w:rFonts w:ascii="Times New Roman" w:eastAsia="Times New Roman" w:hAnsi="Times New Roman" w:cs="Times New Roman"/>
          <w:kern w:val="0"/>
          <w:lang w:eastAsia="en-IN"/>
          <w14:ligatures w14:val="none"/>
        </w:rPr>
        <w:t xml:space="preserve">Transcription factors play a central role in coordinating these responses. Members of the WRKY family, such as WRKY22 and WRKY33, are particularly important for activating immune-related genes. TGA transcription factors, working together with NPR1 in the salicylic acid pathway, help establish systemic acquired resistance. Meanwhile, transcription factors from the MYB and ERF families regulate defense genes linked to jasmonic acid and ethylene signaling (Vidhyasekaran &amp; Vidhyasekaran, 2016; Sultana </w:t>
      </w:r>
      <w:r w:rsidRPr="00352093">
        <w:rPr>
          <w:rFonts w:ascii="Times New Roman" w:eastAsia="Times New Roman" w:hAnsi="Times New Roman" w:cs="Times New Roman"/>
          <w:i/>
          <w:iCs/>
          <w:kern w:val="0"/>
          <w:lang w:eastAsia="en-IN"/>
          <w14:ligatures w14:val="none"/>
        </w:rPr>
        <w:t>et al.,</w:t>
      </w:r>
      <w:r w:rsidRPr="00352093">
        <w:rPr>
          <w:rFonts w:ascii="Times New Roman" w:eastAsia="Times New Roman" w:hAnsi="Times New Roman" w:cs="Times New Roman"/>
          <w:kern w:val="0"/>
          <w:lang w:eastAsia="en-IN"/>
          <w14:ligatures w14:val="none"/>
        </w:rPr>
        <w:t xml:space="preserve"> 2025).</w:t>
      </w:r>
    </w:p>
    <w:p w14:paraId="5E483DDF" w14:textId="77777777" w:rsidR="00352093" w:rsidRDefault="00352093" w:rsidP="00352093">
      <w:pPr>
        <w:spacing w:after="0" w:line="360" w:lineRule="auto"/>
        <w:ind w:firstLine="720"/>
        <w:jc w:val="both"/>
        <w:outlineLvl w:val="2"/>
        <w:rPr>
          <w:rFonts w:ascii="Times New Roman" w:eastAsia="Times New Roman" w:hAnsi="Times New Roman" w:cs="Times New Roman"/>
          <w:kern w:val="0"/>
          <w:lang w:eastAsia="en-IN"/>
          <w14:ligatures w14:val="none"/>
        </w:rPr>
      </w:pPr>
    </w:p>
    <w:p w14:paraId="3C94FF2A" w14:textId="77777777" w:rsidR="00352093" w:rsidRPr="00352093" w:rsidRDefault="00352093" w:rsidP="00352093">
      <w:pPr>
        <w:spacing w:after="0" w:line="360" w:lineRule="auto"/>
        <w:ind w:firstLine="720"/>
        <w:jc w:val="both"/>
        <w:outlineLvl w:val="2"/>
        <w:rPr>
          <w:rFonts w:ascii="Times New Roman" w:eastAsia="Times New Roman" w:hAnsi="Times New Roman" w:cs="Times New Roman"/>
          <w:kern w:val="0"/>
          <w:lang w:eastAsia="en-IN"/>
          <w14:ligatures w14:val="none"/>
        </w:rPr>
      </w:pPr>
    </w:p>
    <w:p w14:paraId="241D235B" w14:textId="66A3CDA8"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lastRenderedPageBreak/>
        <w:t>PTI in Non-Model and Crop Plants</w:t>
      </w:r>
    </w:p>
    <w:p w14:paraId="0CE221D8"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While much of the current understanding of PTI derives through the model plants like </w:t>
      </w:r>
      <w:r>
        <w:rPr>
          <w:rFonts w:ascii="Times New Roman" w:eastAsia="Times New Roman" w:hAnsi="Times New Roman" w:cs="Times New Roman"/>
          <w:i/>
          <w:iCs/>
          <w:kern w:val="0"/>
          <w:lang w:eastAsia="en-IN"/>
          <w14:ligatures w14:val="none"/>
        </w:rPr>
        <w:t>Arabidopsis thaliana</w:t>
      </w:r>
      <w:r>
        <w:rPr>
          <w:rFonts w:ascii="Times New Roman" w:eastAsia="Times New Roman" w:hAnsi="Times New Roman" w:cs="Times New Roman"/>
          <w:kern w:val="0"/>
          <w:lang w:eastAsia="en-IN"/>
          <w14:ligatures w14:val="none"/>
        </w:rPr>
        <w:t>, similar mechanisms have been seen in other crop species. Tomato (</w:t>
      </w:r>
      <w:r>
        <w:rPr>
          <w:rFonts w:ascii="Times New Roman" w:eastAsia="Times New Roman" w:hAnsi="Times New Roman" w:cs="Times New Roman"/>
          <w:i/>
          <w:iCs/>
          <w:kern w:val="0"/>
          <w:lang w:eastAsia="en-IN"/>
          <w14:ligatures w14:val="none"/>
        </w:rPr>
        <w:t>Solanum lycopersicum</w:t>
      </w:r>
      <w:r>
        <w:rPr>
          <w:rFonts w:ascii="Times New Roman" w:eastAsia="Times New Roman" w:hAnsi="Times New Roman" w:cs="Times New Roman"/>
          <w:kern w:val="0"/>
          <w:lang w:eastAsia="en-IN"/>
          <w14:ligatures w14:val="none"/>
        </w:rPr>
        <w:t xml:space="preserve">) has PRRs like Cf proteins that confer resistance to </w:t>
      </w:r>
      <w:r>
        <w:rPr>
          <w:rFonts w:ascii="Times New Roman" w:eastAsia="Times New Roman" w:hAnsi="Times New Roman" w:cs="Times New Roman"/>
          <w:i/>
          <w:iCs/>
          <w:kern w:val="0"/>
          <w:lang w:eastAsia="en-IN"/>
          <w14:ligatures w14:val="none"/>
        </w:rPr>
        <w:t xml:space="preserve">Cladosporium </w:t>
      </w:r>
      <w:proofErr w:type="spellStart"/>
      <w:r>
        <w:rPr>
          <w:rFonts w:ascii="Times New Roman" w:eastAsia="Times New Roman" w:hAnsi="Times New Roman" w:cs="Times New Roman"/>
          <w:i/>
          <w:iCs/>
          <w:kern w:val="0"/>
          <w:lang w:eastAsia="en-IN"/>
          <w14:ligatures w14:val="none"/>
        </w:rPr>
        <w:t>fulvum</w:t>
      </w:r>
      <w:proofErr w:type="spellEnd"/>
      <w:r>
        <w:rPr>
          <w:rFonts w:ascii="Times New Roman" w:eastAsia="Times New Roman" w:hAnsi="Times New Roman" w:cs="Times New Roman"/>
          <w:i/>
          <w:iCs/>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Zhao </w:t>
      </w:r>
      <w:r>
        <w:rPr>
          <w:rFonts w:ascii="Times New Roman" w:hAnsi="Times New Roman" w:cs="Times New Roman"/>
          <w:i/>
          <w:iCs/>
        </w:rPr>
        <w:t xml:space="preserve">et al., </w:t>
      </w:r>
      <w:r>
        <w:rPr>
          <w:rFonts w:ascii="Times New Roman" w:hAnsi="Times New Roman" w:cs="Times New Roman"/>
        </w:rPr>
        <w:t>2019)</w:t>
      </w:r>
      <w:r>
        <w:rPr>
          <w:rFonts w:ascii="Times New Roman" w:eastAsia="Times New Roman" w:hAnsi="Times New Roman" w:cs="Times New Roman"/>
          <w:kern w:val="0"/>
          <w:lang w:eastAsia="en-IN"/>
          <w14:ligatures w14:val="none"/>
        </w:rPr>
        <w:t>. Rice (</w:t>
      </w:r>
      <w:r>
        <w:rPr>
          <w:rFonts w:ascii="Times New Roman" w:eastAsia="Times New Roman" w:hAnsi="Times New Roman" w:cs="Times New Roman"/>
          <w:i/>
          <w:iCs/>
          <w:kern w:val="0"/>
          <w:lang w:eastAsia="en-IN"/>
          <w14:ligatures w14:val="none"/>
        </w:rPr>
        <w:t>Oryza sativa</w:t>
      </w:r>
      <w:r>
        <w:rPr>
          <w:rFonts w:ascii="Times New Roman" w:eastAsia="Times New Roman" w:hAnsi="Times New Roman" w:cs="Times New Roman"/>
          <w:kern w:val="0"/>
          <w:lang w:eastAsia="en-IN"/>
          <w14:ligatures w14:val="none"/>
        </w:rPr>
        <w:t xml:space="preserve">) utilizes OsCERK1 and </w:t>
      </w:r>
      <w:proofErr w:type="spellStart"/>
      <w:r>
        <w:rPr>
          <w:rFonts w:ascii="Times New Roman" w:eastAsia="Times New Roman" w:hAnsi="Times New Roman" w:cs="Times New Roman"/>
          <w:kern w:val="0"/>
          <w:lang w:eastAsia="en-IN"/>
          <w14:ligatures w14:val="none"/>
        </w:rPr>
        <w:t>CEBiP</w:t>
      </w:r>
      <w:proofErr w:type="spellEnd"/>
      <w:r>
        <w:rPr>
          <w:rFonts w:ascii="Times New Roman" w:eastAsia="Times New Roman" w:hAnsi="Times New Roman" w:cs="Times New Roman"/>
          <w:kern w:val="0"/>
          <w:lang w:eastAsia="en-IN"/>
          <w14:ligatures w14:val="none"/>
        </w:rPr>
        <w:t xml:space="preserve"> to detect chitin (</w:t>
      </w:r>
      <w:r>
        <w:rPr>
          <w:rFonts w:ascii="Times New Roman" w:hAnsi="Times New Roman" w:cs="Times New Roman"/>
        </w:rPr>
        <w:t xml:space="preserve">Shimizu </w:t>
      </w:r>
      <w:r>
        <w:rPr>
          <w:rFonts w:ascii="Times New Roman" w:hAnsi="Times New Roman" w:cs="Times New Roman"/>
          <w:i/>
          <w:iCs/>
        </w:rPr>
        <w:t xml:space="preserve">et al., </w:t>
      </w:r>
      <w:r>
        <w:rPr>
          <w:rFonts w:ascii="Times New Roman" w:hAnsi="Times New Roman" w:cs="Times New Roman"/>
        </w:rPr>
        <w:t>2010)</w:t>
      </w:r>
      <w:r>
        <w:rPr>
          <w:rFonts w:ascii="Times New Roman" w:eastAsia="Times New Roman" w:hAnsi="Times New Roman" w:cs="Times New Roman"/>
          <w:kern w:val="0"/>
          <w:lang w:eastAsia="en-IN"/>
          <w14:ligatures w14:val="none"/>
        </w:rPr>
        <w:t>. Grapevine PRRs responds to flg22 and harpin proteins, showing conservation of PTI across angiosperms (</w:t>
      </w:r>
      <w:r>
        <w:rPr>
          <w:rFonts w:ascii="Times New Roman" w:hAnsi="Times New Roman" w:cs="Times New Roman"/>
        </w:rPr>
        <w:t>Chang &amp; Nick, 2012)</w:t>
      </w:r>
      <w:r>
        <w:rPr>
          <w:rFonts w:ascii="Times New Roman" w:eastAsia="Times New Roman" w:hAnsi="Times New Roman" w:cs="Times New Roman"/>
          <w:kern w:val="0"/>
          <w:lang w:eastAsia="en-IN"/>
          <w14:ligatures w14:val="none"/>
        </w:rPr>
        <w:t>.</w:t>
      </w:r>
    </w:p>
    <w:p w14:paraId="5A390F65"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Effector Recognition and Effector-Triggered Immunity (ETI)</w:t>
      </w:r>
    </w:p>
    <w:p w14:paraId="6131A9BA" w14:textId="5AA4D716" w:rsidR="00775815" w:rsidRPr="00775815" w:rsidRDefault="00775815" w:rsidP="00775815">
      <w:pPr>
        <w:spacing w:after="0" w:line="360" w:lineRule="auto"/>
        <w:ind w:firstLine="720"/>
        <w:jc w:val="both"/>
        <w:outlineLvl w:val="2"/>
        <w:rPr>
          <w:rFonts w:ascii="Times New Roman" w:eastAsia="Times New Roman" w:hAnsi="Times New Roman" w:cs="Times New Roman"/>
          <w:kern w:val="0"/>
          <w:lang w:eastAsia="en-IN"/>
          <w14:ligatures w14:val="none"/>
        </w:rPr>
      </w:pPr>
      <w:r w:rsidRPr="00775815">
        <w:rPr>
          <w:rFonts w:ascii="Times New Roman" w:eastAsia="Times New Roman" w:hAnsi="Times New Roman" w:cs="Times New Roman"/>
          <w:kern w:val="0"/>
          <w:lang w:eastAsia="en-IN"/>
          <w14:ligatures w14:val="none"/>
        </w:rPr>
        <w:t xml:space="preserve">While pattern-triggered immunity (PTI) provides the first inducible layer of plant defense, many well-adapted pathogens have evolved mechanisms to suppress or evade it. To overcome these strategies, plants rely on a second, more specialized defense system termed effector-triggered immunity (ETI), with representative examples summarized in Table </w:t>
      </w:r>
      <w:r w:rsidR="00390CEA">
        <w:rPr>
          <w:rFonts w:ascii="Times New Roman" w:eastAsia="Times New Roman" w:hAnsi="Times New Roman" w:cs="Times New Roman"/>
          <w:kern w:val="0"/>
          <w:lang w:eastAsia="en-IN"/>
          <w14:ligatures w14:val="none"/>
        </w:rPr>
        <w:t>2</w:t>
      </w:r>
      <w:r w:rsidRPr="00775815">
        <w:rPr>
          <w:rFonts w:ascii="Times New Roman" w:eastAsia="Times New Roman" w:hAnsi="Times New Roman" w:cs="Times New Roman"/>
          <w:kern w:val="0"/>
          <w:lang w:eastAsia="en-IN"/>
          <w14:ligatures w14:val="none"/>
        </w:rPr>
        <w:t>. ETI is activated when resistance (R) proteins, most of which belong to the nucleotide-binding leucine-rich repeat (NLR) family, detect pathogen-secreted effector molecules (Nabi et al., 2024). In contrast to the relatively transient nature of PTI, ETI typically elicits a stronger and more sustained immune response, often characterized by localized cell death at the infection site, known as the hypersensitive response (HR).</w:t>
      </w:r>
    </w:p>
    <w:p w14:paraId="42DE6E3A" w14:textId="6A8DE90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Pathogen Effectors: Tools for Immune Suppression</w:t>
      </w:r>
    </w:p>
    <w:p w14:paraId="446EE6D0" w14:textId="0E1FD32D" w:rsidR="0054465E" w:rsidRPr="0054465E" w:rsidRDefault="0054465E" w:rsidP="0054465E">
      <w:pPr>
        <w:pStyle w:val="NormalWeb"/>
        <w:spacing w:before="0" w:beforeAutospacing="0" w:line="360" w:lineRule="auto"/>
        <w:ind w:firstLine="720"/>
        <w:jc w:val="both"/>
      </w:pPr>
      <w:r w:rsidRPr="0054465E">
        <w:t xml:space="preserve">To establish infection, pathogens secrete effector proteins into plant cells through specialized delivery systems. Bacterial pathogens typically employ Type III secretion systems (T3SS), whereas fungi and oomycetes deliver effectors via haustoria or similar invasive structures (Puhar &amp; Sansonetti, 2014). Once inside the host, effectors manipulate cellular processes to facilitate colonization. Some directly interfere with immune signaling for example, </w:t>
      </w:r>
      <w:r w:rsidRPr="0054465E">
        <w:rPr>
          <w:i/>
          <w:iCs/>
        </w:rPr>
        <w:t>Pseudomonas syringae</w:t>
      </w:r>
      <w:r w:rsidRPr="0054465E">
        <w:t xml:space="preserve"> effectors </w:t>
      </w:r>
      <w:proofErr w:type="spellStart"/>
      <w:r w:rsidRPr="0054465E">
        <w:t>AvrPto</w:t>
      </w:r>
      <w:proofErr w:type="spellEnd"/>
      <w:r w:rsidRPr="0054465E">
        <w:t xml:space="preserve"> and </w:t>
      </w:r>
      <w:proofErr w:type="spellStart"/>
      <w:r w:rsidRPr="0054465E">
        <w:t>AvrPtoB</w:t>
      </w:r>
      <w:proofErr w:type="spellEnd"/>
      <w:r w:rsidRPr="0054465E">
        <w:t xml:space="preserve"> bind to immune receptors such as FLS2 and its co-receptor BAK1, blocking downstream defense activation. Others, such as HopAI1, suppress immunity by inactivating MAP kinases through dephosphorylation, thereby preventing transcriptional induction of defense genes (Li </w:t>
      </w:r>
      <w:r w:rsidRPr="0054465E">
        <w:rPr>
          <w:i/>
          <w:iCs/>
        </w:rPr>
        <w:t>et al.,</w:t>
      </w:r>
      <w:r w:rsidRPr="0054465E">
        <w:t xml:space="preserve"> 2016).</w:t>
      </w:r>
    </w:p>
    <w:p w14:paraId="6D998803" w14:textId="407CFC66" w:rsidR="0054465E" w:rsidRPr="0054465E" w:rsidRDefault="0054465E" w:rsidP="0054465E">
      <w:pPr>
        <w:pStyle w:val="NormalWeb"/>
        <w:spacing w:line="360" w:lineRule="auto"/>
        <w:ind w:firstLine="720"/>
        <w:jc w:val="both"/>
      </w:pPr>
      <w:r w:rsidRPr="0054465E">
        <w:t>Plants counteract these strategies using a specialized class of intracellular immune receptors, the nucleotide-binding leucine-rich repeat (NLR) proteins. NLRs are modular, typically containing an N-terminal domain either coiled-coil (CC) or Toll/interleukin-1 receptor (TIR) type a central NB-ARC domain for ATP/GTP binding and hydrolysis, and a C-terminal LRR region that mediates effector recognition (</w:t>
      </w:r>
      <w:proofErr w:type="spellStart"/>
      <w:r w:rsidRPr="0054465E">
        <w:t>Förderer</w:t>
      </w:r>
      <w:proofErr w:type="spellEnd"/>
      <w:r w:rsidRPr="0054465E">
        <w:t xml:space="preserve"> &amp; </w:t>
      </w:r>
      <w:proofErr w:type="spellStart"/>
      <w:r w:rsidRPr="0054465E">
        <w:t>Kourelis</w:t>
      </w:r>
      <w:proofErr w:type="spellEnd"/>
      <w:r w:rsidRPr="0054465E">
        <w:t xml:space="preserve">, 2023). Acting as intracellular sentinels, NLRs can detect effectors directly, as in the case of RPS2 recognizing </w:t>
      </w:r>
      <w:r w:rsidRPr="0054465E">
        <w:lastRenderedPageBreak/>
        <w:t>AvrRpt2; indirectly by guarding host proteins, as with RPM1 monitoring RIN4; or through molecular decoys that mimic effector targets to trap pathogens and trigger defense activation (Qi &amp; Innes, 2013).</w:t>
      </w:r>
    </w:p>
    <w:p w14:paraId="3603BBC0" w14:textId="77777777" w:rsidR="0054465E" w:rsidRPr="0054465E" w:rsidRDefault="0054465E" w:rsidP="0054465E">
      <w:pPr>
        <w:pStyle w:val="NormalWeb"/>
        <w:spacing w:line="360" w:lineRule="auto"/>
        <w:ind w:firstLine="720"/>
        <w:jc w:val="both"/>
      </w:pPr>
      <w:r w:rsidRPr="0054465E">
        <w:t xml:space="preserve">The signaling cascades initiated by ETI largely overlap with those of PTI, involving calcium influx, ROS generation via RBOHD, MAP kinase activation, and WRKY-dependent transcriptional reprogramming. However, in ETI, these responses are stronger and more sustained. NLR activation can also form higher-order complexes such as the ZAR1 </w:t>
      </w:r>
      <w:proofErr w:type="spellStart"/>
      <w:r w:rsidRPr="0054465E">
        <w:t>resistosome</w:t>
      </w:r>
      <w:proofErr w:type="spellEnd"/>
      <w:r w:rsidRPr="0054465E">
        <w:t xml:space="preserve">, which amplifies </w:t>
      </w:r>
      <w:proofErr w:type="spellStart"/>
      <w:r w:rsidRPr="0054465E">
        <w:t>defense</w:t>
      </w:r>
      <w:proofErr w:type="spellEnd"/>
      <w:r w:rsidRPr="0054465E">
        <w:t xml:space="preserve"> responses and frequently culminates in localized programmed cell death at the infection site. A marked increase in salicylic acid (SA) levels further reinforces both local </w:t>
      </w:r>
      <w:proofErr w:type="spellStart"/>
      <w:r w:rsidRPr="0054465E">
        <w:t>defenses</w:t>
      </w:r>
      <w:proofErr w:type="spellEnd"/>
      <w:r w:rsidRPr="0054465E">
        <w:t xml:space="preserve"> and systemic acquired resistance (SAR).</w:t>
      </w:r>
    </w:p>
    <w:p w14:paraId="39072763" w14:textId="205ED2A2" w:rsidR="00CC4B23" w:rsidRPr="00CC4B23" w:rsidRDefault="00CC4B23" w:rsidP="00CC4B23">
      <w:pPr>
        <w:pStyle w:val="NormalWeb"/>
        <w:spacing w:line="360" w:lineRule="auto"/>
        <w:jc w:val="both"/>
        <w:rPr>
          <w:b/>
          <w:bCs/>
        </w:rPr>
      </w:pPr>
      <w:r w:rsidRPr="00CC4B23">
        <w:rPr>
          <w:b/>
          <w:bCs/>
        </w:rPr>
        <w:t xml:space="preserve">Table </w:t>
      </w:r>
      <w:r w:rsidR="00390CEA">
        <w:rPr>
          <w:b/>
          <w:bCs/>
        </w:rPr>
        <w:t>2</w:t>
      </w:r>
      <w:r w:rsidRPr="00CC4B23">
        <w:rPr>
          <w:b/>
          <w:bCs/>
        </w:rPr>
        <w:t>. Effector-Triggered Immunity (ETI) Examples</w:t>
      </w:r>
    </w:p>
    <w:tbl>
      <w:tblPr>
        <w:tblStyle w:val="TableGrid"/>
        <w:tblW w:w="0" w:type="auto"/>
        <w:tblLook w:val="04A0" w:firstRow="1" w:lastRow="0" w:firstColumn="1" w:lastColumn="0" w:noHBand="0" w:noVBand="1"/>
      </w:tblPr>
      <w:tblGrid>
        <w:gridCol w:w="1891"/>
        <w:gridCol w:w="1291"/>
        <w:gridCol w:w="1769"/>
        <w:gridCol w:w="1636"/>
        <w:gridCol w:w="2429"/>
      </w:tblGrid>
      <w:tr w:rsidR="00CC4B23" w:rsidRPr="00CC4B23" w14:paraId="6B8620CD" w14:textId="77777777" w:rsidTr="00CC4B23">
        <w:tc>
          <w:tcPr>
            <w:tcW w:w="0" w:type="auto"/>
            <w:hideMark/>
          </w:tcPr>
          <w:p w14:paraId="3F536DA9" w14:textId="77777777" w:rsidR="00CC4B23" w:rsidRPr="00CC4B23" w:rsidRDefault="00CC4B23" w:rsidP="00CC4B23">
            <w:pPr>
              <w:spacing w:after="0" w:line="240" w:lineRule="auto"/>
              <w:jc w:val="center"/>
              <w:rPr>
                <w:rFonts w:ascii="Times New Roman" w:eastAsia="Times New Roman" w:hAnsi="Times New Roman" w:cs="Times New Roman"/>
                <w:b/>
                <w:bCs/>
                <w:kern w:val="0"/>
                <w:lang w:eastAsia="en-IN"/>
                <w14:ligatures w14:val="none"/>
              </w:rPr>
            </w:pPr>
            <w:r w:rsidRPr="00CC4B23">
              <w:rPr>
                <w:rFonts w:ascii="Times New Roman" w:eastAsia="Times New Roman" w:hAnsi="Times New Roman" w:cs="Times New Roman"/>
                <w:b/>
                <w:bCs/>
                <w:kern w:val="0"/>
                <w:lang w:eastAsia="en-IN"/>
                <w14:ligatures w14:val="none"/>
              </w:rPr>
              <w:t>Pathogen</w:t>
            </w:r>
          </w:p>
        </w:tc>
        <w:tc>
          <w:tcPr>
            <w:tcW w:w="0" w:type="auto"/>
            <w:hideMark/>
          </w:tcPr>
          <w:p w14:paraId="7EA2C196" w14:textId="77777777" w:rsidR="00CC4B23" w:rsidRPr="00CC4B23" w:rsidRDefault="00CC4B23" w:rsidP="00CC4B23">
            <w:pPr>
              <w:spacing w:after="0" w:line="240" w:lineRule="auto"/>
              <w:jc w:val="center"/>
              <w:rPr>
                <w:rFonts w:ascii="Times New Roman" w:eastAsia="Times New Roman" w:hAnsi="Times New Roman" w:cs="Times New Roman"/>
                <w:b/>
                <w:bCs/>
                <w:kern w:val="0"/>
                <w:lang w:eastAsia="en-IN"/>
                <w14:ligatures w14:val="none"/>
              </w:rPr>
            </w:pPr>
            <w:r w:rsidRPr="00CC4B23">
              <w:rPr>
                <w:rFonts w:ascii="Times New Roman" w:eastAsia="Times New Roman" w:hAnsi="Times New Roman" w:cs="Times New Roman"/>
                <w:b/>
                <w:bCs/>
                <w:kern w:val="0"/>
                <w:lang w:eastAsia="en-IN"/>
                <w14:ligatures w14:val="none"/>
              </w:rPr>
              <w:t>Effector Protein</w:t>
            </w:r>
          </w:p>
        </w:tc>
        <w:tc>
          <w:tcPr>
            <w:tcW w:w="0" w:type="auto"/>
            <w:hideMark/>
          </w:tcPr>
          <w:p w14:paraId="44E9857D" w14:textId="77777777" w:rsidR="00CC4B23" w:rsidRPr="00CC4B23" w:rsidRDefault="00CC4B23" w:rsidP="00CC4B23">
            <w:pPr>
              <w:spacing w:after="0" w:line="240" w:lineRule="auto"/>
              <w:jc w:val="center"/>
              <w:rPr>
                <w:rFonts w:ascii="Times New Roman" w:eastAsia="Times New Roman" w:hAnsi="Times New Roman" w:cs="Times New Roman"/>
                <w:b/>
                <w:bCs/>
                <w:kern w:val="0"/>
                <w:lang w:eastAsia="en-IN"/>
                <w14:ligatures w14:val="none"/>
              </w:rPr>
            </w:pPr>
            <w:r w:rsidRPr="00CC4B23">
              <w:rPr>
                <w:rFonts w:ascii="Times New Roman" w:eastAsia="Times New Roman" w:hAnsi="Times New Roman" w:cs="Times New Roman"/>
                <w:b/>
                <w:bCs/>
                <w:kern w:val="0"/>
                <w:lang w:eastAsia="en-IN"/>
                <w14:ligatures w14:val="none"/>
              </w:rPr>
              <w:t>Recognized NLR (plant)</w:t>
            </w:r>
          </w:p>
        </w:tc>
        <w:tc>
          <w:tcPr>
            <w:tcW w:w="0" w:type="auto"/>
            <w:hideMark/>
          </w:tcPr>
          <w:p w14:paraId="4DB2D8C3" w14:textId="77777777" w:rsidR="00CC4B23" w:rsidRPr="00CC4B23" w:rsidRDefault="00CC4B23" w:rsidP="00CC4B23">
            <w:pPr>
              <w:spacing w:after="0" w:line="240" w:lineRule="auto"/>
              <w:jc w:val="center"/>
              <w:rPr>
                <w:rFonts w:ascii="Times New Roman" w:eastAsia="Times New Roman" w:hAnsi="Times New Roman" w:cs="Times New Roman"/>
                <w:b/>
                <w:bCs/>
                <w:kern w:val="0"/>
                <w:lang w:eastAsia="en-IN"/>
                <w14:ligatures w14:val="none"/>
              </w:rPr>
            </w:pPr>
            <w:r w:rsidRPr="00CC4B23">
              <w:rPr>
                <w:rFonts w:ascii="Times New Roman" w:eastAsia="Times New Roman" w:hAnsi="Times New Roman" w:cs="Times New Roman"/>
                <w:b/>
                <w:bCs/>
                <w:kern w:val="0"/>
                <w:lang w:eastAsia="en-IN"/>
                <w14:ligatures w14:val="none"/>
              </w:rPr>
              <w:t>Defense Outcome</w:t>
            </w:r>
          </w:p>
        </w:tc>
        <w:tc>
          <w:tcPr>
            <w:tcW w:w="0" w:type="auto"/>
            <w:hideMark/>
          </w:tcPr>
          <w:p w14:paraId="61328E33" w14:textId="77777777" w:rsidR="00CC4B23" w:rsidRPr="00CC4B23" w:rsidRDefault="00CC4B23" w:rsidP="00CC4B23">
            <w:pPr>
              <w:spacing w:after="0" w:line="240" w:lineRule="auto"/>
              <w:jc w:val="center"/>
              <w:rPr>
                <w:rFonts w:ascii="Times New Roman" w:eastAsia="Times New Roman" w:hAnsi="Times New Roman" w:cs="Times New Roman"/>
                <w:b/>
                <w:bCs/>
                <w:kern w:val="0"/>
                <w:lang w:eastAsia="en-IN"/>
                <w14:ligatures w14:val="none"/>
              </w:rPr>
            </w:pPr>
            <w:r w:rsidRPr="00CC4B23">
              <w:rPr>
                <w:rFonts w:ascii="Times New Roman" w:eastAsia="Times New Roman" w:hAnsi="Times New Roman" w:cs="Times New Roman"/>
                <w:b/>
                <w:bCs/>
                <w:kern w:val="0"/>
                <w:lang w:eastAsia="en-IN"/>
                <w14:ligatures w14:val="none"/>
              </w:rPr>
              <w:t>Reference</w:t>
            </w:r>
          </w:p>
        </w:tc>
      </w:tr>
      <w:tr w:rsidR="00CC4B23" w:rsidRPr="00CC4B23" w14:paraId="68C1FF10" w14:textId="77777777" w:rsidTr="00CC4B23">
        <w:tc>
          <w:tcPr>
            <w:tcW w:w="0" w:type="auto"/>
            <w:hideMark/>
          </w:tcPr>
          <w:p w14:paraId="13A5565B"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i/>
                <w:iCs/>
                <w:kern w:val="0"/>
                <w:lang w:eastAsia="en-IN"/>
                <w14:ligatures w14:val="none"/>
              </w:rPr>
              <w:t>Pseudomonas syringae</w:t>
            </w:r>
          </w:p>
        </w:tc>
        <w:tc>
          <w:tcPr>
            <w:tcW w:w="0" w:type="auto"/>
            <w:hideMark/>
          </w:tcPr>
          <w:p w14:paraId="48EE9A87"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AvrPto</w:t>
            </w:r>
          </w:p>
        </w:tc>
        <w:tc>
          <w:tcPr>
            <w:tcW w:w="0" w:type="auto"/>
            <w:hideMark/>
          </w:tcPr>
          <w:p w14:paraId="04AB1319"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proofErr w:type="spellStart"/>
            <w:r w:rsidRPr="00CC4B23">
              <w:rPr>
                <w:rFonts w:ascii="Times New Roman" w:eastAsia="Times New Roman" w:hAnsi="Times New Roman" w:cs="Times New Roman"/>
                <w:kern w:val="0"/>
                <w:lang w:eastAsia="en-IN"/>
                <w14:ligatures w14:val="none"/>
              </w:rPr>
              <w:t>Pto</w:t>
            </w:r>
            <w:proofErr w:type="spellEnd"/>
            <w:r w:rsidRPr="00CC4B23">
              <w:rPr>
                <w:rFonts w:ascii="Times New Roman" w:eastAsia="Times New Roman" w:hAnsi="Times New Roman" w:cs="Times New Roman"/>
                <w:kern w:val="0"/>
                <w:lang w:eastAsia="en-IN"/>
                <w14:ligatures w14:val="none"/>
              </w:rPr>
              <w:t>/</w:t>
            </w:r>
            <w:proofErr w:type="spellStart"/>
            <w:r w:rsidRPr="00CC4B23">
              <w:rPr>
                <w:rFonts w:ascii="Times New Roman" w:eastAsia="Times New Roman" w:hAnsi="Times New Roman" w:cs="Times New Roman"/>
                <w:kern w:val="0"/>
                <w:lang w:eastAsia="en-IN"/>
                <w14:ligatures w14:val="none"/>
              </w:rPr>
              <w:t>Prf</w:t>
            </w:r>
            <w:proofErr w:type="spellEnd"/>
            <w:r w:rsidRPr="00CC4B23">
              <w:rPr>
                <w:rFonts w:ascii="Times New Roman" w:eastAsia="Times New Roman" w:hAnsi="Times New Roman" w:cs="Times New Roman"/>
                <w:kern w:val="0"/>
                <w:lang w:eastAsia="en-IN"/>
                <w14:ligatures w14:val="none"/>
              </w:rPr>
              <w:t xml:space="preserve"> (tomato)</w:t>
            </w:r>
          </w:p>
        </w:tc>
        <w:tc>
          <w:tcPr>
            <w:tcW w:w="0" w:type="auto"/>
            <w:hideMark/>
          </w:tcPr>
          <w:p w14:paraId="320868B2"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HR, disease resistance</w:t>
            </w:r>
          </w:p>
        </w:tc>
        <w:tc>
          <w:tcPr>
            <w:tcW w:w="0" w:type="auto"/>
            <w:hideMark/>
          </w:tcPr>
          <w:p w14:paraId="07A53A80"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Pedley &amp; Martin, 2003 (</w:t>
            </w:r>
            <w:proofErr w:type="spellStart"/>
            <w:r w:rsidRPr="00CC4B23">
              <w:rPr>
                <w:rFonts w:ascii="Times New Roman" w:eastAsia="Times New Roman" w:hAnsi="Times New Roman" w:cs="Times New Roman"/>
                <w:i/>
                <w:iCs/>
                <w:kern w:val="0"/>
                <w:lang w:eastAsia="en-IN"/>
                <w14:ligatures w14:val="none"/>
              </w:rPr>
              <w:t>Annu</w:t>
            </w:r>
            <w:proofErr w:type="spellEnd"/>
            <w:r w:rsidRPr="00CC4B23">
              <w:rPr>
                <w:rFonts w:ascii="Times New Roman" w:eastAsia="Times New Roman" w:hAnsi="Times New Roman" w:cs="Times New Roman"/>
                <w:i/>
                <w:iCs/>
                <w:kern w:val="0"/>
                <w:lang w:eastAsia="en-IN"/>
                <w14:ligatures w14:val="none"/>
              </w:rPr>
              <w:t xml:space="preserve"> Rev </w:t>
            </w:r>
            <w:proofErr w:type="spellStart"/>
            <w:r w:rsidRPr="00CC4B23">
              <w:rPr>
                <w:rFonts w:ascii="Times New Roman" w:eastAsia="Times New Roman" w:hAnsi="Times New Roman" w:cs="Times New Roman"/>
                <w:i/>
                <w:iCs/>
                <w:kern w:val="0"/>
                <w:lang w:eastAsia="en-IN"/>
                <w14:ligatures w14:val="none"/>
              </w:rPr>
              <w:t>Phytopathol</w:t>
            </w:r>
            <w:proofErr w:type="spellEnd"/>
            <w:r w:rsidRPr="00CC4B23">
              <w:rPr>
                <w:rFonts w:ascii="Times New Roman" w:eastAsia="Times New Roman" w:hAnsi="Times New Roman" w:cs="Times New Roman"/>
                <w:kern w:val="0"/>
                <w:lang w:eastAsia="en-IN"/>
                <w14:ligatures w14:val="none"/>
              </w:rPr>
              <w:t>)</w:t>
            </w:r>
          </w:p>
        </w:tc>
      </w:tr>
      <w:tr w:rsidR="00CC4B23" w:rsidRPr="00CC4B23" w14:paraId="0F72CC9E" w14:textId="77777777" w:rsidTr="00CC4B23">
        <w:tc>
          <w:tcPr>
            <w:tcW w:w="0" w:type="auto"/>
            <w:hideMark/>
          </w:tcPr>
          <w:p w14:paraId="7562FC59"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i/>
                <w:iCs/>
                <w:kern w:val="0"/>
                <w:lang w:eastAsia="en-IN"/>
                <w14:ligatures w14:val="none"/>
              </w:rPr>
              <w:t>Xanthomonas campestris</w:t>
            </w:r>
          </w:p>
        </w:tc>
        <w:tc>
          <w:tcPr>
            <w:tcW w:w="0" w:type="auto"/>
            <w:hideMark/>
          </w:tcPr>
          <w:p w14:paraId="7177E5FA"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AvrBs2</w:t>
            </w:r>
          </w:p>
        </w:tc>
        <w:tc>
          <w:tcPr>
            <w:tcW w:w="0" w:type="auto"/>
            <w:hideMark/>
          </w:tcPr>
          <w:p w14:paraId="1FBEAD92"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Bs2 (pepper)</w:t>
            </w:r>
          </w:p>
        </w:tc>
        <w:tc>
          <w:tcPr>
            <w:tcW w:w="0" w:type="auto"/>
            <w:hideMark/>
          </w:tcPr>
          <w:p w14:paraId="7115765B"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ETI activation, resistance</w:t>
            </w:r>
          </w:p>
        </w:tc>
        <w:tc>
          <w:tcPr>
            <w:tcW w:w="0" w:type="auto"/>
            <w:hideMark/>
          </w:tcPr>
          <w:p w14:paraId="5F6A635D"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Tai et al., 1999 (</w:t>
            </w:r>
            <w:r w:rsidRPr="00CC4B23">
              <w:rPr>
                <w:rFonts w:ascii="Times New Roman" w:eastAsia="Times New Roman" w:hAnsi="Times New Roman" w:cs="Times New Roman"/>
                <w:i/>
                <w:iCs/>
                <w:kern w:val="0"/>
                <w:lang w:eastAsia="en-IN"/>
                <w14:ligatures w14:val="none"/>
              </w:rPr>
              <w:t>Mol Plant Microbe Interact</w:t>
            </w:r>
            <w:r w:rsidRPr="00CC4B23">
              <w:rPr>
                <w:rFonts w:ascii="Times New Roman" w:eastAsia="Times New Roman" w:hAnsi="Times New Roman" w:cs="Times New Roman"/>
                <w:kern w:val="0"/>
                <w:lang w:eastAsia="en-IN"/>
                <w14:ligatures w14:val="none"/>
              </w:rPr>
              <w:t>)</w:t>
            </w:r>
          </w:p>
        </w:tc>
      </w:tr>
      <w:tr w:rsidR="00CC4B23" w:rsidRPr="00CC4B23" w14:paraId="6AA1F0BB" w14:textId="77777777" w:rsidTr="00CC4B23">
        <w:tc>
          <w:tcPr>
            <w:tcW w:w="0" w:type="auto"/>
            <w:hideMark/>
          </w:tcPr>
          <w:p w14:paraId="4220771B"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proofErr w:type="spellStart"/>
            <w:r w:rsidRPr="00CC4B23">
              <w:rPr>
                <w:rFonts w:ascii="Times New Roman" w:eastAsia="Times New Roman" w:hAnsi="Times New Roman" w:cs="Times New Roman"/>
                <w:i/>
                <w:iCs/>
                <w:kern w:val="0"/>
                <w:lang w:eastAsia="en-IN"/>
                <w14:ligatures w14:val="none"/>
              </w:rPr>
              <w:t>Magnaporthe</w:t>
            </w:r>
            <w:proofErr w:type="spellEnd"/>
            <w:r w:rsidRPr="00CC4B23">
              <w:rPr>
                <w:rFonts w:ascii="Times New Roman" w:eastAsia="Times New Roman" w:hAnsi="Times New Roman" w:cs="Times New Roman"/>
                <w:i/>
                <w:iCs/>
                <w:kern w:val="0"/>
                <w:lang w:eastAsia="en-IN"/>
                <w14:ligatures w14:val="none"/>
              </w:rPr>
              <w:t xml:space="preserve"> </w:t>
            </w:r>
            <w:proofErr w:type="spellStart"/>
            <w:r w:rsidRPr="00CC4B23">
              <w:rPr>
                <w:rFonts w:ascii="Times New Roman" w:eastAsia="Times New Roman" w:hAnsi="Times New Roman" w:cs="Times New Roman"/>
                <w:i/>
                <w:iCs/>
                <w:kern w:val="0"/>
                <w:lang w:eastAsia="en-IN"/>
                <w14:ligatures w14:val="none"/>
              </w:rPr>
              <w:t>oryzae</w:t>
            </w:r>
            <w:proofErr w:type="spellEnd"/>
          </w:p>
        </w:tc>
        <w:tc>
          <w:tcPr>
            <w:tcW w:w="0" w:type="auto"/>
            <w:hideMark/>
          </w:tcPr>
          <w:p w14:paraId="72861901"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AVR-Pia</w:t>
            </w:r>
          </w:p>
        </w:tc>
        <w:tc>
          <w:tcPr>
            <w:tcW w:w="0" w:type="auto"/>
            <w:hideMark/>
          </w:tcPr>
          <w:p w14:paraId="1D7A1F2C"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Pia (rice NLR pair)</w:t>
            </w:r>
          </w:p>
        </w:tc>
        <w:tc>
          <w:tcPr>
            <w:tcW w:w="0" w:type="auto"/>
            <w:hideMark/>
          </w:tcPr>
          <w:p w14:paraId="710A8C5C"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HR, blast resistance</w:t>
            </w:r>
          </w:p>
        </w:tc>
        <w:tc>
          <w:tcPr>
            <w:tcW w:w="0" w:type="auto"/>
            <w:hideMark/>
          </w:tcPr>
          <w:p w14:paraId="3CB79A29"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Okuyama et al., 2011 (</w:t>
            </w:r>
            <w:r w:rsidRPr="00CC4B23">
              <w:rPr>
                <w:rFonts w:ascii="Times New Roman" w:eastAsia="Times New Roman" w:hAnsi="Times New Roman" w:cs="Times New Roman"/>
                <w:i/>
                <w:iCs/>
                <w:kern w:val="0"/>
                <w:lang w:eastAsia="en-IN"/>
                <w14:ligatures w14:val="none"/>
              </w:rPr>
              <w:t>Plant J</w:t>
            </w:r>
            <w:r w:rsidRPr="00CC4B23">
              <w:rPr>
                <w:rFonts w:ascii="Times New Roman" w:eastAsia="Times New Roman" w:hAnsi="Times New Roman" w:cs="Times New Roman"/>
                <w:kern w:val="0"/>
                <w:lang w:eastAsia="en-IN"/>
                <w14:ligatures w14:val="none"/>
              </w:rPr>
              <w:t>)</w:t>
            </w:r>
          </w:p>
        </w:tc>
      </w:tr>
      <w:tr w:rsidR="00CC4B23" w:rsidRPr="00CC4B23" w14:paraId="0AE84AC2" w14:textId="77777777" w:rsidTr="00CC4B23">
        <w:tc>
          <w:tcPr>
            <w:tcW w:w="0" w:type="auto"/>
            <w:hideMark/>
          </w:tcPr>
          <w:p w14:paraId="619D2DF8"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i/>
                <w:iCs/>
                <w:kern w:val="0"/>
                <w:lang w:eastAsia="en-IN"/>
                <w14:ligatures w14:val="none"/>
              </w:rPr>
              <w:t>Phytophthora infestans</w:t>
            </w:r>
          </w:p>
        </w:tc>
        <w:tc>
          <w:tcPr>
            <w:tcW w:w="0" w:type="auto"/>
            <w:hideMark/>
          </w:tcPr>
          <w:p w14:paraId="65F95C7B"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AVR3a</w:t>
            </w:r>
          </w:p>
        </w:tc>
        <w:tc>
          <w:tcPr>
            <w:tcW w:w="0" w:type="auto"/>
            <w:hideMark/>
          </w:tcPr>
          <w:p w14:paraId="2A5DCF46"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R3a (potato)</w:t>
            </w:r>
          </w:p>
        </w:tc>
        <w:tc>
          <w:tcPr>
            <w:tcW w:w="0" w:type="auto"/>
            <w:hideMark/>
          </w:tcPr>
          <w:p w14:paraId="6BE57C2E"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HR, resistance</w:t>
            </w:r>
          </w:p>
        </w:tc>
        <w:tc>
          <w:tcPr>
            <w:tcW w:w="0" w:type="auto"/>
            <w:hideMark/>
          </w:tcPr>
          <w:p w14:paraId="5DD9E30D"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Bos et al., 2006 (</w:t>
            </w:r>
            <w:r w:rsidRPr="00CC4B23">
              <w:rPr>
                <w:rFonts w:ascii="Times New Roman" w:eastAsia="Times New Roman" w:hAnsi="Times New Roman" w:cs="Times New Roman"/>
                <w:i/>
                <w:iCs/>
                <w:kern w:val="0"/>
                <w:lang w:eastAsia="en-IN"/>
                <w14:ligatures w14:val="none"/>
              </w:rPr>
              <w:t>EMBO J</w:t>
            </w:r>
            <w:r w:rsidRPr="00CC4B23">
              <w:rPr>
                <w:rFonts w:ascii="Times New Roman" w:eastAsia="Times New Roman" w:hAnsi="Times New Roman" w:cs="Times New Roman"/>
                <w:kern w:val="0"/>
                <w:lang w:eastAsia="en-IN"/>
                <w14:ligatures w14:val="none"/>
              </w:rPr>
              <w:t>)</w:t>
            </w:r>
          </w:p>
        </w:tc>
      </w:tr>
      <w:tr w:rsidR="00CC4B23" w:rsidRPr="00CC4B23" w14:paraId="74FEB022" w14:textId="77777777" w:rsidTr="00CC4B23">
        <w:tc>
          <w:tcPr>
            <w:tcW w:w="0" w:type="auto"/>
            <w:hideMark/>
          </w:tcPr>
          <w:p w14:paraId="0C88B093"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i/>
                <w:iCs/>
                <w:kern w:val="0"/>
                <w:lang w:eastAsia="en-IN"/>
                <w14:ligatures w14:val="none"/>
              </w:rPr>
              <w:t xml:space="preserve">Cladosporium </w:t>
            </w:r>
            <w:proofErr w:type="spellStart"/>
            <w:r w:rsidRPr="00CC4B23">
              <w:rPr>
                <w:rFonts w:ascii="Times New Roman" w:eastAsia="Times New Roman" w:hAnsi="Times New Roman" w:cs="Times New Roman"/>
                <w:i/>
                <w:iCs/>
                <w:kern w:val="0"/>
                <w:lang w:eastAsia="en-IN"/>
                <w14:ligatures w14:val="none"/>
              </w:rPr>
              <w:t>fulvum</w:t>
            </w:r>
            <w:proofErr w:type="spellEnd"/>
          </w:p>
        </w:tc>
        <w:tc>
          <w:tcPr>
            <w:tcW w:w="0" w:type="auto"/>
            <w:hideMark/>
          </w:tcPr>
          <w:p w14:paraId="72EA9E70"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Avr4, Avr9</w:t>
            </w:r>
          </w:p>
        </w:tc>
        <w:tc>
          <w:tcPr>
            <w:tcW w:w="0" w:type="auto"/>
            <w:hideMark/>
          </w:tcPr>
          <w:p w14:paraId="2DCD20E1"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Cf-4, Cf-9 (tomato RLPs)</w:t>
            </w:r>
          </w:p>
        </w:tc>
        <w:tc>
          <w:tcPr>
            <w:tcW w:w="0" w:type="auto"/>
            <w:hideMark/>
          </w:tcPr>
          <w:p w14:paraId="31732AAF"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HR, resistance</w:t>
            </w:r>
          </w:p>
        </w:tc>
        <w:tc>
          <w:tcPr>
            <w:tcW w:w="0" w:type="auto"/>
            <w:hideMark/>
          </w:tcPr>
          <w:p w14:paraId="2A395856" w14:textId="77777777" w:rsidR="00CC4B23" w:rsidRPr="00CC4B23" w:rsidRDefault="00CC4B23" w:rsidP="00CC4B23">
            <w:pPr>
              <w:spacing w:after="0" w:line="240" w:lineRule="auto"/>
              <w:rPr>
                <w:rFonts w:ascii="Times New Roman" w:eastAsia="Times New Roman" w:hAnsi="Times New Roman" w:cs="Times New Roman"/>
                <w:kern w:val="0"/>
                <w:lang w:eastAsia="en-IN"/>
                <w14:ligatures w14:val="none"/>
              </w:rPr>
            </w:pPr>
            <w:r w:rsidRPr="00CC4B23">
              <w:rPr>
                <w:rFonts w:ascii="Times New Roman" w:eastAsia="Times New Roman" w:hAnsi="Times New Roman" w:cs="Times New Roman"/>
                <w:kern w:val="0"/>
                <w:lang w:eastAsia="en-IN"/>
                <w14:ligatures w14:val="none"/>
              </w:rPr>
              <w:t>van der Hoorn et al., 2002 (</w:t>
            </w:r>
            <w:r w:rsidRPr="00CC4B23">
              <w:rPr>
                <w:rFonts w:ascii="Times New Roman" w:eastAsia="Times New Roman" w:hAnsi="Times New Roman" w:cs="Times New Roman"/>
                <w:i/>
                <w:iCs/>
                <w:kern w:val="0"/>
                <w:lang w:eastAsia="en-IN"/>
                <w14:ligatures w14:val="none"/>
              </w:rPr>
              <w:t>Plant J</w:t>
            </w:r>
            <w:r w:rsidRPr="00CC4B23">
              <w:rPr>
                <w:rFonts w:ascii="Times New Roman" w:eastAsia="Times New Roman" w:hAnsi="Times New Roman" w:cs="Times New Roman"/>
                <w:kern w:val="0"/>
                <w:lang w:eastAsia="en-IN"/>
                <w14:ligatures w14:val="none"/>
              </w:rPr>
              <w:t>)</w:t>
            </w:r>
          </w:p>
        </w:tc>
      </w:tr>
    </w:tbl>
    <w:p w14:paraId="57D4D41B" w14:textId="77777777" w:rsidR="00CC4B23" w:rsidRDefault="00CC4B23">
      <w:pPr>
        <w:spacing w:after="0" w:line="360" w:lineRule="auto"/>
        <w:jc w:val="both"/>
        <w:outlineLvl w:val="2"/>
        <w:rPr>
          <w:rFonts w:ascii="Times New Roman" w:eastAsia="Times New Roman" w:hAnsi="Times New Roman" w:cs="Times New Roman"/>
          <w:b/>
          <w:bCs/>
          <w:kern w:val="0"/>
          <w:lang w:eastAsia="en-IN"/>
          <w14:ligatures w14:val="none"/>
        </w:rPr>
      </w:pPr>
    </w:p>
    <w:p w14:paraId="55C09ECE" w14:textId="5559245D"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Hypersensitive Response (HR): Programmed Cell Death as Defense</w:t>
      </w:r>
    </w:p>
    <w:p w14:paraId="599922CB" w14:textId="77777777" w:rsidR="000E1FB3" w:rsidRDefault="00124AB5">
      <w:pPr>
        <w:spacing w:after="0" w:line="360" w:lineRule="auto"/>
        <w:ind w:firstLine="720"/>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A hallmark of effector-triggered immunity (ETI) is the hypersensitive response (HR). A localized version of programmed cell death (PCD) that halts biotrophic pathogens by sacrificing infected and neighbouring cells (</w:t>
      </w:r>
      <w:r>
        <w:rPr>
          <w:rFonts w:ascii="Times New Roman" w:hAnsi="Times New Roman" w:cs="Times New Roman"/>
        </w:rPr>
        <w:t xml:space="preserve">Dalio </w:t>
      </w:r>
      <w:r>
        <w:rPr>
          <w:rFonts w:ascii="Times New Roman" w:hAnsi="Times New Roman" w:cs="Times New Roman"/>
          <w:i/>
          <w:iCs/>
        </w:rPr>
        <w:t xml:space="preserve">et al., </w:t>
      </w:r>
      <w:r>
        <w:rPr>
          <w:rFonts w:ascii="Times New Roman" w:hAnsi="Times New Roman" w:cs="Times New Roman"/>
        </w:rPr>
        <w:t>2021)</w:t>
      </w:r>
      <w:r>
        <w:rPr>
          <w:rFonts w:ascii="Times New Roman" w:eastAsia="Times New Roman" w:hAnsi="Times New Roman" w:cs="Times New Roman"/>
          <w:kern w:val="0"/>
          <w:lang w:eastAsia="en-IN"/>
          <w14:ligatures w14:val="none"/>
        </w:rPr>
        <w:t xml:space="preserve">. This process is orchestrated through a sequence of tightly regulated events, including the rapid accumulation of ROS and NO, leading to disrupting the plasma membrane integrity, activation of proteases such as </w:t>
      </w:r>
      <w:proofErr w:type="spellStart"/>
      <w:r>
        <w:rPr>
          <w:rFonts w:ascii="Times New Roman" w:eastAsia="Times New Roman" w:hAnsi="Times New Roman" w:cs="Times New Roman"/>
          <w:kern w:val="0"/>
          <w:lang w:eastAsia="en-IN"/>
          <w14:ligatures w14:val="none"/>
        </w:rPr>
        <w:t>metacaspases</w:t>
      </w:r>
      <w:proofErr w:type="spellEnd"/>
      <w:r>
        <w:rPr>
          <w:rFonts w:ascii="Times New Roman" w:eastAsia="Times New Roman" w:hAnsi="Times New Roman" w:cs="Times New Roman"/>
          <w:kern w:val="0"/>
          <w:lang w:eastAsia="en-IN"/>
          <w14:ligatures w14:val="none"/>
        </w:rPr>
        <w:t>, and nuclear breakdown leading to DNA fragmentation. HR acts as a containment strategy, but to prevent unintended tissue damage, it is kept in check by negative regulators like certain NLR repressors and ubiquitin-mediated pathways (</w:t>
      </w:r>
      <w:proofErr w:type="spellStart"/>
      <w:r>
        <w:rPr>
          <w:rFonts w:ascii="Times New Roman" w:hAnsi="Times New Roman" w:cs="Times New Roman"/>
        </w:rPr>
        <w:t>Shlapakova</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2020)</w:t>
      </w:r>
      <w:r>
        <w:rPr>
          <w:rFonts w:ascii="Times New Roman" w:eastAsia="Times New Roman" w:hAnsi="Times New Roman" w:cs="Times New Roman"/>
          <w:kern w:val="0"/>
          <w:lang w:eastAsia="en-IN"/>
          <w14:ligatures w14:val="none"/>
        </w:rPr>
        <w:t xml:space="preserve">. Furthermore, the interplay of defense hormones particularly salicylic acid (SA), </w:t>
      </w:r>
      <w:r>
        <w:rPr>
          <w:rFonts w:ascii="Times New Roman" w:eastAsia="Times New Roman" w:hAnsi="Times New Roman" w:cs="Times New Roman"/>
          <w:kern w:val="0"/>
          <w:lang w:eastAsia="en-IN"/>
          <w14:ligatures w14:val="none"/>
        </w:rPr>
        <w:lastRenderedPageBreak/>
        <w:t>jasmonic acid (JA), and ethylene (ET) modulates the strength and extent of HR based on the pathogen’s lifestyle and environmental cues</w:t>
      </w:r>
      <w:r>
        <w:rPr>
          <w:rFonts w:ascii="Times New Roman" w:eastAsia="Times New Roman" w:hAnsi="Times New Roman" w:cs="Times New Roman"/>
          <w:b/>
          <w:bCs/>
          <w:kern w:val="0"/>
          <w:lang w:eastAsia="en-IN"/>
          <w14:ligatures w14:val="none"/>
        </w:rPr>
        <w:t>.</w:t>
      </w:r>
    </w:p>
    <w:p w14:paraId="62D8BD68"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ETI Across Model and Crop Species</w:t>
      </w:r>
    </w:p>
    <w:p w14:paraId="2FE71BB2" w14:textId="3FD56B6B"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ETI mechanism is highly conserved and widely documented across various plant taxa. In the model plant </w:t>
      </w:r>
      <w:r>
        <w:rPr>
          <w:rFonts w:ascii="Times New Roman" w:eastAsia="Times New Roman" w:hAnsi="Times New Roman" w:cs="Times New Roman"/>
          <w:i/>
          <w:iCs/>
          <w:kern w:val="0"/>
          <w:lang w:eastAsia="en-IN"/>
          <w14:ligatures w14:val="none"/>
        </w:rPr>
        <w:t>Arabidopsis thaliana</w:t>
      </w:r>
      <w:r>
        <w:rPr>
          <w:rFonts w:ascii="Times New Roman" w:eastAsia="Times New Roman" w:hAnsi="Times New Roman" w:cs="Times New Roman"/>
          <w:kern w:val="0"/>
          <w:lang w:eastAsia="en-IN"/>
          <w14:ligatures w14:val="none"/>
        </w:rPr>
        <w:t xml:space="preserve">, key NLRs such as RPM1, RPS2, RPP1, and ZAR1 have been instrumental in dissecting ETI pathways. Similarly, numerous crop species rely on NLR-mediated immunity for pathogen resistance. Examples include: Rice: the Pi-ta gene, which detects the effector AVR-Pita from </w:t>
      </w:r>
      <w:proofErr w:type="spellStart"/>
      <w:r>
        <w:rPr>
          <w:rFonts w:ascii="Times New Roman" w:eastAsia="Times New Roman" w:hAnsi="Times New Roman" w:cs="Times New Roman"/>
          <w:i/>
          <w:iCs/>
          <w:kern w:val="0"/>
          <w:lang w:eastAsia="en-IN"/>
          <w14:ligatures w14:val="none"/>
        </w:rPr>
        <w:t>Magnaporthe</w:t>
      </w:r>
      <w:proofErr w:type="spellEnd"/>
      <w:r>
        <w:rPr>
          <w:rFonts w:ascii="Times New Roman" w:eastAsia="Times New Roman" w:hAnsi="Times New Roman" w:cs="Times New Roman"/>
          <w:i/>
          <w:iCs/>
          <w:kern w:val="0"/>
          <w:lang w:eastAsia="en-IN"/>
          <w14:ligatures w14:val="none"/>
        </w:rPr>
        <w:t xml:space="preserve"> </w:t>
      </w:r>
      <w:proofErr w:type="spellStart"/>
      <w:r>
        <w:rPr>
          <w:rFonts w:ascii="Times New Roman" w:eastAsia="Times New Roman" w:hAnsi="Times New Roman" w:cs="Times New Roman"/>
          <w:i/>
          <w:iCs/>
          <w:kern w:val="0"/>
          <w:lang w:eastAsia="en-IN"/>
          <w14:ligatures w14:val="none"/>
        </w:rPr>
        <w:t>oryzae</w:t>
      </w:r>
      <w:proofErr w:type="spellEnd"/>
      <w:r>
        <w:rPr>
          <w:rFonts w:ascii="Times New Roman" w:eastAsia="Times New Roman" w:hAnsi="Times New Roman" w:cs="Times New Roman"/>
          <w:i/>
          <w:iCs/>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Xiao </w:t>
      </w:r>
      <w:r>
        <w:rPr>
          <w:rFonts w:ascii="Times New Roman" w:hAnsi="Times New Roman" w:cs="Times New Roman"/>
          <w:i/>
          <w:iCs/>
        </w:rPr>
        <w:t xml:space="preserve">et al., </w:t>
      </w:r>
      <w:r>
        <w:rPr>
          <w:rFonts w:ascii="Times New Roman" w:hAnsi="Times New Roman" w:cs="Times New Roman"/>
        </w:rPr>
        <w:t>2024)</w:t>
      </w:r>
      <w:r>
        <w:rPr>
          <w:rFonts w:ascii="Times New Roman" w:eastAsia="Times New Roman" w:hAnsi="Times New Roman" w:cs="Times New Roman"/>
          <w:kern w:val="0"/>
          <w:lang w:eastAsia="en-IN"/>
          <w14:ligatures w14:val="none"/>
        </w:rPr>
        <w:t xml:space="preserve">; Tomato: </w:t>
      </w:r>
      <w:proofErr w:type="spellStart"/>
      <w:r>
        <w:rPr>
          <w:rFonts w:ascii="Times New Roman" w:eastAsia="Times New Roman" w:hAnsi="Times New Roman" w:cs="Times New Roman"/>
          <w:kern w:val="0"/>
          <w:lang w:eastAsia="en-IN"/>
          <w14:ligatures w14:val="none"/>
        </w:rPr>
        <w:t>Pto</w:t>
      </w:r>
      <w:proofErr w:type="spellEnd"/>
      <w:r>
        <w:rPr>
          <w:rFonts w:ascii="Times New Roman" w:eastAsia="Times New Roman" w:hAnsi="Times New Roman" w:cs="Times New Roman"/>
          <w:kern w:val="0"/>
          <w:lang w:eastAsia="en-IN"/>
          <w14:ligatures w14:val="none"/>
        </w:rPr>
        <w:t xml:space="preserve">, which perceives </w:t>
      </w:r>
      <w:proofErr w:type="spellStart"/>
      <w:r>
        <w:rPr>
          <w:rFonts w:ascii="Times New Roman" w:eastAsia="Times New Roman" w:hAnsi="Times New Roman" w:cs="Times New Roman"/>
          <w:kern w:val="0"/>
          <w:lang w:eastAsia="en-IN"/>
          <w14:ligatures w14:val="none"/>
        </w:rPr>
        <w:t>AvrPto</w:t>
      </w:r>
      <w:proofErr w:type="spellEnd"/>
      <w:r>
        <w:rPr>
          <w:rFonts w:ascii="Times New Roman" w:eastAsia="Times New Roman" w:hAnsi="Times New Roman" w:cs="Times New Roman"/>
          <w:kern w:val="0"/>
          <w:lang w:eastAsia="en-IN"/>
          <w14:ligatures w14:val="none"/>
        </w:rPr>
        <w:t xml:space="preserve"> from </w:t>
      </w:r>
      <w:r>
        <w:rPr>
          <w:rFonts w:ascii="Times New Roman" w:eastAsia="Times New Roman" w:hAnsi="Times New Roman" w:cs="Times New Roman"/>
          <w:i/>
          <w:iCs/>
          <w:kern w:val="0"/>
          <w:lang w:eastAsia="en-IN"/>
          <w14:ligatures w14:val="none"/>
        </w:rPr>
        <w:t>Pseudomonas syringae</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Lin &amp; </w:t>
      </w:r>
      <w:proofErr w:type="gramStart"/>
      <w:r>
        <w:rPr>
          <w:rFonts w:ascii="Times New Roman" w:hAnsi="Times New Roman" w:cs="Times New Roman"/>
        </w:rPr>
        <w:t>Martin,  2005</w:t>
      </w:r>
      <w:proofErr w:type="gramEnd"/>
      <w:r>
        <w:rPr>
          <w:rFonts w:ascii="Times New Roman" w:hAnsi="Times New Roman" w:cs="Times New Roman"/>
        </w:rPr>
        <w:t>)</w:t>
      </w:r>
      <w:r>
        <w:rPr>
          <w:rFonts w:ascii="Times New Roman" w:eastAsia="Times New Roman" w:hAnsi="Times New Roman" w:cs="Times New Roman"/>
          <w:kern w:val="0"/>
          <w:lang w:eastAsia="en-IN"/>
          <w14:ligatures w14:val="none"/>
        </w:rPr>
        <w:t xml:space="preserve">; and Potato: R3a, effective against </w:t>
      </w:r>
      <w:r>
        <w:rPr>
          <w:rFonts w:ascii="Times New Roman" w:eastAsia="Times New Roman" w:hAnsi="Times New Roman" w:cs="Times New Roman"/>
          <w:i/>
          <w:iCs/>
          <w:kern w:val="0"/>
          <w:lang w:eastAsia="en-IN"/>
          <w14:ligatures w14:val="none"/>
        </w:rPr>
        <w:t>Phytophthora infestans</w:t>
      </w:r>
      <w:r w:rsidR="00CC4B23">
        <w:rPr>
          <w:rFonts w:ascii="Times New Roman" w:eastAsia="Times New Roman" w:hAnsi="Times New Roman" w:cs="Times New Roman"/>
          <w:i/>
          <w:iCs/>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Chapman </w:t>
      </w:r>
      <w:r>
        <w:rPr>
          <w:rFonts w:ascii="Times New Roman" w:hAnsi="Times New Roman" w:cs="Times New Roman"/>
          <w:i/>
          <w:iCs/>
        </w:rPr>
        <w:t xml:space="preserve">et al., </w:t>
      </w:r>
      <w:r>
        <w:rPr>
          <w:rFonts w:ascii="Times New Roman" w:hAnsi="Times New Roman" w:cs="Times New Roman"/>
        </w:rPr>
        <w:t>2014)</w:t>
      </w:r>
      <w:r>
        <w:rPr>
          <w:rFonts w:ascii="Times New Roman" w:eastAsia="Times New Roman" w:hAnsi="Times New Roman" w:cs="Times New Roman"/>
          <w:kern w:val="0"/>
          <w:lang w:eastAsia="en-IN"/>
          <w14:ligatures w14:val="none"/>
        </w:rPr>
        <w:t>.</w:t>
      </w:r>
    </w:p>
    <w:p w14:paraId="501E3821"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Zig-Zag Model of Plant Immunity: Integrating PTI, ETS, and ETI</w:t>
      </w:r>
    </w:p>
    <w:p w14:paraId="325C3A3B" w14:textId="77777777" w:rsidR="000E1FB3" w:rsidRDefault="00124AB5">
      <w:pPr>
        <w:spacing w:after="0" w:line="360" w:lineRule="auto"/>
        <w:ind w:firstLine="360"/>
        <w:jc w:val="both"/>
        <w:outlineLvl w:val="2"/>
        <w:rPr>
          <w:rFonts w:ascii="Times New Roman" w:eastAsia="Times New Roman" w:hAnsi="Times New Roman" w:cs="Times New Roman"/>
          <w:bCs/>
          <w:kern w:val="0"/>
          <w:lang w:eastAsia="en-IN"/>
          <w14:ligatures w14:val="none"/>
        </w:rPr>
      </w:pPr>
      <w:r>
        <w:rPr>
          <w:rFonts w:ascii="Times New Roman" w:eastAsia="Times New Roman" w:hAnsi="Times New Roman" w:cs="Times New Roman"/>
          <w:bCs/>
          <w:kern w:val="0"/>
          <w:lang w:eastAsia="en-IN"/>
          <w14:ligatures w14:val="none"/>
        </w:rPr>
        <w:t>The evolving interaction between plants and pathogens is well illustrated by the zig-zag model, which outlines the fluctuating strength of immune responses during the course of infection. Initially, plants recognize conserved microbial signatures known as PAMPs, leading to the activation of pattern-triggered immunity (PTI) a moderate but effective defense response. However, adapted pathogens deploy effector proteins that suppress PTI, resulting in effector-triggered susceptibility (ETS) and allowing colonization to proceed. This is depicted in the model as a dip in defense amplitude following the initial PTI peak (</w:t>
      </w:r>
      <w:r>
        <w:rPr>
          <w:rFonts w:ascii="Times New Roman" w:hAnsi="Times New Roman" w:cs="Times New Roman"/>
        </w:rPr>
        <w:t>Jones &amp; Dangl, 2006)</w:t>
      </w:r>
      <w:r>
        <w:rPr>
          <w:rFonts w:ascii="Times New Roman" w:eastAsia="Times New Roman" w:hAnsi="Times New Roman" w:cs="Times New Roman"/>
          <w:bCs/>
          <w:kern w:val="0"/>
          <w:lang w:eastAsia="en-IN"/>
          <w14:ligatures w14:val="none"/>
        </w:rPr>
        <w:t>.</w:t>
      </w:r>
    </w:p>
    <w:p w14:paraId="1732C706" w14:textId="77777777" w:rsidR="000E1FB3" w:rsidRDefault="00124AB5">
      <w:pPr>
        <w:spacing w:after="0" w:line="360" w:lineRule="auto"/>
        <w:ind w:firstLine="360"/>
        <w:jc w:val="both"/>
        <w:outlineLvl w:val="2"/>
        <w:rPr>
          <w:rFonts w:ascii="Times New Roman" w:eastAsia="Times New Roman" w:hAnsi="Times New Roman" w:cs="Times New Roman"/>
          <w:bCs/>
          <w:kern w:val="0"/>
          <w:lang w:eastAsia="en-IN"/>
          <w14:ligatures w14:val="none"/>
        </w:rPr>
      </w:pPr>
      <w:r>
        <w:rPr>
          <w:rFonts w:ascii="Times New Roman" w:eastAsia="Times New Roman" w:hAnsi="Times New Roman" w:cs="Times New Roman"/>
          <w:bCs/>
          <w:kern w:val="0"/>
          <w:lang w:eastAsia="en-IN"/>
          <w14:ligatures w14:val="none"/>
        </w:rPr>
        <w:t xml:space="preserve">In response, plants counter this suppression by evolving R proteins (often NLRs) that specifically recognize </w:t>
      </w:r>
      <w:proofErr w:type="spellStart"/>
      <w:r>
        <w:rPr>
          <w:rFonts w:ascii="Times New Roman" w:eastAsia="Times New Roman" w:hAnsi="Times New Roman" w:cs="Times New Roman"/>
          <w:bCs/>
          <w:kern w:val="0"/>
          <w:lang w:eastAsia="en-IN"/>
          <w14:ligatures w14:val="none"/>
        </w:rPr>
        <w:t>avirulence</w:t>
      </w:r>
      <w:proofErr w:type="spellEnd"/>
      <w:r>
        <w:rPr>
          <w:rFonts w:ascii="Times New Roman" w:eastAsia="Times New Roman" w:hAnsi="Times New Roman" w:cs="Times New Roman"/>
          <w:bCs/>
          <w:kern w:val="0"/>
          <w:lang w:eastAsia="en-IN"/>
          <w14:ligatures w14:val="none"/>
        </w:rPr>
        <w:t xml:space="preserve"> (</w:t>
      </w:r>
      <w:proofErr w:type="spellStart"/>
      <w:r>
        <w:rPr>
          <w:rFonts w:ascii="Times New Roman" w:eastAsia="Times New Roman" w:hAnsi="Times New Roman" w:cs="Times New Roman"/>
          <w:bCs/>
          <w:kern w:val="0"/>
          <w:lang w:eastAsia="en-IN"/>
          <w14:ligatures w14:val="none"/>
        </w:rPr>
        <w:t>Avr</w:t>
      </w:r>
      <w:proofErr w:type="spellEnd"/>
      <w:r>
        <w:rPr>
          <w:rFonts w:ascii="Times New Roman" w:eastAsia="Times New Roman" w:hAnsi="Times New Roman" w:cs="Times New Roman"/>
          <w:bCs/>
          <w:kern w:val="0"/>
          <w:lang w:eastAsia="en-IN"/>
          <w14:ligatures w14:val="none"/>
        </w:rPr>
        <w:t>) effectors. This interaction triggers effector-triggered immunity (ETI), a heightened immune reaction that often surpasses the threshold required for hypersensitive response (HR) a form of localized programmed cell death (</w:t>
      </w:r>
      <w:r>
        <w:rPr>
          <w:rFonts w:ascii="Times New Roman" w:hAnsi="Times New Roman" w:cs="Times New Roman"/>
        </w:rPr>
        <w:t xml:space="preserve">Wu </w:t>
      </w:r>
      <w:r>
        <w:rPr>
          <w:rFonts w:ascii="Times New Roman" w:hAnsi="Times New Roman" w:cs="Times New Roman"/>
          <w:i/>
          <w:iCs/>
        </w:rPr>
        <w:t xml:space="preserve">et al., </w:t>
      </w:r>
      <w:r>
        <w:rPr>
          <w:rFonts w:ascii="Times New Roman" w:hAnsi="Times New Roman" w:cs="Times New Roman"/>
        </w:rPr>
        <w:t>2014)</w:t>
      </w:r>
      <w:r>
        <w:rPr>
          <w:rFonts w:ascii="Times New Roman" w:eastAsia="Times New Roman" w:hAnsi="Times New Roman" w:cs="Times New Roman"/>
          <w:bCs/>
          <w:kern w:val="0"/>
          <w:lang w:eastAsia="en-IN"/>
          <w14:ligatures w14:val="none"/>
        </w:rPr>
        <w:t>. The Fig. 2 further illustrates how pathogens may again evolve novel effectors to evade recognition, temporarily regaining virulence and causing a subsequent drop in defense. However, the plant immune system continues to adapt, recognizing newer effectors and re-establishing ETI. This back-and-forth dynamic is reflected in the zig-zag pattern of immune intensity, underscoring the co-evolutionary race between host defense mechanism and pathogen offense tactics.</w:t>
      </w:r>
    </w:p>
    <w:p w14:paraId="1209DFA3" w14:textId="77777777" w:rsidR="000E1FB3" w:rsidRDefault="00124AB5">
      <w:pPr>
        <w:jc w:val="both"/>
        <w:rPr>
          <w:rFonts w:ascii="Times New Roman" w:hAnsi="Times New Roman" w:cs="Times New Roman"/>
          <w:b/>
          <w:bCs/>
        </w:rPr>
      </w:pPr>
      <w:r>
        <w:rPr>
          <w:rFonts w:ascii="Times New Roman" w:hAnsi="Times New Roman" w:cs="Times New Roman"/>
          <w:b/>
          <w:bCs/>
        </w:rPr>
        <w:t>Early Events: Calcium Influx, ROS Burst and Kinase Activation</w:t>
      </w:r>
    </w:p>
    <w:p w14:paraId="1FD53B5F" w14:textId="77777777" w:rsidR="000E1FB3" w:rsidRDefault="00124AB5">
      <w:pPr>
        <w:spacing w:after="0" w:line="360" w:lineRule="auto"/>
        <w:ind w:firstLine="360"/>
        <w:jc w:val="both"/>
        <w:outlineLvl w:val="2"/>
        <w:rPr>
          <w:rFonts w:ascii="Times New Roman" w:eastAsia="Times New Roman" w:hAnsi="Times New Roman" w:cs="Times New Roman"/>
          <w:b/>
          <w:kern w:val="0"/>
          <w:lang w:eastAsia="en-IN"/>
          <w14:ligatures w14:val="none"/>
        </w:rPr>
      </w:pPr>
      <w:r>
        <w:rPr>
          <w:rFonts w:ascii="Times New Roman" w:hAnsi="Times New Roman" w:cs="Times New Roman"/>
        </w:rPr>
        <w:t>Upon sensing pathogen-derived molecules, plants trigger rapid intracellular signals to translate detection into an effective immune response. One of the earliest shifts is a transient rise in cytosolic calcium (Ca²⁺), which acts as a central secondary messenger. Calcium sensors such as calmodulins (</w:t>
      </w:r>
      <w:proofErr w:type="spellStart"/>
      <w:r>
        <w:rPr>
          <w:rFonts w:ascii="Times New Roman" w:hAnsi="Times New Roman" w:cs="Times New Roman"/>
        </w:rPr>
        <w:t>CaMs</w:t>
      </w:r>
      <w:proofErr w:type="spellEnd"/>
      <w:r>
        <w:rPr>
          <w:rFonts w:ascii="Times New Roman" w:hAnsi="Times New Roman" w:cs="Times New Roman"/>
        </w:rPr>
        <w:t xml:space="preserve">) and calcium-dependent protein kinases (CDPKs) decode these </w:t>
      </w:r>
      <w:r>
        <w:rPr>
          <w:rFonts w:ascii="Times New Roman" w:hAnsi="Times New Roman" w:cs="Times New Roman"/>
        </w:rPr>
        <w:lastRenderedPageBreak/>
        <w:t xml:space="preserve">changes and initiate phosphorylation cascades that lead to altered gene expression and </w:t>
      </w:r>
      <w:proofErr w:type="spellStart"/>
      <w:r>
        <w:rPr>
          <w:rFonts w:ascii="Times New Roman" w:hAnsi="Times New Roman" w:cs="Times New Roman"/>
        </w:rPr>
        <w:t>defense</w:t>
      </w:r>
      <w:proofErr w:type="spellEnd"/>
      <w:r>
        <w:rPr>
          <w:rFonts w:ascii="Times New Roman" w:hAnsi="Times New Roman" w:cs="Times New Roman"/>
        </w:rPr>
        <w:t xml:space="preserve"> mobilization (</w:t>
      </w:r>
      <w:proofErr w:type="spellStart"/>
      <w:r>
        <w:rPr>
          <w:rFonts w:ascii="Times New Roman" w:hAnsi="Times New Roman" w:cs="Times New Roman"/>
        </w:rPr>
        <w:t>Kameswaran</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 xml:space="preserve">2024).  </w:t>
      </w:r>
    </w:p>
    <w:p w14:paraId="5253661B" w14:textId="77777777" w:rsidR="000E1FB3" w:rsidRDefault="00124AB5">
      <w:pPr>
        <w:spacing w:before="100" w:beforeAutospacing="1" w:after="100" w:afterAutospacing="1" w:line="240" w:lineRule="auto"/>
        <w:ind w:left="36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rPr>
        <w:t xml:space="preserve">      </w:t>
      </w:r>
      <w:r>
        <w:rPr>
          <w:noProof/>
        </w:rPr>
        <w:drawing>
          <wp:inline distT="0" distB="0" distL="0" distR="0" wp14:anchorId="6DD8C5D8" wp14:editId="302AEEA0">
            <wp:extent cx="4594860" cy="2713355"/>
            <wp:effectExtent l="0" t="0" r="0" b="0"/>
            <wp:docPr id="89094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860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01088" cy="2717528"/>
                    </a:xfrm>
                    <a:prstGeom prst="rect">
                      <a:avLst/>
                    </a:prstGeom>
                    <a:noFill/>
                    <a:ln>
                      <a:noFill/>
                    </a:ln>
                  </pic:spPr>
                </pic:pic>
              </a:graphicData>
            </a:graphic>
          </wp:inline>
        </w:drawing>
      </w:r>
    </w:p>
    <w:p w14:paraId="6480F54B" w14:textId="1BC65ED2" w:rsidR="000E1FB3" w:rsidRDefault="00124AB5">
      <w:pPr>
        <w:jc w:val="both"/>
        <w:rPr>
          <w:rFonts w:ascii="Times New Roman" w:hAnsi="Times New Roman" w:cs="Times New Roman"/>
        </w:rPr>
      </w:pPr>
      <w:r>
        <w:rPr>
          <w:rFonts w:ascii="Times New Roman" w:hAnsi="Times New Roman" w:cs="Times New Roman"/>
        </w:rPr>
        <w:t>Fig</w:t>
      </w:r>
      <w:r w:rsidR="00F55F61">
        <w:rPr>
          <w:rFonts w:ascii="Times New Roman" w:hAnsi="Times New Roman" w:cs="Times New Roman"/>
        </w:rPr>
        <w:t xml:space="preserve"> 2</w:t>
      </w:r>
      <w:r>
        <w:rPr>
          <w:rFonts w:ascii="Times New Roman" w:hAnsi="Times New Roman" w:cs="Times New Roman"/>
        </w:rPr>
        <w:t>.  The Zig-Zag Model of Plant Immunity: Integration of Pattern-Triggered Immunity (PTI), Effector-Triggered Susceptibility (ETS), and Effector-Triggered Immunity (ETI)</w:t>
      </w:r>
    </w:p>
    <w:p w14:paraId="424F3622" w14:textId="77777777" w:rsidR="000E1FB3" w:rsidRDefault="00124AB5">
      <w:pPr>
        <w:jc w:val="both"/>
        <w:rPr>
          <w:rFonts w:ascii="Times New Roman" w:hAnsi="Times New Roman" w:cs="Times New Roman"/>
          <w:b/>
          <w:bCs/>
        </w:rPr>
      </w:pPr>
      <w:r>
        <w:rPr>
          <w:rFonts w:ascii="Times New Roman" w:hAnsi="Times New Roman" w:cs="Times New Roman"/>
          <w:b/>
          <w:bCs/>
        </w:rPr>
        <w:t>Signal Transduction in Plant Immunity</w:t>
      </w:r>
    </w:p>
    <w:p w14:paraId="73DC81CD"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At the same time, a burst of reactive oxygen species (ROS), largely </w:t>
      </w:r>
      <w:proofErr w:type="spellStart"/>
      <w:r>
        <w:rPr>
          <w:rFonts w:ascii="Times New Roman" w:hAnsi="Times New Roman" w:cs="Times New Roman"/>
        </w:rPr>
        <w:t>catalyzed</w:t>
      </w:r>
      <w:proofErr w:type="spellEnd"/>
      <w:r>
        <w:rPr>
          <w:rFonts w:ascii="Times New Roman" w:hAnsi="Times New Roman" w:cs="Times New Roman"/>
        </w:rPr>
        <w:t xml:space="preserve"> by NADPH oxidase RBOHD, is unleashed at the site of infection. These ROS serve dual functions direct antimicrobial action and amplification of downstream signaling. Interestingly, Ca²⁺ and ROS often reinforce themselves through positive feedback loops, ensuring robust signal propagation (Zhang </w:t>
      </w:r>
      <w:r>
        <w:rPr>
          <w:rFonts w:ascii="Times New Roman" w:hAnsi="Times New Roman" w:cs="Times New Roman"/>
          <w:i/>
          <w:iCs/>
        </w:rPr>
        <w:t xml:space="preserve">et al., </w:t>
      </w:r>
      <w:r>
        <w:rPr>
          <w:rFonts w:ascii="Times New Roman" w:hAnsi="Times New Roman" w:cs="Times New Roman"/>
        </w:rPr>
        <w:t xml:space="preserve">2018). Simultaneously, mitogen-activated protein kinase (MAPK) cascades particularly involving MPK3, MPK4 and MPK6—are activated. These cascades, organized in a three-tiered structure (MAPKKK → MAPKK → MAPK), transmit signals to the nucleus, where it </w:t>
      </w:r>
      <w:proofErr w:type="gramStart"/>
      <w:r>
        <w:rPr>
          <w:rFonts w:ascii="Times New Roman" w:hAnsi="Times New Roman" w:cs="Times New Roman"/>
        </w:rPr>
        <w:t>is  regulated</w:t>
      </w:r>
      <w:proofErr w:type="gramEnd"/>
      <w:r>
        <w:rPr>
          <w:rFonts w:ascii="Times New Roman" w:hAnsi="Times New Roman" w:cs="Times New Roman"/>
        </w:rPr>
        <w:t xml:space="preserve"> by transcription factors and enzymes central to defense, including those involved in phytoalexin synthesis and PR gene induction (Bai, 2018).</w:t>
      </w:r>
    </w:p>
    <w:p w14:paraId="6D6C924D" w14:textId="77777777" w:rsidR="000E1FB3" w:rsidRDefault="00124AB5">
      <w:pPr>
        <w:spacing w:line="360" w:lineRule="auto"/>
        <w:ind w:firstLine="720"/>
        <w:jc w:val="both"/>
        <w:rPr>
          <w:rFonts w:ascii="Times New Roman" w:hAnsi="Times New Roman" w:cs="Times New Roman"/>
        </w:rPr>
      </w:pP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Following the early waves of calcium influx and ROS generation, plant immune signaling relies on an array of secondary messengers to fine-tune and amplify the response. Among the most prominent are nitric oxide (NO) and inositol phosphates, which act in tandem with Ca²⁺ and ROS to coordinate downstream defense outputs. Nitric oxide is rapidly synthesized upon PAMP or effector recognition, often via nitric oxide synthase-like (NOS-like) enzymes or nitrate reductase pathways. NO functions both as a diffusible signaling molecule and a modulator of redox homeostasis. It interacts synergistically with ROS to induce </w:t>
      </w:r>
      <w:r>
        <w:rPr>
          <w:rFonts w:ascii="Times New Roman" w:hAnsi="Times New Roman" w:cs="Times New Roman"/>
        </w:rPr>
        <w:lastRenderedPageBreak/>
        <w:t>programmed cell death (HR) and can modify proteins through S-</w:t>
      </w:r>
      <w:proofErr w:type="spellStart"/>
      <w:r>
        <w:rPr>
          <w:rFonts w:ascii="Times New Roman" w:hAnsi="Times New Roman" w:cs="Times New Roman"/>
        </w:rPr>
        <w:t>nitrosylation</w:t>
      </w:r>
      <w:proofErr w:type="spellEnd"/>
      <w:r>
        <w:rPr>
          <w:rFonts w:ascii="Times New Roman" w:hAnsi="Times New Roman" w:cs="Times New Roman"/>
        </w:rPr>
        <w:t xml:space="preserve">, altering the activity of transcription factors and kinases involved in defense (Delledonne </w:t>
      </w:r>
      <w:r>
        <w:rPr>
          <w:rFonts w:ascii="Times New Roman" w:hAnsi="Times New Roman" w:cs="Times New Roman"/>
          <w:i/>
          <w:iCs/>
        </w:rPr>
        <w:t>et al.,</w:t>
      </w:r>
      <w:r>
        <w:rPr>
          <w:rFonts w:ascii="Times New Roman" w:hAnsi="Times New Roman" w:cs="Times New Roman"/>
        </w:rPr>
        <w:t xml:space="preserve"> 1998). Its tight spatial and temporal regulation ensures that the immune responses are confined and effective.</w:t>
      </w:r>
    </w:p>
    <w:p w14:paraId="7935857C"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Inositol phosphates, particularly inositol triphosphate (IP₃) and phosphatidylinositol-4,5-bisphosphate (PIP₂), play a key role in calcium mobilization from intracellular stores. The cleavage of PIP₂ by phospholipase C (PLC) generates IP₃, which binds to IP₃ receptors on the endoplasmic reticulum, triggering the release of stored Ca²⁺ and further amplifying cytosolic calcium signaling. This mechanism not only boosts the early calcium wave but also enables spatial propagation of the immune signal across tissues. Additionally, cyclic nucleotides (cAMP and cGMP) and phosphatidic acid (PA) have been footprinted in plant immunity, though their roles are less clearly defined (Torti &amp; Lapetina, 2002). PA is known to interact with NADPH oxidases and protein kinases, potentially bridging lipid signaling and oxidative bursts. Together, these secondary messengers create a dynamic signaling network that ensures precise coordination towards immune responses across cellular compartments.</w:t>
      </w:r>
    </w:p>
    <w:p w14:paraId="154EED72"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Hormonal Integration and Crosstalk in Plant Immunity</w:t>
      </w:r>
    </w:p>
    <w:p w14:paraId="0FF7EA96"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Phytohormones function as key regulators that integrate immune signals and coordinate appropriate defense responses based on the pathogen’s lifestyle. Among them, salicylic acid (SA), jasmonic acid (JA), and ethylene (ET) form the core hormonal triad that modulates plant immunity. SA is primarily associated with defense against biotrophic pathogens, which require living host cells for survival (Yang </w:t>
      </w:r>
      <w:r>
        <w:rPr>
          <w:rFonts w:ascii="Times New Roman" w:hAnsi="Times New Roman" w:cs="Times New Roman"/>
          <w:i/>
          <w:iCs/>
        </w:rPr>
        <w:t xml:space="preserve">et al., </w:t>
      </w:r>
      <w:r>
        <w:rPr>
          <w:rFonts w:ascii="Times New Roman" w:hAnsi="Times New Roman" w:cs="Times New Roman"/>
          <w:iCs/>
        </w:rPr>
        <w:t>2015)</w:t>
      </w:r>
      <w:r>
        <w:rPr>
          <w:rFonts w:ascii="Times New Roman" w:hAnsi="Times New Roman" w:cs="Times New Roman"/>
        </w:rPr>
        <w:t>. Upon recognition of PAMPs or effectors, SA levels increase locally and systemically, promoting the expression of genes related to pathogenesis-related (PR) and the establishment of systemic acquired resistance (SAR). Central to this pathway is NPR1 (non-expressor of pathogenesis-related genes 1), a redox-sensitive regulator that modulates SA-responsive transcriptional programs (Pieterse</w:t>
      </w:r>
      <w:r>
        <w:rPr>
          <w:rFonts w:ascii="Times New Roman" w:hAnsi="Times New Roman" w:cs="Times New Roman"/>
          <w:i/>
          <w:iCs/>
        </w:rPr>
        <w:t xml:space="preserve"> et al., </w:t>
      </w:r>
      <w:r>
        <w:rPr>
          <w:rFonts w:ascii="Times New Roman" w:hAnsi="Times New Roman" w:cs="Times New Roman"/>
        </w:rPr>
        <w:t xml:space="preserve">2012). NPR1 </w:t>
      </w:r>
      <w:proofErr w:type="spellStart"/>
      <w:r>
        <w:rPr>
          <w:rFonts w:ascii="Times New Roman" w:hAnsi="Times New Roman" w:cs="Times New Roman"/>
        </w:rPr>
        <w:t>translocates</w:t>
      </w:r>
      <w:proofErr w:type="spellEnd"/>
      <w:r>
        <w:rPr>
          <w:rFonts w:ascii="Times New Roman" w:hAnsi="Times New Roman" w:cs="Times New Roman"/>
        </w:rPr>
        <w:t xml:space="preserve"> to the nucleus in its monomeric form, where it interacts with transcription factors to activate PR gene expression.</w:t>
      </w:r>
    </w:p>
    <w:p w14:paraId="34EF2A80" w14:textId="1DF5AA7B"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 striking feature of plant hormonal signaling is the SA–JA antagonism. These pathways can suppress each other, ensuring that energy is allocated to the most relevant defense arm. For instance, SA can suppress JA-mediated </w:t>
      </w:r>
      <w:proofErr w:type="spellStart"/>
      <w:r>
        <w:rPr>
          <w:rFonts w:ascii="Times New Roman" w:hAnsi="Times New Roman" w:cs="Times New Roman"/>
        </w:rPr>
        <w:t>defenses</w:t>
      </w:r>
      <w:proofErr w:type="spellEnd"/>
      <w:r>
        <w:rPr>
          <w:rFonts w:ascii="Times New Roman" w:hAnsi="Times New Roman" w:cs="Times New Roman"/>
        </w:rPr>
        <w:t xml:space="preserve"> during biotroph attack, while JA may dampen SA responses under </w:t>
      </w:r>
      <w:proofErr w:type="spellStart"/>
      <w:r>
        <w:rPr>
          <w:rFonts w:ascii="Times New Roman" w:hAnsi="Times New Roman" w:cs="Times New Roman"/>
        </w:rPr>
        <w:t>necrotroph</w:t>
      </w:r>
      <w:proofErr w:type="spellEnd"/>
      <w:r>
        <w:rPr>
          <w:rFonts w:ascii="Times New Roman" w:hAnsi="Times New Roman" w:cs="Times New Roman"/>
        </w:rPr>
        <w:t xml:space="preserve"> infection. Certain pathogens exploit this antagonism to their advantage</w:t>
      </w:r>
      <w:r w:rsidR="00CC4B23">
        <w:rPr>
          <w:rFonts w:ascii="Times New Roman" w:hAnsi="Times New Roman" w:cs="Times New Roman"/>
        </w:rPr>
        <w:t xml:space="preserve"> </w:t>
      </w:r>
      <w:r>
        <w:rPr>
          <w:rFonts w:ascii="Times New Roman" w:hAnsi="Times New Roman" w:cs="Times New Roman"/>
        </w:rPr>
        <w:t xml:space="preserve">for example, </w:t>
      </w:r>
      <w:r>
        <w:rPr>
          <w:rFonts w:ascii="Times New Roman" w:hAnsi="Times New Roman" w:cs="Times New Roman"/>
          <w:i/>
          <w:iCs/>
        </w:rPr>
        <w:t>Pseudomonas syringae</w:t>
      </w:r>
      <w:r>
        <w:rPr>
          <w:rFonts w:ascii="Times New Roman" w:hAnsi="Times New Roman" w:cs="Times New Roman"/>
        </w:rPr>
        <w:t xml:space="preserve"> produces coronatine, a JA mimic, to </w:t>
      </w:r>
      <w:r>
        <w:rPr>
          <w:rFonts w:ascii="Times New Roman" w:hAnsi="Times New Roman" w:cs="Times New Roman"/>
        </w:rPr>
        <w:lastRenderedPageBreak/>
        <w:t>suppress SA-mediated resistance and facilitate colonization</w:t>
      </w:r>
      <w:r w:rsidR="00CC4B23">
        <w:rPr>
          <w:rFonts w:ascii="Times New Roman" w:hAnsi="Times New Roman" w:cs="Times New Roman"/>
        </w:rPr>
        <w:t xml:space="preserve"> as such others are also mentioned in the Table 2</w:t>
      </w:r>
      <w:r>
        <w:rPr>
          <w:rFonts w:ascii="Times New Roman" w:hAnsi="Times New Roman" w:cs="Times New Roman"/>
        </w:rPr>
        <w:t>.</w:t>
      </w:r>
    </w:p>
    <w:p w14:paraId="3B84A00F" w14:textId="77777777" w:rsidR="00B13DEF" w:rsidRDefault="00B13DEF">
      <w:pPr>
        <w:spacing w:line="360" w:lineRule="auto"/>
        <w:ind w:firstLine="720"/>
        <w:jc w:val="both"/>
        <w:rPr>
          <w:rFonts w:ascii="Times New Roman" w:hAnsi="Times New Roman" w:cs="Times New Roman"/>
        </w:rPr>
      </w:pPr>
    </w:p>
    <w:p w14:paraId="33B96FFA" w14:textId="1276B5C6" w:rsidR="00B13DEF" w:rsidRPr="00CC4B23" w:rsidRDefault="00CC4B23" w:rsidP="00CC4B23">
      <w:pPr>
        <w:spacing w:line="360" w:lineRule="auto"/>
        <w:jc w:val="both"/>
        <w:rPr>
          <w:rFonts w:ascii="Times New Roman" w:hAnsi="Times New Roman" w:cs="Times New Roman"/>
          <w:b/>
          <w:bCs/>
        </w:rPr>
      </w:pPr>
      <w:r w:rsidRPr="00CC4B23">
        <w:rPr>
          <w:rFonts w:ascii="Times New Roman" w:hAnsi="Times New Roman" w:cs="Times New Roman"/>
          <w:b/>
          <w:bCs/>
        </w:rPr>
        <w:t xml:space="preserve">Table </w:t>
      </w:r>
      <w:r w:rsidR="00390CEA">
        <w:rPr>
          <w:rFonts w:ascii="Times New Roman" w:hAnsi="Times New Roman" w:cs="Times New Roman"/>
          <w:b/>
          <w:bCs/>
        </w:rPr>
        <w:t>3</w:t>
      </w:r>
      <w:bookmarkStart w:id="0" w:name="_GoBack"/>
      <w:bookmarkEnd w:id="0"/>
      <w:r w:rsidRPr="00CC4B23">
        <w:rPr>
          <w:rFonts w:ascii="Times New Roman" w:hAnsi="Times New Roman" w:cs="Times New Roman"/>
          <w:b/>
          <w:bCs/>
        </w:rPr>
        <w:t>. Key Plant Hormones and Their Roles in Immune Regulation</w:t>
      </w:r>
    </w:p>
    <w:tbl>
      <w:tblPr>
        <w:tblStyle w:val="TableGrid"/>
        <w:tblW w:w="0" w:type="auto"/>
        <w:tblLook w:val="04A0" w:firstRow="1" w:lastRow="0" w:firstColumn="1" w:lastColumn="0" w:noHBand="0" w:noVBand="1"/>
      </w:tblPr>
      <w:tblGrid>
        <w:gridCol w:w="1345"/>
        <w:gridCol w:w="2207"/>
        <w:gridCol w:w="1614"/>
        <w:gridCol w:w="2066"/>
        <w:gridCol w:w="1784"/>
      </w:tblGrid>
      <w:tr w:rsidR="00B13DEF" w:rsidRPr="00B13DEF" w14:paraId="27D24CA9" w14:textId="77777777" w:rsidTr="00B13DEF">
        <w:tc>
          <w:tcPr>
            <w:tcW w:w="0" w:type="auto"/>
            <w:hideMark/>
          </w:tcPr>
          <w:p w14:paraId="5BC789EF" w14:textId="77777777" w:rsidR="00B13DEF" w:rsidRPr="00B13DEF" w:rsidRDefault="00B13DEF" w:rsidP="00B13DEF">
            <w:pPr>
              <w:spacing w:after="0" w:line="240" w:lineRule="auto"/>
              <w:jc w:val="center"/>
              <w:rPr>
                <w:rFonts w:ascii="Times New Roman" w:eastAsia="Times New Roman" w:hAnsi="Times New Roman" w:cs="Times New Roman"/>
                <w:b/>
                <w:bCs/>
                <w:kern w:val="0"/>
                <w:lang w:eastAsia="en-IN"/>
                <w14:ligatures w14:val="none"/>
              </w:rPr>
            </w:pPr>
            <w:r w:rsidRPr="00B13DEF">
              <w:rPr>
                <w:rFonts w:ascii="Times New Roman" w:eastAsia="Times New Roman" w:hAnsi="Times New Roman" w:cs="Times New Roman"/>
                <w:b/>
                <w:bCs/>
                <w:kern w:val="0"/>
                <w:lang w:eastAsia="en-IN"/>
                <w14:ligatures w14:val="none"/>
              </w:rPr>
              <w:t>Hormone</w:t>
            </w:r>
          </w:p>
        </w:tc>
        <w:tc>
          <w:tcPr>
            <w:tcW w:w="0" w:type="auto"/>
            <w:hideMark/>
          </w:tcPr>
          <w:p w14:paraId="1103786F" w14:textId="77777777" w:rsidR="00B13DEF" w:rsidRPr="00B13DEF" w:rsidRDefault="00B13DEF" w:rsidP="00B13DEF">
            <w:pPr>
              <w:spacing w:after="0" w:line="240" w:lineRule="auto"/>
              <w:jc w:val="center"/>
              <w:rPr>
                <w:rFonts w:ascii="Times New Roman" w:eastAsia="Times New Roman" w:hAnsi="Times New Roman" w:cs="Times New Roman"/>
                <w:b/>
                <w:bCs/>
                <w:kern w:val="0"/>
                <w:lang w:eastAsia="en-IN"/>
                <w14:ligatures w14:val="none"/>
              </w:rPr>
            </w:pPr>
            <w:r w:rsidRPr="00B13DEF">
              <w:rPr>
                <w:rFonts w:ascii="Times New Roman" w:eastAsia="Times New Roman" w:hAnsi="Times New Roman" w:cs="Times New Roman"/>
                <w:b/>
                <w:bCs/>
                <w:kern w:val="0"/>
                <w:lang w:eastAsia="en-IN"/>
                <w14:ligatures w14:val="none"/>
              </w:rPr>
              <w:t>Primary Role in Immunity</w:t>
            </w:r>
          </w:p>
        </w:tc>
        <w:tc>
          <w:tcPr>
            <w:tcW w:w="0" w:type="auto"/>
            <w:hideMark/>
          </w:tcPr>
          <w:p w14:paraId="4D2FEF4C" w14:textId="77777777" w:rsidR="00B13DEF" w:rsidRPr="00B13DEF" w:rsidRDefault="00B13DEF" w:rsidP="00B13DEF">
            <w:pPr>
              <w:spacing w:after="0" w:line="240" w:lineRule="auto"/>
              <w:jc w:val="center"/>
              <w:rPr>
                <w:rFonts w:ascii="Times New Roman" w:eastAsia="Times New Roman" w:hAnsi="Times New Roman" w:cs="Times New Roman"/>
                <w:b/>
                <w:bCs/>
                <w:kern w:val="0"/>
                <w:lang w:eastAsia="en-IN"/>
                <w14:ligatures w14:val="none"/>
              </w:rPr>
            </w:pPr>
            <w:r w:rsidRPr="00B13DEF">
              <w:rPr>
                <w:rFonts w:ascii="Times New Roman" w:eastAsia="Times New Roman" w:hAnsi="Times New Roman" w:cs="Times New Roman"/>
                <w:b/>
                <w:bCs/>
                <w:kern w:val="0"/>
                <w:lang w:eastAsia="en-IN"/>
                <w14:ligatures w14:val="none"/>
              </w:rPr>
              <w:t>Pathogen Defense Bias</w:t>
            </w:r>
          </w:p>
        </w:tc>
        <w:tc>
          <w:tcPr>
            <w:tcW w:w="0" w:type="auto"/>
            <w:hideMark/>
          </w:tcPr>
          <w:p w14:paraId="42FC208F" w14:textId="77777777" w:rsidR="00B13DEF" w:rsidRPr="00B13DEF" w:rsidRDefault="00B13DEF" w:rsidP="00B13DEF">
            <w:pPr>
              <w:spacing w:after="0" w:line="240" w:lineRule="auto"/>
              <w:jc w:val="center"/>
              <w:rPr>
                <w:rFonts w:ascii="Times New Roman" w:eastAsia="Times New Roman" w:hAnsi="Times New Roman" w:cs="Times New Roman"/>
                <w:b/>
                <w:bCs/>
                <w:kern w:val="0"/>
                <w:lang w:eastAsia="en-IN"/>
                <w14:ligatures w14:val="none"/>
              </w:rPr>
            </w:pPr>
            <w:r w:rsidRPr="00B13DEF">
              <w:rPr>
                <w:rFonts w:ascii="Times New Roman" w:eastAsia="Times New Roman" w:hAnsi="Times New Roman" w:cs="Times New Roman"/>
                <w:b/>
                <w:bCs/>
                <w:kern w:val="0"/>
                <w:lang w:eastAsia="en-IN"/>
                <w14:ligatures w14:val="none"/>
              </w:rPr>
              <w:t>Key Genes/Pathways</w:t>
            </w:r>
          </w:p>
        </w:tc>
        <w:tc>
          <w:tcPr>
            <w:tcW w:w="0" w:type="auto"/>
            <w:hideMark/>
          </w:tcPr>
          <w:p w14:paraId="5D79E1A5" w14:textId="77777777" w:rsidR="00B13DEF" w:rsidRPr="00B13DEF" w:rsidRDefault="00B13DEF" w:rsidP="00B13DEF">
            <w:pPr>
              <w:spacing w:after="0" w:line="240" w:lineRule="auto"/>
              <w:jc w:val="center"/>
              <w:rPr>
                <w:rFonts w:ascii="Times New Roman" w:eastAsia="Times New Roman" w:hAnsi="Times New Roman" w:cs="Times New Roman"/>
                <w:b/>
                <w:bCs/>
                <w:kern w:val="0"/>
                <w:lang w:eastAsia="en-IN"/>
                <w14:ligatures w14:val="none"/>
              </w:rPr>
            </w:pPr>
            <w:r w:rsidRPr="00B13DEF">
              <w:rPr>
                <w:rFonts w:ascii="Times New Roman" w:eastAsia="Times New Roman" w:hAnsi="Times New Roman" w:cs="Times New Roman"/>
                <w:b/>
                <w:bCs/>
                <w:kern w:val="0"/>
                <w:lang w:eastAsia="en-IN"/>
                <w14:ligatures w14:val="none"/>
              </w:rPr>
              <w:t>Reference</w:t>
            </w:r>
          </w:p>
        </w:tc>
      </w:tr>
      <w:tr w:rsidR="00B13DEF" w:rsidRPr="00B13DEF" w14:paraId="57722348" w14:textId="77777777" w:rsidTr="00B13DEF">
        <w:tc>
          <w:tcPr>
            <w:tcW w:w="0" w:type="auto"/>
            <w:hideMark/>
          </w:tcPr>
          <w:p w14:paraId="49D3C171"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Salicylic Acid (SA)</w:t>
            </w:r>
          </w:p>
        </w:tc>
        <w:tc>
          <w:tcPr>
            <w:tcW w:w="0" w:type="auto"/>
            <w:hideMark/>
          </w:tcPr>
          <w:p w14:paraId="5BB0E1EB"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Activates SAR, PR gene expression, NLR signaling</w:t>
            </w:r>
          </w:p>
        </w:tc>
        <w:tc>
          <w:tcPr>
            <w:tcW w:w="0" w:type="auto"/>
            <w:hideMark/>
          </w:tcPr>
          <w:p w14:paraId="2BD7D45B"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Biotrophic pathogens</w:t>
            </w:r>
          </w:p>
        </w:tc>
        <w:tc>
          <w:tcPr>
            <w:tcW w:w="0" w:type="auto"/>
            <w:hideMark/>
          </w:tcPr>
          <w:p w14:paraId="11FA74B0"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NPR1, PR1, TGA TFs</w:t>
            </w:r>
          </w:p>
        </w:tc>
        <w:tc>
          <w:tcPr>
            <w:tcW w:w="0" w:type="auto"/>
            <w:hideMark/>
          </w:tcPr>
          <w:p w14:paraId="505B3E4E"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Fu &amp; Dong, 2013 (</w:t>
            </w:r>
            <w:proofErr w:type="spellStart"/>
            <w:r w:rsidRPr="00B13DEF">
              <w:rPr>
                <w:rFonts w:ascii="Times New Roman" w:eastAsia="Times New Roman" w:hAnsi="Times New Roman" w:cs="Times New Roman"/>
                <w:i/>
                <w:iCs/>
                <w:kern w:val="0"/>
                <w:lang w:eastAsia="en-IN"/>
                <w14:ligatures w14:val="none"/>
              </w:rPr>
              <w:t>Curr</w:t>
            </w:r>
            <w:proofErr w:type="spellEnd"/>
            <w:r w:rsidRPr="00B13DEF">
              <w:rPr>
                <w:rFonts w:ascii="Times New Roman" w:eastAsia="Times New Roman" w:hAnsi="Times New Roman" w:cs="Times New Roman"/>
                <w:i/>
                <w:iCs/>
                <w:kern w:val="0"/>
                <w:lang w:eastAsia="en-IN"/>
                <w14:ligatures w14:val="none"/>
              </w:rPr>
              <w:t xml:space="preserve"> </w:t>
            </w:r>
            <w:proofErr w:type="spellStart"/>
            <w:r w:rsidRPr="00B13DEF">
              <w:rPr>
                <w:rFonts w:ascii="Times New Roman" w:eastAsia="Times New Roman" w:hAnsi="Times New Roman" w:cs="Times New Roman"/>
                <w:i/>
                <w:iCs/>
                <w:kern w:val="0"/>
                <w:lang w:eastAsia="en-IN"/>
                <w14:ligatures w14:val="none"/>
              </w:rPr>
              <w:t>Opin</w:t>
            </w:r>
            <w:proofErr w:type="spellEnd"/>
            <w:r w:rsidRPr="00B13DEF">
              <w:rPr>
                <w:rFonts w:ascii="Times New Roman" w:eastAsia="Times New Roman" w:hAnsi="Times New Roman" w:cs="Times New Roman"/>
                <w:i/>
                <w:iCs/>
                <w:kern w:val="0"/>
                <w:lang w:eastAsia="en-IN"/>
                <w14:ligatures w14:val="none"/>
              </w:rPr>
              <w:t xml:space="preserve"> Plant </w:t>
            </w:r>
            <w:proofErr w:type="spellStart"/>
            <w:r w:rsidRPr="00B13DEF">
              <w:rPr>
                <w:rFonts w:ascii="Times New Roman" w:eastAsia="Times New Roman" w:hAnsi="Times New Roman" w:cs="Times New Roman"/>
                <w:i/>
                <w:iCs/>
                <w:kern w:val="0"/>
                <w:lang w:eastAsia="en-IN"/>
                <w14:ligatures w14:val="none"/>
              </w:rPr>
              <w:t>Biol</w:t>
            </w:r>
            <w:proofErr w:type="spellEnd"/>
            <w:r w:rsidRPr="00B13DEF">
              <w:rPr>
                <w:rFonts w:ascii="Times New Roman" w:eastAsia="Times New Roman" w:hAnsi="Times New Roman" w:cs="Times New Roman"/>
                <w:kern w:val="0"/>
                <w:lang w:eastAsia="en-IN"/>
                <w14:ligatures w14:val="none"/>
              </w:rPr>
              <w:t>)</w:t>
            </w:r>
          </w:p>
        </w:tc>
      </w:tr>
      <w:tr w:rsidR="00B13DEF" w:rsidRPr="00B13DEF" w14:paraId="2E6DFDEB" w14:textId="77777777" w:rsidTr="00B13DEF">
        <w:tc>
          <w:tcPr>
            <w:tcW w:w="0" w:type="auto"/>
            <w:hideMark/>
          </w:tcPr>
          <w:p w14:paraId="50C05F0A"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Jasmonic Acid (JA)</w:t>
            </w:r>
          </w:p>
        </w:tc>
        <w:tc>
          <w:tcPr>
            <w:tcW w:w="0" w:type="auto"/>
            <w:hideMark/>
          </w:tcPr>
          <w:p w14:paraId="7F0AF352"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Induces defense proteins, wound and herbivore response</w:t>
            </w:r>
          </w:p>
        </w:tc>
        <w:tc>
          <w:tcPr>
            <w:tcW w:w="0" w:type="auto"/>
            <w:hideMark/>
          </w:tcPr>
          <w:p w14:paraId="6225982F"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proofErr w:type="spellStart"/>
            <w:r w:rsidRPr="00B13DEF">
              <w:rPr>
                <w:rFonts w:ascii="Times New Roman" w:eastAsia="Times New Roman" w:hAnsi="Times New Roman" w:cs="Times New Roman"/>
                <w:kern w:val="0"/>
                <w:lang w:eastAsia="en-IN"/>
                <w14:ligatures w14:val="none"/>
              </w:rPr>
              <w:t>Necrotrophs</w:t>
            </w:r>
            <w:proofErr w:type="spellEnd"/>
            <w:r w:rsidRPr="00B13DEF">
              <w:rPr>
                <w:rFonts w:ascii="Times New Roman" w:eastAsia="Times New Roman" w:hAnsi="Times New Roman" w:cs="Times New Roman"/>
                <w:kern w:val="0"/>
                <w:lang w:eastAsia="en-IN"/>
                <w14:ligatures w14:val="none"/>
              </w:rPr>
              <w:t>, insects</w:t>
            </w:r>
          </w:p>
        </w:tc>
        <w:tc>
          <w:tcPr>
            <w:tcW w:w="0" w:type="auto"/>
            <w:hideMark/>
          </w:tcPr>
          <w:p w14:paraId="574C259B"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COI1, JAZ repressors, MYC2</w:t>
            </w:r>
          </w:p>
        </w:tc>
        <w:tc>
          <w:tcPr>
            <w:tcW w:w="0" w:type="auto"/>
            <w:hideMark/>
          </w:tcPr>
          <w:p w14:paraId="1F4B7FAE"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proofErr w:type="spellStart"/>
            <w:r w:rsidRPr="00B13DEF">
              <w:rPr>
                <w:rFonts w:ascii="Times New Roman" w:eastAsia="Times New Roman" w:hAnsi="Times New Roman" w:cs="Times New Roman"/>
                <w:kern w:val="0"/>
                <w:lang w:eastAsia="en-IN"/>
                <w14:ligatures w14:val="none"/>
              </w:rPr>
              <w:t>Wasternack</w:t>
            </w:r>
            <w:proofErr w:type="spellEnd"/>
            <w:r w:rsidRPr="00B13DEF">
              <w:rPr>
                <w:rFonts w:ascii="Times New Roman" w:eastAsia="Times New Roman" w:hAnsi="Times New Roman" w:cs="Times New Roman"/>
                <w:kern w:val="0"/>
                <w:lang w:eastAsia="en-IN"/>
                <w14:ligatures w14:val="none"/>
              </w:rPr>
              <w:t xml:space="preserve"> &amp; Song, 2017 (</w:t>
            </w:r>
            <w:proofErr w:type="spellStart"/>
            <w:r w:rsidRPr="00B13DEF">
              <w:rPr>
                <w:rFonts w:ascii="Times New Roman" w:eastAsia="Times New Roman" w:hAnsi="Times New Roman" w:cs="Times New Roman"/>
                <w:i/>
                <w:iCs/>
                <w:kern w:val="0"/>
                <w:lang w:eastAsia="en-IN"/>
                <w14:ligatures w14:val="none"/>
              </w:rPr>
              <w:t>Biotechnol</w:t>
            </w:r>
            <w:proofErr w:type="spellEnd"/>
            <w:r w:rsidRPr="00B13DEF">
              <w:rPr>
                <w:rFonts w:ascii="Times New Roman" w:eastAsia="Times New Roman" w:hAnsi="Times New Roman" w:cs="Times New Roman"/>
                <w:i/>
                <w:iCs/>
                <w:kern w:val="0"/>
                <w:lang w:eastAsia="en-IN"/>
                <w14:ligatures w14:val="none"/>
              </w:rPr>
              <w:t xml:space="preserve"> Adv</w:t>
            </w:r>
            <w:r w:rsidRPr="00B13DEF">
              <w:rPr>
                <w:rFonts w:ascii="Times New Roman" w:eastAsia="Times New Roman" w:hAnsi="Times New Roman" w:cs="Times New Roman"/>
                <w:kern w:val="0"/>
                <w:lang w:eastAsia="en-IN"/>
                <w14:ligatures w14:val="none"/>
              </w:rPr>
              <w:t>)</w:t>
            </w:r>
          </w:p>
        </w:tc>
      </w:tr>
      <w:tr w:rsidR="00B13DEF" w:rsidRPr="00B13DEF" w14:paraId="7AC36401" w14:textId="77777777" w:rsidTr="00B13DEF">
        <w:tc>
          <w:tcPr>
            <w:tcW w:w="0" w:type="auto"/>
            <w:hideMark/>
          </w:tcPr>
          <w:p w14:paraId="4CB2F3B1"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Ethylene (ET)</w:t>
            </w:r>
          </w:p>
        </w:tc>
        <w:tc>
          <w:tcPr>
            <w:tcW w:w="0" w:type="auto"/>
            <w:hideMark/>
          </w:tcPr>
          <w:p w14:paraId="083BA68B"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Modulates JA and SA pathways, regulates ROS &amp; defense gene expression</w:t>
            </w:r>
          </w:p>
        </w:tc>
        <w:tc>
          <w:tcPr>
            <w:tcW w:w="0" w:type="auto"/>
            <w:hideMark/>
          </w:tcPr>
          <w:p w14:paraId="7370E2C8"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proofErr w:type="spellStart"/>
            <w:r w:rsidRPr="00B13DEF">
              <w:rPr>
                <w:rFonts w:ascii="Times New Roman" w:eastAsia="Times New Roman" w:hAnsi="Times New Roman" w:cs="Times New Roman"/>
                <w:kern w:val="0"/>
                <w:lang w:eastAsia="en-IN"/>
                <w14:ligatures w14:val="none"/>
              </w:rPr>
              <w:t>Necrotrophs</w:t>
            </w:r>
            <w:proofErr w:type="spellEnd"/>
          </w:p>
        </w:tc>
        <w:tc>
          <w:tcPr>
            <w:tcW w:w="0" w:type="auto"/>
            <w:hideMark/>
          </w:tcPr>
          <w:p w14:paraId="4CB90D04"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EIN2, ERF1</w:t>
            </w:r>
          </w:p>
        </w:tc>
        <w:tc>
          <w:tcPr>
            <w:tcW w:w="0" w:type="auto"/>
            <w:hideMark/>
          </w:tcPr>
          <w:p w14:paraId="72351DC1"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proofErr w:type="spellStart"/>
            <w:r w:rsidRPr="00B13DEF">
              <w:rPr>
                <w:rFonts w:ascii="Times New Roman" w:eastAsia="Times New Roman" w:hAnsi="Times New Roman" w:cs="Times New Roman"/>
                <w:kern w:val="0"/>
                <w:lang w:eastAsia="en-IN"/>
                <w14:ligatures w14:val="none"/>
              </w:rPr>
              <w:t>Broekaert</w:t>
            </w:r>
            <w:proofErr w:type="spellEnd"/>
            <w:r w:rsidRPr="00B13DEF">
              <w:rPr>
                <w:rFonts w:ascii="Times New Roman" w:eastAsia="Times New Roman" w:hAnsi="Times New Roman" w:cs="Times New Roman"/>
                <w:kern w:val="0"/>
                <w:lang w:eastAsia="en-IN"/>
                <w14:ligatures w14:val="none"/>
              </w:rPr>
              <w:t xml:space="preserve"> et al., 2006 (</w:t>
            </w:r>
            <w:r w:rsidRPr="00B13DEF">
              <w:rPr>
                <w:rFonts w:ascii="Times New Roman" w:eastAsia="Times New Roman" w:hAnsi="Times New Roman" w:cs="Times New Roman"/>
                <w:i/>
                <w:iCs/>
                <w:kern w:val="0"/>
                <w:lang w:eastAsia="en-IN"/>
                <w14:ligatures w14:val="none"/>
              </w:rPr>
              <w:t xml:space="preserve">Plant </w:t>
            </w:r>
            <w:proofErr w:type="spellStart"/>
            <w:r w:rsidRPr="00B13DEF">
              <w:rPr>
                <w:rFonts w:ascii="Times New Roman" w:eastAsia="Times New Roman" w:hAnsi="Times New Roman" w:cs="Times New Roman"/>
                <w:i/>
                <w:iCs/>
                <w:kern w:val="0"/>
                <w:lang w:eastAsia="en-IN"/>
                <w14:ligatures w14:val="none"/>
              </w:rPr>
              <w:t>Physiol</w:t>
            </w:r>
            <w:proofErr w:type="spellEnd"/>
            <w:r w:rsidRPr="00B13DEF">
              <w:rPr>
                <w:rFonts w:ascii="Times New Roman" w:eastAsia="Times New Roman" w:hAnsi="Times New Roman" w:cs="Times New Roman"/>
                <w:kern w:val="0"/>
                <w:lang w:eastAsia="en-IN"/>
                <w14:ligatures w14:val="none"/>
              </w:rPr>
              <w:t>)</w:t>
            </w:r>
          </w:p>
        </w:tc>
      </w:tr>
      <w:tr w:rsidR="00B13DEF" w:rsidRPr="00B13DEF" w14:paraId="6E3AA0B7" w14:textId="77777777" w:rsidTr="00B13DEF">
        <w:tc>
          <w:tcPr>
            <w:tcW w:w="0" w:type="auto"/>
            <w:hideMark/>
          </w:tcPr>
          <w:p w14:paraId="34E073F9"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Abscisic Acid (ABA)</w:t>
            </w:r>
          </w:p>
        </w:tc>
        <w:tc>
          <w:tcPr>
            <w:tcW w:w="0" w:type="auto"/>
            <w:hideMark/>
          </w:tcPr>
          <w:p w14:paraId="21CDE9CE"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Complex role, often antagonizes SA, promotes stomatal closure</w:t>
            </w:r>
          </w:p>
        </w:tc>
        <w:tc>
          <w:tcPr>
            <w:tcW w:w="0" w:type="auto"/>
            <w:hideMark/>
          </w:tcPr>
          <w:p w14:paraId="738F4F36"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Variable</w:t>
            </w:r>
          </w:p>
        </w:tc>
        <w:tc>
          <w:tcPr>
            <w:tcW w:w="0" w:type="auto"/>
            <w:hideMark/>
          </w:tcPr>
          <w:p w14:paraId="5BDEC07A"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ABI1/2, SnRK2 kinases</w:t>
            </w:r>
          </w:p>
        </w:tc>
        <w:tc>
          <w:tcPr>
            <w:tcW w:w="0" w:type="auto"/>
            <w:hideMark/>
          </w:tcPr>
          <w:p w14:paraId="0B8AFDE3" w14:textId="77777777" w:rsidR="00B13DEF" w:rsidRPr="00B13DEF" w:rsidRDefault="00B13DEF" w:rsidP="00B13DEF">
            <w:pPr>
              <w:spacing w:after="0" w:line="240" w:lineRule="auto"/>
              <w:rPr>
                <w:rFonts w:ascii="Times New Roman" w:eastAsia="Times New Roman" w:hAnsi="Times New Roman" w:cs="Times New Roman"/>
                <w:kern w:val="0"/>
                <w:lang w:eastAsia="en-IN"/>
                <w14:ligatures w14:val="none"/>
              </w:rPr>
            </w:pPr>
            <w:r w:rsidRPr="00B13DEF">
              <w:rPr>
                <w:rFonts w:ascii="Times New Roman" w:eastAsia="Times New Roman" w:hAnsi="Times New Roman" w:cs="Times New Roman"/>
                <w:kern w:val="0"/>
                <w:lang w:eastAsia="en-IN"/>
                <w14:ligatures w14:val="none"/>
              </w:rPr>
              <w:t>Ton et al., 2009 (</w:t>
            </w:r>
            <w:r w:rsidRPr="00B13DEF">
              <w:rPr>
                <w:rFonts w:ascii="Times New Roman" w:eastAsia="Times New Roman" w:hAnsi="Times New Roman" w:cs="Times New Roman"/>
                <w:i/>
                <w:iCs/>
                <w:kern w:val="0"/>
                <w:lang w:eastAsia="en-IN"/>
                <w14:ligatures w14:val="none"/>
              </w:rPr>
              <w:t>Plant J</w:t>
            </w:r>
            <w:r w:rsidRPr="00B13DEF">
              <w:rPr>
                <w:rFonts w:ascii="Times New Roman" w:eastAsia="Times New Roman" w:hAnsi="Times New Roman" w:cs="Times New Roman"/>
                <w:kern w:val="0"/>
                <w:lang w:eastAsia="en-IN"/>
                <w14:ligatures w14:val="none"/>
              </w:rPr>
              <w:t>)</w:t>
            </w:r>
          </w:p>
        </w:tc>
      </w:tr>
    </w:tbl>
    <w:p w14:paraId="1ACF93D8" w14:textId="5C7AFF19" w:rsidR="00B13DEF" w:rsidRDefault="00B13DEF">
      <w:pPr>
        <w:spacing w:line="360" w:lineRule="auto"/>
        <w:ind w:firstLine="720"/>
        <w:jc w:val="both"/>
        <w:rPr>
          <w:rFonts w:ascii="Times New Roman" w:hAnsi="Times New Roman" w:cs="Times New Roman"/>
        </w:rPr>
      </w:pPr>
      <w:r>
        <w:rPr>
          <w:rFonts w:ascii="Times New Roman" w:hAnsi="Times New Roman" w:cs="Times New Roman"/>
        </w:rPr>
        <w:t xml:space="preserve"> </w:t>
      </w:r>
    </w:p>
    <w:p w14:paraId="563E3835"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Transcriptional Reprogramming in Defense Signaling</w:t>
      </w:r>
    </w:p>
    <w:p w14:paraId="2BFF1C93"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Following recognition of PAMPs or effectors, hundreds of genes are differentially regulated, enabling the plant to mount tailored responses that restrict pathogen growth and spread. This transcriptional </w:t>
      </w:r>
      <w:proofErr w:type="spellStart"/>
      <w:r>
        <w:rPr>
          <w:rFonts w:ascii="Times New Roman" w:hAnsi="Times New Roman" w:cs="Times New Roman"/>
        </w:rPr>
        <w:t>remodeling</w:t>
      </w:r>
      <w:proofErr w:type="spellEnd"/>
      <w:r>
        <w:rPr>
          <w:rFonts w:ascii="Times New Roman" w:hAnsi="Times New Roman" w:cs="Times New Roman"/>
        </w:rPr>
        <w:t xml:space="preserve"> is orchestrated by a diverse network of transcription factors (TFs) that act downstream of MAPK cascades, calcium signaling, and hormone pathways. Among the most prominent TF families are the WRKY proteins, which bind to W-box motifs in promoter regions of defense-related genes. Notably, WRKY33 plays a pivotal role in </w:t>
      </w:r>
      <w:proofErr w:type="spellStart"/>
      <w:r>
        <w:rPr>
          <w:rFonts w:ascii="Times New Roman" w:hAnsi="Times New Roman" w:cs="Times New Roman"/>
        </w:rPr>
        <w:t>defense</w:t>
      </w:r>
      <w:proofErr w:type="spellEnd"/>
      <w:r>
        <w:rPr>
          <w:rFonts w:ascii="Times New Roman" w:hAnsi="Times New Roman" w:cs="Times New Roman"/>
        </w:rPr>
        <w:t xml:space="preserve"> against </w:t>
      </w:r>
      <w:proofErr w:type="spellStart"/>
      <w:r>
        <w:rPr>
          <w:rFonts w:ascii="Times New Roman" w:hAnsi="Times New Roman" w:cs="Times New Roman"/>
        </w:rPr>
        <w:t>necrotrophs</w:t>
      </w:r>
      <w:proofErr w:type="spellEnd"/>
      <w:r>
        <w:rPr>
          <w:rFonts w:ascii="Times New Roman" w:hAnsi="Times New Roman" w:cs="Times New Roman"/>
        </w:rPr>
        <w:t xml:space="preserve"> by regulating camalexin biosynthesis and other antimicrobial pathways, while WRKY22 and WRKY29 function downstream of MAPKs like MPK3/MPK6 in PTI (</w:t>
      </w:r>
      <w:proofErr w:type="spellStart"/>
      <w:r>
        <w:rPr>
          <w:rFonts w:ascii="Times New Roman" w:hAnsi="Times New Roman" w:cs="Times New Roman"/>
        </w:rPr>
        <w:t>Birkenbihl</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The TGA family of transcription factors like </w:t>
      </w:r>
      <w:proofErr w:type="spellStart"/>
      <w:r>
        <w:rPr>
          <w:rFonts w:ascii="Times New Roman" w:hAnsi="Times New Roman" w:cs="Times New Roman"/>
        </w:rPr>
        <w:t>bZIP</w:t>
      </w:r>
      <w:proofErr w:type="spellEnd"/>
      <w:r>
        <w:rPr>
          <w:rFonts w:ascii="Times New Roman" w:hAnsi="Times New Roman" w:cs="Times New Roman"/>
        </w:rPr>
        <w:t xml:space="preserve"> also plays a central role, particularly in SA-mediated defense. In </w:t>
      </w:r>
      <w:proofErr w:type="spellStart"/>
      <w:r>
        <w:rPr>
          <w:rFonts w:ascii="Times New Roman" w:hAnsi="Times New Roman" w:cs="Times New Roman"/>
        </w:rPr>
        <w:t>assosciation</w:t>
      </w:r>
      <w:proofErr w:type="spellEnd"/>
      <w:r>
        <w:rPr>
          <w:rFonts w:ascii="Times New Roman" w:hAnsi="Times New Roman" w:cs="Times New Roman"/>
        </w:rPr>
        <w:t xml:space="preserve"> to elevated SA levels, NPR1 monomerizes and </w:t>
      </w:r>
      <w:proofErr w:type="spellStart"/>
      <w:r>
        <w:rPr>
          <w:rFonts w:ascii="Times New Roman" w:hAnsi="Times New Roman" w:cs="Times New Roman"/>
        </w:rPr>
        <w:t>translocates</w:t>
      </w:r>
      <w:proofErr w:type="spellEnd"/>
      <w:r>
        <w:rPr>
          <w:rFonts w:ascii="Times New Roman" w:hAnsi="Times New Roman" w:cs="Times New Roman"/>
        </w:rPr>
        <w:t xml:space="preserve"> to the nucleus, where it interacts with TGA TFs to activate PR genes, reinforcing both local and systemic resistance (Zhang &amp; Zhou, 2010). Meanwhile, MYB and ERF transcription factors are heavily involved in JA and ET signaling. </w:t>
      </w:r>
      <w:r>
        <w:rPr>
          <w:rFonts w:ascii="Times New Roman" w:hAnsi="Times New Roman" w:cs="Times New Roman"/>
        </w:rPr>
        <w:lastRenderedPageBreak/>
        <w:t xml:space="preserve">MYB TFs often regulate phenylpropanoid pathways, contributing to lignin, flavonoid and phytoalexin production, while ERFs activate genes which are required for resistance against </w:t>
      </w:r>
      <w:proofErr w:type="spellStart"/>
      <w:r>
        <w:rPr>
          <w:rFonts w:ascii="Times New Roman" w:hAnsi="Times New Roman" w:cs="Times New Roman"/>
        </w:rPr>
        <w:t>necrotrophs</w:t>
      </w:r>
      <w:proofErr w:type="spellEnd"/>
      <w:r>
        <w:rPr>
          <w:rFonts w:ascii="Times New Roman" w:hAnsi="Times New Roman" w:cs="Times New Roman"/>
        </w:rPr>
        <w:t xml:space="preserve"> and herbivory, such as PDF1.2 (Thilakarathne</w:t>
      </w:r>
      <w:r>
        <w:rPr>
          <w:rFonts w:ascii="Times New Roman" w:hAnsi="Times New Roman" w:cs="Times New Roman"/>
          <w:i/>
          <w:iCs/>
        </w:rPr>
        <w:t xml:space="preserve"> et al.,</w:t>
      </w:r>
      <w:r>
        <w:rPr>
          <w:rFonts w:ascii="Times New Roman" w:hAnsi="Times New Roman" w:cs="Times New Roman"/>
        </w:rPr>
        <w:t xml:space="preserve"> 2003).</w:t>
      </w:r>
    </w:p>
    <w:p w14:paraId="74F80CA4"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Systemic Acquired Resistance (SAR)</w:t>
      </w:r>
    </w:p>
    <w:p w14:paraId="6B09D63A" w14:textId="434A41F0"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Upon localized infection, plants not only mount a site-specific defense but also activate long-lasting immunity throughout the entire organism a process termed Systemic Acquired Resistance (SAR). This broad-spectrum resistance enables distal, uninfected tissues to mount a quicker and more robust response upon future pathogen challenge. SAR is typically initiated during Effector-Triggered Immunity (ETI), especially when accompanied by a hypersensitive response (HR) (Consonni </w:t>
      </w:r>
      <w:r>
        <w:rPr>
          <w:rFonts w:ascii="Times New Roman" w:hAnsi="Times New Roman" w:cs="Times New Roman"/>
          <w:i/>
          <w:iCs/>
        </w:rPr>
        <w:t xml:space="preserve">et al., </w:t>
      </w:r>
      <w:r>
        <w:rPr>
          <w:rFonts w:ascii="Times New Roman" w:hAnsi="Times New Roman" w:cs="Times New Roman"/>
        </w:rPr>
        <w:t>2009). Among the earliest events one is the accumulation of key compounds like salicylic acid (SA) at the infection site. Though SA itself may not efficiently move across long distances, it is converted into methyl salicylate (</w:t>
      </w:r>
      <w:proofErr w:type="spellStart"/>
      <w:r>
        <w:rPr>
          <w:rFonts w:ascii="Times New Roman" w:hAnsi="Times New Roman" w:cs="Times New Roman"/>
        </w:rPr>
        <w:t>MeSA</w:t>
      </w:r>
      <w:proofErr w:type="spellEnd"/>
      <w:r>
        <w:rPr>
          <w:rFonts w:ascii="Times New Roman" w:hAnsi="Times New Roman" w:cs="Times New Roman"/>
        </w:rPr>
        <w:t xml:space="preserve">) a volatile derivative that acts as a mobile signal. Upon reaching distal tissues, </w:t>
      </w:r>
      <w:proofErr w:type="spellStart"/>
      <w:r>
        <w:rPr>
          <w:rFonts w:ascii="Times New Roman" w:hAnsi="Times New Roman" w:cs="Times New Roman"/>
        </w:rPr>
        <w:t>MeSA</w:t>
      </w:r>
      <w:proofErr w:type="spellEnd"/>
      <w:r>
        <w:rPr>
          <w:rFonts w:ascii="Times New Roman" w:hAnsi="Times New Roman" w:cs="Times New Roman"/>
        </w:rPr>
        <w:t xml:space="preserve"> is converted back into active SA by methyl esterase enzymes, triggering defense gene expression in remote organs (</w:t>
      </w:r>
      <w:r w:rsidR="009D4F6F" w:rsidRPr="009D4F6F">
        <w:rPr>
          <w:rFonts w:ascii="Times New Roman" w:hAnsi="Times New Roman" w:cs="Times New Roman"/>
        </w:rPr>
        <w:t>Chaffin</w:t>
      </w:r>
      <w:r w:rsidR="009D4F6F">
        <w:rPr>
          <w:rFonts w:ascii="Times New Roman" w:hAnsi="Times New Roman" w:cs="Times New Roman"/>
          <w:i/>
          <w:iCs/>
        </w:rPr>
        <w:t xml:space="preserve"> </w:t>
      </w:r>
      <w:r>
        <w:rPr>
          <w:rFonts w:ascii="Times New Roman" w:hAnsi="Times New Roman" w:cs="Times New Roman"/>
          <w:i/>
          <w:iCs/>
        </w:rPr>
        <w:t xml:space="preserve">et al., </w:t>
      </w:r>
      <w:r>
        <w:rPr>
          <w:rFonts w:ascii="Times New Roman" w:hAnsi="Times New Roman" w:cs="Times New Roman"/>
        </w:rPr>
        <w:t>20</w:t>
      </w:r>
      <w:r w:rsidR="009D4F6F">
        <w:rPr>
          <w:rFonts w:ascii="Times New Roman" w:hAnsi="Times New Roman" w:cs="Times New Roman"/>
        </w:rPr>
        <w:t>24</w:t>
      </w:r>
      <w:r>
        <w:rPr>
          <w:rFonts w:ascii="Times New Roman" w:hAnsi="Times New Roman" w:cs="Times New Roman"/>
        </w:rPr>
        <w:t>).</w:t>
      </w:r>
    </w:p>
    <w:p w14:paraId="736C6993"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 central regulator of SAR is NPR1 (Nonexpresser of Pathogenesis-Related Genes 1), a redox-sensitive transcriptional coactivator. In systemic tissues, the intracellular redox environment changes, leading to the reduction of NPR1 oligomers into monomers. These monomeric forms translocate into the nucleus, where NPR1 interacts with transcription factors to promote the expression of pathogenesis-related (PR) genes, including </w:t>
      </w:r>
      <w:r>
        <w:rPr>
          <w:rFonts w:ascii="Times New Roman" w:hAnsi="Times New Roman" w:cs="Times New Roman"/>
          <w:i/>
          <w:iCs/>
        </w:rPr>
        <w:t>PR-1</w:t>
      </w:r>
      <w:r>
        <w:rPr>
          <w:rFonts w:ascii="Times New Roman" w:hAnsi="Times New Roman" w:cs="Times New Roman"/>
        </w:rPr>
        <w:t xml:space="preserve">, </w:t>
      </w:r>
      <w:r>
        <w:rPr>
          <w:rFonts w:ascii="Times New Roman" w:hAnsi="Times New Roman" w:cs="Times New Roman"/>
          <w:i/>
          <w:iCs/>
        </w:rPr>
        <w:t>PR-2</w:t>
      </w:r>
      <w:r>
        <w:rPr>
          <w:rFonts w:ascii="Times New Roman" w:hAnsi="Times New Roman" w:cs="Times New Roman"/>
        </w:rPr>
        <w:t xml:space="preserve">, and </w:t>
      </w:r>
      <w:r>
        <w:rPr>
          <w:rFonts w:ascii="Times New Roman" w:hAnsi="Times New Roman" w:cs="Times New Roman"/>
          <w:i/>
          <w:iCs/>
        </w:rPr>
        <w:t>PR-5</w:t>
      </w:r>
      <w:r>
        <w:rPr>
          <w:rFonts w:ascii="Times New Roman" w:hAnsi="Times New Roman" w:cs="Times New Roman"/>
        </w:rPr>
        <w:t>, which enhance the plant’s defensive capacity (Durrant &amp; Dong, 2004).</w:t>
      </w:r>
    </w:p>
    <w:p w14:paraId="211B2C02"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 addition to SA and </w:t>
      </w:r>
      <w:proofErr w:type="spellStart"/>
      <w:r>
        <w:rPr>
          <w:rFonts w:ascii="Times New Roman" w:hAnsi="Times New Roman" w:cs="Times New Roman"/>
        </w:rPr>
        <w:t>MeSA</w:t>
      </w:r>
      <w:proofErr w:type="spellEnd"/>
      <w:r>
        <w:rPr>
          <w:rFonts w:ascii="Times New Roman" w:hAnsi="Times New Roman" w:cs="Times New Roman"/>
        </w:rPr>
        <w:t xml:space="preserve">, recent discoveries have highlighted the </w:t>
      </w:r>
      <w:proofErr w:type="gramStart"/>
      <w:r>
        <w:rPr>
          <w:rFonts w:ascii="Times New Roman" w:hAnsi="Times New Roman" w:cs="Times New Roman"/>
        </w:rPr>
        <w:t>key  role</w:t>
      </w:r>
      <w:proofErr w:type="gramEnd"/>
      <w:r>
        <w:rPr>
          <w:rFonts w:ascii="Times New Roman" w:hAnsi="Times New Roman" w:cs="Times New Roman"/>
        </w:rPr>
        <w:t xml:space="preserve"> of lipid-derived signals in SAR. Molecules like azelaic acid (</w:t>
      </w:r>
      <w:proofErr w:type="spellStart"/>
      <w:r>
        <w:rPr>
          <w:rFonts w:ascii="Times New Roman" w:hAnsi="Times New Roman" w:cs="Times New Roman"/>
        </w:rPr>
        <w:t>AzA</w:t>
      </w:r>
      <w:proofErr w:type="spellEnd"/>
      <w:r>
        <w:rPr>
          <w:rFonts w:ascii="Times New Roman" w:hAnsi="Times New Roman" w:cs="Times New Roman"/>
        </w:rPr>
        <w:t xml:space="preserve">) and glycerol-3-phosphate (G3P) have been implicated in systemic signal transmission. These molecules may travel through the vascular system or plasmodesmata to prime distal tissues and amplify the SAR response (Jung </w:t>
      </w:r>
      <w:r>
        <w:rPr>
          <w:rFonts w:ascii="Times New Roman" w:hAnsi="Times New Roman" w:cs="Times New Roman"/>
          <w:i/>
          <w:iCs/>
        </w:rPr>
        <w:t>et al.,</w:t>
      </w:r>
      <w:r>
        <w:rPr>
          <w:rFonts w:ascii="Times New Roman" w:hAnsi="Times New Roman" w:cs="Times New Roman"/>
        </w:rPr>
        <w:t xml:space="preserve"> 2009). Furthermore, DIR1 (Defective in Induced Resistance 1), a lipid transfer protein, plays a vital role in the mobilization of SAR signals from the site of the infection to the rest of the host plant.</w:t>
      </w:r>
    </w:p>
    <w:p w14:paraId="2A740917"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Importantly, SAR provides long-lasting and broad-spectrum protection not just against the primary pathogen but also against unrelated secondary invaders. This enhanced immunological memory without continuous defense activation makes SAR a critical trait of plant immunity (Roychowdhury </w:t>
      </w:r>
      <w:r>
        <w:rPr>
          <w:rFonts w:ascii="Times New Roman" w:hAnsi="Times New Roman" w:cs="Times New Roman"/>
          <w:i/>
          <w:iCs/>
        </w:rPr>
        <w:t xml:space="preserve">et al., </w:t>
      </w:r>
      <w:r>
        <w:rPr>
          <w:rFonts w:ascii="Times New Roman" w:hAnsi="Times New Roman" w:cs="Times New Roman"/>
        </w:rPr>
        <w:t xml:space="preserve">2024). Additionally, SAR is a target for crop protection </w:t>
      </w:r>
      <w:r>
        <w:rPr>
          <w:rFonts w:ascii="Times New Roman" w:hAnsi="Times New Roman" w:cs="Times New Roman"/>
        </w:rPr>
        <w:lastRenderedPageBreak/>
        <w:t xml:space="preserve">strategies. For instance, benzothiadiazole (BTH), a chemical </w:t>
      </w:r>
      <w:proofErr w:type="spellStart"/>
      <w:r>
        <w:rPr>
          <w:rFonts w:ascii="Times New Roman" w:hAnsi="Times New Roman" w:cs="Times New Roman"/>
        </w:rPr>
        <w:t>analog</w:t>
      </w:r>
      <w:proofErr w:type="spellEnd"/>
      <w:r>
        <w:rPr>
          <w:rFonts w:ascii="Times New Roman" w:hAnsi="Times New Roman" w:cs="Times New Roman"/>
        </w:rPr>
        <w:t xml:space="preserve"> of SA, can be used to artificially induce SAR in plants without pathogen infection, offering a sustainable and pathogen-independent disease management tool.</w:t>
      </w:r>
    </w:p>
    <w:p w14:paraId="408D9252"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The sequential and interconnected layers of plant immune responses as illustrated in the Fig. 3. Pattern-Triggered Immunity (PTI) is the first line of inducible defense activated when Pattern Recognition Receptors (PRRs) on the cell surface detect conserved pathogen-associated molecular patterns (PAMPs), such as bacterial flagellin. This triggers early cellular signaling and local immune responses to halt pathogen invasion. However, evolved pathogens secrete effectors to suppress PTI, leading to Effector-Triggered Susceptibility (ETS). Plants overcome this by evolving intracellular Resistance (R) proteins, mainly NLRs, that recognize these effectors directly or indirectly, activating Effector-Triggered Immunity (ETI)—a more robust and often HR-associated immune response. Signals from PTI and ETI (including salicylic acid, pipecolic acid, and ROS) travel systemically to prime uninfected tissues, leading to Systemic Acquired Resistance (SAR). SAR enhances the plant’s ability to respond faster and stronger upon future attacks, providing long-lasting immunity. SAR is mediated by natural inducers (SA, Pip, NHP) and can also be artificially triggered by chemical </w:t>
      </w:r>
      <w:proofErr w:type="spellStart"/>
      <w:r>
        <w:rPr>
          <w:rFonts w:ascii="Times New Roman" w:hAnsi="Times New Roman" w:cs="Times New Roman"/>
        </w:rPr>
        <w:t>analogs</w:t>
      </w:r>
      <w:proofErr w:type="spellEnd"/>
      <w:r>
        <w:rPr>
          <w:rFonts w:ascii="Times New Roman" w:hAnsi="Times New Roman" w:cs="Times New Roman"/>
        </w:rPr>
        <w:t xml:space="preserve"> (BTH, INA, Probenazole).</w:t>
      </w:r>
    </w:p>
    <w:p w14:paraId="12331AE6" w14:textId="77777777" w:rsidR="000E1FB3" w:rsidRDefault="00124AB5">
      <w:pPr>
        <w:spacing w:line="360" w:lineRule="auto"/>
        <w:ind w:firstLine="142"/>
        <w:jc w:val="both"/>
        <w:rPr>
          <w:rFonts w:ascii="Times New Roman" w:hAnsi="Times New Roman" w:cs="Times New Roman"/>
        </w:rPr>
      </w:pPr>
      <w:r>
        <w:rPr>
          <w:noProof/>
        </w:rPr>
        <w:drawing>
          <wp:inline distT="0" distB="0" distL="0" distR="0" wp14:anchorId="7A112D0A" wp14:editId="7FF9CC52">
            <wp:extent cx="5731510" cy="3239135"/>
            <wp:effectExtent l="0" t="0" r="0" b="0"/>
            <wp:docPr id="1951196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96854"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31510" cy="3239135"/>
                    </a:xfrm>
                    <a:prstGeom prst="rect">
                      <a:avLst/>
                    </a:prstGeom>
                    <a:noFill/>
                    <a:ln>
                      <a:noFill/>
                    </a:ln>
                  </pic:spPr>
                </pic:pic>
              </a:graphicData>
            </a:graphic>
          </wp:inline>
        </w:drawing>
      </w:r>
      <w:r>
        <w:rPr>
          <w:rFonts w:ascii="Times New Roman" w:hAnsi="Times New Roman" w:cs="Times New Roman"/>
        </w:rPr>
        <w:t xml:space="preserve">Fig. 3 Interconnected pathways of plant immunity: (A) PTI (Pattern-Triggered Immunity), (B) </w:t>
      </w:r>
      <w:r>
        <w:rPr>
          <w:rFonts w:ascii="Times New Roman" w:hAnsi="Times New Roman" w:cs="Times New Roman"/>
          <w:lang w:val="en-US"/>
        </w:rPr>
        <w:t>ETI (Effector-Triggered Immunity) and (C) SAR (Systemic Acquired Resistance).</w:t>
      </w:r>
    </w:p>
    <w:p w14:paraId="4D9BAB7E"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Conclusion</w:t>
      </w:r>
    </w:p>
    <w:p w14:paraId="370603E4" w14:textId="54246965" w:rsidR="000E1FB3" w:rsidRDefault="00124AB5" w:rsidP="003E40ED">
      <w:pPr>
        <w:spacing w:line="360" w:lineRule="auto"/>
        <w:ind w:firstLine="720"/>
        <w:jc w:val="both"/>
        <w:rPr>
          <w:rFonts w:ascii="Times New Roman" w:hAnsi="Times New Roman" w:cs="Times New Roman"/>
        </w:rPr>
      </w:pPr>
      <w:r>
        <w:rPr>
          <w:rFonts w:ascii="Times New Roman" w:hAnsi="Times New Roman" w:cs="Times New Roman"/>
        </w:rPr>
        <w:lastRenderedPageBreak/>
        <w:t>Plant immunity is far from passive; it is a dynamic, finely tuned system shaped by millions of years by coevolution with pathogens. From the recognition of extracellular microbial signatures to the intracellular sensing of stealthy effectors, plants demonstrate remarkable sophistication in perceiving and responding to threats. The interplay of PTI and ETI is not only sequential but also synergistic, reinforcing immune responses and providing robustness against a broad spectrum of pathogens. Signal transduction pathways involving ROS, calcium signaling, MAPKs, and hormonal crosstalk ensure that the defense response is both rapid and context-appropriate. Beyond localized defense, the establishment of SAR equips the plant with systemic preparedness, underscoring the importance of long-term immune memory. As global agriculture faces increasing disease pressures amid climate change and intensive cultivation, leveraging this deepened understanding of plant immune mechanisms can revolutionize crop protection. Future research must continue to decode the complexities of immune signaling and effector recognition, thereby enabling the rational design of crops that are both high-yielding and resilient to emerging pathogens.</w:t>
      </w:r>
    </w:p>
    <w:p w14:paraId="65422AE7" w14:textId="77777777" w:rsidR="00390CEA" w:rsidRDefault="00390CEA" w:rsidP="00390CEA">
      <w:r>
        <w:t>Disclaimer (Artificial intelligence)</w:t>
      </w:r>
    </w:p>
    <w:p w14:paraId="3674D448" w14:textId="77777777" w:rsidR="00390CEA" w:rsidRDefault="00390CEA" w:rsidP="00390CEA">
      <w:r>
        <w:t xml:space="preserve">Option 1: </w:t>
      </w:r>
    </w:p>
    <w:p w14:paraId="3B00AB5E" w14:textId="77777777" w:rsidR="00390CEA" w:rsidRDefault="00390CEA" w:rsidP="00390CE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3BB0D7E" w14:textId="77777777" w:rsidR="00390CEA" w:rsidRDefault="00390CEA" w:rsidP="00390CEA">
      <w:r>
        <w:t xml:space="preserve">Option 2: </w:t>
      </w:r>
    </w:p>
    <w:p w14:paraId="5A01542B" w14:textId="77777777" w:rsidR="00390CEA" w:rsidRDefault="00390CEA" w:rsidP="00390CE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06D4B6" w14:textId="77777777" w:rsidR="00390CEA" w:rsidRDefault="00390CEA" w:rsidP="00390CEA">
      <w:r>
        <w:t>Details of the AI usage are given below:</w:t>
      </w:r>
    </w:p>
    <w:p w14:paraId="211AEA7D" w14:textId="77777777" w:rsidR="00390CEA" w:rsidRDefault="00390CEA" w:rsidP="00390CEA">
      <w:r>
        <w:t>1.</w:t>
      </w:r>
    </w:p>
    <w:p w14:paraId="20A282DF" w14:textId="77777777" w:rsidR="00390CEA" w:rsidRDefault="00390CEA" w:rsidP="00390CEA">
      <w:r>
        <w:t>2.</w:t>
      </w:r>
    </w:p>
    <w:p w14:paraId="158374BD" w14:textId="77777777" w:rsidR="00390CEA" w:rsidRPr="00D047BB" w:rsidRDefault="00390CEA" w:rsidP="00390CEA">
      <w:r>
        <w:t>3.</w:t>
      </w:r>
    </w:p>
    <w:p w14:paraId="6F223453" w14:textId="77777777" w:rsidR="00390CEA" w:rsidRPr="0063354D" w:rsidRDefault="00390CEA" w:rsidP="00390CEA"/>
    <w:p w14:paraId="0E3E40CD" w14:textId="77777777" w:rsidR="00390CEA" w:rsidRPr="00F7241A" w:rsidRDefault="00390CEA" w:rsidP="00390CEA"/>
    <w:p w14:paraId="13EC2488" w14:textId="77777777" w:rsidR="00390CEA" w:rsidRDefault="00390CEA" w:rsidP="003E40ED">
      <w:pPr>
        <w:spacing w:line="360" w:lineRule="auto"/>
        <w:ind w:firstLine="720"/>
        <w:jc w:val="both"/>
        <w:rPr>
          <w:rFonts w:ascii="Times New Roman" w:hAnsi="Times New Roman" w:cs="Times New Roman"/>
        </w:rPr>
      </w:pPr>
    </w:p>
    <w:p w14:paraId="7CD01871"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lastRenderedPageBreak/>
        <w:t>References:</w:t>
      </w:r>
    </w:p>
    <w:p w14:paraId="3594CFD4"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Abdul Malik, N. A., Kumar, I. S., &amp; Nadarajah, K. (2020). Elicitor and receptor molecules: orchestrators of plant defense and immunity. </w:t>
      </w:r>
      <w:r w:rsidRPr="00C00C1D">
        <w:rPr>
          <w:rFonts w:ascii="Times New Roman" w:hAnsi="Times New Roman" w:cs="Times New Roman"/>
          <w:i/>
          <w:iCs/>
        </w:rPr>
        <w:t>International Journal of Molecular Sciences</w:t>
      </w:r>
      <w:r w:rsidRPr="00C00C1D">
        <w:rPr>
          <w:rFonts w:ascii="Times New Roman" w:hAnsi="Times New Roman" w:cs="Times New Roman"/>
        </w:rPr>
        <w:t>, </w:t>
      </w:r>
      <w:r w:rsidRPr="00C00C1D">
        <w:rPr>
          <w:rFonts w:ascii="Times New Roman" w:hAnsi="Times New Roman" w:cs="Times New Roman"/>
          <w:i/>
          <w:iCs/>
        </w:rPr>
        <w:t>21</w:t>
      </w:r>
      <w:r w:rsidRPr="00C00C1D">
        <w:rPr>
          <w:rFonts w:ascii="Times New Roman" w:hAnsi="Times New Roman" w:cs="Times New Roman"/>
        </w:rPr>
        <w:t xml:space="preserve">(3), 963. </w:t>
      </w:r>
    </w:p>
    <w:p w14:paraId="28F5D8E6"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Ausubel, F. M. (2005). Are innate immune signaling pathways in plants and animals </w:t>
      </w:r>
      <w:proofErr w:type="gramStart"/>
      <w:r w:rsidRPr="00C00C1D">
        <w:rPr>
          <w:rFonts w:ascii="Times New Roman" w:hAnsi="Times New Roman" w:cs="Times New Roman"/>
        </w:rPr>
        <w:t>conserved?.</w:t>
      </w:r>
      <w:proofErr w:type="gramEnd"/>
      <w:r w:rsidRPr="00C00C1D">
        <w:rPr>
          <w:rFonts w:ascii="Times New Roman" w:hAnsi="Times New Roman" w:cs="Times New Roman"/>
        </w:rPr>
        <w:t> </w:t>
      </w:r>
      <w:r w:rsidRPr="00C00C1D">
        <w:rPr>
          <w:rFonts w:ascii="Times New Roman" w:hAnsi="Times New Roman" w:cs="Times New Roman"/>
          <w:i/>
          <w:iCs/>
        </w:rPr>
        <w:t>Nature immunology</w:t>
      </w:r>
      <w:r w:rsidRPr="00C00C1D">
        <w:rPr>
          <w:rFonts w:ascii="Times New Roman" w:hAnsi="Times New Roman" w:cs="Times New Roman"/>
        </w:rPr>
        <w:t>, </w:t>
      </w:r>
      <w:r w:rsidRPr="00C00C1D">
        <w:rPr>
          <w:rFonts w:ascii="Times New Roman" w:hAnsi="Times New Roman" w:cs="Times New Roman"/>
          <w:i/>
          <w:iCs/>
        </w:rPr>
        <w:t>6</w:t>
      </w:r>
      <w:r w:rsidRPr="00C00C1D">
        <w:rPr>
          <w:rFonts w:ascii="Times New Roman" w:hAnsi="Times New Roman" w:cs="Times New Roman"/>
        </w:rPr>
        <w:t>(10), 973-979.</w:t>
      </w:r>
    </w:p>
    <w:p w14:paraId="7A8EC412"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Bai, F. (2018). The roles of the small </w:t>
      </w:r>
      <w:proofErr w:type="spellStart"/>
      <w:r w:rsidRPr="00C00C1D">
        <w:rPr>
          <w:rFonts w:ascii="Times New Roman" w:hAnsi="Times New Roman" w:cs="Times New Roman"/>
        </w:rPr>
        <w:t>pMEKK</w:t>
      </w:r>
      <w:proofErr w:type="spellEnd"/>
      <w:r w:rsidRPr="00C00C1D">
        <w:rPr>
          <w:rFonts w:ascii="Times New Roman" w:hAnsi="Times New Roman" w:cs="Times New Roman"/>
        </w:rPr>
        <w:t xml:space="preserve"> subfamily comprising MAPKKK19, 20 and 21 in </w:t>
      </w:r>
      <w:r w:rsidRPr="00C00C1D">
        <w:rPr>
          <w:rFonts w:ascii="Times New Roman" w:hAnsi="Times New Roman" w:cs="Times New Roman"/>
          <w:i/>
          <w:iCs/>
        </w:rPr>
        <w:t>Arabidopsis thaliana</w:t>
      </w:r>
      <w:r w:rsidRPr="00C00C1D">
        <w:rPr>
          <w:rFonts w:ascii="Times New Roman" w:hAnsi="Times New Roman" w:cs="Times New Roman"/>
        </w:rPr>
        <w:t>.</w:t>
      </w:r>
    </w:p>
    <w:p w14:paraId="5204E28B"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t xml:space="preserve">Birkenbihl, R. P., Kracher, B., Roccaro, M., &amp; Somssich, I. E. (2017). </w:t>
      </w:r>
      <w:r w:rsidRPr="00C00C1D">
        <w:rPr>
          <w:rFonts w:ascii="Times New Roman" w:hAnsi="Times New Roman" w:cs="Times New Roman"/>
        </w:rPr>
        <w:t xml:space="preserve">Induced genome-wide binding of three </w:t>
      </w:r>
      <w:r w:rsidRPr="00C00C1D">
        <w:rPr>
          <w:rFonts w:ascii="Times New Roman" w:hAnsi="Times New Roman" w:cs="Times New Roman"/>
          <w:i/>
          <w:iCs/>
        </w:rPr>
        <w:t>Arabidopsis</w:t>
      </w:r>
      <w:r w:rsidRPr="00C00C1D">
        <w:rPr>
          <w:rFonts w:ascii="Times New Roman" w:hAnsi="Times New Roman" w:cs="Times New Roman"/>
        </w:rPr>
        <w:t xml:space="preserve"> WRKY transcription factors during early MAMP-triggered immunity. </w:t>
      </w:r>
      <w:r w:rsidRPr="00C00C1D">
        <w:rPr>
          <w:rFonts w:ascii="Times New Roman" w:hAnsi="Times New Roman" w:cs="Times New Roman"/>
          <w:i/>
          <w:iCs/>
        </w:rPr>
        <w:t>The Plant Cell</w:t>
      </w:r>
      <w:r w:rsidRPr="00C00C1D">
        <w:rPr>
          <w:rFonts w:ascii="Times New Roman" w:hAnsi="Times New Roman" w:cs="Times New Roman"/>
        </w:rPr>
        <w:t>, </w:t>
      </w:r>
      <w:r w:rsidRPr="00C00C1D">
        <w:rPr>
          <w:rFonts w:ascii="Times New Roman" w:hAnsi="Times New Roman" w:cs="Times New Roman"/>
          <w:i/>
          <w:iCs/>
        </w:rPr>
        <w:t>29</w:t>
      </w:r>
      <w:r w:rsidRPr="00C00C1D">
        <w:rPr>
          <w:rFonts w:ascii="Times New Roman" w:hAnsi="Times New Roman" w:cs="Times New Roman"/>
        </w:rPr>
        <w:t>(1), 20-38.</w:t>
      </w:r>
    </w:p>
    <w:p w14:paraId="2073E004"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Bittel, P., &amp; </w:t>
      </w:r>
      <w:proofErr w:type="spellStart"/>
      <w:r w:rsidRPr="00C00C1D">
        <w:rPr>
          <w:rFonts w:ascii="Times New Roman" w:hAnsi="Times New Roman" w:cs="Times New Roman"/>
        </w:rPr>
        <w:t>Robatzek</w:t>
      </w:r>
      <w:proofErr w:type="spellEnd"/>
      <w:r w:rsidRPr="00C00C1D">
        <w:rPr>
          <w:rFonts w:ascii="Times New Roman" w:hAnsi="Times New Roman" w:cs="Times New Roman"/>
        </w:rPr>
        <w:t>, S. (2007). Microbe-associated molecular patterns (MAMPs) probe plant immunity. </w:t>
      </w:r>
      <w:r w:rsidRPr="00C00C1D">
        <w:rPr>
          <w:rFonts w:ascii="Times New Roman" w:hAnsi="Times New Roman" w:cs="Times New Roman"/>
          <w:i/>
          <w:iCs/>
        </w:rPr>
        <w:t>Current opinion in plant biology</w:t>
      </w:r>
      <w:r w:rsidRPr="00C00C1D">
        <w:rPr>
          <w:rFonts w:ascii="Times New Roman" w:hAnsi="Times New Roman" w:cs="Times New Roman"/>
        </w:rPr>
        <w:t>, </w:t>
      </w:r>
      <w:r w:rsidRPr="00C00C1D">
        <w:rPr>
          <w:rFonts w:ascii="Times New Roman" w:hAnsi="Times New Roman" w:cs="Times New Roman"/>
          <w:i/>
          <w:iCs/>
        </w:rPr>
        <w:t>10</w:t>
      </w:r>
      <w:r w:rsidRPr="00C00C1D">
        <w:rPr>
          <w:rFonts w:ascii="Times New Roman" w:hAnsi="Times New Roman" w:cs="Times New Roman"/>
        </w:rPr>
        <w:t>(4), 335-341.</w:t>
      </w:r>
    </w:p>
    <w:p w14:paraId="1865B40D"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Boller, T., &amp; Felix, G. (2009). A renaissance of elicitors: perception of microbe-associated molecular patterns and danger signals by pattern-recognition receptors. </w:t>
      </w:r>
      <w:r w:rsidRPr="00C00C1D">
        <w:rPr>
          <w:rFonts w:ascii="Times New Roman" w:hAnsi="Times New Roman" w:cs="Times New Roman"/>
          <w:i/>
          <w:iCs/>
        </w:rPr>
        <w:t>Annual review of plant biology</w:t>
      </w:r>
      <w:r w:rsidRPr="00C00C1D">
        <w:rPr>
          <w:rFonts w:ascii="Times New Roman" w:hAnsi="Times New Roman" w:cs="Times New Roman"/>
        </w:rPr>
        <w:t>, </w:t>
      </w:r>
      <w:r w:rsidRPr="00C00C1D">
        <w:rPr>
          <w:rFonts w:ascii="Times New Roman" w:hAnsi="Times New Roman" w:cs="Times New Roman"/>
          <w:i/>
          <w:iCs/>
        </w:rPr>
        <w:t>60</w:t>
      </w:r>
      <w:r w:rsidRPr="00C00C1D">
        <w:rPr>
          <w:rFonts w:ascii="Times New Roman" w:hAnsi="Times New Roman" w:cs="Times New Roman"/>
        </w:rPr>
        <w:t>(1), 379-406.</w:t>
      </w:r>
    </w:p>
    <w:p w14:paraId="10B90BDA"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Brears, T., &amp; Ryals, J. (1994). Genetic engineering for disease resistance in plants.</w:t>
      </w:r>
    </w:p>
    <w:p w14:paraId="2608555B"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Chang, X., &amp; Nick, P. (2012). Defence signalling triggered by Flg22 and Harpin is integrated into a different stilbene output in Vitis cells. </w:t>
      </w:r>
      <w:proofErr w:type="spellStart"/>
      <w:r w:rsidRPr="00C00C1D">
        <w:rPr>
          <w:rFonts w:ascii="Times New Roman" w:hAnsi="Times New Roman" w:cs="Times New Roman"/>
          <w:i/>
          <w:iCs/>
        </w:rPr>
        <w:t>PLoS</w:t>
      </w:r>
      <w:proofErr w:type="spellEnd"/>
      <w:r w:rsidRPr="00C00C1D">
        <w:rPr>
          <w:rFonts w:ascii="Times New Roman" w:hAnsi="Times New Roman" w:cs="Times New Roman"/>
          <w:i/>
          <w:iCs/>
        </w:rPr>
        <w:t xml:space="preserve"> One</w:t>
      </w:r>
      <w:r w:rsidRPr="00C00C1D">
        <w:rPr>
          <w:rFonts w:ascii="Times New Roman" w:hAnsi="Times New Roman" w:cs="Times New Roman"/>
        </w:rPr>
        <w:t>, </w:t>
      </w:r>
      <w:r w:rsidRPr="00C00C1D">
        <w:rPr>
          <w:rFonts w:ascii="Times New Roman" w:hAnsi="Times New Roman" w:cs="Times New Roman"/>
          <w:i/>
          <w:iCs/>
        </w:rPr>
        <w:t>7</w:t>
      </w:r>
      <w:r w:rsidRPr="00C00C1D">
        <w:rPr>
          <w:rFonts w:ascii="Times New Roman" w:hAnsi="Times New Roman" w:cs="Times New Roman"/>
        </w:rPr>
        <w:t>(7), e40446.</w:t>
      </w:r>
    </w:p>
    <w:p w14:paraId="28BF4F83"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Chapman, S., Stevens, L.J., </w:t>
      </w:r>
      <w:proofErr w:type="spellStart"/>
      <w:r w:rsidRPr="00C00C1D">
        <w:rPr>
          <w:rFonts w:ascii="Times New Roman" w:hAnsi="Times New Roman" w:cs="Times New Roman"/>
        </w:rPr>
        <w:t>Boevink</w:t>
      </w:r>
      <w:proofErr w:type="spellEnd"/>
      <w:r w:rsidRPr="00C00C1D">
        <w:rPr>
          <w:rFonts w:ascii="Times New Roman" w:hAnsi="Times New Roman" w:cs="Times New Roman"/>
        </w:rPr>
        <w:t xml:space="preserve">, P.C., Engelhardt, S., Alexander, C.J., Harrower, B., </w:t>
      </w:r>
      <w:proofErr w:type="spellStart"/>
      <w:r w:rsidRPr="00C00C1D">
        <w:rPr>
          <w:rFonts w:ascii="Times New Roman" w:hAnsi="Times New Roman" w:cs="Times New Roman"/>
        </w:rPr>
        <w:t>Champouret</w:t>
      </w:r>
      <w:proofErr w:type="spellEnd"/>
      <w:r w:rsidRPr="00C00C1D">
        <w:rPr>
          <w:rFonts w:ascii="Times New Roman" w:hAnsi="Times New Roman" w:cs="Times New Roman"/>
        </w:rPr>
        <w:t xml:space="preserve">, N., McGeachy, K., Van Weymers, P.S., Chen, X. and Birch, P.R., (2014). Detection of the virulent form of AVR3a from </w:t>
      </w:r>
      <w:r w:rsidRPr="00C00C1D">
        <w:rPr>
          <w:rFonts w:ascii="Times New Roman" w:hAnsi="Times New Roman" w:cs="Times New Roman"/>
          <w:i/>
          <w:iCs/>
        </w:rPr>
        <w:t>Phytophthora infestans</w:t>
      </w:r>
      <w:r w:rsidRPr="00C00C1D">
        <w:rPr>
          <w:rFonts w:ascii="Times New Roman" w:hAnsi="Times New Roman" w:cs="Times New Roman"/>
        </w:rPr>
        <w:t xml:space="preserve"> following artificial evolution of potato resistance gene </w:t>
      </w:r>
      <w:r w:rsidRPr="00C00C1D">
        <w:rPr>
          <w:rFonts w:ascii="Times New Roman" w:hAnsi="Times New Roman" w:cs="Times New Roman"/>
          <w:i/>
          <w:iCs/>
        </w:rPr>
        <w:t>R3a</w:t>
      </w:r>
      <w:r w:rsidRPr="00C00C1D">
        <w:rPr>
          <w:rFonts w:ascii="Times New Roman" w:hAnsi="Times New Roman" w:cs="Times New Roman"/>
        </w:rPr>
        <w:t>. </w:t>
      </w:r>
      <w:proofErr w:type="spellStart"/>
      <w:r w:rsidRPr="00C00C1D">
        <w:rPr>
          <w:rFonts w:ascii="Times New Roman" w:hAnsi="Times New Roman" w:cs="Times New Roman"/>
          <w:i/>
          <w:iCs/>
        </w:rPr>
        <w:t>PLoS</w:t>
      </w:r>
      <w:proofErr w:type="spellEnd"/>
      <w:r w:rsidRPr="00C00C1D">
        <w:rPr>
          <w:rFonts w:ascii="Times New Roman" w:hAnsi="Times New Roman" w:cs="Times New Roman"/>
          <w:i/>
          <w:iCs/>
        </w:rPr>
        <w:t xml:space="preserve"> One</w:t>
      </w:r>
      <w:r w:rsidRPr="00C00C1D">
        <w:rPr>
          <w:rFonts w:ascii="Times New Roman" w:hAnsi="Times New Roman" w:cs="Times New Roman"/>
        </w:rPr>
        <w:t>, </w:t>
      </w:r>
      <w:r w:rsidRPr="00C00C1D">
        <w:rPr>
          <w:rFonts w:ascii="Times New Roman" w:hAnsi="Times New Roman" w:cs="Times New Roman"/>
          <w:i/>
          <w:iCs/>
        </w:rPr>
        <w:t>9</w:t>
      </w:r>
      <w:r w:rsidRPr="00C00C1D">
        <w:rPr>
          <w:rFonts w:ascii="Times New Roman" w:hAnsi="Times New Roman" w:cs="Times New Roman"/>
        </w:rPr>
        <w:t>(10).</w:t>
      </w:r>
    </w:p>
    <w:p w14:paraId="4E5A2B0E" w14:textId="77777777" w:rsidR="00C00C1D" w:rsidRPr="00C00C1D" w:rsidRDefault="00C00C1D">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Chassot</w:t>
      </w:r>
      <w:proofErr w:type="spellEnd"/>
      <w:r w:rsidRPr="00C00C1D">
        <w:rPr>
          <w:rFonts w:ascii="Times New Roman" w:hAnsi="Times New Roman" w:cs="Times New Roman"/>
        </w:rPr>
        <w:t xml:space="preserve">, C., </w:t>
      </w:r>
      <w:proofErr w:type="spellStart"/>
      <w:r w:rsidRPr="00C00C1D">
        <w:rPr>
          <w:rFonts w:ascii="Times New Roman" w:hAnsi="Times New Roman" w:cs="Times New Roman"/>
        </w:rPr>
        <w:t>Nawrath</w:t>
      </w:r>
      <w:proofErr w:type="spellEnd"/>
      <w:r w:rsidRPr="00C00C1D">
        <w:rPr>
          <w:rFonts w:ascii="Times New Roman" w:hAnsi="Times New Roman" w:cs="Times New Roman"/>
        </w:rPr>
        <w:t xml:space="preserve">, C., &amp; </w:t>
      </w:r>
      <w:proofErr w:type="spellStart"/>
      <w:r w:rsidRPr="00C00C1D">
        <w:rPr>
          <w:rFonts w:ascii="Times New Roman" w:hAnsi="Times New Roman" w:cs="Times New Roman"/>
        </w:rPr>
        <w:t>Métraux</w:t>
      </w:r>
      <w:proofErr w:type="spellEnd"/>
      <w:r w:rsidRPr="00C00C1D">
        <w:rPr>
          <w:rFonts w:ascii="Times New Roman" w:hAnsi="Times New Roman" w:cs="Times New Roman"/>
        </w:rPr>
        <w:t>, J. P. (2007). Cuticular defects lead to full immunity to a major plant pathogen. </w:t>
      </w:r>
      <w:r w:rsidRPr="00C00C1D">
        <w:rPr>
          <w:rFonts w:ascii="Times New Roman" w:hAnsi="Times New Roman" w:cs="Times New Roman"/>
          <w:i/>
          <w:iCs/>
        </w:rPr>
        <w:t>The Plant Journal</w:t>
      </w:r>
      <w:r w:rsidRPr="00C00C1D">
        <w:rPr>
          <w:rFonts w:ascii="Times New Roman" w:hAnsi="Times New Roman" w:cs="Times New Roman"/>
        </w:rPr>
        <w:t>, </w:t>
      </w:r>
      <w:r w:rsidRPr="00C00C1D">
        <w:rPr>
          <w:rFonts w:ascii="Times New Roman" w:hAnsi="Times New Roman" w:cs="Times New Roman"/>
          <w:i/>
          <w:iCs/>
        </w:rPr>
        <w:t>49</w:t>
      </w:r>
      <w:r w:rsidRPr="00C00C1D">
        <w:rPr>
          <w:rFonts w:ascii="Times New Roman" w:hAnsi="Times New Roman" w:cs="Times New Roman"/>
        </w:rPr>
        <w:t>(6), 972-980.</w:t>
      </w:r>
    </w:p>
    <w:p w14:paraId="7432A973"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Chen, J., Xu, X., Liu, W., Feng, Z., Chen, Q., Zhou, Y., Sun, M., Gan, L., Zhou, T. and Xuan, Y., (2024). Plasmodesmata function and callose deposition in plant disease defense. </w:t>
      </w:r>
      <w:r w:rsidRPr="00C00C1D">
        <w:rPr>
          <w:rFonts w:ascii="Times New Roman" w:hAnsi="Times New Roman" w:cs="Times New Roman"/>
          <w:i/>
          <w:iCs/>
        </w:rPr>
        <w:t>Plants</w:t>
      </w:r>
      <w:r w:rsidRPr="00C00C1D">
        <w:rPr>
          <w:rFonts w:ascii="Times New Roman" w:hAnsi="Times New Roman" w:cs="Times New Roman"/>
        </w:rPr>
        <w:t>, </w:t>
      </w:r>
      <w:r w:rsidRPr="00C00C1D">
        <w:rPr>
          <w:rFonts w:ascii="Times New Roman" w:hAnsi="Times New Roman" w:cs="Times New Roman"/>
          <w:i/>
          <w:iCs/>
        </w:rPr>
        <w:t>13</w:t>
      </w:r>
      <w:r w:rsidRPr="00C00C1D">
        <w:rPr>
          <w:rFonts w:ascii="Times New Roman" w:hAnsi="Times New Roman" w:cs="Times New Roman"/>
        </w:rPr>
        <w:t xml:space="preserve">(16), 2242. </w:t>
      </w:r>
    </w:p>
    <w:p w14:paraId="569B9A29"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lastRenderedPageBreak/>
        <w:t xml:space="preserve">Consonni, C., Humphry, M., &amp; </w:t>
      </w:r>
      <w:proofErr w:type="spellStart"/>
      <w:r w:rsidRPr="00C00C1D">
        <w:rPr>
          <w:rFonts w:ascii="Times New Roman" w:hAnsi="Times New Roman" w:cs="Times New Roman"/>
        </w:rPr>
        <w:t>Panstruga</w:t>
      </w:r>
      <w:proofErr w:type="spellEnd"/>
      <w:r w:rsidRPr="00C00C1D">
        <w:rPr>
          <w:rFonts w:ascii="Times New Roman" w:hAnsi="Times New Roman" w:cs="Times New Roman"/>
        </w:rPr>
        <w:t>, R. (2009). Defence responses in plants. In </w:t>
      </w:r>
      <w:r w:rsidRPr="00C00C1D">
        <w:rPr>
          <w:rFonts w:ascii="Times New Roman" w:hAnsi="Times New Roman" w:cs="Times New Roman"/>
          <w:i/>
          <w:iCs/>
        </w:rPr>
        <w:t>Plant Relationships</w:t>
      </w:r>
      <w:r w:rsidRPr="00C00C1D">
        <w:rPr>
          <w:rFonts w:ascii="Times New Roman" w:hAnsi="Times New Roman" w:cs="Times New Roman"/>
        </w:rPr>
        <w:t> (pp. 363-385). Berlin, Heidelberg: Springer Berlin Heidelberg.</w:t>
      </w:r>
    </w:p>
    <w:p w14:paraId="2A75FAA0" w14:textId="77777777" w:rsidR="00C00C1D" w:rsidRP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Couto, D., &amp; Zipfel, C. (2016). Regulation of pattern recognition receptor signalling in plants. </w:t>
      </w:r>
      <w:r w:rsidRPr="00C00C1D">
        <w:rPr>
          <w:rFonts w:ascii="Times New Roman" w:hAnsi="Times New Roman" w:cs="Times New Roman"/>
          <w:i/>
          <w:iCs/>
        </w:rPr>
        <w:t>Nature Reviews Immunology</w:t>
      </w:r>
      <w:r w:rsidRPr="00C00C1D">
        <w:rPr>
          <w:rFonts w:ascii="Times New Roman" w:hAnsi="Times New Roman" w:cs="Times New Roman"/>
        </w:rPr>
        <w:t xml:space="preserve">, 16(9), 537–552. </w:t>
      </w:r>
    </w:p>
    <w:p w14:paraId="0B1C9CE7" w14:textId="77777777" w:rsidR="00C00C1D" w:rsidRPr="00C00C1D" w:rsidRDefault="00C00C1D">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Dalio</w:t>
      </w:r>
      <w:proofErr w:type="spellEnd"/>
      <w:r w:rsidRPr="00C00C1D">
        <w:rPr>
          <w:rFonts w:ascii="Times New Roman" w:hAnsi="Times New Roman" w:cs="Times New Roman"/>
        </w:rPr>
        <w:t xml:space="preserve">, R.J., </w:t>
      </w:r>
      <w:proofErr w:type="spellStart"/>
      <w:r w:rsidRPr="00C00C1D">
        <w:rPr>
          <w:rFonts w:ascii="Times New Roman" w:hAnsi="Times New Roman" w:cs="Times New Roman"/>
        </w:rPr>
        <w:t>Paschoal</w:t>
      </w:r>
      <w:proofErr w:type="spellEnd"/>
      <w:r w:rsidRPr="00C00C1D">
        <w:rPr>
          <w:rFonts w:ascii="Times New Roman" w:hAnsi="Times New Roman" w:cs="Times New Roman"/>
        </w:rPr>
        <w:t xml:space="preserve">, D., Arena, G.D., Magalhães, D.M., Oliveira, T.S., </w:t>
      </w:r>
      <w:proofErr w:type="spellStart"/>
      <w:r w:rsidRPr="00C00C1D">
        <w:rPr>
          <w:rFonts w:ascii="Times New Roman" w:hAnsi="Times New Roman" w:cs="Times New Roman"/>
        </w:rPr>
        <w:t>Merfa</w:t>
      </w:r>
      <w:proofErr w:type="spellEnd"/>
      <w:r w:rsidRPr="00C00C1D">
        <w:rPr>
          <w:rFonts w:ascii="Times New Roman" w:hAnsi="Times New Roman" w:cs="Times New Roman"/>
        </w:rPr>
        <w:t>, M.V., Maximo, H.J. and Machado, M.A., (2021). Hypersensitive response: From NLR pathogen recognition to cell death response. </w:t>
      </w:r>
      <w:r w:rsidRPr="00C00C1D">
        <w:rPr>
          <w:rFonts w:ascii="Times New Roman" w:hAnsi="Times New Roman" w:cs="Times New Roman"/>
          <w:i/>
          <w:iCs/>
        </w:rPr>
        <w:t>Annals of Applied Biology</w:t>
      </w:r>
      <w:r w:rsidRPr="00C00C1D">
        <w:rPr>
          <w:rFonts w:ascii="Times New Roman" w:hAnsi="Times New Roman" w:cs="Times New Roman"/>
        </w:rPr>
        <w:t>, </w:t>
      </w:r>
      <w:r w:rsidRPr="00C00C1D">
        <w:rPr>
          <w:rFonts w:ascii="Times New Roman" w:hAnsi="Times New Roman" w:cs="Times New Roman"/>
          <w:i/>
          <w:iCs/>
        </w:rPr>
        <w:t>178</w:t>
      </w:r>
      <w:r w:rsidRPr="00C00C1D">
        <w:rPr>
          <w:rFonts w:ascii="Times New Roman" w:hAnsi="Times New Roman" w:cs="Times New Roman"/>
        </w:rPr>
        <w:t>(2), pp.268-280.</w:t>
      </w:r>
    </w:p>
    <w:p w14:paraId="63BBF60D"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Dangl, J. L., &amp; Jones, J. D. (2001). Plant pathogens and integrated defence responses to infection. </w:t>
      </w:r>
      <w:r w:rsidRPr="00C00C1D">
        <w:rPr>
          <w:rFonts w:ascii="Times New Roman" w:hAnsi="Times New Roman" w:cs="Times New Roman"/>
          <w:i/>
          <w:iCs/>
        </w:rPr>
        <w:t>Nature</w:t>
      </w:r>
      <w:r w:rsidRPr="00C00C1D">
        <w:rPr>
          <w:rFonts w:ascii="Times New Roman" w:hAnsi="Times New Roman" w:cs="Times New Roman"/>
        </w:rPr>
        <w:t>, </w:t>
      </w:r>
      <w:r w:rsidRPr="00C00C1D">
        <w:rPr>
          <w:rFonts w:ascii="Times New Roman" w:hAnsi="Times New Roman" w:cs="Times New Roman"/>
          <w:i/>
          <w:iCs/>
        </w:rPr>
        <w:t>411</w:t>
      </w:r>
      <w:r w:rsidRPr="00C00C1D">
        <w:rPr>
          <w:rFonts w:ascii="Times New Roman" w:hAnsi="Times New Roman" w:cs="Times New Roman"/>
        </w:rPr>
        <w:t>(6839), 826-833.</w:t>
      </w:r>
    </w:p>
    <w:p w14:paraId="3CDB2A0A"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t xml:space="preserve">Delledonne, M., Xia, Y., Dixon, R. A., &amp; Lamb, C. (1998). </w:t>
      </w:r>
      <w:r w:rsidRPr="00C00C1D">
        <w:rPr>
          <w:rFonts w:ascii="Times New Roman" w:hAnsi="Times New Roman" w:cs="Times New Roman"/>
        </w:rPr>
        <w:t>Nitric oxide functions as a signal in plant disease resistance. </w:t>
      </w:r>
      <w:r w:rsidRPr="00C00C1D">
        <w:rPr>
          <w:rFonts w:ascii="Times New Roman" w:hAnsi="Times New Roman" w:cs="Times New Roman"/>
          <w:i/>
          <w:iCs/>
        </w:rPr>
        <w:t>Nature</w:t>
      </w:r>
      <w:r w:rsidRPr="00C00C1D">
        <w:rPr>
          <w:rFonts w:ascii="Times New Roman" w:hAnsi="Times New Roman" w:cs="Times New Roman"/>
        </w:rPr>
        <w:t>, </w:t>
      </w:r>
      <w:r w:rsidRPr="00C00C1D">
        <w:rPr>
          <w:rFonts w:ascii="Times New Roman" w:hAnsi="Times New Roman" w:cs="Times New Roman"/>
          <w:i/>
          <w:iCs/>
        </w:rPr>
        <w:t>394</w:t>
      </w:r>
      <w:r w:rsidRPr="00C00C1D">
        <w:rPr>
          <w:rFonts w:ascii="Times New Roman" w:hAnsi="Times New Roman" w:cs="Times New Roman"/>
        </w:rPr>
        <w:t>(6693), 585-588.</w:t>
      </w:r>
    </w:p>
    <w:p w14:paraId="3EE888E4"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Demidchik, V., &amp; Shabala, S. (2017). Mechanisms of cytosolic calcium elevation in plants: the role of ion channels, calcium extrusion systems and NADPH oxidase-mediated ‘ROS-Ca2+ Hub’. </w:t>
      </w:r>
      <w:r w:rsidRPr="00C00C1D">
        <w:rPr>
          <w:rFonts w:ascii="Times New Roman" w:hAnsi="Times New Roman" w:cs="Times New Roman"/>
          <w:i/>
          <w:iCs/>
        </w:rPr>
        <w:t>Functional Plant Biology</w:t>
      </w:r>
      <w:r w:rsidRPr="00C00C1D">
        <w:rPr>
          <w:rFonts w:ascii="Times New Roman" w:hAnsi="Times New Roman" w:cs="Times New Roman"/>
        </w:rPr>
        <w:t>, 45(2), 9-27.</w:t>
      </w:r>
    </w:p>
    <w:p w14:paraId="79D862B3"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Durrant, W. E., &amp; Dong, X. (2004). Systemic acquired resistance. </w:t>
      </w:r>
      <w:r w:rsidRPr="00C00C1D">
        <w:rPr>
          <w:rFonts w:ascii="Times New Roman" w:hAnsi="Times New Roman" w:cs="Times New Roman"/>
          <w:i/>
          <w:iCs/>
        </w:rPr>
        <w:t>Annual Review of Phytopathology</w:t>
      </w:r>
      <w:r w:rsidRPr="00C00C1D">
        <w:rPr>
          <w:rFonts w:ascii="Times New Roman" w:hAnsi="Times New Roman" w:cs="Times New Roman"/>
        </w:rPr>
        <w:t xml:space="preserve">, </w:t>
      </w:r>
      <w:r w:rsidRPr="00C00C1D">
        <w:rPr>
          <w:rFonts w:ascii="Times New Roman" w:hAnsi="Times New Roman" w:cs="Times New Roman"/>
          <w:i/>
          <w:iCs/>
        </w:rPr>
        <w:t>42</w:t>
      </w:r>
      <w:r w:rsidRPr="00C00C1D">
        <w:rPr>
          <w:rFonts w:ascii="Times New Roman" w:hAnsi="Times New Roman" w:cs="Times New Roman"/>
        </w:rPr>
        <w:t>(1), 185-209.</w:t>
      </w:r>
    </w:p>
    <w:p w14:paraId="7D4F5EFD" w14:textId="77777777" w:rsidR="00C00C1D" w:rsidRPr="00C00C1D" w:rsidRDefault="00C00C1D">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Förderer</w:t>
      </w:r>
      <w:proofErr w:type="spellEnd"/>
      <w:r w:rsidRPr="00C00C1D">
        <w:rPr>
          <w:rFonts w:ascii="Times New Roman" w:hAnsi="Times New Roman" w:cs="Times New Roman"/>
        </w:rPr>
        <w:t xml:space="preserve">, A. and </w:t>
      </w:r>
      <w:proofErr w:type="spellStart"/>
      <w:r w:rsidRPr="00C00C1D">
        <w:rPr>
          <w:rFonts w:ascii="Times New Roman" w:hAnsi="Times New Roman" w:cs="Times New Roman"/>
        </w:rPr>
        <w:t>Kourelis</w:t>
      </w:r>
      <w:proofErr w:type="spellEnd"/>
      <w:r w:rsidRPr="00C00C1D">
        <w:rPr>
          <w:rFonts w:ascii="Times New Roman" w:hAnsi="Times New Roman" w:cs="Times New Roman"/>
        </w:rPr>
        <w:t>, J., (2023). NLR immune receptors: structure and function in plant disease resistance. </w:t>
      </w:r>
      <w:r w:rsidRPr="00C00C1D">
        <w:rPr>
          <w:rFonts w:ascii="Times New Roman" w:hAnsi="Times New Roman" w:cs="Times New Roman"/>
          <w:i/>
          <w:iCs/>
        </w:rPr>
        <w:t>Biochemical Society Transactions</w:t>
      </w:r>
      <w:r w:rsidRPr="00C00C1D">
        <w:rPr>
          <w:rFonts w:ascii="Times New Roman" w:hAnsi="Times New Roman" w:cs="Times New Roman"/>
        </w:rPr>
        <w:t>, </w:t>
      </w:r>
      <w:r w:rsidRPr="00C00C1D">
        <w:rPr>
          <w:rFonts w:ascii="Times New Roman" w:hAnsi="Times New Roman" w:cs="Times New Roman"/>
          <w:i/>
          <w:iCs/>
        </w:rPr>
        <w:t>51</w:t>
      </w:r>
      <w:r w:rsidRPr="00C00C1D">
        <w:rPr>
          <w:rFonts w:ascii="Times New Roman" w:hAnsi="Times New Roman" w:cs="Times New Roman"/>
        </w:rPr>
        <w:t>(4), 1473-1483.</w:t>
      </w:r>
    </w:p>
    <w:p w14:paraId="68FC1AC0"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Fröhlich, K., (2020). </w:t>
      </w:r>
      <w:r w:rsidRPr="00C00C1D">
        <w:rPr>
          <w:rFonts w:ascii="Times New Roman" w:hAnsi="Times New Roman" w:cs="Times New Roman"/>
          <w:i/>
          <w:iCs/>
        </w:rPr>
        <w:t>Functional characterization of the immune receptor RLP32 and its ligand IF1</w:t>
      </w:r>
      <w:r w:rsidRPr="00C00C1D">
        <w:rPr>
          <w:rFonts w:ascii="Times New Roman" w:hAnsi="Times New Roman" w:cs="Times New Roman"/>
        </w:rPr>
        <w:t> (Doctoral dissertation, Universität Tübingen).</w:t>
      </w:r>
    </w:p>
    <w:p w14:paraId="2A9B27EB" w14:textId="77777777" w:rsidR="00C00C1D" w:rsidRP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Fu, Z. Q., &amp; Dong, X. (2013). Systemic acquired resistance: Turning local infection into global defense. </w:t>
      </w:r>
      <w:r w:rsidRPr="00C00C1D">
        <w:rPr>
          <w:rFonts w:ascii="Times New Roman" w:hAnsi="Times New Roman" w:cs="Times New Roman"/>
          <w:i/>
          <w:iCs/>
        </w:rPr>
        <w:t>Annual Review of Plant Biology</w:t>
      </w:r>
      <w:r w:rsidRPr="00C00C1D">
        <w:rPr>
          <w:rFonts w:ascii="Times New Roman" w:hAnsi="Times New Roman" w:cs="Times New Roman"/>
        </w:rPr>
        <w:t xml:space="preserve">, 64, 839–863. </w:t>
      </w:r>
    </w:p>
    <w:p w14:paraId="1D5738FE"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Gust, A. A., &amp; Felix, G. (2014). Receptor like proteins associate with SOBIR1-type of adaptors to form bimolecular receptor kinases. </w:t>
      </w:r>
      <w:r w:rsidRPr="00C00C1D">
        <w:rPr>
          <w:rFonts w:ascii="Times New Roman" w:hAnsi="Times New Roman" w:cs="Times New Roman"/>
          <w:i/>
          <w:iCs/>
        </w:rPr>
        <w:t>Current opinion in plant biology</w:t>
      </w:r>
      <w:r w:rsidRPr="00C00C1D">
        <w:rPr>
          <w:rFonts w:ascii="Times New Roman" w:hAnsi="Times New Roman" w:cs="Times New Roman"/>
        </w:rPr>
        <w:t>, </w:t>
      </w:r>
      <w:r w:rsidRPr="00C00C1D">
        <w:rPr>
          <w:rFonts w:ascii="Times New Roman" w:hAnsi="Times New Roman" w:cs="Times New Roman"/>
          <w:i/>
          <w:iCs/>
        </w:rPr>
        <w:t>21</w:t>
      </w:r>
      <w:r w:rsidRPr="00C00C1D">
        <w:rPr>
          <w:rFonts w:ascii="Times New Roman" w:hAnsi="Times New Roman" w:cs="Times New Roman"/>
        </w:rPr>
        <w:t>, 104-111.</w:t>
      </w:r>
    </w:p>
    <w:p w14:paraId="36321ADA"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Hofstra, N., &amp; Vermeulen, L. C. (2016). Impacts of population growth, urbanisation and sanitation changes on global human </w:t>
      </w:r>
      <w:r w:rsidRPr="00C00C1D">
        <w:rPr>
          <w:rFonts w:ascii="Times New Roman" w:hAnsi="Times New Roman" w:cs="Times New Roman"/>
          <w:i/>
          <w:iCs/>
        </w:rPr>
        <w:t>Cryptosporidium</w:t>
      </w:r>
      <w:r w:rsidRPr="00C00C1D">
        <w:rPr>
          <w:rFonts w:ascii="Times New Roman" w:hAnsi="Times New Roman" w:cs="Times New Roman"/>
        </w:rPr>
        <w:t xml:space="preserve"> emissions to surface water. </w:t>
      </w:r>
      <w:r w:rsidRPr="00C00C1D">
        <w:rPr>
          <w:rFonts w:ascii="Times New Roman" w:hAnsi="Times New Roman" w:cs="Times New Roman"/>
          <w:i/>
          <w:iCs/>
        </w:rPr>
        <w:t>International journal of hygiene and environmental health</w:t>
      </w:r>
      <w:r w:rsidRPr="00C00C1D">
        <w:rPr>
          <w:rFonts w:ascii="Times New Roman" w:hAnsi="Times New Roman" w:cs="Times New Roman"/>
        </w:rPr>
        <w:t>, </w:t>
      </w:r>
      <w:r w:rsidRPr="00C00C1D">
        <w:rPr>
          <w:rFonts w:ascii="Times New Roman" w:hAnsi="Times New Roman" w:cs="Times New Roman"/>
          <w:i/>
          <w:iCs/>
        </w:rPr>
        <w:t>219</w:t>
      </w:r>
      <w:r w:rsidRPr="00C00C1D">
        <w:rPr>
          <w:rFonts w:ascii="Times New Roman" w:hAnsi="Times New Roman" w:cs="Times New Roman"/>
        </w:rPr>
        <w:t>(7), 599-605.</w:t>
      </w:r>
    </w:p>
    <w:p w14:paraId="3B3CE7F9"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Hou, S., Liu, Z., Shen, H. &amp; Wu, D., (2019). Damage-associated molecular pattern-triggered immunity in plants. </w:t>
      </w:r>
      <w:r w:rsidRPr="00C00C1D">
        <w:rPr>
          <w:rFonts w:ascii="Times New Roman" w:hAnsi="Times New Roman" w:cs="Times New Roman"/>
          <w:i/>
          <w:iCs/>
        </w:rPr>
        <w:t>Frontiers in plant science</w:t>
      </w:r>
      <w:r w:rsidRPr="00C00C1D">
        <w:rPr>
          <w:rFonts w:ascii="Times New Roman" w:hAnsi="Times New Roman" w:cs="Times New Roman"/>
        </w:rPr>
        <w:t>, </w:t>
      </w:r>
      <w:r w:rsidRPr="00C00C1D">
        <w:rPr>
          <w:rFonts w:ascii="Times New Roman" w:hAnsi="Times New Roman" w:cs="Times New Roman"/>
          <w:i/>
          <w:iCs/>
        </w:rPr>
        <w:t>10</w:t>
      </w:r>
      <w:r w:rsidRPr="00C00C1D">
        <w:rPr>
          <w:rFonts w:ascii="Times New Roman" w:hAnsi="Times New Roman" w:cs="Times New Roman"/>
        </w:rPr>
        <w:t>, p.646.</w:t>
      </w:r>
    </w:p>
    <w:p w14:paraId="2A9C1FF0" w14:textId="77777777" w:rsidR="00C00C1D" w:rsidRP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lastRenderedPageBreak/>
        <w:t xml:space="preserve">Jones, J. D. G., &amp; Dangl, J. L. (2006). The plant immune system. </w:t>
      </w:r>
      <w:r w:rsidRPr="00C00C1D">
        <w:rPr>
          <w:rFonts w:ascii="Times New Roman" w:hAnsi="Times New Roman" w:cs="Times New Roman"/>
          <w:i/>
          <w:iCs/>
        </w:rPr>
        <w:t>Nature</w:t>
      </w:r>
      <w:r w:rsidRPr="00C00C1D">
        <w:rPr>
          <w:rFonts w:ascii="Times New Roman" w:hAnsi="Times New Roman" w:cs="Times New Roman"/>
        </w:rPr>
        <w:t xml:space="preserve">, 444(7117), 323–329. </w:t>
      </w:r>
    </w:p>
    <w:p w14:paraId="428203EB"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Jones, J. D., &amp; Dangl, J. L. (2006). The plant immune system. </w:t>
      </w:r>
      <w:r w:rsidRPr="00C00C1D">
        <w:rPr>
          <w:rFonts w:ascii="Times New Roman" w:hAnsi="Times New Roman" w:cs="Times New Roman"/>
          <w:i/>
          <w:iCs/>
        </w:rPr>
        <w:t>nature</w:t>
      </w:r>
      <w:r w:rsidRPr="00C00C1D">
        <w:rPr>
          <w:rFonts w:ascii="Times New Roman" w:hAnsi="Times New Roman" w:cs="Times New Roman"/>
        </w:rPr>
        <w:t>, </w:t>
      </w:r>
      <w:r w:rsidRPr="00C00C1D">
        <w:rPr>
          <w:rFonts w:ascii="Times New Roman" w:hAnsi="Times New Roman" w:cs="Times New Roman"/>
          <w:i/>
          <w:iCs/>
        </w:rPr>
        <w:t>444</w:t>
      </w:r>
      <w:r w:rsidRPr="00C00C1D">
        <w:rPr>
          <w:rFonts w:ascii="Times New Roman" w:hAnsi="Times New Roman" w:cs="Times New Roman"/>
        </w:rPr>
        <w:t>(7117), 323-329.</w:t>
      </w:r>
    </w:p>
    <w:p w14:paraId="10DD1E06"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Jung, H. W., </w:t>
      </w:r>
      <w:proofErr w:type="spellStart"/>
      <w:r w:rsidRPr="00C00C1D">
        <w:rPr>
          <w:rFonts w:ascii="Times New Roman" w:hAnsi="Times New Roman" w:cs="Times New Roman"/>
        </w:rPr>
        <w:t>Tschaplinski</w:t>
      </w:r>
      <w:proofErr w:type="spellEnd"/>
      <w:r w:rsidRPr="00C00C1D">
        <w:rPr>
          <w:rFonts w:ascii="Times New Roman" w:hAnsi="Times New Roman" w:cs="Times New Roman"/>
        </w:rPr>
        <w:t>, T. J., Wang, L., Glazebrook, J., &amp; Greenberg, J. T. (2009). Priming in systemic plant immunity. </w:t>
      </w:r>
      <w:r w:rsidRPr="00C00C1D">
        <w:rPr>
          <w:rFonts w:ascii="Times New Roman" w:hAnsi="Times New Roman" w:cs="Times New Roman"/>
          <w:i/>
          <w:iCs/>
        </w:rPr>
        <w:t>Science</w:t>
      </w:r>
      <w:r w:rsidRPr="00C00C1D">
        <w:rPr>
          <w:rFonts w:ascii="Times New Roman" w:hAnsi="Times New Roman" w:cs="Times New Roman"/>
        </w:rPr>
        <w:t>, </w:t>
      </w:r>
      <w:r w:rsidRPr="00C00C1D">
        <w:rPr>
          <w:rFonts w:ascii="Times New Roman" w:hAnsi="Times New Roman" w:cs="Times New Roman"/>
          <w:i/>
          <w:iCs/>
        </w:rPr>
        <w:t>324</w:t>
      </w:r>
      <w:r w:rsidRPr="00C00C1D">
        <w:rPr>
          <w:rFonts w:ascii="Times New Roman" w:hAnsi="Times New Roman" w:cs="Times New Roman"/>
        </w:rPr>
        <w:t>(5923), 89-91.</w:t>
      </w:r>
    </w:p>
    <w:p w14:paraId="0DD582E1" w14:textId="77777777" w:rsidR="00C00C1D" w:rsidRPr="00C00C1D" w:rsidRDefault="00C00C1D">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Kameswaran</w:t>
      </w:r>
      <w:proofErr w:type="spellEnd"/>
      <w:r w:rsidRPr="00C00C1D">
        <w:rPr>
          <w:rFonts w:ascii="Times New Roman" w:hAnsi="Times New Roman" w:cs="Times New Roman"/>
        </w:rPr>
        <w:t xml:space="preserve">, S., </w:t>
      </w:r>
      <w:proofErr w:type="spellStart"/>
      <w:r w:rsidRPr="00C00C1D">
        <w:rPr>
          <w:rFonts w:ascii="Times New Roman" w:hAnsi="Times New Roman" w:cs="Times New Roman"/>
        </w:rPr>
        <w:t>Pitchika</w:t>
      </w:r>
      <w:proofErr w:type="spellEnd"/>
      <w:r w:rsidRPr="00C00C1D">
        <w:rPr>
          <w:rFonts w:ascii="Times New Roman" w:hAnsi="Times New Roman" w:cs="Times New Roman"/>
        </w:rPr>
        <w:t xml:space="preserve">, G., Ramesh, B., </w:t>
      </w:r>
      <w:proofErr w:type="spellStart"/>
      <w:r w:rsidRPr="00C00C1D">
        <w:rPr>
          <w:rFonts w:ascii="Times New Roman" w:hAnsi="Times New Roman" w:cs="Times New Roman"/>
        </w:rPr>
        <w:t>Bangeppagari</w:t>
      </w:r>
      <w:proofErr w:type="spellEnd"/>
      <w:r w:rsidRPr="00C00C1D">
        <w:rPr>
          <w:rFonts w:ascii="Times New Roman" w:hAnsi="Times New Roman" w:cs="Times New Roman"/>
        </w:rPr>
        <w:t>, M., Swapna, B., Ramakrishna, M., &amp; Reddy, P. S. (2024). Disease-Resistant Genes and Signal Transduction Pathways and Their Applications in Disease Management. In </w:t>
      </w:r>
      <w:r w:rsidRPr="00C00C1D">
        <w:rPr>
          <w:rFonts w:ascii="Times New Roman" w:hAnsi="Times New Roman" w:cs="Times New Roman"/>
          <w:i/>
          <w:iCs/>
        </w:rPr>
        <w:t>Molecular and Biotechnological Tools for Plant Disease Management</w:t>
      </w:r>
      <w:r w:rsidRPr="00C00C1D">
        <w:rPr>
          <w:rFonts w:ascii="Times New Roman" w:hAnsi="Times New Roman" w:cs="Times New Roman"/>
        </w:rPr>
        <w:t> (pp. 427-463). Singapore: Springer Nature Singapore.</w:t>
      </w:r>
    </w:p>
    <w:p w14:paraId="530ABC24"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Li, L., Kim, P., Yu, L., Cai, G., Chen, S., Alfano, J. R., &amp; Zhou, J. M. (2016). Activation-dependent destruction of a co-receptor by a </w:t>
      </w:r>
      <w:r w:rsidRPr="00C00C1D">
        <w:rPr>
          <w:rFonts w:ascii="Times New Roman" w:hAnsi="Times New Roman" w:cs="Times New Roman"/>
          <w:i/>
          <w:iCs/>
        </w:rPr>
        <w:t>Pseudomonas syringae</w:t>
      </w:r>
      <w:r w:rsidRPr="00C00C1D">
        <w:rPr>
          <w:rFonts w:ascii="Times New Roman" w:hAnsi="Times New Roman" w:cs="Times New Roman"/>
        </w:rPr>
        <w:t xml:space="preserve"> effector dampens plant immunity. </w:t>
      </w:r>
      <w:r w:rsidRPr="00C00C1D">
        <w:rPr>
          <w:rFonts w:ascii="Times New Roman" w:hAnsi="Times New Roman" w:cs="Times New Roman"/>
          <w:i/>
          <w:iCs/>
        </w:rPr>
        <w:t>Cell host &amp; microbe</w:t>
      </w:r>
      <w:r w:rsidRPr="00C00C1D">
        <w:rPr>
          <w:rFonts w:ascii="Times New Roman" w:hAnsi="Times New Roman" w:cs="Times New Roman"/>
        </w:rPr>
        <w:t>, </w:t>
      </w:r>
      <w:r w:rsidRPr="00C00C1D">
        <w:rPr>
          <w:rFonts w:ascii="Times New Roman" w:hAnsi="Times New Roman" w:cs="Times New Roman"/>
          <w:i/>
          <w:iCs/>
        </w:rPr>
        <w:t>20</w:t>
      </w:r>
      <w:r w:rsidRPr="00C00C1D">
        <w:rPr>
          <w:rFonts w:ascii="Times New Roman" w:hAnsi="Times New Roman" w:cs="Times New Roman"/>
        </w:rPr>
        <w:t>(4), 504-514.</w:t>
      </w:r>
    </w:p>
    <w:p w14:paraId="5DE09914" w14:textId="1AE8A4CD"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Lin, N.C. &amp; Martin, G.B. </w:t>
      </w:r>
      <w:r w:rsidR="00D43617">
        <w:rPr>
          <w:rFonts w:ascii="Times New Roman" w:hAnsi="Times New Roman" w:cs="Times New Roman"/>
        </w:rPr>
        <w:t>(</w:t>
      </w:r>
      <w:r w:rsidRPr="00C00C1D">
        <w:rPr>
          <w:rFonts w:ascii="Times New Roman" w:hAnsi="Times New Roman" w:cs="Times New Roman"/>
        </w:rPr>
        <w:t>2005</w:t>
      </w:r>
      <w:r w:rsidR="00D43617">
        <w:rPr>
          <w:rFonts w:ascii="Times New Roman" w:hAnsi="Times New Roman" w:cs="Times New Roman"/>
        </w:rPr>
        <w:t>)</w:t>
      </w:r>
      <w:r w:rsidRPr="00C00C1D">
        <w:rPr>
          <w:rFonts w:ascii="Times New Roman" w:hAnsi="Times New Roman" w:cs="Times New Roman"/>
        </w:rPr>
        <w:t xml:space="preserve">. An </w:t>
      </w:r>
      <w:proofErr w:type="spellStart"/>
      <w:r w:rsidRPr="00C00C1D">
        <w:rPr>
          <w:rFonts w:ascii="Times New Roman" w:hAnsi="Times New Roman" w:cs="Times New Roman"/>
        </w:rPr>
        <w:t>avrPto</w:t>
      </w:r>
      <w:proofErr w:type="spellEnd"/>
      <w:r w:rsidRPr="00C00C1D">
        <w:rPr>
          <w:rFonts w:ascii="Times New Roman" w:hAnsi="Times New Roman" w:cs="Times New Roman"/>
        </w:rPr>
        <w:t>/</w:t>
      </w:r>
      <w:proofErr w:type="spellStart"/>
      <w:r w:rsidRPr="00C00C1D">
        <w:rPr>
          <w:rFonts w:ascii="Times New Roman" w:hAnsi="Times New Roman" w:cs="Times New Roman"/>
        </w:rPr>
        <w:t>avrPtoB</w:t>
      </w:r>
      <w:proofErr w:type="spellEnd"/>
      <w:r w:rsidRPr="00C00C1D">
        <w:rPr>
          <w:rFonts w:ascii="Times New Roman" w:hAnsi="Times New Roman" w:cs="Times New Roman"/>
        </w:rPr>
        <w:t xml:space="preserve"> mutant of </w:t>
      </w:r>
      <w:r w:rsidRPr="00C00C1D">
        <w:rPr>
          <w:rFonts w:ascii="Times New Roman" w:hAnsi="Times New Roman" w:cs="Times New Roman"/>
          <w:i/>
          <w:iCs/>
        </w:rPr>
        <w:t xml:space="preserve">Pseudomonas </w:t>
      </w:r>
      <w:proofErr w:type="spellStart"/>
      <w:r w:rsidRPr="00C00C1D">
        <w:rPr>
          <w:rFonts w:ascii="Times New Roman" w:hAnsi="Times New Roman" w:cs="Times New Roman"/>
          <w:i/>
          <w:iCs/>
        </w:rPr>
        <w:t>syringae</w:t>
      </w:r>
      <w:proofErr w:type="spellEnd"/>
      <w:r w:rsidRPr="00C00C1D">
        <w:rPr>
          <w:rFonts w:ascii="Times New Roman" w:hAnsi="Times New Roman" w:cs="Times New Roman"/>
        </w:rPr>
        <w:t xml:space="preserve"> </w:t>
      </w:r>
      <w:proofErr w:type="spellStart"/>
      <w:r w:rsidRPr="00C00C1D">
        <w:rPr>
          <w:rFonts w:ascii="Times New Roman" w:hAnsi="Times New Roman" w:cs="Times New Roman"/>
        </w:rPr>
        <w:t>pv</w:t>
      </w:r>
      <w:proofErr w:type="spellEnd"/>
      <w:r w:rsidRPr="00C00C1D">
        <w:rPr>
          <w:rFonts w:ascii="Times New Roman" w:hAnsi="Times New Roman" w:cs="Times New Roman"/>
        </w:rPr>
        <w:t xml:space="preserve">. tomato DC3000 does not elicit </w:t>
      </w:r>
      <w:proofErr w:type="spellStart"/>
      <w:r w:rsidRPr="00C00C1D">
        <w:rPr>
          <w:rFonts w:ascii="Times New Roman" w:hAnsi="Times New Roman" w:cs="Times New Roman"/>
        </w:rPr>
        <w:t>Pto</w:t>
      </w:r>
      <w:proofErr w:type="spellEnd"/>
      <w:r w:rsidRPr="00C00C1D">
        <w:rPr>
          <w:rFonts w:ascii="Times New Roman" w:hAnsi="Times New Roman" w:cs="Times New Roman"/>
        </w:rPr>
        <w:t>-mediated resistance and is less virulent on tomato. </w:t>
      </w:r>
      <w:r w:rsidRPr="00C00C1D">
        <w:rPr>
          <w:rFonts w:ascii="Times New Roman" w:hAnsi="Times New Roman" w:cs="Times New Roman"/>
          <w:i/>
          <w:iCs/>
        </w:rPr>
        <w:t>Molecular Plant-Microbe Interactions</w:t>
      </w:r>
      <w:r w:rsidRPr="00C00C1D">
        <w:rPr>
          <w:rFonts w:ascii="Times New Roman" w:hAnsi="Times New Roman" w:cs="Times New Roman"/>
        </w:rPr>
        <w:t>, </w:t>
      </w:r>
      <w:r w:rsidRPr="00C00C1D">
        <w:rPr>
          <w:rFonts w:ascii="Times New Roman" w:hAnsi="Times New Roman" w:cs="Times New Roman"/>
          <w:i/>
          <w:iCs/>
        </w:rPr>
        <w:t>18</w:t>
      </w:r>
      <w:r w:rsidRPr="00C00C1D">
        <w:rPr>
          <w:rFonts w:ascii="Times New Roman" w:hAnsi="Times New Roman" w:cs="Times New Roman"/>
        </w:rPr>
        <w:t>(1), 43-51.</w:t>
      </w:r>
    </w:p>
    <w:p w14:paraId="0C5D729B"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Macho, A. P., &amp; Zipfel, C. (2014). Plant PRRs and the activation of innate immune signaling. </w:t>
      </w:r>
      <w:r w:rsidRPr="00C00C1D">
        <w:rPr>
          <w:rFonts w:ascii="Times New Roman" w:hAnsi="Times New Roman" w:cs="Times New Roman"/>
          <w:i/>
          <w:iCs/>
        </w:rPr>
        <w:t>Molecular cell</w:t>
      </w:r>
      <w:r w:rsidRPr="00C00C1D">
        <w:rPr>
          <w:rFonts w:ascii="Times New Roman" w:hAnsi="Times New Roman" w:cs="Times New Roman"/>
        </w:rPr>
        <w:t>, </w:t>
      </w:r>
      <w:r w:rsidRPr="00C00C1D">
        <w:rPr>
          <w:rFonts w:ascii="Times New Roman" w:hAnsi="Times New Roman" w:cs="Times New Roman"/>
          <w:i/>
          <w:iCs/>
        </w:rPr>
        <w:t>54</w:t>
      </w:r>
      <w:r w:rsidRPr="00C00C1D">
        <w:rPr>
          <w:rFonts w:ascii="Times New Roman" w:hAnsi="Times New Roman" w:cs="Times New Roman"/>
        </w:rPr>
        <w:t>(2), 263-272.</w:t>
      </w:r>
    </w:p>
    <w:p w14:paraId="78024BB8"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McDowell, J. M., &amp; Dangl, J. L. (2000). Signal transduction in the plant immune response. </w:t>
      </w:r>
      <w:r w:rsidRPr="00C00C1D">
        <w:rPr>
          <w:rFonts w:ascii="Times New Roman" w:hAnsi="Times New Roman" w:cs="Times New Roman"/>
          <w:i/>
          <w:iCs/>
        </w:rPr>
        <w:t>Trends in biochemical sciences</w:t>
      </w:r>
      <w:r w:rsidRPr="00C00C1D">
        <w:rPr>
          <w:rFonts w:ascii="Times New Roman" w:hAnsi="Times New Roman" w:cs="Times New Roman"/>
        </w:rPr>
        <w:t>, </w:t>
      </w:r>
      <w:r w:rsidRPr="00C00C1D">
        <w:rPr>
          <w:rFonts w:ascii="Times New Roman" w:hAnsi="Times New Roman" w:cs="Times New Roman"/>
          <w:i/>
          <w:iCs/>
        </w:rPr>
        <w:t>25</w:t>
      </w:r>
      <w:r w:rsidRPr="00C00C1D">
        <w:rPr>
          <w:rFonts w:ascii="Times New Roman" w:hAnsi="Times New Roman" w:cs="Times New Roman"/>
        </w:rPr>
        <w:t>(2), 79-82.</w:t>
      </w:r>
    </w:p>
    <w:p w14:paraId="0B1FC084" w14:textId="77777777" w:rsidR="00C00C1D" w:rsidRP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Miya, A., Albert, P., Shinya, T., </w:t>
      </w:r>
      <w:proofErr w:type="spellStart"/>
      <w:r w:rsidRPr="00C00C1D">
        <w:rPr>
          <w:rFonts w:ascii="Times New Roman" w:hAnsi="Times New Roman" w:cs="Times New Roman"/>
        </w:rPr>
        <w:t>Desaki</w:t>
      </w:r>
      <w:proofErr w:type="spellEnd"/>
      <w:r w:rsidRPr="00C00C1D">
        <w:rPr>
          <w:rFonts w:ascii="Times New Roman" w:hAnsi="Times New Roman" w:cs="Times New Roman"/>
        </w:rPr>
        <w:t xml:space="preserve">, Y., Ichimura, K., </w:t>
      </w:r>
      <w:proofErr w:type="spellStart"/>
      <w:r w:rsidRPr="00C00C1D">
        <w:rPr>
          <w:rFonts w:ascii="Times New Roman" w:hAnsi="Times New Roman" w:cs="Times New Roman"/>
        </w:rPr>
        <w:t>Shirasu</w:t>
      </w:r>
      <w:proofErr w:type="spellEnd"/>
      <w:r w:rsidRPr="00C00C1D">
        <w:rPr>
          <w:rFonts w:ascii="Times New Roman" w:hAnsi="Times New Roman" w:cs="Times New Roman"/>
        </w:rPr>
        <w:t xml:space="preserve">, K., </w:t>
      </w:r>
      <w:proofErr w:type="spellStart"/>
      <w:r w:rsidRPr="00C00C1D">
        <w:rPr>
          <w:rFonts w:ascii="Times New Roman" w:hAnsi="Times New Roman" w:cs="Times New Roman"/>
        </w:rPr>
        <w:t>Narusaka</w:t>
      </w:r>
      <w:proofErr w:type="spellEnd"/>
      <w:r w:rsidRPr="00C00C1D">
        <w:rPr>
          <w:rFonts w:ascii="Times New Roman" w:hAnsi="Times New Roman" w:cs="Times New Roman"/>
        </w:rPr>
        <w:t xml:space="preserve">, Y., Kawakami, N., Kaku, H., &amp; Shibuya, N. (2007). CERK1, a </w:t>
      </w:r>
      <w:proofErr w:type="spellStart"/>
      <w:r w:rsidRPr="00C00C1D">
        <w:rPr>
          <w:rFonts w:ascii="Times New Roman" w:hAnsi="Times New Roman" w:cs="Times New Roman"/>
        </w:rPr>
        <w:t>LysM</w:t>
      </w:r>
      <w:proofErr w:type="spellEnd"/>
      <w:r w:rsidRPr="00C00C1D">
        <w:rPr>
          <w:rFonts w:ascii="Times New Roman" w:hAnsi="Times New Roman" w:cs="Times New Roman"/>
        </w:rPr>
        <w:t xml:space="preserve"> receptor kinase, is essential for chitin elicitor signaling in </w:t>
      </w:r>
      <w:r w:rsidRPr="00C00C1D">
        <w:rPr>
          <w:rFonts w:ascii="Times New Roman" w:hAnsi="Times New Roman" w:cs="Times New Roman"/>
          <w:i/>
          <w:iCs/>
        </w:rPr>
        <w:t>Arabidopsis</w:t>
      </w:r>
      <w:r w:rsidRPr="00C00C1D">
        <w:rPr>
          <w:rFonts w:ascii="Times New Roman" w:hAnsi="Times New Roman" w:cs="Times New Roman"/>
        </w:rPr>
        <w:t xml:space="preserve">. </w:t>
      </w:r>
      <w:r w:rsidRPr="00C00C1D">
        <w:rPr>
          <w:rFonts w:ascii="Times New Roman" w:hAnsi="Times New Roman" w:cs="Times New Roman"/>
          <w:i/>
          <w:iCs/>
        </w:rPr>
        <w:t>Proceedings of the National Academy of Sciences</w:t>
      </w:r>
      <w:r w:rsidRPr="00C00C1D">
        <w:rPr>
          <w:rFonts w:ascii="Times New Roman" w:hAnsi="Times New Roman" w:cs="Times New Roman"/>
        </w:rPr>
        <w:t>, 104(49), 19613–19618.</w:t>
      </w:r>
    </w:p>
    <w:p w14:paraId="5C29465E" w14:textId="5707D72F" w:rsidR="00C00C1D" w:rsidRP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Nabi, Z., Manzoor, S., Nabi, S.U., Wani, T.A., Gulzar, H., Farooq, M., Arya, V.M., Baloch, F.S., </w:t>
      </w:r>
      <w:proofErr w:type="spellStart"/>
      <w:r w:rsidRPr="00C00C1D">
        <w:rPr>
          <w:rFonts w:ascii="Times New Roman" w:hAnsi="Times New Roman" w:cs="Times New Roman"/>
        </w:rPr>
        <w:t>Vlădulescu</w:t>
      </w:r>
      <w:proofErr w:type="spellEnd"/>
      <w:r w:rsidRPr="00C00C1D">
        <w:rPr>
          <w:rFonts w:ascii="Times New Roman" w:hAnsi="Times New Roman" w:cs="Times New Roman"/>
        </w:rPr>
        <w:t>, C., Popescu, S.M. &amp; Mansoor, S</w:t>
      </w:r>
      <w:r w:rsidR="00527E47">
        <w:rPr>
          <w:rFonts w:ascii="Times New Roman" w:hAnsi="Times New Roman" w:cs="Times New Roman"/>
        </w:rPr>
        <w:t>.</w:t>
      </w:r>
      <w:r w:rsidRPr="00C00C1D">
        <w:rPr>
          <w:rFonts w:ascii="Times New Roman" w:hAnsi="Times New Roman" w:cs="Times New Roman"/>
        </w:rPr>
        <w:t xml:space="preserve"> (2024). Pattern-Triggered Immunity and Effector-Triggered Immunity: crosstalk and cooperation of PRR and NLR-mediated plant defense pathways during host–pathogen interactions. </w:t>
      </w:r>
      <w:r w:rsidRPr="00C00C1D">
        <w:rPr>
          <w:rFonts w:ascii="Times New Roman" w:hAnsi="Times New Roman" w:cs="Times New Roman"/>
          <w:i/>
          <w:iCs/>
        </w:rPr>
        <w:t>Physiology and Molecular Biology of Plants</w:t>
      </w:r>
      <w:r w:rsidRPr="00C00C1D">
        <w:rPr>
          <w:rFonts w:ascii="Times New Roman" w:hAnsi="Times New Roman" w:cs="Times New Roman"/>
        </w:rPr>
        <w:t>, 30(4),.587-604.</w:t>
      </w:r>
    </w:p>
    <w:p w14:paraId="367D69C1"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Nürnberger, T. &amp; Kemmerling, B., 2009. Pathogen-associated molecular patterns (PAMP) and PAMP-triggered immunity. </w:t>
      </w:r>
      <w:r w:rsidRPr="00C00C1D">
        <w:rPr>
          <w:rFonts w:ascii="Times New Roman" w:hAnsi="Times New Roman" w:cs="Times New Roman"/>
          <w:i/>
          <w:iCs/>
        </w:rPr>
        <w:t>Annual Plant Reviews</w:t>
      </w:r>
      <w:r w:rsidRPr="00C00C1D">
        <w:rPr>
          <w:rFonts w:ascii="Times New Roman" w:hAnsi="Times New Roman" w:cs="Times New Roman"/>
        </w:rPr>
        <w:t>, </w:t>
      </w:r>
      <w:r w:rsidRPr="00C00C1D">
        <w:rPr>
          <w:rFonts w:ascii="Times New Roman" w:hAnsi="Times New Roman" w:cs="Times New Roman"/>
          <w:i/>
          <w:iCs/>
        </w:rPr>
        <w:t>34</w:t>
      </w:r>
      <w:r w:rsidRPr="00C00C1D">
        <w:rPr>
          <w:rFonts w:ascii="Times New Roman" w:hAnsi="Times New Roman" w:cs="Times New Roman"/>
        </w:rPr>
        <w:t>.</w:t>
      </w:r>
    </w:p>
    <w:p w14:paraId="221ABE03" w14:textId="77777777" w:rsidR="009D4F6F" w:rsidRDefault="009D4F6F" w:rsidP="00CC4B23">
      <w:pPr>
        <w:spacing w:line="360" w:lineRule="auto"/>
        <w:ind w:left="851" w:hanging="851"/>
        <w:jc w:val="both"/>
        <w:rPr>
          <w:rFonts w:ascii="Times New Roman" w:hAnsi="Times New Roman" w:cs="Times New Roman"/>
        </w:rPr>
      </w:pPr>
      <w:r w:rsidRPr="009D4F6F">
        <w:rPr>
          <w:rFonts w:ascii="Times New Roman" w:hAnsi="Times New Roman" w:cs="Times New Roman"/>
        </w:rPr>
        <w:lastRenderedPageBreak/>
        <w:t xml:space="preserve">Chaffin, T. A., Wang, W., Chen, J. G., &amp; Chen, F. (2024). Function and evolution of the plant MES family of </w:t>
      </w:r>
      <w:proofErr w:type="spellStart"/>
      <w:r w:rsidRPr="009D4F6F">
        <w:rPr>
          <w:rFonts w:ascii="Times New Roman" w:hAnsi="Times New Roman" w:cs="Times New Roman"/>
        </w:rPr>
        <w:t>methylesterases</w:t>
      </w:r>
      <w:proofErr w:type="spellEnd"/>
      <w:r w:rsidRPr="009D4F6F">
        <w:rPr>
          <w:rFonts w:ascii="Times New Roman" w:hAnsi="Times New Roman" w:cs="Times New Roman"/>
        </w:rPr>
        <w:t>. </w:t>
      </w:r>
      <w:r w:rsidRPr="009D4F6F">
        <w:rPr>
          <w:rFonts w:ascii="Times New Roman" w:hAnsi="Times New Roman" w:cs="Times New Roman"/>
          <w:i/>
          <w:iCs/>
        </w:rPr>
        <w:t>Plants</w:t>
      </w:r>
      <w:r w:rsidRPr="009D4F6F">
        <w:rPr>
          <w:rFonts w:ascii="Times New Roman" w:hAnsi="Times New Roman" w:cs="Times New Roman"/>
        </w:rPr>
        <w:t>, </w:t>
      </w:r>
      <w:r w:rsidRPr="009D4F6F">
        <w:rPr>
          <w:rFonts w:ascii="Times New Roman" w:hAnsi="Times New Roman" w:cs="Times New Roman"/>
          <w:i/>
          <w:iCs/>
        </w:rPr>
        <w:t>13</w:t>
      </w:r>
      <w:r w:rsidRPr="009D4F6F">
        <w:rPr>
          <w:rFonts w:ascii="Times New Roman" w:hAnsi="Times New Roman" w:cs="Times New Roman"/>
        </w:rPr>
        <w:t xml:space="preserve">(23), 3364. </w:t>
      </w:r>
    </w:p>
    <w:p w14:paraId="5E99125A" w14:textId="428C796A" w:rsid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Pieterse, C. M. J., Van der Does, D., </w:t>
      </w:r>
      <w:proofErr w:type="spellStart"/>
      <w:r w:rsidRPr="00C00C1D">
        <w:rPr>
          <w:rFonts w:ascii="Times New Roman" w:hAnsi="Times New Roman" w:cs="Times New Roman"/>
        </w:rPr>
        <w:t>Zamioudis</w:t>
      </w:r>
      <w:proofErr w:type="spellEnd"/>
      <w:r w:rsidRPr="00C00C1D">
        <w:rPr>
          <w:rFonts w:ascii="Times New Roman" w:hAnsi="Times New Roman" w:cs="Times New Roman"/>
        </w:rPr>
        <w:t xml:space="preserve">, C., Leon-Reyes, A., &amp; Van Wees, S. C. M. (2012). Hormonal modulation of plant immunity. </w:t>
      </w:r>
      <w:r w:rsidRPr="00C00C1D">
        <w:rPr>
          <w:rFonts w:ascii="Times New Roman" w:hAnsi="Times New Roman" w:cs="Times New Roman"/>
          <w:i/>
          <w:iCs/>
        </w:rPr>
        <w:t>Annual Review of Cell and Developmental Biology</w:t>
      </w:r>
      <w:r w:rsidRPr="00C00C1D">
        <w:rPr>
          <w:rFonts w:ascii="Times New Roman" w:hAnsi="Times New Roman" w:cs="Times New Roman"/>
        </w:rPr>
        <w:t>, 28, 489–521.</w:t>
      </w:r>
      <w:r w:rsidRPr="00CC4B23">
        <w:rPr>
          <w:rFonts w:ascii="Times New Roman" w:hAnsi="Times New Roman" w:cs="Times New Roman"/>
        </w:rPr>
        <w:t xml:space="preserve"> </w:t>
      </w:r>
    </w:p>
    <w:p w14:paraId="3161E961"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Pieterse, C. M., Van der Does, D., </w:t>
      </w:r>
      <w:proofErr w:type="spellStart"/>
      <w:r w:rsidRPr="00C00C1D">
        <w:rPr>
          <w:rFonts w:ascii="Times New Roman" w:hAnsi="Times New Roman" w:cs="Times New Roman"/>
        </w:rPr>
        <w:t>Zamioudis</w:t>
      </w:r>
      <w:proofErr w:type="spellEnd"/>
      <w:r w:rsidRPr="00C00C1D">
        <w:rPr>
          <w:rFonts w:ascii="Times New Roman" w:hAnsi="Times New Roman" w:cs="Times New Roman"/>
        </w:rPr>
        <w:t>, C., Leon-Reyes, A., &amp; Van Wees, S. C. (2012). Hormonal modulation of plant immunity. </w:t>
      </w:r>
      <w:r w:rsidRPr="00C00C1D">
        <w:rPr>
          <w:rFonts w:ascii="Times New Roman" w:hAnsi="Times New Roman" w:cs="Times New Roman"/>
          <w:i/>
          <w:iCs/>
        </w:rPr>
        <w:t>Annual review of cell and developmental biology</w:t>
      </w:r>
      <w:r w:rsidRPr="00C00C1D">
        <w:rPr>
          <w:rFonts w:ascii="Times New Roman" w:hAnsi="Times New Roman" w:cs="Times New Roman"/>
        </w:rPr>
        <w:t>, </w:t>
      </w:r>
      <w:r w:rsidRPr="00C00C1D">
        <w:rPr>
          <w:rFonts w:ascii="Times New Roman" w:hAnsi="Times New Roman" w:cs="Times New Roman"/>
          <w:i/>
          <w:iCs/>
        </w:rPr>
        <w:t>28</w:t>
      </w:r>
      <w:r w:rsidRPr="00C00C1D">
        <w:rPr>
          <w:rFonts w:ascii="Times New Roman" w:hAnsi="Times New Roman" w:cs="Times New Roman"/>
        </w:rPr>
        <w:t>(1), 489-521.</w:t>
      </w:r>
    </w:p>
    <w:p w14:paraId="1442EA2F"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t xml:space="preserve">Puhar, A., &amp; Sansonetti, P. J. (2014). </w:t>
      </w:r>
      <w:r w:rsidRPr="00C00C1D">
        <w:rPr>
          <w:rFonts w:ascii="Times New Roman" w:hAnsi="Times New Roman" w:cs="Times New Roman"/>
        </w:rPr>
        <w:t>Type III secretion system. </w:t>
      </w:r>
      <w:r w:rsidRPr="00C00C1D">
        <w:rPr>
          <w:rFonts w:ascii="Times New Roman" w:hAnsi="Times New Roman" w:cs="Times New Roman"/>
          <w:i/>
          <w:iCs/>
        </w:rPr>
        <w:t>Current Biology</w:t>
      </w:r>
      <w:r w:rsidRPr="00C00C1D">
        <w:rPr>
          <w:rFonts w:ascii="Times New Roman" w:hAnsi="Times New Roman" w:cs="Times New Roman"/>
        </w:rPr>
        <w:t>, </w:t>
      </w:r>
      <w:r w:rsidRPr="00C00C1D">
        <w:rPr>
          <w:rFonts w:ascii="Times New Roman" w:hAnsi="Times New Roman" w:cs="Times New Roman"/>
          <w:i/>
          <w:iCs/>
        </w:rPr>
        <w:t>24</w:t>
      </w:r>
      <w:r w:rsidRPr="00C00C1D">
        <w:rPr>
          <w:rFonts w:ascii="Times New Roman" w:hAnsi="Times New Roman" w:cs="Times New Roman"/>
        </w:rPr>
        <w:t>(17), R784-R791.</w:t>
      </w:r>
    </w:p>
    <w:p w14:paraId="661ECC89"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t xml:space="preserve">Qi, D., &amp; Innes, R. W. (2013). </w:t>
      </w:r>
      <w:r w:rsidRPr="00C00C1D">
        <w:rPr>
          <w:rFonts w:ascii="Times New Roman" w:hAnsi="Times New Roman" w:cs="Times New Roman"/>
        </w:rPr>
        <w:t>Recent advances in plant NLR structure, function, localization, and signaling. </w:t>
      </w:r>
      <w:r w:rsidRPr="00C00C1D">
        <w:rPr>
          <w:rFonts w:ascii="Times New Roman" w:hAnsi="Times New Roman" w:cs="Times New Roman"/>
          <w:i/>
          <w:iCs/>
        </w:rPr>
        <w:t>Frontiers in Immunology</w:t>
      </w:r>
      <w:r w:rsidRPr="00C00C1D">
        <w:rPr>
          <w:rFonts w:ascii="Times New Roman" w:hAnsi="Times New Roman" w:cs="Times New Roman"/>
        </w:rPr>
        <w:t>, </w:t>
      </w:r>
      <w:r w:rsidRPr="00C00C1D">
        <w:rPr>
          <w:rFonts w:ascii="Times New Roman" w:hAnsi="Times New Roman" w:cs="Times New Roman"/>
          <w:i/>
          <w:iCs/>
        </w:rPr>
        <w:t>4</w:t>
      </w:r>
      <w:r w:rsidRPr="00C00C1D">
        <w:rPr>
          <w:rFonts w:ascii="Times New Roman" w:hAnsi="Times New Roman" w:cs="Times New Roman"/>
        </w:rPr>
        <w:t>, 348.</w:t>
      </w:r>
    </w:p>
    <w:p w14:paraId="46999E34"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Roux, M. (2010). </w:t>
      </w:r>
      <w:r w:rsidRPr="00C00C1D">
        <w:rPr>
          <w:rFonts w:ascii="Times New Roman" w:hAnsi="Times New Roman" w:cs="Times New Roman"/>
          <w:i/>
          <w:iCs/>
        </w:rPr>
        <w:t>Identification and characterization of EFR-interacting proteins</w:t>
      </w:r>
      <w:r w:rsidRPr="00C00C1D">
        <w:rPr>
          <w:rFonts w:ascii="Times New Roman" w:hAnsi="Times New Roman" w:cs="Times New Roman"/>
        </w:rPr>
        <w:t> (Doctoral dissertation, University of East Anglia).</w:t>
      </w:r>
    </w:p>
    <w:p w14:paraId="0E570317" w14:textId="77777777" w:rsidR="00C00C1D" w:rsidRPr="00C00C1D" w:rsidRDefault="00C00C1D">
      <w:pPr>
        <w:spacing w:line="360" w:lineRule="auto"/>
        <w:ind w:left="851" w:hanging="709"/>
        <w:jc w:val="both"/>
        <w:rPr>
          <w:rFonts w:ascii="Times New Roman" w:hAnsi="Times New Roman" w:cs="Times New Roman"/>
        </w:rPr>
      </w:pPr>
      <w:r w:rsidRPr="00C00C1D">
        <w:rPr>
          <w:rFonts w:ascii="Times New Roman" w:hAnsi="Times New Roman" w:cs="Times New Roman"/>
        </w:rPr>
        <w:t>Roychowdhury, R., Mishra, S., Anand, G., Dalal, D., Gupta, R., Kumar, A., &amp; Gupta, R. (2024). Decoding the molecular mechanism underlying salicylic acid (SA)‐mediated plant immunity: an integrated overview from its biosynthesis to the mode of action. </w:t>
      </w:r>
      <w:proofErr w:type="spellStart"/>
      <w:r w:rsidRPr="00C00C1D">
        <w:rPr>
          <w:rFonts w:ascii="Times New Roman" w:hAnsi="Times New Roman" w:cs="Times New Roman"/>
          <w:i/>
          <w:iCs/>
        </w:rPr>
        <w:t>Physiologia</w:t>
      </w:r>
      <w:proofErr w:type="spellEnd"/>
      <w:r w:rsidRPr="00C00C1D">
        <w:rPr>
          <w:rFonts w:ascii="Times New Roman" w:hAnsi="Times New Roman" w:cs="Times New Roman"/>
          <w:i/>
          <w:iCs/>
        </w:rPr>
        <w:t xml:space="preserve"> Plantarum</w:t>
      </w:r>
      <w:r w:rsidRPr="00C00C1D">
        <w:rPr>
          <w:rFonts w:ascii="Times New Roman" w:hAnsi="Times New Roman" w:cs="Times New Roman"/>
        </w:rPr>
        <w:t>, </w:t>
      </w:r>
      <w:r w:rsidRPr="00C00C1D">
        <w:rPr>
          <w:rFonts w:ascii="Times New Roman" w:hAnsi="Times New Roman" w:cs="Times New Roman"/>
          <w:i/>
          <w:iCs/>
        </w:rPr>
        <w:t>176</w:t>
      </w:r>
      <w:r w:rsidRPr="00C00C1D">
        <w:rPr>
          <w:rFonts w:ascii="Times New Roman" w:hAnsi="Times New Roman" w:cs="Times New Roman"/>
        </w:rPr>
        <w:t>(3), e14399.</w:t>
      </w:r>
    </w:p>
    <w:p w14:paraId="3B1E46CC" w14:textId="77777777" w:rsidR="00C00C1D" w:rsidRPr="00C00C1D" w:rsidRDefault="00C00C1D" w:rsidP="00CC4B23">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Shigenaga</w:t>
      </w:r>
      <w:proofErr w:type="spellEnd"/>
      <w:r w:rsidRPr="00C00C1D">
        <w:rPr>
          <w:rFonts w:ascii="Times New Roman" w:hAnsi="Times New Roman" w:cs="Times New Roman"/>
        </w:rPr>
        <w:t xml:space="preserve">, A. M., &amp; </w:t>
      </w:r>
      <w:proofErr w:type="spellStart"/>
      <w:r w:rsidRPr="00C00C1D">
        <w:rPr>
          <w:rFonts w:ascii="Times New Roman" w:hAnsi="Times New Roman" w:cs="Times New Roman"/>
        </w:rPr>
        <w:t>Argueso</w:t>
      </w:r>
      <w:proofErr w:type="spellEnd"/>
      <w:r w:rsidRPr="00C00C1D">
        <w:rPr>
          <w:rFonts w:ascii="Times New Roman" w:hAnsi="Times New Roman" w:cs="Times New Roman"/>
        </w:rPr>
        <w:t xml:space="preserve">, C. T. (2016). No hormone to rule them all: Interactions of plant hormones during the responses of plants to pathogens. </w:t>
      </w:r>
      <w:r w:rsidRPr="00C00C1D">
        <w:rPr>
          <w:rFonts w:ascii="Times New Roman" w:hAnsi="Times New Roman" w:cs="Times New Roman"/>
          <w:i/>
          <w:iCs/>
        </w:rPr>
        <w:t>Seminars in Cell &amp; Developmental Biology</w:t>
      </w:r>
      <w:r w:rsidRPr="00C00C1D">
        <w:rPr>
          <w:rFonts w:ascii="Times New Roman" w:hAnsi="Times New Roman" w:cs="Times New Roman"/>
        </w:rPr>
        <w:t xml:space="preserve">, 56, 174–189. </w:t>
      </w:r>
    </w:p>
    <w:p w14:paraId="138ED7DA"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Shimizu, T., Nakano, T., Takamizawa, D., </w:t>
      </w:r>
      <w:proofErr w:type="spellStart"/>
      <w:r w:rsidRPr="00C00C1D">
        <w:rPr>
          <w:rFonts w:ascii="Times New Roman" w:hAnsi="Times New Roman" w:cs="Times New Roman"/>
        </w:rPr>
        <w:t>Desaki</w:t>
      </w:r>
      <w:proofErr w:type="spellEnd"/>
      <w:r w:rsidRPr="00C00C1D">
        <w:rPr>
          <w:rFonts w:ascii="Times New Roman" w:hAnsi="Times New Roman" w:cs="Times New Roman"/>
        </w:rPr>
        <w:t xml:space="preserve">, Y., Ishii‐Minami, N., Nishizawa, Y., Minami, E., Okada, K., Yamane, H., Kaku, H. &amp; Shibuya, N. (2010). Two </w:t>
      </w:r>
      <w:proofErr w:type="spellStart"/>
      <w:r w:rsidRPr="00C00C1D">
        <w:rPr>
          <w:rFonts w:ascii="Times New Roman" w:hAnsi="Times New Roman" w:cs="Times New Roman"/>
        </w:rPr>
        <w:t>LysM</w:t>
      </w:r>
      <w:proofErr w:type="spellEnd"/>
      <w:r w:rsidRPr="00C00C1D">
        <w:rPr>
          <w:rFonts w:ascii="Times New Roman" w:hAnsi="Times New Roman" w:cs="Times New Roman"/>
        </w:rPr>
        <w:t xml:space="preserve"> receptor molecules, </w:t>
      </w:r>
      <w:proofErr w:type="spellStart"/>
      <w:r w:rsidRPr="00C00C1D">
        <w:rPr>
          <w:rFonts w:ascii="Times New Roman" w:hAnsi="Times New Roman" w:cs="Times New Roman"/>
        </w:rPr>
        <w:t>CEBiP</w:t>
      </w:r>
      <w:proofErr w:type="spellEnd"/>
      <w:r w:rsidRPr="00C00C1D">
        <w:rPr>
          <w:rFonts w:ascii="Times New Roman" w:hAnsi="Times New Roman" w:cs="Times New Roman"/>
        </w:rPr>
        <w:t xml:space="preserve"> and OsCERK1, cooperatively regulate chitin elicitor signaling in rice. </w:t>
      </w:r>
      <w:r w:rsidRPr="00C00C1D">
        <w:rPr>
          <w:rFonts w:ascii="Times New Roman" w:hAnsi="Times New Roman" w:cs="Times New Roman"/>
          <w:i/>
          <w:iCs/>
        </w:rPr>
        <w:t>The Plant Journal</w:t>
      </w:r>
      <w:r w:rsidRPr="00C00C1D">
        <w:rPr>
          <w:rFonts w:ascii="Times New Roman" w:hAnsi="Times New Roman" w:cs="Times New Roman"/>
        </w:rPr>
        <w:t>, 64(2), 204-214.</w:t>
      </w:r>
    </w:p>
    <w:p w14:paraId="69FB9491"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Shlapakova, T. I., Kostin, R. K., &amp; </w:t>
      </w:r>
      <w:proofErr w:type="spellStart"/>
      <w:r w:rsidRPr="00C00C1D">
        <w:rPr>
          <w:rFonts w:ascii="Times New Roman" w:hAnsi="Times New Roman" w:cs="Times New Roman"/>
        </w:rPr>
        <w:t>Tyagunova</w:t>
      </w:r>
      <w:proofErr w:type="spellEnd"/>
      <w:r w:rsidRPr="00C00C1D">
        <w:rPr>
          <w:rFonts w:ascii="Times New Roman" w:hAnsi="Times New Roman" w:cs="Times New Roman"/>
        </w:rPr>
        <w:t>, E. E. (2020). Reactive oxygen species: participation in cellular processes and progression of pathology. </w:t>
      </w:r>
      <w:r w:rsidRPr="00C00C1D">
        <w:rPr>
          <w:rFonts w:ascii="Times New Roman" w:hAnsi="Times New Roman" w:cs="Times New Roman"/>
          <w:i/>
          <w:iCs/>
        </w:rPr>
        <w:t>Russian Journal of Bioorganic Chemistry</w:t>
      </w:r>
      <w:r w:rsidRPr="00C00C1D">
        <w:rPr>
          <w:rFonts w:ascii="Times New Roman" w:hAnsi="Times New Roman" w:cs="Times New Roman"/>
        </w:rPr>
        <w:t>, </w:t>
      </w:r>
      <w:r w:rsidRPr="00C00C1D">
        <w:rPr>
          <w:rFonts w:ascii="Times New Roman" w:hAnsi="Times New Roman" w:cs="Times New Roman"/>
          <w:i/>
          <w:iCs/>
        </w:rPr>
        <w:t>46</w:t>
      </w:r>
      <w:r w:rsidRPr="00C00C1D">
        <w:rPr>
          <w:rFonts w:ascii="Times New Roman" w:hAnsi="Times New Roman" w:cs="Times New Roman"/>
        </w:rPr>
        <w:t>(5), 657-674.</w:t>
      </w:r>
    </w:p>
    <w:p w14:paraId="737F7EBA" w14:textId="77777777" w:rsidR="00C00C1D" w:rsidRPr="00C00C1D" w:rsidRDefault="00C00C1D" w:rsidP="00C00C1D">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Spoel</w:t>
      </w:r>
      <w:proofErr w:type="spellEnd"/>
      <w:r w:rsidRPr="00C00C1D">
        <w:rPr>
          <w:rFonts w:ascii="Times New Roman" w:hAnsi="Times New Roman" w:cs="Times New Roman"/>
        </w:rPr>
        <w:t xml:space="preserve">, S. H., &amp; Dong, X. (2012). How do plants achieve immunity? Defence without specialized immune cells. </w:t>
      </w:r>
      <w:r w:rsidRPr="00C00C1D">
        <w:rPr>
          <w:rFonts w:ascii="Times New Roman" w:hAnsi="Times New Roman" w:cs="Times New Roman"/>
          <w:i/>
          <w:iCs/>
        </w:rPr>
        <w:t>Nature Reviews Immunology</w:t>
      </w:r>
      <w:r w:rsidRPr="00C00C1D">
        <w:rPr>
          <w:rFonts w:ascii="Times New Roman" w:hAnsi="Times New Roman" w:cs="Times New Roman"/>
        </w:rPr>
        <w:t xml:space="preserve">, 12(2), 89–100. </w:t>
      </w:r>
    </w:p>
    <w:p w14:paraId="7D2D8FAA"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lastRenderedPageBreak/>
        <w:t xml:space="preserve">Stael, S., Kmiecik, P., Willems, P., Van Der Kelen, K., Coll, N. S., Teige, M., &amp; Van Breusegem, F. (2015). </w:t>
      </w:r>
      <w:r w:rsidRPr="00C00C1D">
        <w:rPr>
          <w:rFonts w:ascii="Times New Roman" w:hAnsi="Times New Roman" w:cs="Times New Roman"/>
        </w:rPr>
        <w:t xml:space="preserve">Plant innate immunity–sunny side </w:t>
      </w:r>
      <w:proofErr w:type="gramStart"/>
      <w:r w:rsidRPr="00C00C1D">
        <w:rPr>
          <w:rFonts w:ascii="Times New Roman" w:hAnsi="Times New Roman" w:cs="Times New Roman"/>
        </w:rPr>
        <w:t>up?.</w:t>
      </w:r>
      <w:proofErr w:type="gramEnd"/>
      <w:r w:rsidRPr="00C00C1D">
        <w:rPr>
          <w:rFonts w:ascii="Times New Roman" w:hAnsi="Times New Roman" w:cs="Times New Roman"/>
        </w:rPr>
        <w:t> </w:t>
      </w:r>
      <w:r w:rsidRPr="00C00C1D">
        <w:rPr>
          <w:rFonts w:ascii="Times New Roman" w:hAnsi="Times New Roman" w:cs="Times New Roman"/>
          <w:i/>
          <w:iCs/>
        </w:rPr>
        <w:t>Trends in plant science</w:t>
      </w:r>
      <w:r w:rsidRPr="00C00C1D">
        <w:rPr>
          <w:rFonts w:ascii="Times New Roman" w:hAnsi="Times New Roman" w:cs="Times New Roman"/>
        </w:rPr>
        <w:t>, </w:t>
      </w:r>
      <w:r w:rsidRPr="00C00C1D">
        <w:rPr>
          <w:rFonts w:ascii="Times New Roman" w:hAnsi="Times New Roman" w:cs="Times New Roman"/>
          <w:i/>
          <w:iCs/>
        </w:rPr>
        <w:t>20</w:t>
      </w:r>
      <w:r w:rsidRPr="00C00C1D">
        <w:rPr>
          <w:rFonts w:ascii="Times New Roman" w:hAnsi="Times New Roman" w:cs="Times New Roman"/>
        </w:rPr>
        <w:t>(1), 3-11.</w:t>
      </w:r>
    </w:p>
    <w:p w14:paraId="57ED74C0"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Strange, R. N., &amp; Scott, P. R. (2005). Plant disease: a threat to global food security. </w:t>
      </w:r>
      <w:r w:rsidRPr="00C00C1D">
        <w:rPr>
          <w:rFonts w:ascii="Times New Roman" w:hAnsi="Times New Roman" w:cs="Times New Roman"/>
          <w:i/>
          <w:iCs/>
        </w:rPr>
        <w:t xml:space="preserve">Annu. Rev. </w:t>
      </w:r>
      <w:proofErr w:type="spellStart"/>
      <w:r w:rsidRPr="00C00C1D">
        <w:rPr>
          <w:rFonts w:ascii="Times New Roman" w:hAnsi="Times New Roman" w:cs="Times New Roman"/>
          <w:i/>
          <w:iCs/>
        </w:rPr>
        <w:t>Phytopathol</w:t>
      </w:r>
      <w:proofErr w:type="spellEnd"/>
      <w:r w:rsidRPr="00C00C1D">
        <w:rPr>
          <w:rFonts w:ascii="Times New Roman" w:hAnsi="Times New Roman" w:cs="Times New Roman"/>
          <w:i/>
          <w:iCs/>
        </w:rPr>
        <w:t>.</w:t>
      </w:r>
      <w:r w:rsidRPr="00C00C1D">
        <w:rPr>
          <w:rFonts w:ascii="Times New Roman" w:hAnsi="Times New Roman" w:cs="Times New Roman"/>
        </w:rPr>
        <w:t>, </w:t>
      </w:r>
      <w:r w:rsidRPr="00C00C1D">
        <w:rPr>
          <w:rFonts w:ascii="Times New Roman" w:hAnsi="Times New Roman" w:cs="Times New Roman"/>
          <w:i/>
          <w:iCs/>
        </w:rPr>
        <w:t>43</w:t>
      </w:r>
      <w:r w:rsidRPr="00C00C1D">
        <w:rPr>
          <w:rFonts w:ascii="Times New Roman" w:hAnsi="Times New Roman" w:cs="Times New Roman"/>
        </w:rPr>
        <w:t>(1), 83-116.</w:t>
      </w:r>
    </w:p>
    <w:p w14:paraId="4BA4DDAA"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Sultana, R., Imam, Z., Kumar, R.R., Banu, V.S., </w:t>
      </w:r>
      <w:proofErr w:type="spellStart"/>
      <w:r w:rsidRPr="00C00C1D">
        <w:rPr>
          <w:rFonts w:ascii="Times New Roman" w:hAnsi="Times New Roman" w:cs="Times New Roman"/>
        </w:rPr>
        <w:t>Nahakpam</w:t>
      </w:r>
      <w:proofErr w:type="spellEnd"/>
      <w:r w:rsidRPr="00C00C1D">
        <w:rPr>
          <w:rFonts w:ascii="Times New Roman" w:hAnsi="Times New Roman" w:cs="Times New Roman"/>
        </w:rPr>
        <w:t>, S., Bharti, R., Bharadwaj, C., Singh, A.K., Pasala, R.K., Singh, D.R. &amp; Siddiqui, M.W, (2025). Signaling and defence mechanism of jasmonic and salicylic acid response in pulse crops: role of WRKY transcription factors in stress response. </w:t>
      </w:r>
      <w:r w:rsidRPr="00C00C1D">
        <w:rPr>
          <w:rFonts w:ascii="Times New Roman" w:hAnsi="Times New Roman" w:cs="Times New Roman"/>
          <w:i/>
          <w:iCs/>
        </w:rPr>
        <w:t>Journal of Plant Growth Regulation</w:t>
      </w:r>
      <w:r w:rsidRPr="00C00C1D">
        <w:rPr>
          <w:rFonts w:ascii="Times New Roman" w:hAnsi="Times New Roman" w:cs="Times New Roman"/>
        </w:rPr>
        <w:t>, </w:t>
      </w:r>
      <w:r w:rsidRPr="00C00C1D">
        <w:rPr>
          <w:rFonts w:ascii="Times New Roman" w:hAnsi="Times New Roman" w:cs="Times New Roman"/>
          <w:i/>
          <w:iCs/>
        </w:rPr>
        <w:t>44</w:t>
      </w:r>
      <w:r w:rsidRPr="00C00C1D">
        <w:rPr>
          <w:rFonts w:ascii="Times New Roman" w:hAnsi="Times New Roman" w:cs="Times New Roman"/>
        </w:rPr>
        <w:t>(1), 5-21.</w:t>
      </w:r>
    </w:p>
    <w:p w14:paraId="0ED89C86"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Sun, L., Qin, J., Wang, K., &amp; Zhang, J. (2017). Expansion of pathogen recognition specificity in plants using pattern recognition receptors and artificially designed decoys. </w:t>
      </w:r>
      <w:r w:rsidRPr="00C00C1D">
        <w:rPr>
          <w:rFonts w:ascii="Times New Roman" w:hAnsi="Times New Roman" w:cs="Times New Roman"/>
          <w:i/>
          <w:iCs/>
        </w:rPr>
        <w:t>Science China Life Sciences</w:t>
      </w:r>
      <w:r w:rsidRPr="00C00C1D">
        <w:rPr>
          <w:rFonts w:ascii="Times New Roman" w:hAnsi="Times New Roman" w:cs="Times New Roman"/>
        </w:rPr>
        <w:t>, </w:t>
      </w:r>
      <w:r w:rsidRPr="00C00C1D">
        <w:rPr>
          <w:rFonts w:ascii="Times New Roman" w:hAnsi="Times New Roman" w:cs="Times New Roman"/>
          <w:i/>
          <w:iCs/>
        </w:rPr>
        <w:t>60</w:t>
      </w:r>
      <w:r w:rsidRPr="00C00C1D">
        <w:rPr>
          <w:rFonts w:ascii="Times New Roman" w:hAnsi="Times New Roman" w:cs="Times New Roman"/>
        </w:rPr>
        <w:t>, 797-805.</w:t>
      </w:r>
    </w:p>
    <w:p w14:paraId="26F98B63"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Thilakarathne, A. S., Liu, F., &amp; Zou, Z. (2003). </w:t>
      </w:r>
      <w:r w:rsidRPr="00C00C1D">
        <w:rPr>
          <w:rFonts w:ascii="Times New Roman" w:hAnsi="Times New Roman" w:cs="Times New Roman"/>
          <w:i/>
          <w:iCs/>
        </w:rPr>
        <w:t>Plant Signaling Hormones and Transcription Factors: Key Regulators of Plant Responses to Growth, Development, and Stress. Plants 2025, 14, 1070</w:t>
      </w:r>
      <w:r w:rsidRPr="00C00C1D">
        <w:rPr>
          <w:rFonts w:ascii="Times New Roman" w:hAnsi="Times New Roman" w:cs="Times New Roman"/>
        </w:rPr>
        <w:t>. Cell.</w:t>
      </w:r>
    </w:p>
    <w:p w14:paraId="4E650C1D"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Torti, M. &amp; Lapetina, E.G, (2002). Roles of phospholipase C and phospholipase D in receptor-mediated platelet activation. </w:t>
      </w:r>
      <w:r w:rsidRPr="00C00C1D">
        <w:rPr>
          <w:rFonts w:ascii="Times New Roman" w:hAnsi="Times New Roman" w:cs="Times New Roman"/>
          <w:i/>
          <w:iCs/>
        </w:rPr>
        <w:t>Platelets in Thrombotic and Non-Thrombotic Disorders: Pathophysiology, Pharmacology and Therapeutics</w:t>
      </w:r>
      <w:r w:rsidRPr="00C00C1D">
        <w:rPr>
          <w:rFonts w:ascii="Times New Roman" w:hAnsi="Times New Roman" w:cs="Times New Roman"/>
        </w:rPr>
        <w:t>, p.238.</w:t>
      </w:r>
    </w:p>
    <w:p w14:paraId="158E8263"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Vidhyasekaran, P., &amp; Vidhyasekaran, P. (2016). Role of plant immune signals and signaling systems in plant pathogenesis. </w:t>
      </w:r>
      <w:r w:rsidRPr="00C00C1D">
        <w:rPr>
          <w:rFonts w:ascii="Times New Roman" w:hAnsi="Times New Roman" w:cs="Times New Roman"/>
          <w:i/>
          <w:iCs/>
        </w:rPr>
        <w:t>Switching on Plant Innate Immunity Signaling Systems: Bioengineering and Molecular Manipulation of PAMP-PIMP-PRR Signaling Complex</w:t>
      </w:r>
      <w:r w:rsidRPr="00C00C1D">
        <w:rPr>
          <w:rFonts w:ascii="Times New Roman" w:hAnsi="Times New Roman" w:cs="Times New Roman"/>
        </w:rPr>
        <w:t>, 27-90.</w:t>
      </w:r>
    </w:p>
    <w:p w14:paraId="172CDF3E" w14:textId="77777777" w:rsidR="00C00C1D" w:rsidRPr="00C00C1D" w:rsidRDefault="00C00C1D">
      <w:pPr>
        <w:spacing w:line="360" w:lineRule="auto"/>
        <w:ind w:left="851" w:hanging="851"/>
        <w:jc w:val="both"/>
        <w:rPr>
          <w:rFonts w:ascii="Times New Roman" w:hAnsi="Times New Roman" w:cs="Times New Roman"/>
          <w:color w:val="222222"/>
          <w:shd w:val="clear" w:color="auto" w:fill="FFFFFF"/>
        </w:rPr>
      </w:pPr>
      <w:r w:rsidRPr="00C00C1D">
        <w:rPr>
          <w:rFonts w:ascii="Times New Roman" w:hAnsi="Times New Roman" w:cs="Times New Roman"/>
          <w:color w:val="222222"/>
          <w:shd w:val="clear" w:color="auto" w:fill="FFFFFF"/>
        </w:rPr>
        <w:t>Wang, L. (2018). </w:t>
      </w:r>
      <w:r w:rsidRPr="00C00C1D">
        <w:rPr>
          <w:rFonts w:ascii="Times New Roman" w:hAnsi="Times New Roman" w:cs="Times New Roman"/>
          <w:i/>
          <w:iCs/>
          <w:color w:val="222222"/>
          <w:shd w:val="clear" w:color="auto" w:fill="FFFFFF"/>
        </w:rPr>
        <w:t>Tomato Receptors of the Bacterial Cold Shock Protein and the Plant Peptide Signal Systemin</w:t>
      </w:r>
      <w:r w:rsidRPr="00C00C1D">
        <w:rPr>
          <w:rFonts w:ascii="Times New Roman" w:hAnsi="Times New Roman" w:cs="Times New Roman"/>
          <w:color w:val="222222"/>
          <w:shd w:val="clear" w:color="auto" w:fill="FFFFFF"/>
        </w:rPr>
        <w:t> (Doctoral dissertation, Universität Tübingen).</w:t>
      </w:r>
    </w:p>
    <w:p w14:paraId="2F7D07BE"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t xml:space="preserve">Wang, Y., Li, X., Fan, B., Zhu, C., &amp; Chen, Z. (2021). </w:t>
      </w:r>
      <w:r w:rsidRPr="00C00C1D">
        <w:rPr>
          <w:rFonts w:ascii="Times New Roman" w:hAnsi="Times New Roman" w:cs="Times New Roman"/>
        </w:rPr>
        <w:t>Regulation and function of defense-related callose deposition in plants. </w:t>
      </w:r>
      <w:r w:rsidRPr="00C00C1D">
        <w:rPr>
          <w:rFonts w:ascii="Times New Roman" w:hAnsi="Times New Roman" w:cs="Times New Roman"/>
          <w:i/>
          <w:iCs/>
        </w:rPr>
        <w:t>International Journal of Molecular Sciences</w:t>
      </w:r>
      <w:r w:rsidRPr="00C00C1D">
        <w:rPr>
          <w:rFonts w:ascii="Times New Roman" w:hAnsi="Times New Roman" w:cs="Times New Roman"/>
        </w:rPr>
        <w:t>, </w:t>
      </w:r>
      <w:r w:rsidRPr="00C00C1D">
        <w:rPr>
          <w:rFonts w:ascii="Times New Roman" w:hAnsi="Times New Roman" w:cs="Times New Roman"/>
          <w:i/>
          <w:iCs/>
        </w:rPr>
        <w:t>22</w:t>
      </w:r>
      <w:r w:rsidRPr="00C00C1D">
        <w:rPr>
          <w:rFonts w:ascii="Times New Roman" w:hAnsi="Times New Roman" w:cs="Times New Roman"/>
        </w:rPr>
        <w:t>(5), 2393.</w:t>
      </w:r>
    </w:p>
    <w:p w14:paraId="6A9EE308" w14:textId="77777777" w:rsidR="00C00C1D" w:rsidRPr="00C00C1D" w:rsidRDefault="00C00C1D">
      <w:pPr>
        <w:spacing w:line="360" w:lineRule="auto"/>
        <w:ind w:left="851" w:hanging="851"/>
        <w:jc w:val="both"/>
        <w:rPr>
          <w:rFonts w:ascii="Times New Roman" w:hAnsi="Times New Roman" w:cs="Times New Roman"/>
        </w:rPr>
      </w:pPr>
      <w:proofErr w:type="spellStart"/>
      <w:r w:rsidRPr="00C00C1D">
        <w:rPr>
          <w:rFonts w:ascii="Times New Roman" w:hAnsi="Times New Roman" w:cs="Times New Roman"/>
        </w:rPr>
        <w:t>Wang'ombe</w:t>
      </w:r>
      <w:proofErr w:type="spellEnd"/>
      <w:r w:rsidRPr="00C00C1D">
        <w:rPr>
          <w:rFonts w:ascii="Times New Roman" w:hAnsi="Times New Roman" w:cs="Times New Roman"/>
        </w:rPr>
        <w:t>, M. W. (2019). </w:t>
      </w:r>
      <w:r w:rsidRPr="00C00C1D">
        <w:rPr>
          <w:rFonts w:ascii="Times New Roman" w:hAnsi="Times New Roman" w:cs="Times New Roman"/>
          <w:i/>
          <w:iCs/>
        </w:rPr>
        <w:t>Identification of plant recognition receptors for nematode derived molecular patterns</w:t>
      </w:r>
      <w:r w:rsidRPr="00C00C1D">
        <w:rPr>
          <w:rFonts w:ascii="Times New Roman" w:hAnsi="Times New Roman" w:cs="Times New Roman"/>
        </w:rPr>
        <w:t xml:space="preserve"> (Doctoral dissertation, </w:t>
      </w:r>
      <w:proofErr w:type="spellStart"/>
      <w:r w:rsidRPr="00C00C1D">
        <w:rPr>
          <w:rFonts w:ascii="Times New Roman" w:hAnsi="Times New Roman" w:cs="Times New Roman"/>
        </w:rPr>
        <w:t>Universitäts</w:t>
      </w:r>
      <w:proofErr w:type="spellEnd"/>
      <w:r w:rsidRPr="00C00C1D">
        <w:rPr>
          <w:rFonts w:ascii="Times New Roman" w:hAnsi="Times New Roman" w:cs="Times New Roman"/>
        </w:rPr>
        <w:t xml:space="preserve">-und </w:t>
      </w:r>
      <w:proofErr w:type="spellStart"/>
      <w:r w:rsidRPr="00C00C1D">
        <w:rPr>
          <w:rFonts w:ascii="Times New Roman" w:hAnsi="Times New Roman" w:cs="Times New Roman"/>
        </w:rPr>
        <w:t>Landesbibliothek</w:t>
      </w:r>
      <w:proofErr w:type="spellEnd"/>
      <w:r w:rsidRPr="00C00C1D">
        <w:rPr>
          <w:rFonts w:ascii="Times New Roman" w:hAnsi="Times New Roman" w:cs="Times New Roman"/>
        </w:rPr>
        <w:t xml:space="preserve"> Bonn).</w:t>
      </w:r>
    </w:p>
    <w:p w14:paraId="6C789008"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lang w:val="de-DE"/>
        </w:rPr>
        <w:lastRenderedPageBreak/>
        <w:t xml:space="preserve">Wu, L., Chen, H., Curtis, C., &amp; Fu, Z. Q. (2014). </w:t>
      </w:r>
      <w:r w:rsidRPr="00C00C1D">
        <w:rPr>
          <w:rFonts w:ascii="Times New Roman" w:hAnsi="Times New Roman" w:cs="Times New Roman"/>
        </w:rPr>
        <w:t>Go in for the kill: How plants deploy effector-triggered immunity to combat pathogens. </w:t>
      </w:r>
      <w:r w:rsidRPr="00C00C1D">
        <w:rPr>
          <w:rFonts w:ascii="Times New Roman" w:hAnsi="Times New Roman" w:cs="Times New Roman"/>
          <w:i/>
          <w:iCs/>
        </w:rPr>
        <w:t>Virulence</w:t>
      </w:r>
      <w:r w:rsidRPr="00C00C1D">
        <w:rPr>
          <w:rFonts w:ascii="Times New Roman" w:hAnsi="Times New Roman" w:cs="Times New Roman"/>
        </w:rPr>
        <w:t>, </w:t>
      </w:r>
      <w:r w:rsidRPr="00C00C1D">
        <w:rPr>
          <w:rFonts w:ascii="Times New Roman" w:hAnsi="Times New Roman" w:cs="Times New Roman"/>
          <w:i/>
          <w:iCs/>
        </w:rPr>
        <w:t>5</w:t>
      </w:r>
      <w:r w:rsidRPr="00C00C1D">
        <w:rPr>
          <w:rFonts w:ascii="Times New Roman" w:hAnsi="Times New Roman" w:cs="Times New Roman"/>
        </w:rPr>
        <w:t>(7), 710-721.</w:t>
      </w:r>
    </w:p>
    <w:p w14:paraId="683A72D9"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Xiao, G., </w:t>
      </w:r>
      <w:proofErr w:type="spellStart"/>
      <w:r w:rsidRPr="00C00C1D">
        <w:rPr>
          <w:rFonts w:ascii="Times New Roman" w:hAnsi="Times New Roman" w:cs="Times New Roman"/>
        </w:rPr>
        <w:t>Laksanavilat</w:t>
      </w:r>
      <w:proofErr w:type="spellEnd"/>
      <w:r w:rsidRPr="00C00C1D">
        <w:rPr>
          <w:rFonts w:ascii="Times New Roman" w:hAnsi="Times New Roman" w:cs="Times New Roman"/>
        </w:rPr>
        <w:t xml:space="preserve">, N., Cesari, S., </w:t>
      </w:r>
      <w:proofErr w:type="spellStart"/>
      <w:r w:rsidRPr="00C00C1D">
        <w:rPr>
          <w:rFonts w:ascii="Times New Roman" w:hAnsi="Times New Roman" w:cs="Times New Roman"/>
        </w:rPr>
        <w:t>Lambou</w:t>
      </w:r>
      <w:proofErr w:type="spellEnd"/>
      <w:r w:rsidRPr="00C00C1D">
        <w:rPr>
          <w:rFonts w:ascii="Times New Roman" w:hAnsi="Times New Roman" w:cs="Times New Roman"/>
        </w:rPr>
        <w:t xml:space="preserve">, K., Baudin, M., Jalilian, A., </w:t>
      </w:r>
      <w:proofErr w:type="spellStart"/>
      <w:r w:rsidRPr="00C00C1D">
        <w:rPr>
          <w:rFonts w:ascii="Times New Roman" w:hAnsi="Times New Roman" w:cs="Times New Roman"/>
        </w:rPr>
        <w:t>Telebanco-Yanoria</w:t>
      </w:r>
      <w:proofErr w:type="spellEnd"/>
      <w:r w:rsidRPr="00C00C1D">
        <w:rPr>
          <w:rFonts w:ascii="Times New Roman" w:hAnsi="Times New Roman" w:cs="Times New Roman"/>
        </w:rPr>
        <w:t xml:space="preserve">, M.J., </w:t>
      </w:r>
      <w:proofErr w:type="spellStart"/>
      <w:r w:rsidRPr="00C00C1D">
        <w:rPr>
          <w:rFonts w:ascii="Times New Roman" w:hAnsi="Times New Roman" w:cs="Times New Roman"/>
        </w:rPr>
        <w:t>Chalvon</w:t>
      </w:r>
      <w:proofErr w:type="spellEnd"/>
      <w:r w:rsidRPr="00C00C1D">
        <w:rPr>
          <w:rFonts w:ascii="Times New Roman" w:hAnsi="Times New Roman" w:cs="Times New Roman"/>
        </w:rPr>
        <w:t xml:space="preserve">, V., Meusnier, I., Fournier, E. &amp; </w:t>
      </w:r>
      <w:proofErr w:type="spellStart"/>
      <w:r w:rsidRPr="00C00C1D">
        <w:rPr>
          <w:rFonts w:ascii="Times New Roman" w:hAnsi="Times New Roman" w:cs="Times New Roman"/>
        </w:rPr>
        <w:t>Tharreau</w:t>
      </w:r>
      <w:proofErr w:type="spellEnd"/>
      <w:r w:rsidRPr="00C00C1D">
        <w:rPr>
          <w:rFonts w:ascii="Times New Roman" w:hAnsi="Times New Roman" w:cs="Times New Roman"/>
        </w:rPr>
        <w:t xml:space="preserve">, D, (2024). The unconventional resistance protein PTR recognizes the </w:t>
      </w:r>
      <w:proofErr w:type="spellStart"/>
      <w:r w:rsidRPr="00C00C1D">
        <w:rPr>
          <w:rFonts w:ascii="Times New Roman" w:hAnsi="Times New Roman" w:cs="Times New Roman"/>
        </w:rPr>
        <w:t>Magnaporthe</w:t>
      </w:r>
      <w:proofErr w:type="spellEnd"/>
      <w:r w:rsidRPr="00C00C1D">
        <w:rPr>
          <w:rFonts w:ascii="Times New Roman" w:hAnsi="Times New Roman" w:cs="Times New Roman"/>
        </w:rPr>
        <w:t xml:space="preserve"> </w:t>
      </w:r>
      <w:proofErr w:type="spellStart"/>
      <w:r w:rsidRPr="00C00C1D">
        <w:rPr>
          <w:rFonts w:ascii="Times New Roman" w:hAnsi="Times New Roman" w:cs="Times New Roman"/>
        </w:rPr>
        <w:t>oryzae</w:t>
      </w:r>
      <w:proofErr w:type="spellEnd"/>
      <w:r w:rsidRPr="00C00C1D">
        <w:rPr>
          <w:rFonts w:ascii="Times New Roman" w:hAnsi="Times New Roman" w:cs="Times New Roman"/>
        </w:rPr>
        <w:t xml:space="preserve"> effector AVR-Pita in an allele-specific manner. </w:t>
      </w:r>
      <w:r w:rsidRPr="00C00C1D">
        <w:rPr>
          <w:rFonts w:ascii="Times New Roman" w:hAnsi="Times New Roman" w:cs="Times New Roman"/>
          <w:i/>
          <w:iCs/>
        </w:rPr>
        <w:t>Nature Plants</w:t>
      </w:r>
      <w:r w:rsidRPr="00C00C1D">
        <w:rPr>
          <w:rFonts w:ascii="Times New Roman" w:hAnsi="Times New Roman" w:cs="Times New Roman"/>
        </w:rPr>
        <w:t>, </w:t>
      </w:r>
      <w:r w:rsidRPr="00C00C1D">
        <w:rPr>
          <w:rFonts w:ascii="Times New Roman" w:hAnsi="Times New Roman" w:cs="Times New Roman"/>
          <w:i/>
          <w:iCs/>
        </w:rPr>
        <w:t>10</w:t>
      </w:r>
      <w:r w:rsidRPr="00C00C1D">
        <w:rPr>
          <w:rFonts w:ascii="Times New Roman" w:hAnsi="Times New Roman" w:cs="Times New Roman"/>
        </w:rPr>
        <w:t>(6), pp.994-1004.</w:t>
      </w:r>
    </w:p>
    <w:p w14:paraId="2554D70F"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Yang, Y. X., J Ahammed, G., Wu, C., Fan, S. Y., &amp; Zhou, Y. H. (2015). Crosstalk among </w:t>
      </w:r>
      <w:proofErr w:type="spellStart"/>
      <w:r w:rsidRPr="00C00C1D">
        <w:rPr>
          <w:rFonts w:ascii="Times New Roman" w:hAnsi="Times New Roman" w:cs="Times New Roman"/>
        </w:rPr>
        <w:t>jasmonate</w:t>
      </w:r>
      <w:proofErr w:type="spellEnd"/>
      <w:r w:rsidRPr="00C00C1D">
        <w:rPr>
          <w:rFonts w:ascii="Times New Roman" w:hAnsi="Times New Roman" w:cs="Times New Roman"/>
        </w:rPr>
        <w:t>, salicylate and ethylene signaling pathways in plant disease and immune responses. </w:t>
      </w:r>
      <w:r w:rsidRPr="00C00C1D">
        <w:rPr>
          <w:rFonts w:ascii="Times New Roman" w:hAnsi="Times New Roman" w:cs="Times New Roman"/>
          <w:i/>
          <w:iCs/>
        </w:rPr>
        <w:t>Current Protein and Peptide Science</w:t>
      </w:r>
      <w:r w:rsidRPr="00C00C1D">
        <w:rPr>
          <w:rFonts w:ascii="Times New Roman" w:hAnsi="Times New Roman" w:cs="Times New Roman"/>
        </w:rPr>
        <w:t>, </w:t>
      </w:r>
      <w:r w:rsidRPr="00C00C1D">
        <w:rPr>
          <w:rFonts w:ascii="Times New Roman" w:hAnsi="Times New Roman" w:cs="Times New Roman"/>
          <w:i/>
          <w:iCs/>
        </w:rPr>
        <w:t>16</w:t>
      </w:r>
      <w:r w:rsidRPr="00C00C1D">
        <w:rPr>
          <w:rFonts w:ascii="Times New Roman" w:hAnsi="Times New Roman" w:cs="Times New Roman"/>
        </w:rPr>
        <w:t>(5), 450-461.</w:t>
      </w:r>
    </w:p>
    <w:p w14:paraId="42CB2753"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Yang, Y., Shah, J., &amp; Klessig, D. F. (1997). Signal perception and transduction in plant defense responses. </w:t>
      </w:r>
      <w:r w:rsidRPr="00C00C1D">
        <w:rPr>
          <w:rFonts w:ascii="Times New Roman" w:hAnsi="Times New Roman" w:cs="Times New Roman"/>
          <w:i/>
          <w:iCs/>
        </w:rPr>
        <w:t>Genes &amp; development</w:t>
      </w:r>
      <w:r w:rsidRPr="00C00C1D">
        <w:rPr>
          <w:rFonts w:ascii="Times New Roman" w:hAnsi="Times New Roman" w:cs="Times New Roman"/>
        </w:rPr>
        <w:t>, </w:t>
      </w:r>
      <w:r w:rsidRPr="00C00C1D">
        <w:rPr>
          <w:rFonts w:ascii="Times New Roman" w:hAnsi="Times New Roman" w:cs="Times New Roman"/>
          <w:i/>
          <w:iCs/>
        </w:rPr>
        <w:t>11</w:t>
      </w:r>
      <w:r w:rsidRPr="00C00C1D">
        <w:rPr>
          <w:rFonts w:ascii="Times New Roman" w:hAnsi="Times New Roman" w:cs="Times New Roman"/>
        </w:rPr>
        <w:t>(13), 1621-1639.</w:t>
      </w:r>
    </w:p>
    <w:p w14:paraId="06B082EF"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Yu, T. Y., Sun, M. K., &amp; Liang, L. K. (2021). Receptors in the induction of the plant innate immunity. </w:t>
      </w:r>
      <w:r w:rsidRPr="00C00C1D">
        <w:rPr>
          <w:rFonts w:ascii="Times New Roman" w:hAnsi="Times New Roman" w:cs="Times New Roman"/>
          <w:i/>
          <w:iCs/>
        </w:rPr>
        <w:t>Molecular Plant-Microbe Interactions</w:t>
      </w:r>
      <w:r w:rsidRPr="00C00C1D">
        <w:rPr>
          <w:rFonts w:ascii="Times New Roman" w:hAnsi="Times New Roman" w:cs="Times New Roman"/>
        </w:rPr>
        <w:t>, </w:t>
      </w:r>
      <w:r w:rsidRPr="00C00C1D">
        <w:rPr>
          <w:rFonts w:ascii="Times New Roman" w:hAnsi="Times New Roman" w:cs="Times New Roman"/>
          <w:i/>
          <w:iCs/>
        </w:rPr>
        <w:t>34</w:t>
      </w:r>
      <w:r w:rsidRPr="00C00C1D">
        <w:rPr>
          <w:rFonts w:ascii="Times New Roman" w:hAnsi="Times New Roman" w:cs="Times New Roman"/>
        </w:rPr>
        <w:t>(6), 587-601.</w:t>
      </w:r>
    </w:p>
    <w:p w14:paraId="3C9BADE4"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Zhang, J., &amp; Zhou, J. M. (2010). Plant immunity triggered by microbial molecular signatures. </w:t>
      </w:r>
      <w:r w:rsidRPr="00C00C1D">
        <w:rPr>
          <w:rFonts w:ascii="Times New Roman" w:hAnsi="Times New Roman" w:cs="Times New Roman"/>
          <w:i/>
          <w:iCs/>
        </w:rPr>
        <w:t>Molecular plant</w:t>
      </w:r>
      <w:r w:rsidRPr="00C00C1D">
        <w:rPr>
          <w:rFonts w:ascii="Times New Roman" w:hAnsi="Times New Roman" w:cs="Times New Roman"/>
        </w:rPr>
        <w:t>, 3(5), 783-793.</w:t>
      </w:r>
    </w:p>
    <w:p w14:paraId="3B6ADDF8"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Zhang, M., Chiang, Y.H., Toruño, T.Y., Lee, D., Ma, M., Liang, X., Lal, N.K., Lemos, M., Lu, Y.J., Ma, S. &amp; Liu, J. (2018). The MAP4 kinase SIK1 ensures robust extracellular ROS burst and antibacterial immunity in plants. </w:t>
      </w:r>
      <w:r w:rsidRPr="00C00C1D">
        <w:rPr>
          <w:rFonts w:ascii="Times New Roman" w:hAnsi="Times New Roman" w:cs="Times New Roman"/>
          <w:i/>
          <w:iCs/>
        </w:rPr>
        <w:t>Cell host &amp; microbe</w:t>
      </w:r>
      <w:r w:rsidRPr="00C00C1D">
        <w:rPr>
          <w:rFonts w:ascii="Times New Roman" w:hAnsi="Times New Roman" w:cs="Times New Roman"/>
        </w:rPr>
        <w:t>, 24(3), 379-391.</w:t>
      </w:r>
    </w:p>
    <w:p w14:paraId="0DD23A47"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Zhao, T., Liu, W., Zhao, Z., Yang, H., Bao, Y., Zhang, D., Wang, Z., Jiang, J., Xu, Y., Zhang, H. &amp; Li, J. (2019). Transcriptome profiling reveals the response process of tomato carrying Cf-19 and </w:t>
      </w:r>
      <w:r w:rsidRPr="00C00C1D">
        <w:rPr>
          <w:rFonts w:ascii="Times New Roman" w:hAnsi="Times New Roman" w:cs="Times New Roman"/>
          <w:i/>
          <w:iCs/>
        </w:rPr>
        <w:t xml:space="preserve">Cladosporium </w:t>
      </w:r>
      <w:proofErr w:type="spellStart"/>
      <w:r w:rsidRPr="00C00C1D">
        <w:rPr>
          <w:rFonts w:ascii="Times New Roman" w:hAnsi="Times New Roman" w:cs="Times New Roman"/>
          <w:i/>
          <w:iCs/>
        </w:rPr>
        <w:t>fulvum</w:t>
      </w:r>
      <w:proofErr w:type="spellEnd"/>
      <w:r w:rsidRPr="00C00C1D">
        <w:rPr>
          <w:rFonts w:ascii="Times New Roman" w:hAnsi="Times New Roman" w:cs="Times New Roman"/>
        </w:rPr>
        <w:t xml:space="preserve"> interaction. </w:t>
      </w:r>
      <w:r w:rsidRPr="00C00C1D">
        <w:rPr>
          <w:rFonts w:ascii="Times New Roman" w:hAnsi="Times New Roman" w:cs="Times New Roman"/>
          <w:i/>
          <w:iCs/>
        </w:rPr>
        <w:t>BMC plant biology</w:t>
      </w:r>
      <w:r w:rsidRPr="00C00C1D">
        <w:rPr>
          <w:rFonts w:ascii="Times New Roman" w:hAnsi="Times New Roman" w:cs="Times New Roman"/>
        </w:rPr>
        <w:t>, </w:t>
      </w:r>
      <w:r w:rsidRPr="00C00C1D">
        <w:rPr>
          <w:rFonts w:ascii="Times New Roman" w:hAnsi="Times New Roman" w:cs="Times New Roman"/>
          <w:i/>
          <w:iCs/>
        </w:rPr>
        <w:t>19</w:t>
      </w:r>
      <w:r w:rsidRPr="00C00C1D">
        <w:rPr>
          <w:rFonts w:ascii="Times New Roman" w:hAnsi="Times New Roman" w:cs="Times New Roman"/>
        </w:rPr>
        <w:t>, 1-12.</w:t>
      </w:r>
    </w:p>
    <w:p w14:paraId="55127EB2"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Zipfel, C. (2009). Early molecular events in PAMP-triggered immunity. </w:t>
      </w:r>
      <w:r w:rsidRPr="00C00C1D">
        <w:rPr>
          <w:rFonts w:ascii="Times New Roman" w:hAnsi="Times New Roman" w:cs="Times New Roman"/>
          <w:i/>
          <w:iCs/>
        </w:rPr>
        <w:t>Current opinion in plant biology</w:t>
      </w:r>
      <w:r w:rsidRPr="00C00C1D">
        <w:rPr>
          <w:rFonts w:ascii="Times New Roman" w:hAnsi="Times New Roman" w:cs="Times New Roman"/>
        </w:rPr>
        <w:t>, </w:t>
      </w:r>
      <w:r w:rsidRPr="00C00C1D">
        <w:rPr>
          <w:rFonts w:ascii="Times New Roman" w:hAnsi="Times New Roman" w:cs="Times New Roman"/>
          <w:i/>
          <w:iCs/>
        </w:rPr>
        <w:t>12</w:t>
      </w:r>
      <w:r w:rsidRPr="00C00C1D">
        <w:rPr>
          <w:rFonts w:ascii="Times New Roman" w:hAnsi="Times New Roman" w:cs="Times New Roman"/>
        </w:rPr>
        <w:t>(4), 414-420.</w:t>
      </w:r>
    </w:p>
    <w:p w14:paraId="419368C0" w14:textId="77777777" w:rsidR="00C00C1D" w:rsidRPr="00C00C1D" w:rsidRDefault="00C00C1D">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Zipfel, C., &amp; Felix, G. (2005). Plants and animals: a different taste for </w:t>
      </w:r>
      <w:proofErr w:type="gramStart"/>
      <w:r w:rsidRPr="00C00C1D">
        <w:rPr>
          <w:rFonts w:ascii="Times New Roman" w:hAnsi="Times New Roman" w:cs="Times New Roman"/>
        </w:rPr>
        <w:t>microbes?.</w:t>
      </w:r>
      <w:proofErr w:type="gramEnd"/>
      <w:r w:rsidRPr="00C00C1D">
        <w:rPr>
          <w:rFonts w:ascii="Times New Roman" w:hAnsi="Times New Roman" w:cs="Times New Roman"/>
        </w:rPr>
        <w:t> </w:t>
      </w:r>
      <w:r w:rsidRPr="00C00C1D">
        <w:rPr>
          <w:rFonts w:ascii="Times New Roman" w:hAnsi="Times New Roman" w:cs="Times New Roman"/>
          <w:i/>
          <w:iCs/>
        </w:rPr>
        <w:t>Current opinion in plant biology</w:t>
      </w:r>
      <w:r w:rsidRPr="00C00C1D">
        <w:rPr>
          <w:rFonts w:ascii="Times New Roman" w:hAnsi="Times New Roman" w:cs="Times New Roman"/>
        </w:rPr>
        <w:t>, </w:t>
      </w:r>
      <w:r w:rsidRPr="00C00C1D">
        <w:rPr>
          <w:rFonts w:ascii="Times New Roman" w:hAnsi="Times New Roman" w:cs="Times New Roman"/>
          <w:i/>
          <w:iCs/>
        </w:rPr>
        <w:t>8</w:t>
      </w:r>
      <w:r w:rsidRPr="00C00C1D">
        <w:rPr>
          <w:rFonts w:ascii="Times New Roman" w:hAnsi="Times New Roman" w:cs="Times New Roman"/>
        </w:rPr>
        <w:t>(4), 353-360.</w:t>
      </w:r>
    </w:p>
    <w:p w14:paraId="4F2671C7" w14:textId="77777777" w:rsidR="00C00C1D" w:rsidRPr="00C00C1D" w:rsidRDefault="00C00C1D" w:rsidP="00CC4B23">
      <w:pPr>
        <w:spacing w:line="360" w:lineRule="auto"/>
        <w:ind w:left="851" w:hanging="851"/>
        <w:jc w:val="both"/>
        <w:rPr>
          <w:rFonts w:ascii="Times New Roman" w:hAnsi="Times New Roman" w:cs="Times New Roman"/>
        </w:rPr>
      </w:pPr>
      <w:r w:rsidRPr="00C00C1D">
        <w:rPr>
          <w:rFonts w:ascii="Times New Roman" w:hAnsi="Times New Roman" w:cs="Times New Roman"/>
        </w:rPr>
        <w:t xml:space="preserve">Zipfel, C., Kunze, G., Chinchilla, D., Caniard, A., Jones, J. D. G., Boller, T., &amp; Felix, G. (2006). Perception of the bacterial PAMP EF-Tu by the receptor EFR restricts Agrobacterium-mediated transformation. </w:t>
      </w:r>
      <w:r w:rsidRPr="00C00C1D">
        <w:rPr>
          <w:rFonts w:ascii="Times New Roman" w:hAnsi="Times New Roman" w:cs="Times New Roman"/>
          <w:i/>
          <w:iCs/>
        </w:rPr>
        <w:t>Cell</w:t>
      </w:r>
      <w:r w:rsidRPr="00C00C1D">
        <w:rPr>
          <w:rFonts w:ascii="Times New Roman" w:hAnsi="Times New Roman" w:cs="Times New Roman"/>
        </w:rPr>
        <w:t xml:space="preserve">, 125(4), 749–760. </w:t>
      </w:r>
    </w:p>
    <w:sectPr w:rsidR="00C00C1D" w:rsidRPr="00C00C1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415B8" w14:textId="77777777" w:rsidR="00870DB0" w:rsidRDefault="00870DB0">
      <w:pPr>
        <w:spacing w:line="240" w:lineRule="auto"/>
      </w:pPr>
      <w:r>
        <w:separator/>
      </w:r>
    </w:p>
  </w:endnote>
  <w:endnote w:type="continuationSeparator" w:id="0">
    <w:p w14:paraId="505CE663" w14:textId="77777777" w:rsidR="00870DB0" w:rsidRDefault="00870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93E9" w14:textId="77777777" w:rsidR="00CF4FD9" w:rsidRDefault="00CF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E8A3" w14:textId="77777777" w:rsidR="00CF4FD9" w:rsidRDefault="00CF4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B610" w14:textId="77777777" w:rsidR="00CF4FD9" w:rsidRDefault="00CF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A9EE" w14:textId="77777777" w:rsidR="00870DB0" w:rsidRDefault="00870DB0">
      <w:pPr>
        <w:spacing w:after="0"/>
      </w:pPr>
      <w:r>
        <w:separator/>
      </w:r>
    </w:p>
  </w:footnote>
  <w:footnote w:type="continuationSeparator" w:id="0">
    <w:p w14:paraId="3AEB92C0" w14:textId="77777777" w:rsidR="00870DB0" w:rsidRDefault="00870D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C9F5" w14:textId="6145FB2E" w:rsidR="00CF4FD9" w:rsidRDefault="00870DB0">
    <w:pPr>
      <w:pStyle w:val="Header"/>
    </w:pPr>
    <w:r>
      <w:rPr>
        <w:noProof/>
      </w:rPr>
      <w:pict w14:anchorId="16D76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1324" w14:textId="5E377B67" w:rsidR="00CF4FD9" w:rsidRDefault="00870DB0">
    <w:pPr>
      <w:pStyle w:val="Header"/>
    </w:pPr>
    <w:r>
      <w:rPr>
        <w:noProof/>
      </w:rPr>
      <w:pict w14:anchorId="024CF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5E46" w14:textId="42750C72" w:rsidR="00CF4FD9" w:rsidRDefault="00870DB0">
    <w:pPr>
      <w:pStyle w:val="Header"/>
    </w:pPr>
    <w:r>
      <w:rPr>
        <w:noProof/>
      </w:rPr>
      <w:pict w14:anchorId="73BD5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C6B3E"/>
    <w:multiLevelType w:val="singleLevel"/>
    <w:tmpl w:val="6B0C6B3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4A"/>
    <w:rsid w:val="000156F6"/>
    <w:rsid w:val="0002697E"/>
    <w:rsid w:val="00036BC3"/>
    <w:rsid w:val="00042083"/>
    <w:rsid w:val="00050AEF"/>
    <w:rsid w:val="00056090"/>
    <w:rsid w:val="000A00B8"/>
    <w:rsid w:val="000C0EDA"/>
    <w:rsid w:val="000C4D72"/>
    <w:rsid w:val="000E1FB3"/>
    <w:rsid w:val="000E6DF4"/>
    <w:rsid w:val="000F30C2"/>
    <w:rsid w:val="000F552E"/>
    <w:rsid w:val="001166DB"/>
    <w:rsid w:val="00124AB5"/>
    <w:rsid w:val="00130AD2"/>
    <w:rsid w:val="001352E7"/>
    <w:rsid w:val="001358AB"/>
    <w:rsid w:val="00140976"/>
    <w:rsid w:val="001438EE"/>
    <w:rsid w:val="0014769C"/>
    <w:rsid w:val="00175648"/>
    <w:rsid w:val="0018142A"/>
    <w:rsid w:val="00191B78"/>
    <w:rsid w:val="00193E5E"/>
    <w:rsid w:val="001C703B"/>
    <w:rsid w:val="001C7145"/>
    <w:rsid w:val="001E5E85"/>
    <w:rsid w:val="001E7C28"/>
    <w:rsid w:val="001F0EFB"/>
    <w:rsid w:val="001F2CE8"/>
    <w:rsid w:val="0021220A"/>
    <w:rsid w:val="00220A61"/>
    <w:rsid w:val="0022181F"/>
    <w:rsid w:val="002415DC"/>
    <w:rsid w:val="00254126"/>
    <w:rsid w:val="00265B45"/>
    <w:rsid w:val="00293E97"/>
    <w:rsid w:val="00294999"/>
    <w:rsid w:val="002B3D01"/>
    <w:rsid w:val="002D0717"/>
    <w:rsid w:val="002D19F8"/>
    <w:rsid w:val="002D3076"/>
    <w:rsid w:val="002D4B53"/>
    <w:rsid w:val="002F2C4B"/>
    <w:rsid w:val="003162DA"/>
    <w:rsid w:val="00331AC7"/>
    <w:rsid w:val="00352093"/>
    <w:rsid w:val="00352F9A"/>
    <w:rsid w:val="0035311F"/>
    <w:rsid w:val="003636D2"/>
    <w:rsid w:val="00364F99"/>
    <w:rsid w:val="00372CED"/>
    <w:rsid w:val="00380BF2"/>
    <w:rsid w:val="003814AD"/>
    <w:rsid w:val="00385955"/>
    <w:rsid w:val="00386289"/>
    <w:rsid w:val="00390CEA"/>
    <w:rsid w:val="003B3496"/>
    <w:rsid w:val="003D0D66"/>
    <w:rsid w:val="003D3F2B"/>
    <w:rsid w:val="003E2321"/>
    <w:rsid w:val="003E40ED"/>
    <w:rsid w:val="003F2430"/>
    <w:rsid w:val="003F7600"/>
    <w:rsid w:val="00400016"/>
    <w:rsid w:val="004055FB"/>
    <w:rsid w:val="00414ACF"/>
    <w:rsid w:val="004237B4"/>
    <w:rsid w:val="00446EC4"/>
    <w:rsid w:val="00455A36"/>
    <w:rsid w:val="00462EEB"/>
    <w:rsid w:val="004953E0"/>
    <w:rsid w:val="004A4670"/>
    <w:rsid w:val="004B6C7F"/>
    <w:rsid w:val="004C1003"/>
    <w:rsid w:val="00506B90"/>
    <w:rsid w:val="00527E47"/>
    <w:rsid w:val="0054465E"/>
    <w:rsid w:val="0054764F"/>
    <w:rsid w:val="0058096D"/>
    <w:rsid w:val="005950F1"/>
    <w:rsid w:val="005A020D"/>
    <w:rsid w:val="005B7062"/>
    <w:rsid w:val="005D2308"/>
    <w:rsid w:val="005E43FE"/>
    <w:rsid w:val="005F554B"/>
    <w:rsid w:val="005F645A"/>
    <w:rsid w:val="006047E7"/>
    <w:rsid w:val="00606BB8"/>
    <w:rsid w:val="0061235B"/>
    <w:rsid w:val="00624A24"/>
    <w:rsid w:val="00634599"/>
    <w:rsid w:val="00640DA1"/>
    <w:rsid w:val="00660F4D"/>
    <w:rsid w:val="006B37BF"/>
    <w:rsid w:val="006B7983"/>
    <w:rsid w:val="006C0FB8"/>
    <w:rsid w:val="006D202C"/>
    <w:rsid w:val="006E6B78"/>
    <w:rsid w:val="006F17CC"/>
    <w:rsid w:val="007053C4"/>
    <w:rsid w:val="00735CED"/>
    <w:rsid w:val="007574C9"/>
    <w:rsid w:val="00760F71"/>
    <w:rsid w:val="00761C33"/>
    <w:rsid w:val="00764102"/>
    <w:rsid w:val="00775815"/>
    <w:rsid w:val="00775DE1"/>
    <w:rsid w:val="007800E4"/>
    <w:rsid w:val="00781D0A"/>
    <w:rsid w:val="007A2972"/>
    <w:rsid w:val="007A5C5B"/>
    <w:rsid w:val="007B3DDC"/>
    <w:rsid w:val="007B474A"/>
    <w:rsid w:val="007C13F2"/>
    <w:rsid w:val="007C6D9D"/>
    <w:rsid w:val="007E084A"/>
    <w:rsid w:val="007F7E1D"/>
    <w:rsid w:val="008144C3"/>
    <w:rsid w:val="008147A7"/>
    <w:rsid w:val="008154C8"/>
    <w:rsid w:val="008165A8"/>
    <w:rsid w:val="00820D50"/>
    <w:rsid w:val="008502F6"/>
    <w:rsid w:val="00870DB0"/>
    <w:rsid w:val="008A352F"/>
    <w:rsid w:val="008A5753"/>
    <w:rsid w:val="008B02A2"/>
    <w:rsid w:val="008C7D71"/>
    <w:rsid w:val="008F08AC"/>
    <w:rsid w:val="008F3764"/>
    <w:rsid w:val="009327DE"/>
    <w:rsid w:val="00933183"/>
    <w:rsid w:val="0093726C"/>
    <w:rsid w:val="00937618"/>
    <w:rsid w:val="0095298B"/>
    <w:rsid w:val="009749DA"/>
    <w:rsid w:val="00987B6F"/>
    <w:rsid w:val="009A3F05"/>
    <w:rsid w:val="009C2886"/>
    <w:rsid w:val="009D205D"/>
    <w:rsid w:val="009D37B8"/>
    <w:rsid w:val="009D4F6F"/>
    <w:rsid w:val="009E4C41"/>
    <w:rsid w:val="00A12316"/>
    <w:rsid w:val="00A3414F"/>
    <w:rsid w:val="00A37237"/>
    <w:rsid w:val="00A50759"/>
    <w:rsid w:val="00A51569"/>
    <w:rsid w:val="00A70A28"/>
    <w:rsid w:val="00A918C4"/>
    <w:rsid w:val="00A945CB"/>
    <w:rsid w:val="00AA4AB6"/>
    <w:rsid w:val="00AC59D3"/>
    <w:rsid w:val="00AD0CC0"/>
    <w:rsid w:val="00B01135"/>
    <w:rsid w:val="00B13DEF"/>
    <w:rsid w:val="00B20CBB"/>
    <w:rsid w:val="00B27666"/>
    <w:rsid w:val="00B41486"/>
    <w:rsid w:val="00B750FF"/>
    <w:rsid w:val="00B80A6B"/>
    <w:rsid w:val="00B81791"/>
    <w:rsid w:val="00B92CF6"/>
    <w:rsid w:val="00B97D37"/>
    <w:rsid w:val="00BC1AB8"/>
    <w:rsid w:val="00BE1F5C"/>
    <w:rsid w:val="00BF08E2"/>
    <w:rsid w:val="00BF1E27"/>
    <w:rsid w:val="00BF48B2"/>
    <w:rsid w:val="00C00C1D"/>
    <w:rsid w:val="00C12F12"/>
    <w:rsid w:val="00C23EEE"/>
    <w:rsid w:val="00C2574C"/>
    <w:rsid w:val="00C33AC3"/>
    <w:rsid w:val="00C50691"/>
    <w:rsid w:val="00C62E99"/>
    <w:rsid w:val="00C76623"/>
    <w:rsid w:val="00CC1116"/>
    <w:rsid w:val="00CC29D5"/>
    <w:rsid w:val="00CC4B23"/>
    <w:rsid w:val="00CC7311"/>
    <w:rsid w:val="00CD3863"/>
    <w:rsid w:val="00CF4FD9"/>
    <w:rsid w:val="00D0052D"/>
    <w:rsid w:val="00D00844"/>
    <w:rsid w:val="00D06F81"/>
    <w:rsid w:val="00D07CE8"/>
    <w:rsid w:val="00D10ADC"/>
    <w:rsid w:val="00D117E2"/>
    <w:rsid w:val="00D17719"/>
    <w:rsid w:val="00D2606C"/>
    <w:rsid w:val="00D41A05"/>
    <w:rsid w:val="00D43617"/>
    <w:rsid w:val="00D973A6"/>
    <w:rsid w:val="00DA40A4"/>
    <w:rsid w:val="00DA486C"/>
    <w:rsid w:val="00DD65D4"/>
    <w:rsid w:val="00DF3D9B"/>
    <w:rsid w:val="00DF7C48"/>
    <w:rsid w:val="00E011A8"/>
    <w:rsid w:val="00E17E8D"/>
    <w:rsid w:val="00E65B6A"/>
    <w:rsid w:val="00EA1A40"/>
    <w:rsid w:val="00EA6D58"/>
    <w:rsid w:val="00EC78DD"/>
    <w:rsid w:val="00ED0F01"/>
    <w:rsid w:val="00ED60AF"/>
    <w:rsid w:val="00EE15C7"/>
    <w:rsid w:val="00EE2028"/>
    <w:rsid w:val="00F0401C"/>
    <w:rsid w:val="00F101B5"/>
    <w:rsid w:val="00F15A77"/>
    <w:rsid w:val="00F23417"/>
    <w:rsid w:val="00F403AF"/>
    <w:rsid w:val="00F53E88"/>
    <w:rsid w:val="00F55F61"/>
    <w:rsid w:val="00FC06E2"/>
    <w:rsid w:val="00FD41F2"/>
    <w:rsid w:val="37A21255"/>
    <w:rsid w:val="5F182FB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205A71"/>
  <w15:docId w15:val="{ED1AF313-F68F-4F6A-AFBD-9B34062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20A61"/>
    <w:rPr>
      <w:color w:val="605E5C"/>
      <w:shd w:val="clear" w:color="auto" w:fill="E1DFDD"/>
    </w:rPr>
  </w:style>
  <w:style w:type="paragraph" w:styleId="Header">
    <w:name w:val="header"/>
    <w:basedOn w:val="Normal"/>
    <w:link w:val="HeaderChar"/>
    <w:uiPriority w:val="99"/>
    <w:unhideWhenUsed/>
    <w:rsid w:val="00CF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D9"/>
    <w:rPr>
      <w:kern w:val="2"/>
      <w:sz w:val="24"/>
      <w:szCs w:val="24"/>
      <w:lang w:val="en-IN" w:eastAsia="en-US"/>
      <w14:ligatures w14:val="standardContextual"/>
    </w:rPr>
  </w:style>
  <w:style w:type="paragraph" w:styleId="Footer">
    <w:name w:val="footer"/>
    <w:basedOn w:val="Normal"/>
    <w:link w:val="FooterChar"/>
    <w:uiPriority w:val="99"/>
    <w:unhideWhenUsed/>
    <w:rsid w:val="00CF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D9"/>
    <w:rPr>
      <w:kern w:val="2"/>
      <w:sz w:val="24"/>
      <w:szCs w:val="24"/>
      <w:lang w:val="en-IN" w:eastAsia="en-US"/>
      <w14:ligatures w14:val="standardContextual"/>
    </w:rPr>
  </w:style>
  <w:style w:type="table" w:styleId="TableGrid">
    <w:name w:val="Table Grid"/>
    <w:basedOn w:val="TableNormal"/>
    <w:uiPriority w:val="39"/>
    <w:rsid w:val="00B1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7144</Words>
  <Characters>40727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Prasad</dc:creator>
  <cp:lastModifiedBy>SDI 1186</cp:lastModifiedBy>
  <cp:revision>12</cp:revision>
  <dcterms:created xsi:type="dcterms:W3CDTF">2025-09-02T08:39:00Z</dcterms:created>
  <dcterms:modified xsi:type="dcterms:W3CDTF">2025-09-03T11:25:00Z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F2995F66E2304BD58E73383CE4324A02_12</vt:lpwstr>
  </property>
</Properties>
</file>