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99E1" w14:textId="77777777" w:rsidR="00FA1B7A" w:rsidRPr="00FA1B7A" w:rsidRDefault="00FA1B7A" w:rsidP="00FA1B7A">
      <w:pPr>
        <w:pStyle w:val="Heading3"/>
        <w:rPr>
          <w:i/>
          <w:iCs/>
          <w:sz w:val="24"/>
          <w:szCs w:val="24"/>
          <w:u w:val="single"/>
        </w:rPr>
      </w:pPr>
      <w:r w:rsidRPr="00FA1B7A">
        <w:rPr>
          <w:i/>
          <w:iCs/>
          <w:sz w:val="24"/>
          <w:szCs w:val="24"/>
          <w:u w:val="single"/>
        </w:rPr>
        <w:t>Review Article</w:t>
      </w:r>
    </w:p>
    <w:p w14:paraId="068EE6C7" w14:textId="1EAD6C3F" w:rsidR="007C0CC5" w:rsidRDefault="007C0CC5" w:rsidP="007C0CC5">
      <w:pPr>
        <w:pStyle w:val="Heading3"/>
        <w:rPr>
          <w:sz w:val="24"/>
          <w:szCs w:val="24"/>
        </w:rPr>
      </w:pPr>
      <w:r w:rsidRPr="007C0CC5">
        <w:rPr>
          <w:sz w:val="24"/>
          <w:szCs w:val="24"/>
        </w:rPr>
        <w:t>Breaking the Cycle: Cultural, Economic, and Policy Barriers to Advancing Girl-Child Education in Northern Nigeria</w:t>
      </w:r>
      <w:r>
        <w:rPr>
          <w:sz w:val="24"/>
          <w:szCs w:val="24"/>
        </w:rPr>
        <w:t xml:space="preserve">. </w:t>
      </w:r>
    </w:p>
    <w:p w14:paraId="29F38835" w14:textId="77777777" w:rsidR="00BC32DB" w:rsidRDefault="00BC32DB" w:rsidP="007C0CC5">
      <w:pPr>
        <w:pStyle w:val="Heading3"/>
        <w:rPr>
          <w:rStyle w:val="Strong"/>
          <w:b/>
          <w:bCs/>
        </w:rPr>
      </w:pPr>
    </w:p>
    <w:p w14:paraId="5A063902" w14:textId="3A249EF9" w:rsidR="007C0CC5" w:rsidRDefault="007C0CC5" w:rsidP="007C0CC5">
      <w:pPr>
        <w:pStyle w:val="Heading3"/>
        <w:rPr>
          <w:rStyle w:val="Strong"/>
          <w:b/>
          <w:bCs/>
        </w:rPr>
      </w:pPr>
      <w:r>
        <w:rPr>
          <w:rStyle w:val="Strong"/>
          <w:b/>
          <w:bCs/>
        </w:rPr>
        <w:t>Abstract</w:t>
      </w:r>
    </w:p>
    <w:p w14:paraId="786F2171" w14:textId="77777777" w:rsidR="00FA1B7A" w:rsidRDefault="00FA1B7A" w:rsidP="007C0CC5">
      <w:pPr>
        <w:pStyle w:val="Heading3"/>
      </w:pPr>
    </w:p>
    <w:p w14:paraId="51F8AA00"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A complicated mix of cultural, economic, and policy impediments keeps females from getting </w:t>
      </w:r>
      <w:r w:rsidRPr="00F23BD6">
        <w:rPr>
          <w:rFonts w:ascii="Times New Roman" w:eastAsia="Times New Roman" w:hAnsi="Times New Roman" w:cs="Times New Roman"/>
          <w:color w:val="EE0000"/>
          <w:sz w:val="24"/>
          <w:szCs w:val="24"/>
        </w:rPr>
        <w:t>an education</w:t>
      </w:r>
      <w:r w:rsidRPr="00EA6D97">
        <w:rPr>
          <w:rFonts w:ascii="Times New Roman" w:eastAsia="Times New Roman" w:hAnsi="Times New Roman" w:cs="Times New Roman"/>
          <w:sz w:val="24"/>
          <w:szCs w:val="24"/>
        </w:rPr>
        <w:t xml:space="preserve"> in Northern Nigeria. Even if there are attempts on a national and international level, a deeply ingrained patriarchy, religious beliefs, and damaging cultural traditions like early marriage make it hard for girls to get </w:t>
      </w:r>
      <w:r w:rsidRPr="00F23BD6">
        <w:rPr>
          <w:rFonts w:ascii="Times New Roman" w:eastAsia="Times New Roman" w:hAnsi="Times New Roman" w:cs="Times New Roman"/>
          <w:color w:val="EE0000"/>
          <w:sz w:val="24"/>
          <w:szCs w:val="24"/>
        </w:rPr>
        <w:t>an education</w:t>
      </w:r>
      <w:r w:rsidRPr="00EA6D97">
        <w:rPr>
          <w:rFonts w:ascii="Times New Roman" w:eastAsia="Times New Roman" w:hAnsi="Times New Roman" w:cs="Times New Roman"/>
          <w:sz w:val="24"/>
          <w:szCs w:val="24"/>
        </w:rPr>
        <w:t xml:space="preserve">. These problems are made worse by economic problems, child labor, and a lack of school infrastructure. Policy gaps and bad execution make girls' chances of getting </w:t>
      </w:r>
      <w:r w:rsidRPr="00F23BD6">
        <w:rPr>
          <w:rFonts w:ascii="Times New Roman" w:eastAsia="Times New Roman" w:hAnsi="Times New Roman" w:cs="Times New Roman"/>
          <w:color w:val="EE0000"/>
          <w:sz w:val="24"/>
          <w:szCs w:val="24"/>
        </w:rPr>
        <w:t xml:space="preserve">an education </w:t>
      </w:r>
      <w:r w:rsidRPr="00EA6D97">
        <w:rPr>
          <w:rFonts w:ascii="Times New Roman" w:eastAsia="Times New Roman" w:hAnsi="Times New Roman" w:cs="Times New Roman"/>
          <w:sz w:val="24"/>
          <w:szCs w:val="24"/>
        </w:rPr>
        <w:t xml:space="preserve">even worse. This review combines information from other studies to show how these overlapping hurdles make it harder for females to get </w:t>
      </w:r>
      <w:r w:rsidRPr="00F23BD6">
        <w:rPr>
          <w:rFonts w:ascii="Times New Roman" w:eastAsia="Times New Roman" w:hAnsi="Times New Roman" w:cs="Times New Roman"/>
          <w:color w:val="EE0000"/>
          <w:sz w:val="24"/>
          <w:szCs w:val="24"/>
        </w:rPr>
        <w:t xml:space="preserve">an education, </w:t>
      </w:r>
      <w:r w:rsidRPr="00EA6D97">
        <w:rPr>
          <w:rFonts w:ascii="Times New Roman" w:eastAsia="Times New Roman" w:hAnsi="Times New Roman" w:cs="Times New Roman"/>
          <w:sz w:val="24"/>
          <w:szCs w:val="24"/>
        </w:rPr>
        <w:t xml:space="preserve">which makes gender inequality worse and slows down socio-economic progress. This report offers specific solutions to these problems, including gender-sensitive education policy, tactics for getting communities involved, and new ways to pay for girls' education. It also calls for important changes to the law to make it easier to implement rules that protect girls' entitlement to </w:t>
      </w:r>
      <w:r w:rsidRPr="00F23BD6">
        <w:rPr>
          <w:rFonts w:ascii="Times New Roman" w:eastAsia="Times New Roman" w:hAnsi="Times New Roman" w:cs="Times New Roman"/>
          <w:color w:val="EE0000"/>
          <w:sz w:val="24"/>
          <w:szCs w:val="24"/>
        </w:rPr>
        <w:t xml:space="preserve">an education. </w:t>
      </w:r>
      <w:r w:rsidRPr="00EA6D97">
        <w:rPr>
          <w:rFonts w:ascii="Times New Roman" w:eastAsia="Times New Roman" w:hAnsi="Times New Roman" w:cs="Times New Roman"/>
          <w:sz w:val="24"/>
          <w:szCs w:val="24"/>
        </w:rPr>
        <w:t xml:space="preserve">The assessment says that to end the cycle of exclusion, we need to modify policies, get people involved in their communities, and use smart finance. Finally, it shows how technology is becoming more important in breaking down these barriers, with digital learning giving girls in distant locations new methods to learn. This report calls on politicians, communities, and foreign organizations to work together to remove the hurdles that keep girls in Northern Nigeria from getting </w:t>
      </w:r>
      <w:r w:rsidRPr="00F23BD6">
        <w:rPr>
          <w:rFonts w:ascii="Times New Roman" w:eastAsia="Times New Roman" w:hAnsi="Times New Roman" w:cs="Times New Roman"/>
          <w:color w:val="EE0000"/>
          <w:sz w:val="24"/>
          <w:szCs w:val="24"/>
        </w:rPr>
        <w:t>an education</w:t>
      </w:r>
      <w:r w:rsidRPr="00EA6D97">
        <w:rPr>
          <w:rFonts w:ascii="Times New Roman" w:eastAsia="Times New Roman" w:hAnsi="Times New Roman" w:cs="Times New Roman"/>
          <w:sz w:val="24"/>
          <w:szCs w:val="24"/>
        </w:rPr>
        <w:t>. Subsequent study should concentrate on assessing the efficacy of digital education efforts and the enduring socio-economic ramifications of educating and empowering girls.</w:t>
      </w:r>
    </w:p>
    <w:p w14:paraId="4A24B4C9" w14:textId="546F68A0" w:rsidR="007C0CC5" w:rsidRPr="007C0CC5" w:rsidRDefault="007C0CC5" w:rsidP="007C0CC5">
      <w:pPr>
        <w:spacing w:before="100" w:beforeAutospacing="1" w:after="100" w:afterAutospacing="1" w:line="240" w:lineRule="auto"/>
        <w:outlineLvl w:val="2"/>
        <w:rPr>
          <w:rFonts w:ascii="Times New Roman" w:eastAsia="Times New Roman" w:hAnsi="Times New Roman" w:cs="Times New Roman"/>
          <w:b/>
          <w:bCs/>
          <w:sz w:val="27"/>
          <w:szCs w:val="27"/>
        </w:rPr>
      </w:pPr>
      <w:r w:rsidRPr="007C0CC5">
        <w:rPr>
          <w:rFonts w:ascii="Times New Roman" w:eastAsia="Times New Roman" w:hAnsi="Times New Roman" w:cs="Times New Roman"/>
          <w:b/>
          <w:bCs/>
          <w:sz w:val="27"/>
          <w:szCs w:val="27"/>
        </w:rPr>
        <w:t>I. Introduction</w:t>
      </w:r>
    </w:p>
    <w:p w14:paraId="7D3852AA" w14:textId="510D9991"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Overview of the Issue </w:t>
      </w:r>
    </w:p>
    <w:p w14:paraId="2A0EDCE2" w14:textId="091E8041"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it is still quite hard to get girls to go to school. There are big differences in how easy it is for boys and girls to get a good education. Even though people are trying to make education better in Nigeria, many girls in the North still don't go to school because of cultural conventions, poverty, and safety concerns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{"citationID":"B5sQlX3G","properties":{"formattedCitation":"[1]","plainCitation":"[1]","noteIndex":0},"citationItems":[{"id":6575,"uris":["http://zotero.org/users/16652950/items/RQJXLREN"],"itemData":{"id":6575,"type":"article-journal","abstract":"In 1999, the Nigerian government launched its Universal Basic Education (UBE) program to provide free and compulsory education for every Nigerian child. Despite this effort, girls’ enrollment and school retention are still at their lowest ebb. This problem is even more apparent in Northern Nigeria where economic, religious and cultural factors often deny most girls access to education, especially in the NorthWest. Using a qualitative research methodology, this paper assesses the factors debilitating against girl child education in Northern Nigeria between 1999 and 2015 and their implications. This study finds out that factors such as early marriage, gender discrimination, low government support and the condemnation of co-education were responsible for the low enrollment of girls in schools across the Northern region. The paper concludes that to achieve the United Nation’s Millennium Development Goals2 (MDG2) and Sustainable Development Goals-4 (SDG 4), the government, international community, NGOs and parents must put their hands on deck to break the social, economic, religious and cultural barriers denying girls full and equitable access to education in Northern Nigeria.","container-title":"Reconstructing the Past: Journal of Historical Studies","DOI":"10.54414/ZXUJ8630","ISSN":"29595207, 29595215","journalAbbreviation":"jhs","language":"en","page":"60-69","source":"DOI.org (Crossref)","title":"‘MUST THEY GO TO SCHOOL?’ NORTHERN NIGERIA AND THE CHALLENGES OF GIRL CHILD EDUCATION, 1999-2015","title-short":"‘MUST THEY GO TO SCHOOL?","author":[{"literal":"Department of History, Ahmadu Bello University, Zaria, Nigeria"},{"family":"Nasidi","given":"Nadir"}],"issued":{"date-parts":[["2024",9]]}}}],"schema":"https://github.com/citation-style-language/schema/raw/master/csl-citation.json"}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[1]</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Enrollment rates are especially low in the North-East and North-West, where many girls are taken out of school to do family chores or get married young. Traditional gender norms, a lack of educational resources, and early marriage all play a role in the cycle of educational exclusion, which keeps gender inequality going and slows down socio-economic advancement in these places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{"citationID":"XEffl8f3","properties":{"formattedCitation":"[2]","plainCitation":"[2]","noteIndex":0},"citationItems":[{"id":6572,"uris":["http://zotero.org/users/16652950/items/24LI5784"],"itemData":{"id":6572,"type":"article-journal","container-title":"Education 3-13","DOI":"10.1080/03004279.2024.2308307","ISSN":"0300-4279","note":"publisher: Routledge","page":"1-20","source":"tandfonline.com (Atypon)","title":"Exclusion of the female child from primary education: exploring the perceptions and experiences of female learners in northern Nigeria","title-short":"Exclusion of the female child from primary education","author":[{"family":"Azeez","given":"Fatai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[2]</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25FA0A1" w14:textId="11C9288B"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Objective of the Review </w:t>
      </w:r>
    </w:p>
    <w:p w14:paraId="2B637417" w14:textId="3DEC220A"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lastRenderedPageBreak/>
        <w:t xml:space="preserve">This </w:t>
      </w:r>
      <w:proofErr w:type="gramStart"/>
      <w:r>
        <w:rPr>
          <w:rFonts w:ascii="Times New Roman" w:eastAsia="Times New Roman" w:hAnsi="Times New Roman" w:cs="Times New Roman"/>
          <w:sz w:val="24"/>
          <w:szCs w:val="24"/>
        </w:rPr>
        <w:t xml:space="preserve">review </w:t>
      </w:r>
      <w:r w:rsidRPr="00EA6D97">
        <w:rPr>
          <w:rFonts w:ascii="Times New Roman" w:eastAsia="Times New Roman" w:hAnsi="Times New Roman" w:cs="Times New Roman"/>
          <w:sz w:val="24"/>
          <w:szCs w:val="24"/>
        </w:rPr>
        <w:t xml:space="preserve"> seeks</w:t>
      </w:r>
      <w:proofErr w:type="gramEnd"/>
      <w:r w:rsidRPr="00EA6D97">
        <w:rPr>
          <w:rFonts w:ascii="Times New Roman" w:eastAsia="Times New Roman" w:hAnsi="Times New Roman" w:cs="Times New Roman"/>
          <w:sz w:val="24"/>
          <w:szCs w:val="24"/>
        </w:rPr>
        <w:t xml:space="preserve"> to critically evaluate the cultural, economic, and policy impediments obstructing girl-child education in Northern Nigeria. By integrating current material, the paper will elucidate the interplay of these barriers and identify critical gaps, providing a thorough knowledge of the difficulties and proposing potential solutions to disrupt the cycle of exclusion.</w:t>
      </w:r>
    </w:p>
    <w:p w14:paraId="72F741F7" w14:textId="77777777" w:rsidR="00A96BB6" w:rsidRDefault="00A96BB6" w:rsidP="007C0CC5">
      <w:pPr>
        <w:spacing w:before="100" w:beforeAutospacing="1" w:after="100" w:afterAutospacing="1" w:line="240" w:lineRule="auto"/>
        <w:outlineLvl w:val="3"/>
        <w:rPr>
          <w:rFonts w:ascii="Times New Roman" w:eastAsia="Times New Roman" w:hAnsi="Times New Roman" w:cs="Times New Roman"/>
          <w:b/>
          <w:bCs/>
          <w:sz w:val="24"/>
          <w:szCs w:val="24"/>
        </w:rPr>
      </w:pPr>
    </w:p>
    <w:p w14:paraId="0951EBC8" w14:textId="722AE745"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Scope of the Paper </w:t>
      </w:r>
    </w:p>
    <w:p w14:paraId="74E5F1CE"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 review will concentrate on Northern Nigeria, particularly areas exhibiting the most pronounced gender discrepancies in education, including the North-East and North-West regions. It will look at cultural views, economic problems, and educational regulations to see how these things all work together to make it harder for girls to get an education and make problems in society as a whole.</w:t>
      </w:r>
    </w:p>
    <w:p w14:paraId="09FEA9BD" w14:textId="11985FAB" w:rsidR="007C0CC5" w:rsidRDefault="007C0CC5" w:rsidP="007C0CC5">
      <w:pPr>
        <w:pStyle w:val="Heading3"/>
      </w:pPr>
      <w:r>
        <w:rPr>
          <w:rStyle w:val="Strong"/>
          <w:b/>
          <w:bCs/>
        </w:rPr>
        <w:t xml:space="preserve">II. Theoretical and Conceptual Framework </w:t>
      </w:r>
    </w:p>
    <w:p w14:paraId="09C27302" w14:textId="1D9AEE6D" w:rsidR="007C0CC5" w:rsidRDefault="007C0CC5" w:rsidP="007C0CC5">
      <w:pPr>
        <w:pStyle w:val="Heading4"/>
      </w:pPr>
      <w:r>
        <w:rPr>
          <w:rStyle w:val="Strong"/>
          <w:b/>
          <w:bCs/>
        </w:rPr>
        <w:t xml:space="preserve">Cultural Barriers Framework </w:t>
      </w:r>
    </w:p>
    <w:p w14:paraId="7C348D8E" w14:textId="652CE398"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Cultural factors are very important in determining how well students do in school. Social Reproduction Theory and other theories say that social norms, traditions, and family structures keep educational inequity going from one generation to the next. In Northern Nigeria, patriarchy and gender traditions put boys' education first. Girls are frequently seen as future brides and mothers instead of prospective professionals. These cultural attitudes limit females' chances to get a formal education and grow as people</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{"citationID":"NzCYMsoa","properties":{"formattedCitation":"[3]","plainCitation":"[3]","noteIndex":0},"citationItems":[{"id":6576,"uris":["http://zotero.org/users/16652950/items/ZD6976BG"],"itemData":{"id":6576,"type":"article-journal","abstract":"Whenever the term \"Gender\" is mentioned, many readily attribute it to the womenfolk who, in many societies, are challenged and often put in a disadvantaged position concerning the men. As a result, many women empowerment programs are being championed to cushion the effects of this subjugation on women. This paper attempts to look into gender and understand what has been in existence concerning gender roles, especially for females, and how it contributes to development. It is also important to note that development is not something that happens in space or the product of eventualities but a concrete phenomenon that requires all to achieve. There is a specific role to play by both men and women to attain African development. Therefore, gender issues with all that relates to it can impinge on societal development. The secondary data collection was used by empirically engaging literature and British council report in tracing how Gender inequality began to be perceived. The study applied the theory of recognition by Axel Honneth and the functionalist approach in explaining the issues of gender and how it can engender development if adequately handled. It was discovered that if both genders are correctly appreciated with each playing their role, not discriminating or demeaning any position, the resultant effect will not only result in development; instead, sustainable development will be attained., Development; Gender; Gender roles; Gender inequality; Sustainable development.","container-title":"Heliyon","DOI":"10.1016/j.heliyon.2021.e07622","ISSN":"2405-8440","issue":"7","journalAbbreviation":"Heliyon","note":"PMID: 34377858\nPMCID: PMC8327645","page":"e07622","source":"PubMed Central","title":"Understanding gender issues in Nigeria: the imperative for sustainable development","title-short":"Understanding gender issues in Nigeria","volume":"7","author":[{"family":"Olonade","given":"Olawale Y."},{"family":"Oyibode","given":"Blessing O."},{"family":"Idowu","given":"Bashiru Olalekan"},{"family":"George","given":"Tayo O."},{"family":"Iwelumor","given":"Oluwakemi S."},{"family":"Ozoya","given":"Mercy I."},{"family":"Egharevba","given":"Matthew E."},{"family":"Adetunde","given":"Christiana O."}],"issued":{"date-parts":[["2021",7,18]]}}}],"schema":"https://github.com/citation-style-language/schema/raw/master/csl-citation.json"}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[3]</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6191F0DF" w14:textId="5BB99420" w:rsidR="007C0CC5" w:rsidRDefault="007C0CC5" w:rsidP="007C0CC5">
      <w:pPr>
        <w:pStyle w:val="Heading4"/>
      </w:pPr>
      <w:r>
        <w:rPr>
          <w:rStyle w:val="Strong"/>
          <w:b/>
          <w:bCs/>
        </w:rPr>
        <w:t xml:space="preserve">Economic Barriers Framework </w:t>
      </w:r>
    </w:p>
    <w:p w14:paraId="72EBE87C"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Economic theories, including Human Capital Theory, emphasize the enduring advantages of investing in education. In Northern Nigeria, though, females often can't go to school because of money problems like poverty, not having enough money, and the opportunity cost of their education. Families that are having trouble making ends meet may put more money into their boys' education because they think girls' education is less of an investment. Child labor makes these economic problems much worse, keeping girls out of school.</w:t>
      </w:r>
    </w:p>
    <w:p w14:paraId="47013104" w14:textId="7974893B" w:rsidR="007C0CC5" w:rsidRDefault="007C0CC5" w:rsidP="007C0CC5">
      <w:pPr>
        <w:pStyle w:val="Heading4"/>
      </w:pPr>
      <w:r>
        <w:rPr>
          <w:rStyle w:val="Strong"/>
          <w:b/>
          <w:bCs/>
        </w:rPr>
        <w:t xml:space="preserve">Policy and Governance Framework </w:t>
      </w:r>
    </w:p>
    <w:p w14:paraId="24016EB7" w14:textId="700A1275"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 Policy Implementation Framework checks to see how well government policies are working to make sure everyone has equal access to education. Policies like the National Policy on Education and the Child Rights Act have been hard to put into action in Northern Nigeria because of a lack of money, bad governance, and insufficient enforcement mechanisms. These institutional flaws make it hard for girls to get an education and make it hard to meet their individual requirements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{"citationID":"dSu7IEYu","properties":{"formattedCitation":"[4]","plainCitation":"[4]","noteIndex":0},"citationItems":[{"id":6581,"uris":["http://zotero.org/users/16652950/items/HLT5TTYA"],"itemData":{"id":6581,"type":"article-journal","container-title":"The Lancet. Global Health","DOI":"10.1016/S2214-109X(18)30386-3","ISSN":"2214-109X","journalAbbreviation":"Lancet Glob Health","note":"PMID: 30196093\nPMCID: PMC7734391","page":"e1196-e1252","source":"PubMed Central","title":"High-quality health systems in the Sustainable Development Goals era: time for a revolution","title-short":"High-quality health systems in the Sustainable Development Goals era","volume":"6","author":[{"family":"Kruk","given":"Margaret E"},{"family":"Gage","given":"Anna D"},{"family":"Arsenault","given":"Catherine"},{"family":"Jordan","given":"Keely"},{"family":"Leslie","given":"Hannah H"},{"family":"Roder-DeWan","given":"Sanam"},{"family":"Adeyi","given":"Olusoji"},{"family":"Barker","given":"Pierre"},{"family":"Daelmans","given":"Bernadette"},{"family":"Doubova","given":"Svetlana V"},{"family":"English","given":"Mike"},{"family":"Elorrio","given":"Ezequiel García"},{"family":"Guanais","given":"Frederico"},{"family":"Gureje","given":"Oye"},{"family":"Hirschhorn","given":"Lisa R"},{"family":"Jiang","given":"Lixin"},{"family":"Kelley","given":"Edward"},{"family":"Lemango","given":"Ephrem Tekle"},{"family":"Liljestrand","given":"Jerker"},{"family":"Malata","given":"Address"},{"family":"Marchant","given":"Tanya"},{"family":"Matsoso","given":"Malebona Precious"},{"family":"Meara","given":"John G"},{"family":"Mohanan","given":"Manoj"},{"family":"Ndiaye","given":"Youssoupha"},{"family":"Norheim","given":"Ole F"},{"family":"Reddy","given":"K Srinath"},{"family":"Rowe","given":"Alexander K"},{"family":"Salomon","given":"Joshua A"},{"family":"Thapa","given":"Gagan"},{"family":"Twum-Danso","given":"Nana A Y"},{"family":"Pate","given":"Muhammad"}],"issued":{"date-parts":[["2018"]]}}}],"schema":"https://github.com/citation-style-language/schema/raw/master/csl-citation.json"}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[4]</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5F460BD" w14:textId="06C19512" w:rsidR="007C0CC5" w:rsidRDefault="007C0CC5" w:rsidP="007C0CC5">
      <w:pPr>
        <w:pStyle w:val="Heading3"/>
      </w:pPr>
      <w:r>
        <w:rPr>
          <w:rStyle w:val="Strong"/>
          <w:b/>
          <w:bCs/>
        </w:rPr>
        <w:t xml:space="preserve">III. Review of Cultural Barriers </w:t>
      </w:r>
    </w:p>
    <w:p w14:paraId="3B302F7E" w14:textId="4B809819" w:rsidR="007C0CC5" w:rsidRDefault="007C0CC5" w:rsidP="007C0CC5">
      <w:pPr>
        <w:pStyle w:val="Heading4"/>
      </w:pPr>
      <w:r>
        <w:rPr>
          <w:rStyle w:val="Strong"/>
          <w:b/>
          <w:bCs/>
        </w:rPr>
        <w:lastRenderedPageBreak/>
        <w:t xml:space="preserve">Patriarchal Norms </w:t>
      </w:r>
    </w:p>
    <w:p w14:paraId="5B2E03E9" w14:textId="4838F43D"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Patriarchal standards have a big impact on the education of girls in Northern Nigeria. Studies show that traditional gender roles prioritize male education over female education, with girls often expected to stay home and care for household chores. In many rural places, people think that a woman's main job is to be a mother and a wife. This makes them think that teaching girls is not as important as teaching boys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{"citationID":"x7dgjXiO","properties":{"formattedCitation":"[5]","plainCitation":"[5]","noteIndex":0},"citationItems":[{"id":6584,"uris":["http://zotero.org/users/16652950/items/CTV7QMFT"],"itemData":{"id":6584,"type":"article-journal","abstract":"Despite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[5]</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This cultural expectation, together with the fact that there aren't many schools in remote places, makes the gender gap in education even bigger. This stops girls from going to school or finishing their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{"citationID":"bo0J4LOC","properties":{"formattedCitation":"[3]","plainCitation":"[3]","noteIndex":0},"citationItems":[{"id":6576,"uris":["http://zotero.org/users/16652950/items/ZD6976BG"],"itemData":{"id":6576,"type":"article-journal","abstract":"Whenever the term \"Gender\" is mentioned, many readily attribute it to the womenfolk who, in many societies, are challenged and often put in a disadvantaged position concerning the men. As a result, many women empowerment programs are being championed to cushion the effects of this subjugation on women. This paper attempts to look into gender and understand what has been in existence concerning gender roles, especially for females, and how it contributes to development. It is also important to note that development is not something that happens in space or the product of eventualities but a concrete phenomenon that requires all to achieve. There is a specific role to play by both men and women to attain African development. Therefore, gender issues with all that relates to it can impinge on societal development. The secondary data collection was used by empirically engaging literature and British council report in tracing how Gender inequality began to be perceived. The study applied the theory of recognition by Axel Honneth and the functionalist approach in explaining the issues of gender and how it can engender development if adequately handled. It was discovered that if both genders are correctly appreciated with each playing their role, not discriminating or demeaning any position, the resultant effect will not only result in development; instead, sustainable development will be attained., Development; Gender; Gender roles; Gender inequality; Sustainable development.","container-title":"Heliyon","DOI":"10.1016/j.heliyon.2021.e07622","ISSN":"2405-8440","issue":"7","journalAbbreviation":"Heliyon","note":"PMID: 34377858\nPMCID: PMC8327645","page":"e07622","source":"PubMed Central","title":"Understanding gender issues in Nigeria: the imperative for sustainable development","title-short":"Understanding gender issues in Nigeria","volume":"7","author":[{"family":"Olonade","given":"Olawale Y."},{"family":"Oyibode","given":"Blessing O."},{"family":"Idowu","given":"Bashiru Olalekan"},{"family":"George","given":"Tayo O."},{"family":"Iwelumor","given":"Oluwakemi S."},{"family":"Ozoya","given":"Mercy I."},{"family":"Egharevba","given":"Matthew E."},{"family":"Adetunde","given":"Christiana O."}],"issued":{"date-parts":[["2021",7,18]]}}}],"schema":"https://github.com/citation-style-language/schema/raw/master/csl-citation.json"}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[3]</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5C1C80E" w14:textId="1F57D8A4" w:rsidR="007C0CC5" w:rsidRDefault="007C0CC5" w:rsidP="007C0CC5">
      <w:pPr>
        <w:pStyle w:val="Heading4"/>
      </w:pPr>
      <w:r>
        <w:rPr>
          <w:rStyle w:val="Strong"/>
          <w:b/>
          <w:bCs/>
        </w:rPr>
        <w:t xml:space="preserve">Religious Interpretations </w:t>
      </w:r>
    </w:p>
    <w:p w14:paraId="5915AA7B" w14:textId="339180ED"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where Islamic traditions are strong, religion has a big effect on how well students do in school. Islam promotes the acquisition of knowledge for all genders; yet, specific conservative interpretations of Islamic texts deter the education of girls, especially beyond fundamental religious instruction. Some experts contend that religious leaders, despite their influence, occasionally misread religious doctrines, thereby perpetuating the notion that girls should remain at home and concentrate on household responsibilities rather than seek formal education. This misunderstanding of religious doctrine has caused a lot of females in the area to not get enough education, even though religion as a whole supports female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{"citationID":"CCAh9cSI","properties":{"formattedCitation":"[6]","plainCitation":"[6]","noteIndex":0},"citationItems":[{"id":6588,"uris":["http://zotero.org/users/16652950/items/RJ873J4W"],"itemData":{"id":6588,"type":"article-journal","abstract":"The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[6]</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359784ED" w14:textId="081ED217" w:rsidR="007C0CC5" w:rsidRDefault="007C0CC5" w:rsidP="007C0CC5">
      <w:pPr>
        <w:pStyle w:val="Heading4"/>
      </w:pPr>
      <w:r>
        <w:rPr>
          <w:rStyle w:val="Strong"/>
          <w:b/>
          <w:bCs/>
        </w:rPr>
        <w:t xml:space="preserve">Impact of Local Traditions and Practices </w:t>
      </w:r>
    </w:p>
    <w:p w14:paraId="4E10EA63" w14:textId="3CB6939F"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cultural norms including early marriage have a big effect on girls' education. Many girls are married while they are quite young, sometimes even before they start high school, since many think this will make their lives more stable socially and financially. Early marriage not only limits their educational goals, but it also frequently results in early pregnancies and health risks for mothers. Girls drop out of school at a high rate because of local customs that favor marriage over education. These long-standing customs in communities make it so that girls are forced out of school and into adult roles too soon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{"citationID":"2IDAe8cK","properties":{"formattedCitation":"[7]","plainCitation":"[7]","noteIndex":0},"citationItems":[{"id":6590,"uris":["http://zotero.org/users/16652950/items/WNEB3ECD"],"itemData":{"id":6590,"type":"article-journal","abstract":"Early marriage is one of the most important social issues for young women and can have many consequences. The present study aimed to explore the consequences of early marriage among Kurdish women in western Iran who were married under the age of 18. This qualitative study was conducted with the approach of conventional content analysis. The data were collected through semi-structured interviews with 30 women selected by purposeful sampling. Data analysis was performed using Graneheim and Lundman’s method. A total of 389 codes, 12 subcategories, 4 sub-categories, and 2 main categories were extracted from the data analysis. Negative consequences of early marriage include: 1—physical and psychological problems (high-risk pregnancy and childbirth, physical illnesses, depression, and emotional distress); 2—family problems (dissatisfaction with married life, experience of having lots of responsibility, lack of independence in family life); 3—social problems (risky social behaviors, lack of access to social and health services, social isolation, lack of access to a job, and educational opportunities); and 4—positive consequences, including receiving intra-family support, improving living conditions, and opportunities for progress and empowerment. It is possible to reduce problems and challenges after early marriage by increasing the awareness and knowledge of young women about contraceptives and providing appropriate social and health facilities, and services during pregnancy. Providing the necessary training and psychological counseling for them and their husbands on how to deal with personal problems and marital life will be effective to a great extent.","container-title":"Inquiry: A Journal of Medical Care Organization, Provision and Financing","DOI":"10.1177/00469580231159963","ISSN":"0046-9580","journalAbbreviation":"Inquiry","note":"PMID: 37073489\nPMCID: PMC10123900","page":"00469580231159963","source":"PubMed Central","title":"Exploring the Consequences of Early Marriage: A Conventional Content Analysis","title-short":"Exploring the Consequences of Early Marriage","volume":"60","author":[{"family":"Yoosefi Lebni","given":"Javad"},{"family":"Solhi","given":"Mahnaz"},{"family":"Ebadi Fard Azar","given":"Farbod"},{"family":"Khalajabadi Farahani","given":"Farideh"},{"family":"Irandoost","given":"Seyed Fahim"}],"issued":{"date-parts":[["2023",4,19]]}}}],"schema":"https://github.com/citation-style-language/schema/raw/master/csl-citation.json"}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[7]</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13D34EB1" w14:textId="216E6CE9" w:rsidR="007C0CC5" w:rsidRDefault="007C0CC5" w:rsidP="007C0CC5">
      <w:pPr>
        <w:pStyle w:val="Heading4"/>
      </w:pPr>
      <w:r>
        <w:rPr>
          <w:rStyle w:val="Strong"/>
          <w:b/>
          <w:bCs/>
        </w:rPr>
        <w:t xml:space="preserve">Community Perceptions </w:t>
      </w:r>
    </w:p>
    <w:p w14:paraId="11B79815" w14:textId="46FCF1BB"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Long-standing cultural beliefs and local leaders impact how people in the community think about girls' education. In many areas of Northern Nigeria, community leaders and elders, who have a lot of power, typically think that teaching girls is less important than educating boys. These ideas are shaped by a belief in gender norms that don't see the value in educating girls. While some communities are slowly starting to promote girls' education, others still believe that girls should stay at home and take care of things. It is hard to modify deep-seated gender norms and enhance girls' educational performance in these areas since the community does not support girls'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{"citationID":"Urtx76gY","properties":{"formattedCitation":"[8]","plainCitation":"[8]","noteIndex":0},"citationItems":[{"id":6593,"uris":["http://zotero.org/users/16652950/items/FXVMGHSI"],"itemData":{"id":6593,"type":"article-journal","abstract":"The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[8]</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C1A9AC0" w14:textId="2454F519" w:rsidR="007C0CC5" w:rsidRDefault="007C0CC5" w:rsidP="007C0CC5">
      <w:pPr>
        <w:pStyle w:val="Heading3"/>
      </w:pPr>
      <w:r>
        <w:rPr>
          <w:rStyle w:val="Strong"/>
          <w:b/>
          <w:bCs/>
        </w:rPr>
        <w:t xml:space="preserve">IV. Review of Economic Barriers </w:t>
      </w:r>
    </w:p>
    <w:p w14:paraId="33AF8FDE" w14:textId="6A4B7A60" w:rsidR="007C0CC5" w:rsidRDefault="007C0CC5" w:rsidP="007C0CC5">
      <w:pPr>
        <w:pStyle w:val="Heading4"/>
      </w:pPr>
      <w:r>
        <w:rPr>
          <w:rStyle w:val="Strong"/>
          <w:b/>
          <w:bCs/>
        </w:rPr>
        <w:t xml:space="preserve">Poverty and Household Economic Decisions </w:t>
      </w:r>
    </w:p>
    <w:p w14:paraId="25B5A7BE" w14:textId="7365E1D6"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lastRenderedPageBreak/>
        <w:t>One of the biggest problems with girls' education in Northern Nigeria is still poverty. Research shows that a lot of families who are having trouble meeting their fundamental necessities regard education as a luxury instead than a need. In these homes, males are often given more importance when it comes to school because they are seen as the future breadwinners. People typically regard girls as a short-term investment whose main job is to take care of the house. Because of this, girls' education is frequently the first thing to go when money is tight. This leads to low enrollment and high dropout rates among girls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{"citationID":"ZN1UwNgk","properties":{"formattedCitation":"[9]","plainCitation":"[9]","noteIndex":0},"citationItems":[{"id":6597,"uris":["http://zotero.org/users/16652950/items/JIWQPTQK"],"itemData":{"id":6597,"type":"article-journal","container-title":"Comparative education review","DOI":"10.1086/652139","ISSN":"0010-4086","issue":"2","journalAbbreviation":"Comp Educ Rev","note":"PMID: 26448653\nPMCID: PMC4593499","page":"295-319","source":"PubMed Central","title":"School Attendance in Nigeria: Understanding the Impact and Intersection of Gender, Urban-Rural Residence and Socioeconomic Status","title-short":"School Attendance in Nigeria","volume":"54","author":[{"family":"Kazeem","given":"Aramide"},{"family":"Jensen","given":"Leif"},{"family":"Stokes","given":"C. Shannon"}],"issued":{"date-parts":[["2010",5]]}}}],"schema":"https://github.com/citation-style-language/schema/raw/master/csl-citation.json"}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[9]</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337FD3F3" w14:textId="6CA29ADA" w:rsidR="007C0CC5" w:rsidRDefault="007C0CC5" w:rsidP="007C0CC5">
      <w:pPr>
        <w:pStyle w:val="Heading4"/>
      </w:pPr>
      <w:r>
        <w:rPr>
          <w:rStyle w:val="Strong"/>
          <w:b/>
          <w:bCs/>
        </w:rPr>
        <w:t xml:space="preserve">Child Labour and Economic Necessity </w:t>
      </w:r>
    </w:p>
    <w:p w14:paraId="7D9C6445" w14:textId="3685F49C"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Child labor is common in Northern Nigeria since many kids, especially females, have to work to help their families make ends meet. Girls in rural areas sometimes have to labor at home or in family enterprises, which keeps them from going to school. The problem is made worse by the idea that girls' work is necessary for the family's economic existence. Research shows that the pressure of unpaid work and the requirement for females to make money through informal jobs directly affect their capacity to stay in school. Because of this, girls have a lot of trouble getting </w:t>
      </w:r>
      <w:r w:rsidRPr="00F23BD6">
        <w:rPr>
          <w:rFonts w:ascii="Times New Roman" w:eastAsia="Times New Roman" w:hAnsi="Times New Roman" w:cs="Times New Roman"/>
          <w:color w:val="EE0000"/>
          <w:sz w:val="24"/>
          <w:szCs w:val="24"/>
        </w:rPr>
        <w:t xml:space="preserve">an education </w:t>
      </w:r>
      <w:r w:rsidRPr="00EA6D97">
        <w:rPr>
          <w:rFonts w:ascii="Times New Roman" w:eastAsia="Times New Roman" w:hAnsi="Times New Roman" w:cs="Times New Roman"/>
          <w:sz w:val="24"/>
          <w:szCs w:val="24"/>
        </w:rPr>
        <w:t>because their employment obligations are more important than their school goals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{"citationID":"cUCE6rOc","properties":{"formattedCitation":"[10]","plainCitation":"[10]","noteIndex":0},"citationItems":[{"id":6600,"uris":["http://zotero.org/users/16652950/items/DG3LVXS2"],"itemData":{"id":6600,"type":"article-journal","abstract":"The increasing presence of young people on the Nigerian streets participating in child labour has continued to attract public policy attention. Available research on child labour reveals sparse scholarly information on the security implications for young people in South-West Nigeria, particularly Ondo State. The study aims to understand the argument that child labour poses major security threats to the overall well-being of child labourers. A total of 147 questionnaires were distributed, with 12 focus group discussions and 12 semi-structured interviews conducted with young people and guardians (mostly mothers). Frequency distributions were employed to analyse the quantitative data, and NVivo (v.14) qualitative software was used to identify themes and sub-themes. A content analytical tool was used to make sense of the themes. Child labour activities include street trading, hawking, domestic help and construction work. Causes of child labour activities include lack of access to basic education, cultural and societal beliefs, poverty, and family breakdown, among others. Security threats include occasional kidnapping for ransom, sexual molestation, slavery, exploitation, risk of injury, diseases, and death. The study suggests a more responsive Child’s Rights Act in Nigeria for the protection of the rights and dignity of every child.","container-title":"Social Sciences","DOI":"10.3390/socsci13100512","ISSN":"2076-0760","issue":"10","language":"en","license":"http://creativecommons.org/licenses/by/3.0/","note":"publisher: Multidisciplinary Digital Publishing Institute","page":"512","source":"www.mdpi.com","title":"Child Labour Challenges and Security Implications in Selected Local Government Areas in Ondo State, Nigeria","volume":"13","author":[{"family":"Adewumi","given":"Samson"},{"family":"Bwowe","given":"Patrick"}],"issued":{"date-parts":[["2024",10]]}}}],"schema":"https://github.com/citation-style-language/schema/raw/master/csl-citation.json"}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[10]</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0430523C" w14:textId="351B7F34" w:rsidR="007C0CC5" w:rsidRDefault="007C0CC5" w:rsidP="007C0CC5">
      <w:pPr>
        <w:pStyle w:val="Heading4"/>
      </w:pPr>
      <w:r>
        <w:rPr>
          <w:rStyle w:val="Strong"/>
          <w:b/>
          <w:bCs/>
        </w:rPr>
        <w:t xml:space="preserve">Access to Educational Infrastructure </w:t>
      </w:r>
    </w:p>
    <w:p w14:paraId="7032D87C" w14:textId="2758D78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A big problem in Northern Nigeria, especially in rural areas, is that the education system isn't good enough. Many schools don't have the fundamental things that make a good learning environment, </w:t>
      </w:r>
      <w:r w:rsidRPr="00F23BD6">
        <w:rPr>
          <w:rFonts w:ascii="Times New Roman" w:eastAsia="Times New Roman" w:hAnsi="Times New Roman" w:cs="Times New Roman"/>
          <w:color w:val="EE0000"/>
          <w:sz w:val="24"/>
          <w:szCs w:val="24"/>
        </w:rPr>
        <w:t>such clean bathrooms</w:t>
      </w:r>
      <w:r w:rsidRPr="00EA6D97">
        <w:rPr>
          <w:rFonts w:ascii="Times New Roman" w:eastAsia="Times New Roman" w:hAnsi="Times New Roman" w:cs="Times New Roman"/>
          <w:sz w:val="24"/>
          <w:szCs w:val="24"/>
        </w:rPr>
        <w:t>, good classrooms, and enough teaching resources. These problems are considerably worse for girls because they face even more problems, like not having enough female teachers and schools that aren't safe. The lack of girls-only schools or safe ways to get to current schools makes the gender gap in education even worse. These problems with infrastructure not only keep girls from going to school, but they also make it more likely that girls will drop out once they are enrolled, which makes educational disparity even worse</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{"citationID":"7cYzhvKV","properties":{"formattedCitation":"[11]","plainCitation":"[11]","noteIndex":0},"citationItems":[{"id":6602,"uris":["http://zotero.org/users/16652950/items/EKJSP6JG"],"itemData":{"id":6602,"type":"article-journal","abstract":"The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[11]</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D714CD8" w14:textId="7AEBB7D7" w:rsidR="007C0CC5" w:rsidRDefault="007C0CC5" w:rsidP="007C0CC5">
      <w:pPr>
        <w:pStyle w:val="Heading4"/>
      </w:pPr>
      <w:r>
        <w:rPr>
          <w:rStyle w:val="Strong"/>
          <w:b/>
          <w:bCs/>
        </w:rPr>
        <w:t xml:space="preserve">Microeconomic Barriers </w:t>
      </w:r>
    </w:p>
    <w:p w14:paraId="3D19A0BB" w14:textId="27AD7664"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Microeconomic constraints are also a big reason why females in Northern Nigeria can't go to school. For families with poor incomes, the costs of going to school, such as tuition, uniforms, transportation, and learning materials, are sometimes too high. There have been attempts to offer scholarships and subsidies, but they are still not enough and not available to everyone. A lot of families don't know about these support programs or find them hard to use. Because of this, girls from poor families often can't take advantage of these chances. The cost of education for families is still a major barrier to making sure that girls in the area have equitable access to it</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{"citationID":"eiLo4WAH","properties":{"formattedCitation":"[12]","plainCitation":"[12]","noteIndex":0},"citationItems":[{"id":6605,"uris":["http://zotero.org/users/16652950/items/7Q6ABH48"],"itemData":{"id":6605,"type":"article-journal","abstract":"Since the 1950s, the Nigerian government has undertaken various reforms and assessments to improve educational planning and delivery. Schemes and legal frameworks, such as Alternative Schools, Universal Basic Education, the Open School Program and the Child Right Act, exemplify efforts to universalise elementary education in the country. Yet, up to 20 million children and youth in Nigeria are currently out of school. Utilising a critical literature review approach, validated by empirical data and correlation analysis, this paper assesses Millennium Development Goal 2 and Sustainable Development Goal 4 to identify the factors that make education inaccessible for children in Nigeria vis-à-vis the effectiveness of policies and government interventions. The critical literature review evaluates prior research and data to understand the systemic issues within Nigeria's educational framework. Through this approach, we identify patterns and relationships that underpin the educational crisis, highlighting both successes and persistent gaps. To quantify the relationships between variables, we employed correlation analysis. Our assessment shows a significant positive correlation between unemployment and the rate of out-of-school children in the country, indicating that favourable socio-economic conditions translate to improved access to education. Additionally, geopolitical disparities, insecurity and public spending on education collectively influence educational outcomes in Nigeria. We recommend a reimagining of the out-of-school children phenomenon by government agencies, non-governmental organisations and civil society to focus on household-level intervention policies that reflect local socio-economic conditions. This study proposes the initiation of a sovereign annual fiscal audit and expenditure tracker to monitor the flow of funds from patrons or the government to the proposed beneficiaries. Furthermore, we suggest a review of the Universal Basic Education Act of 2004 and recommend that schools are brought even closer to children in crisis-stricken areas. The findings underscore the pressing need of targeted, context-specific strategies to address the multifaceted barriers to education in Nigeria. Context and implications Rationale for this study: Comprehensive critical reviews on the issue of out-of-school children (OOSC) in Nigeria are scarce. With an alarming 20 million children not attending primary and secondary schools, a thorough scholarly evaluation of this pressing issue is urgently needed. Why the new findings matter: By highlighting key issues such as government commitment, household economy and insecurity as factors influencing OOSC rates, this study offers actionable recommendations to both the private and public sectors on how to effectively reduce the number of out-of-school children in line with the sustainable development goals (particularly, SDG4). Implications for policy makers, researchers and the general public: The findings of this study will assist policy makers (government bodies, schools and interested development partners) in developing strategies to tackle the issue of OOSC in Nigeria. It will help improve the design of policies and techniques to address the barriers to education access. Furthermore, it provides the foundation for future research and sensitises the general public to join hands in the advocacy for educational equity.","container-title":"Review of Education","DOI":"10.1002/rev3.70011","ISSN":"2049-6613","issue":"3","language":"en","license":"© 2024 The Author(s). Review of Education published by John Wiley &amp; Sons Ltd on behalf of British Educational Research Association.","note":"_eprint: https://bera-journals.onlinelibrary.wiley.com/doi/pdf/10.1002/rev3.70011","page":"e70011","source":"Wiley Online Library","title":"Assessing the phenomenon of out-of-school children in Nigeria: Issues, gaps and recommendations","title-short":"Assessing the phenomenon of out-of-school children in Nigeria","volume":"12","author":[{"family":"Nwoke","given":"Chikezirim"},{"family":"Oyiga","given":"Stanley"},{"family":"Cochrane","given":"Logan"}],"issued":{"date-parts":[["2024"]]}}}],"schema":"https://github.com/citation-style-language/schema/raw/master/csl-citation.json"}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[12]</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62D2E8F9" w14:textId="3FF8BE06" w:rsidR="007C0CC5" w:rsidRDefault="007C0CC5" w:rsidP="007C0CC5">
      <w:pPr>
        <w:pStyle w:val="Heading3"/>
      </w:pPr>
      <w:r>
        <w:rPr>
          <w:rStyle w:val="Strong"/>
          <w:b/>
          <w:bCs/>
        </w:rPr>
        <w:t xml:space="preserve">V. Review of Policy Barriers </w:t>
      </w:r>
    </w:p>
    <w:p w14:paraId="50408EB1" w14:textId="449EBD07" w:rsidR="007C0CC5" w:rsidRDefault="007C0CC5" w:rsidP="007C0CC5">
      <w:pPr>
        <w:pStyle w:val="Heading4"/>
      </w:pPr>
      <w:r>
        <w:rPr>
          <w:rStyle w:val="Strong"/>
          <w:b/>
          <w:bCs/>
        </w:rPr>
        <w:t xml:space="preserve">Policy and Legal Framework </w:t>
      </w:r>
    </w:p>
    <w:p w14:paraId="6970C312" w14:textId="3FA4EAE8"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The Nigerian government has made a number of rules to help everyone get an education. These include the National Policy on Education (NPE) and the Child Rights Act. These regulations </w:t>
      </w:r>
      <w:r w:rsidRPr="00EA6D97">
        <w:rPr>
          <w:rFonts w:ascii="Times New Roman" w:eastAsia="Times New Roman" w:hAnsi="Times New Roman" w:cs="Times New Roman"/>
          <w:sz w:val="24"/>
          <w:szCs w:val="24"/>
        </w:rPr>
        <w:lastRenderedPageBreak/>
        <w:t>stress that every kid has the right to an education, no matter what gender they are, and they call for girls to have the same access to school. But even with these laws, the policy situation in Northern Nigeria is still difficult. Cultural traditions and weak local enforcement often make these policies less effective. The policies are a good start for getting more girls to go to school, but they don't always work because of differences between regions and a lack of political will</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{"citationID":"WNJdmmQf","properties":{"formattedCitation":"[12]","plainCitation":"[12]","noteIndex":0},"citationItems":[{"id":6605,"uris":["http://zotero.org/users/16652950/items/7Q6ABH48"],"itemData":{"id":6605,"type":"article-journal","abstract":"Since the 1950s, the Nigerian government has undertaken various reforms and assessments to improve educational planning and delivery. Schemes and legal frameworks, such as Alternative Schools, Universal Basic Education, the Open School Program and the Child Right Act, exemplify efforts to universalise elementary education in the country. Yet, up to 20 million children and youth in Nigeria are currently out of school. Utilising a critical literature review approach, validated by empirical data and correlation analysis, this paper assesses Millennium Development Goal 2 and Sustainable Development Goal 4 to identify the factors that make education inaccessible for children in Nigeria vis-à-vis the effectiveness of policies and government interventions. The critical literature review evaluates prior research and data to understand the systemic issues within Nigeria's educational framework. Through this approach, we identify patterns and relationships that underpin the educational crisis, highlighting both successes and persistent gaps. To quantify the relationships between variables, we employed correlation analysis. Our assessment shows a significant positive correlation between unemployment and the rate of out-of-school children in the country, indicating that favourable socio-economic conditions translate to improved access to education. Additionally, geopolitical disparities, insecurity and public spending on education collectively influence educational outcomes in Nigeria. We recommend a reimagining of the out-of-school children phenomenon by government agencies, non-governmental organisations and civil society to focus on household-level intervention policies that reflect local socio-economic conditions. This study proposes the initiation of a sovereign annual fiscal audit and expenditure tracker to monitor the flow of funds from patrons or the government to the proposed beneficiaries. Furthermore, we suggest a review of the Universal Basic Education Act of 2004 and recommend that schools are brought even closer to children in crisis-stricken areas. The findings underscore the pressing need of targeted, context-specific strategies to address the multifaceted barriers to education in Nigeria. Context and implications Rationale for this study: Comprehensive critical reviews on the issue of out-of-school children (OOSC) in Nigeria are scarce. With an alarming 20 million children not attending primary and secondary schools, a thorough scholarly evaluation of this pressing issue is urgently needed. Why the new findings matter: By highlighting key issues such as government commitment, household economy and insecurity as factors influencing OOSC rates, this study offers actionable recommendations to both the private and public sectors on how to effectively reduce the number of out-of-school children in line with the sustainable development goals (particularly, SDG4). Implications for policy makers, researchers and the general public: The findings of this study will assist policy makers (government bodies, schools and interested development partners) in developing strategies to tackle the issue of OOSC in Nigeria. It will help improve the design of policies and techniques to address the barriers to education access. Furthermore, it provides the foundation for future research and sensitises the general public to join hands in the advocacy for educational equity.","container-title":"Review of Education","DOI":"10.1002/rev3.70011","ISSN":"2049-6613","issue":"3","language":"en","license":"© 2024 The Author(s). Review of Education published by John Wiley &amp; Sons Ltd on behalf of British Educational Research Association.","note":"_eprint: https://bera-journals.onlinelibrary.wiley.com/doi/pdf/10.1002/rev3.70011","page":"e70011","source":"Wiley Online Library","title":"Assessing the phenomenon of out-of-school children in Nigeria: Issues, gaps and recommendations","title-short":"Assessing the phenomenon of out-of-school children in Nigeria","volume":"12","author":[{"family":"Nwoke","given":"Chikezirim"},{"family":"Oyiga","given":"Stanley"},{"family":"Cochrane","given":"Logan"}],"issued":{"date-parts":[["2024"]]}}}],"schema":"https://github.com/citation-style-language/schema/raw/master/csl-citation.json"}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[12]</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5E5FBC4A" w14:textId="77777777" w:rsidR="00555889" w:rsidRDefault="00555889" w:rsidP="007C0CC5">
      <w:pPr>
        <w:pStyle w:val="Heading4"/>
        <w:rPr>
          <w:rStyle w:val="Strong"/>
          <w:b/>
          <w:bCs/>
        </w:rPr>
      </w:pPr>
    </w:p>
    <w:p w14:paraId="71C32B1B" w14:textId="34D4AF8E" w:rsidR="007C0CC5" w:rsidRDefault="007C0CC5" w:rsidP="007C0CC5">
      <w:pPr>
        <w:pStyle w:val="Heading4"/>
      </w:pPr>
      <w:r>
        <w:rPr>
          <w:rStyle w:val="Strong"/>
          <w:b/>
          <w:bCs/>
        </w:rPr>
        <w:t xml:space="preserve">Implementation Gaps </w:t>
      </w:r>
    </w:p>
    <w:p w14:paraId="42BA73CC" w14:textId="473C1FA3"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There is a big difference between what educational policies say they want to do and what they actually do. Even though the government is trying to enhance education, girls in Northern Nigeria still have poor enrollment and high dropout rates. This difference is due to poor governance, a lack of monitoring and accountability, and not enough local competence to carry out policies. Many times, local governments don't follow national education programs because they don't have the money, the situation is politically unstable, or they have other priorities. So, even while there may be policies on paper, they don't always lead to real changes that make it easier for girls to </w:t>
      </w:r>
      <w:r w:rsidRPr="00F23BD6">
        <w:rPr>
          <w:rFonts w:ascii="Times New Roman" w:eastAsia="Times New Roman" w:hAnsi="Times New Roman" w:cs="Times New Roman"/>
          <w:color w:val="EE0000"/>
          <w:sz w:val="24"/>
          <w:szCs w:val="24"/>
        </w:rPr>
        <w:t>get an education</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{"citationID":"7V9gL8yn","properties":{"formattedCitation":"[5]","plainCitation":"[5]","noteIndex":0},"citationItems":[{"id":6584,"uris":["http://zotero.org/users/16652950/items/CTV7QMFT"],"itemData":{"id":6584,"type":"article-journal","abstract":"Despite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[5]</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28D0BAB" w14:textId="7D9F8926" w:rsidR="007C0CC5" w:rsidRDefault="007C0CC5" w:rsidP="007C0CC5">
      <w:pPr>
        <w:pStyle w:val="Heading4"/>
      </w:pPr>
      <w:r>
        <w:rPr>
          <w:rStyle w:val="Strong"/>
          <w:b/>
          <w:bCs/>
        </w:rPr>
        <w:t xml:space="preserve">Inadequate Funding for Education </w:t>
      </w:r>
    </w:p>
    <w:p w14:paraId="69F0DD47" w14:textId="3DFD3F61"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A lack of funding for schools is a big problem that makes it hard for girls in Northern Nigeria to get an education. Even though education is a constitutional right, schools often don't have enough money, which leads to packed classrooms, inadequately prepared teachers, and not enough learning materials. Because there isn't enough money for education, many schools in Northern Nigeria don't have the resources to provide a good learning environment. These budget limits hurt females even more because they often have to deal with extra problems, such schools that aren't safe and not enough female teachers. The lack of financial support for education keeps gender inequality going and slows down economic growth</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{"citationID":"BHZmBfIo","properties":{"formattedCitation":"[13]","plainCitation":"[13]","noteIndex":0},"citationItems":[{"id":6609,"uris":["http://zotero.org/users/16652950/items/P8SMETPD"],"itemData":{"id":6609,"type":"article-journal","abstract":"In 2003, Nigeria domesticated the twin international instruments on child rights, the United Nations&amp;nbsp;Convention on the Rights of the Child&amp;nbsp;and the&amp;nbsp;African Charter on the Rights and Welfare of the Child. The resultant legislation from Nigeria’s domestication efforts is the Child’s Rights Act (CRA) of 2003. Despite the provisions of this legislation detailing the elaborate atlas of rights to be enjoyed by the Nigerian child, their fortune especially that of the girl-child, has not got better. At the base of the contentious forces militating against the rights of the girl-child are the cultural and religious norms that are intrinsically embedded in the dominant patriarchal system prevalent in Nigeria, especially in northern Nigeria. These forces are intricately united in marginalizing and precluding the girl-child from accessing education. Using the lens of radical feminism in combination with human-rights based approach, this paper interrogates the challenges faced by the girl-child in accessing education and the interventionist role played by UNICEF to salvage the situation. The paper finds that although the interventionist program of UNICEF, that is, the Nigeria girls’ education project (NGEP), contributed in re-enrolling over one million out-of-school girls back to school, a lot needs to be done to salvage the girl-child from the doldrums of structural alienation that deprives her of access to education.","container-title":"The Age of Human Rights Journal","DOI":"10.17561/tahrj.v18.6520","ISSN":"2340-9592","issue":"18","language":"en","license":"Copyright (c) 2022 Agaptus Nwozor","page":"285-309","source":"revistaselectronicas.ujaen.es","title":"Child's Rights and the Challenges of Educating the Girl-Child: Assessing the Contributions of UNICEF in Nigeria","title-short":"Child's Rights and the Challenges of Educating the Girl-Child","author":[{"family":"Nwozor","given":"Agaptus"},{"family":"Okhillu","given":"Blessing"}],"issued":{"date-parts":[["2022",6,23]]}}}],"schema":"https://github.com/citation-style-language/schema/raw/master/csl-citation.json"}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[13]</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676D63F" w14:textId="1A0BA743" w:rsidR="007C0CC5" w:rsidRDefault="007C0CC5" w:rsidP="007C0CC5">
      <w:pPr>
        <w:pStyle w:val="Heading4"/>
      </w:pPr>
      <w:r>
        <w:rPr>
          <w:rStyle w:val="Strong"/>
          <w:b/>
          <w:bCs/>
        </w:rPr>
        <w:t xml:space="preserve">International and NGO Interventions </w:t>
      </w:r>
    </w:p>
    <w:p w14:paraId="31796B07" w14:textId="42A3C10F"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International and non-governmental organizations (NGOs) have done a lot to help girls in Northern Nigeria go to school despite the problems they face. The UK government and other global organizations have assisted programs like the Girls' Education Project (GEP) get more girls into school and keep them there. To change how people think about girls' education, these outside efforts frequently focus on scholarships, school infrastructure, and campaigns to raise awareness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{"citationID":"7Pr5fXRz","properties":{"formattedCitation":"[14]","plainCitation":"[14]","noteIndex":0},"citationItems":[{"id":6611,"uris":["http://zotero.org/users/16652950/items/YFC7AVLK"],"itemData":{"id":6611,"type":"webpage","title":"Education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[14]</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These initiatives, on the other hand, may not be able to last because they often rely on outside funding and may not always fit with the needs and conditions of the area. These programs are helpful, but they also show how poorly national policies are being carried out.</w:t>
      </w:r>
    </w:p>
    <w:p w14:paraId="68C35480" w14:textId="4C1C8643" w:rsidR="007C0CC5" w:rsidRDefault="007C0CC5" w:rsidP="007C0CC5">
      <w:pPr>
        <w:pStyle w:val="Heading3"/>
      </w:pPr>
      <w:r>
        <w:rPr>
          <w:rStyle w:val="Strong"/>
          <w:b/>
          <w:bCs/>
        </w:rPr>
        <w:t xml:space="preserve">VI. Novel Synthesis and Emerging Themes </w:t>
      </w:r>
    </w:p>
    <w:p w14:paraId="288D970E" w14:textId="7D5798C5" w:rsidR="007C0CC5" w:rsidRDefault="007C0CC5" w:rsidP="007C0CC5">
      <w:pPr>
        <w:pStyle w:val="Heading4"/>
      </w:pPr>
      <w:r>
        <w:rPr>
          <w:rStyle w:val="Strong"/>
          <w:b/>
          <w:bCs/>
        </w:rPr>
        <w:t xml:space="preserve">Intersectionality of Barriers </w:t>
      </w:r>
    </w:p>
    <w:p w14:paraId="0D19B939" w14:textId="6EB415AE"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lastRenderedPageBreak/>
        <w:t>The obstacles to girls' education in Northern Nigeria are intricately linked, with cultural, economic, and policy elements intersecting and strengthening one another. Patriarchal norms that limit females' positions in society lead to economic choices that put boys' schooling first. At the same time, policymakers don't always do a good job of addressing these cultural and economic barriers. For example, government efforts that encourage gender equality in school don't work as well in areas where girls' educational chances are limited by cultural norms like early marriage and gendered economic responsibilities. This intersectionality means that fixing one problem, like making schools better, could not be enough if we don't also question deeply held cultural views and make sure families have enough money to live on</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{"citationID":"3KkRw7ZL","properties":{"formattedCitation":"[15]","plainCitation":"[15]","noteIndex":0},"citationItems":[{"id":6613,"uris":["http://zotero.org/users/16652950/items/6U52YWA5"],"itemData":{"id":6613,"type":"article-journal","abstract":"The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[15]</w:t>
      </w:r>
      <w:r w:rsidR="00555889">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 xml:space="preserve">. The table below shows the main cultural, economic, and policy hurdles that are making it hard for girls to get </w:t>
      </w:r>
      <w:r w:rsidRPr="00F23BD6">
        <w:rPr>
          <w:rFonts w:ascii="Times New Roman" w:eastAsia="Times New Roman" w:hAnsi="Times New Roman" w:cs="Times New Roman"/>
          <w:color w:val="EE0000"/>
          <w:sz w:val="24"/>
          <w:szCs w:val="24"/>
        </w:rPr>
        <w:t xml:space="preserve">an education </w:t>
      </w:r>
      <w:r w:rsidRPr="003A29CB">
        <w:rPr>
          <w:rFonts w:ascii="Times New Roman" w:eastAsia="Times New Roman" w:hAnsi="Times New Roman" w:cs="Times New Roman"/>
          <w:sz w:val="24"/>
          <w:szCs w:val="24"/>
        </w:rPr>
        <w:t>in Northern Nigeria. It also shows how each barrier affects girls' education and what steps should be taken to fix each one.</w:t>
      </w:r>
    </w:p>
    <w:p w14:paraId="67E616D0" w14:textId="77777777" w:rsidR="003A29CB" w:rsidRDefault="003A29CB" w:rsidP="00C36866">
      <w:pPr>
        <w:pStyle w:val="Title"/>
        <w:rPr>
          <w:rFonts w:ascii="Times New Roman" w:hAnsi="Times New Roman" w:cs="Times New Roman"/>
          <w:sz w:val="24"/>
          <w:szCs w:val="24"/>
        </w:rPr>
      </w:pPr>
    </w:p>
    <w:p w14:paraId="602787CB" w14:textId="77777777" w:rsidR="003A29CB" w:rsidRDefault="003A29CB" w:rsidP="00C36866">
      <w:pPr>
        <w:pStyle w:val="Title"/>
        <w:rPr>
          <w:rFonts w:ascii="Times New Roman" w:hAnsi="Times New Roman" w:cs="Times New Roman"/>
          <w:sz w:val="24"/>
          <w:szCs w:val="24"/>
        </w:rPr>
      </w:pPr>
    </w:p>
    <w:p w14:paraId="6966F2A8" w14:textId="01060CD9" w:rsidR="00C36866" w:rsidRPr="00C36866" w:rsidRDefault="00C36866" w:rsidP="00C36866">
      <w:pPr>
        <w:pStyle w:val="Title"/>
        <w:rPr>
          <w:rFonts w:ascii="Times New Roman" w:hAnsi="Times New Roman" w:cs="Times New Roman"/>
          <w:sz w:val="24"/>
          <w:szCs w:val="24"/>
        </w:rPr>
      </w:pPr>
      <w:r w:rsidRPr="00C36866">
        <w:rPr>
          <w:rFonts w:ascii="Times New Roman" w:hAnsi="Times New Roman" w:cs="Times New Roman"/>
          <w:sz w:val="24"/>
          <w:szCs w:val="24"/>
        </w:rPr>
        <w:t>Novel Synthesis and Emerging Themes - Table of Barriers</w:t>
      </w:r>
    </w:p>
    <w:tbl>
      <w:tblPr>
        <w:tblW w:w="0" w:type="auto"/>
        <w:tblLook w:val="04A0" w:firstRow="1" w:lastRow="0" w:firstColumn="1" w:lastColumn="0" w:noHBand="0" w:noVBand="1"/>
      </w:tblPr>
      <w:tblGrid>
        <w:gridCol w:w="2160"/>
        <w:gridCol w:w="2160"/>
        <w:gridCol w:w="2160"/>
        <w:gridCol w:w="2160"/>
      </w:tblGrid>
      <w:tr w:rsidR="00C36866" w14:paraId="3827598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D77FEA9" w14:textId="77777777" w:rsidR="00C36866" w:rsidRDefault="00C36866">
            <w:r>
              <w:rPr>
                <w:sz w:val="20"/>
              </w:rPr>
              <w:t>Barrier Type</w:t>
            </w:r>
          </w:p>
        </w:tc>
        <w:tc>
          <w:tcPr>
            <w:tcW w:w="2160" w:type="dxa"/>
            <w:tcBorders>
              <w:top w:val="single" w:sz="4" w:space="0" w:color="auto"/>
              <w:left w:val="single" w:sz="4" w:space="0" w:color="auto"/>
              <w:bottom w:val="single" w:sz="4" w:space="0" w:color="auto"/>
              <w:right w:val="single" w:sz="4" w:space="0" w:color="auto"/>
            </w:tcBorders>
            <w:hideMark/>
          </w:tcPr>
          <w:p w14:paraId="6F7154E3" w14:textId="77777777" w:rsidR="00C36866" w:rsidRDefault="00C36866">
            <w:r>
              <w:rPr>
                <w:sz w:val="20"/>
              </w:rPr>
              <w:t>Description</w:t>
            </w:r>
          </w:p>
        </w:tc>
        <w:tc>
          <w:tcPr>
            <w:tcW w:w="2160" w:type="dxa"/>
            <w:tcBorders>
              <w:top w:val="single" w:sz="4" w:space="0" w:color="auto"/>
              <w:left w:val="single" w:sz="4" w:space="0" w:color="auto"/>
              <w:bottom w:val="single" w:sz="4" w:space="0" w:color="auto"/>
              <w:right w:val="single" w:sz="4" w:space="0" w:color="auto"/>
            </w:tcBorders>
            <w:hideMark/>
          </w:tcPr>
          <w:p w14:paraId="69D26AD8" w14:textId="77777777" w:rsidR="00C36866" w:rsidRDefault="00C36866">
            <w:r>
              <w:rPr>
                <w:sz w:val="20"/>
              </w:rPr>
              <w:t>Impact on Girls' Education</w:t>
            </w:r>
          </w:p>
        </w:tc>
        <w:tc>
          <w:tcPr>
            <w:tcW w:w="2160" w:type="dxa"/>
            <w:tcBorders>
              <w:top w:val="single" w:sz="4" w:space="0" w:color="auto"/>
              <w:left w:val="single" w:sz="4" w:space="0" w:color="auto"/>
              <w:bottom w:val="single" w:sz="4" w:space="0" w:color="auto"/>
              <w:right w:val="single" w:sz="4" w:space="0" w:color="auto"/>
            </w:tcBorders>
            <w:hideMark/>
          </w:tcPr>
          <w:p w14:paraId="4859CD57" w14:textId="77777777" w:rsidR="00C36866" w:rsidRDefault="00C36866">
            <w:r>
              <w:rPr>
                <w:sz w:val="20"/>
              </w:rPr>
              <w:t>Recommended Intervention</w:t>
            </w:r>
          </w:p>
        </w:tc>
      </w:tr>
      <w:tr w:rsidR="00C36866" w14:paraId="01981132"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58A23821" w14:textId="77777777" w:rsidR="00C36866" w:rsidRDefault="00C36866">
            <w:r>
              <w:rPr>
                <w:sz w:val="20"/>
              </w:rPr>
              <w:t>Cultural Barriers</w:t>
            </w:r>
          </w:p>
        </w:tc>
        <w:tc>
          <w:tcPr>
            <w:tcW w:w="2160" w:type="dxa"/>
            <w:tcBorders>
              <w:top w:val="single" w:sz="4" w:space="0" w:color="auto"/>
              <w:left w:val="single" w:sz="4" w:space="0" w:color="auto"/>
              <w:bottom w:val="single" w:sz="4" w:space="0" w:color="auto"/>
              <w:right w:val="single" w:sz="4" w:space="0" w:color="auto"/>
            </w:tcBorders>
            <w:hideMark/>
          </w:tcPr>
          <w:p w14:paraId="62502AA5" w14:textId="77777777" w:rsidR="00C36866" w:rsidRDefault="00C36866">
            <w:r>
              <w:rPr>
                <w:sz w:val="20"/>
              </w:rPr>
              <w:t>Patriarchal norms, early marriage, religious interpretations restricting girls’ education.</w:t>
            </w:r>
          </w:p>
        </w:tc>
        <w:tc>
          <w:tcPr>
            <w:tcW w:w="2160" w:type="dxa"/>
            <w:tcBorders>
              <w:top w:val="single" w:sz="4" w:space="0" w:color="auto"/>
              <w:left w:val="single" w:sz="4" w:space="0" w:color="auto"/>
              <w:bottom w:val="single" w:sz="4" w:space="0" w:color="auto"/>
              <w:right w:val="single" w:sz="4" w:space="0" w:color="auto"/>
            </w:tcBorders>
            <w:hideMark/>
          </w:tcPr>
          <w:p w14:paraId="3880E1EB" w14:textId="77777777" w:rsidR="00C36866" w:rsidRDefault="00C36866">
            <w:r>
              <w:rPr>
                <w:sz w:val="20"/>
              </w:rPr>
              <w:t>Limited access to education, high dropout rates, early marriages.</w:t>
            </w:r>
          </w:p>
        </w:tc>
        <w:tc>
          <w:tcPr>
            <w:tcW w:w="2160" w:type="dxa"/>
            <w:tcBorders>
              <w:top w:val="single" w:sz="4" w:space="0" w:color="auto"/>
              <w:left w:val="single" w:sz="4" w:space="0" w:color="auto"/>
              <w:bottom w:val="single" w:sz="4" w:space="0" w:color="auto"/>
              <w:right w:val="single" w:sz="4" w:space="0" w:color="auto"/>
            </w:tcBorders>
            <w:hideMark/>
          </w:tcPr>
          <w:p w14:paraId="4367D661" w14:textId="5D4A5265" w:rsidR="00C36866" w:rsidRDefault="00C36866">
            <w:r>
              <w:rPr>
                <w:sz w:val="20"/>
              </w:rPr>
              <w:t>Gender-sensitive educational programs, community engagement, religious leader involvement.</w:t>
            </w:r>
            <w:r w:rsidR="00555889">
              <w:rPr>
                <w:sz w:val="20"/>
              </w:rPr>
              <w:fldChar w:fldCharType="begin"/>
            </w:r>
            <w:r w:rsidR="00555889">
              <w:rPr>
                <w:sz w:val="20"/>
              </w:rPr>
              <w:instrText xml:space="preserve"> ADDIN ZOTERO_ITEM CSL_CITATION {"citationID":"9JP8Tp1J","properties":{"formattedCitation":"[16]","plainCitation":"[16]","noteIndex":0},"citationItems":[{"id":6615,"uris":["http://zotero.org/users/16652950/items/RISF4989"],"itemData":{"id":6615,"type":"article-journal","abstract":"Zambia’s education sector faces significant challenges, particularly for female students who are affected by poverty, cultural attitudes, and early marriage. Despite efforts to improve educational access, many girls struggle with enrollment and academic performance. This study aimed to analyze the effects of early marriages on the academic performance of marginalized girls in Secondary Schools in selected secondary schools in the Central Province of Zambia. Adopting a phenomenological approach, the study conducted focus group discussions and interviews with key stakeholders, including marginalized girls, out-of-school girls, school staff, and community leaders. Thematic analysis of data from structured field notes and NVivo software identified six themes including direct costs, inadequate parental support, restrictive gender norms, inclusivity, improving child safety, and dissolving early marriages. The findings indicated that sponsorship initiatives help reduce dropout rates, increase access to education for girls, and improve child safety in schools and communities. Nonetheless, challenges such as poverty, cultural attitudes, inadequate parental support, early marriage, and restrictive gender norms are prevalent. The intricate interplay of poverty, socio-cultural norms, and enduring gender inequalities poses a significant barrier to educational attainment for marginalized girls. Financial constraints and poverty forces families to prioritize survival over education, leaving girls susceptible to early marriage, school dropout, and risky behaviors as coping mechanisms. In conclusion, early marriage greatly harms the education of marginalized girls by making existing problems worse and putting them at greater risk. Solving this issue needs a full plan that lowers school costs, involves the community, keeps girls safe, supports gender equality in schools, and applies laws that stop early marriage.","container-title":"BMC Public Health","DOI":"10.1186/s12889-025-24089-x","ISSN":"1471-2458","issue":"1","journalAbbreviation":"BMC Public Health","page":"2815","source":"BioMed Central","title":"The effects of early marriages on academic performance of marginalized girls in secondary schools of central province in Zambia","volume":"25","author":[{"family":"Sharper","given":"Sikota"},{"family":"Evans","given":"Chikumbe Sankwa"},{"family":"Mwiya","given":"Mufalali Simasiku"},{"family":"Bowa","given":"Mwila"},{"family":"Mutengo","given":"Enock"},{"family":"University","given":"Kwame Nkrumah"}],"issued":{"date-parts":[["2025",8,16]]}}}],"schema":"https://github.com/citation-style-language/schema/raw/master/csl-citation.json"} </w:instrText>
            </w:r>
            <w:r w:rsidR="00555889">
              <w:rPr>
                <w:sz w:val="20"/>
              </w:rPr>
              <w:fldChar w:fldCharType="separate"/>
            </w:r>
            <w:r w:rsidR="00555889" w:rsidRPr="00555889">
              <w:rPr>
                <w:rFonts w:ascii="Calibri" w:hAnsi="Calibri" w:cs="Calibri"/>
                <w:sz w:val="20"/>
              </w:rPr>
              <w:t>[16]</w:t>
            </w:r>
            <w:r w:rsidR="00555889">
              <w:rPr>
                <w:sz w:val="20"/>
              </w:rPr>
              <w:fldChar w:fldCharType="end"/>
            </w:r>
          </w:p>
        </w:tc>
      </w:tr>
      <w:tr w:rsidR="00C36866" w14:paraId="127B25A1"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1D8695B" w14:textId="77777777" w:rsidR="00C36866" w:rsidRDefault="00C36866">
            <w:r>
              <w:rPr>
                <w:sz w:val="20"/>
              </w:rPr>
              <w:t>Economic Barriers</w:t>
            </w:r>
          </w:p>
        </w:tc>
        <w:tc>
          <w:tcPr>
            <w:tcW w:w="2160" w:type="dxa"/>
            <w:tcBorders>
              <w:top w:val="single" w:sz="4" w:space="0" w:color="auto"/>
              <w:left w:val="single" w:sz="4" w:space="0" w:color="auto"/>
              <w:bottom w:val="single" w:sz="4" w:space="0" w:color="auto"/>
              <w:right w:val="single" w:sz="4" w:space="0" w:color="auto"/>
            </w:tcBorders>
            <w:hideMark/>
          </w:tcPr>
          <w:p w14:paraId="264E98C2" w14:textId="77777777" w:rsidR="00C36866" w:rsidRDefault="00C36866">
            <w:r>
              <w:rPr>
                <w:sz w:val="20"/>
              </w:rPr>
              <w:t>Poverty, child labor, opportunity costs of girls' education.</w:t>
            </w:r>
          </w:p>
        </w:tc>
        <w:tc>
          <w:tcPr>
            <w:tcW w:w="2160" w:type="dxa"/>
            <w:tcBorders>
              <w:top w:val="single" w:sz="4" w:space="0" w:color="auto"/>
              <w:left w:val="single" w:sz="4" w:space="0" w:color="auto"/>
              <w:bottom w:val="single" w:sz="4" w:space="0" w:color="auto"/>
              <w:right w:val="single" w:sz="4" w:space="0" w:color="auto"/>
            </w:tcBorders>
            <w:hideMark/>
          </w:tcPr>
          <w:p w14:paraId="30472178" w14:textId="77777777" w:rsidR="00C36866" w:rsidRDefault="00C36866">
            <w:r>
              <w:rPr>
                <w:sz w:val="20"/>
              </w:rPr>
              <w:t>Decreased enrollment, girls pulled out for economic reasons.</w:t>
            </w:r>
          </w:p>
        </w:tc>
        <w:tc>
          <w:tcPr>
            <w:tcW w:w="2160" w:type="dxa"/>
            <w:tcBorders>
              <w:top w:val="single" w:sz="4" w:space="0" w:color="auto"/>
              <w:left w:val="single" w:sz="4" w:space="0" w:color="auto"/>
              <w:bottom w:val="single" w:sz="4" w:space="0" w:color="auto"/>
              <w:right w:val="single" w:sz="4" w:space="0" w:color="auto"/>
            </w:tcBorders>
            <w:hideMark/>
          </w:tcPr>
          <w:p w14:paraId="33DBCE03" w14:textId="0B3659D8" w:rsidR="00C36866" w:rsidRDefault="00C36866">
            <w:r>
              <w:rPr>
                <w:sz w:val="20"/>
              </w:rPr>
              <w:t>Financial incentives for families, microfinancing, scholarships for girls, conditional cash transfers.</w:t>
            </w:r>
            <w:r w:rsidR="00555889">
              <w:rPr>
                <w:sz w:val="20"/>
              </w:rPr>
              <w:fldChar w:fldCharType="begin"/>
            </w:r>
            <w:r w:rsidR="00555889">
              <w:rPr>
                <w:sz w:val="20"/>
              </w:rPr>
              <w:instrText xml:space="preserve"> ADDIN ZOTERO_ITEM CSL_CITATION {"citationID":"3zEHzVGc","properties":{"formattedCitation":"[17]","plainCitation":"[17]","noteIndex":0},"citationItems":[{"id":6618,"uris":["http://zotero.org/users/16652950/items/AWI8TDPU"],"itemData":{"id":6618,"type":"chapter","abstract":"Two important recent trends in most developing countries are the rise in female labor force participation and the closing of gender gaps in school enrollment. This article begins by exploring the causes of the increases in female education, which include greater job availability and policy interventions that have promoted girls’ education. The article then explores the causes of increased female employment, which include a sectoral shift from “brawn-based” industries to services, as well as policies that have increased girls’ education. The article also discusses the effects of these increases in female education and labor supply, particularly for the well-being of women.","container-title":"The Oxford Handbook of Women and the Economy","ISBN":"978-0-19-062896-3","note":"DOI: 10.1093/oxfordhb/9780190628963.013.10","page":"0","publisher":"Oxford University Press","source":"Silverchair","title":"The Causes and Consequences of Increased Female Education and Labor Force Participation in Developing Countries","URL":"https://doi.org/10.1093/oxfordhb/9780190628963.013.10","author":[{"family":"Heath","given":"Rachel"},{"family":"Jayachandran","given":"Seema"}],"editor":[{"family":"Averett","given":"Susan L."},{"family":"Argys","given":"Laura M."},{"family":"Hoffman","given":"Saul D."}],"accessed":{"date-parts":[["2025",8,17]]},"issued":{"date-parts":[["2018",7,26]]}}}],"schema":"https://github.com/citation-style-language/schema/raw/master/csl-citation.json"} </w:instrText>
            </w:r>
            <w:r w:rsidR="00555889">
              <w:rPr>
                <w:sz w:val="20"/>
              </w:rPr>
              <w:fldChar w:fldCharType="separate"/>
            </w:r>
            <w:r w:rsidR="00555889" w:rsidRPr="00555889">
              <w:rPr>
                <w:rFonts w:ascii="Calibri" w:hAnsi="Calibri" w:cs="Calibri"/>
                <w:sz w:val="20"/>
              </w:rPr>
              <w:t>[17]</w:t>
            </w:r>
            <w:r w:rsidR="00555889">
              <w:rPr>
                <w:sz w:val="20"/>
              </w:rPr>
              <w:fldChar w:fldCharType="end"/>
            </w:r>
          </w:p>
        </w:tc>
      </w:tr>
      <w:tr w:rsidR="00C36866" w14:paraId="41277BF9"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195F517B" w14:textId="77777777" w:rsidR="00C36866" w:rsidRDefault="00C36866">
            <w:r>
              <w:rPr>
                <w:sz w:val="20"/>
              </w:rPr>
              <w:t>Policy Barriers</w:t>
            </w:r>
          </w:p>
        </w:tc>
        <w:tc>
          <w:tcPr>
            <w:tcW w:w="2160" w:type="dxa"/>
            <w:tcBorders>
              <w:top w:val="single" w:sz="4" w:space="0" w:color="auto"/>
              <w:left w:val="single" w:sz="4" w:space="0" w:color="auto"/>
              <w:bottom w:val="single" w:sz="4" w:space="0" w:color="auto"/>
              <w:right w:val="single" w:sz="4" w:space="0" w:color="auto"/>
            </w:tcBorders>
            <w:hideMark/>
          </w:tcPr>
          <w:p w14:paraId="78C593CD" w14:textId="77777777" w:rsidR="00C36866" w:rsidRDefault="00C36866">
            <w:r>
              <w:rPr>
                <w:sz w:val="20"/>
              </w:rPr>
              <w:t>Inadequate implementation of education policies, insufficient government funding, weak enforcement.</w:t>
            </w:r>
          </w:p>
        </w:tc>
        <w:tc>
          <w:tcPr>
            <w:tcW w:w="2160" w:type="dxa"/>
            <w:tcBorders>
              <w:top w:val="single" w:sz="4" w:space="0" w:color="auto"/>
              <w:left w:val="single" w:sz="4" w:space="0" w:color="auto"/>
              <w:bottom w:val="single" w:sz="4" w:space="0" w:color="auto"/>
              <w:right w:val="single" w:sz="4" w:space="0" w:color="auto"/>
            </w:tcBorders>
            <w:hideMark/>
          </w:tcPr>
          <w:p w14:paraId="4EC4218C" w14:textId="77777777" w:rsidR="00C36866" w:rsidRDefault="00C36866">
            <w:r>
              <w:rPr>
                <w:sz w:val="20"/>
              </w:rPr>
              <w:t>Limited school infrastructure, unequal access to education.</w:t>
            </w:r>
          </w:p>
        </w:tc>
        <w:tc>
          <w:tcPr>
            <w:tcW w:w="2160" w:type="dxa"/>
            <w:tcBorders>
              <w:top w:val="single" w:sz="4" w:space="0" w:color="auto"/>
              <w:left w:val="single" w:sz="4" w:space="0" w:color="auto"/>
              <w:bottom w:val="single" w:sz="4" w:space="0" w:color="auto"/>
              <w:right w:val="single" w:sz="4" w:space="0" w:color="auto"/>
            </w:tcBorders>
            <w:hideMark/>
          </w:tcPr>
          <w:p w14:paraId="5547DE49" w14:textId="5D826B95" w:rsidR="00C36866" w:rsidRDefault="00C36866">
            <w:r>
              <w:rPr>
                <w:sz w:val="20"/>
              </w:rPr>
              <w:t>Increased government investment in education, stronger enforcement of existing laws, local capacity building</w:t>
            </w:r>
            <w:r w:rsidR="00555889">
              <w:rPr>
                <w:sz w:val="20"/>
              </w:rPr>
              <w:fldChar w:fldCharType="begin"/>
            </w:r>
            <w:r w:rsidR="00555889">
              <w:rPr>
                <w:sz w:val="20"/>
              </w:rPr>
              <w:instrText xml:space="preserve"> ADDIN ZOTERO_ITEM CSL_CITATION {"citationID":"RHJJTYv2","properties":{"formattedCitation":"[18]","plainCitation":"[18]","noteIndex":0},"citationItems":[{"id":6621,"uris":["http://zotero.org/users/16652950/items/4MBGFAA5"],"itemData":{"id":6621,"type":"article-journal","abstract":"While educational policy research in Africa in general and Liberia in particular has seemingly concentrated on policy challenges and remedies, this paper explores policy barriers and failures. From a policy analysis perspective, it attempts to explain what has deterred Liberia’s education policies from the effective realisation of equitable access to quality and relevant education, and lifelong learning as policy objectives that underpin the country’s educational system. To analyse the educational policy barriers and failures, 25 policy documents were reviewed, 125 respondents surveyed using a questionnaire, and 10 key informants interviewed. Findings showed that the country faces social, economic, political, institutional, environmental, and learning and innovation barriers. It also demonstrated that the policy failures include inequitable access to education, low academic achievement, early leaving, low staff capacity, inappropriate skills development, weak parental participation, fewer lifelong learning opportunities, and over centralised governance. The researchers recommend that the Liberian government increases investment in education and leverages on technology to promote greater equitable access to quality and relevant education and lifelong learning.","container-title":"World Journal of Advanced Research and Reviews","DOI":"10.30574/wjarr.2024.23.1.2009","ISSN":"2581-9615","issue":"1","language":"en","license":"Copyrights to World Journal of Advanced Research and Reviews","note":"Last Modified: 2024-07-11T14:49+05:30\npublisher: World Journal of Advanced Research and Reviews","page":"495-508","source":"wjarr.com","title":"Decoding barriers and failures in Liberia’s educational policy implementation","volume":"23","author":[{"family":"Yele","given":"Wehye Benjamin"},{"family":"Specioza","given":"Asiimwe"}],"issued":{"date-parts":[["2024"]]}}}],"schema":"https://github.com/citation-style-language/schema/raw/master/csl-citation.json"} </w:instrText>
            </w:r>
            <w:r w:rsidR="00555889">
              <w:rPr>
                <w:sz w:val="20"/>
              </w:rPr>
              <w:fldChar w:fldCharType="separate"/>
            </w:r>
            <w:r w:rsidR="00555889" w:rsidRPr="00555889">
              <w:rPr>
                <w:rFonts w:ascii="Calibri" w:hAnsi="Calibri" w:cs="Calibri"/>
                <w:sz w:val="20"/>
              </w:rPr>
              <w:t>[18]</w:t>
            </w:r>
            <w:r w:rsidR="00555889">
              <w:rPr>
                <w:sz w:val="20"/>
              </w:rPr>
              <w:fldChar w:fldCharType="end"/>
            </w:r>
            <w:r>
              <w:rPr>
                <w:sz w:val="20"/>
              </w:rPr>
              <w:t>.</w:t>
            </w:r>
          </w:p>
        </w:tc>
      </w:tr>
      <w:tr w:rsidR="00C36866" w14:paraId="35D51824"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2CBD70D" w14:textId="77777777" w:rsidR="00C36866" w:rsidRDefault="00C36866">
            <w:r>
              <w:rPr>
                <w:sz w:val="20"/>
              </w:rPr>
              <w:t>Technological Barriers</w:t>
            </w:r>
          </w:p>
        </w:tc>
        <w:tc>
          <w:tcPr>
            <w:tcW w:w="2160" w:type="dxa"/>
            <w:tcBorders>
              <w:top w:val="single" w:sz="4" w:space="0" w:color="auto"/>
              <w:left w:val="single" w:sz="4" w:space="0" w:color="auto"/>
              <w:bottom w:val="single" w:sz="4" w:space="0" w:color="auto"/>
              <w:right w:val="single" w:sz="4" w:space="0" w:color="auto"/>
            </w:tcBorders>
            <w:hideMark/>
          </w:tcPr>
          <w:p w14:paraId="0105CE2A" w14:textId="77777777" w:rsidR="00C36866" w:rsidRDefault="00C36866">
            <w:r>
              <w:rPr>
                <w:sz w:val="20"/>
              </w:rPr>
              <w:t>Limited access to technology and digital resources, especially in rural areas.</w:t>
            </w:r>
          </w:p>
        </w:tc>
        <w:tc>
          <w:tcPr>
            <w:tcW w:w="2160" w:type="dxa"/>
            <w:tcBorders>
              <w:top w:val="single" w:sz="4" w:space="0" w:color="auto"/>
              <w:left w:val="single" w:sz="4" w:space="0" w:color="auto"/>
              <w:bottom w:val="single" w:sz="4" w:space="0" w:color="auto"/>
              <w:right w:val="single" w:sz="4" w:space="0" w:color="auto"/>
            </w:tcBorders>
            <w:hideMark/>
          </w:tcPr>
          <w:p w14:paraId="56C2DCD3" w14:textId="77777777" w:rsidR="00C36866" w:rsidRDefault="00C36866">
            <w:r>
              <w:rPr>
                <w:sz w:val="20"/>
              </w:rPr>
              <w:t>Lack of access to modern learning tools, especially for remote areas.</w:t>
            </w:r>
          </w:p>
        </w:tc>
        <w:tc>
          <w:tcPr>
            <w:tcW w:w="2160" w:type="dxa"/>
            <w:tcBorders>
              <w:top w:val="single" w:sz="4" w:space="0" w:color="auto"/>
              <w:left w:val="single" w:sz="4" w:space="0" w:color="auto"/>
              <w:bottom w:val="single" w:sz="4" w:space="0" w:color="auto"/>
              <w:right w:val="single" w:sz="4" w:space="0" w:color="auto"/>
            </w:tcBorders>
            <w:hideMark/>
          </w:tcPr>
          <w:p w14:paraId="0C9E7402" w14:textId="54882E77" w:rsidR="00C36866" w:rsidRDefault="00C36866">
            <w:r>
              <w:rPr>
                <w:sz w:val="20"/>
              </w:rPr>
              <w:t>Expand access to digital learning, virtual classrooms, mobile education platforms.</w:t>
            </w:r>
            <w:r w:rsidR="00555889">
              <w:rPr>
                <w:sz w:val="20"/>
              </w:rPr>
              <w:fldChar w:fldCharType="begin"/>
            </w:r>
            <w:r w:rsidR="00555889">
              <w:rPr>
                <w:sz w:val="20"/>
              </w:rPr>
              <w:instrText xml:space="preserve"> ADDIN ZOTERO_ITEM CSL_CITATION {"citationID":"LU5zslWf","properties":{"formattedCitation":"[19]","plainCitation":"[19]","noteIndex":0},"citationItems":[{"id":1340,"uris":["http://zotero.org/users/16652950/items/M3CAX2JR"],"itemData":{"id":1340,"type":"article-journal","abstract":"Regular hospital visits can be expensive, particularly in rural areas, due to travel costs. In the era of the Covid-19 Pandemic, where physical interaction becomes risky, people prefer telemedicine. Fortunately, medical visits can be reduced when telemedicine services are used through video conferencing or other virtual technologies. Thus, telemedicine saves both the patient's and the health care provider time and the cost of the treatment. Furthermore, due to its fast and advantageous characteristics, it can streamline the workflow of hospitals and clinics. This disruptive technology would make it easier to monitor discharged patients and manage their recovery. As a result, it is sufficient to state that telemedicine can create a win-win situation. This paper aims to explore the significant capabilities, features with treatment workflow, and barriers to the adoption of telemedicine in Healthcare. The paper identifies seventeen significant applications of telemedicine in Healthcare. Telemedicine is described as a medical practitioner to diagnose and treat patients in a remote area. Using health apps for scheduled follow-up visits makes doctors and patients more effective and improves the probability of follow-up, reducing missing appointments and optimising patient outcomes. Patients should have an accurate medical history and show the doctor any prominent rashes, bruises, or other signs that need attention through the excellent quality audio-video system. Further, practitioners need file management and a payment gateway system. Telemedicine technologies allow patients and doctors both to review the treatment process. However, this technology supplements physical consultation and is in no way a substitute for a physical consultation. Today this technology is a safe choice for patients who cannot go to the doctor or sit at home, especially during a pandemic.","container-title":"Sensors International","DOI":"10.1016/j.sintl.2021.100117","ISSN":"2666-3511","journalAbbreviation":"Sens Int","note":"PMID: 34806053\nPMCID: PMC8590973","page":"100117","source":"PubMed Central","title":"Telemedicine for healthcare: Capabilities, features, barriers, and applications","title-short":"Telemedicine for healthcare","volume":"2","author":[{"family":"Haleem","given":"Abid"},{"family":"Javaid","given":"Mohd"},{"family":"Singh","given":"Ravi Pratap"},{"family":"Suman","given":"Rajiv"}],"issued":{"date-parts":[["2021"]]}}}],"schema":"https://github.com/citation-style-language/schema/raw/master/csl-citation.json"} </w:instrText>
            </w:r>
            <w:r w:rsidR="00555889">
              <w:rPr>
                <w:sz w:val="20"/>
              </w:rPr>
              <w:fldChar w:fldCharType="separate"/>
            </w:r>
            <w:r w:rsidR="00555889" w:rsidRPr="00555889">
              <w:rPr>
                <w:rFonts w:ascii="Calibri" w:hAnsi="Calibri" w:cs="Calibri"/>
                <w:sz w:val="20"/>
              </w:rPr>
              <w:t>[19]</w:t>
            </w:r>
            <w:r w:rsidR="00555889">
              <w:rPr>
                <w:sz w:val="20"/>
              </w:rPr>
              <w:fldChar w:fldCharType="end"/>
            </w:r>
          </w:p>
        </w:tc>
      </w:tr>
      <w:tr w:rsidR="00C36866" w14:paraId="014C953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B0BE562" w14:textId="77777777" w:rsidR="00C36866" w:rsidRDefault="00C36866">
            <w:r>
              <w:rPr>
                <w:sz w:val="20"/>
              </w:rPr>
              <w:t>Intersectionality</w:t>
            </w:r>
          </w:p>
        </w:tc>
        <w:tc>
          <w:tcPr>
            <w:tcW w:w="2160" w:type="dxa"/>
            <w:tcBorders>
              <w:top w:val="single" w:sz="4" w:space="0" w:color="auto"/>
              <w:left w:val="single" w:sz="4" w:space="0" w:color="auto"/>
              <w:bottom w:val="single" w:sz="4" w:space="0" w:color="auto"/>
              <w:right w:val="single" w:sz="4" w:space="0" w:color="auto"/>
            </w:tcBorders>
            <w:hideMark/>
          </w:tcPr>
          <w:p w14:paraId="226BC54F" w14:textId="77777777" w:rsidR="00C36866" w:rsidRDefault="00C36866">
            <w:r>
              <w:rPr>
                <w:sz w:val="20"/>
              </w:rPr>
              <w:t xml:space="preserve">How cultural, economic, and policy barriers overlap, </w:t>
            </w:r>
            <w:r>
              <w:rPr>
                <w:sz w:val="20"/>
              </w:rPr>
              <w:lastRenderedPageBreak/>
              <w:t>exacerbating the exclusion of girls.</w:t>
            </w:r>
          </w:p>
        </w:tc>
        <w:tc>
          <w:tcPr>
            <w:tcW w:w="2160" w:type="dxa"/>
            <w:tcBorders>
              <w:top w:val="single" w:sz="4" w:space="0" w:color="auto"/>
              <w:left w:val="single" w:sz="4" w:space="0" w:color="auto"/>
              <w:bottom w:val="single" w:sz="4" w:space="0" w:color="auto"/>
              <w:right w:val="single" w:sz="4" w:space="0" w:color="auto"/>
            </w:tcBorders>
            <w:hideMark/>
          </w:tcPr>
          <w:p w14:paraId="1B7D1FF9" w14:textId="77777777" w:rsidR="00C36866" w:rsidRDefault="00C36866">
            <w:r>
              <w:rPr>
                <w:sz w:val="20"/>
              </w:rPr>
              <w:lastRenderedPageBreak/>
              <w:t>A reinforced cycle of exclusion, where one barrier fuels the others.</w:t>
            </w:r>
          </w:p>
        </w:tc>
        <w:tc>
          <w:tcPr>
            <w:tcW w:w="2160" w:type="dxa"/>
            <w:tcBorders>
              <w:top w:val="single" w:sz="4" w:space="0" w:color="auto"/>
              <w:left w:val="single" w:sz="4" w:space="0" w:color="auto"/>
              <w:bottom w:val="single" w:sz="4" w:space="0" w:color="auto"/>
              <w:right w:val="single" w:sz="4" w:space="0" w:color="auto"/>
            </w:tcBorders>
            <w:hideMark/>
          </w:tcPr>
          <w:p w14:paraId="2A4056BF" w14:textId="59C29287" w:rsidR="00C36866" w:rsidRDefault="00C36866">
            <w:r>
              <w:rPr>
                <w:sz w:val="20"/>
              </w:rPr>
              <w:t xml:space="preserve">Holistic policy reforms addressing multiple barriers </w:t>
            </w:r>
            <w:r>
              <w:rPr>
                <w:sz w:val="20"/>
              </w:rPr>
              <w:lastRenderedPageBreak/>
              <w:t>simultaneously, coordinated efforts across sectors.</w:t>
            </w:r>
            <w:r w:rsidR="00555889">
              <w:rPr>
                <w:sz w:val="20"/>
              </w:rPr>
              <w:fldChar w:fldCharType="begin"/>
            </w:r>
            <w:r w:rsidR="00555889">
              <w:rPr>
                <w:sz w:val="20"/>
              </w:rPr>
              <w:instrText xml:space="preserve"> ADDIN ZOTERO_ITEM CSL_CITATION {"citationID":"KonGnYFN","properties":{"formattedCitation":"[20]","plainCitation":"[20]","noteIndex":0},"citationItems":[{"id":6281,"uris":["http://zotero.org/users/16652950/items/DUQI3KHU"],"itemData":{"id":6281,"type":"article-journal","abstract":"Background\nAcross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555889">
              <w:rPr>
                <w:sz w:val="20"/>
              </w:rPr>
              <w:fldChar w:fldCharType="separate"/>
            </w:r>
            <w:r w:rsidR="00555889" w:rsidRPr="00555889">
              <w:rPr>
                <w:rFonts w:ascii="Calibri" w:hAnsi="Calibri" w:cs="Calibri"/>
                <w:sz w:val="20"/>
              </w:rPr>
              <w:t>[20]</w:t>
            </w:r>
            <w:r w:rsidR="00555889">
              <w:rPr>
                <w:sz w:val="20"/>
              </w:rPr>
              <w:fldChar w:fldCharType="end"/>
            </w:r>
          </w:p>
        </w:tc>
      </w:tr>
    </w:tbl>
    <w:p w14:paraId="2792D13D" w14:textId="42426120" w:rsidR="00C36866" w:rsidRDefault="00C36866" w:rsidP="00C36866">
      <w:pPr>
        <w:pStyle w:val="NormalWeb"/>
      </w:pPr>
      <w:r>
        <w:rPr>
          <w:rStyle w:val="Strong"/>
        </w:rPr>
        <w:lastRenderedPageBreak/>
        <w:t xml:space="preserve">Table 1: Interconnected Barriers to Girls' Education in Northern Nigeria. </w:t>
      </w:r>
      <w:r>
        <w:t>This table outlines the primary cultural, economic, and policy barriers contributing to the exclusion of girls from education in Northern Nigeria. It highlights how these barriers overlap and reinforce each other, creating a cycle of educational deprivation. Additionally, the table provides a comprehensive overview of the impact of each barrier on girls' access to education and suggests targeted interventions to address these challenges effectively.</w:t>
      </w:r>
    </w:p>
    <w:p w14:paraId="2ED21E8C" w14:textId="0D828FDE" w:rsidR="007C0CC5" w:rsidRDefault="007C0CC5" w:rsidP="007C0CC5">
      <w:pPr>
        <w:pStyle w:val="Heading4"/>
      </w:pPr>
      <w:r>
        <w:rPr>
          <w:rStyle w:val="Strong"/>
          <w:b/>
          <w:bCs/>
        </w:rPr>
        <w:t xml:space="preserve">Regional and Ethnic Variations </w:t>
      </w:r>
    </w:p>
    <w:p w14:paraId="5FDD6BE7" w14:textId="747A592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In Nigeria, there are different things that make it hard for girls to go to school. The North-East and North-West are two northern areas that are more resistant to culture and have greater economic problems than the more urbanized South. Also, ethnic and religious distinctions make people see and do things differently when it comes to girls' education. Some groups are more open to change than others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{"citationID":"8FkslIDQ","properties":{"formattedCitation":"[21]","plainCitation":"[21]","noteIndex":0},"citationItems":[{"id":6623,"uris":["http://zotero.org/users/16652950/items/JWKINJ88"],"itemData":{"id":6623,"type":"article","abstract":"The aim of this paper is to consider approaches to understanding and evaluating gender equality in Nigeria educational system from the perspective of concerns for gender discrimination. This task has a number of facets and complexities, because ‘gender’ is not one simple set of relationships, and the notion of gender equality in education can be read in a number of different ways. The study reviewed extant literature and deductively explored distinctively the issues in gender equality in Nigeria educational system. This paper adopted the radical feminist theory and secondary source of data collection. It sought to place in proper perspective the Nigerian national gender policy as it affects women. The study revealed that literacy rate among young women and men age 15-24 years was 59.3 per cent and 70.9 per cent in 2016 respectively. Female enrolment in Nigerian Colleges of Education was 46.1, 47.3 and 46.4 per cent (2014/2015, 2015/2016, 2016/2017 academic session). The paper also found that enrolment in Nigerian universities was 43.1 and 56.9 per cent for Female and Male (2017).  The percentage of women lecturers in federal Colleges of education was 33.8 per cent for 2016/2017 academic sessions. The percentage of Female professors in Nigerian Universities was 15.43 per cent in 2017. It posited that a clear understanding of the issues raised may open new vistas for an enhanced role of the female gender in the socio-economic and educational development of Nigeria. It must be ensured that women who dropped out of school because of family responsibilities are provided with opportunity to complete their education. The integration of gender issues into all aspects of policy and planning and a mix of legislative change, advocacy and community mobilization is needed.","DOI":"10.2139/ssrn.3825028","event-place":"Rochester, NY","genre":"SSRN Scholarly Paper","language":"en","number":"3825028","publisher":"Social Science Research Network","publisher-place":"Rochester, NY","source":"papers.ssrn.com","title":"Gender Equality and Educational System in Nigeria","URL":"https://papers.ssrn.com/abstract=3825028","author":[{"family":"Enyioko (PhD)","given":"Newman"}],"accessed":{"date-parts":[["2025",8,17]]},"issued":{"date-parts":[["2021",4,12]]}}}],"schema":"https://github.com/citation-style-language/schema/raw/master/csl-citation.json"}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[21]</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4193307E" w14:textId="4C81703B" w:rsidR="007C0CC5" w:rsidRDefault="007C0CC5" w:rsidP="007C0CC5">
      <w:pPr>
        <w:pStyle w:val="Heading4"/>
      </w:pPr>
      <w:r>
        <w:rPr>
          <w:rStyle w:val="Strong"/>
          <w:b/>
          <w:bCs/>
        </w:rPr>
        <w:t xml:space="preserve">The Role of Technology and Innovation </w:t>
      </w:r>
    </w:p>
    <w:p w14:paraId="728A730A" w14:textId="53ED7DCF"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 xml:space="preserve">Technology is a promising way to get around the problems that females face when they try to go to school in Northern Nigeria. Digital platforms and mobile learning programs can help people in rural locations where there aren't many schools get </w:t>
      </w:r>
      <w:r w:rsidRPr="00F23BD6">
        <w:rPr>
          <w:rFonts w:ascii="Times New Roman" w:eastAsia="Times New Roman" w:hAnsi="Times New Roman" w:cs="Times New Roman"/>
          <w:color w:val="EE0000"/>
          <w:sz w:val="24"/>
          <w:szCs w:val="24"/>
        </w:rPr>
        <w:t>an education</w:t>
      </w:r>
      <w:r w:rsidRPr="003A29CB">
        <w:rPr>
          <w:rFonts w:ascii="Times New Roman" w:eastAsia="Times New Roman" w:hAnsi="Times New Roman" w:cs="Times New Roman"/>
          <w:sz w:val="24"/>
          <w:szCs w:val="24"/>
        </w:rPr>
        <w:t>. Innovations like virtual classrooms and online materials also provide students more choices about how to learn, which is especially helpful for girls who are limited by cultural and economic circumstances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{"citationID":"UVqLM2wF","properties":{"formattedCitation":"[11]","plainCitation":"[11]","noteIndex":0},"citationItems":[{"id":6602,"uris":["http://zotero.org/users/16652950/items/EKJSP6JG"],"itemData":{"id":6602,"type":"article-journal","abstract":"The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[11]</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 Figure 1 shows how these cultural, economic, and policy hurdles overlap to make the cycle of educational exclusion stronger. It also shows some ways to fix the problem.</w:t>
      </w:r>
    </w:p>
    <w:p w14:paraId="46B8252B" w14:textId="2F6937B2" w:rsidR="007C0CC5" w:rsidRDefault="0020370A" w:rsidP="007C0CC5">
      <w:pPr>
        <w:pStyle w:val="NormalWeb"/>
      </w:pPr>
      <w:r>
        <w:rPr>
          <w:noProof/>
        </w:rPr>
        <w:lastRenderedPageBreak/>
        <w:drawing>
          <wp:inline distT="0" distB="0" distL="0" distR="0" wp14:anchorId="1B8BE364" wp14:editId="43E17EA3">
            <wp:extent cx="5943600" cy="6266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_Child_Education_Barriers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6266815"/>
                    </a:xfrm>
                    <a:prstGeom prst="rect">
                      <a:avLst/>
                    </a:prstGeom>
                  </pic:spPr>
                </pic:pic>
              </a:graphicData>
            </a:graphic>
          </wp:inline>
        </w:drawing>
      </w:r>
    </w:p>
    <w:p w14:paraId="164F8FBB" w14:textId="77777777" w:rsidR="003A29CB" w:rsidRPr="003A29CB" w:rsidRDefault="0020370A" w:rsidP="003A29CB">
      <w:pPr>
        <w:rPr>
          <w:rFonts w:ascii="Times New Roman" w:eastAsia="Times New Roman" w:hAnsi="Times New Roman" w:cs="Times New Roman"/>
          <w:sz w:val="24"/>
          <w:szCs w:val="24"/>
        </w:rPr>
      </w:pPr>
      <w:r>
        <w:rPr>
          <w:rStyle w:val="Strong"/>
        </w:rPr>
        <w:t>Figure 1. Conceptual framework of interconnected barriers to girl-child education in Northern Nigeria.</w:t>
      </w:r>
      <w:r>
        <w:br/>
      </w:r>
      <w:r w:rsidR="003A29CB" w:rsidRPr="003A29CB">
        <w:rPr>
          <w:rFonts w:ascii="Times New Roman" w:eastAsia="Times New Roman" w:hAnsi="Times New Roman" w:cs="Times New Roman"/>
          <w:sz w:val="24"/>
          <w:szCs w:val="24"/>
        </w:rPr>
        <w:t xml:space="preserve">This figure shows how cultural, economic, and policy hurdles work together to keep girls from getting </w:t>
      </w:r>
      <w:r w:rsidR="003A29CB" w:rsidRPr="00F23BD6">
        <w:rPr>
          <w:rFonts w:ascii="Times New Roman" w:eastAsia="Times New Roman" w:hAnsi="Times New Roman" w:cs="Times New Roman"/>
          <w:color w:val="EE0000"/>
          <w:sz w:val="24"/>
          <w:szCs w:val="24"/>
        </w:rPr>
        <w:t>an education</w:t>
      </w:r>
      <w:r w:rsidR="003A29CB" w:rsidRPr="003A29CB">
        <w:rPr>
          <w:rFonts w:ascii="Times New Roman" w:eastAsia="Times New Roman" w:hAnsi="Times New Roman" w:cs="Times New Roman"/>
          <w:sz w:val="24"/>
          <w:szCs w:val="24"/>
        </w:rPr>
        <w:t>. The concept reveals how patriarchal attitudes, poverty, and poor policy execution all work together to keep gender inequity going. There are focused initiatives around the framework, such as community involvement, financial incentives, digital learning, and regulatory changes, that can assist break the cycle and provide females better chances to learn.</w:t>
      </w:r>
    </w:p>
    <w:p w14:paraId="769EA75B" w14:textId="77777777" w:rsidR="003A29CB" w:rsidRDefault="003A29CB" w:rsidP="003A29CB">
      <w:pPr>
        <w:pStyle w:val="NormalWeb"/>
        <w:rPr>
          <w:rStyle w:val="Strong"/>
        </w:rPr>
      </w:pPr>
    </w:p>
    <w:p w14:paraId="0DE1CB11" w14:textId="0549ADD6" w:rsidR="007C0CC5" w:rsidRPr="003A29CB" w:rsidRDefault="007C0CC5" w:rsidP="003A29CB">
      <w:pPr>
        <w:pStyle w:val="NormalWeb"/>
      </w:pPr>
      <w:r w:rsidRPr="003A29CB">
        <w:rPr>
          <w:rStyle w:val="Strong"/>
        </w:rPr>
        <w:lastRenderedPageBreak/>
        <w:t xml:space="preserve">VII. Policy Implications and Recommendations </w:t>
      </w:r>
    </w:p>
    <w:p w14:paraId="2A37F1C4" w14:textId="0F5ADC5B" w:rsidR="007C0CC5" w:rsidRDefault="007C0CC5" w:rsidP="007C0CC5">
      <w:pPr>
        <w:pStyle w:val="Heading4"/>
      </w:pPr>
      <w:r>
        <w:rPr>
          <w:rStyle w:val="Strong"/>
          <w:b/>
          <w:bCs/>
        </w:rPr>
        <w:t xml:space="preserve">Targeted Interventions </w:t>
      </w:r>
    </w:p>
    <w:p w14:paraId="613ED8B1" w14:textId="3D67E2AC"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Policy improvements should focus on specific actions that would help females in Northern Nigeria get over the problems they confront. Some of these are more gender-sensitive education programs that go against cultural conventions, giving families money to send their girls to school, and mobile education programs that can reach distant places. Localized solutions are necessary for success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{"citationID":"f89R0uBG","properties":{"formattedCitation":"[5]","plainCitation":"[5]","noteIndex":0},"citationItems":[{"id":6584,"uris":["http://zotero.org/users/16652950/items/CTV7QMFT"],"itemData":{"id":6584,"type":"article-journal","abstract":"Despite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[5]</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D16A3CC" w14:textId="2BC458F0" w:rsidR="007C0CC5" w:rsidRDefault="007C0CC5" w:rsidP="007C0CC5">
      <w:pPr>
        <w:pStyle w:val="Heading4"/>
      </w:pPr>
      <w:r>
        <w:rPr>
          <w:rStyle w:val="Strong"/>
          <w:b/>
          <w:bCs/>
        </w:rPr>
        <w:t xml:space="preserve">Engagement with Local Communities </w:t>
      </w:r>
    </w:p>
    <w:p w14:paraId="095FC635" w14:textId="10BC3241"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Getting local communities involved is important for influencing how people think about girls' education. Community leaders, religious leaders, and parents should all be involved in policy efforts to promote girls' education. By putting together awareness campaigns and community dialogue sessions, people would be able to better grasp the benefits of educating females and get rid of detrimental cultural practices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{"citationID":"uO7NP4Je","properties":{"formattedCitation":"[22]","plainCitation":"[22]","noteIndex":0},"citationItems":[{"id":6624,"uris":["http://zotero.org/users/16652950/items/45HALAZS"],"itemData":{"id":6624,"type":"article-journal","abstract":"My critical reflection will be drawn from an experience I had just a year after my graduation from the university where I was appointed as one of the X-students to lead a student cultural week in my village with the theme “raising awareness on education”. At the university, I was a member of my association in which students from my tribe generally come together to promote unity and encourage others in education. My role was to present a discourse on girl child education all the entire villagers who were gathered at the village square that evening. A high dropout rate at school and illiteracy are major problems in my region, in which there is still a great deal of gender disparity when it comes to educating children, especially the girl child. This programme is in line with the government’s policy of promoting education in my country, whose priority is for education to reach the grass-roots communities.","container-title":"Journal of Comparative Social Work","DOI":"10.31265/jcsw.v6i2.72","ISSN":"0809-9936","issue":"2","language":"en","page":"137-146","source":"journals.uis.no","title":"Encouraging girl child education in my village","volume":"6","author":[{"family":"Entongwe","given":"Delphine"}],"issued":{"date-parts":[["2011",10,3]]}}}],"schema":"https://github.com/citation-style-language/schema/raw/master/csl-citation.json"}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[22]</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BCFB291" w14:textId="2694CCC6" w:rsidR="007C0CC5" w:rsidRDefault="007C0CC5" w:rsidP="007C0CC5">
      <w:pPr>
        <w:pStyle w:val="Heading4"/>
      </w:pPr>
      <w:r>
        <w:rPr>
          <w:rStyle w:val="Strong"/>
          <w:b/>
          <w:bCs/>
        </w:rPr>
        <w:t xml:space="preserve">Financing Education </w:t>
      </w:r>
    </w:p>
    <w:p w14:paraId="03DE74AC" w14:textId="120212BB"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To help education, we should look into new ways to pay for it, like public-private partnerships, targeted international funds, and microfinancing for families. Conditional payment transfers to families that keep their daughters in school could help with the money problems. Also, for long-term sustainability, the government needs to give more money to schools, especially in areas that don't get enough</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{"citationID":"TQdR1jft","properties":{"formattedCitation":"[20]","plainCitation":"[20]","noteIndex":0},"citationItems":[{"id":6281,"uris":["http://zotero.org/users/16652950/items/DUQI3KHU"],"itemData":{"id":6281,"type":"article-journal","abstract":"Background\nAcross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[20]</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9047C22" w14:textId="35809CC0" w:rsidR="007C0CC5" w:rsidRDefault="007C0CC5" w:rsidP="007C0CC5">
      <w:pPr>
        <w:pStyle w:val="Heading4"/>
      </w:pPr>
      <w:r>
        <w:rPr>
          <w:rStyle w:val="Strong"/>
          <w:b/>
          <w:bCs/>
        </w:rPr>
        <w:t xml:space="preserve">Legal and Institutional Reforms </w:t>
      </w:r>
    </w:p>
    <w:p w14:paraId="236CA726" w14:textId="035469D2"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To make sure that rules guaranteeing girls' right to education are followed, legal frameworks need to be changed. To close the implementation gap, we need to make schools more capable, improve teacher training, and require gender-sensitive policies in school curriculums. The government must also make sure that education is delivered in a way that is open and honest</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{"citationID":"1lqCicbp","properties":{"formattedCitation":"[23]","plainCitation":"[23]","noteIndex":0},"citationItems":[{"id":6626,"uris":["http://zotero.org/users/16652950/items/5TUK4H7D"],"itemData":{"id":6626,"type":"article-journal","abstract":"Background\nGender disparities in education continue to undermine girls' opportunities, despite enormous strides in recent years to improve primary enrolment and attainment for girls in low‐ and middle‐income countries (LMICs). At the regional, country and subnational levels gender gaps remain, with girls in many settings less likely to complete primary school, less likely to complete secondary, and often less likely to be literate than boys. The academic and policy literatures on the topic of gender‐related barriers to girls' education are both extensive. However, there remain gaps in knowledge regarding which interventions are most likely to work in contexts with different combinations of barriers.\n\nObjectives\nThis systematic review identified and assessed the strength of the evidence of interventions and exposures addressing gender‐related barriers to schooling for girls in LMICs.\n\nSearch Methods\nThe AEA RCT Registry, Africa Bibliography, African Education Research Database, African Journals Online, DEC USAID, Dissertation Abstracts, EconLit, ELDIS, Evidence Hub, Global Index Medicus, IDEAS‐Repec, Intl Clinical Trials Registry, NBER, OpenGrey, Open Knowledge Repository, POPLINE, PsychINFO, PubMed, Research for Development Outputs, ScienceDirect, Sociological Abstracts, Web of Science, as well as relevant organization websites were searched electronically in March and April of 2019. Further searches were conducted through review of bibliographies as well as through inquiries to authors of included studies, relevant researchers and relevant organizations, and completed in March 2020.\n\nSelection Criteria\nWe included randomized controlled trials as well as quasi‐experimental studies that used quantitative models that attempted to control for endogeneity. Manuscripts could be either published, peer‐reviewed articles or grey literature such as working papers, reports and dissertations. Studies must have been published on or after 2000, employed an intervention or exposure that attempted to address a gender‐related barrier to schooling, analyzed the effects of the intervention/exposure on at least one of our primary outcomes of interest, and utilized data from LMICs to be included.\n\nData Collection and Analysis\nA team of reviewers was grouped into pairs to independently screen articles for relevance, extract data and assess risk of bias for each included study. A third reviewer assisted in resolving any disputes. Risk of bias was assessed either through the RoB 2 tool for experimental studies or the ROBINS‐I tool for quasi‐experimental studies. Due to the heterogeneity of study characteristics and reported outcome measures between studies, we applied the GRADE (Grading of Recommendation, Assessment, Development and Evaluation) approach adapted for situations where a meta‐analysis is not possible to synthesize the research.\n\nResults\nInterventions rated as effective exist for three gender‐related barriers: inability to afford tuition and fees, lack of adequate food, and insufficient academic support. Promising interventions exist for three gender‐related barriers: inadequate school access, inability to afford school materials, and lack of water and sanitation. More research is needed for the remaining 12 gender‐related barriers: lack of support for girls' education, child marriage and adolescent pregnancy, lack of information on returns to education/alternative roles for women, school‐related gender‐based violence (SRGBV), lack of safe spaces and social connections, inadequate sports programs for girls, inadequate health and childcare services, inadequate life skills, inadequate menstrual hygiene management (MHM), poor policy/legal environment, lack of teaching materials and supplies, and gender‐insensitive school environment. We find substantial gaps in the evidence. Several gender‐related barriers to girls' schooling are under‐examined. For nine of these barriers we found fewer than 10 relevant evaluations, and for five of the barriers—child marriage and adolescent pregnancy, SRGBV, inadequate sports programs for girls, inadequate health and childcare services, and inadequate MHM—we found fewer than five relevant evaluations; thus, more research is needed to understand the most effective interventions to address many of those barriers. Also, nearly half of programs evaluated in the included studies were multi‐component, and most evaluations were not designed to tease out the effects of individual components. As a result, even when interventions were effective overall, it is often difficult to identify how much, if any, of the impact is attributable to a given program component. The combination of components varies between studies, with few comparable interventions, further limiting our ability to identify packages of interventions that work well. Finally, the context‐specific nature of these barriers—whether a barrier exists in a setting and how it manifests and operates—means that a program that is effective in one setting may not be effective in another.\n\nAuthors' Conclusions\nWhile some effective and promising approaches exist to address gender‐related barriers to education for girls, evidence gaps exist on more than half of our hypothesized gender‐related barriers to education, including lack of support for girls' education, SRGBV, lack of safe spaces and social connections, inadequate life skills, and inadequate MHM, among others. In some cases, despite numerous studies examining interventions addressing a specific barrier, studies either did not disaggregate results by sex, or they were not designed to isolate the effects of each intervention component. Differences in context and in implementation, such as the number of program components, curricula content, and duration of interventions, also make it difficult to compare interventions to one another. Finally, few studies looked at pathways between interventions and education outcomes, so the reasons for differences in outcomes largely remain unclear.","container-title":"Campbell Systematic Reviews","DOI":"10.1002/cl2.1207","ISSN":"1891-1803","issue":"1","journalAbbreviation":"Campbell Syst Rev","note":"PMID: 36913193\nPMCID: PMC8770660","page":"e1207","source":"PubMed Central","title":"Policies and interventions to remove gender‐related barriers to girls' school participation and learning in low‐ and middle‐income countries: A systematic review of the evidence","title-short":"Policies and interventions to remove gender‐related barriers to girls' school participation and learning in low‐ and middle‐income countries","volume":"18","author":[{"family":"Psaki","given":"Stephanie"},{"family":"Haberland","given":"Nicole"},{"family":"Mensch","given":"Barbara"},{"family":"Woyczynski","given":"Lauren"},{"family":"Chuang","given":"Erica"}],"issued":{"date-parts":[["2022",1,19]]}}}],"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[23]</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5B3F2882" w14:textId="220A3CE8" w:rsidR="007C0CC5" w:rsidRDefault="007C0CC5" w:rsidP="007C0CC5">
      <w:pPr>
        <w:pStyle w:val="Heading3"/>
      </w:pPr>
      <w:r>
        <w:rPr>
          <w:rStyle w:val="Strong"/>
          <w:b/>
          <w:bCs/>
        </w:rPr>
        <w:t xml:space="preserve">VIII. Conclusion </w:t>
      </w:r>
    </w:p>
    <w:p w14:paraId="2101D9D9" w14:textId="7DCF4ADF" w:rsidR="007C0CC5" w:rsidRDefault="007C0CC5" w:rsidP="007C0CC5">
      <w:pPr>
        <w:pStyle w:val="Heading4"/>
      </w:pPr>
      <w:r>
        <w:rPr>
          <w:rStyle w:val="Strong"/>
          <w:b/>
          <w:bCs/>
        </w:rPr>
        <w:t xml:space="preserve">Summary of Key Findings </w:t>
      </w:r>
    </w:p>
    <w:p w14:paraId="70BC1D15" w14:textId="7777777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 xml:space="preserve">This research finds that there are major obstacles to girls' education in Northern Nigeria, such as patriarchal norms, poverty, poor infrastructure, and gaps in policy implementation. These impediments are very closely related, which makes it hard for girls to get </w:t>
      </w:r>
      <w:r w:rsidRPr="00F23BD6">
        <w:rPr>
          <w:rFonts w:ascii="Times New Roman" w:eastAsia="Times New Roman" w:hAnsi="Times New Roman" w:cs="Times New Roman"/>
          <w:color w:val="EE0000"/>
          <w:sz w:val="24"/>
          <w:szCs w:val="24"/>
        </w:rPr>
        <w:t>an education</w:t>
      </w:r>
      <w:r w:rsidRPr="003A29CB">
        <w:rPr>
          <w:rFonts w:ascii="Times New Roman" w:eastAsia="Times New Roman" w:hAnsi="Times New Roman" w:cs="Times New Roman"/>
          <w:sz w:val="24"/>
          <w:szCs w:val="24"/>
        </w:rPr>
        <w:t>. The ongoing gender gap in education is caused by cultural norms, economic choices, and poor governance.</w:t>
      </w:r>
    </w:p>
    <w:p w14:paraId="5F5BE2EC" w14:textId="14784EDE" w:rsidR="007C0CC5" w:rsidRDefault="007C0CC5" w:rsidP="007C0CC5">
      <w:pPr>
        <w:pStyle w:val="Heading4"/>
      </w:pPr>
      <w:r>
        <w:rPr>
          <w:rStyle w:val="Strong"/>
          <w:b/>
          <w:bCs/>
        </w:rPr>
        <w:t xml:space="preserve">Future Research Directions </w:t>
      </w:r>
    </w:p>
    <w:p w14:paraId="3B18C37A" w14:textId="7777777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lastRenderedPageBreak/>
        <w:t>Future study should investigate the efficacy of digital education efforts, analyze regional disparities in educational access, and assess the long-term socio-economic consequences of enhanced education for females in Northern Nigeria.</w:t>
      </w:r>
    </w:p>
    <w:p w14:paraId="786773B5" w14:textId="667645E1" w:rsidR="007C0CC5" w:rsidRDefault="007C0CC5" w:rsidP="007C0CC5">
      <w:pPr>
        <w:pStyle w:val="Heading4"/>
      </w:pPr>
      <w:r>
        <w:rPr>
          <w:rStyle w:val="Strong"/>
          <w:b/>
          <w:bCs/>
        </w:rPr>
        <w:t xml:space="preserve">Call to Action </w:t>
      </w:r>
    </w:p>
    <w:p w14:paraId="7A4C5608" w14:textId="7777777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Policymakers, community leaders, and foreign organizations must prioritize breaking the cycle of exclusion by implementing focused, sustainable solutions to enhance girls' education in Northern Nigeria.</w:t>
      </w:r>
    </w:p>
    <w:p w14:paraId="787134C7" w14:textId="586C4F57" w:rsidR="007C0CC5" w:rsidRDefault="007C0CC5" w:rsidP="003A29CB">
      <w:pPr>
        <w:pStyle w:val="NormalWeb"/>
      </w:pPr>
    </w:p>
    <w:p w14:paraId="4E2CA355" w14:textId="3AD16F60" w:rsidR="00D908B4" w:rsidRDefault="00D908B4" w:rsidP="003A29CB">
      <w:pPr>
        <w:pStyle w:val="NormalWeb"/>
        <w:rPr>
          <w:b/>
          <w:bCs/>
        </w:rPr>
      </w:pPr>
      <w:r w:rsidRPr="00D908B4">
        <w:rPr>
          <w:b/>
          <w:bCs/>
        </w:rPr>
        <w:t>REFERNCES</w:t>
      </w:r>
    </w:p>
    <w:p w14:paraId="0FAA86A7" w14:textId="1BFC60CE" w:rsidR="00D908B4" w:rsidRDefault="00D908B4" w:rsidP="003A29CB">
      <w:pPr>
        <w:pStyle w:val="NormalWeb"/>
        <w:rPr>
          <w:b/>
          <w:bCs/>
        </w:rPr>
      </w:pPr>
    </w:p>
    <w:p w14:paraId="358578AC" w14:textId="77777777" w:rsidR="00D908B4" w:rsidRPr="00D908B4" w:rsidRDefault="00D908B4" w:rsidP="00D908B4">
      <w:pPr>
        <w:pStyle w:val="Bibliography"/>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Pr="00D908B4">
        <w:rPr>
          <w:rFonts w:ascii="Times New Roman" w:hAnsi="Times New Roman" w:cs="Times New Roman"/>
          <w:sz w:val="24"/>
        </w:rPr>
        <w:t xml:space="preserve">1. </w:t>
      </w:r>
      <w:r w:rsidRPr="00D908B4">
        <w:rPr>
          <w:rFonts w:ascii="Times New Roman" w:hAnsi="Times New Roman" w:cs="Times New Roman"/>
          <w:sz w:val="24"/>
        </w:rPr>
        <w:tab/>
        <w:t xml:space="preserve">Department of History, Ahmadu Bello University, Zaria, Nigeria, Nasidi N. ‘MUST THEY GO TO SCHOOL?’ NORTHERN NIGERIA AND THE CHALLENGES OF GIRL CHILD EDUCATION, 1999-2015. jhs. 2024 Sep;60–9. </w:t>
      </w:r>
    </w:p>
    <w:p w14:paraId="5C732ECE"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 </w:t>
      </w:r>
      <w:r w:rsidRPr="00D908B4">
        <w:rPr>
          <w:rFonts w:ascii="Times New Roman" w:hAnsi="Times New Roman" w:cs="Times New Roman"/>
          <w:sz w:val="24"/>
        </w:rPr>
        <w:tab/>
        <w:t xml:space="preserve">Azeez FA, Osiesi MP, Aribamikan CG, Doh Nubia W, Odinko MN, Blignaut S, et al. Exclusion of the female child from primary education: exploring the perceptions and experiences of female learners in northern Nigeria. Education 3-13. :1–20. </w:t>
      </w:r>
    </w:p>
    <w:p w14:paraId="49D78A4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3. </w:t>
      </w:r>
      <w:r w:rsidRPr="00D908B4">
        <w:rPr>
          <w:rFonts w:ascii="Times New Roman" w:hAnsi="Times New Roman" w:cs="Times New Roman"/>
          <w:sz w:val="24"/>
        </w:rPr>
        <w:tab/>
        <w:t xml:space="preserve">Olonade OY, Oyibode BO, Idowu BO, George TO, Iwelumor OS, Ozoya MI, et al. Understanding gender issues in Nigeria: the imperative for sustainable development. Heliyon. 2021 Jul 18;7(7):e07622. </w:t>
      </w:r>
    </w:p>
    <w:p w14:paraId="6CDF84ED"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4. </w:t>
      </w:r>
      <w:r w:rsidRPr="00D908B4">
        <w:rPr>
          <w:rFonts w:ascii="Times New Roman" w:hAnsi="Times New Roman" w:cs="Times New Roman"/>
          <w:sz w:val="24"/>
        </w:rPr>
        <w:tab/>
        <w:t xml:space="preserve">Kruk ME, Gage AD, Arsenault C, Jordan K, Leslie HH, Roder-DeWan S, et al. High-quality health systems in the Sustainable Development Goals era: time for a revolution. Lancet Glob Health. 2018;6:e1196–252. </w:t>
      </w:r>
    </w:p>
    <w:p w14:paraId="55FB6378"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5. </w:t>
      </w:r>
      <w:r w:rsidRPr="00D908B4">
        <w:rPr>
          <w:rFonts w:ascii="Times New Roman" w:hAnsi="Times New Roman" w:cs="Times New Roman"/>
          <w:sz w:val="24"/>
        </w:rPr>
        <w:tab/>
        <w:t>Azeez FA, Osiesi MP, Aribamikan CG, Nubia WD, Odinko MN, Blignaut S, et al. Exclusion of the female child from primary education: exploring the perceptions and experiences of female learners in northern Nigeria. Education 3-13 [Internet]. 2024 Jul 11 [cited 2025 Aug 17]; Available from: https://www.tandfonline.com/doi/abs/10.1080/03004279.2024.2308307</w:t>
      </w:r>
    </w:p>
    <w:p w14:paraId="2823D7AC"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6. </w:t>
      </w:r>
      <w:r w:rsidRPr="00D908B4">
        <w:rPr>
          <w:rFonts w:ascii="Times New Roman" w:hAnsi="Times New Roman" w:cs="Times New Roman"/>
          <w:sz w:val="24"/>
        </w:rPr>
        <w:tab/>
        <w:t xml:space="preserve">Ardo AM, Muhammad AA, Muhammed YZ. Islamic Perspectives on Girl Child Education: A Lesson to Nigerian Hausa Communities. JENTIK : Jurnal Pendidikan Teknologi Informasi dan Komunikasi. 2024 Jun 30;3(1):33–44. </w:t>
      </w:r>
    </w:p>
    <w:p w14:paraId="0215BC9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7. </w:t>
      </w:r>
      <w:r w:rsidRPr="00D908B4">
        <w:rPr>
          <w:rFonts w:ascii="Times New Roman" w:hAnsi="Times New Roman" w:cs="Times New Roman"/>
          <w:sz w:val="24"/>
        </w:rPr>
        <w:tab/>
        <w:t xml:space="preserve">Yoosefi Lebni J, Solhi M, Ebadi Fard Azar F, Khalajabadi Farahani F, Irandoost SF. Exploring the Consequences of Early Marriage: A Conventional Content Analysis. Inquiry. 2023 Apr 19;60:00469580231159963. </w:t>
      </w:r>
    </w:p>
    <w:p w14:paraId="16F10EA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lastRenderedPageBreak/>
        <w:t xml:space="preserve">8. </w:t>
      </w:r>
      <w:r w:rsidRPr="00D908B4">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38CAF03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9. </w:t>
      </w:r>
      <w:r w:rsidRPr="00D908B4">
        <w:rPr>
          <w:rFonts w:ascii="Times New Roman" w:hAnsi="Times New Roman" w:cs="Times New Roman"/>
          <w:sz w:val="24"/>
        </w:rPr>
        <w:tab/>
        <w:t xml:space="preserve">Kazeem A, Jensen L, Stokes CS. School Attendance in Nigeria: Understanding the Impact and Intersection of Gender, Urban-Rural Residence and Socioeconomic Status. Comp Educ Rev. 2010 May;54(2):295–319. </w:t>
      </w:r>
    </w:p>
    <w:p w14:paraId="5C6D26AB"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10. </w:t>
      </w:r>
      <w:r w:rsidRPr="00D908B4">
        <w:rPr>
          <w:rFonts w:ascii="Times New Roman" w:hAnsi="Times New Roman" w:cs="Times New Roman"/>
          <w:sz w:val="24"/>
        </w:rPr>
        <w:tab/>
        <w:t xml:space="preserve">Adewumi S, Bwowe P. Child Labour Challenges and Security Implications in Selected Local Government Areas in Ondo State, Nigeria. Social Sciences. 2024 Oct;13(10):512. </w:t>
      </w:r>
    </w:p>
    <w:p w14:paraId="62716807"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11. </w:t>
      </w:r>
      <w:r w:rsidRPr="00D908B4">
        <w:rPr>
          <w:rFonts w:ascii="Times New Roman" w:hAnsi="Times New Roman" w:cs="Times New Roman"/>
          <w:sz w:val="24"/>
        </w:rPr>
        <w:tab/>
        <w:t xml:space="preserve">Olanrewaju GS, Adebayo SB, Omotosho AY, Olajide CF. Left behind? The effects of digital gaps on e-learning in rural secondary schools and remote communities across Nigeria during the COVID19 pandemic. Int J Educ Res Open. 2021;2:100092. </w:t>
      </w:r>
    </w:p>
    <w:p w14:paraId="33B0C2B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12. </w:t>
      </w:r>
      <w:r w:rsidRPr="00D908B4">
        <w:rPr>
          <w:rFonts w:ascii="Times New Roman" w:hAnsi="Times New Roman" w:cs="Times New Roman"/>
          <w:sz w:val="24"/>
        </w:rPr>
        <w:tab/>
        <w:t xml:space="preserve">Nwoke C, Oyiga S, Cochrane L. Assessing the phenomenon of out-of-school children in Nigeria: Issues, gaps and recommendations. Review of Education. 2024;12(3):e70011. </w:t>
      </w:r>
    </w:p>
    <w:p w14:paraId="1F29B43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13. </w:t>
      </w:r>
      <w:r w:rsidRPr="00D908B4">
        <w:rPr>
          <w:rFonts w:ascii="Times New Roman" w:hAnsi="Times New Roman" w:cs="Times New Roman"/>
          <w:sz w:val="24"/>
        </w:rPr>
        <w:tab/>
        <w:t xml:space="preserve">Nwozor A, Okhillu B. Child’s Rights and the Challenges of Educating the Girl-Child: Assessing the Contributions of UNICEF in Nigeria. The Age of Human Rights Journal. 2022 Jun 23;(18):285–309. </w:t>
      </w:r>
    </w:p>
    <w:p w14:paraId="1DF3EA3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14. </w:t>
      </w:r>
      <w:r w:rsidRPr="00D908B4">
        <w:rPr>
          <w:rFonts w:ascii="Times New Roman" w:hAnsi="Times New Roman" w:cs="Times New Roman"/>
          <w:sz w:val="24"/>
        </w:rPr>
        <w:tab/>
        <w:t>Education sector analysis: the Federal Republic of Nigeria: assessing the status of education in the federation and Oyo, Adamawa and Katsina States - UNESCO Digital Library [Internet]. [cited 2025 Aug 17]. Available from: https://unesdoc.unesco.org/ark:/48223/pf0000379618</w:t>
      </w:r>
    </w:p>
    <w:p w14:paraId="316C1A77"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15. </w:t>
      </w:r>
      <w:r w:rsidRPr="00D908B4">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1B4017B5"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16. </w:t>
      </w:r>
      <w:r w:rsidRPr="00D908B4">
        <w:rPr>
          <w:rFonts w:ascii="Times New Roman" w:hAnsi="Times New Roman" w:cs="Times New Roman"/>
          <w:sz w:val="24"/>
        </w:rPr>
        <w:tab/>
        <w:t xml:space="preserve">Sharper S, Evans CS, Mwiya MS, Bowa M, Mutengo E, University KN. The effects of early marriages on academic performance of marginalized girls in secondary schools of central province in Zambia. BMC Public Health. 2025 Aug 16;25(1):2815. </w:t>
      </w:r>
    </w:p>
    <w:p w14:paraId="04DA316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17. </w:t>
      </w:r>
      <w:r w:rsidRPr="00D908B4">
        <w:rPr>
          <w:rFonts w:ascii="Times New Roman" w:hAnsi="Times New Roman" w:cs="Times New Roman"/>
          <w:sz w:val="24"/>
        </w:rPr>
        <w:tab/>
        <w:t>Heath R, Jayachandran S. The Causes and Consequences of Increased Female Education and Labor Force Participation in Developing Countries. In: Averett SL, Argys LM, Hoffman SD, editors. The Oxford Handbook of Women and the Economy [Internet]. Oxford University Press; 2018 [cited 2025 Aug 17]. p. 0. Available from: https://doi.org/10.1093/oxfordhb/9780190628963.013.10</w:t>
      </w:r>
    </w:p>
    <w:p w14:paraId="41A519AD"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18. </w:t>
      </w:r>
      <w:r w:rsidRPr="00D908B4">
        <w:rPr>
          <w:rFonts w:ascii="Times New Roman" w:hAnsi="Times New Roman" w:cs="Times New Roman"/>
          <w:sz w:val="24"/>
        </w:rPr>
        <w:tab/>
        <w:t xml:space="preserve">Yele WB, Specioza A. Decoding barriers and failures in Liberia’s educational policy implementation. World Journal of Advanced Research and Reviews. 2024;23(1):495–508. </w:t>
      </w:r>
    </w:p>
    <w:p w14:paraId="75D6C79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19. </w:t>
      </w:r>
      <w:r w:rsidRPr="00D908B4">
        <w:rPr>
          <w:rFonts w:ascii="Times New Roman" w:hAnsi="Times New Roman" w:cs="Times New Roman"/>
          <w:sz w:val="24"/>
        </w:rPr>
        <w:tab/>
        <w:t xml:space="preserve">Haleem A, Javaid M, Singh RP, Suman R. Telemedicine for healthcare: Capabilities, features, barriers, and applications. Sens Int. 2021;2:100117. </w:t>
      </w:r>
    </w:p>
    <w:p w14:paraId="4BB46345"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20. </w:t>
      </w:r>
      <w:r w:rsidRPr="00D908B4">
        <w:rPr>
          <w:rFonts w:ascii="Times New Roman" w:hAnsi="Times New Roman" w:cs="Times New Roman"/>
          <w:sz w:val="24"/>
        </w:rPr>
        <w:tab/>
        <w:t xml:space="preserve">Lwamba E, Shisler S, Ridlehoover W, Kupfer M, Tshabalala N, Nduku P, et al. Strengthening women’s empowerment and gender equality in fragile contexts towards </w:t>
      </w:r>
      <w:r w:rsidRPr="00D908B4">
        <w:rPr>
          <w:rFonts w:ascii="Times New Roman" w:hAnsi="Times New Roman" w:cs="Times New Roman"/>
          <w:sz w:val="24"/>
        </w:rPr>
        <w:lastRenderedPageBreak/>
        <w:t xml:space="preserve">peaceful and inclusive societies: A systematic review and meta‐analysis. Campbell Syst Rev. 2022 Mar 8;18(1):e1214. </w:t>
      </w:r>
    </w:p>
    <w:p w14:paraId="62511F83"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21. </w:t>
      </w:r>
      <w:r w:rsidRPr="00D908B4">
        <w:rPr>
          <w:rFonts w:ascii="Times New Roman" w:hAnsi="Times New Roman" w:cs="Times New Roman"/>
          <w:sz w:val="24"/>
        </w:rPr>
        <w:tab/>
        <w:t>Enyioko (PhD) N. Gender Equality and Educational System in Nigeria [Internet]. Rochester, NY: Social Science Research Network; 2021 [cited 2025 Aug 17]. Available from: https://papers.ssrn.com/abstract=3825028</w:t>
      </w:r>
    </w:p>
    <w:p w14:paraId="5D32CF7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22. </w:t>
      </w:r>
      <w:r w:rsidRPr="00D908B4">
        <w:rPr>
          <w:rFonts w:ascii="Times New Roman" w:hAnsi="Times New Roman" w:cs="Times New Roman"/>
          <w:sz w:val="24"/>
        </w:rPr>
        <w:tab/>
        <w:t xml:space="preserve">Entongwe D. Encouraging girl child education in my village. Journal of Comparative Social Work. 2011 Oct 3;6(2):137–46. </w:t>
      </w:r>
    </w:p>
    <w:p w14:paraId="014CD648"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23. </w:t>
      </w:r>
      <w:r w:rsidRPr="00D908B4">
        <w:rPr>
          <w:rFonts w:ascii="Times New Roman" w:hAnsi="Times New Roman" w:cs="Times New Roman"/>
          <w:sz w:val="24"/>
        </w:rPr>
        <w:tab/>
        <w:t xml:space="preserve">Psaki S, Haberland N, Mensch B, Woyczynski L, Chuang E. Policies and interventions to remove gender‐related barriers to girls’ school participation and learning in low‐ and middle‐income countries: A systematic review of the evidence. Campbell Syst Rev. 2022 Jan 19;18(1):e1207. </w:t>
      </w:r>
    </w:p>
    <w:p w14:paraId="3C1A71CA" w14:textId="564601C7" w:rsidR="00D908B4" w:rsidRPr="00D908B4" w:rsidRDefault="00D908B4" w:rsidP="003A29CB">
      <w:pPr>
        <w:pStyle w:val="NormalWeb"/>
        <w:rPr>
          <w:b/>
          <w:bCs/>
        </w:rPr>
      </w:pPr>
      <w:r>
        <w:rPr>
          <w:b/>
          <w:bCs/>
        </w:rPr>
        <w:fldChar w:fldCharType="end"/>
      </w:r>
    </w:p>
    <w:p w14:paraId="4EAC15E9" w14:textId="77777777" w:rsidR="00D908B4" w:rsidRDefault="00D908B4" w:rsidP="003A29CB">
      <w:pPr>
        <w:pStyle w:val="NormalWeb"/>
      </w:pPr>
    </w:p>
    <w:sectPr w:rsidR="00D908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F50D" w14:textId="77777777" w:rsidR="005F566B" w:rsidRDefault="005F566B" w:rsidP="00BC32DB">
      <w:pPr>
        <w:spacing w:after="0" w:line="240" w:lineRule="auto"/>
      </w:pPr>
      <w:r>
        <w:separator/>
      </w:r>
    </w:p>
  </w:endnote>
  <w:endnote w:type="continuationSeparator" w:id="0">
    <w:p w14:paraId="3998C51F" w14:textId="77777777" w:rsidR="005F566B" w:rsidRDefault="005F566B" w:rsidP="00BC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72E1" w14:textId="77777777" w:rsidR="00BC32DB" w:rsidRDefault="00BC3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5078" w14:textId="77777777" w:rsidR="00BC32DB" w:rsidRDefault="00BC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58B0" w14:textId="77777777" w:rsidR="00BC32DB" w:rsidRDefault="00BC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4C77" w14:textId="77777777" w:rsidR="005F566B" w:rsidRDefault="005F566B" w:rsidP="00BC32DB">
      <w:pPr>
        <w:spacing w:after="0" w:line="240" w:lineRule="auto"/>
      </w:pPr>
      <w:r>
        <w:separator/>
      </w:r>
    </w:p>
  </w:footnote>
  <w:footnote w:type="continuationSeparator" w:id="0">
    <w:p w14:paraId="5F6CC94E" w14:textId="77777777" w:rsidR="005F566B" w:rsidRDefault="005F566B" w:rsidP="00BC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2C9" w14:textId="56AAB69E" w:rsidR="00BC32DB" w:rsidRDefault="00000000">
    <w:pPr>
      <w:pStyle w:val="Header"/>
    </w:pPr>
    <w:r>
      <w:rPr>
        <w:noProof/>
      </w:rPr>
      <w:pict w14:anchorId="51AF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DF83" w14:textId="58D195A0" w:rsidR="00BC32DB" w:rsidRDefault="00000000">
    <w:pPr>
      <w:pStyle w:val="Header"/>
    </w:pPr>
    <w:r>
      <w:rPr>
        <w:noProof/>
      </w:rPr>
      <w:pict w14:anchorId="03CFE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32F6" w14:textId="06E479E2" w:rsidR="00BC32DB" w:rsidRDefault="00000000">
    <w:pPr>
      <w:pStyle w:val="Header"/>
    </w:pPr>
    <w:r>
      <w:rPr>
        <w:noProof/>
      </w:rPr>
      <w:pict w14:anchorId="04EC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C5"/>
    <w:rsid w:val="0001690E"/>
    <w:rsid w:val="000F49AF"/>
    <w:rsid w:val="001A5B3B"/>
    <w:rsid w:val="001B3DDC"/>
    <w:rsid w:val="0020370A"/>
    <w:rsid w:val="00291332"/>
    <w:rsid w:val="003A29CB"/>
    <w:rsid w:val="00555889"/>
    <w:rsid w:val="005B29BB"/>
    <w:rsid w:val="005D2AB0"/>
    <w:rsid w:val="005F566B"/>
    <w:rsid w:val="006D31B9"/>
    <w:rsid w:val="007C0CC5"/>
    <w:rsid w:val="00911F33"/>
    <w:rsid w:val="00A96BB6"/>
    <w:rsid w:val="00B61C80"/>
    <w:rsid w:val="00BC32DB"/>
    <w:rsid w:val="00C36866"/>
    <w:rsid w:val="00D908B4"/>
    <w:rsid w:val="00DA72A6"/>
    <w:rsid w:val="00DC2B52"/>
    <w:rsid w:val="00EA6D97"/>
    <w:rsid w:val="00EB2C38"/>
    <w:rsid w:val="00F23BD6"/>
    <w:rsid w:val="00FA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F8CF"/>
  <w15:chartTrackingRefBased/>
  <w15:docId w15:val="{C926E6A2-331F-4532-BDBE-58BA794F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0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C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C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CC5"/>
    <w:rPr>
      <w:rFonts w:ascii="Times New Roman" w:eastAsia="Times New Roman" w:hAnsi="Times New Roman" w:cs="Times New Roman"/>
      <w:b/>
      <w:bCs/>
      <w:sz w:val="24"/>
      <w:szCs w:val="24"/>
    </w:rPr>
  </w:style>
  <w:style w:type="character" w:styleId="Strong">
    <w:name w:val="Strong"/>
    <w:basedOn w:val="DefaultParagraphFont"/>
    <w:uiPriority w:val="22"/>
    <w:qFormat/>
    <w:rsid w:val="007C0CC5"/>
    <w:rPr>
      <w:b/>
      <w:bCs/>
    </w:rPr>
  </w:style>
  <w:style w:type="paragraph" w:styleId="NormalWeb">
    <w:name w:val="Normal (Web)"/>
    <w:basedOn w:val="Normal"/>
    <w:uiPriority w:val="99"/>
    <w:unhideWhenUsed/>
    <w:rsid w:val="007C0CC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68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36866"/>
    <w:rPr>
      <w:rFonts w:asciiTheme="majorHAnsi" w:eastAsiaTheme="majorEastAsia" w:hAnsiTheme="majorHAnsi" w:cstheme="majorBidi"/>
      <w:color w:val="323E4F" w:themeColor="text2" w:themeShade="BF"/>
      <w:spacing w:val="5"/>
      <w:kern w:val="28"/>
      <w:sz w:val="52"/>
      <w:szCs w:val="52"/>
    </w:rPr>
  </w:style>
  <w:style w:type="paragraph" w:styleId="Bibliography">
    <w:name w:val="Bibliography"/>
    <w:basedOn w:val="Normal"/>
    <w:next w:val="Normal"/>
    <w:uiPriority w:val="37"/>
    <w:unhideWhenUsed/>
    <w:rsid w:val="00D908B4"/>
    <w:pPr>
      <w:tabs>
        <w:tab w:val="left" w:pos="504"/>
      </w:tabs>
      <w:spacing w:after="240" w:line="240" w:lineRule="auto"/>
      <w:ind w:left="504" w:hanging="504"/>
    </w:pPr>
  </w:style>
  <w:style w:type="character" w:styleId="Hyperlink">
    <w:name w:val="Hyperlink"/>
    <w:basedOn w:val="DefaultParagraphFont"/>
    <w:uiPriority w:val="99"/>
    <w:unhideWhenUsed/>
    <w:rsid w:val="00FA1B7A"/>
    <w:rPr>
      <w:color w:val="0563C1" w:themeColor="hyperlink"/>
      <w:u w:val="single"/>
    </w:rPr>
  </w:style>
  <w:style w:type="character" w:styleId="UnresolvedMention">
    <w:name w:val="Unresolved Mention"/>
    <w:basedOn w:val="DefaultParagraphFont"/>
    <w:uiPriority w:val="99"/>
    <w:semiHidden/>
    <w:unhideWhenUsed/>
    <w:rsid w:val="00FA1B7A"/>
    <w:rPr>
      <w:color w:val="605E5C"/>
      <w:shd w:val="clear" w:color="auto" w:fill="E1DFDD"/>
    </w:rPr>
  </w:style>
  <w:style w:type="paragraph" w:styleId="Header">
    <w:name w:val="header"/>
    <w:basedOn w:val="Normal"/>
    <w:link w:val="HeaderChar"/>
    <w:uiPriority w:val="99"/>
    <w:unhideWhenUsed/>
    <w:rsid w:val="00BC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DB"/>
  </w:style>
  <w:style w:type="paragraph" w:styleId="Footer">
    <w:name w:val="footer"/>
    <w:basedOn w:val="Normal"/>
    <w:link w:val="FooterChar"/>
    <w:uiPriority w:val="99"/>
    <w:unhideWhenUsed/>
    <w:rsid w:val="00BC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477">
      <w:bodyDiv w:val="1"/>
      <w:marLeft w:val="0"/>
      <w:marRight w:val="0"/>
      <w:marTop w:val="0"/>
      <w:marBottom w:val="0"/>
      <w:divBdr>
        <w:top w:val="none" w:sz="0" w:space="0" w:color="auto"/>
        <w:left w:val="none" w:sz="0" w:space="0" w:color="auto"/>
        <w:bottom w:val="none" w:sz="0" w:space="0" w:color="auto"/>
        <w:right w:val="none" w:sz="0" w:space="0" w:color="auto"/>
      </w:divBdr>
    </w:div>
    <w:div w:id="35550814">
      <w:bodyDiv w:val="1"/>
      <w:marLeft w:val="0"/>
      <w:marRight w:val="0"/>
      <w:marTop w:val="0"/>
      <w:marBottom w:val="0"/>
      <w:divBdr>
        <w:top w:val="none" w:sz="0" w:space="0" w:color="auto"/>
        <w:left w:val="none" w:sz="0" w:space="0" w:color="auto"/>
        <w:bottom w:val="none" w:sz="0" w:space="0" w:color="auto"/>
        <w:right w:val="none" w:sz="0" w:space="0" w:color="auto"/>
      </w:divBdr>
    </w:div>
    <w:div w:id="47189771">
      <w:bodyDiv w:val="1"/>
      <w:marLeft w:val="0"/>
      <w:marRight w:val="0"/>
      <w:marTop w:val="0"/>
      <w:marBottom w:val="0"/>
      <w:divBdr>
        <w:top w:val="none" w:sz="0" w:space="0" w:color="auto"/>
        <w:left w:val="none" w:sz="0" w:space="0" w:color="auto"/>
        <w:bottom w:val="none" w:sz="0" w:space="0" w:color="auto"/>
        <w:right w:val="none" w:sz="0" w:space="0" w:color="auto"/>
      </w:divBdr>
    </w:div>
    <w:div w:id="55671333">
      <w:bodyDiv w:val="1"/>
      <w:marLeft w:val="0"/>
      <w:marRight w:val="0"/>
      <w:marTop w:val="0"/>
      <w:marBottom w:val="0"/>
      <w:divBdr>
        <w:top w:val="none" w:sz="0" w:space="0" w:color="auto"/>
        <w:left w:val="none" w:sz="0" w:space="0" w:color="auto"/>
        <w:bottom w:val="none" w:sz="0" w:space="0" w:color="auto"/>
        <w:right w:val="none" w:sz="0" w:space="0" w:color="auto"/>
      </w:divBdr>
    </w:div>
    <w:div w:id="79258111">
      <w:bodyDiv w:val="1"/>
      <w:marLeft w:val="0"/>
      <w:marRight w:val="0"/>
      <w:marTop w:val="0"/>
      <w:marBottom w:val="0"/>
      <w:divBdr>
        <w:top w:val="none" w:sz="0" w:space="0" w:color="auto"/>
        <w:left w:val="none" w:sz="0" w:space="0" w:color="auto"/>
        <w:bottom w:val="none" w:sz="0" w:space="0" w:color="auto"/>
        <w:right w:val="none" w:sz="0" w:space="0" w:color="auto"/>
      </w:divBdr>
    </w:div>
    <w:div w:id="120849192">
      <w:bodyDiv w:val="1"/>
      <w:marLeft w:val="0"/>
      <w:marRight w:val="0"/>
      <w:marTop w:val="0"/>
      <w:marBottom w:val="0"/>
      <w:divBdr>
        <w:top w:val="none" w:sz="0" w:space="0" w:color="auto"/>
        <w:left w:val="none" w:sz="0" w:space="0" w:color="auto"/>
        <w:bottom w:val="none" w:sz="0" w:space="0" w:color="auto"/>
        <w:right w:val="none" w:sz="0" w:space="0" w:color="auto"/>
      </w:divBdr>
    </w:div>
    <w:div w:id="155338661">
      <w:bodyDiv w:val="1"/>
      <w:marLeft w:val="0"/>
      <w:marRight w:val="0"/>
      <w:marTop w:val="0"/>
      <w:marBottom w:val="0"/>
      <w:divBdr>
        <w:top w:val="none" w:sz="0" w:space="0" w:color="auto"/>
        <w:left w:val="none" w:sz="0" w:space="0" w:color="auto"/>
        <w:bottom w:val="none" w:sz="0" w:space="0" w:color="auto"/>
        <w:right w:val="none" w:sz="0" w:space="0" w:color="auto"/>
      </w:divBdr>
    </w:div>
    <w:div w:id="222179470">
      <w:bodyDiv w:val="1"/>
      <w:marLeft w:val="0"/>
      <w:marRight w:val="0"/>
      <w:marTop w:val="0"/>
      <w:marBottom w:val="0"/>
      <w:divBdr>
        <w:top w:val="none" w:sz="0" w:space="0" w:color="auto"/>
        <w:left w:val="none" w:sz="0" w:space="0" w:color="auto"/>
        <w:bottom w:val="none" w:sz="0" w:space="0" w:color="auto"/>
        <w:right w:val="none" w:sz="0" w:space="0" w:color="auto"/>
      </w:divBdr>
    </w:div>
    <w:div w:id="243031371">
      <w:bodyDiv w:val="1"/>
      <w:marLeft w:val="0"/>
      <w:marRight w:val="0"/>
      <w:marTop w:val="0"/>
      <w:marBottom w:val="0"/>
      <w:divBdr>
        <w:top w:val="none" w:sz="0" w:space="0" w:color="auto"/>
        <w:left w:val="none" w:sz="0" w:space="0" w:color="auto"/>
        <w:bottom w:val="none" w:sz="0" w:space="0" w:color="auto"/>
        <w:right w:val="none" w:sz="0" w:space="0" w:color="auto"/>
      </w:divBdr>
    </w:div>
    <w:div w:id="311982453">
      <w:bodyDiv w:val="1"/>
      <w:marLeft w:val="0"/>
      <w:marRight w:val="0"/>
      <w:marTop w:val="0"/>
      <w:marBottom w:val="0"/>
      <w:divBdr>
        <w:top w:val="none" w:sz="0" w:space="0" w:color="auto"/>
        <w:left w:val="none" w:sz="0" w:space="0" w:color="auto"/>
        <w:bottom w:val="none" w:sz="0" w:space="0" w:color="auto"/>
        <w:right w:val="none" w:sz="0" w:space="0" w:color="auto"/>
      </w:divBdr>
    </w:div>
    <w:div w:id="354577713">
      <w:bodyDiv w:val="1"/>
      <w:marLeft w:val="0"/>
      <w:marRight w:val="0"/>
      <w:marTop w:val="0"/>
      <w:marBottom w:val="0"/>
      <w:divBdr>
        <w:top w:val="none" w:sz="0" w:space="0" w:color="auto"/>
        <w:left w:val="none" w:sz="0" w:space="0" w:color="auto"/>
        <w:bottom w:val="none" w:sz="0" w:space="0" w:color="auto"/>
        <w:right w:val="none" w:sz="0" w:space="0" w:color="auto"/>
      </w:divBdr>
    </w:div>
    <w:div w:id="360252554">
      <w:bodyDiv w:val="1"/>
      <w:marLeft w:val="0"/>
      <w:marRight w:val="0"/>
      <w:marTop w:val="0"/>
      <w:marBottom w:val="0"/>
      <w:divBdr>
        <w:top w:val="none" w:sz="0" w:space="0" w:color="auto"/>
        <w:left w:val="none" w:sz="0" w:space="0" w:color="auto"/>
        <w:bottom w:val="none" w:sz="0" w:space="0" w:color="auto"/>
        <w:right w:val="none" w:sz="0" w:space="0" w:color="auto"/>
      </w:divBdr>
    </w:div>
    <w:div w:id="368727697">
      <w:bodyDiv w:val="1"/>
      <w:marLeft w:val="0"/>
      <w:marRight w:val="0"/>
      <w:marTop w:val="0"/>
      <w:marBottom w:val="0"/>
      <w:divBdr>
        <w:top w:val="none" w:sz="0" w:space="0" w:color="auto"/>
        <w:left w:val="none" w:sz="0" w:space="0" w:color="auto"/>
        <w:bottom w:val="none" w:sz="0" w:space="0" w:color="auto"/>
        <w:right w:val="none" w:sz="0" w:space="0" w:color="auto"/>
      </w:divBdr>
    </w:div>
    <w:div w:id="411859754">
      <w:bodyDiv w:val="1"/>
      <w:marLeft w:val="0"/>
      <w:marRight w:val="0"/>
      <w:marTop w:val="0"/>
      <w:marBottom w:val="0"/>
      <w:divBdr>
        <w:top w:val="none" w:sz="0" w:space="0" w:color="auto"/>
        <w:left w:val="none" w:sz="0" w:space="0" w:color="auto"/>
        <w:bottom w:val="none" w:sz="0" w:space="0" w:color="auto"/>
        <w:right w:val="none" w:sz="0" w:space="0" w:color="auto"/>
      </w:divBdr>
    </w:div>
    <w:div w:id="436488322">
      <w:bodyDiv w:val="1"/>
      <w:marLeft w:val="0"/>
      <w:marRight w:val="0"/>
      <w:marTop w:val="0"/>
      <w:marBottom w:val="0"/>
      <w:divBdr>
        <w:top w:val="none" w:sz="0" w:space="0" w:color="auto"/>
        <w:left w:val="none" w:sz="0" w:space="0" w:color="auto"/>
        <w:bottom w:val="none" w:sz="0" w:space="0" w:color="auto"/>
        <w:right w:val="none" w:sz="0" w:space="0" w:color="auto"/>
      </w:divBdr>
    </w:div>
    <w:div w:id="454099846">
      <w:bodyDiv w:val="1"/>
      <w:marLeft w:val="0"/>
      <w:marRight w:val="0"/>
      <w:marTop w:val="0"/>
      <w:marBottom w:val="0"/>
      <w:divBdr>
        <w:top w:val="none" w:sz="0" w:space="0" w:color="auto"/>
        <w:left w:val="none" w:sz="0" w:space="0" w:color="auto"/>
        <w:bottom w:val="none" w:sz="0" w:space="0" w:color="auto"/>
        <w:right w:val="none" w:sz="0" w:space="0" w:color="auto"/>
      </w:divBdr>
    </w:div>
    <w:div w:id="459955602">
      <w:bodyDiv w:val="1"/>
      <w:marLeft w:val="0"/>
      <w:marRight w:val="0"/>
      <w:marTop w:val="0"/>
      <w:marBottom w:val="0"/>
      <w:divBdr>
        <w:top w:val="none" w:sz="0" w:space="0" w:color="auto"/>
        <w:left w:val="none" w:sz="0" w:space="0" w:color="auto"/>
        <w:bottom w:val="none" w:sz="0" w:space="0" w:color="auto"/>
        <w:right w:val="none" w:sz="0" w:space="0" w:color="auto"/>
      </w:divBdr>
    </w:div>
    <w:div w:id="618223389">
      <w:bodyDiv w:val="1"/>
      <w:marLeft w:val="0"/>
      <w:marRight w:val="0"/>
      <w:marTop w:val="0"/>
      <w:marBottom w:val="0"/>
      <w:divBdr>
        <w:top w:val="none" w:sz="0" w:space="0" w:color="auto"/>
        <w:left w:val="none" w:sz="0" w:space="0" w:color="auto"/>
        <w:bottom w:val="none" w:sz="0" w:space="0" w:color="auto"/>
        <w:right w:val="none" w:sz="0" w:space="0" w:color="auto"/>
      </w:divBdr>
    </w:div>
    <w:div w:id="628054168">
      <w:bodyDiv w:val="1"/>
      <w:marLeft w:val="0"/>
      <w:marRight w:val="0"/>
      <w:marTop w:val="0"/>
      <w:marBottom w:val="0"/>
      <w:divBdr>
        <w:top w:val="none" w:sz="0" w:space="0" w:color="auto"/>
        <w:left w:val="none" w:sz="0" w:space="0" w:color="auto"/>
        <w:bottom w:val="none" w:sz="0" w:space="0" w:color="auto"/>
        <w:right w:val="none" w:sz="0" w:space="0" w:color="auto"/>
      </w:divBdr>
    </w:div>
    <w:div w:id="684745710">
      <w:bodyDiv w:val="1"/>
      <w:marLeft w:val="0"/>
      <w:marRight w:val="0"/>
      <w:marTop w:val="0"/>
      <w:marBottom w:val="0"/>
      <w:divBdr>
        <w:top w:val="none" w:sz="0" w:space="0" w:color="auto"/>
        <w:left w:val="none" w:sz="0" w:space="0" w:color="auto"/>
        <w:bottom w:val="none" w:sz="0" w:space="0" w:color="auto"/>
        <w:right w:val="none" w:sz="0" w:space="0" w:color="auto"/>
      </w:divBdr>
    </w:div>
    <w:div w:id="757021524">
      <w:bodyDiv w:val="1"/>
      <w:marLeft w:val="0"/>
      <w:marRight w:val="0"/>
      <w:marTop w:val="0"/>
      <w:marBottom w:val="0"/>
      <w:divBdr>
        <w:top w:val="none" w:sz="0" w:space="0" w:color="auto"/>
        <w:left w:val="none" w:sz="0" w:space="0" w:color="auto"/>
        <w:bottom w:val="none" w:sz="0" w:space="0" w:color="auto"/>
        <w:right w:val="none" w:sz="0" w:space="0" w:color="auto"/>
      </w:divBdr>
    </w:div>
    <w:div w:id="808743488">
      <w:bodyDiv w:val="1"/>
      <w:marLeft w:val="0"/>
      <w:marRight w:val="0"/>
      <w:marTop w:val="0"/>
      <w:marBottom w:val="0"/>
      <w:divBdr>
        <w:top w:val="none" w:sz="0" w:space="0" w:color="auto"/>
        <w:left w:val="none" w:sz="0" w:space="0" w:color="auto"/>
        <w:bottom w:val="none" w:sz="0" w:space="0" w:color="auto"/>
        <w:right w:val="none" w:sz="0" w:space="0" w:color="auto"/>
      </w:divBdr>
    </w:div>
    <w:div w:id="899705128">
      <w:bodyDiv w:val="1"/>
      <w:marLeft w:val="0"/>
      <w:marRight w:val="0"/>
      <w:marTop w:val="0"/>
      <w:marBottom w:val="0"/>
      <w:divBdr>
        <w:top w:val="none" w:sz="0" w:space="0" w:color="auto"/>
        <w:left w:val="none" w:sz="0" w:space="0" w:color="auto"/>
        <w:bottom w:val="none" w:sz="0" w:space="0" w:color="auto"/>
        <w:right w:val="none" w:sz="0" w:space="0" w:color="auto"/>
      </w:divBdr>
    </w:div>
    <w:div w:id="1099957349">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218124245">
      <w:bodyDiv w:val="1"/>
      <w:marLeft w:val="0"/>
      <w:marRight w:val="0"/>
      <w:marTop w:val="0"/>
      <w:marBottom w:val="0"/>
      <w:divBdr>
        <w:top w:val="none" w:sz="0" w:space="0" w:color="auto"/>
        <w:left w:val="none" w:sz="0" w:space="0" w:color="auto"/>
        <w:bottom w:val="none" w:sz="0" w:space="0" w:color="auto"/>
        <w:right w:val="none" w:sz="0" w:space="0" w:color="auto"/>
      </w:divBdr>
    </w:div>
    <w:div w:id="1268542228">
      <w:bodyDiv w:val="1"/>
      <w:marLeft w:val="0"/>
      <w:marRight w:val="0"/>
      <w:marTop w:val="0"/>
      <w:marBottom w:val="0"/>
      <w:divBdr>
        <w:top w:val="none" w:sz="0" w:space="0" w:color="auto"/>
        <w:left w:val="none" w:sz="0" w:space="0" w:color="auto"/>
        <w:bottom w:val="none" w:sz="0" w:space="0" w:color="auto"/>
        <w:right w:val="none" w:sz="0" w:space="0" w:color="auto"/>
      </w:divBdr>
    </w:div>
    <w:div w:id="1278176246">
      <w:bodyDiv w:val="1"/>
      <w:marLeft w:val="0"/>
      <w:marRight w:val="0"/>
      <w:marTop w:val="0"/>
      <w:marBottom w:val="0"/>
      <w:divBdr>
        <w:top w:val="none" w:sz="0" w:space="0" w:color="auto"/>
        <w:left w:val="none" w:sz="0" w:space="0" w:color="auto"/>
        <w:bottom w:val="none" w:sz="0" w:space="0" w:color="auto"/>
        <w:right w:val="none" w:sz="0" w:space="0" w:color="auto"/>
      </w:divBdr>
    </w:div>
    <w:div w:id="1285305940">
      <w:bodyDiv w:val="1"/>
      <w:marLeft w:val="0"/>
      <w:marRight w:val="0"/>
      <w:marTop w:val="0"/>
      <w:marBottom w:val="0"/>
      <w:divBdr>
        <w:top w:val="none" w:sz="0" w:space="0" w:color="auto"/>
        <w:left w:val="none" w:sz="0" w:space="0" w:color="auto"/>
        <w:bottom w:val="none" w:sz="0" w:space="0" w:color="auto"/>
        <w:right w:val="none" w:sz="0" w:space="0" w:color="auto"/>
      </w:divBdr>
    </w:div>
    <w:div w:id="1371614209">
      <w:bodyDiv w:val="1"/>
      <w:marLeft w:val="0"/>
      <w:marRight w:val="0"/>
      <w:marTop w:val="0"/>
      <w:marBottom w:val="0"/>
      <w:divBdr>
        <w:top w:val="none" w:sz="0" w:space="0" w:color="auto"/>
        <w:left w:val="none" w:sz="0" w:space="0" w:color="auto"/>
        <w:bottom w:val="none" w:sz="0" w:space="0" w:color="auto"/>
        <w:right w:val="none" w:sz="0" w:space="0" w:color="auto"/>
      </w:divBdr>
    </w:div>
    <w:div w:id="1371756995">
      <w:bodyDiv w:val="1"/>
      <w:marLeft w:val="0"/>
      <w:marRight w:val="0"/>
      <w:marTop w:val="0"/>
      <w:marBottom w:val="0"/>
      <w:divBdr>
        <w:top w:val="none" w:sz="0" w:space="0" w:color="auto"/>
        <w:left w:val="none" w:sz="0" w:space="0" w:color="auto"/>
        <w:bottom w:val="none" w:sz="0" w:space="0" w:color="auto"/>
        <w:right w:val="none" w:sz="0" w:space="0" w:color="auto"/>
      </w:divBdr>
    </w:div>
    <w:div w:id="1428575122">
      <w:bodyDiv w:val="1"/>
      <w:marLeft w:val="0"/>
      <w:marRight w:val="0"/>
      <w:marTop w:val="0"/>
      <w:marBottom w:val="0"/>
      <w:divBdr>
        <w:top w:val="none" w:sz="0" w:space="0" w:color="auto"/>
        <w:left w:val="none" w:sz="0" w:space="0" w:color="auto"/>
        <w:bottom w:val="none" w:sz="0" w:space="0" w:color="auto"/>
        <w:right w:val="none" w:sz="0" w:space="0" w:color="auto"/>
      </w:divBdr>
    </w:div>
    <w:div w:id="1453475043">
      <w:bodyDiv w:val="1"/>
      <w:marLeft w:val="0"/>
      <w:marRight w:val="0"/>
      <w:marTop w:val="0"/>
      <w:marBottom w:val="0"/>
      <w:divBdr>
        <w:top w:val="none" w:sz="0" w:space="0" w:color="auto"/>
        <w:left w:val="none" w:sz="0" w:space="0" w:color="auto"/>
        <w:bottom w:val="none" w:sz="0" w:space="0" w:color="auto"/>
        <w:right w:val="none" w:sz="0" w:space="0" w:color="auto"/>
      </w:divBdr>
    </w:div>
    <w:div w:id="1493717422">
      <w:bodyDiv w:val="1"/>
      <w:marLeft w:val="0"/>
      <w:marRight w:val="0"/>
      <w:marTop w:val="0"/>
      <w:marBottom w:val="0"/>
      <w:divBdr>
        <w:top w:val="none" w:sz="0" w:space="0" w:color="auto"/>
        <w:left w:val="none" w:sz="0" w:space="0" w:color="auto"/>
        <w:bottom w:val="none" w:sz="0" w:space="0" w:color="auto"/>
        <w:right w:val="none" w:sz="0" w:space="0" w:color="auto"/>
      </w:divBdr>
    </w:div>
    <w:div w:id="1527206376">
      <w:bodyDiv w:val="1"/>
      <w:marLeft w:val="0"/>
      <w:marRight w:val="0"/>
      <w:marTop w:val="0"/>
      <w:marBottom w:val="0"/>
      <w:divBdr>
        <w:top w:val="none" w:sz="0" w:space="0" w:color="auto"/>
        <w:left w:val="none" w:sz="0" w:space="0" w:color="auto"/>
        <w:bottom w:val="none" w:sz="0" w:space="0" w:color="auto"/>
        <w:right w:val="none" w:sz="0" w:space="0" w:color="auto"/>
      </w:divBdr>
    </w:div>
    <w:div w:id="1682780548">
      <w:bodyDiv w:val="1"/>
      <w:marLeft w:val="0"/>
      <w:marRight w:val="0"/>
      <w:marTop w:val="0"/>
      <w:marBottom w:val="0"/>
      <w:divBdr>
        <w:top w:val="none" w:sz="0" w:space="0" w:color="auto"/>
        <w:left w:val="none" w:sz="0" w:space="0" w:color="auto"/>
        <w:bottom w:val="none" w:sz="0" w:space="0" w:color="auto"/>
        <w:right w:val="none" w:sz="0" w:space="0" w:color="auto"/>
      </w:divBdr>
    </w:div>
    <w:div w:id="1687099565">
      <w:bodyDiv w:val="1"/>
      <w:marLeft w:val="0"/>
      <w:marRight w:val="0"/>
      <w:marTop w:val="0"/>
      <w:marBottom w:val="0"/>
      <w:divBdr>
        <w:top w:val="none" w:sz="0" w:space="0" w:color="auto"/>
        <w:left w:val="none" w:sz="0" w:space="0" w:color="auto"/>
        <w:bottom w:val="none" w:sz="0" w:space="0" w:color="auto"/>
        <w:right w:val="none" w:sz="0" w:space="0" w:color="auto"/>
      </w:divBdr>
    </w:div>
    <w:div w:id="1862627368">
      <w:bodyDiv w:val="1"/>
      <w:marLeft w:val="0"/>
      <w:marRight w:val="0"/>
      <w:marTop w:val="0"/>
      <w:marBottom w:val="0"/>
      <w:divBdr>
        <w:top w:val="none" w:sz="0" w:space="0" w:color="auto"/>
        <w:left w:val="none" w:sz="0" w:space="0" w:color="auto"/>
        <w:bottom w:val="none" w:sz="0" w:space="0" w:color="auto"/>
        <w:right w:val="none" w:sz="0" w:space="0" w:color="auto"/>
      </w:divBdr>
    </w:div>
    <w:div w:id="1879970853">
      <w:bodyDiv w:val="1"/>
      <w:marLeft w:val="0"/>
      <w:marRight w:val="0"/>
      <w:marTop w:val="0"/>
      <w:marBottom w:val="0"/>
      <w:divBdr>
        <w:top w:val="none" w:sz="0" w:space="0" w:color="auto"/>
        <w:left w:val="none" w:sz="0" w:space="0" w:color="auto"/>
        <w:bottom w:val="none" w:sz="0" w:space="0" w:color="auto"/>
        <w:right w:val="none" w:sz="0" w:space="0" w:color="auto"/>
      </w:divBdr>
    </w:div>
    <w:div w:id="1972831529">
      <w:bodyDiv w:val="1"/>
      <w:marLeft w:val="0"/>
      <w:marRight w:val="0"/>
      <w:marTop w:val="0"/>
      <w:marBottom w:val="0"/>
      <w:divBdr>
        <w:top w:val="none" w:sz="0" w:space="0" w:color="auto"/>
        <w:left w:val="none" w:sz="0" w:space="0" w:color="auto"/>
        <w:bottom w:val="none" w:sz="0" w:space="0" w:color="auto"/>
        <w:right w:val="none" w:sz="0" w:space="0" w:color="auto"/>
      </w:divBdr>
    </w:div>
    <w:div w:id="1989478593">
      <w:bodyDiv w:val="1"/>
      <w:marLeft w:val="0"/>
      <w:marRight w:val="0"/>
      <w:marTop w:val="0"/>
      <w:marBottom w:val="0"/>
      <w:divBdr>
        <w:top w:val="none" w:sz="0" w:space="0" w:color="auto"/>
        <w:left w:val="none" w:sz="0" w:space="0" w:color="auto"/>
        <w:bottom w:val="none" w:sz="0" w:space="0" w:color="auto"/>
        <w:right w:val="none" w:sz="0" w:space="0" w:color="auto"/>
      </w:divBdr>
    </w:div>
    <w:div w:id="2036348792">
      <w:bodyDiv w:val="1"/>
      <w:marLeft w:val="0"/>
      <w:marRight w:val="0"/>
      <w:marTop w:val="0"/>
      <w:marBottom w:val="0"/>
      <w:divBdr>
        <w:top w:val="none" w:sz="0" w:space="0" w:color="auto"/>
        <w:left w:val="none" w:sz="0" w:space="0" w:color="auto"/>
        <w:bottom w:val="none" w:sz="0" w:space="0" w:color="auto"/>
        <w:right w:val="none" w:sz="0" w:space="0" w:color="auto"/>
      </w:divBdr>
    </w:div>
    <w:div w:id="2076773946">
      <w:bodyDiv w:val="1"/>
      <w:marLeft w:val="0"/>
      <w:marRight w:val="0"/>
      <w:marTop w:val="0"/>
      <w:marBottom w:val="0"/>
      <w:divBdr>
        <w:top w:val="none" w:sz="0" w:space="0" w:color="auto"/>
        <w:left w:val="none" w:sz="0" w:space="0" w:color="auto"/>
        <w:bottom w:val="none" w:sz="0" w:space="0" w:color="auto"/>
        <w:right w:val="none" w:sz="0" w:space="0" w:color="auto"/>
      </w:divBdr>
    </w:div>
    <w:div w:id="20879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15315</Words>
  <Characters>87300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Dr. Seema Bhakuni</cp:lastModifiedBy>
  <cp:revision>2</cp:revision>
  <dcterms:created xsi:type="dcterms:W3CDTF">2025-08-26T05:45:00Z</dcterms:created>
  <dcterms:modified xsi:type="dcterms:W3CDTF">2025-08-26T05:45:00Z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id="3lzrzQmJ"/&gt;&lt;style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2c0da7b3-f370-4a04-8085-43f1327e2140</vt:lpwstr>
  </property>
</Properties>
</file>