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69859" w14:textId="77777777" w:rsidR="004C2A7F" w:rsidRPr="004C2A7F" w:rsidRDefault="004C2A7F" w:rsidP="004C2A7F">
      <w:pPr>
        <w:spacing w:line="276" w:lineRule="auto"/>
        <w:ind w:left="0"/>
        <w:jc w:val="right"/>
        <w:rPr>
          <w:rFonts w:ascii="Arial" w:hAnsi="Arial" w:cs="Arial"/>
          <w:b/>
          <w:bCs/>
          <w:i/>
          <w:iCs/>
          <w:sz w:val="28"/>
          <w:szCs w:val="28"/>
          <w:u w:val="single"/>
        </w:rPr>
      </w:pPr>
      <w:r w:rsidRPr="004C2A7F">
        <w:rPr>
          <w:rFonts w:ascii="Arial" w:hAnsi="Arial" w:cs="Arial"/>
          <w:b/>
          <w:bCs/>
          <w:i/>
          <w:iCs/>
          <w:sz w:val="28"/>
          <w:szCs w:val="28"/>
          <w:u w:val="single"/>
        </w:rPr>
        <w:t>Original Research Article</w:t>
      </w:r>
    </w:p>
    <w:p w14:paraId="7AD47224" w14:textId="77777777" w:rsidR="004C2A7F" w:rsidRDefault="004C2A7F" w:rsidP="0025359C">
      <w:pPr>
        <w:spacing w:line="276" w:lineRule="auto"/>
        <w:ind w:left="0"/>
        <w:jc w:val="right"/>
        <w:rPr>
          <w:rFonts w:ascii="Arial" w:hAnsi="Arial" w:cs="Arial"/>
          <w:b/>
          <w:bCs/>
          <w:sz w:val="28"/>
          <w:szCs w:val="28"/>
        </w:rPr>
      </w:pPr>
    </w:p>
    <w:p w14:paraId="146C456A" w14:textId="561B929D" w:rsidR="00675B5E" w:rsidRPr="004C2A7F" w:rsidRDefault="00675B5E" w:rsidP="0025359C">
      <w:pPr>
        <w:spacing w:line="276" w:lineRule="auto"/>
        <w:ind w:left="0"/>
        <w:jc w:val="right"/>
        <w:rPr>
          <w:rFonts w:ascii="Arial" w:hAnsi="Arial" w:cs="Arial"/>
          <w:b/>
          <w:bCs/>
          <w:sz w:val="28"/>
          <w:szCs w:val="28"/>
        </w:rPr>
      </w:pPr>
      <w:r w:rsidRPr="004C2A7F">
        <w:rPr>
          <w:rFonts w:ascii="Arial" w:hAnsi="Arial" w:cs="Arial"/>
          <w:b/>
          <w:bCs/>
          <w:sz w:val="28"/>
          <w:szCs w:val="28"/>
        </w:rPr>
        <w:t xml:space="preserve">CYTOLOGICAL ASSESSMENT OF NUCLEAR ABNORMALITIES IN THE BUCCAL EPITHELIAL CELLS OF THE WASTE HANDLERS IN ESUTH </w:t>
      </w:r>
      <w:bookmarkStart w:id="0" w:name="_Hlk208318015"/>
      <w:r w:rsidRPr="004C2A7F">
        <w:rPr>
          <w:rFonts w:ascii="Arial" w:hAnsi="Arial" w:cs="Arial"/>
          <w:b/>
          <w:bCs/>
          <w:sz w:val="28"/>
          <w:szCs w:val="28"/>
        </w:rPr>
        <w:t>TEACHING HOSPITAL AND ESUT COLLEGE OF MEDICINE PARKLANE</w:t>
      </w:r>
    </w:p>
    <w:p w14:paraId="150CADAD" w14:textId="656207B8" w:rsidR="007708C1" w:rsidRDefault="007708C1" w:rsidP="004C2A7F">
      <w:pPr>
        <w:pStyle w:val="NoSpacing"/>
        <w:ind w:left="0"/>
        <w:jc w:val="right"/>
        <w:rPr>
          <w:sz w:val="20"/>
          <w:szCs w:val="20"/>
        </w:rPr>
      </w:pPr>
    </w:p>
    <w:p w14:paraId="7CCF0DA2" w14:textId="77777777" w:rsidR="00830C81" w:rsidRDefault="00830C81" w:rsidP="004C2A7F">
      <w:pPr>
        <w:pStyle w:val="NoSpacing"/>
        <w:ind w:left="0"/>
        <w:jc w:val="right"/>
        <w:rPr>
          <w:sz w:val="20"/>
          <w:szCs w:val="20"/>
        </w:rPr>
      </w:pPr>
    </w:p>
    <w:bookmarkEnd w:id="0"/>
    <w:p w14:paraId="1CFBD66A" w14:textId="77777777" w:rsidR="00195F2B" w:rsidRPr="00195F2B" w:rsidRDefault="00195F2B" w:rsidP="00195F2B">
      <w:pPr>
        <w:pStyle w:val="NoSpacing"/>
        <w:ind w:left="0"/>
        <w:rPr>
          <w:sz w:val="20"/>
          <w:szCs w:val="20"/>
        </w:rPr>
      </w:pPr>
    </w:p>
    <w:p w14:paraId="7CA18DC3" w14:textId="6E20BEE5" w:rsidR="00F07748" w:rsidRPr="00195F2B" w:rsidRDefault="00195F2B" w:rsidP="00F07748">
      <w:pPr>
        <w:spacing w:line="360" w:lineRule="auto"/>
        <w:ind w:left="0"/>
        <w:jc w:val="both"/>
        <w:rPr>
          <w:rFonts w:ascii="Arial" w:hAnsi="Arial" w:cs="Arial"/>
          <w:b/>
          <w:sz w:val="22"/>
          <w:szCs w:val="22"/>
        </w:rPr>
      </w:pPr>
      <w:r w:rsidRPr="00195F2B">
        <w:rPr>
          <w:rFonts w:ascii="Arial" w:hAnsi="Arial" w:cs="Arial"/>
          <w:b/>
          <w:sz w:val="22"/>
          <w:szCs w:val="22"/>
        </w:rPr>
        <w:t>ABSTRACT</w:t>
      </w:r>
    </w:p>
    <w:p w14:paraId="0BDE322F" w14:textId="0251BBF8"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Background:</w:t>
      </w:r>
      <w:r w:rsidRPr="00195F2B">
        <w:rPr>
          <w:rFonts w:ascii="Arial" w:hAnsi="Arial" w:cs="Arial"/>
          <w:sz w:val="20"/>
          <w:szCs w:val="20"/>
        </w:rPr>
        <w:t xml:space="preserve"> Environmental and occupational exposures to hazardous agents are a growing public health concern, as they can cause genomic damage and increase the risk of developing long-term health problems. The micronuclei (MN) assay, along with other nuclear abnormalities such as binucleated cells, nuclear buds, and karyorrhexis, serves as a reliable and minimally invasive biomarker for assessing this cellular damage.</w:t>
      </w:r>
    </w:p>
    <w:p w14:paraId="0D4B1395" w14:textId="72227E8A"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Aim:</w:t>
      </w:r>
      <w:r w:rsidRPr="00195F2B">
        <w:rPr>
          <w:rFonts w:ascii="Arial" w:hAnsi="Arial" w:cs="Arial"/>
          <w:sz w:val="20"/>
          <w:szCs w:val="20"/>
        </w:rPr>
        <w:t xml:space="preserve"> This cross-sectional, observational, and analytical study was conducted at the Enugu State University Teaching Hospital and Enugu State University College of Medicine to investigate cytological abnormalities in the exfoliated buccal cells of waste handlers.</w:t>
      </w:r>
    </w:p>
    <w:p w14:paraId="35C92BFF" w14:textId="291C529B"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 xml:space="preserve">Methods: </w:t>
      </w:r>
      <w:r w:rsidRPr="00195F2B">
        <w:rPr>
          <w:rFonts w:ascii="Arial" w:hAnsi="Arial" w:cs="Arial"/>
          <w:sz w:val="20"/>
          <w:szCs w:val="20"/>
        </w:rPr>
        <w:t>A total of 60 participants were recruited, comprising 30 healthy controls and 30 waste handlers from three distinct groups: ESWAMA, hospital, and hostel. After obtaining ethical clearance and informed consent, buccal smears were collected, stained using the Papanicolaou procedure, and analyzed for nuclear abnormalities. Data were assessed using SPSS, with a significance level of p&lt;0.05.</w:t>
      </w:r>
    </w:p>
    <w:p w14:paraId="642B3F19" w14:textId="1A180B65"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 xml:space="preserve">Results: </w:t>
      </w:r>
      <w:r w:rsidRPr="00195F2B">
        <w:rPr>
          <w:rFonts w:ascii="Arial" w:hAnsi="Arial" w:cs="Arial"/>
          <w:sz w:val="20"/>
          <w:szCs w:val="20"/>
        </w:rPr>
        <w:t>The results revealed that waste handlers, as a collective group, had significantly higher mean frequencies of micronuclei (p=0.00), binucleated cells (p=0.03), nuclear buds (p=0.00), and karyorrhexis (p=0.00) compared to the control group. Sub-group analysis showed that ESWAMA waste handlers exhibited the most severe cytological damage, with significantly elevated levels of all four nuclear abnormalities. Conversely, while hospital cleaners showed a significant increase in micronuclei, their rates of other nuclear changes were not statistically significant, and hostel cleaners showed no significant difference from the control group. Furthermore, lifestyle factors, including smoking and alcohol consumption, were independently associated with a significant increase in multiple nuclear abnormalities.</w:t>
      </w:r>
    </w:p>
    <w:p w14:paraId="7B67280E" w14:textId="37520F8C" w:rsidR="00F07748" w:rsidRPr="00195F2B" w:rsidRDefault="00F07748" w:rsidP="00195F2B">
      <w:pPr>
        <w:pStyle w:val="NoSpacing"/>
        <w:ind w:left="0"/>
        <w:jc w:val="both"/>
        <w:rPr>
          <w:rFonts w:ascii="Arial" w:hAnsi="Arial" w:cs="Arial"/>
          <w:sz w:val="20"/>
          <w:szCs w:val="20"/>
        </w:rPr>
      </w:pPr>
      <w:r w:rsidRPr="00195F2B">
        <w:rPr>
          <w:rFonts w:ascii="Arial" w:hAnsi="Arial" w:cs="Arial"/>
          <w:b/>
          <w:sz w:val="20"/>
          <w:szCs w:val="20"/>
        </w:rPr>
        <w:t xml:space="preserve">Conclusion: </w:t>
      </w:r>
      <w:r w:rsidRPr="00195F2B">
        <w:rPr>
          <w:rFonts w:ascii="Arial" w:hAnsi="Arial" w:cs="Arial"/>
          <w:sz w:val="20"/>
          <w:szCs w:val="20"/>
        </w:rPr>
        <w:t>These findings suggest that occupational exposure to waste, particularly for ESWAMA workers, poses a significant genotoxic risk and highlights the critical need for improved health and safety protocols for this population.</w:t>
      </w:r>
    </w:p>
    <w:p w14:paraId="622B2F32" w14:textId="77777777" w:rsidR="00F07748" w:rsidRPr="00C577B3" w:rsidRDefault="00F07748" w:rsidP="00195F2B">
      <w:pPr>
        <w:pStyle w:val="NoSpacing"/>
        <w:ind w:left="0"/>
        <w:jc w:val="both"/>
        <w:rPr>
          <w:rFonts w:ascii="Arial" w:hAnsi="Arial" w:cs="Arial"/>
          <w:sz w:val="22"/>
          <w:szCs w:val="22"/>
        </w:rPr>
      </w:pPr>
    </w:p>
    <w:p w14:paraId="26E3980B" w14:textId="7A04AFA9" w:rsidR="00797F9C" w:rsidRPr="00195F2B" w:rsidRDefault="00F07748" w:rsidP="00195F2B">
      <w:pPr>
        <w:spacing w:line="360" w:lineRule="auto"/>
        <w:ind w:left="0"/>
        <w:rPr>
          <w:rFonts w:ascii="Arial" w:hAnsi="Arial" w:cs="Arial"/>
          <w:bCs/>
          <w:sz w:val="20"/>
          <w:szCs w:val="20"/>
        </w:rPr>
      </w:pPr>
      <w:r w:rsidRPr="00195F2B">
        <w:rPr>
          <w:rFonts w:ascii="Arial" w:hAnsi="Arial" w:cs="Arial"/>
          <w:b/>
          <w:sz w:val="20"/>
          <w:szCs w:val="20"/>
        </w:rPr>
        <w:t>Keywords:</w:t>
      </w:r>
      <w:r w:rsidRPr="00195F2B">
        <w:rPr>
          <w:rFonts w:ascii="Arial" w:hAnsi="Arial" w:cs="Arial"/>
          <w:bCs/>
          <w:sz w:val="20"/>
          <w:szCs w:val="20"/>
        </w:rPr>
        <w:t xml:space="preserve"> Waste handlers, Micronuclei (MN) assay, Genotoxicity, Occupational exposure, Buccal cytology, Health and safety</w:t>
      </w:r>
    </w:p>
    <w:p w14:paraId="2742637B" w14:textId="77777777" w:rsidR="0025359C" w:rsidRPr="00C577B3" w:rsidRDefault="0025359C" w:rsidP="00F07748">
      <w:pPr>
        <w:spacing w:line="360" w:lineRule="auto"/>
        <w:ind w:left="0"/>
        <w:jc w:val="both"/>
        <w:rPr>
          <w:rFonts w:ascii="Arial" w:hAnsi="Arial" w:cs="Arial"/>
          <w:bCs/>
          <w:sz w:val="24"/>
          <w:szCs w:val="24"/>
        </w:rPr>
      </w:pPr>
    </w:p>
    <w:p w14:paraId="07DF3F96" w14:textId="64EAE9F2" w:rsidR="00394F3D" w:rsidRPr="00C577B3" w:rsidRDefault="000B0F0D" w:rsidP="000B0F0D">
      <w:pPr>
        <w:spacing w:line="360" w:lineRule="auto"/>
        <w:ind w:left="0"/>
        <w:rPr>
          <w:rFonts w:ascii="Arial" w:hAnsi="Arial" w:cs="Arial"/>
          <w:b/>
          <w:sz w:val="22"/>
          <w:szCs w:val="22"/>
        </w:rPr>
      </w:pPr>
      <w:r w:rsidRPr="00C577B3">
        <w:rPr>
          <w:rFonts w:ascii="Arial" w:hAnsi="Arial" w:cs="Arial"/>
          <w:b/>
          <w:sz w:val="22"/>
          <w:szCs w:val="22"/>
        </w:rPr>
        <w:t>INTRODUCTION</w:t>
      </w:r>
    </w:p>
    <w:p w14:paraId="5EE9D706" w14:textId="42208B44" w:rsidR="00D41B80" w:rsidRPr="00D41B80" w:rsidRDefault="00D41B80" w:rsidP="00D41B80">
      <w:pPr>
        <w:spacing w:after="0" w:line="240" w:lineRule="auto"/>
        <w:ind w:left="0"/>
        <w:jc w:val="both"/>
        <w:rPr>
          <w:rFonts w:ascii="Arial" w:eastAsia="Times New Roman" w:hAnsi="Arial" w:cs="Arial"/>
          <w:sz w:val="20"/>
          <w:szCs w:val="20"/>
        </w:rPr>
      </w:pPr>
      <w:r w:rsidRPr="00D41B80">
        <w:rPr>
          <w:rFonts w:ascii="Arial" w:eastAsia="Times New Roman" w:hAnsi="Arial" w:cs="Arial"/>
          <w:sz w:val="20"/>
          <w:szCs w:val="20"/>
        </w:rPr>
        <w:t xml:space="preserve">The health of human beings is influenced by a variety of factors, with environmental and occupational threats emerging as a growing concern. Exposure to agents that can cause congenital defects, mutations, and even cancer has been linked to numerous occupations </w:t>
      </w:r>
      <w:r w:rsidR="00CF4C6D">
        <w:rPr>
          <w:rFonts w:ascii="Arial" w:eastAsia="Times New Roman" w:hAnsi="Arial" w:cs="Arial"/>
          <w:sz w:val="20"/>
          <w:szCs w:val="20"/>
        </w:rPr>
        <w:t>[1]</w:t>
      </w:r>
      <w:r w:rsidRPr="00D41B80">
        <w:rPr>
          <w:rFonts w:ascii="Arial" w:eastAsia="Times New Roman" w:hAnsi="Arial" w:cs="Arial"/>
          <w:sz w:val="20"/>
          <w:szCs w:val="20"/>
        </w:rPr>
        <w:t>. These hazardous substances can enter the body through inhalation, ingestion, and dermal absorption, leading to genomic damage</w:t>
      </w:r>
      <w:r w:rsidR="009D629F">
        <w:rPr>
          <w:rFonts w:ascii="Arial" w:eastAsia="Times New Roman" w:hAnsi="Arial" w:cs="Arial"/>
          <w:sz w:val="20"/>
          <w:szCs w:val="20"/>
        </w:rPr>
        <w:t xml:space="preserve"> [2]</w:t>
      </w:r>
      <w:r w:rsidRPr="00D41B80">
        <w:rPr>
          <w:rFonts w:ascii="Arial" w:eastAsia="Times New Roman" w:hAnsi="Arial" w:cs="Arial"/>
          <w:sz w:val="20"/>
          <w:szCs w:val="20"/>
        </w:rPr>
        <w:t xml:space="preserve">. Specific </w:t>
      </w:r>
      <w:r w:rsidRPr="00D41B80">
        <w:rPr>
          <w:rFonts w:ascii="Arial" w:eastAsia="Times New Roman" w:hAnsi="Arial" w:cs="Arial"/>
          <w:sz w:val="20"/>
          <w:szCs w:val="20"/>
        </w:rPr>
        <w:lastRenderedPageBreak/>
        <w:t xml:space="preserve">types of cancer affecting the skin, pancreas, and urinary tract have been attributed to occupational exposures </w:t>
      </w:r>
      <w:r w:rsidR="009D629F">
        <w:rPr>
          <w:rFonts w:ascii="Arial" w:eastAsia="Times New Roman" w:hAnsi="Arial" w:cs="Arial"/>
          <w:sz w:val="20"/>
          <w:szCs w:val="20"/>
        </w:rPr>
        <w:t>[3].</w:t>
      </w:r>
    </w:p>
    <w:p w14:paraId="4BEAEE33" w14:textId="141811C6" w:rsidR="00D41B80" w:rsidRPr="00D41B80" w:rsidRDefault="00D41B80" w:rsidP="00D41B80">
      <w:pPr>
        <w:spacing w:after="0" w:line="240" w:lineRule="auto"/>
        <w:ind w:left="0"/>
        <w:jc w:val="both"/>
        <w:rPr>
          <w:rFonts w:ascii="Arial" w:eastAsia="Times New Roman" w:hAnsi="Arial" w:cs="Arial"/>
          <w:sz w:val="20"/>
          <w:szCs w:val="20"/>
        </w:rPr>
      </w:pPr>
      <w:r w:rsidRPr="00D41B80">
        <w:rPr>
          <w:rFonts w:ascii="Arial" w:eastAsia="Times New Roman" w:hAnsi="Arial" w:cs="Arial"/>
          <w:sz w:val="20"/>
          <w:szCs w:val="20"/>
        </w:rPr>
        <w:t xml:space="preserve">Damage to DNA or chromosomes can be identified through tissue biopsies or assays of blood lymphocytes and erythrocytes </w:t>
      </w:r>
      <w:r w:rsidR="009D629F">
        <w:rPr>
          <w:rFonts w:ascii="Arial" w:eastAsia="Times New Roman" w:hAnsi="Arial" w:cs="Arial"/>
          <w:sz w:val="20"/>
          <w:szCs w:val="20"/>
        </w:rPr>
        <w:t>[4]</w:t>
      </w:r>
      <w:r w:rsidRPr="00D41B80">
        <w:rPr>
          <w:rFonts w:ascii="Arial" w:eastAsia="Times New Roman" w:hAnsi="Arial" w:cs="Arial"/>
          <w:sz w:val="20"/>
          <w:szCs w:val="20"/>
        </w:rPr>
        <w:t xml:space="preserve">. However, the micronuclei (MN) assay has gained popularity as a biomarker of genetic damage due to its minimal invasiveness and effectiveness </w:t>
      </w:r>
      <w:r w:rsidR="009D629F">
        <w:rPr>
          <w:rFonts w:ascii="Arial" w:eastAsia="Times New Roman" w:hAnsi="Arial" w:cs="Arial"/>
          <w:sz w:val="20"/>
          <w:szCs w:val="20"/>
        </w:rPr>
        <w:t>[5]</w:t>
      </w:r>
      <w:r w:rsidRPr="00D41B80">
        <w:rPr>
          <w:rFonts w:ascii="Arial" w:eastAsia="Times New Roman" w:hAnsi="Arial" w:cs="Arial"/>
          <w:sz w:val="20"/>
          <w:szCs w:val="20"/>
        </w:rPr>
        <w:t xml:space="preserve">. The information provided by this assay can serve as an early warning of the potential risk for developing long-term health problems </w:t>
      </w:r>
      <w:r w:rsidR="009D629F">
        <w:rPr>
          <w:rFonts w:ascii="Arial" w:eastAsia="Times New Roman" w:hAnsi="Arial" w:cs="Arial"/>
          <w:sz w:val="20"/>
          <w:szCs w:val="20"/>
        </w:rPr>
        <w:t>[6]</w:t>
      </w:r>
      <w:r w:rsidRPr="00D41B80">
        <w:rPr>
          <w:rFonts w:ascii="Arial" w:eastAsia="Times New Roman" w:hAnsi="Arial" w:cs="Arial"/>
          <w:sz w:val="20"/>
          <w:szCs w:val="20"/>
        </w:rPr>
        <w:t xml:space="preserve">. In recent years, there has been a significant resurgence of interest in oral cytology as a diagnostic and prognostic tool, particularly for monitoring patients with potentially malignant disorders. The buccal mucosal micronuclei assay was initially proposed to evaluate genetic damage and instability </w:t>
      </w:r>
      <w:r w:rsidR="009D629F">
        <w:rPr>
          <w:rFonts w:ascii="Arial" w:eastAsia="Times New Roman" w:hAnsi="Arial" w:cs="Arial"/>
          <w:sz w:val="20"/>
          <w:szCs w:val="20"/>
        </w:rPr>
        <w:t>[7]</w:t>
      </w:r>
      <w:r w:rsidRPr="00D41B80">
        <w:rPr>
          <w:rFonts w:ascii="Arial" w:eastAsia="Times New Roman" w:hAnsi="Arial" w:cs="Arial"/>
          <w:sz w:val="20"/>
          <w:szCs w:val="20"/>
        </w:rPr>
        <w:t xml:space="preserve">. Gradual increases in micronuclei counts from normal buccal mucosa to potentially malignant disorders suggest a link between this biomarker and neoplastic progression </w:t>
      </w:r>
      <w:r w:rsidR="009D629F">
        <w:rPr>
          <w:rFonts w:ascii="Arial" w:eastAsia="Times New Roman" w:hAnsi="Arial" w:cs="Arial"/>
          <w:sz w:val="20"/>
          <w:szCs w:val="20"/>
        </w:rPr>
        <w:t>[8]</w:t>
      </w:r>
      <w:r w:rsidRPr="00D41B80">
        <w:rPr>
          <w:rFonts w:ascii="Arial" w:eastAsia="Times New Roman" w:hAnsi="Arial" w:cs="Arial"/>
          <w:sz w:val="20"/>
          <w:szCs w:val="20"/>
        </w:rPr>
        <w:t xml:space="preserve">. Due to the pain associated with invasive techniques, there has been a growing shift toward non-invasive diagnostic testing </w:t>
      </w:r>
      <w:r w:rsidR="009D629F">
        <w:rPr>
          <w:rFonts w:ascii="Arial" w:eastAsia="Times New Roman" w:hAnsi="Arial" w:cs="Arial"/>
          <w:sz w:val="20"/>
          <w:szCs w:val="20"/>
        </w:rPr>
        <w:t>[9][10]</w:t>
      </w:r>
      <w:r w:rsidRPr="00D41B80">
        <w:rPr>
          <w:rFonts w:ascii="Arial" w:eastAsia="Times New Roman" w:hAnsi="Arial" w:cs="Arial"/>
          <w:sz w:val="20"/>
          <w:szCs w:val="20"/>
        </w:rPr>
        <w:t xml:space="preserve">. In this context, exfoliative cytology, defined as the procurement and characterization of cells from the oral mucosa, is a safe and effective procedure that can be used for early screening of high-risk populations </w:t>
      </w:r>
      <w:r w:rsidR="00CE57AB">
        <w:rPr>
          <w:rFonts w:ascii="Arial" w:eastAsia="Times New Roman" w:hAnsi="Arial" w:cs="Arial"/>
          <w:sz w:val="20"/>
          <w:szCs w:val="20"/>
        </w:rPr>
        <w:t>[11].</w:t>
      </w:r>
      <w:r w:rsidRPr="00D41B80">
        <w:rPr>
          <w:rFonts w:ascii="Arial" w:eastAsia="Times New Roman" w:hAnsi="Arial" w:cs="Arial"/>
          <w:sz w:val="20"/>
          <w:szCs w:val="20"/>
        </w:rPr>
        <w:t xml:space="preserve"> Micronuclei are microscopically visible, round to oval chromatin masses in the cytoplasm, representing chromosome fragments or whole chromosomes that were delayed during cell division </w:t>
      </w:r>
      <w:r w:rsidR="00CE57AB">
        <w:rPr>
          <w:rFonts w:ascii="Arial" w:eastAsia="Times New Roman" w:hAnsi="Arial" w:cs="Arial"/>
          <w:sz w:val="20"/>
          <w:szCs w:val="20"/>
        </w:rPr>
        <w:t>[12]</w:t>
      </w:r>
      <w:r w:rsidRPr="00D41B80">
        <w:rPr>
          <w:rFonts w:ascii="Arial" w:eastAsia="Times New Roman" w:hAnsi="Arial" w:cs="Arial"/>
          <w:sz w:val="20"/>
          <w:szCs w:val="20"/>
        </w:rPr>
        <w:t xml:space="preserve">. Other nuclear abnormalities, such as binucleated cells, karyorrhexis, and nuclear buds, are also evaluated as indicators of cellular damage </w:t>
      </w:r>
      <w:r w:rsidR="00CE57AB">
        <w:rPr>
          <w:rFonts w:ascii="Arial" w:eastAsia="Times New Roman" w:hAnsi="Arial" w:cs="Arial"/>
          <w:sz w:val="20"/>
          <w:szCs w:val="20"/>
        </w:rPr>
        <w:t>[13]</w:t>
      </w:r>
      <w:r w:rsidRPr="00D41B80">
        <w:rPr>
          <w:rFonts w:ascii="Arial" w:eastAsia="Times New Roman" w:hAnsi="Arial" w:cs="Arial"/>
          <w:sz w:val="20"/>
          <w:szCs w:val="20"/>
        </w:rPr>
        <w:t xml:space="preserve">. The presence of these markers is often linked to environmental and occupational exposure to pollutants </w:t>
      </w:r>
      <w:r w:rsidR="00CE57AB">
        <w:rPr>
          <w:rFonts w:ascii="Arial" w:eastAsia="Times New Roman" w:hAnsi="Arial" w:cs="Arial"/>
          <w:sz w:val="20"/>
          <w:szCs w:val="20"/>
        </w:rPr>
        <w:t>[14]</w:t>
      </w:r>
      <w:r w:rsidRPr="00D41B80">
        <w:rPr>
          <w:rFonts w:ascii="Arial" w:eastAsia="Times New Roman" w:hAnsi="Arial" w:cs="Arial"/>
          <w:sz w:val="20"/>
          <w:szCs w:val="20"/>
        </w:rPr>
        <w:t>.</w:t>
      </w:r>
    </w:p>
    <w:p w14:paraId="0EC0FF62" w14:textId="3114D36F" w:rsidR="00D41B80" w:rsidRPr="00D41B80" w:rsidRDefault="00D41B80" w:rsidP="00D41B80">
      <w:pPr>
        <w:spacing w:after="0" w:line="240" w:lineRule="auto"/>
        <w:ind w:left="0"/>
        <w:jc w:val="both"/>
        <w:rPr>
          <w:rFonts w:ascii="Arial" w:eastAsia="Times New Roman" w:hAnsi="Arial" w:cs="Arial"/>
          <w:sz w:val="20"/>
          <w:szCs w:val="20"/>
        </w:rPr>
      </w:pPr>
      <w:r w:rsidRPr="00D41B80">
        <w:rPr>
          <w:rFonts w:ascii="Arial" w:eastAsia="Times New Roman" w:hAnsi="Arial" w:cs="Arial"/>
          <w:sz w:val="20"/>
          <w:szCs w:val="20"/>
        </w:rPr>
        <w:t xml:space="preserve">Waste handlers are a specific group occupationally exposed to complex mixtures of organic solvents and metals that are known to be potential toxic, mutagenic, and carcinogenic agents </w:t>
      </w:r>
      <w:r w:rsidR="00CE57AB">
        <w:rPr>
          <w:rFonts w:ascii="Arial" w:eastAsia="Times New Roman" w:hAnsi="Arial" w:cs="Arial"/>
          <w:sz w:val="20"/>
          <w:szCs w:val="20"/>
        </w:rPr>
        <w:t>[15</w:t>
      </w:r>
      <w:r w:rsidR="0076796A">
        <w:rPr>
          <w:rFonts w:ascii="Arial" w:eastAsia="Times New Roman" w:hAnsi="Arial" w:cs="Arial"/>
          <w:sz w:val="20"/>
          <w:szCs w:val="20"/>
        </w:rPr>
        <w:t>][16]</w:t>
      </w:r>
      <w:r w:rsidRPr="00D41B80">
        <w:rPr>
          <w:rFonts w:ascii="Arial" w:eastAsia="Times New Roman" w:hAnsi="Arial" w:cs="Arial"/>
          <w:sz w:val="20"/>
          <w:szCs w:val="20"/>
        </w:rPr>
        <w:t xml:space="preserve">. The present study was justified by the exposure of waste handlers at the Enugu State University Teaching Hospital and Enugu State University College of Medicine to such hazardous compounds, including trichloroethylene, a known carcinogen found in cleaning materials </w:t>
      </w:r>
      <w:r w:rsidR="0076796A">
        <w:rPr>
          <w:rFonts w:ascii="Arial" w:eastAsia="Times New Roman" w:hAnsi="Arial" w:cs="Arial"/>
          <w:sz w:val="20"/>
          <w:szCs w:val="20"/>
        </w:rPr>
        <w:t>[17]</w:t>
      </w:r>
      <w:r w:rsidRPr="00D41B80">
        <w:rPr>
          <w:rFonts w:ascii="Arial" w:eastAsia="Times New Roman" w:hAnsi="Arial" w:cs="Arial"/>
          <w:sz w:val="20"/>
          <w:szCs w:val="20"/>
        </w:rPr>
        <w:t>. Given that waste handlers are vital for maintaining environmental cleanliness, it is crucial to assess the positive or negative cytological effects of these exposures on their health</w:t>
      </w:r>
      <w:r w:rsidR="0076796A">
        <w:rPr>
          <w:rFonts w:ascii="Arial" w:eastAsia="Times New Roman" w:hAnsi="Arial" w:cs="Arial"/>
          <w:sz w:val="20"/>
          <w:szCs w:val="20"/>
        </w:rPr>
        <w:t xml:space="preserve"> [18]</w:t>
      </w:r>
      <w:r w:rsidRPr="00D41B80">
        <w:rPr>
          <w:rFonts w:ascii="Arial" w:eastAsia="Times New Roman" w:hAnsi="Arial" w:cs="Arial"/>
          <w:sz w:val="20"/>
          <w:szCs w:val="20"/>
        </w:rPr>
        <w:t>.</w:t>
      </w:r>
    </w:p>
    <w:p w14:paraId="5F9A3D38" w14:textId="5A4E9E9B" w:rsidR="00CF17AE" w:rsidRPr="00C577B3" w:rsidRDefault="00D41B80" w:rsidP="00D41B80">
      <w:pPr>
        <w:spacing w:after="0" w:line="240" w:lineRule="auto"/>
        <w:ind w:left="0"/>
        <w:jc w:val="both"/>
        <w:rPr>
          <w:rFonts w:ascii="Arial" w:eastAsia="Times New Roman" w:hAnsi="Arial" w:cs="Arial"/>
          <w:sz w:val="20"/>
          <w:szCs w:val="20"/>
        </w:rPr>
      </w:pPr>
      <w:r w:rsidRPr="00D41B80">
        <w:rPr>
          <w:rFonts w:ascii="Arial" w:eastAsia="Times New Roman" w:hAnsi="Arial" w:cs="Arial"/>
          <w:sz w:val="20"/>
          <w:szCs w:val="20"/>
        </w:rPr>
        <w:t xml:space="preserve">The aim of this study was to investigate the cytological abnormalities in the exfoliated buccal cells of waste handlers at Enugu State University Teaching Hospital and Enugu State University College of Medicine. </w:t>
      </w:r>
    </w:p>
    <w:p w14:paraId="6D238B15" w14:textId="77777777" w:rsidR="00CF17AE" w:rsidRPr="00C577B3" w:rsidRDefault="00CF17AE" w:rsidP="00F07748">
      <w:pPr>
        <w:spacing w:line="360" w:lineRule="auto"/>
        <w:ind w:left="0"/>
        <w:jc w:val="both"/>
        <w:rPr>
          <w:rFonts w:ascii="Arial" w:hAnsi="Arial" w:cs="Arial"/>
          <w:b/>
          <w:sz w:val="24"/>
          <w:szCs w:val="24"/>
        </w:rPr>
      </w:pPr>
    </w:p>
    <w:p w14:paraId="7ABDA330" w14:textId="57A9360B" w:rsidR="00845097" w:rsidRPr="00C577B3" w:rsidRDefault="00845097" w:rsidP="000B0F0D">
      <w:pPr>
        <w:spacing w:line="360" w:lineRule="auto"/>
        <w:ind w:left="0"/>
        <w:rPr>
          <w:rFonts w:ascii="Arial" w:hAnsi="Arial" w:cs="Arial"/>
          <w:b/>
          <w:bCs/>
          <w:sz w:val="22"/>
          <w:szCs w:val="22"/>
        </w:rPr>
      </w:pPr>
      <w:r w:rsidRPr="00C577B3">
        <w:rPr>
          <w:rFonts w:ascii="Arial" w:hAnsi="Arial" w:cs="Arial"/>
          <w:b/>
          <w:bCs/>
          <w:sz w:val="22"/>
          <w:szCs w:val="22"/>
        </w:rPr>
        <w:t>MATERIAL AND METHODS</w:t>
      </w:r>
    </w:p>
    <w:p w14:paraId="3975F68C" w14:textId="77777777" w:rsidR="000B0F0D" w:rsidRPr="000B0F0D" w:rsidRDefault="000B0F0D" w:rsidP="000B0F0D">
      <w:pPr>
        <w:spacing w:line="360" w:lineRule="auto"/>
        <w:ind w:left="0"/>
        <w:rPr>
          <w:rFonts w:ascii="Arial" w:hAnsi="Arial" w:cs="Arial"/>
          <w:bCs/>
          <w:sz w:val="20"/>
          <w:szCs w:val="20"/>
        </w:rPr>
      </w:pPr>
      <w:r w:rsidRPr="000B0F0D">
        <w:rPr>
          <w:rFonts w:ascii="Arial" w:hAnsi="Arial" w:cs="Arial"/>
          <w:bCs/>
          <w:sz w:val="20"/>
          <w:szCs w:val="20"/>
        </w:rPr>
        <w:t>This investigation was designed as a cross-sectional, observational, and analytical study. It was conducted at the Enugu State University Teaching Hospital and Enugu State University College of Medicine. A total of 60 participants were recruited, which included 30 apparently healthy non-waste handlers who formed the control group, and 30 waste handlers. The waste handlers were further subdivided into three distinct cohorts of 10 participants each: Enugu State Waste Management Authority (ESWAMA) workers, hospital waste handlers, and hostel waste handlers.</w:t>
      </w:r>
    </w:p>
    <w:p w14:paraId="7D803E0C" w14:textId="77777777" w:rsidR="000B0F0D" w:rsidRPr="000B0F0D" w:rsidRDefault="000B0F0D" w:rsidP="000B0F0D">
      <w:pPr>
        <w:spacing w:line="360" w:lineRule="auto"/>
        <w:ind w:left="0"/>
        <w:rPr>
          <w:rFonts w:ascii="Arial" w:hAnsi="Arial" w:cs="Arial"/>
          <w:bCs/>
          <w:sz w:val="20"/>
          <w:szCs w:val="20"/>
        </w:rPr>
      </w:pPr>
      <w:r w:rsidRPr="000B0F0D">
        <w:rPr>
          <w:rFonts w:ascii="Arial" w:hAnsi="Arial" w:cs="Arial"/>
          <w:bCs/>
          <w:sz w:val="20"/>
          <w:szCs w:val="20"/>
        </w:rPr>
        <w:t>Prior to the commencement of the study, ethical approval was secured from the Enugu State Teaching Hospital's Health Research and Ethics Committee. Furthermore, written informed consent was obtained from all participants to ensure their voluntary involvement and understanding of the study procedures. As an observational and cross-sectional study, its design and reporting generally align with the principles outlined in the STROBE (Strengthening the Reporting of Observational Studies in Epidemiology) guidelines.</w:t>
      </w:r>
    </w:p>
    <w:p w14:paraId="099FBCC4" w14:textId="0D50F5C8" w:rsidR="000B0F0D" w:rsidRPr="000B0F0D" w:rsidRDefault="000B0F0D" w:rsidP="000B0F0D">
      <w:pPr>
        <w:spacing w:line="360" w:lineRule="auto"/>
        <w:ind w:left="0"/>
        <w:rPr>
          <w:rFonts w:ascii="Arial" w:hAnsi="Arial" w:cs="Arial"/>
          <w:bCs/>
          <w:sz w:val="20"/>
          <w:szCs w:val="20"/>
        </w:rPr>
      </w:pPr>
      <w:r w:rsidRPr="000B0F0D">
        <w:rPr>
          <w:rFonts w:ascii="Arial" w:hAnsi="Arial" w:cs="Arial"/>
          <w:bCs/>
          <w:sz w:val="20"/>
          <w:szCs w:val="20"/>
        </w:rPr>
        <w:lastRenderedPageBreak/>
        <w:t>For sample collection, buccal smears were carefully collected from the inner cheeks of each participant using a sterile wooden spatula. These smears were then immediately applied onto frosted slides and fixed with 95% alcohol to preserve cellular morphology. The prepared slides were subsequently authenticated by both a cytologist and a histopathologist</w:t>
      </w:r>
      <w:r w:rsidR="00C0331E" w:rsidRPr="00C0331E">
        <w:t xml:space="preserve"> </w:t>
      </w:r>
      <w:r w:rsidR="0076796A">
        <w:rPr>
          <w:rFonts w:ascii="Arial" w:hAnsi="Arial" w:cs="Arial"/>
          <w:bCs/>
          <w:sz w:val="20"/>
          <w:szCs w:val="20"/>
        </w:rPr>
        <w:t>[19]</w:t>
      </w:r>
      <w:r w:rsidRPr="000B0F0D">
        <w:rPr>
          <w:rFonts w:ascii="Arial" w:hAnsi="Arial" w:cs="Arial"/>
          <w:bCs/>
          <w:sz w:val="20"/>
          <w:szCs w:val="20"/>
        </w:rPr>
        <w:t>. Following this, the slides were stained using the Papanicolaou (Pap) procedure for optimal visualization of cellular structures.</w:t>
      </w:r>
      <w:r w:rsidRPr="00C577B3">
        <w:rPr>
          <w:rFonts w:ascii="Arial" w:hAnsi="Arial" w:cs="Arial"/>
          <w:bCs/>
          <w:sz w:val="20"/>
          <w:szCs w:val="20"/>
        </w:rPr>
        <w:t xml:space="preserve"> </w:t>
      </w:r>
      <w:r w:rsidRPr="000B0F0D">
        <w:rPr>
          <w:rFonts w:ascii="Arial" w:hAnsi="Arial" w:cs="Arial"/>
          <w:bCs/>
          <w:sz w:val="20"/>
          <w:szCs w:val="20"/>
        </w:rPr>
        <w:t>The assessment of cellular damage involved the evaluation of micronuclei (MN) and other nuclear abnormalities, including binucleated cells, nuclear buds, and karyorrhexis. These cellular changes were meticulously assessed under a light microscope at x40 magnification.</w:t>
      </w:r>
      <w:r w:rsidRPr="00C577B3">
        <w:rPr>
          <w:rFonts w:ascii="Arial" w:hAnsi="Arial" w:cs="Arial"/>
          <w:bCs/>
          <w:sz w:val="20"/>
          <w:szCs w:val="20"/>
        </w:rPr>
        <w:t xml:space="preserve"> </w:t>
      </w:r>
      <w:r w:rsidRPr="000B0F0D">
        <w:rPr>
          <w:rFonts w:ascii="Arial" w:hAnsi="Arial" w:cs="Arial"/>
          <w:bCs/>
          <w:sz w:val="20"/>
          <w:szCs w:val="20"/>
        </w:rPr>
        <w:t>Data analysis was performed utilizing the Statistical Package for Social Sciences (SPSS). Comparative analyses, specifically the t-test and ANOVA, were employed to compare the mean ± standard deviation of the assessed parameters across the different groups. A significance level was predetermined at p = 0.05 for all statistical tests.</w:t>
      </w:r>
    </w:p>
    <w:p w14:paraId="6EDD09A1" w14:textId="77777777" w:rsidR="006652DB" w:rsidRPr="00C577B3" w:rsidRDefault="006652DB" w:rsidP="00F07748">
      <w:pPr>
        <w:spacing w:line="360" w:lineRule="auto"/>
        <w:ind w:left="0"/>
        <w:jc w:val="both"/>
        <w:rPr>
          <w:rFonts w:ascii="Arial" w:hAnsi="Arial" w:cs="Arial"/>
          <w:b/>
          <w:sz w:val="24"/>
          <w:szCs w:val="24"/>
        </w:rPr>
      </w:pPr>
    </w:p>
    <w:p w14:paraId="0E60609C" w14:textId="77777777" w:rsidR="00F07748" w:rsidRPr="00C577B3" w:rsidRDefault="00F333AB" w:rsidP="000B0F0D">
      <w:pPr>
        <w:spacing w:line="360" w:lineRule="auto"/>
        <w:ind w:left="0"/>
        <w:rPr>
          <w:rFonts w:ascii="Arial" w:hAnsi="Arial" w:cs="Arial"/>
          <w:b/>
          <w:sz w:val="22"/>
          <w:szCs w:val="22"/>
        </w:rPr>
      </w:pPr>
      <w:r w:rsidRPr="00C577B3">
        <w:rPr>
          <w:rFonts w:ascii="Arial" w:hAnsi="Arial" w:cs="Arial"/>
          <w:b/>
          <w:sz w:val="22"/>
          <w:szCs w:val="22"/>
        </w:rPr>
        <w:t>RESULTS</w:t>
      </w:r>
    </w:p>
    <w:p w14:paraId="742CD3A6" w14:textId="728F429A" w:rsidR="00F07748" w:rsidRPr="00C577B3" w:rsidRDefault="000B0F0D" w:rsidP="000B0F0D">
      <w:pPr>
        <w:spacing w:line="360" w:lineRule="auto"/>
        <w:ind w:left="0"/>
        <w:rPr>
          <w:rFonts w:ascii="Arial" w:hAnsi="Arial" w:cs="Arial"/>
          <w:b/>
          <w:sz w:val="22"/>
          <w:szCs w:val="22"/>
        </w:rPr>
      </w:pPr>
      <w:r w:rsidRPr="00C577B3">
        <w:rPr>
          <w:rFonts w:ascii="Arial" w:hAnsi="Arial" w:cs="Arial"/>
          <w:b/>
          <w:sz w:val="22"/>
          <w:szCs w:val="22"/>
        </w:rPr>
        <w:t>3</w:t>
      </w:r>
      <w:r w:rsidR="00F333AB" w:rsidRPr="00C577B3">
        <w:rPr>
          <w:rFonts w:ascii="Arial" w:hAnsi="Arial" w:cs="Arial"/>
          <w:b/>
          <w:sz w:val="22"/>
          <w:szCs w:val="22"/>
        </w:rPr>
        <w:t>.1 The summary of the general characteristics of the studied population</w:t>
      </w:r>
    </w:p>
    <w:p w14:paraId="6ED3748B" w14:textId="07C21BAF" w:rsidR="00F333AB" w:rsidRPr="00C577B3" w:rsidRDefault="00F333AB" w:rsidP="000B0F0D">
      <w:pPr>
        <w:spacing w:line="360" w:lineRule="auto"/>
        <w:ind w:left="0"/>
        <w:rPr>
          <w:rFonts w:ascii="Arial" w:hAnsi="Arial" w:cs="Arial"/>
          <w:b/>
          <w:sz w:val="20"/>
          <w:szCs w:val="20"/>
        </w:rPr>
      </w:pPr>
      <w:r w:rsidRPr="00C577B3">
        <w:rPr>
          <w:rFonts w:ascii="Arial" w:hAnsi="Arial" w:cs="Arial"/>
          <w:sz w:val="20"/>
          <w:szCs w:val="20"/>
        </w:rPr>
        <w:t>Based on information obtained from the questionnaires of the studied population, a summary of participant’s demographics and occupational exposure are highlighted in Tables 1.</w:t>
      </w:r>
      <w:r w:rsidR="000B0F0D" w:rsidRPr="00C577B3">
        <w:rPr>
          <w:rFonts w:ascii="Arial" w:hAnsi="Arial" w:cs="Arial"/>
          <w:sz w:val="20"/>
          <w:szCs w:val="20"/>
        </w:rPr>
        <w:t xml:space="preserve"> This table details the distribution of participants across ESWAMA, hospital, hostel waste handlers, and the control group by gender, marital status, age groups, years in occupation, use of Personal Protective Equipment (PPE), and lifestyle habits (smoking and alcohol consumption), as well as exposure to X-rays and medication status. For instance, all ESWAMA waste handlers were male, while all hospital and hostel cleaners were female. The control group consisted of both males (31.7%) and females (18.3%). A majority of the waste handlers (ESWAMA, hospital, and hostel) were married, whereas a larger proportion of the control group was single. ESWAMA workers, in particular, showed no use of PPE, unlike hospital cleaners where all (33.3%) reported using PPE. All ESWAMA workers (16.67%) reported alcohol consumption, and 4 (6.67%) of them were smokers, compared to 0 smokers among hospital and hostel cleaners</w:t>
      </w:r>
    </w:p>
    <w:p w14:paraId="412AE54B" w14:textId="7BD4EB68" w:rsidR="00F333AB" w:rsidRPr="00195F2B" w:rsidRDefault="00F333AB" w:rsidP="00F07748">
      <w:pPr>
        <w:spacing w:line="360" w:lineRule="auto"/>
        <w:jc w:val="both"/>
        <w:rPr>
          <w:rFonts w:ascii="Arial" w:hAnsi="Arial" w:cs="Arial"/>
          <w:sz w:val="20"/>
          <w:szCs w:val="20"/>
        </w:rPr>
      </w:pPr>
      <w:r w:rsidRPr="00195F2B">
        <w:rPr>
          <w:rFonts w:ascii="Arial" w:hAnsi="Arial" w:cs="Arial"/>
          <w:b/>
          <w:i/>
          <w:sz w:val="20"/>
          <w:szCs w:val="20"/>
        </w:rPr>
        <w:t>Table 1</w:t>
      </w:r>
      <w:r w:rsidRPr="00195F2B">
        <w:rPr>
          <w:rFonts w:ascii="Arial" w:hAnsi="Arial" w:cs="Arial"/>
          <w:b/>
          <w:sz w:val="20"/>
          <w:szCs w:val="20"/>
        </w:rPr>
        <w:t>-Summary of the general characteristics of the participating individuals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F333AB" w:rsidRPr="00C577B3" w14:paraId="37A3CA95" w14:textId="77777777" w:rsidTr="008A519F">
        <w:tc>
          <w:tcPr>
            <w:tcW w:w="1915" w:type="dxa"/>
            <w:vMerge w:val="restart"/>
            <w:tcBorders>
              <w:top w:val="single" w:sz="4" w:space="0" w:color="auto"/>
              <w:bottom w:val="nil"/>
            </w:tcBorders>
          </w:tcPr>
          <w:p w14:paraId="25AB3E32"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Characteristics</w:t>
            </w:r>
          </w:p>
        </w:tc>
        <w:tc>
          <w:tcPr>
            <w:tcW w:w="7661" w:type="dxa"/>
            <w:gridSpan w:val="4"/>
            <w:tcBorders>
              <w:top w:val="single" w:sz="4" w:space="0" w:color="auto"/>
              <w:bottom w:val="nil"/>
            </w:tcBorders>
          </w:tcPr>
          <w:p w14:paraId="357DD6BC" w14:textId="6110469B" w:rsidR="00F333AB" w:rsidRPr="00C577B3" w:rsidRDefault="00F333AB" w:rsidP="00F07748">
            <w:pPr>
              <w:spacing w:line="360" w:lineRule="auto"/>
              <w:jc w:val="both"/>
              <w:rPr>
                <w:rFonts w:ascii="Arial" w:hAnsi="Arial" w:cs="Arial"/>
                <w:sz w:val="20"/>
                <w:szCs w:val="20"/>
              </w:rPr>
            </w:pPr>
            <w:r w:rsidRPr="00C577B3">
              <w:rPr>
                <w:rFonts w:ascii="Arial" w:hAnsi="Arial" w:cs="Arial"/>
                <w:b/>
                <w:sz w:val="20"/>
                <w:szCs w:val="20"/>
              </w:rPr>
              <w:t xml:space="preserve">                                   GROUPS [n/% </w:t>
            </w:r>
            <w:r w:rsidR="00F07748" w:rsidRPr="00C577B3">
              <w:rPr>
                <w:rFonts w:ascii="Arial" w:hAnsi="Arial" w:cs="Arial"/>
                <w:b/>
                <w:sz w:val="20"/>
                <w:szCs w:val="20"/>
              </w:rPr>
              <w:t>of total</w:t>
            </w:r>
            <w:r w:rsidRPr="00C577B3">
              <w:rPr>
                <w:rFonts w:ascii="Arial" w:hAnsi="Arial" w:cs="Arial"/>
                <w:b/>
                <w:sz w:val="20"/>
                <w:szCs w:val="20"/>
              </w:rPr>
              <w:t>]</w:t>
            </w:r>
          </w:p>
        </w:tc>
      </w:tr>
      <w:tr w:rsidR="00F333AB" w:rsidRPr="00C577B3" w14:paraId="29E200BB" w14:textId="77777777" w:rsidTr="008A519F">
        <w:tc>
          <w:tcPr>
            <w:tcW w:w="1915" w:type="dxa"/>
            <w:vMerge/>
            <w:tcBorders>
              <w:top w:val="nil"/>
              <w:bottom w:val="single" w:sz="4" w:space="0" w:color="auto"/>
            </w:tcBorders>
          </w:tcPr>
          <w:p w14:paraId="219F7944" w14:textId="77777777" w:rsidR="00F333AB" w:rsidRPr="00C577B3" w:rsidRDefault="00F333AB" w:rsidP="00F07748">
            <w:pPr>
              <w:spacing w:line="360" w:lineRule="auto"/>
              <w:jc w:val="both"/>
              <w:rPr>
                <w:rFonts w:ascii="Arial" w:hAnsi="Arial" w:cs="Arial"/>
                <w:sz w:val="20"/>
                <w:szCs w:val="20"/>
              </w:rPr>
            </w:pPr>
          </w:p>
        </w:tc>
        <w:tc>
          <w:tcPr>
            <w:tcW w:w="1915" w:type="dxa"/>
            <w:tcBorders>
              <w:top w:val="nil"/>
              <w:bottom w:val="single" w:sz="4" w:space="0" w:color="auto"/>
            </w:tcBorders>
          </w:tcPr>
          <w:p w14:paraId="7DFBF5F3"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ESWAMA</w:t>
            </w:r>
          </w:p>
        </w:tc>
        <w:tc>
          <w:tcPr>
            <w:tcW w:w="1915" w:type="dxa"/>
            <w:tcBorders>
              <w:top w:val="nil"/>
              <w:bottom w:val="single" w:sz="4" w:space="0" w:color="auto"/>
            </w:tcBorders>
          </w:tcPr>
          <w:p w14:paraId="461759B9"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Hosp. Cleaners</w:t>
            </w:r>
          </w:p>
        </w:tc>
        <w:tc>
          <w:tcPr>
            <w:tcW w:w="1915" w:type="dxa"/>
            <w:tcBorders>
              <w:top w:val="nil"/>
              <w:bottom w:val="single" w:sz="4" w:space="0" w:color="auto"/>
            </w:tcBorders>
          </w:tcPr>
          <w:p w14:paraId="08D9DE29"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Hostel cleaners</w:t>
            </w:r>
          </w:p>
        </w:tc>
        <w:tc>
          <w:tcPr>
            <w:tcW w:w="1916" w:type="dxa"/>
            <w:tcBorders>
              <w:top w:val="nil"/>
              <w:bottom w:val="single" w:sz="4" w:space="0" w:color="auto"/>
            </w:tcBorders>
          </w:tcPr>
          <w:p w14:paraId="292C771B"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Control</w:t>
            </w:r>
          </w:p>
        </w:tc>
      </w:tr>
      <w:tr w:rsidR="00F333AB" w:rsidRPr="00C577B3" w14:paraId="6B2556A8" w14:textId="77777777" w:rsidTr="008A519F">
        <w:tc>
          <w:tcPr>
            <w:tcW w:w="1915" w:type="dxa"/>
            <w:tcBorders>
              <w:top w:val="single" w:sz="4" w:space="0" w:color="auto"/>
            </w:tcBorders>
          </w:tcPr>
          <w:p w14:paraId="5E42C911"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Gender</w:t>
            </w:r>
          </w:p>
        </w:tc>
        <w:tc>
          <w:tcPr>
            <w:tcW w:w="1915" w:type="dxa"/>
            <w:tcBorders>
              <w:top w:val="single" w:sz="4" w:space="0" w:color="auto"/>
            </w:tcBorders>
          </w:tcPr>
          <w:p w14:paraId="432887CA" w14:textId="77777777" w:rsidR="00F333AB" w:rsidRPr="00C577B3" w:rsidRDefault="00F333AB" w:rsidP="00F07748">
            <w:pPr>
              <w:spacing w:line="360" w:lineRule="auto"/>
              <w:jc w:val="both"/>
              <w:rPr>
                <w:rFonts w:ascii="Arial" w:hAnsi="Arial" w:cs="Arial"/>
                <w:sz w:val="20"/>
                <w:szCs w:val="20"/>
              </w:rPr>
            </w:pPr>
          </w:p>
        </w:tc>
        <w:tc>
          <w:tcPr>
            <w:tcW w:w="1915" w:type="dxa"/>
            <w:tcBorders>
              <w:top w:val="single" w:sz="4" w:space="0" w:color="auto"/>
            </w:tcBorders>
          </w:tcPr>
          <w:p w14:paraId="04EE1878" w14:textId="77777777" w:rsidR="00F333AB" w:rsidRPr="00C577B3" w:rsidRDefault="00F333AB" w:rsidP="00F07748">
            <w:pPr>
              <w:spacing w:line="360" w:lineRule="auto"/>
              <w:jc w:val="both"/>
              <w:rPr>
                <w:rFonts w:ascii="Arial" w:hAnsi="Arial" w:cs="Arial"/>
                <w:sz w:val="20"/>
                <w:szCs w:val="20"/>
              </w:rPr>
            </w:pPr>
          </w:p>
        </w:tc>
        <w:tc>
          <w:tcPr>
            <w:tcW w:w="1915" w:type="dxa"/>
            <w:tcBorders>
              <w:top w:val="single" w:sz="4" w:space="0" w:color="auto"/>
            </w:tcBorders>
          </w:tcPr>
          <w:p w14:paraId="3D2D5D08" w14:textId="77777777" w:rsidR="00F333AB" w:rsidRPr="00C577B3" w:rsidRDefault="00F333AB" w:rsidP="00F07748">
            <w:pPr>
              <w:spacing w:line="360" w:lineRule="auto"/>
              <w:jc w:val="both"/>
              <w:rPr>
                <w:rFonts w:ascii="Arial" w:hAnsi="Arial" w:cs="Arial"/>
                <w:sz w:val="20"/>
                <w:szCs w:val="20"/>
              </w:rPr>
            </w:pPr>
          </w:p>
        </w:tc>
        <w:tc>
          <w:tcPr>
            <w:tcW w:w="1916" w:type="dxa"/>
            <w:tcBorders>
              <w:top w:val="single" w:sz="4" w:space="0" w:color="auto"/>
            </w:tcBorders>
          </w:tcPr>
          <w:p w14:paraId="1056C08B" w14:textId="77777777" w:rsidR="00F333AB" w:rsidRPr="00C577B3" w:rsidRDefault="00F333AB" w:rsidP="00F07748">
            <w:pPr>
              <w:spacing w:line="360" w:lineRule="auto"/>
              <w:jc w:val="both"/>
              <w:rPr>
                <w:rFonts w:ascii="Arial" w:hAnsi="Arial" w:cs="Arial"/>
                <w:sz w:val="20"/>
                <w:szCs w:val="20"/>
              </w:rPr>
            </w:pPr>
          </w:p>
        </w:tc>
      </w:tr>
      <w:tr w:rsidR="00F333AB" w:rsidRPr="00C577B3" w14:paraId="6300005A" w14:textId="77777777" w:rsidTr="008A519F">
        <w:tc>
          <w:tcPr>
            <w:tcW w:w="1915" w:type="dxa"/>
          </w:tcPr>
          <w:p w14:paraId="127A53C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Male</w:t>
            </w:r>
          </w:p>
        </w:tc>
        <w:tc>
          <w:tcPr>
            <w:tcW w:w="1915" w:type="dxa"/>
          </w:tcPr>
          <w:p w14:paraId="79ECF71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12D052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5D0AF83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08E20C5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19 (31.7%)</w:t>
            </w:r>
          </w:p>
        </w:tc>
      </w:tr>
      <w:tr w:rsidR="00F333AB" w:rsidRPr="00C577B3" w14:paraId="065FD854" w14:textId="77777777" w:rsidTr="008A519F">
        <w:tc>
          <w:tcPr>
            <w:tcW w:w="1915" w:type="dxa"/>
          </w:tcPr>
          <w:p w14:paraId="121A76F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Female</w:t>
            </w:r>
          </w:p>
        </w:tc>
        <w:tc>
          <w:tcPr>
            <w:tcW w:w="1915" w:type="dxa"/>
          </w:tcPr>
          <w:p w14:paraId="1C533F7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40B5BE1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174A9C1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24525A5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11 (18,3%)</w:t>
            </w:r>
          </w:p>
        </w:tc>
      </w:tr>
      <w:tr w:rsidR="00F333AB" w:rsidRPr="00C577B3" w14:paraId="40549A79" w14:textId="77777777" w:rsidTr="008A519F">
        <w:tc>
          <w:tcPr>
            <w:tcW w:w="1915" w:type="dxa"/>
          </w:tcPr>
          <w:p w14:paraId="25FACE82"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21D1095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6B60770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6EC3C76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67C65FC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5E49101F" w14:textId="77777777" w:rsidTr="008A519F">
        <w:tc>
          <w:tcPr>
            <w:tcW w:w="1915" w:type="dxa"/>
          </w:tcPr>
          <w:p w14:paraId="08B6FD9C"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Marital status</w:t>
            </w:r>
          </w:p>
        </w:tc>
        <w:tc>
          <w:tcPr>
            <w:tcW w:w="1915" w:type="dxa"/>
          </w:tcPr>
          <w:p w14:paraId="6F2C017E" w14:textId="77777777" w:rsidR="00F333AB" w:rsidRPr="00C577B3" w:rsidRDefault="00F333AB" w:rsidP="00F07748">
            <w:pPr>
              <w:spacing w:line="360" w:lineRule="auto"/>
              <w:jc w:val="both"/>
              <w:rPr>
                <w:rFonts w:ascii="Arial" w:hAnsi="Arial" w:cs="Arial"/>
                <w:sz w:val="20"/>
                <w:szCs w:val="20"/>
              </w:rPr>
            </w:pPr>
          </w:p>
        </w:tc>
        <w:tc>
          <w:tcPr>
            <w:tcW w:w="1915" w:type="dxa"/>
          </w:tcPr>
          <w:p w14:paraId="064224FB" w14:textId="77777777" w:rsidR="00F333AB" w:rsidRPr="00C577B3" w:rsidRDefault="00F333AB" w:rsidP="00F07748">
            <w:pPr>
              <w:spacing w:line="360" w:lineRule="auto"/>
              <w:jc w:val="both"/>
              <w:rPr>
                <w:rFonts w:ascii="Arial" w:hAnsi="Arial" w:cs="Arial"/>
                <w:sz w:val="20"/>
                <w:szCs w:val="20"/>
              </w:rPr>
            </w:pPr>
          </w:p>
        </w:tc>
        <w:tc>
          <w:tcPr>
            <w:tcW w:w="1915" w:type="dxa"/>
          </w:tcPr>
          <w:p w14:paraId="32915B5F" w14:textId="77777777" w:rsidR="00F333AB" w:rsidRPr="00C577B3" w:rsidRDefault="00F333AB" w:rsidP="00F07748">
            <w:pPr>
              <w:spacing w:line="360" w:lineRule="auto"/>
              <w:jc w:val="both"/>
              <w:rPr>
                <w:rFonts w:ascii="Arial" w:hAnsi="Arial" w:cs="Arial"/>
                <w:sz w:val="20"/>
                <w:szCs w:val="20"/>
              </w:rPr>
            </w:pPr>
          </w:p>
        </w:tc>
        <w:tc>
          <w:tcPr>
            <w:tcW w:w="1916" w:type="dxa"/>
          </w:tcPr>
          <w:p w14:paraId="0D6B091B" w14:textId="77777777" w:rsidR="00F333AB" w:rsidRPr="00C577B3" w:rsidRDefault="00F333AB" w:rsidP="00F07748">
            <w:pPr>
              <w:spacing w:line="360" w:lineRule="auto"/>
              <w:jc w:val="both"/>
              <w:rPr>
                <w:rFonts w:ascii="Arial" w:hAnsi="Arial" w:cs="Arial"/>
                <w:sz w:val="20"/>
                <w:szCs w:val="20"/>
              </w:rPr>
            </w:pPr>
          </w:p>
        </w:tc>
      </w:tr>
      <w:tr w:rsidR="00F333AB" w:rsidRPr="00C577B3" w14:paraId="6DB82F8F" w14:textId="77777777" w:rsidTr="008A519F">
        <w:tc>
          <w:tcPr>
            <w:tcW w:w="1915" w:type="dxa"/>
          </w:tcPr>
          <w:p w14:paraId="33FC61C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lastRenderedPageBreak/>
              <w:t>Single</w:t>
            </w:r>
          </w:p>
        </w:tc>
        <w:tc>
          <w:tcPr>
            <w:tcW w:w="1915" w:type="dxa"/>
          </w:tcPr>
          <w:p w14:paraId="743F29E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 (3.33%)</w:t>
            </w:r>
          </w:p>
        </w:tc>
        <w:tc>
          <w:tcPr>
            <w:tcW w:w="1915" w:type="dxa"/>
          </w:tcPr>
          <w:p w14:paraId="3637D91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178F19C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67DB938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19(31.7%)</w:t>
            </w:r>
          </w:p>
        </w:tc>
      </w:tr>
      <w:tr w:rsidR="00F333AB" w:rsidRPr="00C577B3" w14:paraId="58329393" w14:textId="77777777" w:rsidTr="008A519F">
        <w:tc>
          <w:tcPr>
            <w:tcW w:w="1915" w:type="dxa"/>
          </w:tcPr>
          <w:p w14:paraId="4E0568A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Married</w:t>
            </w:r>
          </w:p>
        </w:tc>
        <w:tc>
          <w:tcPr>
            <w:tcW w:w="1915" w:type="dxa"/>
          </w:tcPr>
          <w:p w14:paraId="408C9121"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8 (13.33%)</w:t>
            </w:r>
          </w:p>
        </w:tc>
        <w:tc>
          <w:tcPr>
            <w:tcW w:w="1915" w:type="dxa"/>
          </w:tcPr>
          <w:p w14:paraId="6BA87D3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39D9C70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72B656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11 (18.3%)</w:t>
            </w:r>
          </w:p>
        </w:tc>
      </w:tr>
      <w:tr w:rsidR="00F333AB" w:rsidRPr="00C577B3" w14:paraId="59F3012A" w14:textId="77777777" w:rsidTr="008A519F">
        <w:tc>
          <w:tcPr>
            <w:tcW w:w="1915" w:type="dxa"/>
          </w:tcPr>
          <w:p w14:paraId="27544C70"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68053C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w:t>
            </w:r>
          </w:p>
        </w:tc>
        <w:tc>
          <w:tcPr>
            <w:tcW w:w="1915" w:type="dxa"/>
          </w:tcPr>
          <w:p w14:paraId="2C00356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1F0EA02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0F2357F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6B15C814" w14:textId="77777777" w:rsidTr="008A519F">
        <w:tc>
          <w:tcPr>
            <w:tcW w:w="1915" w:type="dxa"/>
          </w:tcPr>
          <w:p w14:paraId="5A807EF3"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Age groups</w:t>
            </w:r>
          </w:p>
        </w:tc>
        <w:tc>
          <w:tcPr>
            <w:tcW w:w="1915" w:type="dxa"/>
          </w:tcPr>
          <w:p w14:paraId="0E931030" w14:textId="77777777" w:rsidR="00F333AB" w:rsidRPr="00C577B3" w:rsidRDefault="00F333AB" w:rsidP="00F07748">
            <w:pPr>
              <w:spacing w:line="360" w:lineRule="auto"/>
              <w:jc w:val="both"/>
              <w:rPr>
                <w:rFonts w:ascii="Arial" w:hAnsi="Arial" w:cs="Arial"/>
                <w:sz w:val="20"/>
                <w:szCs w:val="20"/>
              </w:rPr>
            </w:pPr>
          </w:p>
        </w:tc>
        <w:tc>
          <w:tcPr>
            <w:tcW w:w="1915" w:type="dxa"/>
          </w:tcPr>
          <w:p w14:paraId="3AE0C818" w14:textId="77777777" w:rsidR="00F333AB" w:rsidRPr="00C577B3" w:rsidRDefault="00F333AB" w:rsidP="00F07748">
            <w:pPr>
              <w:spacing w:line="360" w:lineRule="auto"/>
              <w:jc w:val="both"/>
              <w:rPr>
                <w:rFonts w:ascii="Arial" w:hAnsi="Arial" w:cs="Arial"/>
                <w:sz w:val="20"/>
                <w:szCs w:val="20"/>
              </w:rPr>
            </w:pPr>
          </w:p>
        </w:tc>
        <w:tc>
          <w:tcPr>
            <w:tcW w:w="1915" w:type="dxa"/>
          </w:tcPr>
          <w:p w14:paraId="5C692592" w14:textId="77777777" w:rsidR="00F333AB" w:rsidRPr="00C577B3" w:rsidRDefault="00F333AB" w:rsidP="00F07748">
            <w:pPr>
              <w:spacing w:line="360" w:lineRule="auto"/>
              <w:jc w:val="both"/>
              <w:rPr>
                <w:rFonts w:ascii="Arial" w:hAnsi="Arial" w:cs="Arial"/>
                <w:sz w:val="20"/>
                <w:szCs w:val="20"/>
              </w:rPr>
            </w:pPr>
          </w:p>
        </w:tc>
        <w:tc>
          <w:tcPr>
            <w:tcW w:w="1916" w:type="dxa"/>
          </w:tcPr>
          <w:p w14:paraId="48D33E9C" w14:textId="77777777" w:rsidR="00F333AB" w:rsidRPr="00C577B3" w:rsidRDefault="00F333AB" w:rsidP="00F07748">
            <w:pPr>
              <w:spacing w:line="360" w:lineRule="auto"/>
              <w:jc w:val="both"/>
              <w:rPr>
                <w:rFonts w:ascii="Arial" w:hAnsi="Arial" w:cs="Arial"/>
                <w:sz w:val="20"/>
                <w:szCs w:val="20"/>
              </w:rPr>
            </w:pPr>
          </w:p>
        </w:tc>
      </w:tr>
      <w:tr w:rsidR="00F333AB" w:rsidRPr="00C577B3" w14:paraId="4B3CEC02" w14:textId="77777777" w:rsidTr="008A519F">
        <w:tc>
          <w:tcPr>
            <w:tcW w:w="1915" w:type="dxa"/>
          </w:tcPr>
          <w:p w14:paraId="3DA9863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18-30 years</w:t>
            </w:r>
          </w:p>
        </w:tc>
        <w:tc>
          <w:tcPr>
            <w:tcW w:w="1915" w:type="dxa"/>
          </w:tcPr>
          <w:p w14:paraId="2B8E31C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 (3.3%)</w:t>
            </w:r>
          </w:p>
        </w:tc>
        <w:tc>
          <w:tcPr>
            <w:tcW w:w="1915" w:type="dxa"/>
          </w:tcPr>
          <w:p w14:paraId="0917DA8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732690C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 (6.67%)</w:t>
            </w:r>
          </w:p>
        </w:tc>
        <w:tc>
          <w:tcPr>
            <w:tcW w:w="1916" w:type="dxa"/>
          </w:tcPr>
          <w:p w14:paraId="298E180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19 (31.7%)</w:t>
            </w:r>
          </w:p>
        </w:tc>
      </w:tr>
      <w:tr w:rsidR="00F333AB" w:rsidRPr="00C577B3" w14:paraId="419E101D" w14:textId="77777777" w:rsidTr="008A519F">
        <w:tc>
          <w:tcPr>
            <w:tcW w:w="1915" w:type="dxa"/>
          </w:tcPr>
          <w:p w14:paraId="7B36E14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31-42 years</w:t>
            </w:r>
          </w:p>
        </w:tc>
        <w:tc>
          <w:tcPr>
            <w:tcW w:w="1915" w:type="dxa"/>
          </w:tcPr>
          <w:p w14:paraId="036DC88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(6.7%)</w:t>
            </w:r>
          </w:p>
        </w:tc>
        <w:tc>
          <w:tcPr>
            <w:tcW w:w="1915" w:type="dxa"/>
          </w:tcPr>
          <w:p w14:paraId="25B375A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70B57CD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9 (15%)</w:t>
            </w:r>
          </w:p>
        </w:tc>
        <w:tc>
          <w:tcPr>
            <w:tcW w:w="1916" w:type="dxa"/>
          </w:tcPr>
          <w:p w14:paraId="7D83BAB1"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6 (10%)</w:t>
            </w:r>
          </w:p>
        </w:tc>
      </w:tr>
      <w:tr w:rsidR="00F333AB" w:rsidRPr="00C577B3" w14:paraId="7E836E72" w14:textId="77777777" w:rsidTr="008A519F">
        <w:tc>
          <w:tcPr>
            <w:tcW w:w="1915" w:type="dxa"/>
          </w:tcPr>
          <w:p w14:paraId="67DCED1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43-54 years</w:t>
            </w:r>
          </w:p>
        </w:tc>
        <w:tc>
          <w:tcPr>
            <w:tcW w:w="1915" w:type="dxa"/>
          </w:tcPr>
          <w:p w14:paraId="2180934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(6.7%)</w:t>
            </w:r>
          </w:p>
        </w:tc>
        <w:tc>
          <w:tcPr>
            <w:tcW w:w="1915" w:type="dxa"/>
          </w:tcPr>
          <w:p w14:paraId="5C9ED14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53D04DE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7948F24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(6.67%)</w:t>
            </w:r>
          </w:p>
        </w:tc>
      </w:tr>
      <w:tr w:rsidR="00F333AB" w:rsidRPr="00C577B3" w14:paraId="11D3894F" w14:textId="77777777" w:rsidTr="008A519F">
        <w:tc>
          <w:tcPr>
            <w:tcW w:w="1915" w:type="dxa"/>
          </w:tcPr>
          <w:p w14:paraId="133117E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&gt;54 years</w:t>
            </w:r>
          </w:p>
        </w:tc>
        <w:tc>
          <w:tcPr>
            <w:tcW w:w="1915" w:type="dxa"/>
          </w:tcPr>
          <w:p w14:paraId="5D6EE8E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02EB07D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0D99B0D5"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5C21A56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 (6.67%)</w:t>
            </w:r>
          </w:p>
        </w:tc>
      </w:tr>
      <w:tr w:rsidR="00F333AB" w:rsidRPr="00C577B3" w14:paraId="0DDDA58A" w14:textId="77777777" w:rsidTr="008A519F">
        <w:tc>
          <w:tcPr>
            <w:tcW w:w="1915" w:type="dxa"/>
          </w:tcPr>
          <w:p w14:paraId="7B475F35"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7C1C675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68B574C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144EFA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34FDF64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5B952B8C" w14:textId="77777777" w:rsidTr="008A519F">
        <w:tc>
          <w:tcPr>
            <w:tcW w:w="1915" w:type="dxa"/>
          </w:tcPr>
          <w:p w14:paraId="0B2444E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Years in occupation</w:t>
            </w:r>
          </w:p>
        </w:tc>
        <w:tc>
          <w:tcPr>
            <w:tcW w:w="1915" w:type="dxa"/>
          </w:tcPr>
          <w:p w14:paraId="0973F404" w14:textId="77777777" w:rsidR="00F333AB" w:rsidRPr="00C577B3" w:rsidRDefault="00F333AB" w:rsidP="00F07748">
            <w:pPr>
              <w:spacing w:line="360" w:lineRule="auto"/>
              <w:jc w:val="both"/>
              <w:rPr>
                <w:rFonts w:ascii="Arial" w:hAnsi="Arial" w:cs="Arial"/>
                <w:sz w:val="20"/>
                <w:szCs w:val="20"/>
              </w:rPr>
            </w:pPr>
          </w:p>
        </w:tc>
        <w:tc>
          <w:tcPr>
            <w:tcW w:w="1915" w:type="dxa"/>
          </w:tcPr>
          <w:p w14:paraId="4064E35E" w14:textId="77777777" w:rsidR="00F333AB" w:rsidRPr="00C577B3" w:rsidRDefault="00F333AB" w:rsidP="00F07748">
            <w:pPr>
              <w:spacing w:line="360" w:lineRule="auto"/>
              <w:jc w:val="both"/>
              <w:rPr>
                <w:rFonts w:ascii="Arial" w:hAnsi="Arial" w:cs="Arial"/>
                <w:sz w:val="20"/>
                <w:szCs w:val="20"/>
              </w:rPr>
            </w:pPr>
          </w:p>
        </w:tc>
        <w:tc>
          <w:tcPr>
            <w:tcW w:w="1915" w:type="dxa"/>
          </w:tcPr>
          <w:p w14:paraId="7973638A" w14:textId="77777777" w:rsidR="00F333AB" w:rsidRPr="00C577B3" w:rsidRDefault="00F333AB" w:rsidP="00F07748">
            <w:pPr>
              <w:spacing w:line="360" w:lineRule="auto"/>
              <w:jc w:val="both"/>
              <w:rPr>
                <w:rFonts w:ascii="Arial" w:hAnsi="Arial" w:cs="Arial"/>
                <w:sz w:val="20"/>
                <w:szCs w:val="20"/>
              </w:rPr>
            </w:pPr>
          </w:p>
        </w:tc>
        <w:tc>
          <w:tcPr>
            <w:tcW w:w="1916" w:type="dxa"/>
          </w:tcPr>
          <w:p w14:paraId="5ABE8F88" w14:textId="77777777" w:rsidR="00F333AB" w:rsidRPr="00C577B3" w:rsidRDefault="00F333AB" w:rsidP="00F07748">
            <w:pPr>
              <w:spacing w:line="360" w:lineRule="auto"/>
              <w:jc w:val="both"/>
              <w:rPr>
                <w:rFonts w:ascii="Arial" w:hAnsi="Arial" w:cs="Arial"/>
                <w:sz w:val="20"/>
                <w:szCs w:val="20"/>
              </w:rPr>
            </w:pPr>
          </w:p>
        </w:tc>
      </w:tr>
      <w:tr w:rsidR="00F333AB" w:rsidRPr="00C577B3" w14:paraId="3EC7B6D6" w14:textId="77777777" w:rsidTr="008A519F">
        <w:tc>
          <w:tcPr>
            <w:tcW w:w="1915" w:type="dxa"/>
          </w:tcPr>
          <w:p w14:paraId="04B47D3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&gt;6months</w:t>
            </w:r>
          </w:p>
        </w:tc>
        <w:tc>
          <w:tcPr>
            <w:tcW w:w="1915" w:type="dxa"/>
          </w:tcPr>
          <w:p w14:paraId="1B347B4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476A138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4B7C1FD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roofErr w:type="gramStart"/>
            <w:r w:rsidRPr="00C577B3">
              <w:rPr>
                <w:rFonts w:ascii="Arial" w:hAnsi="Arial" w:cs="Arial"/>
                <w:sz w:val="20"/>
                <w:szCs w:val="20"/>
              </w:rPr>
              <w:t xml:space="preserve">%)   </w:t>
            </w:r>
            <w:proofErr w:type="gramEnd"/>
            <w:r w:rsidRPr="00C577B3">
              <w:rPr>
                <w:rFonts w:ascii="Arial" w:hAnsi="Arial" w:cs="Arial"/>
                <w:sz w:val="20"/>
                <w:szCs w:val="20"/>
              </w:rPr>
              <w:t xml:space="preserve">                                                                                                                                                                                                                                                                                                     </w:t>
            </w:r>
          </w:p>
        </w:tc>
        <w:tc>
          <w:tcPr>
            <w:tcW w:w="1916" w:type="dxa"/>
          </w:tcPr>
          <w:p w14:paraId="73DEA0B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69B1FF6B" w14:textId="77777777" w:rsidTr="008A519F">
        <w:tc>
          <w:tcPr>
            <w:tcW w:w="1915" w:type="dxa"/>
          </w:tcPr>
          <w:p w14:paraId="0EBE186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1-3years</w:t>
            </w:r>
          </w:p>
        </w:tc>
        <w:tc>
          <w:tcPr>
            <w:tcW w:w="1915" w:type="dxa"/>
          </w:tcPr>
          <w:p w14:paraId="2DBB913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 (6.7%)</w:t>
            </w:r>
          </w:p>
        </w:tc>
        <w:tc>
          <w:tcPr>
            <w:tcW w:w="1915" w:type="dxa"/>
          </w:tcPr>
          <w:p w14:paraId="0FBDFA3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5 (16.7%)</w:t>
            </w:r>
          </w:p>
        </w:tc>
        <w:tc>
          <w:tcPr>
            <w:tcW w:w="1915" w:type="dxa"/>
          </w:tcPr>
          <w:p w14:paraId="0634DBA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6" w:type="dxa"/>
          </w:tcPr>
          <w:p w14:paraId="34DBA76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3C9FFA1C" w14:textId="77777777" w:rsidTr="008A519F">
        <w:tc>
          <w:tcPr>
            <w:tcW w:w="1915" w:type="dxa"/>
          </w:tcPr>
          <w:p w14:paraId="6CA0A66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4-9years</w:t>
            </w:r>
          </w:p>
        </w:tc>
        <w:tc>
          <w:tcPr>
            <w:tcW w:w="1915" w:type="dxa"/>
          </w:tcPr>
          <w:p w14:paraId="6A1BB06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8 (26.7%)</w:t>
            </w:r>
          </w:p>
        </w:tc>
        <w:tc>
          <w:tcPr>
            <w:tcW w:w="1915" w:type="dxa"/>
          </w:tcPr>
          <w:p w14:paraId="434B3F4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5 (16.7%)</w:t>
            </w:r>
          </w:p>
        </w:tc>
        <w:tc>
          <w:tcPr>
            <w:tcW w:w="1915" w:type="dxa"/>
          </w:tcPr>
          <w:p w14:paraId="38C6604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2D6952F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01DE5FF0" w14:textId="77777777" w:rsidTr="008A519F">
        <w:tc>
          <w:tcPr>
            <w:tcW w:w="1915" w:type="dxa"/>
          </w:tcPr>
          <w:p w14:paraId="604AE91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&gt;10years</w:t>
            </w:r>
          </w:p>
        </w:tc>
        <w:tc>
          <w:tcPr>
            <w:tcW w:w="1915" w:type="dxa"/>
          </w:tcPr>
          <w:p w14:paraId="34DD579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2A774C0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3DAD47A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3BA346C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7F9923FC" w14:textId="77777777" w:rsidTr="008A519F">
        <w:tc>
          <w:tcPr>
            <w:tcW w:w="1915" w:type="dxa"/>
          </w:tcPr>
          <w:p w14:paraId="4B133D6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3C27494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(33.4%)</w:t>
            </w:r>
          </w:p>
        </w:tc>
        <w:tc>
          <w:tcPr>
            <w:tcW w:w="1915" w:type="dxa"/>
          </w:tcPr>
          <w:p w14:paraId="4A32DD6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(33.4%)</w:t>
            </w:r>
          </w:p>
        </w:tc>
        <w:tc>
          <w:tcPr>
            <w:tcW w:w="1915" w:type="dxa"/>
          </w:tcPr>
          <w:p w14:paraId="1C6432C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6" w:type="dxa"/>
          </w:tcPr>
          <w:p w14:paraId="4AFDA46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4A96843C" w14:textId="77777777" w:rsidTr="008A519F">
        <w:tc>
          <w:tcPr>
            <w:tcW w:w="1915" w:type="dxa"/>
          </w:tcPr>
          <w:p w14:paraId="31068491"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Use of PPE</w:t>
            </w:r>
          </w:p>
        </w:tc>
        <w:tc>
          <w:tcPr>
            <w:tcW w:w="1915" w:type="dxa"/>
          </w:tcPr>
          <w:p w14:paraId="621878A1" w14:textId="77777777" w:rsidR="00F333AB" w:rsidRPr="00C577B3" w:rsidRDefault="00F333AB" w:rsidP="00F07748">
            <w:pPr>
              <w:spacing w:line="360" w:lineRule="auto"/>
              <w:jc w:val="both"/>
              <w:rPr>
                <w:rFonts w:ascii="Arial" w:hAnsi="Arial" w:cs="Arial"/>
                <w:sz w:val="20"/>
                <w:szCs w:val="20"/>
              </w:rPr>
            </w:pPr>
          </w:p>
        </w:tc>
        <w:tc>
          <w:tcPr>
            <w:tcW w:w="1915" w:type="dxa"/>
          </w:tcPr>
          <w:p w14:paraId="5FD89D0A" w14:textId="77777777" w:rsidR="00F333AB" w:rsidRPr="00C577B3" w:rsidRDefault="00F333AB" w:rsidP="00F07748">
            <w:pPr>
              <w:spacing w:line="360" w:lineRule="auto"/>
              <w:jc w:val="both"/>
              <w:rPr>
                <w:rFonts w:ascii="Arial" w:hAnsi="Arial" w:cs="Arial"/>
                <w:sz w:val="20"/>
                <w:szCs w:val="20"/>
              </w:rPr>
            </w:pPr>
          </w:p>
        </w:tc>
        <w:tc>
          <w:tcPr>
            <w:tcW w:w="1915" w:type="dxa"/>
          </w:tcPr>
          <w:p w14:paraId="140D7FB2" w14:textId="77777777" w:rsidR="00F333AB" w:rsidRPr="00C577B3" w:rsidRDefault="00F333AB" w:rsidP="00F07748">
            <w:pPr>
              <w:spacing w:line="360" w:lineRule="auto"/>
              <w:jc w:val="both"/>
              <w:rPr>
                <w:rFonts w:ascii="Arial" w:hAnsi="Arial" w:cs="Arial"/>
                <w:sz w:val="20"/>
                <w:szCs w:val="20"/>
              </w:rPr>
            </w:pPr>
          </w:p>
        </w:tc>
        <w:tc>
          <w:tcPr>
            <w:tcW w:w="1916" w:type="dxa"/>
          </w:tcPr>
          <w:p w14:paraId="64E89B31" w14:textId="77777777" w:rsidR="00F333AB" w:rsidRPr="00C577B3" w:rsidRDefault="00F333AB" w:rsidP="00F07748">
            <w:pPr>
              <w:spacing w:line="360" w:lineRule="auto"/>
              <w:jc w:val="both"/>
              <w:rPr>
                <w:rFonts w:ascii="Arial" w:hAnsi="Arial" w:cs="Arial"/>
                <w:sz w:val="20"/>
                <w:szCs w:val="20"/>
              </w:rPr>
            </w:pPr>
          </w:p>
        </w:tc>
      </w:tr>
      <w:tr w:rsidR="00F333AB" w:rsidRPr="00C577B3" w14:paraId="5622DFAD" w14:textId="77777777" w:rsidTr="008A519F">
        <w:tc>
          <w:tcPr>
            <w:tcW w:w="1915" w:type="dxa"/>
          </w:tcPr>
          <w:p w14:paraId="0B5BDF0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5E887C6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3518E88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5" w:type="dxa"/>
          </w:tcPr>
          <w:p w14:paraId="179DB24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17CE085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112F03DE" w14:textId="77777777" w:rsidTr="008A519F">
        <w:tc>
          <w:tcPr>
            <w:tcW w:w="1915" w:type="dxa"/>
          </w:tcPr>
          <w:p w14:paraId="12EBC32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79AB21D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5" w:type="dxa"/>
          </w:tcPr>
          <w:p w14:paraId="353EDB9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477A6A8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6" w:type="dxa"/>
          </w:tcPr>
          <w:p w14:paraId="3E56560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7CBC52A6" w14:textId="77777777" w:rsidTr="008A519F">
        <w:tc>
          <w:tcPr>
            <w:tcW w:w="1915" w:type="dxa"/>
          </w:tcPr>
          <w:p w14:paraId="53B40D66" w14:textId="77777777" w:rsidR="00F333AB" w:rsidRPr="00C577B3" w:rsidRDefault="00F333AB" w:rsidP="00F07748">
            <w:pPr>
              <w:spacing w:line="360" w:lineRule="auto"/>
              <w:ind w:left="720" w:hanging="720"/>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3D72F34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5" w:type="dxa"/>
          </w:tcPr>
          <w:p w14:paraId="7DEB898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5" w:type="dxa"/>
          </w:tcPr>
          <w:p w14:paraId="5007529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(33.3%)</w:t>
            </w:r>
          </w:p>
        </w:tc>
        <w:tc>
          <w:tcPr>
            <w:tcW w:w="1916" w:type="dxa"/>
          </w:tcPr>
          <w:p w14:paraId="43F72E6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w:t>
            </w:r>
          </w:p>
        </w:tc>
      </w:tr>
      <w:tr w:rsidR="00F333AB" w:rsidRPr="00C577B3" w14:paraId="72B9B8D7" w14:textId="77777777" w:rsidTr="008A519F">
        <w:tc>
          <w:tcPr>
            <w:tcW w:w="1915" w:type="dxa"/>
          </w:tcPr>
          <w:p w14:paraId="5FBBA8B5"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Lifestyle</w:t>
            </w:r>
          </w:p>
        </w:tc>
        <w:tc>
          <w:tcPr>
            <w:tcW w:w="1915" w:type="dxa"/>
          </w:tcPr>
          <w:p w14:paraId="3D441214" w14:textId="77777777" w:rsidR="00F333AB" w:rsidRPr="00C577B3" w:rsidRDefault="00F333AB" w:rsidP="00F07748">
            <w:pPr>
              <w:spacing w:line="360" w:lineRule="auto"/>
              <w:jc w:val="both"/>
              <w:rPr>
                <w:rFonts w:ascii="Arial" w:hAnsi="Arial" w:cs="Arial"/>
                <w:sz w:val="20"/>
                <w:szCs w:val="20"/>
              </w:rPr>
            </w:pPr>
          </w:p>
        </w:tc>
        <w:tc>
          <w:tcPr>
            <w:tcW w:w="1915" w:type="dxa"/>
          </w:tcPr>
          <w:p w14:paraId="77765970" w14:textId="77777777" w:rsidR="00F333AB" w:rsidRPr="00C577B3" w:rsidRDefault="00F333AB" w:rsidP="00F07748">
            <w:pPr>
              <w:spacing w:line="360" w:lineRule="auto"/>
              <w:jc w:val="both"/>
              <w:rPr>
                <w:rFonts w:ascii="Arial" w:hAnsi="Arial" w:cs="Arial"/>
                <w:sz w:val="20"/>
                <w:szCs w:val="20"/>
              </w:rPr>
            </w:pPr>
          </w:p>
        </w:tc>
        <w:tc>
          <w:tcPr>
            <w:tcW w:w="1915" w:type="dxa"/>
          </w:tcPr>
          <w:p w14:paraId="1252052B" w14:textId="77777777" w:rsidR="00F333AB" w:rsidRPr="00C577B3" w:rsidRDefault="00F333AB" w:rsidP="00F07748">
            <w:pPr>
              <w:spacing w:line="360" w:lineRule="auto"/>
              <w:jc w:val="both"/>
              <w:rPr>
                <w:rFonts w:ascii="Arial" w:hAnsi="Arial" w:cs="Arial"/>
                <w:sz w:val="20"/>
                <w:szCs w:val="20"/>
              </w:rPr>
            </w:pPr>
          </w:p>
        </w:tc>
        <w:tc>
          <w:tcPr>
            <w:tcW w:w="1916" w:type="dxa"/>
          </w:tcPr>
          <w:p w14:paraId="6F9CF040" w14:textId="77777777" w:rsidR="00F333AB" w:rsidRPr="00C577B3" w:rsidRDefault="00F333AB" w:rsidP="00F07748">
            <w:pPr>
              <w:spacing w:line="360" w:lineRule="auto"/>
              <w:jc w:val="both"/>
              <w:rPr>
                <w:rFonts w:ascii="Arial" w:hAnsi="Arial" w:cs="Arial"/>
                <w:sz w:val="20"/>
                <w:szCs w:val="20"/>
              </w:rPr>
            </w:pPr>
          </w:p>
        </w:tc>
      </w:tr>
      <w:tr w:rsidR="00F333AB" w:rsidRPr="00C577B3" w14:paraId="271C3BD3" w14:textId="77777777" w:rsidTr="008A519F">
        <w:tc>
          <w:tcPr>
            <w:tcW w:w="1915" w:type="dxa"/>
          </w:tcPr>
          <w:p w14:paraId="59F4F808"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Smoking</w:t>
            </w:r>
          </w:p>
        </w:tc>
        <w:tc>
          <w:tcPr>
            <w:tcW w:w="1915" w:type="dxa"/>
          </w:tcPr>
          <w:p w14:paraId="25DC2259" w14:textId="77777777" w:rsidR="00F333AB" w:rsidRPr="00C577B3" w:rsidRDefault="00F333AB" w:rsidP="00F07748">
            <w:pPr>
              <w:spacing w:line="360" w:lineRule="auto"/>
              <w:jc w:val="both"/>
              <w:rPr>
                <w:rFonts w:ascii="Arial" w:hAnsi="Arial" w:cs="Arial"/>
                <w:sz w:val="20"/>
                <w:szCs w:val="20"/>
              </w:rPr>
            </w:pPr>
          </w:p>
        </w:tc>
        <w:tc>
          <w:tcPr>
            <w:tcW w:w="1915" w:type="dxa"/>
          </w:tcPr>
          <w:p w14:paraId="091E8933" w14:textId="77777777" w:rsidR="00F333AB" w:rsidRPr="00C577B3" w:rsidRDefault="00F333AB" w:rsidP="00F07748">
            <w:pPr>
              <w:spacing w:line="360" w:lineRule="auto"/>
              <w:jc w:val="both"/>
              <w:rPr>
                <w:rFonts w:ascii="Arial" w:hAnsi="Arial" w:cs="Arial"/>
                <w:sz w:val="20"/>
                <w:szCs w:val="20"/>
              </w:rPr>
            </w:pPr>
          </w:p>
        </w:tc>
        <w:tc>
          <w:tcPr>
            <w:tcW w:w="1915" w:type="dxa"/>
          </w:tcPr>
          <w:p w14:paraId="73822D56" w14:textId="77777777" w:rsidR="00F333AB" w:rsidRPr="00C577B3" w:rsidRDefault="00F333AB" w:rsidP="00F07748">
            <w:pPr>
              <w:spacing w:line="360" w:lineRule="auto"/>
              <w:jc w:val="both"/>
              <w:rPr>
                <w:rFonts w:ascii="Arial" w:hAnsi="Arial" w:cs="Arial"/>
                <w:sz w:val="20"/>
                <w:szCs w:val="20"/>
              </w:rPr>
            </w:pPr>
          </w:p>
        </w:tc>
        <w:tc>
          <w:tcPr>
            <w:tcW w:w="1916" w:type="dxa"/>
          </w:tcPr>
          <w:p w14:paraId="641224D7" w14:textId="77777777" w:rsidR="00F333AB" w:rsidRPr="00C577B3" w:rsidRDefault="00F333AB" w:rsidP="00F07748">
            <w:pPr>
              <w:spacing w:line="360" w:lineRule="auto"/>
              <w:jc w:val="both"/>
              <w:rPr>
                <w:rFonts w:ascii="Arial" w:hAnsi="Arial" w:cs="Arial"/>
                <w:sz w:val="20"/>
                <w:szCs w:val="20"/>
              </w:rPr>
            </w:pPr>
          </w:p>
        </w:tc>
      </w:tr>
      <w:tr w:rsidR="00F333AB" w:rsidRPr="00C577B3" w14:paraId="6E095800" w14:textId="77777777" w:rsidTr="008A519F">
        <w:tc>
          <w:tcPr>
            <w:tcW w:w="1915" w:type="dxa"/>
          </w:tcPr>
          <w:p w14:paraId="012FE0D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24D0C9F5"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(6.67%)</w:t>
            </w:r>
          </w:p>
        </w:tc>
        <w:tc>
          <w:tcPr>
            <w:tcW w:w="1915" w:type="dxa"/>
          </w:tcPr>
          <w:p w14:paraId="78E0848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58495A8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11225AFD"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4 (6.67%)</w:t>
            </w:r>
          </w:p>
        </w:tc>
      </w:tr>
      <w:tr w:rsidR="00F333AB" w:rsidRPr="00C577B3" w14:paraId="71EAB23F" w14:textId="77777777" w:rsidTr="008A519F">
        <w:tc>
          <w:tcPr>
            <w:tcW w:w="1915" w:type="dxa"/>
          </w:tcPr>
          <w:p w14:paraId="7781EBC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4E3E8A1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6 (10.0%)</w:t>
            </w:r>
          </w:p>
        </w:tc>
        <w:tc>
          <w:tcPr>
            <w:tcW w:w="1915" w:type="dxa"/>
          </w:tcPr>
          <w:p w14:paraId="504507C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0348FCB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2213EFF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26 (43.33%)</w:t>
            </w:r>
          </w:p>
        </w:tc>
      </w:tr>
      <w:tr w:rsidR="00F333AB" w:rsidRPr="00C577B3" w14:paraId="7D5975F5" w14:textId="77777777" w:rsidTr="008A519F">
        <w:tc>
          <w:tcPr>
            <w:tcW w:w="1915" w:type="dxa"/>
          </w:tcPr>
          <w:p w14:paraId="53C51CF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4BF4EFC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0EA0243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5" w:type="dxa"/>
          </w:tcPr>
          <w:p w14:paraId="3099901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(16.7%)</w:t>
            </w:r>
          </w:p>
        </w:tc>
        <w:tc>
          <w:tcPr>
            <w:tcW w:w="1916" w:type="dxa"/>
          </w:tcPr>
          <w:p w14:paraId="0E3AB5B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0C783E0D" w14:textId="77777777" w:rsidTr="008A519F">
        <w:tc>
          <w:tcPr>
            <w:tcW w:w="1915" w:type="dxa"/>
          </w:tcPr>
          <w:p w14:paraId="6C0F215A"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Alcohol consumption</w:t>
            </w:r>
          </w:p>
        </w:tc>
        <w:tc>
          <w:tcPr>
            <w:tcW w:w="1915" w:type="dxa"/>
          </w:tcPr>
          <w:p w14:paraId="1B7F6286" w14:textId="77777777" w:rsidR="00F333AB" w:rsidRPr="00C577B3" w:rsidRDefault="00F333AB" w:rsidP="00F07748">
            <w:pPr>
              <w:spacing w:line="360" w:lineRule="auto"/>
              <w:jc w:val="both"/>
              <w:rPr>
                <w:rFonts w:ascii="Arial" w:hAnsi="Arial" w:cs="Arial"/>
                <w:sz w:val="20"/>
                <w:szCs w:val="20"/>
              </w:rPr>
            </w:pPr>
          </w:p>
        </w:tc>
        <w:tc>
          <w:tcPr>
            <w:tcW w:w="1915" w:type="dxa"/>
          </w:tcPr>
          <w:p w14:paraId="00F366A8" w14:textId="77777777" w:rsidR="00F333AB" w:rsidRPr="00C577B3" w:rsidRDefault="00F333AB" w:rsidP="00F07748">
            <w:pPr>
              <w:spacing w:line="360" w:lineRule="auto"/>
              <w:jc w:val="both"/>
              <w:rPr>
                <w:rFonts w:ascii="Arial" w:hAnsi="Arial" w:cs="Arial"/>
                <w:sz w:val="20"/>
                <w:szCs w:val="20"/>
              </w:rPr>
            </w:pPr>
          </w:p>
        </w:tc>
        <w:tc>
          <w:tcPr>
            <w:tcW w:w="1915" w:type="dxa"/>
          </w:tcPr>
          <w:p w14:paraId="14B5E272" w14:textId="77777777" w:rsidR="00F333AB" w:rsidRPr="00C577B3" w:rsidRDefault="00F333AB" w:rsidP="00F07748">
            <w:pPr>
              <w:spacing w:line="360" w:lineRule="auto"/>
              <w:jc w:val="both"/>
              <w:rPr>
                <w:rFonts w:ascii="Arial" w:hAnsi="Arial" w:cs="Arial"/>
                <w:sz w:val="20"/>
                <w:szCs w:val="20"/>
              </w:rPr>
            </w:pPr>
          </w:p>
        </w:tc>
        <w:tc>
          <w:tcPr>
            <w:tcW w:w="1916" w:type="dxa"/>
          </w:tcPr>
          <w:p w14:paraId="20BCF7B9" w14:textId="77777777" w:rsidR="00F333AB" w:rsidRPr="00C577B3" w:rsidRDefault="00F333AB" w:rsidP="00F07748">
            <w:pPr>
              <w:spacing w:line="360" w:lineRule="auto"/>
              <w:jc w:val="both"/>
              <w:rPr>
                <w:rFonts w:ascii="Arial" w:hAnsi="Arial" w:cs="Arial"/>
                <w:sz w:val="20"/>
                <w:szCs w:val="20"/>
              </w:rPr>
            </w:pPr>
          </w:p>
        </w:tc>
      </w:tr>
      <w:tr w:rsidR="00F333AB" w:rsidRPr="00C577B3" w14:paraId="4959984E" w14:textId="77777777" w:rsidTr="008A519F">
        <w:tc>
          <w:tcPr>
            <w:tcW w:w="1915" w:type="dxa"/>
          </w:tcPr>
          <w:p w14:paraId="7BF13FA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712360A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753F3E9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 (5.0%)</w:t>
            </w:r>
          </w:p>
        </w:tc>
        <w:tc>
          <w:tcPr>
            <w:tcW w:w="1915" w:type="dxa"/>
          </w:tcPr>
          <w:p w14:paraId="1650AD3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2 (3.33%)</w:t>
            </w:r>
          </w:p>
        </w:tc>
        <w:tc>
          <w:tcPr>
            <w:tcW w:w="1916" w:type="dxa"/>
          </w:tcPr>
          <w:p w14:paraId="30124E7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14 (23.33%)</w:t>
            </w:r>
          </w:p>
        </w:tc>
      </w:tr>
      <w:tr w:rsidR="00F333AB" w:rsidRPr="00C577B3" w14:paraId="62441683" w14:textId="77777777" w:rsidTr="008A519F">
        <w:tc>
          <w:tcPr>
            <w:tcW w:w="1915" w:type="dxa"/>
          </w:tcPr>
          <w:p w14:paraId="0D34B71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3A609D2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277A036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7 (11.67%)</w:t>
            </w:r>
          </w:p>
        </w:tc>
        <w:tc>
          <w:tcPr>
            <w:tcW w:w="1915" w:type="dxa"/>
          </w:tcPr>
          <w:p w14:paraId="0EE0D07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8 (13.33%)</w:t>
            </w:r>
          </w:p>
        </w:tc>
        <w:tc>
          <w:tcPr>
            <w:tcW w:w="1916" w:type="dxa"/>
          </w:tcPr>
          <w:p w14:paraId="61AA6DD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16 (26.67%)</w:t>
            </w:r>
          </w:p>
        </w:tc>
      </w:tr>
      <w:tr w:rsidR="00F333AB" w:rsidRPr="00C577B3" w14:paraId="479367E6" w14:textId="77777777" w:rsidTr="008A519F">
        <w:tc>
          <w:tcPr>
            <w:tcW w:w="1915" w:type="dxa"/>
          </w:tcPr>
          <w:p w14:paraId="692077C7"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1DA0057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1EFF00A6"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37C8A64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(16.66%)</w:t>
            </w:r>
          </w:p>
        </w:tc>
        <w:tc>
          <w:tcPr>
            <w:tcW w:w="1916" w:type="dxa"/>
          </w:tcPr>
          <w:p w14:paraId="27A0316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60A2CDBF" w14:textId="77777777" w:rsidTr="008A519F">
        <w:tc>
          <w:tcPr>
            <w:tcW w:w="1915" w:type="dxa"/>
          </w:tcPr>
          <w:p w14:paraId="7D05C09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 xml:space="preserve">Exposure to X-ray   </w:t>
            </w:r>
          </w:p>
        </w:tc>
        <w:tc>
          <w:tcPr>
            <w:tcW w:w="1915" w:type="dxa"/>
          </w:tcPr>
          <w:p w14:paraId="60BA391F" w14:textId="77777777" w:rsidR="00F333AB" w:rsidRPr="00C577B3" w:rsidRDefault="00F333AB" w:rsidP="00F07748">
            <w:pPr>
              <w:spacing w:line="360" w:lineRule="auto"/>
              <w:jc w:val="both"/>
              <w:rPr>
                <w:rFonts w:ascii="Arial" w:hAnsi="Arial" w:cs="Arial"/>
                <w:sz w:val="20"/>
                <w:szCs w:val="20"/>
              </w:rPr>
            </w:pPr>
          </w:p>
        </w:tc>
        <w:tc>
          <w:tcPr>
            <w:tcW w:w="1915" w:type="dxa"/>
          </w:tcPr>
          <w:p w14:paraId="632E3333" w14:textId="77777777" w:rsidR="00F333AB" w:rsidRPr="00C577B3" w:rsidRDefault="00F333AB" w:rsidP="00F07748">
            <w:pPr>
              <w:spacing w:line="360" w:lineRule="auto"/>
              <w:jc w:val="both"/>
              <w:rPr>
                <w:rFonts w:ascii="Arial" w:hAnsi="Arial" w:cs="Arial"/>
                <w:sz w:val="20"/>
                <w:szCs w:val="20"/>
              </w:rPr>
            </w:pPr>
          </w:p>
        </w:tc>
        <w:tc>
          <w:tcPr>
            <w:tcW w:w="1915" w:type="dxa"/>
          </w:tcPr>
          <w:p w14:paraId="7E6F1CAA" w14:textId="77777777" w:rsidR="00F333AB" w:rsidRPr="00C577B3" w:rsidRDefault="00F333AB" w:rsidP="00F07748">
            <w:pPr>
              <w:spacing w:line="360" w:lineRule="auto"/>
              <w:jc w:val="both"/>
              <w:rPr>
                <w:rFonts w:ascii="Arial" w:hAnsi="Arial" w:cs="Arial"/>
                <w:sz w:val="20"/>
                <w:szCs w:val="20"/>
              </w:rPr>
            </w:pPr>
          </w:p>
        </w:tc>
        <w:tc>
          <w:tcPr>
            <w:tcW w:w="1916" w:type="dxa"/>
          </w:tcPr>
          <w:p w14:paraId="07ABB09B" w14:textId="77777777" w:rsidR="00F333AB" w:rsidRPr="00C577B3" w:rsidRDefault="00F333AB" w:rsidP="00F07748">
            <w:pPr>
              <w:spacing w:line="360" w:lineRule="auto"/>
              <w:jc w:val="both"/>
              <w:rPr>
                <w:rFonts w:ascii="Arial" w:hAnsi="Arial" w:cs="Arial"/>
                <w:sz w:val="20"/>
                <w:szCs w:val="20"/>
              </w:rPr>
            </w:pPr>
          </w:p>
        </w:tc>
      </w:tr>
      <w:tr w:rsidR="00F333AB" w:rsidRPr="00C577B3" w14:paraId="72053FC3" w14:textId="77777777" w:rsidTr="008A519F">
        <w:tc>
          <w:tcPr>
            <w:tcW w:w="1915" w:type="dxa"/>
          </w:tcPr>
          <w:p w14:paraId="60BC155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2A8C9017"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6D808D2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77B335D4"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3124F62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r>
      <w:tr w:rsidR="00F333AB" w:rsidRPr="00C577B3" w14:paraId="1EDF2A9D" w14:textId="77777777" w:rsidTr="008A519F">
        <w:tc>
          <w:tcPr>
            <w:tcW w:w="1915" w:type="dxa"/>
          </w:tcPr>
          <w:p w14:paraId="4E6C221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No</w:t>
            </w:r>
          </w:p>
        </w:tc>
        <w:tc>
          <w:tcPr>
            <w:tcW w:w="1915" w:type="dxa"/>
          </w:tcPr>
          <w:p w14:paraId="2565793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40E731A8"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0068C03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6" w:type="dxa"/>
          </w:tcPr>
          <w:p w14:paraId="4DA3C591"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2D2E7AE1" w14:textId="77777777" w:rsidTr="008A519F">
        <w:tc>
          <w:tcPr>
            <w:tcW w:w="1915" w:type="dxa"/>
          </w:tcPr>
          <w:p w14:paraId="72729037"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30137D40"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76B8D00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2B12475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6" w:type="dxa"/>
          </w:tcPr>
          <w:p w14:paraId="77485695"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4973986B" w14:textId="77777777" w:rsidTr="008A519F">
        <w:tc>
          <w:tcPr>
            <w:tcW w:w="1915" w:type="dxa"/>
          </w:tcPr>
          <w:p w14:paraId="6B2CE12D"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b/>
                <w:sz w:val="20"/>
                <w:szCs w:val="20"/>
              </w:rPr>
              <w:t>On Medication</w:t>
            </w:r>
          </w:p>
        </w:tc>
        <w:tc>
          <w:tcPr>
            <w:tcW w:w="1915" w:type="dxa"/>
          </w:tcPr>
          <w:p w14:paraId="33C77A94" w14:textId="77777777" w:rsidR="00F333AB" w:rsidRPr="00C577B3" w:rsidRDefault="00F333AB" w:rsidP="00F07748">
            <w:pPr>
              <w:spacing w:line="360" w:lineRule="auto"/>
              <w:jc w:val="both"/>
              <w:rPr>
                <w:rFonts w:ascii="Arial" w:hAnsi="Arial" w:cs="Arial"/>
                <w:sz w:val="20"/>
                <w:szCs w:val="20"/>
              </w:rPr>
            </w:pPr>
          </w:p>
        </w:tc>
        <w:tc>
          <w:tcPr>
            <w:tcW w:w="1915" w:type="dxa"/>
          </w:tcPr>
          <w:p w14:paraId="06B643BB" w14:textId="77777777" w:rsidR="00F333AB" w:rsidRPr="00C577B3" w:rsidRDefault="00F333AB" w:rsidP="00F07748">
            <w:pPr>
              <w:spacing w:line="360" w:lineRule="auto"/>
              <w:jc w:val="both"/>
              <w:rPr>
                <w:rFonts w:ascii="Arial" w:hAnsi="Arial" w:cs="Arial"/>
                <w:sz w:val="20"/>
                <w:szCs w:val="20"/>
              </w:rPr>
            </w:pPr>
          </w:p>
        </w:tc>
        <w:tc>
          <w:tcPr>
            <w:tcW w:w="1915" w:type="dxa"/>
          </w:tcPr>
          <w:p w14:paraId="195106BF" w14:textId="77777777" w:rsidR="00F333AB" w:rsidRPr="00C577B3" w:rsidRDefault="00F333AB" w:rsidP="00F07748">
            <w:pPr>
              <w:spacing w:line="360" w:lineRule="auto"/>
              <w:jc w:val="both"/>
              <w:rPr>
                <w:rFonts w:ascii="Arial" w:hAnsi="Arial" w:cs="Arial"/>
                <w:sz w:val="20"/>
                <w:szCs w:val="20"/>
              </w:rPr>
            </w:pPr>
          </w:p>
        </w:tc>
        <w:tc>
          <w:tcPr>
            <w:tcW w:w="1916" w:type="dxa"/>
          </w:tcPr>
          <w:p w14:paraId="547C8E80" w14:textId="77777777" w:rsidR="00F333AB" w:rsidRPr="00C577B3" w:rsidRDefault="00F333AB" w:rsidP="00F07748">
            <w:pPr>
              <w:spacing w:line="360" w:lineRule="auto"/>
              <w:jc w:val="both"/>
              <w:rPr>
                <w:rFonts w:ascii="Arial" w:hAnsi="Arial" w:cs="Arial"/>
                <w:sz w:val="20"/>
                <w:szCs w:val="20"/>
              </w:rPr>
            </w:pPr>
          </w:p>
        </w:tc>
      </w:tr>
      <w:tr w:rsidR="00F333AB" w:rsidRPr="00C577B3" w14:paraId="6B2882F1" w14:textId="77777777" w:rsidTr="008A519F">
        <w:tc>
          <w:tcPr>
            <w:tcW w:w="1915" w:type="dxa"/>
          </w:tcPr>
          <w:p w14:paraId="72AB2B7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Yes</w:t>
            </w:r>
          </w:p>
        </w:tc>
        <w:tc>
          <w:tcPr>
            <w:tcW w:w="1915" w:type="dxa"/>
          </w:tcPr>
          <w:p w14:paraId="2BB06CD2"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1(1.67%)</w:t>
            </w:r>
          </w:p>
        </w:tc>
        <w:tc>
          <w:tcPr>
            <w:tcW w:w="1915" w:type="dxa"/>
          </w:tcPr>
          <w:p w14:paraId="2A4B8B6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5" w:type="dxa"/>
          </w:tcPr>
          <w:p w14:paraId="2F30DE51"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c>
          <w:tcPr>
            <w:tcW w:w="1916" w:type="dxa"/>
          </w:tcPr>
          <w:p w14:paraId="00CD9DB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0 (0.0%)</w:t>
            </w:r>
          </w:p>
        </w:tc>
      </w:tr>
      <w:tr w:rsidR="00F333AB" w:rsidRPr="00C577B3" w14:paraId="370AF7DF" w14:textId="77777777" w:rsidTr="008A519F">
        <w:tc>
          <w:tcPr>
            <w:tcW w:w="1915" w:type="dxa"/>
          </w:tcPr>
          <w:p w14:paraId="0C34555C"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lastRenderedPageBreak/>
              <w:t>No</w:t>
            </w:r>
          </w:p>
        </w:tc>
        <w:tc>
          <w:tcPr>
            <w:tcW w:w="1915" w:type="dxa"/>
          </w:tcPr>
          <w:p w14:paraId="4EBB6889"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9 (15.0%)</w:t>
            </w:r>
          </w:p>
        </w:tc>
        <w:tc>
          <w:tcPr>
            <w:tcW w:w="1915" w:type="dxa"/>
          </w:tcPr>
          <w:p w14:paraId="06A63FDE"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32ECD0EF"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6" w:type="dxa"/>
          </w:tcPr>
          <w:p w14:paraId="42183DE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r w:rsidR="00F333AB" w:rsidRPr="00C577B3" w14:paraId="473652D3" w14:textId="77777777" w:rsidTr="008A519F">
        <w:tc>
          <w:tcPr>
            <w:tcW w:w="1915" w:type="dxa"/>
          </w:tcPr>
          <w:p w14:paraId="3AD3E7A6" w14:textId="77777777" w:rsidR="00F333AB" w:rsidRPr="00C577B3" w:rsidRDefault="00F333AB" w:rsidP="00F07748">
            <w:pPr>
              <w:spacing w:line="360" w:lineRule="auto"/>
              <w:jc w:val="both"/>
              <w:rPr>
                <w:rFonts w:ascii="Arial" w:hAnsi="Arial" w:cs="Arial"/>
                <w:b/>
                <w:sz w:val="20"/>
                <w:szCs w:val="20"/>
              </w:rPr>
            </w:pPr>
            <w:r w:rsidRPr="00C577B3">
              <w:rPr>
                <w:rFonts w:ascii="Arial" w:hAnsi="Arial" w:cs="Arial"/>
                <w:sz w:val="20"/>
                <w:szCs w:val="20"/>
              </w:rPr>
              <w:t xml:space="preserve">             </w:t>
            </w:r>
            <w:r w:rsidRPr="00C577B3">
              <w:rPr>
                <w:rFonts w:ascii="Arial" w:hAnsi="Arial" w:cs="Arial"/>
                <w:b/>
                <w:sz w:val="20"/>
                <w:szCs w:val="20"/>
              </w:rPr>
              <w:t>Total</w:t>
            </w:r>
          </w:p>
        </w:tc>
        <w:tc>
          <w:tcPr>
            <w:tcW w:w="1915" w:type="dxa"/>
          </w:tcPr>
          <w:p w14:paraId="6E6AA9A3"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0CFAC65B"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5" w:type="dxa"/>
          </w:tcPr>
          <w:p w14:paraId="0B985985"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10 (16.67%)</w:t>
            </w:r>
          </w:p>
        </w:tc>
        <w:tc>
          <w:tcPr>
            <w:tcW w:w="1916" w:type="dxa"/>
          </w:tcPr>
          <w:p w14:paraId="6EAEE93A" w14:textId="77777777" w:rsidR="00F333AB" w:rsidRPr="00C577B3" w:rsidRDefault="00F333AB" w:rsidP="00F07748">
            <w:pPr>
              <w:spacing w:line="360" w:lineRule="auto"/>
              <w:jc w:val="both"/>
              <w:rPr>
                <w:rFonts w:ascii="Arial" w:hAnsi="Arial" w:cs="Arial"/>
                <w:sz w:val="20"/>
                <w:szCs w:val="20"/>
              </w:rPr>
            </w:pPr>
            <w:r w:rsidRPr="00C577B3">
              <w:rPr>
                <w:rFonts w:ascii="Arial" w:hAnsi="Arial" w:cs="Arial"/>
                <w:sz w:val="20"/>
                <w:szCs w:val="20"/>
              </w:rPr>
              <w:t>30 (50.0%)</w:t>
            </w:r>
          </w:p>
        </w:tc>
      </w:tr>
    </w:tbl>
    <w:p w14:paraId="0A145321" w14:textId="77777777" w:rsidR="00F333AB" w:rsidRPr="00C577B3" w:rsidRDefault="00F333AB" w:rsidP="00F07748">
      <w:pPr>
        <w:spacing w:line="360" w:lineRule="auto"/>
        <w:jc w:val="both"/>
        <w:rPr>
          <w:rFonts w:ascii="Arial" w:hAnsi="Arial" w:cs="Arial"/>
          <w:sz w:val="24"/>
          <w:szCs w:val="24"/>
        </w:rPr>
      </w:pPr>
    </w:p>
    <w:p w14:paraId="4D4B68B6" w14:textId="77777777" w:rsidR="006652DB" w:rsidRPr="00C577B3" w:rsidRDefault="006652DB" w:rsidP="00F07748">
      <w:pPr>
        <w:autoSpaceDE w:val="0"/>
        <w:autoSpaceDN w:val="0"/>
        <w:adjustRightInd w:val="0"/>
        <w:spacing w:after="0" w:line="360" w:lineRule="auto"/>
        <w:ind w:left="0"/>
        <w:jc w:val="both"/>
        <w:rPr>
          <w:rFonts w:ascii="Arial" w:hAnsi="Arial" w:cs="Arial"/>
          <w:b/>
          <w:sz w:val="24"/>
          <w:szCs w:val="24"/>
        </w:rPr>
      </w:pPr>
    </w:p>
    <w:p w14:paraId="60FCE28F" w14:textId="0730BBD8" w:rsidR="00F333AB" w:rsidRPr="00C577B3" w:rsidRDefault="008A519F" w:rsidP="008A519F">
      <w:pPr>
        <w:autoSpaceDE w:val="0"/>
        <w:autoSpaceDN w:val="0"/>
        <w:adjustRightInd w:val="0"/>
        <w:spacing w:after="0" w:line="360" w:lineRule="auto"/>
        <w:ind w:left="0"/>
        <w:rPr>
          <w:rFonts w:ascii="Arial" w:hAnsi="Arial" w:cs="Arial"/>
          <w:sz w:val="22"/>
          <w:szCs w:val="22"/>
        </w:rPr>
      </w:pPr>
      <w:r w:rsidRPr="00C577B3">
        <w:rPr>
          <w:rFonts w:ascii="Arial" w:hAnsi="Arial" w:cs="Arial"/>
          <w:b/>
          <w:sz w:val="22"/>
          <w:szCs w:val="22"/>
        </w:rPr>
        <w:t>3</w:t>
      </w:r>
      <w:r w:rsidR="00F333AB" w:rsidRPr="00C577B3">
        <w:rPr>
          <w:rFonts w:ascii="Arial" w:hAnsi="Arial" w:cs="Arial"/>
          <w:b/>
          <w:sz w:val="22"/>
          <w:szCs w:val="22"/>
        </w:rPr>
        <w:t>.2 Effects of waste exposure on buccal cell nuclei</w:t>
      </w:r>
      <w:r w:rsidR="00F333AB" w:rsidRPr="00C577B3">
        <w:rPr>
          <w:rFonts w:ascii="Arial" w:hAnsi="Arial" w:cs="Arial"/>
          <w:sz w:val="22"/>
          <w:szCs w:val="22"/>
        </w:rPr>
        <w:t xml:space="preserve"> </w:t>
      </w:r>
    </w:p>
    <w:p w14:paraId="608C7CFC" w14:textId="77777777" w:rsidR="00F333AB" w:rsidRPr="00C577B3" w:rsidRDefault="00F333AB" w:rsidP="00F07748">
      <w:pPr>
        <w:autoSpaceDE w:val="0"/>
        <w:autoSpaceDN w:val="0"/>
        <w:adjustRightInd w:val="0"/>
        <w:spacing w:after="0" w:line="360" w:lineRule="auto"/>
        <w:jc w:val="both"/>
        <w:rPr>
          <w:rFonts w:ascii="Arial" w:hAnsi="Arial" w:cs="Arial"/>
          <w:sz w:val="24"/>
          <w:szCs w:val="24"/>
        </w:rPr>
      </w:pPr>
      <w:r w:rsidRPr="00C577B3">
        <w:rPr>
          <w:rFonts w:ascii="Arial" w:hAnsi="Arial" w:cs="Arial"/>
          <w:sz w:val="24"/>
          <w:szCs w:val="24"/>
        </w:rPr>
        <w:t xml:space="preserve"> </w:t>
      </w:r>
    </w:p>
    <w:p w14:paraId="152B841D" w14:textId="2F8A4752" w:rsidR="008A519F" w:rsidRPr="00C577B3" w:rsidRDefault="008A519F" w:rsidP="00195F2B">
      <w:pPr>
        <w:autoSpaceDE w:val="0"/>
        <w:autoSpaceDN w:val="0"/>
        <w:adjustRightInd w:val="0"/>
        <w:spacing w:after="0" w:line="360" w:lineRule="auto"/>
        <w:rPr>
          <w:rFonts w:ascii="Arial" w:hAnsi="Arial" w:cs="Arial"/>
          <w:b/>
          <w:sz w:val="20"/>
          <w:szCs w:val="20"/>
        </w:rPr>
      </w:pPr>
      <w:r w:rsidRPr="00C577B3">
        <w:rPr>
          <w:rFonts w:ascii="Arial" w:hAnsi="Arial" w:cs="Arial"/>
          <w:sz w:val="20"/>
          <w:szCs w:val="20"/>
        </w:rPr>
        <w:t xml:space="preserve">Nuclear change indices assessed in the buccal cells of study participants included micronuclei (MN), </w:t>
      </w:r>
      <w:r w:rsidRPr="0076796A">
        <w:rPr>
          <w:rFonts w:ascii="Arial" w:hAnsi="Arial" w:cs="Arial"/>
          <w:sz w:val="20"/>
          <w:szCs w:val="20"/>
        </w:rPr>
        <w:t xml:space="preserve">binucleated cells (BN), nuclear buds (NB),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(KH). Table 2 summarizes the mean frequencies of these parameters in waste disposal workers and control subjects. Waste disposal workers, as a collective group, showed significantly higher mean frequencies of micronuclei (16.33±5.07 vs. 8.10±3.06, P &lt; .001), binucleated cells (9.60±5.91 vs. 3.67±2.43, P = .03), nuclear buds (9.40±6.08 vs. 4.07±2.00, P &lt; .001),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(1.33±3.72 vs. 0.00±0.00, P &lt; .001) compared to the control group.</w:t>
      </w:r>
      <w:r w:rsidR="00F333AB" w:rsidRPr="00C577B3">
        <w:rPr>
          <w:rFonts w:ascii="Arial" w:hAnsi="Arial" w:cs="Arial"/>
          <w:b/>
          <w:sz w:val="20"/>
          <w:szCs w:val="20"/>
        </w:rPr>
        <w:t xml:space="preserve"> </w:t>
      </w:r>
    </w:p>
    <w:p w14:paraId="6B904B1C" w14:textId="77777777" w:rsidR="008A519F" w:rsidRPr="00C577B3" w:rsidRDefault="008A519F" w:rsidP="008A519F">
      <w:pPr>
        <w:autoSpaceDE w:val="0"/>
        <w:autoSpaceDN w:val="0"/>
        <w:adjustRightInd w:val="0"/>
        <w:spacing w:after="0" w:line="360" w:lineRule="auto"/>
        <w:rPr>
          <w:rFonts w:ascii="Arial" w:hAnsi="Arial" w:cs="Arial"/>
          <w:b/>
          <w:sz w:val="20"/>
          <w:szCs w:val="20"/>
        </w:rPr>
      </w:pPr>
    </w:p>
    <w:p w14:paraId="2404AE27" w14:textId="729EED83" w:rsidR="00F333AB" w:rsidRPr="00195F2B" w:rsidRDefault="00F333AB" w:rsidP="00F07748">
      <w:pPr>
        <w:autoSpaceDE w:val="0"/>
        <w:autoSpaceDN w:val="0"/>
        <w:adjustRightInd w:val="0"/>
        <w:spacing w:after="0" w:line="360" w:lineRule="auto"/>
        <w:jc w:val="both"/>
        <w:rPr>
          <w:rFonts w:ascii="Arial" w:hAnsi="Arial" w:cs="Arial"/>
          <w:b/>
          <w:sz w:val="20"/>
          <w:szCs w:val="20"/>
        </w:rPr>
      </w:pPr>
      <w:r w:rsidRPr="00195F2B">
        <w:rPr>
          <w:rFonts w:ascii="Arial" w:hAnsi="Arial" w:cs="Arial"/>
          <w:b/>
          <w:i/>
          <w:sz w:val="20"/>
          <w:szCs w:val="20"/>
        </w:rPr>
        <w:t>Table</w:t>
      </w:r>
      <w:r w:rsidR="0028419E" w:rsidRPr="00195F2B">
        <w:rPr>
          <w:rFonts w:ascii="Arial" w:hAnsi="Arial" w:cs="Arial"/>
          <w:b/>
          <w:i/>
          <w:sz w:val="20"/>
          <w:szCs w:val="20"/>
        </w:rPr>
        <w:t xml:space="preserve"> </w:t>
      </w:r>
      <w:r w:rsidRPr="00195F2B">
        <w:rPr>
          <w:rFonts w:ascii="Arial" w:hAnsi="Arial" w:cs="Arial"/>
          <w:b/>
          <w:i/>
          <w:sz w:val="20"/>
          <w:szCs w:val="20"/>
        </w:rPr>
        <w:t>2</w:t>
      </w:r>
      <w:r w:rsidRPr="00195F2B">
        <w:rPr>
          <w:rFonts w:ascii="Arial" w:hAnsi="Arial" w:cs="Arial"/>
          <w:b/>
          <w:sz w:val="20"/>
          <w:szCs w:val="20"/>
        </w:rPr>
        <w:t>: shows mean frequencies</w:t>
      </w:r>
      <w:r w:rsidR="0002795F" w:rsidRPr="00195F2B">
        <w:rPr>
          <w:rFonts w:ascii="Arial" w:hAnsi="Arial" w:cs="Arial"/>
          <w:b/>
          <w:sz w:val="20"/>
          <w:szCs w:val="20"/>
        </w:rPr>
        <w:t xml:space="preserve"> Micronuclei (M)</w:t>
      </w:r>
      <w:r w:rsidRPr="00195F2B">
        <w:rPr>
          <w:rFonts w:ascii="Arial" w:hAnsi="Arial" w:cs="Arial"/>
          <w:b/>
          <w:sz w:val="20"/>
          <w:szCs w:val="20"/>
        </w:rPr>
        <w:t xml:space="preserve"> </w:t>
      </w:r>
      <w:r w:rsidR="00C8372A" w:rsidRPr="00195F2B">
        <w:rPr>
          <w:rFonts w:ascii="Arial" w:hAnsi="Arial" w:cs="Arial"/>
          <w:b/>
          <w:sz w:val="20"/>
          <w:szCs w:val="20"/>
        </w:rPr>
        <w:t>Binucleate</w:t>
      </w:r>
      <w:r w:rsidRPr="00195F2B">
        <w:rPr>
          <w:rFonts w:ascii="Arial" w:hAnsi="Arial" w:cs="Arial"/>
          <w:b/>
          <w:sz w:val="20"/>
          <w:szCs w:val="20"/>
        </w:rPr>
        <w:t xml:space="preserve"> cells (BN), Nuclear buds (NB) and </w:t>
      </w:r>
      <w:proofErr w:type="spellStart"/>
      <w:r w:rsidRPr="00195F2B">
        <w:rPr>
          <w:rFonts w:ascii="Arial" w:hAnsi="Arial" w:cs="Arial"/>
          <w:b/>
          <w:sz w:val="20"/>
          <w:szCs w:val="20"/>
        </w:rPr>
        <w:t>Karyorrhexic</w:t>
      </w:r>
      <w:proofErr w:type="spellEnd"/>
      <w:r w:rsidRPr="00195F2B">
        <w:rPr>
          <w:rFonts w:ascii="Arial" w:hAnsi="Arial" w:cs="Arial"/>
          <w:b/>
          <w:sz w:val="20"/>
          <w:szCs w:val="20"/>
        </w:rPr>
        <w:t xml:space="preserve"> cells (KH) in waste disposal workers and control subjects.</w:t>
      </w:r>
    </w:p>
    <w:tbl>
      <w:tblPr>
        <w:tblStyle w:val="TableGrid"/>
        <w:tblW w:w="99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407"/>
        <w:gridCol w:w="1960"/>
        <w:gridCol w:w="1993"/>
        <w:gridCol w:w="1487"/>
        <w:gridCol w:w="1859"/>
      </w:tblGrid>
      <w:tr w:rsidR="0002795F" w:rsidRPr="00C577B3" w14:paraId="0A95D4C2" w14:textId="77777777" w:rsidTr="008A519F">
        <w:trPr>
          <w:trHeight w:val="505"/>
        </w:trPr>
        <w:tc>
          <w:tcPr>
            <w:tcW w:w="2226" w:type="dxa"/>
            <w:vMerge w:val="restart"/>
            <w:tcBorders>
              <w:top w:val="single" w:sz="4" w:space="0" w:color="auto"/>
              <w:bottom w:val="nil"/>
            </w:tcBorders>
          </w:tcPr>
          <w:p w14:paraId="755B2D0A"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GROUPS </w:t>
            </w:r>
          </w:p>
        </w:tc>
        <w:tc>
          <w:tcPr>
            <w:tcW w:w="407" w:type="dxa"/>
            <w:tcBorders>
              <w:top w:val="single" w:sz="4" w:space="0" w:color="auto"/>
              <w:bottom w:val="nil"/>
            </w:tcBorders>
          </w:tcPr>
          <w:p w14:paraId="45DBBC10" w14:textId="77777777" w:rsidR="0002795F" w:rsidRPr="00C577B3" w:rsidRDefault="0002795F" w:rsidP="00F07748">
            <w:pPr>
              <w:spacing w:line="360" w:lineRule="auto"/>
              <w:jc w:val="both"/>
              <w:rPr>
                <w:rFonts w:ascii="Arial" w:hAnsi="Arial" w:cs="Arial"/>
                <w:b/>
                <w:sz w:val="20"/>
                <w:szCs w:val="20"/>
              </w:rPr>
            </w:pPr>
          </w:p>
        </w:tc>
        <w:tc>
          <w:tcPr>
            <w:tcW w:w="7299" w:type="dxa"/>
            <w:gridSpan w:val="4"/>
            <w:tcBorders>
              <w:top w:val="single" w:sz="4" w:space="0" w:color="auto"/>
              <w:bottom w:val="nil"/>
            </w:tcBorders>
          </w:tcPr>
          <w:p w14:paraId="19CA8D27" w14:textId="2750F440"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685FADA4" w14:textId="77777777" w:rsidTr="00195F2B">
        <w:trPr>
          <w:trHeight w:val="602"/>
        </w:trPr>
        <w:tc>
          <w:tcPr>
            <w:tcW w:w="2226" w:type="dxa"/>
            <w:vMerge/>
            <w:tcBorders>
              <w:top w:val="nil"/>
              <w:bottom w:val="single" w:sz="4" w:space="0" w:color="auto"/>
            </w:tcBorders>
          </w:tcPr>
          <w:p w14:paraId="310FC3CF" w14:textId="77777777" w:rsidR="0002795F" w:rsidRPr="00C577B3" w:rsidRDefault="0002795F" w:rsidP="00F07748">
            <w:pPr>
              <w:spacing w:line="360" w:lineRule="auto"/>
              <w:jc w:val="both"/>
              <w:rPr>
                <w:rFonts w:ascii="Arial" w:hAnsi="Arial" w:cs="Arial"/>
                <w:sz w:val="20"/>
                <w:szCs w:val="20"/>
              </w:rPr>
            </w:pPr>
          </w:p>
        </w:tc>
        <w:tc>
          <w:tcPr>
            <w:tcW w:w="2367" w:type="dxa"/>
            <w:gridSpan w:val="2"/>
            <w:tcBorders>
              <w:top w:val="nil"/>
              <w:bottom w:val="single" w:sz="4" w:space="0" w:color="auto"/>
            </w:tcBorders>
          </w:tcPr>
          <w:p w14:paraId="44D7B1EB" w14:textId="77777777" w:rsidR="0002795F" w:rsidRPr="00C577B3" w:rsidRDefault="005C41E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993" w:type="dxa"/>
            <w:tcBorders>
              <w:top w:val="nil"/>
              <w:bottom w:val="single" w:sz="4" w:space="0" w:color="auto"/>
            </w:tcBorders>
          </w:tcPr>
          <w:p w14:paraId="21D1566B"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487" w:type="dxa"/>
            <w:tcBorders>
              <w:top w:val="nil"/>
              <w:bottom w:val="single" w:sz="4" w:space="0" w:color="auto"/>
            </w:tcBorders>
          </w:tcPr>
          <w:p w14:paraId="76ED1CBC"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859" w:type="dxa"/>
            <w:tcBorders>
              <w:top w:val="nil"/>
              <w:bottom w:val="single" w:sz="4" w:space="0" w:color="auto"/>
            </w:tcBorders>
          </w:tcPr>
          <w:p w14:paraId="01745EA6"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1C05CB4A" w14:textId="77777777" w:rsidTr="00195F2B">
        <w:trPr>
          <w:trHeight w:val="1044"/>
        </w:trPr>
        <w:tc>
          <w:tcPr>
            <w:tcW w:w="2226" w:type="dxa"/>
            <w:tcBorders>
              <w:top w:val="single" w:sz="4" w:space="0" w:color="auto"/>
            </w:tcBorders>
          </w:tcPr>
          <w:p w14:paraId="39955448" w14:textId="77777777" w:rsidR="0002795F" w:rsidRPr="00C577B3" w:rsidRDefault="0002795F" w:rsidP="00F07748">
            <w:pPr>
              <w:autoSpaceDE w:val="0"/>
              <w:autoSpaceDN w:val="0"/>
              <w:adjustRightInd w:val="0"/>
              <w:spacing w:line="360" w:lineRule="auto"/>
              <w:jc w:val="both"/>
              <w:rPr>
                <w:rFonts w:ascii="Arial" w:hAnsi="Arial" w:cs="Arial"/>
                <w:sz w:val="20"/>
                <w:szCs w:val="20"/>
              </w:rPr>
            </w:pPr>
            <w:r w:rsidRPr="00C577B3">
              <w:rPr>
                <w:rFonts w:ascii="Arial" w:hAnsi="Arial" w:cs="Arial"/>
                <w:sz w:val="20"/>
                <w:szCs w:val="20"/>
              </w:rPr>
              <w:t>Waste disposal workers</w:t>
            </w:r>
          </w:p>
        </w:tc>
        <w:tc>
          <w:tcPr>
            <w:tcW w:w="2367" w:type="dxa"/>
            <w:gridSpan w:val="2"/>
            <w:tcBorders>
              <w:top w:val="single" w:sz="4" w:space="0" w:color="auto"/>
            </w:tcBorders>
          </w:tcPr>
          <w:p w14:paraId="30CF1C15"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16.33±5.07*</w:t>
            </w:r>
          </w:p>
        </w:tc>
        <w:tc>
          <w:tcPr>
            <w:tcW w:w="1993" w:type="dxa"/>
            <w:tcBorders>
              <w:top w:val="single" w:sz="4" w:space="0" w:color="auto"/>
            </w:tcBorders>
          </w:tcPr>
          <w:p w14:paraId="147527E0"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9.60±5.91*</w:t>
            </w:r>
          </w:p>
        </w:tc>
        <w:tc>
          <w:tcPr>
            <w:tcW w:w="1487" w:type="dxa"/>
            <w:tcBorders>
              <w:top w:val="single" w:sz="4" w:space="0" w:color="auto"/>
            </w:tcBorders>
          </w:tcPr>
          <w:p w14:paraId="6D877279"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9.40±6.08*</w:t>
            </w:r>
          </w:p>
        </w:tc>
        <w:tc>
          <w:tcPr>
            <w:tcW w:w="1859" w:type="dxa"/>
            <w:tcBorders>
              <w:top w:val="single" w:sz="4" w:space="0" w:color="auto"/>
            </w:tcBorders>
          </w:tcPr>
          <w:p w14:paraId="003F6B5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1.33±3.72*</w:t>
            </w:r>
          </w:p>
        </w:tc>
      </w:tr>
      <w:tr w:rsidR="0002795F" w:rsidRPr="00C577B3" w14:paraId="27CBBE74" w14:textId="77777777" w:rsidTr="00195F2B">
        <w:trPr>
          <w:trHeight w:val="505"/>
        </w:trPr>
        <w:tc>
          <w:tcPr>
            <w:tcW w:w="2226" w:type="dxa"/>
          </w:tcPr>
          <w:p w14:paraId="255491D4" w14:textId="77777777" w:rsidR="0002795F" w:rsidRPr="00C577B3" w:rsidRDefault="0002795F" w:rsidP="00F07748">
            <w:pPr>
              <w:autoSpaceDE w:val="0"/>
              <w:autoSpaceDN w:val="0"/>
              <w:adjustRightInd w:val="0"/>
              <w:spacing w:line="360" w:lineRule="auto"/>
              <w:jc w:val="both"/>
              <w:rPr>
                <w:rFonts w:ascii="Arial" w:hAnsi="Arial" w:cs="Arial"/>
                <w:sz w:val="20"/>
                <w:szCs w:val="20"/>
              </w:rPr>
            </w:pPr>
            <w:r w:rsidRPr="00C577B3">
              <w:rPr>
                <w:rFonts w:ascii="Arial" w:hAnsi="Arial" w:cs="Arial"/>
                <w:sz w:val="20"/>
                <w:szCs w:val="20"/>
              </w:rPr>
              <w:t>Control</w:t>
            </w:r>
          </w:p>
        </w:tc>
        <w:tc>
          <w:tcPr>
            <w:tcW w:w="2367" w:type="dxa"/>
            <w:gridSpan w:val="2"/>
          </w:tcPr>
          <w:p w14:paraId="386B3FDE"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8.10±3.06</w:t>
            </w:r>
          </w:p>
        </w:tc>
        <w:tc>
          <w:tcPr>
            <w:tcW w:w="1993" w:type="dxa"/>
          </w:tcPr>
          <w:p w14:paraId="057DF6E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3.67±2.43</w:t>
            </w:r>
          </w:p>
        </w:tc>
        <w:tc>
          <w:tcPr>
            <w:tcW w:w="1487" w:type="dxa"/>
          </w:tcPr>
          <w:p w14:paraId="4C769C5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4.07±2.00</w:t>
            </w:r>
          </w:p>
        </w:tc>
        <w:tc>
          <w:tcPr>
            <w:tcW w:w="1859" w:type="dxa"/>
          </w:tcPr>
          <w:p w14:paraId="7D57AE6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0.00±0.00</w:t>
            </w:r>
          </w:p>
        </w:tc>
      </w:tr>
      <w:tr w:rsidR="0002795F" w:rsidRPr="00C577B3" w14:paraId="38FCEA96" w14:textId="77777777" w:rsidTr="00195F2B">
        <w:trPr>
          <w:trHeight w:val="541"/>
        </w:trPr>
        <w:tc>
          <w:tcPr>
            <w:tcW w:w="2226" w:type="dxa"/>
          </w:tcPr>
          <w:p w14:paraId="4E5631CB" w14:textId="77777777" w:rsidR="0002795F" w:rsidRPr="00C577B3" w:rsidRDefault="0002795F" w:rsidP="00F07748">
            <w:pPr>
              <w:autoSpaceDE w:val="0"/>
              <w:autoSpaceDN w:val="0"/>
              <w:adjustRightInd w:val="0"/>
              <w:spacing w:line="360" w:lineRule="auto"/>
              <w:jc w:val="both"/>
              <w:rPr>
                <w:rFonts w:ascii="Arial" w:hAnsi="Arial" w:cs="Arial"/>
                <w:b/>
                <w:sz w:val="20"/>
                <w:szCs w:val="20"/>
              </w:rPr>
            </w:pPr>
            <w:r w:rsidRPr="00C577B3">
              <w:rPr>
                <w:rFonts w:ascii="Arial" w:hAnsi="Arial" w:cs="Arial"/>
                <w:b/>
                <w:sz w:val="20"/>
                <w:szCs w:val="20"/>
              </w:rPr>
              <w:t>F-ratio</w:t>
            </w:r>
          </w:p>
        </w:tc>
        <w:tc>
          <w:tcPr>
            <w:tcW w:w="2367" w:type="dxa"/>
            <w:gridSpan w:val="2"/>
          </w:tcPr>
          <w:p w14:paraId="5BC127CA"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7.62</w:t>
            </w:r>
          </w:p>
        </w:tc>
        <w:tc>
          <w:tcPr>
            <w:tcW w:w="1993" w:type="dxa"/>
          </w:tcPr>
          <w:p w14:paraId="1C20519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9.27</w:t>
            </w:r>
          </w:p>
        </w:tc>
        <w:tc>
          <w:tcPr>
            <w:tcW w:w="1487" w:type="dxa"/>
          </w:tcPr>
          <w:p w14:paraId="1EE5F1B5"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15.93</w:t>
            </w:r>
          </w:p>
        </w:tc>
        <w:tc>
          <w:tcPr>
            <w:tcW w:w="1859" w:type="dxa"/>
          </w:tcPr>
          <w:p w14:paraId="767671E9"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17.01</w:t>
            </w:r>
          </w:p>
        </w:tc>
      </w:tr>
      <w:tr w:rsidR="0002795F" w:rsidRPr="00C577B3" w14:paraId="6D1836E9" w14:textId="77777777" w:rsidTr="00195F2B">
        <w:trPr>
          <w:trHeight w:val="541"/>
        </w:trPr>
        <w:tc>
          <w:tcPr>
            <w:tcW w:w="2226" w:type="dxa"/>
          </w:tcPr>
          <w:p w14:paraId="59C0488B" w14:textId="77777777" w:rsidR="0002795F" w:rsidRPr="00C577B3" w:rsidRDefault="0002795F" w:rsidP="00F07748">
            <w:pPr>
              <w:autoSpaceDE w:val="0"/>
              <w:autoSpaceDN w:val="0"/>
              <w:adjustRightInd w:val="0"/>
              <w:spacing w:line="360" w:lineRule="auto"/>
              <w:jc w:val="both"/>
              <w:rPr>
                <w:rFonts w:ascii="Arial" w:hAnsi="Arial" w:cs="Arial"/>
                <w:b/>
                <w:sz w:val="20"/>
                <w:szCs w:val="20"/>
              </w:rPr>
            </w:pPr>
            <w:r w:rsidRPr="00C577B3">
              <w:rPr>
                <w:rFonts w:ascii="Arial" w:hAnsi="Arial" w:cs="Arial"/>
                <w:b/>
                <w:sz w:val="20"/>
                <w:szCs w:val="20"/>
              </w:rPr>
              <w:t>P-value</w:t>
            </w:r>
          </w:p>
        </w:tc>
        <w:tc>
          <w:tcPr>
            <w:tcW w:w="2367" w:type="dxa"/>
            <w:gridSpan w:val="2"/>
          </w:tcPr>
          <w:p w14:paraId="40ABE459"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0.00</w:t>
            </w:r>
          </w:p>
        </w:tc>
        <w:tc>
          <w:tcPr>
            <w:tcW w:w="1993" w:type="dxa"/>
          </w:tcPr>
          <w:p w14:paraId="1D63FAB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0.03</w:t>
            </w:r>
          </w:p>
        </w:tc>
        <w:tc>
          <w:tcPr>
            <w:tcW w:w="1487" w:type="dxa"/>
          </w:tcPr>
          <w:p w14:paraId="1F96ADF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859" w:type="dxa"/>
          </w:tcPr>
          <w:p w14:paraId="729C313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r>
    </w:tbl>
    <w:p w14:paraId="54FF6A46" w14:textId="7D5E604F"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r w:rsidRPr="00195F2B">
        <w:rPr>
          <w:rFonts w:ascii="Arial" w:hAnsi="Arial" w:cs="Arial"/>
          <w:sz w:val="18"/>
          <w:szCs w:val="18"/>
        </w:rPr>
        <w:t>*p value</w:t>
      </w:r>
      <w:r w:rsidR="008A519F" w:rsidRPr="00195F2B">
        <w:rPr>
          <w:rFonts w:ascii="Arial" w:hAnsi="Arial" w:cs="Arial"/>
          <w:sz w:val="18"/>
          <w:szCs w:val="18"/>
        </w:rPr>
        <w:t xml:space="preserve"> </w:t>
      </w:r>
      <w:r w:rsidRPr="00195F2B">
        <w:rPr>
          <w:rFonts w:ascii="Arial" w:hAnsi="Arial" w:cs="Arial"/>
          <w:sz w:val="18"/>
          <w:szCs w:val="18"/>
        </w:rPr>
        <w:t>&lt;</w:t>
      </w:r>
      <w:r w:rsidR="008A519F" w:rsidRPr="00195F2B">
        <w:rPr>
          <w:rFonts w:ascii="Arial" w:hAnsi="Arial" w:cs="Arial"/>
          <w:sz w:val="18"/>
          <w:szCs w:val="18"/>
        </w:rPr>
        <w:t xml:space="preserve"> </w:t>
      </w:r>
      <w:r w:rsidRPr="00195F2B">
        <w:rPr>
          <w:rFonts w:ascii="Arial" w:hAnsi="Arial" w:cs="Arial"/>
          <w:sz w:val="18"/>
          <w:szCs w:val="18"/>
        </w:rPr>
        <w:t>.05 significant level when compared with control</w:t>
      </w:r>
    </w:p>
    <w:p w14:paraId="45960700" w14:textId="09F8533E" w:rsidR="00204FE6" w:rsidRPr="00195F2B" w:rsidRDefault="008A519F" w:rsidP="00195F2B">
      <w:pPr>
        <w:spacing w:line="360" w:lineRule="auto"/>
        <w:jc w:val="both"/>
        <w:rPr>
          <w:rFonts w:ascii="Arial" w:hAnsi="Arial" w:cs="Arial"/>
          <w:b/>
          <w:i/>
          <w:sz w:val="20"/>
          <w:szCs w:val="20"/>
        </w:rPr>
      </w:pPr>
      <w:r w:rsidRPr="00C577B3">
        <w:rPr>
          <w:rFonts w:ascii="Arial" w:hAnsi="Arial" w:cs="Arial"/>
          <w:sz w:val="20"/>
          <w:szCs w:val="20"/>
        </w:rPr>
        <w:t xml:space="preserve">Further sub-group analysis, presented in </w:t>
      </w:r>
      <w:r w:rsidRPr="00C577B3">
        <w:rPr>
          <w:rFonts w:ascii="Arial" w:hAnsi="Arial" w:cs="Arial"/>
          <w:b/>
          <w:bCs/>
          <w:sz w:val="20"/>
          <w:szCs w:val="20"/>
        </w:rPr>
        <w:t>Table 3</w:t>
      </w:r>
      <w:r w:rsidRPr="00C577B3">
        <w:rPr>
          <w:rFonts w:ascii="Arial" w:hAnsi="Arial" w:cs="Arial"/>
          <w:sz w:val="20"/>
          <w:szCs w:val="20"/>
        </w:rPr>
        <w:t xml:space="preserve">, revealed distinct patterns among different types of </w:t>
      </w:r>
      <w:r w:rsidRPr="0076796A">
        <w:rPr>
          <w:rFonts w:ascii="Arial" w:hAnsi="Arial" w:cs="Arial"/>
          <w:sz w:val="20"/>
          <w:szCs w:val="20"/>
        </w:rPr>
        <w:t xml:space="preserve">waste handlers. ESWAMA workers exhibited significantly increased frequencies across all nuclear abnormalities compared to the control group, including micronuclei (19.60±5.10, P &lt; .001), binucleated cells (15.20±7.18, P &lt; .001), nuclear buds (15.60±6.50, P &lt; .001),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(3.60±5.93, P = .01). Hospital cleaners showed a significant increase in micronuclei (17.50±3.95, P &lt; .001) but their frequencies of binucleated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were not significantly different from </w:t>
      </w:r>
      <w:r w:rsidRPr="0076796A">
        <w:rPr>
          <w:rFonts w:ascii="Arial" w:hAnsi="Arial" w:cs="Arial"/>
          <w:sz w:val="20"/>
          <w:szCs w:val="20"/>
        </w:rPr>
        <w:lastRenderedPageBreak/>
        <w:t>the control group. Hostel cleaners did not show any significant differences in the frequencies of any nuclear abnormalities when compared to the control group.</w:t>
      </w:r>
    </w:p>
    <w:p w14:paraId="3C08B953" w14:textId="6DDBFD61" w:rsidR="00F333AB" w:rsidRPr="00C577B3" w:rsidRDefault="00F333AB" w:rsidP="00F07748">
      <w:pPr>
        <w:spacing w:line="360" w:lineRule="auto"/>
        <w:jc w:val="both"/>
        <w:rPr>
          <w:rFonts w:ascii="Arial" w:hAnsi="Arial" w:cs="Arial"/>
          <w:b/>
          <w:sz w:val="20"/>
          <w:szCs w:val="20"/>
        </w:rPr>
      </w:pPr>
      <w:r w:rsidRPr="00C577B3">
        <w:rPr>
          <w:rFonts w:ascii="Arial" w:hAnsi="Arial" w:cs="Arial"/>
          <w:b/>
          <w:i/>
          <w:sz w:val="20"/>
          <w:szCs w:val="20"/>
        </w:rPr>
        <w:t>Table</w:t>
      </w:r>
      <w:r w:rsidR="008A519F" w:rsidRPr="00C577B3">
        <w:rPr>
          <w:rFonts w:ascii="Arial" w:hAnsi="Arial" w:cs="Arial"/>
          <w:b/>
          <w:i/>
          <w:sz w:val="20"/>
          <w:szCs w:val="20"/>
        </w:rPr>
        <w:t xml:space="preserve"> </w:t>
      </w:r>
      <w:r w:rsidRPr="00C577B3">
        <w:rPr>
          <w:rFonts w:ascii="Arial" w:hAnsi="Arial" w:cs="Arial"/>
          <w:b/>
          <w:i/>
          <w:sz w:val="20"/>
          <w:szCs w:val="20"/>
        </w:rPr>
        <w:t>3:</w:t>
      </w:r>
      <w:r w:rsidRPr="00C577B3">
        <w:rPr>
          <w:rFonts w:ascii="Arial" w:hAnsi="Arial" w:cs="Arial"/>
          <w:sz w:val="20"/>
          <w:szCs w:val="20"/>
        </w:rPr>
        <w:t xml:space="preserve"> </w:t>
      </w:r>
      <w:r w:rsidRPr="00C577B3">
        <w:rPr>
          <w:rFonts w:ascii="Arial" w:hAnsi="Arial" w:cs="Arial"/>
          <w:b/>
          <w:sz w:val="20"/>
          <w:szCs w:val="20"/>
        </w:rPr>
        <w:t xml:space="preserve">Mean Frequencies of </w:t>
      </w:r>
      <w:r w:rsidR="005C41E6" w:rsidRPr="00C577B3">
        <w:rPr>
          <w:rFonts w:ascii="Arial" w:hAnsi="Arial" w:cs="Arial"/>
          <w:b/>
          <w:sz w:val="20"/>
          <w:szCs w:val="20"/>
        </w:rPr>
        <w:t xml:space="preserve">Micronuclei, </w:t>
      </w:r>
      <w:r w:rsidR="00C8372A" w:rsidRPr="00C577B3">
        <w:rPr>
          <w:rFonts w:ascii="Arial" w:hAnsi="Arial" w:cs="Arial"/>
          <w:b/>
          <w:sz w:val="20"/>
          <w:szCs w:val="20"/>
        </w:rPr>
        <w:t>Binucleate</w:t>
      </w:r>
      <w:r w:rsidRPr="00C577B3">
        <w:rPr>
          <w:rFonts w:ascii="Arial" w:hAnsi="Arial" w:cs="Arial"/>
          <w:b/>
          <w:sz w:val="20"/>
          <w:szCs w:val="20"/>
        </w:rPr>
        <w:t xml:space="preserve"> cells, nuclear buds and </w:t>
      </w: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 in control and various waste disposal workers                                                                                                                   </w:t>
      </w:r>
    </w:p>
    <w:tbl>
      <w:tblPr>
        <w:tblStyle w:val="TableGrid"/>
        <w:tblW w:w="98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252"/>
        <w:gridCol w:w="2042"/>
        <w:gridCol w:w="1967"/>
        <w:gridCol w:w="1967"/>
        <w:gridCol w:w="1838"/>
      </w:tblGrid>
      <w:tr w:rsidR="0002795F" w:rsidRPr="00C577B3" w14:paraId="58CEF937" w14:textId="77777777" w:rsidTr="008A519F">
        <w:trPr>
          <w:trHeight w:val="480"/>
        </w:trPr>
        <w:tc>
          <w:tcPr>
            <w:tcW w:w="1807" w:type="dxa"/>
            <w:vMerge w:val="restart"/>
            <w:tcBorders>
              <w:top w:val="single" w:sz="4" w:space="0" w:color="auto"/>
              <w:bottom w:val="nil"/>
            </w:tcBorders>
          </w:tcPr>
          <w:p w14:paraId="35BA85E3"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GROUPS</w:t>
            </w:r>
          </w:p>
        </w:tc>
        <w:tc>
          <w:tcPr>
            <w:tcW w:w="252" w:type="dxa"/>
            <w:tcBorders>
              <w:top w:val="single" w:sz="4" w:space="0" w:color="auto"/>
              <w:bottom w:val="nil"/>
            </w:tcBorders>
          </w:tcPr>
          <w:p w14:paraId="4FAF1C0C" w14:textId="77777777" w:rsidR="0002795F" w:rsidRPr="00C577B3" w:rsidRDefault="0002795F" w:rsidP="00F07748">
            <w:pPr>
              <w:spacing w:line="360" w:lineRule="auto"/>
              <w:jc w:val="both"/>
              <w:rPr>
                <w:rFonts w:ascii="Arial" w:hAnsi="Arial" w:cs="Arial"/>
                <w:b/>
                <w:sz w:val="20"/>
                <w:szCs w:val="20"/>
              </w:rPr>
            </w:pPr>
          </w:p>
        </w:tc>
        <w:tc>
          <w:tcPr>
            <w:tcW w:w="7814" w:type="dxa"/>
            <w:gridSpan w:val="4"/>
            <w:tcBorders>
              <w:top w:val="single" w:sz="4" w:space="0" w:color="auto"/>
              <w:bottom w:val="nil"/>
            </w:tcBorders>
          </w:tcPr>
          <w:p w14:paraId="0BD3D63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49FCA283" w14:textId="77777777" w:rsidTr="008A519F">
        <w:trPr>
          <w:trHeight w:val="264"/>
        </w:trPr>
        <w:tc>
          <w:tcPr>
            <w:tcW w:w="1807" w:type="dxa"/>
            <w:vMerge/>
            <w:tcBorders>
              <w:top w:val="nil"/>
              <w:bottom w:val="single" w:sz="4" w:space="0" w:color="auto"/>
            </w:tcBorders>
          </w:tcPr>
          <w:p w14:paraId="173B9404" w14:textId="77777777" w:rsidR="0002795F" w:rsidRPr="00C577B3" w:rsidRDefault="0002795F" w:rsidP="00F07748">
            <w:pPr>
              <w:spacing w:line="360" w:lineRule="auto"/>
              <w:jc w:val="both"/>
              <w:rPr>
                <w:rFonts w:ascii="Arial" w:hAnsi="Arial" w:cs="Arial"/>
                <w:sz w:val="20"/>
                <w:szCs w:val="20"/>
              </w:rPr>
            </w:pPr>
          </w:p>
        </w:tc>
        <w:tc>
          <w:tcPr>
            <w:tcW w:w="2294" w:type="dxa"/>
            <w:gridSpan w:val="2"/>
            <w:tcBorders>
              <w:top w:val="nil"/>
              <w:bottom w:val="single" w:sz="4" w:space="0" w:color="auto"/>
            </w:tcBorders>
          </w:tcPr>
          <w:p w14:paraId="63AA198B" w14:textId="77777777" w:rsidR="0002795F" w:rsidRPr="00C577B3" w:rsidRDefault="005C41E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967" w:type="dxa"/>
            <w:tcBorders>
              <w:top w:val="nil"/>
              <w:bottom w:val="single" w:sz="4" w:space="0" w:color="auto"/>
            </w:tcBorders>
          </w:tcPr>
          <w:p w14:paraId="0FA2DD43"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967" w:type="dxa"/>
            <w:tcBorders>
              <w:top w:val="nil"/>
              <w:bottom w:val="single" w:sz="4" w:space="0" w:color="auto"/>
            </w:tcBorders>
          </w:tcPr>
          <w:p w14:paraId="760F1F2A"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838" w:type="dxa"/>
            <w:tcBorders>
              <w:top w:val="nil"/>
              <w:bottom w:val="single" w:sz="4" w:space="0" w:color="auto"/>
            </w:tcBorders>
          </w:tcPr>
          <w:p w14:paraId="3D2B8791"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75383284" w14:textId="77777777" w:rsidTr="008A519F">
        <w:trPr>
          <w:trHeight w:val="480"/>
        </w:trPr>
        <w:tc>
          <w:tcPr>
            <w:tcW w:w="1807" w:type="dxa"/>
            <w:tcBorders>
              <w:top w:val="single" w:sz="4" w:space="0" w:color="auto"/>
            </w:tcBorders>
          </w:tcPr>
          <w:p w14:paraId="7BF35773"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ESWAMA</w:t>
            </w:r>
          </w:p>
        </w:tc>
        <w:tc>
          <w:tcPr>
            <w:tcW w:w="2294" w:type="dxa"/>
            <w:gridSpan w:val="2"/>
            <w:tcBorders>
              <w:top w:val="single" w:sz="4" w:space="0" w:color="auto"/>
            </w:tcBorders>
          </w:tcPr>
          <w:p w14:paraId="416ECB24"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19.60± 5.10*</w:t>
            </w:r>
          </w:p>
        </w:tc>
        <w:tc>
          <w:tcPr>
            <w:tcW w:w="1967" w:type="dxa"/>
            <w:tcBorders>
              <w:top w:val="single" w:sz="4" w:space="0" w:color="auto"/>
            </w:tcBorders>
          </w:tcPr>
          <w:p w14:paraId="5274015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15.20±7.18*</w:t>
            </w:r>
          </w:p>
        </w:tc>
        <w:tc>
          <w:tcPr>
            <w:tcW w:w="1967" w:type="dxa"/>
            <w:tcBorders>
              <w:top w:val="single" w:sz="4" w:space="0" w:color="auto"/>
            </w:tcBorders>
          </w:tcPr>
          <w:p w14:paraId="47652C1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15.60±6.50*</w:t>
            </w:r>
          </w:p>
        </w:tc>
        <w:tc>
          <w:tcPr>
            <w:tcW w:w="1838" w:type="dxa"/>
            <w:tcBorders>
              <w:top w:val="single" w:sz="4" w:space="0" w:color="auto"/>
            </w:tcBorders>
          </w:tcPr>
          <w:p w14:paraId="0F59705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3.60±5.93*</w:t>
            </w:r>
          </w:p>
        </w:tc>
      </w:tr>
      <w:tr w:rsidR="0002795F" w:rsidRPr="00C577B3" w14:paraId="73FD6DCF" w14:textId="77777777" w:rsidTr="008A519F">
        <w:trPr>
          <w:trHeight w:val="480"/>
        </w:trPr>
        <w:tc>
          <w:tcPr>
            <w:tcW w:w="1807" w:type="dxa"/>
          </w:tcPr>
          <w:p w14:paraId="07F6DB8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Hosp. cleaners</w:t>
            </w:r>
          </w:p>
        </w:tc>
        <w:tc>
          <w:tcPr>
            <w:tcW w:w="2294" w:type="dxa"/>
            <w:gridSpan w:val="2"/>
          </w:tcPr>
          <w:p w14:paraId="2450A156"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17.50± 3.95*</w:t>
            </w:r>
          </w:p>
        </w:tc>
        <w:tc>
          <w:tcPr>
            <w:tcW w:w="1967" w:type="dxa"/>
          </w:tcPr>
          <w:p w14:paraId="444A2B2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6.40±2.01</w:t>
            </w:r>
          </w:p>
        </w:tc>
        <w:tc>
          <w:tcPr>
            <w:tcW w:w="1967" w:type="dxa"/>
          </w:tcPr>
          <w:p w14:paraId="6C670309"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5.30±2.00</w:t>
            </w:r>
          </w:p>
        </w:tc>
        <w:tc>
          <w:tcPr>
            <w:tcW w:w="1838" w:type="dxa"/>
          </w:tcPr>
          <w:p w14:paraId="46EC581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0.20±0.63</w:t>
            </w:r>
          </w:p>
        </w:tc>
      </w:tr>
      <w:tr w:rsidR="0002795F" w:rsidRPr="00C577B3" w14:paraId="549C3926" w14:textId="77777777" w:rsidTr="008A519F">
        <w:trPr>
          <w:trHeight w:val="991"/>
        </w:trPr>
        <w:tc>
          <w:tcPr>
            <w:tcW w:w="1807" w:type="dxa"/>
          </w:tcPr>
          <w:p w14:paraId="5C6A8227"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Hostel cleaners</w:t>
            </w:r>
          </w:p>
        </w:tc>
        <w:tc>
          <w:tcPr>
            <w:tcW w:w="2294" w:type="dxa"/>
            <w:gridSpan w:val="2"/>
          </w:tcPr>
          <w:p w14:paraId="7D0FF7FE"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11.90± 2.42</w:t>
            </w:r>
          </w:p>
        </w:tc>
        <w:tc>
          <w:tcPr>
            <w:tcW w:w="1967" w:type="dxa"/>
          </w:tcPr>
          <w:p w14:paraId="68A9C5B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7.20±2.04</w:t>
            </w:r>
          </w:p>
        </w:tc>
        <w:tc>
          <w:tcPr>
            <w:tcW w:w="1967" w:type="dxa"/>
          </w:tcPr>
          <w:p w14:paraId="54128319"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7.30±2.54</w:t>
            </w:r>
          </w:p>
        </w:tc>
        <w:tc>
          <w:tcPr>
            <w:tcW w:w="1838" w:type="dxa"/>
          </w:tcPr>
          <w:p w14:paraId="653C47D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0.20±0.63</w:t>
            </w:r>
          </w:p>
        </w:tc>
      </w:tr>
      <w:tr w:rsidR="0002795F" w:rsidRPr="00C577B3" w14:paraId="06EA3687" w14:textId="77777777" w:rsidTr="008A519F">
        <w:trPr>
          <w:trHeight w:val="514"/>
        </w:trPr>
        <w:tc>
          <w:tcPr>
            <w:tcW w:w="1807" w:type="dxa"/>
          </w:tcPr>
          <w:p w14:paraId="08495C4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Control</w:t>
            </w:r>
          </w:p>
        </w:tc>
        <w:tc>
          <w:tcPr>
            <w:tcW w:w="2294" w:type="dxa"/>
            <w:gridSpan w:val="2"/>
          </w:tcPr>
          <w:p w14:paraId="01667BE5"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8.10± 3.05</w:t>
            </w:r>
          </w:p>
        </w:tc>
        <w:tc>
          <w:tcPr>
            <w:tcW w:w="1967" w:type="dxa"/>
          </w:tcPr>
          <w:p w14:paraId="53ABC11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3.67±2.43</w:t>
            </w:r>
          </w:p>
        </w:tc>
        <w:tc>
          <w:tcPr>
            <w:tcW w:w="1967" w:type="dxa"/>
          </w:tcPr>
          <w:p w14:paraId="7F1B01A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4.07±2.00</w:t>
            </w:r>
          </w:p>
        </w:tc>
        <w:tc>
          <w:tcPr>
            <w:tcW w:w="1838" w:type="dxa"/>
          </w:tcPr>
          <w:p w14:paraId="4A1AF307"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0.00±0.00</w:t>
            </w:r>
          </w:p>
        </w:tc>
      </w:tr>
      <w:tr w:rsidR="0002795F" w:rsidRPr="00C577B3" w14:paraId="4DEE5D50" w14:textId="77777777" w:rsidTr="008A519F">
        <w:trPr>
          <w:trHeight w:val="480"/>
        </w:trPr>
        <w:tc>
          <w:tcPr>
            <w:tcW w:w="1807" w:type="dxa"/>
          </w:tcPr>
          <w:p w14:paraId="623A8A7E"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294" w:type="dxa"/>
            <w:gridSpan w:val="2"/>
          </w:tcPr>
          <w:p w14:paraId="7ADFFF7A"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35.64</w:t>
            </w:r>
          </w:p>
        </w:tc>
        <w:tc>
          <w:tcPr>
            <w:tcW w:w="1967" w:type="dxa"/>
          </w:tcPr>
          <w:p w14:paraId="7E58E740"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26.40</w:t>
            </w:r>
          </w:p>
        </w:tc>
        <w:tc>
          <w:tcPr>
            <w:tcW w:w="1967" w:type="dxa"/>
          </w:tcPr>
          <w:p w14:paraId="33AC6CE0"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32.35</w:t>
            </w:r>
          </w:p>
        </w:tc>
        <w:tc>
          <w:tcPr>
            <w:tcW w:w="1838" w:type="dxa"/>
          </w:tcPr>
          <w:p w14:paraId="78D9932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5.99</w:t>
            </w:r>
          </w:p>
        </w:tc>
      </w:tr>
      <w:tr w:rsidR="0002795F" w:rsidRPr="00C577B3" w14:paraId="55485C6A" w14:textId="77777777" w:rsidTr="008A519F">
        <w:trPr>
          <w:trHeight w:val="514"/>
        </w:trPr>
        <w:tc>
          <w:tcPr>
            <w:tcW w:w="1807" w:type="dxa"/>
          </w:tcPr>
          <w:p w14:paraId="4C7E9782"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P-value</w:t>
            </w:r>
          </w:p>
        </w:tc>
        <w:tc>
          <w:tcPr>
            <w:tcW w:w="2294" w:type="dxa"/>
            <w:gridSpan w:val="2"/>
          </w:tcPr>
          <w:p w14:paraId="2F874113" w14:textId="77777777" w:rsidR="0002795F" w:rsidRPr="00C577B3" w:rsidRDefault="005C41E6" w:rsidP="00F07748">
            <w:pPr>
              <w:spacing w:line="360" w:lineRule="auto"/>
              <w:jc w:val="both"/>
              <w:rPr>
                <w:rFonts w:ascii="Arial" w:hAnsi="Arial" w:cs="Arial"/>
                <w:sz w:val="20"/>
                <w:szCs w:val="20"/>
              </w:rPr>
            </w:pPr>
            <w:r w:rsidRPr="00C577B3">
              <w:rPr>
                <w:rFonts w:ascii="Arial" w:hAnsi="Arial" w:cs="Arial"/>
                <w:sz w:val="20"/>
                <w:szCs w:val="20"/>
              </w:rPr>
              <w:t>0.00</w:t>
            </w:r>
          </w:p>
        </w:tc>
        <w:tc>
          <w:tcPr>
            <w:tcW w:w="1967" w:type="dxa"/>
          </w:tcPr>
          <w:p w14:paraId="72D8507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967" w:type="dxa"/>
          </w:tcPr>
          <w:p w14:paraId="6F94BC6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838" w:type="dxa"/>
          </w:tcPr>
          <w:p w14:paraId="380C91F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0.01</w:t>
            </w:r>
          </w:p>
        </w:tc>
      </w:tr>
    </w:tbl>
    <w:p w14:paraId="540E2460" w14:textId="77777777"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r w:rsidRPr="00195F2B">
        <w:rPr>
          <w:rFonts w:ascii="Arial" w:hAnsi="Arial" w:cs="Arial"/>
          <w:sz w:val="18"/>
          <w:szCs w:val="18"/>
        </w:rPr>
        <w:t>*p value&lt;0.05 significant level when compared with control.</w:t>
      </w:r>
    </w:p>
    <w:p w14:paraId="040E8AF1" w14:textId="1D246A74" w:rsidR="006652DB" w:rsidRPr="0076796A" w:rsidRDefault="001E00C4" w:rsidP="001E00C4">
      <w:pPr>
        <w:spacing w:line="360" w:lineRule="auto"/>
        <w:jc w:val="both"/>
        <w:rPr>
          <w:rFonts w:ascii="Arial" w:hAnsi="Arial" w:cs="Arial"/>
          <w:i/>
          <w:sz w:val="24"/>
          <w:szCs w:val="24"/>
        </w:rPr>
      </w:pPr>
      <w:r w:rsidRPr="0076796A">
        <w:rPr>
          <w:rFonts w:ascii="Arial" w:hAnsi="Arial" w:cs="Arial"/>
          <w:sz w:val="20"/>
          <w:szCs w:val="20"/>
        </w:rPr>
        <w:t xml:space="preserve">Table 4 displays the mean frequencies of nuclear changes according to gender. Males had higher frequencies of micronuclei (14.41±5.55 vs. 7.47±3.13, P &lt; .001), binucleated cells (7.59±7.21 vs. 5.74±2.60, P = .19), nuclear buds (7.83±6.97 vs. 5.71±2.51, P = .12),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(1.24±3.79 vs. 0.13±0.50, P = .11) than females. However, the increases in binucleated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in males were not statistically significant.</w:t>
      </w:r>
    </w:p>
    <w:p w14:paraId="3CF4F0A1" w14:textId="4787A8DF" w:rsidR="00F333AB" w:rsidRPr="00195F2B" w:rsidRDefault="00F333AB" w:rsidP="00F07748">
      <w:pPr>
        <w:spacing w:line="360" w:lineRule="auto"/>
        <w:ind w:left="0"/>
        <w:jc w:val="both"/>
        <w:rPr>
          <w:rFonts w:ascii="Arial" w:hAnsi="Arial" w:cs="Arial"/>
          <w:b/>
          <w:sz w:val="20"/>
          <w:szCs w:val="20"/>
        </w:rPr>
      </w:pPr>
      <w:r w:rsidRPr="00195F2B">
        <w:rPr>
          <w:rFonts w:ascii="Arial" w:hAnsi="Arial" w:cs="Arial"/>
          <w:b/>
          <w:i/>
          <w:sz w:val="20"/>
          <w:szCs w:val="20"/>
        </w:rPr>
        <w:t>Table 4:</w:t>
      </w:r>
      <w:r w:rsidRPr="00195F2B">
        <w:rPr>
          <w:rFonts w:ascii="Arial" w:hAnsi="Arial" w:cs="Arial"/>
          <w:b/>
          <w:sz w:val="20"/>
          <w:szCs w:val="20"/>
        </w:rPr>
        <w:t xml:space="preserve"> Mean frequencies of nuclear changes in studied population according to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230"/>
        <w:gridCol w:w="1994"/>
        <w:gridCol w:w="1803"/>
        <w:gridCol w:w="1596"/>
        <w:gridCol w:w="1706"/>
      </w:tblGrid>
      <w:tr w:rsidR="0002795F" w:rsidRPr="00C577B3" w14:paraId="2A5B9C9B" w14:textId="77777777" w:rsidTr="001E00C4">
        <w:trPr>
          <w:trHeight w:val="1133"/>
        </w:trPr>
        <w:tc>
          <w:tcPr>
            <w:tcW w:w="2004" w:type="dxa"/>
            <w:vMerge w:val="restart"/>
            <w:tcBorders>
              <w:top w:val="single" w:sz="4" w:space="0" w:color="auto"/>
              <w:bottom w:val="nil"/>
            </w:tcBorders>
          </w:tcPr>
          <w:p w14:paraId="1BC0295B"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GENDER</w:t>
            </w:r>
          </w:p>
        </w:tc>
        <w:tc>
          <w:tcPr>
            <w:tcW w:w="230" w:type="dxa"/>
            <w:tcBorders>
              <w:top w:val="single" w:sz="4" w:space="0" w:color="auto"/>
              <w:bottom w:val="nil"/>
            </w:tcBorders>
          </w:tcPr>
          <w:p w14:paraId="35FF4BDF" w14:textId="77777777" w:rsidR="0002795F" w:rsidRPr="00C577B3" w:rsidRDefault="0002795F" w:rsidP="00F07748">
            <w:pPr>
              <w:spacing w:line="360" w:lineRule="auto"/>
              <w:jc w:val="both"/>
              <w:rPr>
                <w:rFonts w:ascii="Arial" w:hAnsi="Arial" w:cs="Arial"/>
                <w:b/>
                <w:sz w:val="20"/>
                <w:szCs w:val="20"/>
              </w:rPr>
            </w:pPr>
          </w:p>
        </w:tc>
        <w:tc>
          <w:tcPr>
            <w:tcW w:w="7099" w:type="dxa"/>
            <w:gridSpan w:val="4"/>
            <w:tcBorders>
              <w:top w:val="single" w:sz="4" w:space="0" w:color="auto"/>
              <w:bottom w:val="nil"/>
            </w:tcBorders>
          </w:tcPr>
          <w:p w14:paraId="1E0E6C40"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46877D83" w14:textId="77777777" w:rsidTr="001E00C4">
        <w:trPr>
          <w:trHeight w:val="290"/>
        </w:trPr>
        <w:tc>
          <w:tcPr>
            <w:tcW w:w="2004" w:type="dxa"/>
            <w:vMerge/>
            <w:tcBorders>
              <w:top w:val="nil"/>
              <w:bottom w:val="single" w:sz="4" w:space="0" w:color="auto"/>
            </w:tcBorders>
          </w:tcPr>
          <w:p w14:paraId="1793B97B" w14:textId="77777777" w:rsidR="0002795F" w:rsidRPr="00C577B3" w:rsidRDefault="0002795F" w:rsidP="00F07748">
            <w:pPr>
              <w:spacing w:line="360" w:lineRule="auto"/>
              <w:jc w:val="both"/>
              <w:rPr>
                <w:rFonts w:ascii="Arial" w:hAnsi="Arial" w:cs="Arial"/>
                <w:sz w:val="20"/>
                <w:szCs w:val="20"/>
              </w:rPr>
            </w:pPr>
          </w:p>
        </w:tc>
        <w:tc>
          <w:tcPr>
            <w:tcW w:w="2224" w:type="dxa"/>
            <w:gridSpan w:val="2"/>
            <w:tcBorders>
              <w:top w:val="nil"/>
              <w:bottom w:val="single" w:sz="4" w:space="0" w:color="auto"/>
            </w:tcBorders>
          </w:tcPr>
          <w:p w14:paraId="193F6EFD" w14:textId="77777777" w:rsidR="0002795F" w:rsidRPr="00C577B3" w:rsidRDefault="002164EB"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803" w:type="dxa"/>
            <w:tcBorders>
              <w:top w:val="nil"/>
              <w:bottom w:val="single" w:sz="4" w:space="0" w:color="auto"/>
            </w:tcBorders>
          </w:tcPr>
          <w:p w14:paraId="3191A871"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596" w:type="dxa"/>
            <w:tcBorders>
              <w:top w:val="nil"/>
              <w:bottom w:val="single" w:sz="4" w:space="0" w:color="auto"/>
            </w:tcBorders>
          </w:tcPr>
          <w:p w14:paraId="3BF7CA4C"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706" w:type="dxa"/>
            <w:tcBorders>
              <w:top w:val="nil"/>
              <w:bottom w:val="single" w:sz="4" w:space="0" w:color="auto"/>
            </w:tcBorders>
          </w:tcPr>
          <w:p w14:paraId="2C1897E2"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75075962" w14:textId="77777777" w:rsidTr="001E00C4">
        <w:trPr>
          <w:trHeight w:val="528"/>
        </w:trPr>
        <w:tc>
          <w:tcPr>
            <w:tcW w:w="2004" w:type="dxa"/>
            <w:tcBorders>
              <w:top w:val="single" w:sz="4" w:space="0" w:color="auto"/>
            </w:tcBorders>
          </w:tcPr>
          <w:p w14:paraId="56E6DE35"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Males</w:t>
            </w:r>
          </w:p>
        </w:tc>
        <w:tc>
          <w:tcPr>
            <w:tcW w:w="2224" w:type="dxa"/>
            <w:gridSpan w:val="2"/>
            <w:tcBorders>
              <w:top w:val="single" w:sz="4" w:space="0" w:color="auto"/>
            </w:tcBorders>
          </w:tcPr>
          <w:p w14:paraId="71E78C5D" w14:textId="77777777" w:rsidR="0002795F" w:rsidRPr="00C577B3" w:rsidRDefault="002164EB" w:rsidP="00F07748">
            <w:pPr>
              <w:spacing w:line="360" w:lineRule="auto"/>
              <w:jc w:val="both"/>
              <w:rPr>
                <w:rFonts w:ascii="Arial" w:hAnsi="Arial" w:cs="Arial"/>
                <w:sz w:val="20"/>
                <w:szCs w:val="20"/>
              </w:rPr>
            </w:pPr>
            <w:r w:rsidRPr="00C577B3">
              <w:rPr>
                <w:rFonts w:ascii="Arial" w:hAnsi="Arial" w:cs="Arial"/>
                <w:sz w:val="20"/>
                <w:szCs w:val="20"/>
              </w:rPr>
              <w:t>14.41± 5.55*</w:t>
            </w:r>
          </w:p>
        </w:tc>
        <w:tc>
          <w:tcPr>
            <w:tcW w:w="1803" w:type="dxa"/>
            <w:tcBorders>
              <w:top w:val="single" w:sz="4" w:space="0" w:color="auto"/>
            </w:tcBorders>
          </w:tcPr>
          <w:p w14:paraId="5B00C85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7.59±7.21</w:t>
            </w:r>
          </w:p>
        </w:tc>
        <w:tc>
          <w:tcPr>
            <w:tcW w:w="1596" w:type="dxa"/>
            <w:tcBorders>
              <w:top w:val="single" w:sz="4" w:space="0" w:color="auto"/>
            </w:tcBorders>
          </w:tcPr>
          <w:p w14:paraId="4811A11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7.83±6.97</w:t>
            </w:r>
          </w:p>
        </w:tc>
        <w:tc>
          <w:tcPr>
            <w:tcW w:w="1706" w:type="dxa"/>
            <w:tcBorders>
              <w:top w:val="single" w:sz="4" w:space="0" w:color="auto"/>
            </w:tcBorders>
          </w:tcPr>
          <w:p w14:paraId="675CFA9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1.24±3.79</w:t>
            </w:r>
          </w:p>
        </w:tc>
      </w:tr>
      <w:tr w:rsidR="0002795F" w:rsidRPr="00C577B3" w14:paraId="00E6CF84" w14:textId="77777777" w:rsidTr="001E00C4">
        <w:trPr>
          <w:trHeight w:val="528"/>
        </w:trPr>
        <w:tc>
          <w:tcPr>
            <w:tcW w:w="2004" w:type="dxa"/>
          </w:tcPr>
          <w:p w14:paraId="35FD0A93"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Females</w:t>
            </w:r>
          </w:p>
        </w:tc>
        <w:tc>
          <w:tcPr>
            <w:tcW w:w="2224" w:type="dxa"/>
            <w:gridSpan w:val="2"/>
          </w:tcPr>
          <w:p w14:paraId="478B7A8D" w14:textId="77777777" w:rsidR="0002795F" w:rsidRPr="00C577B3" w:rsidRDefault="002164EB" w:rsidP="00F07748">
            <w:pPr>
              <w:spacing w:line="360" w:lineRule="auto"/>
              <w:jc w:val="both"/>
              <w:rPr>
                <w:rFonts w:ascii="Arial" w:hAnsi="Arial" w:cs="Arial"/>
                <w:sz w:val="20"/>
                <w:szCs w:val="20"/>
              </w:rPr>
            </w:pPr>
            <w:r w:rsidRPr="00C577B3">
              <w:rPr>
                <w:rFonts w:ascii="Arial" w:hAnsi="Arial" w:cs="Arial"/>
                <w:sz w:val="20"/>
                <w:szCs w:val="20"/>
              </w:rPr>
              <w:t>7.47± 3.13</w:t>
            </w:r>
          </w:p>
        </w:tc>
        <w:tc>
          <w:tcPr>
            <w:tcW w:w="1803" w:type="dxa"/>
          </w:tcPr>
          <w:p w14:paraId="4CE9423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5.74±2.60</w:t>
            </w:r>
          </w:p>
        </w:tc>
        <w:tc>
          <w:tcPr>
            <w:tcW w:w="1596" w:type="dxa"/>
          </w:tcPr>
          <w:p w14:paraId="2B9D633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5.71±2.51</w:t>
            </w:r>
          </w:p>
        </w:tc>
        <w:tc>
          <w:tcPr>
            <w:tcW w:w="1706" w:type="dxa"/>
          </w:tcPr>
          <w:p w14:paraId="4FF4E44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0.13±0.50</w:t>
            </w:r>
          </w:p>
        </w:tc>
      </w:tr>
      <w:tr w:rsidR="0002795F" w:rsidRPr="00C577B3" w14:paraId="211A86BC" w14:textId="77777777" w:rsidTr="001E00C4">
        <w:trPr>
          <w:trHeight w:val="528"/>
        </w:trPr>
        <w:tc>
          <w:tcPr>
            <w:tcW w:w="2004" w:type="dxa"/>
          </w:tcPr>
          <w:p w14:paraId="31B3AC42"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224" w:type="dxa"/>
            <w:gridSpan w:val="2"/>
          </w:tcPr>
          <w:p w14:paraId="54E42762" w14:textId="77777777" w:rsidR="0002795F" w:rsidRPr="00C577B3" w:rsidRDefault="002164EB" w:rsidP="00F07748">
            <w:pPr>
              <w:spacing w:line="360" w:lineRule="auto"/>
              <w:jc w:val="both"/>
              <w:rPr>
                <w:rFonts w:ascii="Arial" w:hAnsi="Arial" w:cs="Arial"/>
                <w:sz w:val="20"/>
                <w:szCs w:val="20"/>
              </w:rPr>
            </w:pPr>
            <w:r w:rsidRPr="00C577B3">
              <w:rPr>
                <w:rFonts w:ascii="Arial" w:hAnsi="Arial" w:cs="Arial"/>
                <w:sz w:val="20"/>
                <w:szCs w:val="20"/>
              </w:rPr>
              <w:t>5.08</w:t>
            </w:r>
          </w:p>
        </w:tc>
        <w:tc>
          <w:tcPr>
            <w:tcW w:w="1803" w:type="dxa"/>
          </w:tcPr>
          <w:p w14:paraId="4FC7C3E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19.77</w:t>
            </w:r>
          </w:p>
        </w:tc>
        <w:tc>
          <w:tcPr>
            <w:tcW w:w="1596" w:type="dxa"/>
          </w:tcPr>
          <w:p w14:paraId="3DB3B9FB"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21.09</w:t>
            </w:r>
          </w:p>
        </w:tc>
        <w:tc>
          <w:tcPr>
            <w:tcW w:w="1706" w:type="dxa"/>
          </w:tcPr>
          <w:p w14:paraId="32F2A11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13.00</w:t>
            </w:r>
          </w:p>
        </w:tc>
      </w:tr>
      <w:tr w:rsidR="0002795F" w:rsidRPr="00C577B3" w14:paraId="14FD8521" w14:textId="77777777" w:rsidTr="001E00C4">
        <w:trPr>
          <w:trHeight w:val="566"/>
        </w:trPr>
        <w:tc>
          <w:tcPr>
            <w:tcW w:w="2004" w:type="dxa"/>
          </w:tcPr>
          <w:p w14:paraId="11AFA78D"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lastRenderedPageBreak/>
              <w:t>P-value</w:t>
            </w:r>
          </w:p>
        </w:tc>
        <w:tc>
          <w:tcPr>
            <w:tcW w:w="2224" w:type="dxa"/>
            <w:gridSpan w:val="2"/>
          </w:tcPr>
          <w:p w14:paraId="1ABB8A1E" w14:textId="77777777" w:rsidR="0002795F" w:rsidRPr="00C577B3" w:rsidRDefault="002164EB" w:rsidP="00F07748">
            <w:pPr>
              <w:spacing w:line="360" w:lineRule="auto"/>
              <w:jc w:val="both"/>
              <w:rPr>
                <w:rFonts w:ascii="Arial" w:hAnsi="Arial" w:cs="Arial"/>
                <w:sz w:val="20"/>
                <w:szCs w:val="20"/>
              </w:rPr>
            </w:pPr>
            <w:r w:rsidRPr="00C577B3">
              <w:rPr>
                <w:rFonts w:ascii="Arial" w:hAnsi="Arial" w:cs="Arial"/>
                <w:sz w:val="20"/>
                <w:szCs w:val="20"/>
              </w:rPr>
              <w:t>0.00</w:t>
            </w:r>
          </w:p>
        </w:tc>
        <w:tc>
          <w:tcPr>
            <w:tcW w:w="1803" w:type="dxa"/>
          </w:tcPr>
          <w:p w14:paraId="27AE55B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0.19</w:t>
            </w:r>
          </w:p>
        </w:tc>
        <w:tc>
          <w:tcPr>
            <w:tcW w:w="1596" w:type="dxa"/>
          </w:tcPr>
          <w:p w14:paraId="661B763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0.12</w:t>
            </w:r>
          </w:p>
        </w:tc>
        <w:tc>
          <w:tcPr>
            <w:tcW w:w="1706" w:type="dxa"/>
          </w:tcPr>
          <w:p w14:paraId="46931E48"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0.11</w:t>
            </w:r>
          </w:p>
        </w:tc>
      </w:tr>
    </w:tbl>
    <w:p w14:paraId="5CE8F5B7" w14:textId="77777777"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p>
    <w:p w14:paraId="2DBCC867" w14:textId="4BD135B1" w:rsidR="0002795F" w:rsidRPr="00C577B3" w:rsidRDefault="001E00C4" w:rsidP="00F07748">
      <w:pPr>
        <w:spacing w:line="360" w:lineRule="auto"/>
        <w:jc w:val="both"/>
        <w:rPr>
          <w:rFonts w:ascii="Arial" w:hAnsi="Arial" w:cs="Arial"/>
          <w:b/>
          <w:i/>
          <w:sz w:val="20"/>
          <w:szCs w:val="20"/>
        </w:rPr>
      </w:pPr>
      <w:r w:rsidRPr="00C577B3">
        <w:rPr>
          <w:rFonts w:ascii="Arial" w:hAnsi="Arial" w:cs="Arial"/>
          <w:sz w:val="20"/>
          <w:szCs w:val="20"/>
        </w:rPr>
        <w:t xml:space="preserve">In terms of </w:t>
      </w:r>
      <w:r w:rsidRPr="0076796A">
        <w:rPr>
          <w:rFonts w:ascii="Arial" w:hAnsi="Arial" w:cs="Arial"/>
          <w:sz w:val="20"/>
          <w:szCs w:val="20"/>
        </w:rPr>
        <w:t xml:space="preserve">marital status, Table 5 shows that single participants had micronuclei frequencies of 4.05±2.30 compared to 2.25±2.27 for married participants, with a significant difference (P = .006). However, there was no significant difference in the frequencies of binucleated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between single and married participants (P = .09, P = 3.72, P = .77 respectively for binucleated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w:t>
      </w:r>
    </w:p>
    <w:p w14:paraId="20E260EC" w14:textId="3C3F6EDB" w:rsidR="00F333AB" w:rsidRPr="00C577B3" w:rsidRDefault="00F333AB" w:rsidP="00F07748">
      <w:pPr>
        <w:spacing w:line="360" w:lineRule="auto"/>
        <w:ind w:left="0"/>
        <w:jc w:val="both"/>
        <w:rPr>
          <w:rFonts w:ascii="Arial" w:hAnsi="Arial" w:cs="Arial"/>
          <w:b/>
          <w:sz w:val="22"/>
          <w:szCs w:val="22"/>
        </w:rPr>
      </w:pPr>
      <w:r w:rsidRPr="00C577B3">
        <w:rPr>
          <w:rFonts w:ascii="Arial" w:hAnsi="Arial" w:cs="Arial"/>
          <w:b/>
          <w:i/>
          <w:sz w:val="22"/>
          <w:szCs w:val="22"/>
        </w:rPr>
        <w:t>Table 5:</w:t>
      </w:r>
      <w:r w:rsidRPr="00C577B3">
        <w:rPr>
          <w:rFonts w:ascii="Arial" w:hAnsi="Arial" w:cs="Arial"/>
          <w:b/>
          <w:sz w:val="22"/>
          <w:szCs w:val="22"/>
        </w:rPr>
        <w:t xml:space="preserve"> Mean frequencies of nuclear changes in waste disposal workers according to marital status</w:t>
      </w:r>
    </w:p>
    <w:tbl>
      <w:tblPr>
        <w:tblStyle w:val="TableGrid"/>
        <w:tblW w:w="100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598"/>
        <w:gridCol w:w="1451"/>
        <w:gridCol w:w="1678"/>
        <w:gridCol w:w="1773"/>
        <w:gridCol w:w="2189"/>
      </w:tblGrid>
      <w:tr w:rsidR="0002795F" w:rsidRPr="00C577B3" w14:paraId="2C251318" w14:textId="77777777" w:rsidTr="001E00C4">
        <w:trPr>
          <w:trHeight w:val="911"/>
        </w:trPr>
        <w:tc>
          <w:tcPr>
            <w:tcW w:w="2347" w:type="dxa"/>
            <w:vMerge w:val="restart"/>
            <w:tcBorders>
              <w:top w:val="single" w:sz="4" w:space="0" w:color="auto"/>
              <w:bottom w:val="nil"/>
            </w:tcBorders>
          </w:tcPr>
          <w:p w14:paraId="27ACF7A8"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Marital Status</w:t>
            </w:r>
          </w:p>
        </w:tc>
        <w:tc>
          <w:tcPr>
            <w:tcW w:w="598" w:type="dxa"/>
            <w:tcBorders>
              <w:top w:val="single" w:sz="4" w:space="0" w:color="auto"/>
              <w:bottom w:val="nil"/>
            </w:tcBorders>
          </w:tcPr>
          <w:p w14:paraId="31A5AB2B" w14:textId="77777777" w:rsidR="0002795F" w:rsidRPr="00C577B3" w:rsidRDefault="0002795F" w:rsidP="00F07748">
            <w:pPr>
              <w:spacing w:line="360" w:lineRule="auto"/>
              <w:jc w:val="both"/>
              <w:rPr>
                <w:rFonts w:ascii="Arial" w:hAnsi="Arial" w:cs="Arial"/>
                <w:b/>
                <w:sz w:val="20"/>
                <w:szCs w:val="20"/>
              </w:rPr>
            </w:pPr>
          </w:p>
        </w:tc>
        <w:tc>
          <w:tcPr>
            <w:tcW w:w="7090" w:type="dxa"/>
            <w:gridSpan w:val="4"/>
            <w:tcBorders>
              <w:top w:val="single" w:sz="4" w:space="0" w:color="auto"/>
              <w:bottom w:val="nil"/>
            </w:tcBorders>
          </w:tcPr>
          <w:p w14:paraId="3BA460DF"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1470DD02" w14:textId="77777777" w:rsidTr="001E00C4">
        <w:trPr>
          <w:trHeight w:val="470"/>
        </w:trPr>
        <w:tc>
          <w:tcPr>
            <w:tcW w:w="2347" w:type="dxa"/>
            <w:vMerge/>
            <w:tcBorders>
              <w:top w:val="nil"/>
              <w:bottom w:val="single" w:sz="4" w:space="0" w:color="auto"/>
            </w:tcBorders>
          </w:tcPr>
          <w:p w14:paraId="255A4F85" w14:textId="77777777" w:rsidR="0002795F" w:rsidRPr="00C577B3" w:rsidRDefault="0002795F" w:rsidP="00F07748">
            <w:pPr>
              <w:spacing w:line="360" w:lineRule="auto"/>
              <w:jc w:val="both"/>
              <w:rPr>
                <w:rFonts w:ascii="Arial" w:hAnsi="Arial" w:cs="Arial"/>
                <w:sz w:val="20"/>
                <w:szCs w:val="20"/>
              </w:rPr>
            </w:pPr>
          </w:p>
        </w:tc>
        <w:tc>
          <w:tcPr>
            <w:tcW w:w="2049" w:type="dxa"/>
            <w:gridSpan w:val="2"/>
            <w:tcBorders>
              <w:top w:val="nil"/>
              <w:bottom w:val="single" w:sz="4" w:space="0" w:color="auto"/>
            </w:tcBorders>
          </w:tcPr>
          <w:p w14:paraId="14A965F4" w14:textId="77777777" w:rsidR="0002795F"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678" w:type="dxa"/>
            <w:tcBorders>
              <w:top w:val="nil"/>
              <w:bottom w:val="single" w:sz="4" w:space="0" w:color="auto"/>
            </w:tcBorders>
          </w:tcPr>
          <w:p w14:paraId="41B903CD"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773" w:type="dxa"/>
            <w:tcBorders>
              <w:top w:val="nil"/>
              <w:bottom w:val="single" w:sz="4" w:space="0" w:color="auto"/>
            </w:tcBorders>
          </w:tcPr>
          <w:p w14:paraId="71D3B838"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2189" w:type="dxa"/>
            <w:tcBorders>
              <w:top w:val="nil"/>
              <w:bottom w:val="single" w:sz="4" w:space="0" w:color="auto"/>
            </w:tcBorders>
          </w:tcPr>
          <w:p w14:paraId="624F39FF"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131F21AA" w14:textId="77777777" w:rsidTr="001E00C4">
        <w:trPr>
          <w:trHeight w:val="848"/>
        </w:trPr>
        <w:tc>
          <w:tcPr>
            <w:tcW w:w="2347" w:type="dxa"/>
            <w:tcBorders>
              <w:top w:val="single" w:sz="4" w:space="0" w:color="auto"/>
            </w:tcBorders>
          </w:tcPr>
          <w:p w14:paraId="48DB4262"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Single</w:t>
            </w:r>
          </w:p>
        </w:tc>
        <w:tc>
          <w:tcPr>
            <w:tcW w:w="2049" w:type="dxa"/>
            <w:gridSpan w:val="2"/>
            <w:tcBorders>
              <w:top w:val="single" w:sz="4" w:space="0" w:color="auto"/>
            </w:tcBorders>
          </w:tcPr>
          <w:p w14:paraId="1E8E8D55"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4.05 ± 2.30</w:t>
            </w:r>
          </w:p>
        </w:tc>
        <w:tc>
          <w:tcPr>
            <w:tcW w:w="1678" w:type="dxa"/>
            <w:tcBorders>
              <w:top w:val="single" w:sz="4" w:space="0" w:color="auto"/>
            </w:tcBorders>
          </w:tcPr>
          <w:p w14:paraId="5DD0C6A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5.00±6.14</w:t>
            </w:r>
          </w:p>
        </w:tc>
        <w:tc>
          <w:tcPr>
            <w:tcW w:w="1773" w:type="dxa"/>
            <w:tcBorders>
              <w:top w:val="single" w:sz="4" w:space="0" w:color="auto"/>
            </w:tcBorders>
          </w:tcPr>
          <w:p w14:paraId="2D61C72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5.90±5.18</w:t>
            </w:r>
          </w:p>
        </w:tc>
        <w:tc>
          <w:tcPr>
            <w:tcW w:w="2189" w:type="dxa"/>
            <w:tcBorders>
              <w:top w:val="single" w:sz="4" w:space="0" w:color="auto"/>
            </w:tcBorders>
          </w:tcPr>
          <w:p w14:paraId="1B226F93"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0.52±2.40</w:t>
            </w:r>
          </w:p>
        </w:tc>
      </w:tr>
      <w:tr w:rsidR="0002795F" w:rsidRPr="00C577B3" w14:paraId="346D5BFF" w14:textId="77777777" w:rsidTr="001E00C4">
        <w:trPr>
          <w:trHeight w:val="848"/>
        </w:trPr>
        <w:tc>
          <w:tcPr>
            <w:tcW w:w="2347" w:type="dxa"/>
          </w:tcPr>
          <w:p w14:paraId="2C5B2045"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Married</w:t>
            </w:r>
          </w:p>
        </w:tc>
        <w:tc>
          <w:tcPr>
            <w:tcW w:w="2049" w:type="dxa"/>
            <w:gridSpan w:val="2"/>
          </w:tcPr>
          <w:p w14:paraId="3EF1C2AB"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2.25 ± 2.27</w:t>
            </w:r>
          </w:p>
        </w:tc>
        <w:tc>
          <w:tcPr>
            <w:tcW w:w="1678" w:type="dxa"/>
          </w:tcPr>
          <w:p w14:paraId="5BC5FE8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7,51±4.78</w:t>
            </w:r>
          </w:p>
        </w:tc>
        <w:tc>
          <w:tcPr>
            <w:tcW w:w="1773" w:type="dxa"/>
          </w:tcPr>
          <w:p w14:paraId="55C243C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7.18±5.27</w:t>
            </w:r>
          </w:p>
        </w:tc>
        <w:tc>
          <w:tcPr>
            <w:tcW w:w="2189" w:type="dxa"/>
          </w:tcPr>
          <w:p w14:paraId="18B0099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0.74±2.87</w:t>
            </w:r>
          </w:p>
        </w:tc>
      </w:tr>
      <w:tr w:rsidR="0002795F" w:rsidRPr="00C577B3" w14:paraId="00C222D4" w14:textId="77777777" w:rsidTr="001E00C4">
        <w:trPr>
          <w:trHeight w:val="911"/>
        </w:trPr>
        <w:tc>
          <w:tcPr>
            <w:tcW w:w="2347" w:type="dxa"/>
          </w:tcPr>
          <w:p w14:paraId="626F138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F-ratio</w:t>
            </w:r>
          </w:p>
        </w:tc>
        <w:tc>
          <w:tcPr>
            <w:tcW w:w="2049" w:type="dxa"/>
            <w:gridSpan w:val="2"/>
          </w:tcPr>
          <w:p w14:paraId="5A4E518E"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2.873</w:t>
            </w:r>
          </w:p>
        </w:tc>
        <w:tc>
          <w:tcPr>
            <w:tcW w:w="1678" w:type="dxa"/>
          </w:tcPr>
          <w:p w14:paraId="099B910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0.01</w:t>
            </w:r>
          </w:p>
        </w:tc>
        <w:tc>
          <w:tcPr>
            <w:tcW w:w="1773" w:type="dxa"/>
          </w:tcPr>
          <w:p w14:paraId="301858B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0.36</w:t>
            </w:r>
          </w:p>
        </w:tc>
        <w:tc>
          <w:tcPr>
            <w:tcW w:w="2189" w:type="dxa"/>
          </w:tcPr>
          <w:p w14:paraId="311153A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0.27</w:t>
            </w:r>
          </w:p>
        </w:tc>
      </w:tr>
      <w:tr w:rsidR="0002795F" w:rsidRPr="00C577B3" w14:paraId="5B3E6EB7" w14:textId="77777777" w:rsidTr="001E00C4">
        <w:trPr>
          <w:trHeight w:val="911"/>
        </w:trPr>
        <w:tc>
          <w:tcPr>
            <w:tcW w:w="2347" w:type="dxa"/>
          </w:tcPr>
          <w:p w14:paraId="32BEE29A"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sz w:val="20"/>
                <w:szCs w:val="20"/>
              </w:rPr>
              <w:t>P-value</w:t>
            </w:r>
          </w:p>
        </w:tc>
        <w:tc>
          <w:tcPr>
            <w:tcW w:w="2049" w:type="dxa"/>
            <w:gridSpan w:val="2"/>
          </w:tcPr>
          <w:p w14:paraId="600801A4"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bCs/>
                <w:sz w:val="20"/>
                <w:szCs w:val="20"/>
              </w:rPr>
              <w:t>0.006</w:t>
            </w:r>
          </w:p>
        </w:tc>
        <w:tc>
          <w:tcPr>
            <w:tcW w:w="1678" w:type="dxa"/>
          </w:tcPr>
          <w:p w14:paraId="2E33D1CD"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0.09</w:t>
            </w:r>
          </w:p>
        </w:tc>
        <w:tc>
          <w:tcPr>
            <w:tcW w:w="1773" w:type="dxa"/>
          </w:tcPr>
          <w:p w14:paraId="15045FC5"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3.72</w:t>
            </w:r>
          </w:p>
        </w:tc>
        <w:tc>
          <w:tcPr>
            <w:tcW w:w="2189" w:type="dxa"/>
          </w:tcPr>
          <w:p w14:paraId="63DAC82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0.77</w:t>
            </w:r>
          </w:p>
        </w:tc>
      </w:tr>
    </w:tbl>
    <w:p w14:paraId="052A52CD" w14:textId="77777777" w:rsidR="00F333AB" w:rsidRPr="00195F2B" w:rsidRDefault="00F333AB" w:rsidP="00F07748">
      <w:pPr>
        <w:spacing w:line="360" w:lineRule="auto"/>
        <w:jc w:val="both"/>
        <w:rPr>
          <w:rFonts w:ascii="Arial" w:hAnsi="Arial" w:cs="Arial"/>
          <w:b/>
          <w:sz w:val="18"/>
          <w:szCs w:val="18"/>
        </w:rPr>
      </w:pPr>
      <w:r w:rsidRPr="00195F2B">
        <w:rPr>
          <w:rFonts w:ascii="Arial" w:hAnsi="Arial" w:cs="Arial"/>
          <w:sz w:val="18"/>
          <w:szCs w:val="18"/>
        </w:rPr>
        <w:t>Data expressed as Mean ± Standard deviation.</w:t>
      </w:r>
    </w:p>
    <w:p w14:paraId="68388A74" w14:textId="6C9A2283" w:rsidR="0002795F" w:rsidRPr="00C577B3" w:rsidRDefault="001E00C4" w:rsidP="001E00C4">
      <w:pPr>
        <w:spacing w:line="240" w:lineRule="auto"/>
        <w:jc w:val="both"/>
        <w:rPr>
          <w:rFonts w:ascii="Arial" w:hAnsi="Arial" w:cs="Arial"/>
          <w:b/>
          <w:i/>
          <w:sz w:val="20"/>
          <w:szCs w:val="20"/>
        </w:rPr>
      </w:pPr>
      <w:r w:rsidRPr="00C577B3">
        <w:rPr>
          <w:rFonts w:ascii="Arial" w:hAnsi="Arial" w:cs="Arial"/>
          <w:sz w:val="20"/>
          <w:szCs w:val="20"/>
        </w:rPr>
        <w:t>The use of personal protective equipment (PPE</w:t>
      </w:r>
      <w:r w:rsidRPr="0076796A">
        <w:rPr>
          <w:rFonts w:ascii="Arial" w:hAnsi="Arial" w:cs="Arial"/>
          <w:sz w:val="20"/>
          <w:szCs w:val="20"/>
        </w:rPr>
        <w:t xml:space="preserve">) did not significantly influence the frequencies of nuclear abnormalities among waste disposal workers, as detailed in Table 6. There was no significant difference in the frequencies of micronuclei (P = .69), binucleated cells (P = .88), nuclear buds (P = .35),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(P = .55) between those who used PPE and those who did not.</w:t>
      </w:r>
    </w:p>
    <w:p w14:paraId="6AC0B7BE" w14:textId="6B58A0EF" w:rsidR="00F333AB" w:rsidRPr="00195F2B" w:rsidRDefault="00F333AB" w:rsidP="00F07748">
      <w:pPr>
        <w:spacing w:line="360" w:lineRule="auto"/>
        <w:ind w:left="0"/>
        <w:jc w:val="both"/>
        <w:rPr>
          <w:rFonts w:ascii="Arial" w:hAnsi="Arial" w:cs="Arial"/>
          <w:b/>
          <w:sz w:val="20"/>
          <w:szCs w:val="20"/>
        </w:rPr>
      </w:pPr>
      <w:r w:rsidRPr="00195F2B">
        <w:rPr>
          <w:rFonts w:ascii="Arial" w:hAnsi="Arial" w:cs="Arial"/>
          <w:b/>
          <w:i/>
          <w:sz w:val="20"/>
          <w:szCs w:val="20"/>
        </w:rPr>
        <w:t>Table 6:</w:t>
      </w:r>
      <w:r w:rsidRPr="00195F2B">
        <w:rPr>
          <w:rFonts w:ascii="Arial" w:hAnsi="Arial" w:cs="Arial"/>
          <w:sz w:val="20"/>
          <w:szCs w:val="20"/>
        </w:rPr>
        <w:t xml:space="preserve"> </w:t>
      </w:r>
      <w:r w:rsidRPr="00195F2B">
        <w:rPr>
          <w:rFonts w:ascii="Arial" w:hAnsi="Arial" w:cs="Arial"/>
          <w:b/>
          <w:sz w:val="20"/>
          <w:szCs w:val="20"/>
        </w:rPr>
        <w:t>Mean frequencies of nuclear changes in waste disposal workers according to the use of Personal protective equipment (PPE).</w:t>
      </w:r>
    </w:p>
    <w:tbl>
      <w:tblPr>
        <w:tblStyle w:val="TableGrid"/>
        <w:tblW w:w="9725" w:type="dxa"/>
        <w:tblLook w:val="04A0" w:firstRow="1" w:lastRow="0" w:firstColumn="1" w:lastColumn="0" w:noHBand="0" w:noVBand="1"/>
      </w:tblPr>
      <w:tblGrid>
        <w:gridCol w:w="2009"/>
        <w:gridCol w:w="660"/>
        <w:gridCol w:w="1371"/>
        <w:gridCol w:w="2080"/>
        <w:gridCol w:w="1555"/>
        <w:gridCol w:w="2050"/>
      </w:tblGrid>
      <w:tr w:rsidR="002164EB" w:rsidRPr="00C577B3" w14:paraId="2452CC59" w14:textId="77777777" w:rsidTr="00D05006">
        <w:trPr>
          <w:trHeight w:val="646"/>
        </w:trPr>
        <w:tc>
          <w:tcPr>
            <w:tcW w:w="2009" w:type="dxa"/>
            <w:vMerge w:val="restart"/>
          </w:tcPr>
          <w:p w14:paraId="7E55DB0C"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Use of PPE</w:t>
            </w:r>
          </w:p>
        </w:tc>
        <w:tc>
          <w:tcPr>
            <w:tcW w:w="660" w:type="dxa"/>
          </w:tcPr>
          <w:p w14:paraId="3EC15232" w14:textId="77777777" w:rsidR="002164EB" w:rsidRPr="00C577B3" w:rsidRDefault="002164EB" w:rsidP="001E00C4">
            <w:pPr>
              <w:spacing w:line="240" w:lineRule="auto"/>
              <w:jc w:val="both"/>
              <w:rPr>
                <w:rFonts w:ascii="Arial" w:hAnsi="Arial" w:cs="Arial"/>
                <w:b/>
                <w:sz w:val="20"/>
                <w:szCs w:val="20"/>
              </w:rPr>
            </w:pPr>
          </w:p>
        </w:tc>
        <w:tc>
          <w:tcPr>
            <w:tcW w:w="7056" w:type="dxa"/>
            <w:gridSpan w:val="4"/>
          </w:tcPr>
          <w:p w14:paraId="197B254D"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2164EB" w:rsidRPr="00C577B3" w14:paraId="00BFBEDA" w14:textId="77777777" w:rsidTr="00D05006">
        <w:trPr>
          <w:trHeight w:val="331"/>
        </w:trPr>
        <w:tc>
          <w:tcPr>
            <w:tcW w:w="2009" w:type="dxa"/>
            <w:vMerge/>
          </w:tcPr>
          <w:p w14:paraId="17762FDA" w14:textId="77777777" w:rsidR="002164EB" w:rsidRPr="00C577B3" w:rsidRDefault="002164EB" w:rsidP="001E00C4">
            <w:pPr>
              <w:spacing w:line="240" w:lineRule="auto"/>
              <w:jc w:val="both"/>
              <w:rPr>
                <w:rFonts w:ascii="Arial" w:hAnsi="Arial" w:cs="Arial"/>
                <w:sz w:val="20"/>
                <w:szCs w:val="20"/>
              </w:rPr>
            </w:pPr>
          </w:p>
        </w:tc>
        <w:tc>
          <w:tcPr>
            <w:tcW w:w="2031" w:type="dxa"/>
            <w:gridSpan w:val="2"/>
          </w:tcPr>
          <w:p w14:paraId="2C16768B" w14:textId="77777777" w:rsidR="002164EB" w:rsidRPr="00C577B3" w:rsidRDefault="00D05006" w:rsidP="001E00C4">
            <w:pPr>
              <w:spacing w:line="240" w:lineRule="auto"/>
              <w:jc w:val="both"/>
              <w:rPr>
                <w:rFonts w:ascii="Arial" w:hAnsi="Arial" w:cs="Arial"/>
                <w:b/>
                <w:sz w:val="20"/>
                <w:szCs w:val="20"/>
              </w:rPr>
            </w:pPr>
            <w:r w:rsidRPr="00C577B3">
              <w:rPr>
                <w:rFonts w:ascii="Arial" w:hAnsi="Arial" w:cs="Arial"/>
                <w:b/>
                <w:sz w:val="20"/>
                <w:szCs w:val="20"/>
              </w:rPr>
              <w:t>Micronuclei</w:t>
            </w:r>
          </w:p>
        </w:tc>
        <w:tc>
          <w:tcPr>
            <w:tcW w:w="2080" w:type="dxa"/>
          </w:tcPr>
          <w:p w14:paraId="74CE7CBF"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Binucleate cells</w:t>
            </w:r>
          </w:p>
        </w:tc>
        <w:tc>
          <w:tcPr>
            <w:tcW w:w="1555" w:type="dxa"/>
          </w:tcPr>
          <w:p w14:paraId="3094ABD1"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Nuclear buds</w:t>
            </w:r>
          </w:p>
        </w:tc>
        <w:tc>
          <w:tcPr>
            <w:tcW w:w="2050" w:type="dxa"/>
          </w:tcPr>
          <w:p w14:paraId="5290314A" w14:textId="77777777" w:rsidR="002164EB" w:rsidRPr="00C577B3" w:rsidRDefault="002164EB" w:rsidP="001E00C4">
            <w:pPr>
              <w:spacing w:line="24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2164EB" w:rsidRPr="00C577B3" w14:paraId="34A310A7" w14:textId="77777777" w:rsidTr="00D05006">
        <w:trPr>
          <w:trHeight w:val="646"/>
        </w:trPr>
        <w:tc>
          <w:tcPr>
            <w:tcW w:w="2009" w:type="dxa"/>
          </w:tcPr>
          <w:p w14:paraId="570951F0"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lastRenderedPageBreak/>
              <w:t>Yes</w:t>
            </w:r>
          </w:p>
        </w:tc>
        <w:tc>
          <w:tcPr>
            <w:tcW w:w="2031" w:type="dxa"/>
            <w:gridSpan w:val="2"/>
          </w:tcPr>
          <w:p w14:paraId="1B994C7E" w14:textId="77777777" w:rsidR="002164EB" w:rsidRPr="00C577B3" w:rsidRDefault="00D05006" w:rsidP="001E00C4">
            <w:pPr>
              <w:spacing w:line="240" w:lineRule="auto"/>
              <w:jc w:val="both"/>
              <w:rPr>
                <w:rFonts w:ascii="Arial" w:hAnsi="Arial" w:cs="Arial"/>
                <w:b/>
                <w:sz w:val="20"/>
                <w:szCs w:val="20"/>
              </w:rPr>
            </w:pPr>
            <w:r w:rsidRPr="00C577B3">
              <w:rPr>
                <w:rFonts w:ascii="Arial" w:hAnsi="Arial" w:cs="Arial"/>
                <w:sz w:val="20"/>
                <w:szCs w:val="20"/>
              </w:rPr>
              <w:t>3.67 ± 3.16</w:t>
            </w:r>
          </w:p>
        </w:tc>
        <w:tc>
          <w:tcPr>
            <w:tcW w:w="2080" w:type="dxa"/>
          </w:tcPr>
          <w:p w14:paraId="631836B8"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sz w:val="20"/>
                <w:szCs w:val="20"/>
              </w:rPr>
              <w:t>6.40±2.01</w:t>
            </w:r>
          </w:p>
        </w:tc>
        <w:tc>
          <w:tcPr>
            <w:tcW w:w="1555" w:type="dxa"/>
          </w:tcPr>
          <w:p w14:paraId="32F80C7B"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sz w:val="20"/>
                <w:szCs w:val="20"/>
              </w:rPr>
              <w:t>5.30±2.00</w:t>
            </w:r>
          </w:p>
        </w:tc>
        <w:tc>
          <w:tcPr>
            <w:tcW w:w="2050" w:type="dxa"/>
          </w:tcPr>
          <w:p w14:paraId="7103AA24"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0.20±0.63</w:t>
            </w:r>
          </w:p>
        </w:tc>
      </w:tr>
      <w:tr w:rsidR="002164EB" w:rsidRPr="00C577B3" w14:paraId="3DFFF28A" w14:textId="77777777" w:rsidTr="00D05006">
        <w:trPr>
          <w:trHeight w:val="646"/>
        </w:trPr>
        <w:tc>
          <w:tcPr>
            <w:tcW w:w="2009" w:type="dxa"/>
          </w:tcPr>
          <w:p w14:paraId="6EC2ADF5"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No</w:t>
            </w:r>
          </w:p>
        </w:tc>
        <w:tc>
          <w:tcPr>
            <w:tcW w:w="2031" w:type="dxa"/>
            <w:gridSpan w:val="2"/>
          </w:tcPr>
          <w:p w14:paraId="3D98814C" w14:textId="77777777" w:rsidR="002164EB" w:rsidRPr="00C577B3" w:rsidRDefault="00D05006" w:rsidP="001E00C4">
            <w:pPr>
              <w:spacing w:line="240" w:lineRule="auto"/>
              <w:jc w:val="both"/>
              <w:rPr>
                <w:rFonts w:ascii="Arial" w:hAnsi="Arial" w:cs="Arial"/>
                <w:sz w:val="20"/>
                <w:szCs w:val="20"/>
              </w:rPr>
            </w:pPr>
            <w:r w:rsidRPr="00C577B3">
              <w:rPr>
                <w:rFonts w:ascii="Arial" w:hAnsi="Arial" w:cs="Arial"/>
                <w:sz w:val="20"/>
                <w:szCs w:val="20"/>
              </w:rPr>
              <w:t>3.38 ± 2.17</w:t>
            </w:r>
          </w:p>
        </w:tc>
        <w:tc>
          <w:tcPr>
            <w:tcW w:w="2080" w:type="dxa"/>
          </w:tcPr>
          <w:p w14:paraId="1EA50CAA"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6.68±5.84</w:t>
            </w:r>
          </w:p>
        </w:tc>
        <w:tc>
          <w:tcPr>
            <w:tcW w:w="1555" w:type="dxa"/>
          </w:tcPr>
          <w:p w14:paraId="3CE3973F" w14:textId="77777777" w:rsidR="002164EB" w:rsidRPr="00C577B3" w:rsidRDefault="002164EB" w:rsidP="001E00C4">
            <w:pPr>
              <w:spacing w:line="240" w:lineRule="auto"/>
              <w:jc w:val="both"/>
              <w:rPr>
                <w:rFonts w:ascii="Arial" w:hAnsi="Arial" w:cs="Arial"/>
                <w:b/>
                <w:sz w:val="20"/>
                <w:szCs w:val="20"/>
              </w:rPr>
            </w:pPr>
            <w:r w:rsidRPr="00C577B3">
              <w:rPr>
                <w:rFonts w:ascii="Arial" w:hAnsi="Arial" w:cs="Arial"/>
                <w:b/>
                <w:sz w:val="20"/>
                <w:szCs w:val="20"/>
              </w:rPr>
              <w:t>7.</w:t>
            </w:r>
            <w:r w:rsidRPr="00C577B3">
              <w:rPr>
                <w:rFonts w:ascii="Arial" w:hAnsi="Arial" w:cs="Arial"/>
                <w:sz w:val="20"/>
                <w:szCs w:val="20"/>
              </w:rPr>
              <w:t>02±5.63</w:t>
            </w:r>
          </w:p>
        </w:tc>
        <w:tc>
          <w:tcPr>
            <w:tcW w:w="2050" w:type="dxa"/>
          </w:tcPr>
          <w:p w14:paraId="022E1C4A"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0.76±2.93</w:t>
            </w:r>
          </w:p>
        </w:tc>
      </w:tr>
      <w:tr w:rsidR="002164EB" w:rsidRPr="00C577B3" w14:paraId="6D88D5A2" w14:textId="77777777" w:rsidTr="00D05006">
        <w:trPr>
          <w:trHeight w:val="646"/>
        </w:trPr>
        <w:tc>
          <w:tcPr>
            <w:tcW w:w="2009" w:type="dxa"/>
          </w:tcPr>
          <w:p w14:paraId="1F085FB2"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F-ratio</w:t>
            </w:r>
          </w:p>
        </w:tc>
        <w:tc>
          <w:tcPr>
            <w:tcW w:w="2031" w:type="dxa"/>
            <w:gridSpan w:val="2"/>
          </w:tcPr>
          <w:p w14:paraId="1F4BE5B1" w14:textId="77777777" w:rsidR="002164EB" w:rsidRPr="00C577B3" w:rsidRDefault="00D05006" w:rsidP="001E00C4">
            <w:pPr>
              <w:spacing w:line="240" w:lineRule="auto"/>
              <w:jc w:val="both"/>
              <w:rPr>
                <w:rFonts w:ascii="Arial" w:hAnsi="Arial" w:cs="Arial"/>
                <w:sz w:val="20"/>
                <w:szCs w:val="20"/>
              </w:rPr>
            </w:pPr>
            <w:r w:rsidRPr="00C577B3">
              <w:rPr>
                <w:rFonts w:ascii="Arial" w:hAnsi="Arial" w:cs="Arial"/>
                <w:sz w:val="20"/>
                <w:szCs w:val="20"/>
              </w:rPr>
              <w:t>0.397</w:t>
            </w:r>
          </w:p>
        </w:tc>
        <w:tc>
          <w:tcPr>
            <w:tcW w:w="2080" w:type="dxa"/>
          </w:tcPr>
          <w:p w14:paraId="3DB7695A"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4.52</w:t>
            </w:r>
          </w:p>
        </w:tc>
        <w:tc>
          <w:tcPr>
            <w:tcW w:w="1555" w:type="dxa"/>
          </w:tcPr>
          <w:p w14:paraId="4051886C"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4.34</w:t>
            </w:r>
          </w:p>
        </w:tc>
        <w:tc>
          <w:tcPr>
            <w:tcW w:w="2050" w:type="dxa"/>
          </w:tcPr>
          <w:p w14:paraId="12EB7233"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1.60</w:t>
            </w:r>
          </w:p>
        </w:tc>
      </w:tr>
      <w:tr w:rsidR="002164EB" w:rsidRPr="00C577B3" w14:paraId="661D4697" w14:textId="77777777" w:rsidTr="00D05006">
        <w:trPr>
          <w:trHeight w:val="603"/>
        </w:trPr>
        <w:tc>
          <w:tcPr>
            <w:tcW w:w="2009" w:type="dxa"/>
          </w:tcPr>
          <w:p w14:paraId="35789027"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P-Value</w:t>
            </w:r>
          </w:p>
        </w:tc>
        <w:tc>
          <w:tcPr>
            <w:tcW w:w="2031" w:type="dxa"/>
            <w:gridSpan w:val="2"/>
          </w:tcPr>
          <w:p w14:paraId="6D3EFC03" w14:textId="77777777" w:rsidR="002164EB" w:rsidRPr="00C577B3" w:rsidRDefault="00D05006" w:rsidP="001E00C4">
            <w:pPr>
              <w:spacing w:line="240" w:lineRule="auto"/>
              <w:jc w:val="both"/>
              <w:rPr>
                <w:rFonts w:ascii="Arial" w:hAnsi="Arial" w:cs="Arial"/>
                <w:sz w:val="20"/>
                <w:szCs w:val="20"/>
              </w:rPr>
            </w:pPr>
            <w:r w:rsidRPr="00C577B3">
              <w:rPr>
                <w:rFonts w:ascii="Arial" w:hAnsi="Arial" w:cs="Arial"/>
                <w:sz w:val="20"/>
                <w:szCs w:val="20"/>
              </w:rPr>
              <w:t>0.693</w:t>
            </w:r>
          </w:p>
        </w:tc>
        <w:tc>
          <w:tcPr>
            <w:tcW w:w="2080" w:type="dxa"/>
          </w:tcPr>
          <w:p w14:paraId="2456E2BF"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0.88</w:t>
            </w:r>
          </w:p>
        </w:tc>
        <w:tc>
          <w:tcPr>
            <w:tcW w:w="1555" w:type="dxa"/>
          </w:tcPr>
          <w:p w14:paraId="34458358"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0.35</w:t>
            </w:r>
          </w:p>
        </w:tc>
        <w:tc>
          <w:tcPr>
            <w:tcW w:w="2050" w:type="dxa"/>
          </w:tcPr>
          <w:p w14:paraId="69CC8528" w14:textId="77777777" w:rsidR="002164EB" w:rsidRPr="00C577B3" w:rsidRDefault="002164EB" w:rsidP="001E00C4">
            <w:pPr>
              <w:spacing w:line="240" w:lineRule="auto"/>
              <w:jc w:val="both"/>
              <w:rPr>
                <w:rFonts w:ascii="Arial" w:hAnsi="Arial" w:cs="Arial"/>
                <w:sz w:val="20"/>
                <w:szCs w:val="20"/>
              </w:rPr>
            </w:pPr>
            <w:r w:rsidRPr="00C577B3">
              <w:rPr>
                <w:rFonts w:ascii="Arial" w:hAnsi="Arial" w:cs="Arial"/>
                <w:sz w:val="20"/>
                <w:szCs w:val="20"/>
              </w:rPr>
              <w:t>0.55</w:t>
            </w:r>
          </w:p>
        </w:tc>
      </w:tr>
    </w:tbl>
    <w:p w14:paraId="0C2A00C0" w14:textId="77777777"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p>
    <w:p w14:paraId="7A7A5335" w14:textId="05A52593" w:rsidR="0002795F" w:rsidRPr="0076796A" w:rsidRDefault="00F333AB" w:rsidP="00F07748">
      <w:pPr>
        <w:spacing w:line="360" w:lineRule="auto"/>
        <w:jc w:val="both"/>
        <w:rPr>
          <w:rFonts w:ascii="Arial" w:hAnsi="Arial" w:cs="Arial"/>
          <w:sz w:val="20"/>
          <w:szCs w:val="20"/>
        </w:rPr>
      </w:pPr>
      <w:r w:rsidRPr="0076796A">
        <w:rPr>
          <w:rFonts w:ascii="Arial" w:hAnsi="Arial" w:cs="Arial"/>
          <w:sz w:val="20"/>
          <w:szCs w:val="20"/>
        </w:rPr>
        <w:t xml:space="preserve">There was no significant difference in the frequencies of binucleate cells, nuclear buds and </w:t>
      </w:r>
      <w:proofErr w:type="spellStart"/>
      <w:r w:rsidRPr="0076796A">
        <w:rPr>
          <w:rFonts w:ascii="Arial" w:hAnsi="Arial" w:cs="Arial"/>
          <w:sz w:val="20"/>
          <w:szCs w:val="20"/>
        </w:rPr>
        <w:t>karyorrhexic</w:t>
      </w:r>
      <w:proofErr w:type="spellEnd"/>
      <w:r w:rsidRPr="0076796A">
        <w:rPr>
          <w:rFonts w:ascii="Arial" w:hAnsi="Arial" w:cs="Arial"/>
          <w:sz w:val="20"/>
          <w:szCs w:val="20"/>
        </w:rPr>
        <w:t xml:space="preserve"> cells among the waste disposal workers who use personal protective equipment and those who don’t use as shown in </w:t>
      </w:r>
      <w:r w:rsidRPr="0076796A">
        <w:rPr>
          <w:rFonts w:ascii="Arial" w:hAnsi="Arial" w:cs="Arial"/>
          <w:i/>
          <w:sz w:val="20"/>
          <w:szCs w:val="20"/>
        </w:rPr>
        <w:t>table 6</w:t>
      </w:r>
      <w:r w:rsidRPr="0076796A">
        <w:rPr>
          <w:rFonts w:ascii="Arial" w:hAnsi="Arial" w:cs="Arial"/>
          <w:sz w:val="20"/>
          <w:szCs w:val="20"/>
        </w:rPr>
        <w:t>.</w:t>
      </w:r>
    </w:p>
    <w:p w14:paraId="6C27121F" w14:textId="65C9EDF6" w:rsidR="00F333AB" w:rsidRPr="00C577B3" w:rsidRDefault="00F333AB" w:rsidP="00344A60">
      <w:pPr>
        <w:pStyle w:val="ListParagraph"/>
        <w:numPr>
          <w:ilvl w:val="1"/>
          <w:numId w:val="29"/>
        </w:numPr>
        <w:spacing w:before="100" w:beforeAutospacing="1" w:after="0" w:line="360" w:lineRule="auto"/>
        <w:rPr>
          <w:rFonts w:ascii="Arial" w:hAnsi="Arial" w:cs="Arial"/>
          <w:b/>
          <w:sz w:val="22"/>
          <w:szCs w:val="22"/>
        </w:rPr>
      </w:pPr>
      <w:r w:rsidRPr="00C577B3">
        <w:rPr>
          <w:rFonts w:ascii="Arial" w:hAnsi="Arial" w:cs="Arial"/>
          <w:b/>
          <w:sz w:val="22"/>
          <w:szCs w:val="22"/>
        </w:rPr>
        <w:t>Effect of waste exposure and lifestyle habits on buccal cell nuclei of the study population</w:t>
      </w:r>
    </w:p>
    <w:p w14:paraId="063E9095" w14:textId="7DDAECFF" w:rsidR="00344A60" w:rsidRPr="00195F2B" w:rsidRDefault="00344A60" w:rsidP="00195F2B">
      <w:pPr>
        <w:spacing w:before="100" w:beforeAutospacing="1" w:after="0" w:line="360" w:lineRule="auto"/>
        <w:rPr>
          <w:rFonts w:ascii="Arial" w:hAnsi="Arial" w:cs="Arial"/>
          <w:bCs/>
          <w:sz w:val="20"/>
          <w:szCs w:val="20"/>
        </w:rPr>
      </w:pPr>
      <w:r w:rsidRPr="00C577B3">
        <w:rPr>
          <w:rFonts w:ascii="Arial" w:hAnsi="Arial" w:cs="Arial"/>
          <w:bCs/>
          <w:sz w:val="20"/>
          <w:szCs w:val="20"/>
        </w:rPr>
        <w:t xml:space="preserve">Lifestyle habits, specifically smoking, significantly impacted nuclear abnormalities as shown in Table 7. Smokers exhibited a significant increase in the frequencies of micronuclei (12.75±5.82 vs. 5.94±3.54), binucleated cells (14.25±7.85 vs. 5.46±3.82, P &lt; .001), nuclear buds (12.50±8.42 vs. 5.85±3.99, P &lt; .001), and </w:t>
      </w:r>
      <w:proofErr w:type="spellStart"/>
      <w:r w:rsidRPr="00C577B3">
        <w:rPr>
          <w:rFonts w:ascii="Arial" w:hAnsi="Arial" w:cs="Arial"/>
          <w:bCs/>
          <w:sz w:val="20"/>
          <w:szCs w:val="20"/>
        </w:rPr>
        <w:t>karyorrhexic</w:t>
      </w:r>
      <w:proofErr w:type="spellEnd"/>
      <w:r w:rsidRPr="00C577B3">
        <w:rPr>
          <w:rFonts w:ascii="Arial" w:hAnsi="Arial" w:cs="Arial"/>
          <w:bCs/>
          <w:sz w:val="20"/>
          <w:szCs w:val="20"/>
        </w:rPr>
        <w:t xml:space="preserve"> cells (2.63±4.87 vs. 0.37±2.11, P = .03) when compared with non-smokers.</w:t>
      </w:r>
    </w:p>
    <w:p w14:paraId="31EF1D55" w14:textId="1EAED78F" w:rsidR="00F333AB" w:rsidRPr="00C577B3" w:rsidRDefault="00F333AB" w:rsidP="00F07748">
      <w:pPr>
        <w:spacing w:line="360" w:lineRule="auto"/>
        <w:jc w:val="both"/>
        <w:rPr>
          <w:rFonts w:ascii="Arial" w:hAnsi="Arial" w:cs="Arial"/>
          <w:b/>
          <w:sz w:val="22"/>
          <w:szCs w:val="22"/>
        </w:rPr>
      </w:pPr>
      <w:r w:rsidRPr="00C577B3">
        <w:rPr>
          <w:rFonts w:ascii="Arial" w:hAnsi="Arial" w:cs="Arial"/>
          <w:b/>
          <w:i/>
          <w:sz w:val="22"/>
          <w:szCs w:val="22"/>
        </w:rPr>
        <w:t>Table</w:t>
      </w:r>
      <w:r w:rsidR="0028419E" w:rsidRPr="00C577B3">
        <w:rPr>
          <w:rFonts w:ascii="Arial" w:hAnsi="Arial" w:cs="Arial"/>
          <w:b/>
          <w:i/>
          <w:sz w:val="22"/>
          <w:szCs w:val="22"/>
        </w:rPr>
        <w:t xml:space="preserve"> </w:t>
      </w:r>
      <w:r w:rsidRPr="00C577B3">
        <w:rPr>
          <w:rFonts w:ascii="Arial" w:hAnsi="Arial" w:cs="Arial"/>
          <w:i/>
          <w:sz w:val="22"/>
          <w:szCs w:val="22"/>
        </w:rPr>
        <w:t>7</w:t>
      </w:r>
      <w:r w:rsidRPr="00C577B3">
        <w:rPr>
          <w:rFonts w:ascii="Arial" w:hAnsi="Arial" w:cs="Arial"/>
          <w:b/>
          <w:i/>
          <w:sz w:val="22"/>
          <w:szCs w:val="22"/>
        </w:rPr>
        <w:t>:</w:t>
      </w:r>
      <w:r w:rsidRPr="00C577B3">
        <w:rPr>
          <w:rFonts w:ascii="Arial" w:hAnsi="Arial" w:cs="Arial"/>
          <w:sz w:val="22"/>
          <w:szCs w:val="22"/>
        </w:rPr>
        <w:t xml:space="preserve"> </w:t>
      </w:r>
      <w:r w:rsidRPr="00C577B3">
        <w:rPr>
          <w:rFonts w:ascii="Arial" w:hAnsi="Arial" w:cs="Arial"/>
          <w:b/>
          <w:sz w:val="22"/>
          <w:szCs w:val="22"/>
        </w:rPr>
        <w:t>Mean frequencies of nuclear changes in the study population based on their lifestyle habits (Smoking).</w:t>
      </w:r>
    </w:p>
    <w:tbl>
      <w:tblPr>
        <w:tblStyle w:val="TableGrid"/>
        <w:tblW w:w="97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337"/>
        <w:gridCol w:w="1839"/>
        <w:gridCol w:w="1782"/>
        <w:gridCol w:w="1799"/>
        <w:gridCol w:w="1954"/>
      </w:tblGrid>
      <w:tr w:rsidR="0002795F" w:rsidRPr="00C577B3" w14:paraId="3253A8C2" w14:textId="77777777" w:rsidTr="00344A60">
        <w:trPr>
          <w:trHeight w:val="868"/>
        </w:trPr>
        <w:tc>
          <w:tcPr>
            <w:tcW w:w="2071" w:type="dxa"/>
            <w:vMerge w:val="restart"/>
            <w:tcBorders>
              <w:top w:val="single" w:sz="4" w:space="0" w:color="auto"/>
              <w:bottom w:val="nil"/>
            </w:tcBorders>
          </w:tcPr>
          <w:p w14:paraId="3D451946"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Lifestyle (Smoking)</w:t>
            </w:r>
          </w:p>
        </w:tc>
        <w:tc>
          <w:tcPr>
            <w:tcW w:w="337" w:type="dxa"/>
            <w:tcBorders>
              <w:top w:val="single" w:sz="4" w:space="0" w:color="auto"/>
              <w:bottom w:val="nil"/>
            </w:tcBorders>
          </w:tcPr>
          <w:p w14:paraId="1EE772A4" w14:textId="77777777" w:rsidR="0002795F" w:rsidRPr="00C577B3" w:rsidRDefault="0002795F" w:rsidP="00F07748">
            <w:pPr>
              <w:spacing w:line="360" w:lineRule="auto"/>
              <w:jc w:val="both"/>
              <w:rPr>
                <w:rFonts w:ascii="Arial" w:hAnsi="Arial" w:cs="Arial"/>
                <w:b/>
                <w:sz w:val="20"/>
                <w:szCs w:val="20"/>
              </w:rPr>
            </w:pPr>
          </w:p>
        </w:tc>
        <w:tc>
          <w:tcPr>
            <w:tcW w:w="7374" w:type="dxa"/>
            <w:gridSpan w:val="4"/>
            <w:tcBorders>
              <w:top w:val="single" w:sz="4" w:space="0" w:color="auto"/>
              <w:bottom w:val="nil"/>
            </w:tcBorders>
          </w:tcPr>
          <w:p w14:paraId="3025B9BF" w14:textId="77867C94"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02795F" w:rsidRPr="00C577B3" w14:paraId="36C560A3" w14:textId="77777777" w:rsidTr="00344A60">
        <w:trPr>
          <w:trHeight w:val="478"/>
        </w:trPr>
        <w:tc>
          <w:tcPr>
            <w:tcW w:w="2071" w:type="dxa"/>
            <w:vMerge/>
            <w:tcBorders>
              <w:top w:val="nil"/>
              <w:bottom w:val="single" w:sz="4" w:space="0" w:color="auto"/>
            </w:tcBorders>
          </w:tcPr>
          <w:p w14:paraId="4E7DE22F" w14:textId="77777777" w:rsidR="0002795F" w:rsidRPr="00C577B3" w:rsidRDefault="0002795F" w:rsidP="00F07748">
            <w:pPr>
              <w:spacing w:line="360" w:lineRule="auto"/>
              <w:jc w:val="both"/>
              <w:rPr>
                <w:rFonts w:ascii="Arial" w:hAnsi="Arial" w:cs="Arial"/>
                <w:sz w:val="20"/>
                <w:szCs w:val="20"/>
              </w:rPr>
            </w:pPr>
          </w:p>
        </w:tc>
        <w:tc>
          <w:tcPr>
            <w:tcW w:w="2176" w:type="dxa"/>
            <w:gridSpan w:val="2"/>
            <w:tcBorders>
              <w:top w:val="nil"/>
              <w:bottom w:val="single" w:sz="4" w:space="0" w:color="auto"/>
            </w:tcBorders>
          </w:tcPr>
          <w:p w14:paraId="4E5AF865" w14:textId="4DE41D73" w:rsidR="0002795F" w:rsidRPr="00C577B3" w:rsidRDefault="00344A60"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782" w:type="dxa"/>
            <w:tcBorders>
              <w:top w:val="nil"/>
              <w:bottom w:val="single" w:sz="4" w:space="0" w:color="auto"/>
            </w:tcBorders>
          </w:tcPr>
          <w:p w14:paraId="12F813EF"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799" w:type="dxa"/>
            <w:tcBorders>
              <w:top w:val="nil"/>
              <w:bottom w:val="single" w:sz="4" w:space="0" w:color="auto"/>
            </w:tcBorders>
          </w:tcPr>
          <w:p w14:paraId="5221781D"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954" w:type="dxa"/>
            <w:tcBorders>
              <w:top w:val="nil"/>
              <w:bottom w:val="single" w:sz="4" w:space="0" w:color="auto"/>
            </w:tcBorders>
          </w:tcPr>
          <w:p w14:paraId="6909C487" w14:textId="77777777" w:rsidR="0002795F" w:rsidRPr="00C577B3" w:rsidRDefault="0002795F"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02795F" w:rsidRPr="00C577B3" w14:paraId="2E6AB748" w14:textId="77777777" w:rsidTr="00344A60">
        <w:trPr>
          <w:trHeight w:val="933"/>
        </w:trPr>
        <w:tc>
          <w:tcPr>
            <w:tcW w:w="2071" w:type="dxa"/>
            <w:tcBorders>
              <w:top w:val="single" w:sz="4" w:space="0" w:color="auto"/>
            </w:tcBorders>
          </w:tcPr>
          <w:p w14:paraId="4D190EC7"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Smokers</w:t>
            </w:r>
          </w:p>
        </w:tc>
        <w:tc>
          <w:tcPr>
            <w:tcW w:w="2176" w:type="dxa"/>
            <w:gridSpan w:val="2"/>
            <w:tcBorders>
              <w:top w:val="single" w:sz="4" w:space="0" w:color="auto"/>
            </w:tcBorders>
          </w:tcPr>
          <w:p w14:paraId="5558BFA9"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 xml:space="preserve">12.75 </w:t>
            </w:r>
            <w:r w:rsidR="006D308E" w:rsidRPr="00C577B3">
              <w:rPr>
                <w:rFonts w:ascii="Arial" w:hAnsi="Arial" w:cs="Arial"/>
                <w:sz w:val="20"/>
                <w:szCs w:val="20"/>
              </w:rPr>
              <w:t>±</w:t>
            </w:r>
            <w:r w:rsidRPr="00C577B3">
              <w:rPr>
                <w:rFonts w:ascii="Arial" w:hAnsi="Arial" w:cs="Arial"/>
                <w:sz w:val="20"/>
                <w:szCs w:val="20"/>
              </w:rPr>
              <w:t>5.82</w:t>
            </w:r>
            <w:r w:rsidR="006D308E" w:rsidRPr="00C577B3">
              <w:rPr>
                <w:rFonts w:ascii="Arial" w:hAnsi="Arial" w:cs="Arial"/>
                <w:sz w:val="20"/>
                <w:szCs w:val="20"/>
              </w:rPr>
              <w:t>*</w:t>
            </w:r>
          </w:p>
        </w:tc>
        <w:tc>
          <w:tcPr>
            <w:tcW w:w="1782" w:type="dxa"/>
            <w:tcBorders>
              <w:top w:val="single" w:sz="4" w:space="0" w:color="auto"/>
            </w:tcBorders>
          </w:tcPr>
          <w:p w14:paraId="48BD884A"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14.25±7.85*</w:t>
            </w:r>
          </w:p>
        </w:tc>
        <w:tc>
          <w:tcPr>
            <w:tcW w:w="1799" w:type="dxa"/>
            <w:tcBorders>
              <w:top w:val="single" w:sz="4" w:space="0" w:color="auto"/>
            </w:tcBorders>
          </w:tcPr>
          <w:p w14:paraId="2A226D2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12.50±8.42*</w:t>
            </w:r>
          </w:p>
        </w:tc>
        <w:tc>
          <w:tcPr>
            <w:tcW w:w="1954" w:type="dxa"/>
            <w:tcBorders>
              <w:top w:val="single" w:sz="4" w:space="0" w:color="auto"/>
            </w:tcBorders>
          </w:tcPr>
          <w:p w14:paraId="05C33F9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2.63±4.87*</w:t>
            </w:r>
          </w:p>
        </w:tc>
      </w:tr>
      <w:tr w:rsidR="0002795F" w:rsidRPr="00C577B3" w14:paraId="22E2B7A8" w14:textId="77777777" w:rsidTr="00344A60">
        <w:trPr>
          <w:trHeight w:val="868"/>
        </w:trPr>
        <w:tc>
          <w:tcPr>
            <w:tcW w:w="2071" w:type="dxa"/>
          </w:tcPr>
          <w:p w14:paraId="4F06069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Non-smokers</w:t>
            </w:r>
          </w:p>
        </w:tc>
        <w:tc>
          <w:tcPr>
            <w:tcW w:w="2176" w:type="dxa"/>
            <w:gridSpan w:val="2"/>
          </w:tcPr>
          <w:p w14:paraId="3536D878" w14:textId="77777777" w:rsidR="0002795F"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 xml:space="preserve"> 5.94</w:t>
            </w:r>
            <w:r w:rsidR="006D308E" w:rsidRPr="00C577B3">
              <w:rPr>
                <w:rFonts w:ascii="Arial" w:hAnsi="Arial" w:cs="Arial"/>
                <w:sz w:val="20"/>
                <w:szCs w:val="20"/>
              </w:rPr>
              <w:t>± 3.54</w:t>
            </w:r>
          </w:p>
        </w:tc>
        <w:tc>
          <w:tcPr>
            <w:tcW w:w="1782" w:type="dxa"/>
          </w:tcPr>
          <w:p w14:paraId="141B4DBC" w14:textId="77777777" w:rsidR="0002795F" w:rsidRPr="00C577B3" w:rsidRDefault="006D308E" w:rsidP="00F07748">
            <w:pPr>
              <w:spacing w:line="360" w:lineRule="auto"/>
              <w:jc w:val="both"/>
              <w:rPr>
                <w:rFonts w:ascii="Arial" w:hAnsi="Arial" w:cs="Arial"/>
                <w:b/>
                <w:sz w:val="20"/>
                <w:szCs w:val="20"/>
              </w:rPr>
            </w:pPr>
            <w:r w:rsidRPr="00C577B3">
              <w:rPr>
                <w:rFonts w:ascii="Arial" w:hAnsi="Arial" w:cs="Arial"/>
                <w:sz w:val="20"/>
                <w:szCs w:val="20"/>
              </w:rPr>
              <w:t xml:space="preserve"> </w:t>
            </w:r>
            <w:r w:rsidR="0002795F" w:rsidRPr="00C577B3">
              <w:rPr>
                <w:rFonts w:ascii="Arial" w:hAnsi="Arial" w:cs="Arial"/>
                <w:sz w:val="20"/>
                <w:szCs w:val="20"/>
              </w:rPr>
              <w:t>5.46±3.82</w:t>
            </w:r>
          </w:p>
        </w:tc>
        <w:tc>
          <w:tcPr>
            <w:tcW w:w="1799" w:type="dxa"/>
          </w:tcPr>
          <w:p w14:paraId="7681EC7A"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 xml:space="preserve"> </w:t>
            </w:r>
            <w:r w:rsidRPr="00C577B3">
              <w:rPr>
                <w:rFonts w:ascii="Arial" w:hAnsi="Arial" w:cs="Arial"/>
                <w:sz w:val="20"/>
                <w:szCs w:val="20"/>
              </w:rPr>
              <w:t>5.85±3.99</w:t>
            </w:r>
            <w:r w:rsidRPr="00C577B3">
              <w:rPr>
                <w:rFonts w:ascii="Arial" w:hAnsi="Arial" w:cs="Arial"/>
                <w:b/>
                <w:sz w:val="20"/>
                <w:szCs w:val="20"/>
              </w:rPr>
              <w:t xml:space="preserve">                                                       </w:t>
            </w:r>
          </w:p>
        </w:tc>
        <w:tc>
          <w:tcPr>
            <w:tcW w:w="1954" w:type="dxa"/>
          </w:tcPr>
          <w:p w14:paraId="7159F396"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0.37±2.11</w:t>
            </w:r>
          </w:p>
        </w:tc>
      </w:tr>
      <w:tr w:rsidR="0002795F" w:rsidRPr="00C577B3" w14:paraId="265C40D7" w14:textId="77777777" w:rsidTr="00344A60">
        <w:trPr>
          <w:trHeight w:val="933"/>
        </w:trPr>
        <w:tc>
          <w:tcPr>
            <w:tcW w:w="2071" w:type="dxa"/>
          </w:tcPr>
          <w:p w14:paraId="6EAC6CBD"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176" w:type="dxa"/>
            <w:gridSpan w:val="2"/>
          </w:tcPr>
          <w:p w14:paraId="67D47E27" w14:textId="77777777" w:rsidR="0002795F" w:rsidRPr="00C577B3" w:rsidRDefault="006D308E" w:rsidP="00F07748">
            <w:pPr>
              <w:spacing w:line="360" w:lineRule="auto"/>
              <w:jc w:val="both"/>
              <w:rPr>
                <w:rFonts w:ascii="Arial" w:hAnsi="Arial" w:cs="Arial"/>
                <w:sz w:val="20"/>
                <w:szCs w:val="20"/>
              </w:rPr>
            </w:pPr>
            <w:r w:rsidRPr="00C577B3">
              <w:rPr>
                <w:rFonts w:ascii="Arial" w:hAnsi="Arial" w:cs="Arial"/>
                <w:sz w:val="20"/>
                <w:szCs w:val="20"/>
              </w:rPr>
              <w:t>0.35</w:t>
            </w:r>
          </w:p>
        </w:tc>
        <w:tc>
          <w:tcPr>
            <w:tcW w:w="1782" w:type="dxa"/>
          </w:tcPr>
          <w:p w14:paraId="5DF882CC"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8.61</w:t>
            </w:r>
          </w:p>
        </w:tc>
        <w:tc>
          <w:tcPr>
            <w:tcW w:w="1799" w:type="dxa"/>
          </w:tcPr>
          <w:p w14:paraId="21BEA3C7"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11.74</w:t>
            </w:r>
          </w:p>
        </w:tc>
        <w:tc>
          <w:tcPr>
            <w:tcW w:w="1954" w:type="dxa"/>
          </w:tcPr>
          <w:p w14:paraId="299DD0B4"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17.45</w:t>
            </w:r>
          </w:p>
        </w:tc>
      </w:tr>
      <w:tr w:rsidR="0002795F" w:rsidRPr="00C577B3" w14:paraId="5EEB221C" w14:textId="77777777" w:rsidTr="00344A60">
        <w:trPr>
          <w:trHeight w:val="933"/>
        </w:trPr>
        <w:tc>
          <w:tcPr>
            <w:tcW w:w="2071" w:type="dxa"/>
          </w:tcPr>
          <w:p w14:paraId="3C303B77" w14:textId="77777777" w:rsidR="0002795F" w:rsidRPr="00C577B3" w:rsidRDefault="0002795F" w:rsidP="00F07748">
            <w:pPr>
              <w:spacing w:line="360" w:lineRule="auto"/>
              <w:jc w:val="both"/>
              <w:rPr>
                <w:rFonts w:ascii="Arial" w:hAnsi="Arial" w:cs="Arial"/>
                <w:b/>
                <w:sz w:val="20"/>
                <w:szCs w:val="20"/>
              </w:rPr>
            </w:pPr>
            <w:r w:rsidRPr="00C577B3">
              <w:rPr>
                <w:rFonts w:ascii="Arial" w:hAnsi="Arial" w:cs="Arial"/>
                <w:b/>
                <w:sz w:val="20"/>
                <w:szCs w:val="20"/>
              </w:rPr>
              <w:lastRenderedPageBreak/>
              <w:t>P-Value</w:t>
            </w:r>
          </w:p>
        </w:tc>
        <w:tc>
          <w:tcPr>
            <w:tcW w:w="2176" w:type="dxa"/>
            <w:gridSpan w:val="2"/>
          </w:tcPr>
          <w:p w14:paraId="21662963" w14:textId="77777777" w:rsidR="0002795F" w:rsidRPr="00C577B3" w:rsidRDefault="006D308E" w:rsidP="00F07748">
            <w:pPr>
              <w:spacing w:line="360" w:lineRule="auto"/>
              <w:jc w:val="both"/>
              <w:rPr>
                <w:rFonts w:ascii="Arial" w:hAnsi="Arial" w:cs="Arial"/>
                <w:sz w:val="20"/>
                <w:szCs w:val="20"/>
              </w:rPr>
            </w:pPr>
            <w:r w:rsidRPr="00C577B3">
              <w:rPr>
                <w:rFonts w:ascii="Arial" w:hAnsi="Arial" w:cs="Arial"/>
                <w:sz w:val="20"/>
                <w:szCs w:val="20"/>
              </w:rPr>
              <w:t>0.73</w:t>
            </w:r>
          </w:p>
        </w:tc>
        <w:tc>
          <w:tcPr>
            <w:tcW w:w="1782" w:type="dxa"/>
          </w:tcPr>
          <w:p w14:paraId="674E76AE"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799" w:type="dxa"/>
          </w:tcPr>
          <w:p w14:paraId="482BE87F"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0.00</w:t>
            </w:r>
          </w:p>
        </w:tc>
        <w:tc>
          <w:tcPr>
            <w:tcW w:w="1954" w:type="dxa"/>
          </w:tcPr>
          <w:p w14:paraId="57833091" w14:textId="77777777" w:rsidR="0002795F" w:rsidRPr="00C577B3" w:rsidRDefault="0002795F" w:rsidP="00F07748">
            <w:pPr>
              <w:spacing w:line="360" w:lineRule="auto"/>
              <w:jc w:val="both"/>
              <w:rPr>
                <w:rFonts w:ascii="Arial" w:hAnsi="Arial" w:cs="Arial"/>
                <w:sz w:val="20"/>
                <w:szCs w:val="20"/>
              </w:rPr>
            </w:pPr>
            <w:r w:rsidRPr="00C577B3">
              <w:rPr>
                <w:rFonts w:ascii="Arial" w:hAnsi="Arial" w:cs="Arial"/>
                <w:sz w:val="20"/>
                <w:szCs w:val="20"/>
              </w:rPr>
              <w:t>0.03</w:t>
            </w:r>
          </w:p>
        </w:tc>
      </w:tr>
    </w:tbl>
    <w:p w14:paraId="7D887A8A" w14:textId="77777777"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r w:rsidRPr="00195F2B">
        <w:rPr>
          <w:rFonts w:ascii="Arial" w:hAnsi="Arial" w:cs="Arial"/>
          <w:sz w:val="18"/>
          <w:szCs w:val="18"/>
        </w:rPr>
        <w:t>*p value&lt;0.05 significant level when compared with Non-smokers.</w:t>
      </w:r>
    </w:p>
    <w:p w14:paraId="1FC42F20" w14:textId="0F092395" w:rsidR="0002795F" w:rsidRPr="00C577B3" w:rsidRDefault="00344A60" w:rsidP="00344A60">
      <w:pPr>
        <w:spacing w:line="360" w:lineRule="auto"/>
        <w:jc w:val="both"/>
        <w:rPr>
          <w:rFonts w:ascii="Arial" w:hAnsi="Arial" w:cs="Arial"/>
          <w:iCs/>
          <w:sz w:val="20"/>
          <w:szCs w:val="20"/>
        </w:rPr>
      </w:pPr>
      <w:r w:rsidRPr="00C577B3">
        <w:rPr>
          <w:rFonts w:ascii="Arial" w:hAnsi="Arial" w:cs="Arial"/>
          <w:iCs/>
          <w:sz w:val="20"/>
          <w:szCs w:val="20"/>
        </w:rPr>
        <w:t xml:space="preserve">Similarly, alcohol consumption was associated with significant increases in some nuclear abnormalities, as presented in Table 8. Alcohol consumers showed a significant increase in the frequencies of binucleated cells (8.79±6.74 vs. 4.61±2.43, P &lt; .001) and nuclear buds (8.55±6.75 vs. 5.03±2.24, P = .01) compared to non-alcohol consumers. However, micronuclei (P = .45) and </w:t>
      </w:r>
      <w:proofErr w:type="spellStart"/>
      <w:r w:rsidRPr="00C577B3">
        <w:rPr>
          <w:rFonts w:ascii="Arial" w:hAnsi="Arial" w:cs="Arial"/>
          <w:iCs/>
          <w:sz w:val="20"/>
          <w:szCs w:val="20"/>
        </w:rPr>
        <w:t>karyorrhexic</w:t>
      </w:r>
      <w:proofErr w:type="spellEnd"/>
      <w:r w:rsidRPr="00C577B3">
        <w:rPr>
          <w:rFonts w:ascii="Arial" w:hAnsi="Arial" w:cs="Arial"/>
          <w:iCs/>
          <w:sz w:val="20"/>
          <w:szCs w:val="20"/>
        </w:rPr>
        <w:t xml:space="preserve"> cells (P = .07) frequencies were not significantly different between these two groups.</w:t>
      </w:r>
    </w:p>
    <w:p w14:paraId="063C38E0" w14:textId="77777777" w:rsidR="00344A60" w:rsidRPr="00C577B3" w:rsidRDefault="00344A60" w:rsidP="00195F2B">
      <w:pPr>
        <w:spacing w:line="360" w:lineRule="auto"/>
        <w:ind w:left="0"/>
        <w:jc w:val="both"/>
        <w:rPr>
          <w:rFonts w:ascii="Arial" w:hAnsi="Arial" w:cs="Arial"/>
          <w:iCs/>
          <w:sz w:val="20"/>
          <w:szCs w:val="20"/>
        </w:rPr>
      </w:pPr>
    </w:p>
    <w:p w14:paraId="6200868E" w14:textId="4D821A3F" w:rsidR="00F333AB" w:rsidRPr="00195F2B" w:rsidRDefault="00F333AB" w:rsidP="00344A60">
      <w:pPr>
        <w:spacing w:line="360" w:lineRule="auto"/>
        <w:ind w:left="0"/>
        <w:jc w:val="both"/>
        <w:rPr>
          <w:rFonts w:ascii="Arial" w:hAnsi="Arial" w:cs="Arial"/>
          <w:b/>
          <w:sz w:val="20"/>
          <w:szCs w:val="20"/>
        </w:rPr>
      </w:pPr>
      <w:r w:rsidRPr="00195F2B">
        <w:rPr>
          <w:rFonts w:ascii="Arial" w:hAnsi="Arial" w:cs="Arial"/>
          <w:b/>
          <w:i/>
          <w:sz w:val="20"/>
          <w:szCs w:val="20"/>
        </w:rPr>
        <w:t>Table 8:</w:t>
      </w:r>
      <w:r w:rsidRPr="00195F2B">
        <w:rPr>
          <w:rFonts w:ascii="Arial" w:hAnsi="Arial" w:cs="Arial"/>
          <w:b/>
          <w:sz w:val="20"/>
          <w:szCs w:val="20"/>
        </w:rPr>
        <w:t xml:space="preserve"> Mean frequencies of Alcohol consumption habits in the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644"/>
        <w:gridCol w:w="1435"/>
        <w:gridCol w:w="1850"/>
        <w:gridCol w:w="1603"/>
        <w:gridCol w:w="1855"/>
      </w:tblGrid>
      <w:tr w:rsidR="00D3561A" w:rsidRPr="00C577B3" w14:paraId="04858D2D" w14:textId="77777777" w:rsidTr="00344A60">
        <w:trPr>
          <w:trHeight w:val="738"/>
        </w:trPr>
        <w:tc>
          <w:tcPr>
            <w:tcW w:w="2152" w:type="dxa"/>
            <w:vMerge w:val="restart"/>
            <w:tcBorders>
              <w:top w:val="single" w:sz="4" w:space="0" w:color="auto"/>
              <w:bottom w:val="nil"/>
            </w:tcBorders>
          </w:tcPr>
          <w:p w14:paraId="4936EBAC"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Lifestyle (Alcohol consumption)</w:t>
            </w:r>
          </w:p>
        </w:tc>
        <w:tc>
          <w:tcPr>
            <w:tcW w:w="644" w:type="dxa"/>
            <w:tcBorders>
              <w:top w:val="single" w:sz="4" w:space="0" w:color="auto"/>
              <w:bottom w:val="nil"/>
            </w:tcBorders>
          </w:tcPr>
          <w:p w14:paraId="5AFC0983" w14:textId="77777777" w:rsidR="00D3561A" w:rsidRPr="00C577B3" w:rsidRDefault="00D3561A" w:rsidP="00F07748">
            <w:pPr>
              <w:spacing w:line="360" w:lineRule="auto"/>
              <w:jc w:val="both"/>
              <w:rPr>
                <w:rFonts w:ascii="Arial" w:hAnsi="Arial" w:cs="Arial"/>
                <w:b/>
                <w:sz w:val="20"/>
                <w:szCs w:val="20"/>
              </w:rPr>
            </w:pPr>
          </w:p>
        </w:tc>
        <w:tc>
          <w:tcPr>
            <w:tcW w:w="6741" w:type="dxa"/>
            <w:gridSpan w:val="4"/>
            <w:tcBorders>
              <w:top w:val="single" w:sz="4" w:space="0" w:color="auto"/>
              <w:bottom w:val="nil"/>
            </w:tcBorders>
          </w:tcPr>
          <w:p w14:paraId="1205D33D" w14:textId="1E37A8CC"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D3561A" w:rsidRPr="00C577B3" w14:paraId="08297422" w14:textId="77777777" w:rsidTr="00344A60">
        <w:trPr>
          <w:trHeight w:val="378"/>
        </w:trPr>
        <w:tc>
          <w:tcPr>
            <w:tcW w:w="2152" w:type="dxa"/>
            <w:vMerge/>
            <w:tcBorders>
              <w:top w:val="nil"/>
              <w:bottom w:val="single" w:sz="4" w:space="0" w:color="auto"/>
            </w:tcBorders>
          </w:tcPr>
          <w:p w14:paraId="1285ABCD" w14:textId="77777777" w:rsidR="00D3561A" w:rsidRPr="00C577B3" w:rsidRDefault="00D3561A" w:rsidP="00F07748">
            <w:pPr>
              <w:spacing w:line="360" w:lineRule="auto"/>
              <w:jc w:val="both"/>
              <w:rPr>
                <w:rFonts w:ascii="Arial" w:hAnsi="Arial" w:cs="Arial"/>
                <w:b/>
                <w:sz w:val="20"/>
                <w:szCs w:val="20"/>
              </w:rPr>
            </w:pPr>
          </w:p>
        </w:tc>
        <w:tc>
          <w:tcPr>
            <w:tcW w:w="2079" w:type="dxa"/>
            <w:gridSpan w:val="2"/>
            <w:tcBorders>
              <w:top w:val="nil"/>
              <w:bottom w:val="single" w:sz="4" w:space="0" w:color="auto"/>
            </w:tcBorders>
          </w:tcPr>
          <w:p w14:paraId="2D1C90A5" w14:textId="77777777" w:rsidR="00D3561A"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1850" w:type="dxa"/>
            <w:tcBorders>
              <w:top w:val="nil"/>
              <w:bottom w:val="single" w:sz="4" w:space="0" w:color="auto"/>
            </w:tcBorders>
          </w:tcPr>
          <w:p w14:paraId="3BE5D41F"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603" w:type="dxa"/>
            <w:tcBorders>
              <w:top w:val="nil"/>
              <w:bottom w:val="single" w:sz="4" w:space="0" w:color="auto"/>
            </w:tcBorders>
          </w:tcPr>
          <w:p w14:paraId="7B077C5B"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1855" w:type="dxa"/>
            <w:tcBorders>
              <w:top w:val="nil"/>
              <w:bottom w:val="single" w:sz="4" w:space="0" w:color="auto"/>
            </w:tcBorders>
          </w:tcPr>
          <w:p w14:paraId="693A99C1" w14:textId="77777777" w:rsidR="00D3561A" w:rsidRPr="00C577B3" w:rsidRDefault="00D3561A"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D3561A" w:rsidRPr="00C577B3" w14:paraId="4DC35DF9" w14:textId="77777777" w:rsidTr="00344A60">
        <w:trPr>
          <w:trHeight w:val="836"/>
        </w:trPr>
        <w:tc>
          <w:tcPr>
            <w:tcW w:w="2152" w:type="dxa"/>
            <w:tcBorders>
              <w:top w:val="single" w:sz="4" w:space="0" w:color="auto"/>
            </w:tcBorders>
          </w:tcPr>
          <w:p w14:paraId="3958E8DC"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Yes</w:t>
            </w:r>
          </w:p>
        </w:tc>
        <w:tc>
          <w:tcPr>
            <w:tcW w:w="2079" w:type="dxa"/>
            <w:gridSpan w:val="2"/>
            <w:tcBorders>
              <w:top w:val="single" w:sz="4" w:space="0" w:color="auto"/>
            </w:tcBorders>
          </w:tcPr>
          <w:p w14:paraId="22EA15B8" w14:textId="77777777" w:rsidR="00D3561A"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3.67 ± 2.68</w:t>
            </w:r>
          </w:p>
        </w:tc>
        <w:tc>
          <w:tcPr>
            <w:tcW w:w="1850" w:type="dxa"/>
            <w:tcBorders>
              <w:top w:val="single" w:sz="4" w:space="0" w:color="auto"/>
            </w:tcBorders>
          </w:tcPr>
          <w:p w14:paraId="094FE680"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8.79±6.74*</w:t>
            </w:r>
          </w:p>
        </w:tc>
        <w:tc>
          <w:tcPr>
            <w:tcW w:w="1603" w:type="dxa"/>
            <w:tcBorders>
              <w:top w:val="single" w:sz="4" w:space="0" w:color="auto"/>
            </w:tcBorders>
          </w:tcPr>
          <w:p w14:paraId="594A67E2"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sz w:val="20"/>
                <w:szCs w:val="20"/>
              </w:rPr>
              <w:t>8.55±6.75*</w:t>
            </w:r>
          </w:p>
        </w:tc>
        <w:tc>
          <w:tcPr>
            <w:tcW w:w="1855" w:type="dxa"/>
            <w:tcBorders>
              <w:top w:val="single" w:sz="4" w:space="0" w:color="auto"/>
            </w:tcBorders>
          </w:tcPr>
          <w:p w14:paraId="16802976"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1.31±3.78</w:t>
            </w:r>
          </w:p>
        </w:tc>
      </w:tr>
      <w:tr w:rsidR="00D3561A" w:rsidRPr="00C577B3" w14:paraId="510F2E7C" w14:textId="77777777" w:rsidTr="00344A60">
        <w:trPr>
          <w:trHeight w:val="786"/>
        </w:trPr>
        <w:tc>
          <w:tcPr>
            <w:tcW w:w="2152" w:type="dxa"/>
          </w:tcPr>
          <w:p w14:paraId="5AF8E595"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No</w:t>
            </w:r>
          </w:p>
        </w:tc>
        <w:tc>
          <w:tcPr>
            <w:tcW w:w="2079" w:type="dxa"/>
            <w:gridSpan w:val="2"/>
          </w:tcPr>
          <w:p w14:paraId="198C73F3" w14:textId="77777777" w:rsidR="00D3561A"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3.19 ± 2.10</w:t>
            </w:r>
          </w:p>
        </w:tc>
        <w:tc>
          <w:tcPr>
            <w:tcW w:w="1850" w:type="dxa"/>
          </w:tcPr>
          <w:p w14:paraId="3C48FD8E"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sz w:val="20"/>
                <w:szCs w:val="20"/>
              </w:rPr>
              <w:t>4.61±2.43</w:t>
            </w:r>
          </w:p>
        </w:tc>
        <w:tc>
          <w:tcPr>
            <w:tcW w:w="1603" w:type="dxa"/>
          </w:tcPr>
          <w:p w14:paraId="573406FA"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5.03±2.24</w:t>
            </w:r>
          </w:p>
        </w:tc>
        <w:tc>
          <w:tcPr>
            <w:tcW w:w="1855" w:type="dxa"/>
          </w:tcPr>
          <w:p w14:paraId="01FC8F39"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0.06±3.59</w:t>
            </w:r>
          </w:p>
        </w:tc>
      </w:tr>
      <w:tr w:rsidR="00D3561A" w:rsidRPr="00C577B3" w14:paraId="13A7468F" w14:textId="77777777" w:rsidTr="00344A60">
        <w:trPr>
          <w:trHeight w:val="836"/>
        </w:trPr>
        <w:tc>
          <w:tcPr>
            <w:tcW w:w="2152" w:type="dxa"/>
          </w:tcPr>
          <w:p w14:paraId="4E772E67"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079" w:type="dxa"/>
            <w:gridSpan w:val="2"/>
          </w:tcPr>
          <w:p w14:paraId="4D3C10B7" w14:textId="77777777" w:rsidR="00D3561A"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0.763</w:t>
            </w:r>
          </w:p>
        </w:tc>
        <w:tc>
          <w:tcPr>
            <w:tcW w:w="1850" w:type="dxa"/>
          </w:tcPr>
          <w:p w14:paraId="145A1A85"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14.84</w:t>
            </w:r>
          </w:p>
        </w:tc>
        <w:tc>
          <w:tcPr>
            <w:tcW w:w="1603" w:type="dxa"/>
          </w:tcPr>
          <w:p w14:paraId="5FB81238"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23.28</w:t>
            </w:r>
          </w:p>
        </w:tc>
        <w:tc>
          <w:tcPr>
            <w:tcW w:w="1855" w:type="dxa"/>
          </w:tcPr>
          <w:p w14:paraId="339FC723"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15.59</w:t>
            </w:r>
          </w:p>
        </w:tc>
      </w:tr>
      <w:tr w:rsidR="00D3561A" w:rsidRPr="00C577B3" w14:paraId="6876A556" w14:textId="77777777" w:rsidTr="00344A60">
        <w:trPr>
          <w:trHeight w:val="886"/>
        </w:trPr>
        <w:tc>
          <w:tcPr>
            <w:tcW w:w="2152" w:type="dxa"/>
          </w:tcPr>
          <w:p w14:paraId="134AA24F"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P-value</w:t>
            </w:r>
          </w:p>
        </w:tc>
        <w:tc>
          <w:tcPr>
            <w:tcW w:w="2079" w:type="dxa"/>
            <w:gridSpan w:val="2"/>
          </w:tcPr>
          <w:p w14:paraId="314179AE" w14:textId="77777777" w:rsidR="00D3561A"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0.449</w:t>
            </w:r>
          </w:p>
        </w:tc>
        <w:tc>
          <w:tcPr>
            <w:tcW w:w="1850" w:type="dxa"/>
          </w:tcPr>
          <w:p w14:paraId="37E5DEE7"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0.00</w:t>
            </w:r>
          </w:p>
        </w:tc>
        <w:tc>
          <w:tcPr>
            <w:tcW w:w="1603" w:type="dxa"/>
          </w:tcPr>
          <w:p w14:paraId="08A523D4"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0.01</w:t>
            </w:r>
          </w:p>
        </w:tc>
        <w:tc>
          <w:tcPr>
            <w:tcW w:w="1855" w:type="dxa"/>
          </w:tcPr>
          <w:p w14:paraId="425C42AC"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0.07</w:t>
            </w:r>
          </w:p>
        </w:tc>
      </w:tr>
    </w:tbl>
    <w:p w14:paraId="2AB1C0D1" w14:textId="358A8B04" w:rsidR="00F333AB" w:rsidRPr="00195F2B" w:rsidRDefault="00F333AB" w:rsidP="00F07748">
      <w:pPr>
        <w:spacing w:line="360" w:lineRule="auto"/>
        <w:jc w:val="both"/>
        <w:rPr>
          <w:rFonts w:ascii="Arial" w:hAnsi="Arial" w:cs="Arial"/>
          <w:sz w:val="18"/>
          <w:szCs w:val="18"/>
        </w:rPr>
      </w:pPr>
      <w:r w:rsidRPr="00195F2B">
        <w:rPr>
          <w:rFonts w:ascii="Arial" w:hAnsi="Arial" w:cs="Arial"/>
          <w:sz w:val="18"/>
          <w:szCs w:val="18"/>
        </w:rPr>
        <w:t>Data expressed as Mean ± Standard deviation.</w:t>
      </w:r>
      <w:r w:rsidRPr="00195F2B">
        <w:rPr>
          <w:rFonts w:ascii="Arial" w:hAnsi="Arial" w:cs="Arial"/>
          <w:b/>
          <w:sz w:val="18"/>
          <w:szCs w:val="18"/>
        </w:rPr>
        <w:t xml:space="preserve"> </w:t>
      </w:r>
      <w:r w:rsidRPr="00195F2B">
        <w:rPr>
          <w:rFonts w:ascii="Arial" w:hAnsi="Arial" w:cs="Arial"/>
          <w:sz w:val="18"/>
          <w:szCs w:val="18"/>
        </w:rPr>
        <w:t xml:space="preserve">*p value&lt;0.05 significant level when compared with </w:t>
      </w:r>
      <w:r w:rsidR="00344A60" w:rsidRPr="00195F2B">
        <w:rPr>
          <w:rFonts w:ascii="Arial" w:hAnsi="Arial" w:cs="Arial"/>
          <w:sz w:val="18"/>
          <w:szCs w:val="18"/>
        </w:rPr>
        <w:t>non-alcohol</w:t>
      </w:r>
      <w:r w:rsidRPr="00195F2B">
        <w:rPr>
          <w:rFonts w:ascii="Arial" w:hAnsi="Arial" w:cs="Arial"/>
          <w:sz w:val="18"/>
          <w:szCs w:val="18"/>
        </w:rPr>
        <w:t xml:space="preserve"> consumers.</w:t>
      </w:r>
    </w:p>
    <w:p w14:paraId="6F0C830F" w14:textId="57E9A37B" w:rsidR="00344A60" w:rsidRPr="00344A60" w:rsidRDefault="00344A60" w:rsidP="00344A60">
      <w:pPr>
        <w:spacing w:line="360" w:lineRule="auto"/>
        <w:jc w:val="both"/>
        <w:rPr>
          <w:rFonts w:ascii="Arial" w:hAnsi="Arial" w:cs="Arial"/>
          <w:b/>
          <w:sz w:val="22"/>
          <w:szCs w:val="22"/>
        </w:rPr>
      </w:pPr>
      <w:r w:rsidRPr="00344A60">
        <w:rPr>
          <w:rFonts w:ascii="Arial" w:hAnsi="Arial" w:cs="Arial"/>
          <w:b/>
          <w:bCs/>
          <w:sz w:val="22"/>
          <w:szCs w:val="22"/>
        </w:rPr>
        <w:t>3.4 Effect of waste disposal on age groups in the study population</w:t>
      </w:r>
    </w:p>
    <w:p w14:paraId="4E0CC1F9" w14:textId="1CA637F0" w:rsidR="00344A60" w:rsidRPr="00344A60" w:rsidRDefault="00344A60" w:rsidP="00344A60">
      <w:pPr>
        <w:spacing w:line="360" w:lineRule="auto"/>
        <w:rPr>
          <w:rFonts w:ascii="Arial" w:hAnsi="Arial" w:cs="Arial"/>
          <w:sz w:val="20"/>
          <w:szCs w:val="20"/>
        </w:rPr>
      </w:pPr>
      <w:r w:rsidRPr="00344A60">
        <w:rPr>
          <w:rFonts w:ascii="Arial" w:hAnsi="Arial" w:cs="Arial"/>
          <w:sz w:val="20"/>
          <w:szCs w:val="20"/>
        </w:rPr>
        <w:t xml:space="preserve">Table 9 shows the mean frequencies of nuclear changes across different age groups. There was no significant change in the frequencies of micronuclei (P = .20), binucleated cells (P = .18), nuclear buds (P = .38), and </w:t>
      </w:r>
      <w:proofErr w:type="spellStart"/>
      <w:r w:rsidRPr="00344A60">
        <w:rPr>
          <w:rFonts w:ascii="Arial" w:hAnsi="Arial" w:cs="Arial"/>
          <w:sz w:val="20"/>
          <w:szCs w:val="20"/>
        </w:rPr>
        <w:t>karyorrhexic</w:t>
      </w:r>
      <w:proofErr w:type="spellEnd"/>
      <w:r w:rsidRPr="00344A60">
        <w:rPr>
          <w:rFonts w:ascii="Arial" w:hAnsi="Arial" w:cs="Arial"/>
          <w:sz w:val="20"/>
          <w:szCs w:val="20"/>
        </w:rPr>
        <w:t xml:space="preserve"> cells (P = .96) based on the various ages of the participants.</w:t>
      </w:r>
    </w:p>
    <w:p w14:paraId="6B5DBAF5" w14:textId="11979512" w:rsidR="00F333AB" w:rsidRPr="00195F2B" w:rsidRDefault="0028419E" w:rsidP="00B1708F">
      <w:pPr>
        <w:spacing w:line="360" w:lineRule="auto"/>
        <w:rPr>
          <w:rFonts w:ascii="Arial" w:hAnsi="Arial" w:cs="Arial"/>
          <w:b/>
          <w:sz w:val="20"/>
          <w:szCs w:val="20"/>
        </w:rPr>
      </w:pPr>
      <w:r w:rsidRPr="00195F2B">
        <w:rPr>
          <w:rFonts w:ascii="Arial" w:hAnsi="Arial" w:cs="Arial"/>
          <w:b/>
          <w:i/>
          <w:sz w:val="20"/>
          <w:szCs w:val="20"/>
        </w:rPr>
        <w:t>Table 9</w:t>
      </w:r>
      <w:r w:rsidR="00F333AB" w:rsidRPr="00195F2B">
        <w:rPr>
          <w:rFonts w:ascii="Arial" w:hAnsi="Arial" w:cs="Arial"/>
          <w:b/>
          <w:i/>
          <w:sz w:val="20"/>
          <w:szCs w:val="20"/>
        </w:rPr>
        <w:t>:</w:t>
      </w:r>
      <w:r w:rsidR="00F333AB" w:rsidRPr="00195F2B">
        <w:rPr>
          <w:rFonts w:ascii="Arial" w:hAnsi="Arial" w:cs="Arial"/>
          <w:b/>
          <w:sz w:val="20"/>
          <w:szCs w:val="20"/>
        </w:rPr>
        <w:t xml:space="preserve"> shows the mean frequency of nuclear changes in the study population according to various ages</w:t>
      </w:r>
    </w:p>
    <w:tbl>
      <w:tblPr>
        <w:tblStyle w:val="TableGrid"/>
        <w:tblW w:w="100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559"/>
        <w:gridCol w:w="1702"/>
        <w:gridCol w:w="2037"/>
        <w:gridCol w:w="1607"/>
        <w:gridCol w:w="2050"/>
      </w:tblGrid>
      <w:tr w:rsidR="00D3561A" w:rsidRPr="00C577B3" w14:paraId="52FCA89B" w14:textId="77777777" w:rsidTr="00B1708F">
        <w:trPr>
          <w:trHeight w:val="679"/>
        </w:trPr>
        <w:tc>
          <w:tcPr>
            <w:tcW w:w="2107" w:type="dxa"/>
            <w:vMerge w:val="restart"/>
            <w:tcBorders>
              <w:top w:val="single" w:sz="4" w:space="0" w:color="auto"/>
              <w:bottom w:val="nil"/>
            </w:tcBorders>
          </w:tcPr>
          <w:p w14:paraId="05DA38A7"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lastRenderedPageBreak/>
              <w:t>Age groups</w:t>
            </w:r>
          </w:p>
        </w:tc>
        <w:tc>
          <w:tcPr>
            <w:tcW w:w="559" w:type="dxa"/>
            <w:tcBorders>
              <w:top w:val="single" w:sz="4" w:space="0" w:color="auto"/>
              <w:bottom w:val="nil"/>
            </w:tcBorders>
          </w:tcPr>
          <w:p w14:paraId="1FBC04A9" w14:textId="77777777" w:rsidR="00D3561A" w:rsidRPr="00C577B3" w:rsidRDefault="00D3561A" w:rsidP="00F07748">
            <w:pPr>
              <w:spacing w:line="360" w:lineRule="auto"/>
              <w:jc w:val="both"/>
              <w:rPr>
                <w:rFonts w:ascii="Arial" w:hAnsi="Arial" w:cs="Arial"/>
                <w:b/>
                <w:sz w:val="20"/>
                <w:szCs w:val="20"/>
              </w:rPr>
            </w:pPr>
          </w:p>
        </w:tc>
        <w:tc>
          <w:tcPr>
            <w:tcW w:w="7396" w:type="dxa"/>
            <w:gridSpan w:val="4"/>
            <w:tcBorders>
              <w:top w:val="single" w:sz="4" w:space="0" w:color="auto"/>
              <w:bottom w:val="nil"/>
            </w:tcBorders>
          </w:tcPr>
          <w:p w14:paraId="0B0B7E65" w14:textId="658AF548"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 xml:space="preserve">             Parameters </w:t>
            </w:r>
            <w:r w:rsidRPr="00C577B3">
              <w:rPr>
                <w:rFonts w:ascii="Arial" w:hAnsi="Arial" w:cs="Arial"/>
                <w:sz w:val="20"/>
                <w:szCs w:val="20"/>
              </w:rPr>
              <w:t>(Mean ± Standard deviation)</w:t>
            </w:r>
          </w:p>
        </w:tc>
      </w:tr>
      <w:tr w:rsidR="00D3561A" w:rsidRPr="00C577B3" w14:paraId="3B2CD216" w14:textId="77777777" w:rsidTr="00B1708F">
        <w:trPr>
          <w:trHeight w:val="373"/>
        </w:trPr>
        <w:tc>
          <w:tcPr>
            <w:tcW w:w="2107" w:type="dxa"/>
            <w:vMerge/>
            <w:tcBorders>
              <w:top w:val="nil"/>
              <w:bottom w:val="single" w:sz="4" w:space="0" w:color="auto"/>
            </w:tcBorders>
          </w:tcPr>
          <w:p w14:paraId="41DD19D3" w14:textId="77777777" w:rsidR="00D3561A" w:rsidRPr="00C577B3" w:rsidRDefault="00D3561A" w:rsidP="00F07748">
            <w:pPr>
              <w:spacing w:line="360" w:lineRule="auto"/>
              <w:jc w:val="both"/>
              <w:rPr>
                <w:rFonts w:ascii="Arial" w:hAnsi="Arial" w:cs="Arial"/>
                <w:b/>
                <w:sz w:val="20"/>
                <w:szCs w:val="20"/>
              </w:rPr>
            </w:pPr>
          </w:p>
        </w:tc>
        <w:tc>
          <w:tcPr>
            <w:tcW w:w="2261" w:type="dxa"/>
            <w:gridSpan w:val="2"/>
            <w:tcBorders>
              <w:top w:val="nil"/>
              <w:bottom w:val="single" w:sz="4" w:space="0" w:color="auto"/>
            </w:tcBorders>
          </w:tcPr>
          <w:p w14:paraId="5A34937C" w14:textId="77777777" w:rsidR="00D3561A"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Micronuclei</w:t>
            </w:r>
          </w:p>
        </w:tc>
        <w:tc>
          <w:tcPr>
            <w:tcW w:w="2037" w:type="dxa"/>
            <w:tcBorders>
              <w:top w:val="nil"/>
              <w:bottom w:val="single" w:sz="4" w:space="0" w:color="auto"/>
            </w:tcBorders>
          </w:tcPr>
          <w:p w14:paraId="2E0AE21A"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Binucleate cells</w:t>
            </w:r>
          </w:p>
        </w:tc>
        <w:tc>
          <w:tcPr>
            <w:tcW w:w="1607" w:type="dxa"/>
            <w:tcBorders>
              <w:top w:val="nil"/>
              <w:bottom w:val="single" w:sz="4" w:space="0" w:color="auto"/>
            </w:tcBorders>
          </w:tcPr>
          <w:p w14:paraId="7290C20E"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b/>
                <w:sz w:val="20"/>
                <w:szCs w:val="20"/>
              </w:rPr>
              <w:t>Nuclear buds</w:t>
            </w:r>
          </w:p>
        </w:tc>
        <w:tc>
          <w:tcPr>
            <w:tcW w:w="2050" w:type="dxa"/>
            <w:tcBorders>
              <w:top w:val="nil"/>
              <w:bottom w:val="single" w:sz="4" w:space="0" w:color="auto"/>
            </w:tcBorders>
          </w:tcPr>
          <w:p w14:paraId="36717F49" w14:textId="77777777" w:rsidR="00D3561A" w:rsidRPr="00C577B3" w:rsidRDefault="00D3561A" w:rsidP="00F07748">
            <w:pPr>
              <w:spacing w:line="360" w:lineRule="auto"/>
              <w:jc w:val="both"/>
              <w:rPr>
                <w:rFonts w:ascii="Arial" w:hAnsi="Arial" w:cs="Arial"/>
                <w:b/>
                <w:sz w:val="20"/>
                <w:szCs w:val="20"/>
              </w:rPr>
            </w:pPr>
            <w:proofErr w:type="spellStart"/>
            <w:r w:rsidRPr="00C577B3">
              <w:rPr>
                <w:rFonts w:ascii="Arial" w:hAnsi="Arial" w:cs="Arial"/>
                <w:b/>
                <w:sz w:val="20"/>
                <w:szCs w:val="20"/>
              </w:rPr>
              <w:t>Karyorrhexic</w:t>
            </w:r>
            <w:proofErr w:type="spellEnd"/>
            <w:r w:rsidRPr="00C577B3">
              <w:rPr>
                <w:rFonts w:ascii="Arial" w:hAnsi="Arial" w:cs="Arial"/>
                <w:b/>
                <w:sz w:val="20"/>
                <w:szCs w:val="20"/>
              </w:rPr>
              <w:t xml:space="preserve"> cells</w:t>
            </w:r>
          </w:p>
        </w:tc>
      </w:tr>
      <w:tr w:rsidR="00D3561A" w:rsidRPr="00C577B3" w14:paraId="135BBE03" w14:textId="77777777" w:rsidTr="00B1708F">
        <w:trPr>
          <w:trHeight w:val="679"/>
        </w:trPr>
        <w:tc>
          <w:tcPr>
            <w:tcW w:w="2107" w:type="dxa"/>
            <w:tcBorders>
              <w:top w:val="single" w:sz="4" w:space="0" w:color="auto"/>
            </w:tcBorders>
          </w:tcPr>
          <w:p w14:paraId="4184632B"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18-30 years</w:t>
            </w:r>
          </w:p>
        </w:tc>
        <w:tc>
          <w:tcPr>
            <w:tcW w:w="2261" w:type="dxa"/>
            <w:gridSpan w:val="2"/>
            <w:tcBorders>
              <w:top w:val="single" w:sz="4" w:space="0" w:color="auto"/>
            </w:tcBorders>
          </w:tcPr>
          <w:p w14:paraId="0EDD45E9" w14:textId="77777777" w:rsidR="00D3561A"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3.82 ± 2.24</w:t>
            </w:r>
          </w:p>
        </w:tc>
        <w:tc>
          <w:tcPr>
            <w:tcW w:w="2037" w:type="dxa"/>
            <w:tcBorders>
              <w:top w:val="single" w:sz="4" w:space="0" w:color="auto"/>
            </w:tcBorders>
          </w:tcPr>
          <w:p w14:paraId="59CFB497" w14:textId="77777777" w:rsidR="00D3561A" w:rsidRPr="00C577B3" w:rsidRDefault="00D3561A" w:rsidP="00F07748">
            <w:pPr>
              <w:spacing w:line="360" w:lineRule="auto"/>
              <w:jc w:val="both"/>
              <w:rPr>
                <w:rFonts w:ascii="Arial" w:hAnsi="Arial" w:cs="Arial"/>
                <w:sz w:val="20"/>
                <w:szCs w:val="20"/>
              </w:rPr>
            </w:pPr>
            <w:r w:rsidRPr="00C577B3">
              <w:rPr>
                <w:rFonts w:ascii="Arial" w:hAnsi="Arial" w:cs="Arial"/>
                <w:sz w:val="20"/>
                <w:szCs w:val="20"/>
              </w:rPr>
              <w:t>4.95±6.00</w:t>
            </w:r>
          </w:p>
        </w:tc>
        <w:tc>
          <w:tcPr>
            <w:tcW w:w="1607" w:type="dxa"/>
            <w:tcBorders>
              <w:top w:val="single" w:sz="4" w:space="0" w:color="auto"/>
            </w:tcBorders>
          </w:tcPr>
          <w:p w14:paraId="104FE07F"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sz w:val="20"/>
                <w:szCs w:val="20"/>
              </w:rPr>
              <w:t>5.86±5.01</w:t>
            </w:r>
          </w:p>
        </w:tc>
        <w:tc>
          <w:tcPr>
            <w:tcW w:w="2050" w:type="dxa"/>
            <w:tcBorders>
              <w:top w:val="single" w:sz="4" w:space="0" w:color="auto"/>
            </w:tcBorders>
          </w:tcPr>
          <w:p w14:paraId="6364213B" w14:textId="77777777" w:rsidR="00D3561A" w:rsidRPr="00C577B3" w:rsidRDefault="00D3561A" w:rsidP="00F07748">
            <w:pPr>
              <w:spacing w:line="360" w:lineRule="auto"/>
              <w:jc w:val="both"/>
              <w:rPr>
                <w:rFonts w:ascii="Arial" w:hAnsi="Arial" w:cs="Arial"/>
                <w:b/>
                <w:sz w:val="20"/>
                <w:szCs w:val="20"/>
              </w:rPr>
            </w:pPr>
            <w:r w:rsidRPr="00C577B3">
              <w:rPr>
                <w:rFonts w:ascii="Arial" w:hAnsi="Arial" w:cs="Arial"/>
                <w:sz w:val="20"/>
                <w:szCs w:val="20"/>
              </w:rPr>
              <w:t>0.50±2.34</w:t>
            </w:r>
          </w:p>
        </w:tc>
      </w:tr>
      <w:tr w:rsidR="00D05006" w:rsidRPr="00C577B3" w14:paraId="56C66D63" w14:textId="77777777" w:rsidTr="00B1708F">
        <w:trPr>
          <w:trHeight w:val="679"/>
        </w:trPr>
        <w:tc>
          <w:tcPr>
            <w:tcW w:w="2107" w:type="dxa"/>
          </w:tcPr>
          <w:p w14:paraId="419529F1"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31-42 years</w:t>
            </w:r>
          </w:p>
        </w:tc>
        <w:tc>
          <w:tcPr>
            <w:tcW w:w="2261" w:type="dxa"/>
            <w:gridSpan w:val="2"/>
          </w:tcPr>
          <w:p w14:paraId="1276ECE1"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3.00 ± 2.60</w:t>
            </w:r>
          </w:p>
        </w:tc>
        <w:tc>
          <w:tcPr>
            <w:tcW w:w="2037" w:type="dxa"/>
          </w:tcPr>
          <w:p w14:paraId="776A1D8C"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8.26±4.95</w:t>
            </w:r>
          </w:p>
        </w:tc>
        <w:tc>
          <w:tcPr>
            <w:tcW w:w="1607" w:type="dxa"/>
          </w:tcPr>
          <w:p w14:paraId="3CFC6B56"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8.3</w:t>
            </w:r>
            <w:r w:rsidRPr="00C577B3">
              <w:rPr>
                <w:rFonts w:ascii="Arial" w:hAnsi="Arial" w:cs="Arial"/>
                <w:b/>
                <w:sz w:val="20"/>
                <w:szCs w:val="20"/>
              </w:rPr>
              <w:t>7</w:t>
            </w:r>
            <w:r w:rsidRPr="00C577B3">
              <w:rPr>
                <w:rFonts w:ascii="Arial" w:hAnsi="Arial" w:cs="Arial"/>
                <w:sz w:val="20"/>
                <w:szCs w:val="20"/>
              </w:rPr>
              <w:t>±6.54</w:t>
            </w:r>
          </w:p>
        </w:tc>
        <w:tc>
          <w:tcPr>
            <w:tcW w:w="2050" w:type="dxa"/>
          </w:tcPr>
          <w:p w14:paraId="3AAE963D"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0.63±5.31</w:t>
            </w:r>
          </w:p>
        </w:tc>
      </w:tr>
      <w:tr w:rsidR="00D05006" w:rsidRPr="00C577B3" w14:paraId="1526C621" w14:textId="77777777" w:rsidTr="00B1708F">
        <w:trPr>
          <w:trHeight w:val="679"/>
        </w:trPr>
        <w:tc>
          <w:tcPr>
            <w:tcW w:w="2107" w:type="dxa"/>
          </w:tcPr>
          <w:p w14:paraId="155F56E5"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43-54 years</w:t>
            </w:r>
          </w:p>
        </w:tc>
        <w:tc>
          <w:tcPr>
            <w:tcW w:w="2261" w:type="dxa"/>
            <w:gridSpan w:val="2"/>
          </w:tcPr>
          <w:p w14:paraId="05954033"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2.00 ± 1.50</w:t>
            </w:r>
          </w:p>
        </w:tc>
        <w:tc>
          <w:tcPr>
            <w:tcW w:w="2037" w:type="dxa"/>
          </w:tcPr>
          <w:p w14:paraId="49CC900F"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7.</w:t>
            </w:r>
            <w:r w:rsidRPr="00C577B3">
              <w:rPr>
                <w:rFonts w:ascii="Arial" w:hAnsi="Arial" w:cs="Arial"/>
                <w:sz w:val="20"/>
                <w:szCs w:val="20"/>
              </w:rPr>
              <w:t>22±4.67</w:t>
            </w:r>
          </w:p>
        </w:tc>
        <w:tc>
          <w:tcPr>
            <w:tcW w:w="1607" w:type="dxa"/>
          </w:tcPr>
          <w:p w14:paraId="47BF7DBE"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6.28±3.61</w:t>
            </w:r>
          </w:p>
        </w:tc>
        <w:tc>
          <w:tcPr>
            <w:tcW w:w="2050" w:type="dxa"/>
          </w:tcPr>
          <w:p w14:paraId="1847CA40"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sz w:val="20"/>
                <w:szCs w:val="20"/>
              </w:rPr>
              <w:t>3.59±0.83</w:t>
            </w:r>
          </w:p>
        </w:tc>
      </w:tr>
      <w:tr w:rsidR="00D05006" w:rsidRPr="00C577B3" w14:paraId="1A0D7AC6" w14:textId="77777777" w:rsidTr="00B1708F">
        <w:trPr>
          <w:trHeight w:val="679"/>
        </w:trPr>
        <w:tc>
          <w:tcPr>
            <w:tcW w:w="2107" w:type="dxa"/>
          </w:tcPr>
          <w:p w14:paraId="0B8BA167"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F-ratio</w:t>
            </w:r>
          </w:p>
        </w:tc>
        <w:tc>
          <w:tcPr>
            <w:tcW w:w="2261" w:type="dxa"/>
            <w:gridSpan w:val="2"/>
          </w:tcPr>
          <w:p w14:paraId="06BBB5DA"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1.711</w:t>
            </w:r>
          </w:p>
        </w:tc>
        <w:tc>
          <w:tcPr>
            <w:tcW w:w="2037" w:type="dxa"/>
          </w:tcPr>
          <w:p w14:paraId="6A3C1FF8"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1.67</w:t>
            </w:r>
          </w:p>
        </w:tc>
        <w:tc>
          <w:tcPr>
            <w:tcW w:w="1607" w:type="dxa"/>
          </w:tcPr>
          <w:p w14:paraId="1FA35AA4"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1.04</w:t>
            </w:r>
          </w:p>
        </w:tc>
        <w:tc>
          <w:tcPr>
            <w:tcW w:w="2050" w:type="dxa"/>
          </w:tcPr>
          <w:p w14:paraId="58D90E7B"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0.11</w:t>
            </w:r>
          </w:p>
        </w:tc>
      </w:tr>
      <w:tr w:rsidR="00D05006" w:rsidRPr="00C577B3" w14:paraId="391B1D90" w14:textId="77777777" w:rsidTr="00B1708F">
        <w:trPr>
          <w:trHeight w:val="729"/>
        </w:trPr>
        <w:tc>
          <w:tcPr>
            <w:tcW w:w="2107" w:type="dxa"/>
          </w:tcPr>
          <w:p w14:paraId="122BBB99" w14:textId="77777777" w:rsidR="00D05006" w:rsidRPr="00C577B3" w:rsidRDefault="00D05006" w:rsidP="00F07748">
            <w:pPr>
              <w:spacing w:line="360" w:lineRule="auto"/>
              <w:jc w:val="both"/>
              <w:rPr>
                <w:rFonts w:ascii="Arial" w:hAnsi="Arial" w:cs="Arial"/>
                <w:b/>
                <w:sz w:val="20"/>
                <w:szCs w:val="20"/>
              </w:rPr>
            </w:pPr>
            <w:r w:rsidRPr="00C577B3">
              <w:rPr>
                <w:rFonts w:ascii="Arial" w:hAnsi="Arial" w:cs="Arial"/>
                <w:b/>
                <w:sz w:val="20"/>
                <w:szCs w:val="20"/>
              </w:rPr>
              <w:t>P-value</w:t>
            </w:r>
          </w:p>
        </w:tc>
        <w:tc>
          <w:tcPr>
            <w:tcW w:w="2261" w:type="dxa"/>
            <w:gridSpan w:val="2"/>
          </w:tcPr>
          <w:p w14:paraId="32C8A2DE"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0.196</w:t>
            </w:r>
          </w:p>
        </w:tc>
        <w:tc>
          <w:tcPr>
            <w:tcW w:w="2037" w:type="dxa"/>
          </w:tcPr>
          <w:p w14:paraId="561CE0A9"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0.18</w:t>
            </w:r>
          </w:p>
        </w:tc>
        <w:tc>
          <w:tcPr>
            <w:tcW w:w="1607" w:type="dxa"/>
          </w:tcPr>
          <w:p w14:paraId="2CE38E36"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0.38</w:t>
            </w:r>
          </w:p>
        </w:tc>
        <w:tc>
          <w:tcPr>
            <w:tcW w:w="2050" w:type="dxa"/>
          </w:tcPr>
          <w:p w14:paraId="30D366CA" w14:textId="77777777" w:rsidR="00D05006" w:rsidRPr="00C577B3" w:rsidRDefault="00D05006" w:rsidP="00F07748">
            <w:pPr>
              <w:spacing w:line="360" w:lineRule="auto"/>
              <w:jc w:val="both"/>
              <w:rPr>
                <w:rFonts w:ascii="Arial" w:hAnsi="Arial" w:cs="Arial"/>
                <w:sz w:val="20"/>
                <w:szCs w:val="20"/>
              </w:rPr>
            </w:pPr>
            <w:r w:rsidRPr="00C577B3">
              <w:rPr>
                <w:rFonts w:ascii="Arial" w:hAnsi="Arial" w:cs="Arial"/>
                <w:sz w:val="20"/>
                <w:szCs w:val="20"/>
              </w:rPr>
              <w:t>0.96</w:t>
            </w:r>
          </w:p>
        </w:tc>
      </w:tr>
    </w:tbl>
    <w:p w14:paraId="6049F068" w14:textId="77777777" w:rsidR="00F333AB" w:rsidRPr="00195F2B" w:rsidRDefault="00F333AB" w:rsidP="00F07748">
      <w:pPr>
        <w:spacing w:line="360" w:lineRule="auto"/>
        <w:jc w:val="both"/>
        <w:rPr>
          <w:rFonts w:ascii="Arial" w:hAnsi="Arial" w:cs="Arial"/>
          <w:sz w:val="18"/>
          <w:szCs w:val="18"/>
        </w:rPr>
      </w:pPr>
      <w:r w:rsidRPr="00C577B3">
        <w:rPr>
          <w:rFonts w:ascii="Arial" w:hAnsi="Arial" w:cs="Arial"/>
          <w:b/>
          <w:sz w:val="20"/>
          <w:szCs w:val="20"/>
        </w:rPr>
        <w:t xml:space="preserve"> </w:t>
      </w:r>
      <w:r w:rsidRPr="00195F2B">
        <w:rPr>
          <w:rFonts w:ascii="Arial" w:hAnsi="Arial" w:cs="Arial"/>
          <w:sz w:val="18"/>
          <w:szCs w:val="18"/>
        </w:rPr>
        <w:t>Data expressed as Mean ± Standard deviation</w:t>
      </w:r>
    </w:p>
    <w:p w14:paraId="4A4BDD7B" w14:textId="32A96B07" w:rsidR="00B1708F" w:rsidRPr="00B1708F" w:rsidRDefault="00B1708F" w:rsidP="00B1708F">
      <w:pPr>
        <w:autoSpaceDE w:val="0"/>
        <w:autoSpaceDN w:val="0"/>
        <w:adjustRightInd w:val="0"/>
        <w:spacing w:after="0" w:line="360" w:lineRule="auto"/>
        <w:ind w:left="0"/>
        <w:jc w:val="both"/>
        <w:rPr>
          <w:rFonts w:ascii="Arial" w:hAnsi="Arial" w:cs="Arial"/>
          <w:sz w:val="22"/>
          <w:szCs w:val="22"/>
        </w:rPr>
      </w:pPr>
      <w:r w:rsidRPr="00C577B3">
        <w:rPr>
          <w:rFonts w:ascii="Arial" w:hAnsi="Arial" w:cs="Arial"/>
          <w:b/>
          <w:bCs/>
          <w:sz w:val="22"/>
          <w:szCs w:val="22"/>
        </w:rPr>
        <w:t xml:space="preserve">3.5 </w:t>
      </w:r>
      <w:r w:rsidRPr="00B1708F">
        <w:rPr>
          <w:rFonts w:ascii="Arial" w:hAnsi="Arial" w:cs="Arial"/>
          <w:b/>
          <w:bCs/>
          <w:sz w:val="22"/>
          <w:szCs w:val="22"/>
        </w:rPr>
        <w:t>BUCCAL CELL PHOTOMICROGRAPHS</w:t>
      </w:r>
      <w:r w:rsidRPr="00B1708F">
        <w:rPr>
          <w:rFonts w:ascii="Arial" w:hAnsi="Arial" w:cs="Arial"/>
          <w:sz w:val="22"/>
          <w:szCs w:val="22"/>
        </w:rPr>
        <w:t xml:space="preserve"> </w:t>
      </w:r>
    </w:p>
    <w:p w14:paraId="0B037438" w14:textId="6700A404" w:rsidR="00B1708F" w:rsidRPr="0076796A" w:rsidRDefault="00B1708F" w:rsidP="00F07748">
      <w:pPr>
        <w:autoSpaceDE w:val="0"/>
        <w:autoSpaceDN w:val="0"/>
        <w:adjustRightInd w:val="0"/>
        <w:spacing w:after="0" w:line="360" w:lineRule="auto"/>
        <w:ind w:left="0"/>
        <w:jc w:val="both"/>
        <w:rPr>
          <w:rFonts w:ascii="Arial" w:hAnsi="Arial" w:cs="Arial"/>
          <w:sz w:val="20"/>
          <w:szCs w:val="20"/>
        </w:rPr>
      </w:pPr>
      <w:r w:rsidRPr="00B1708F">
        <w:rPr>
          <w:rFonts w:ascii="Arial" w:hAnsi="Arial" w:cs="Arial"/>
          <w:sz w:val="20"/>
          <w:szCs w:val="20"/>
        </w:rPr>
        <w:t xml:space="preserve">Nuclear damage indices assessed in the buccal cells of study participants included binucleated cells, nuclear buds, and karyorrhectic cells. </w:t>
      </w:r>
      <w:r w:rsidRPr="00DE4953">
        <w:rPr>
          <w:rFonts w:ascii="Arial" w:hAnsi="Arial" w:cs="Arial"/>
          <w:sz w:val="20"/>
          <w:szCs w:val="20"/>
        </w:rPr>
        <w:t>Fig</w:t>
      </w:r>
      <w:r w:rsidRPr="00B1708F">
        <w:rPr>
          <w:rFonts w:ascii="Arial" w:hAnsi="Arial" w:cs="Arial"/>
          <w:sz w:val="20"/>
          <w:szCs w:val="20"/>
        </w:rPr>
        <w:t>ures</w:t>
      </w:r>
      <w:r w:rsidR="00DE4953">
        <w:rPr>
          <w:rFonts w:ascii="Arial" w:hAnsi="Arial" w:cs="Arial"/>
          <w:sz w:val="20"/>
          <w:szCs w:val="20"/>
        </w:rPr>
        <w:t xml:space="preserve"> </w:t>
      </w:r>
      <w:r w:rsidRPr="00B1708F">
        <w:rPr>
          <w:rFonts w:ascii="Arial" w:hAnsi="Arial" w:cs="Arial"/>
          <w:sz w:val="20"/>
          <w:szCs w:val="20"/>
        </w:rPr>
        <w:t xml:space="preserve">1-4 are representative photomicrographs illustrating these findings. </w:t>
      </w:r>
      <w:r w:rsidRPr="00DE4953">
        <w:rPr>
          <w:rFonts w:ascii="Arial" w:hAnsi="Arial" w:cs="Arial"/>
          <w:sz w:val="20"/>
          <w:szCs w:val="20"/>
        </w:rPr>
        <w:t>Fig</w:t>
      </w:r>
      <w:r w:rsidRPr="00B1708F">
        <w:rPr>
          <w:rFonts w:ascii="Arial" w:hAnsi="Arial" w:cs="Arial"/>
          <w:sz w:val="20"/>
          <w:szCs w:val="20"/>
        </w:rPr>
        <w:t>ure 1 shows a light photomicrograph of exfoliated buccal mucosal cells from a control subject, displaying normal cytoplasm (</w:t>
      </w:r>
      <w:proofErr w:type="spellStart"/>
      <w:r w:rsidRPr="00B1708F">
        <w:rPr>
          <w:rFonts w:ascii="Arial" w:hAnsi="Arial" w:cs="Arial"/>
          <w:sz w:val="20"/>
          <w:szCs w:val="20"/>
        </w:rPr>
        <w:t>Cyt</w:t>
      </w:r>
      <w:proofErr w:type="spellEnd"/>
      <w:r w:rsidRPr="00B1708F">
        <w:rPr>
          <w:rFonts w:ascii="Arial" w:hAnsi="Arial" w:cs="Arial"/>
          <w:sz w:val="20"/>
          <w:szCs w:val="20"/>
        </w:rPr>
        <w:t xml:space="preserve">) and nuclei (N). In contrast, </w:t>
      </w:r>
      <w:r w:rsidRPr="00DE4953">
        <w:rPr>
          <w:rFonts w:ascii="Arial" w:hAnsi="Arial" w:cs="Arial"/>
          <w:sz w:val="20"/>
          <w:szCs w:val="20"/>
        </w:rPr>
        <w:t>Fig</w:t>
      </w:r>
      <w:r w:rsidRPr="00B1708F">
        <w:rPr>
          <w:rFonts w:ascii="Arial" w:hAnsi="Arial" w:cs="Arial"/>
          <w:sz w:val="20"/>
          <w:szCs w:val="20"/>
        </w:rPr>
        <w:t xml:space="preserve">ure 2, taken from an ESWAMA waste disposal worker, illustrates the presence of binucleated cells (BN) and cells with nuclear buds (NB). </w:t>
      </w:r>
      <w:r w:rsidRPr="00DE4953">
        <w:rPr>
          <w:rFonts w:ascii="Arial" w:hAnsi="Arial" w:cs="Arial"/>
          <w:sz w:val="20"/>
          <w:szCs w:val="20"/>
        </w:rPr>
        <w:t>Fig</w:t>
      </w:r>
      <w:r w:rsidRPr="00B1708F">
        <w:rPr>
          <w:rFonts w:ascii="Arial" w:hAnsi="Arial" w:cs="Arial"/>
          <w:sz w:val="20"/>
          <w:szCs w:val="20"/>
        </w:rPr>
        <w:t xml:space="preserve">ure 3 from a hospital waste disposal worker, reveals normal cells (NC), binucleated cells (BN), and cells undergoing karyorrhexis (thick arrows). Finally, </w:t>
      </w:r>
      <w:r w:rsidRPr="00DE4953">
        <w:rPr>
          <w:rFonts w:ascii="Arial" w:hAnsi="Arial" w:cs="Arial"/>
          <w:sz w:val="20"/>
          <w:szCs w:val="20"/>
        </w:rPr>
        <w:t>Fig</w:t>
      </w:r>
      <w:r w:rsidRPr="00B1708F">
        <w:rPr>
          <w:rFonts w:ascii="Arial" w:hAnsi="Arial" w:cs="Arial"/>
          <w:sz w:val="20"/>
          <w:szCs w:val="20"/>
        </w:rPr>
        <w:t>ure 4 from a hostel waste disposal worker, shows normal cells (NC) and cells undergoing karyorrhexis (thick arrows).</w:t>
      </w:r>
    </w:p>
    <w:p w14:paraId="501B6A29" w14:textId="77777777" w:rsidR="00B1708F" w:rsidRPr="00C577B3" w:rsidRDefault="00B1708F" w:rsidP="00F07748">
      <w:pPr>
        <w:autoSpaceDE w:val="0"/>
        <w:autoSpaceDN w:val="0"/>
        <w:adjustRightInd w:val="0"/>
        <w:spacing w:after="0" w:line="360" w:lineRule="auto"/>
        <w:ind w:left="0"/>
        <w:jc w:val="both"/>
        <w:rPr>
          <w:rFonts w:ascii="Arial" w:hAnsi="Arial" w:cs="Arial"/>
          <w:sz w:val="24"/>
          <w:szCs w:val="24"/>
        </w:rPr>
      </w:pPr>
    </w:p>
    <w:p w14:paraId="306D4650" w14:textId="017D6F39" w:rsidR="005558BD" w:rsidRPr="00C577B3" w:rsidRDefault="00A06EAE" w:rsidP="00C577B3">
      <w:pPr>
        <w:spacing w:line="360" w:lineRule="auto"/>
        <w:jc w:val="center"/>
        <w:rPr>
          <w:rFonts w:ascii="Arial" w:hAnsi="Arial" w:cs="Arial"/>
          <w:sz w:val="24"/>
          <w:szCs w:val="24"/>
        </w:rPr>
      </w:pPr>
      <w:r>
        <w:rPr>
          <w:rFonts w:ascii="Arial" w:hAnsi="Arial" w:cs="Arial"/>
          <w:noProof/>
          <w:sz w:val="24"/>
          <w:szCs w:val="24"/>
        </w:rPr>
        <w:lastRenderedPageBreak/>
        <w:pict w14:anchorId="5DC0F503">
          <v:shapetype id="_x0000_t202" coordsize="21600,21600" o:spt="202" path="m,l,21600r21600,l21600,xe">
            <v:stroke joinstyle="miter"/>
            <v:path gradientshapeok="t" o:connecttype="rect"/>
          </v:shapetype>
          <v:shape id="_x0000_s1031" type="#_x0000_t202" style="position:absolute;left:0;text-align:left;margin-left:151.15pt;margin-top:194.55pt;width:39.75pt;height:29pt;z-index:251665408">
            <v:textbox style="mso-next-textbox:#_x0000_s1031">
              <w:txbxContent>
                <w:p w14:paraId="43AFF467" w14:textId="77777777" w:rsidR="006652DB" w:rsidRPr="005E00A2" w:rsidRDefault="006652DB" w:rsidP="005558BD">
                  <w:pPr>
                    <w:rPr>
                      <w:b/>
                      <w:sz w:val="24"/>
                      <w:szCs w:val="24"/>
                    </w:rPr>
                  </w:pPr>
                  <w:proofErr w:type="spellStart"/>
                  <w:r w:rsidRPr="005E00A2">
                    <w:rPr>
                      <w:b/>
                      <w:sz w:val="24"/>
                      <w:szCs w:val="24"/>
                    </w:rPr>
                    <w:t>Cyt</w:t>
                  </w:r>
                  <w:proofErr w:type="spellEnd"/>
                </w:p>
              </w:txbxContent>
            </v:textbox>
          </v:shape>
        </w:pict>
      </w:r>
      <w:r>
        <w:rPr>
          <w:rFonts w:ascii="Arial" w:hAnsi="Arial" w:cs="Arial"/>
          <w:noProof/>
          <w:sz w:val="24"/>
          <w:szCs w:val="24"/>
        </w:rPr>
        <w:pict w14:anchorId="4C2FA384">
          <v:shape id="_x0000_s1027" type="#_x0000_t202" style="position:absolute;left:0;text-align:left;margin-left:126.4pt;margin-top:170.4pt;width:29.4pt;height:26.9pt;z-index:251661312">
            <v:textbox style="mso-next-textbox:#_x0000_s1027">
              <w:txbxContent>
                <w:p w14:paraId="3F4A10FA" w14:textId="77777777" w:rsidR="006652DB" w:rsidRPr="00BB711E" w:rsidRDefault="006652DB" w:rsidP="005558BD">
                  <w:pPr>
                    <w:rPr>
                      <w:rFonts w:ascii="Times New Roman" w:hAnsi="Times New Roman" w:cs="Times New Roman"/>
                      <w:b/>
                    </w:rPr>
                  </w:pPr>
                  <w:r w:rsidRPr="00BB711E">
                    <w:rPr>
                      <w:rFonts w:ascii="Times New Roman" w:hAnsi="Times New Roman" w:cs="Times New Roman"/>
                      <w:b/>
                    </w:rPr>
                    <w:t>N</w:t>
                  </w:r>
                </w:p>
              </w:txbxContent>
            </v:textbox>
          </v:shape>
        </w:pict>
      </w:r>
      <w:r>
        <w:rPr>
          <w:rFonts w:ascii="Arial" w:hAnsi="Arial" w:cs="Arial"/>
          <w:noProof/>
          <w:sz w:val="24"/>
          <w:szCs w:val="24"/>
        </w:rPr>
        <w:pict w14:anchorId="4E845A97">
          <v:shapetype id="_x0000_t32" coordsize="21600,21600" o:spt="32" o:oned="t" path="m,l21600,21600e" filled="f">
            <v:path arrowok="t" fillok="f" o:connecttype="none"/>
            <o:lock v:ext="edit" shapetype="t"/>
          </v:shapetype>
          <v:shape id="_x0000_s1030" type="#_x0000_t32" style="position:absolute;left:0;text-align:left;margin-left:175.9pt;margin-top:200.05pt;width:39.55pt;height:12.1pt;flip:x y;z-index:251664384" o:connectortype="straight">
            <v:stroke endarrow="block"/>
          </v:shape>
        </w:pict>
      </w:r>
      <w:r>
        <w:rPr>
          <w:rFonts w:ascii="Arial" w:hAnsi="Arial" w:cs="Arial"/>
          <w:noProof/>
          <w:sz w:val="24"/>
          <w:szCs w:val="24"/>
        </w:rPr>
        <w:pict w14:anchorId="46943F47">
          <v:shape id="_x0000_s1029" type="#_x0000_t32" style="position:absolute;left:0;text-align:left;margin-left:171.5pt;margin-top:177.5pt;width:24.7pt;height:22.55pt;flip:x;z-index:251663360" o:connectortype="straight">
            <v:stroke endarrow="block"/>
          </v:shape>
        </w:pict>
      </w:r>
      <w:r>
        <w:rPr>
          <w:rFonts w:ascii="Arial" w:hAnsi="Arial" w:cs="Arial"/>
          <w:noProof/>
          <w:sz w:val="24"/>
          <w:szCs w:val="24"/>
        </w:rPr>
        <w:pict w14:anchorId="404C5A43">
          <v:shape id="_x0000_s1028" type="#_x0000_t32" style="position:absolute;left:0;text-align:left;margin-left:71.45pt;margin-top:132.45pt;width:54.95pt;height:45.05pt;z-index:251662336" o:connectortype="straight">
            <v:stroke endarrow="block"/>
          </v:shape>
        </w:pict>
      </w:r>
      <w:r>
        <w:rPr>
          <w:rFonts w:ascii="Arial" w:hAnsi="Arial" w:cs="Arial"/>
          <w:noProof/>
          <w:sz w:val="24"/>
          <w:szCs w:val="24"/>
        </w:rPr>
        <w:pict w14:anchorId="5AA0DD5D">
          <v:shape id="_x0000_s1026" type="#_x0000_t32" style="position:absolute;left:0;text-align:left;margin-left:106.65pt;margin-top:194.55pt;width:24.15pt;height:45.1pt;flip:y;z-index:251660288" o:connectortype="straight">
            <v:stroke endarrow="block"/>
          </v:shape>
        </w:pict>
      </w:r>
      <w:r w:rsidR="005558BD" w:rsidRPr="00C577B3">
        <w:rPr>
          <w:rFonts w:ascii="Arial" w:hAnsi="Arial" w:cs="Arial"/>
          <w:noProof/>
          <w:sz w:val="24"/>
          <w:szCs w:val="24"/>
        </w:rPr>
        <w:drawing>
          <wp:inline distT="0" distB="0" distL="0" distR="0" wp14:anchorId="68590D87" wp14:editId="3B68DE97">
            <wp:extent cx="5284470" cy="397470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t="1084" r="1761" b="1548"/>
                    <a:stretch>
                      <a:fillRect/>
                    </a:stretch>
                  </pic:blipFill>
                  <pic:spPr bwMode="auto">
                    <a:xfrm>
                      <a:off x="0" y="0"/>
                      <a:ext cx="5288264" cy="3977561"/>
                    </a:xfrm>
                    <a:prstGeom prst="rect">
                      <a:avLst/>
                    </a:prstGeom>
                    <a:noFill/>
                    <a:ln w="9525">
                      <a:noFill/>
                      <a:miter lim="800000"/>
                      <a:headEnd/>
                      <a:tailEnd/>
                    </a:ln>
                  </pic:spPr>
                </pic:pic>
              </a:graphicData>
            </a:graphic>
          </wp:inline>
        </w:drawing>
      </w:r>
    </w:p>
    <w:p w14:paraId="6B2F41D4" w14:textId="1A5B7B23" w:rsidR="005558BD" w:rsidRPr="00C577B3" w:rsidRDefault="005C4A21" w:rsidP="00C577B3">
      <w:pPr>
        <w:spacing w:line="360" w:lineRule="auto"/>
        <w:ind w:left="1440" w:hanging="1440"/>
        <w:jc w:val="center"/>
        <w:rPr>
          <w:rFonts w:ascii="Arial" w:hAnsi="Arial" w:cs="Arial"/>
          <w:sz w:val="20"/>
          <w:szCs w:val="20"/>
        </w:rPr>
      </w:pPr>
      <w:r w:rsidRPr="00DE4953">
        <w:rPr>
          <w:rFonts w:ascii="Arial" w:hAnsi="Arial" w:cs="Arial"/>
          <w:b/>
          <w:i/>
          <w:sz w:val="20"/>
          <w:szCs w:val="20"/>
        </w:rPr>
        <w:t>Fig</w:t>
      </w:r>
      <w:r w:rsidRPr="00C577B3">
        <w:rPr>
          <w:rFonts w:ascii="Arial" w:hAnsi="Arial" w:cs="Arial"/>
          <w:b/>
          <w:i/>
          <w:sz w:val="20"/>
          <w:szCs w:val="20"/>
        </w:rPr>
        <w:t>ure 1</w:t>
      </w:r>
      <w:r w:rsidR="005558BD" w:rsidRPr="00C577B3">
        <w:rPr>
          <w:rFonts w:ascii="Arial" w:hAnsi="Arial" w:cs="Arial"/>
          <w:b/>
          <w:sz w:val="20"/>
          <w:szCs w:val="20"/>
        </w:rPr>
        <w:t xml:space="preserve"> – </w:t>
      </w:r>
      <w:r w:rsidR="005558BD" w:rsidRPr="00C577B3">
        <w:rPr>
          <w:rFonts w:ascii="Arial" w:hAnsi="Arial" w:cs="Arial"/>
          <w:sz w:val="20"/>
          <w:szCs w:val="20"/>
        </w:rPr>
        <w:t xml:space="preserve">Light photomicrograph of exfoliated </w:t>
      </w:r>
      <w:r w:rsidRPr="00C577B3">
        <w:rPr>
          <w:rFonts w:ascii="Arial" w:hAnsi="Arial" w:cs="Arial"/>
          <w:sz w:val="20"/>
          <w:szCs w:val="20"/>
        </w:rPr>
        <w:t xml:space="preserve">buccal mucosal cells of control </w:t>
      </w:r>
      <w:r w:rsidR="005558BD" w:rsidRPr="00C577B3">
        <w:rPr>
          <w:rFonts w:ascii="Arial" w:hAnsi="Arial" w:cs="Arial"/>
          <w:sz w:val="20"/>
          <w:szCs w:val="20"/>
        </w:rPr>
        <w:t>subject showing normal cytoplasm (</w:t>
      </w:r>
      <w:proofErr w:type="spellStart"/>
      <w:r w:rsidR="005558BD" w:rsidRPr="00C577B3">
        <w:rPr>
          <w:rFonts w:ascii="Arial" w:hAnsi="Arial" w:cs="Arial"/>
          <w:sz w:val="20"/>
          <w:szCs w:val="20"/>
        </w:rPr>
        <w:t>Cyt</w:t>
      </w:r>
      <w:proofErr w:type="spellEnd"/>
      <w:r w:rsidR="005558BD" w:rsidRPr="00C577B3">
        <w:rPr>
          <w:rFonts w:ascii="Arial" w:hAnsi="Arial" w:cs="Arial"/>
          <w:sz w:val="20"/>
          <w:szCs w:val="20"/>
        </w:rPr>
        <w:t xml:space="preserve">) and nuclei (N). [Stain: </w:t>
      </w:r>
      <w:proofErr w:type="spellStart"/>
      <w:r w:rsidR="005558BD" w:rsidRPr="00C577B3">
        <w:rPr>
          <w:rFonts w:ascii="Arial" w:hAnsi="Arial" w:cs="Arial"/>
          <w:sz w:val="20"/>
          <w:szCs w:val="20"/>
        </w:rPr>
        <w:t>Papanicolau</w:t>
      </w:r>
      <w:proofErr w:type="spellEnd"/>
      <w:r w:rsidR="005558BD" w:rsidRPr="00C577B3">
        <w:rPr>
          <w:rFonts w:ascii="Arial" w:hAnsi="Arial" w:cs="Arial"/>
          <w:sz w:val="20"/>
          <w:szCs w:val="20"/>
        </w:rPr>
        <w:t>/Mag: x100]</w:t>
      </w:r>
    </w:p>
    <w:p w14:paraId="0EFD48E5" w14:textId="77777777" w:rsidR="005558BD" w:rsidRPr="00C577B3" w:rsidRDefault="005558BD" w:rsidP="00F07748">
      <w:pPr>
        <w:spacing w:line="360" w:lineRule="auto"/>
        <w:jc w:val="both"/>
        <w:rPr>
          <w:rFonts w:ascii="Arial" w:hAnsi="Arial" w:cs="Arial"/>
          <w:sz w:val="24"/>
          <w:szCs w:val="24"/>
        </w:rPr>
      </w:pPr>
      <w:r w:rsidRPr="00C577B3">
        <w:rPr>
          <w:rFonts w:ascii="Arial" w:hAnsi="Arial" w:cs="Arial"/>
          <w:sz w:val="24"/>
          <w:szCs w:val="24"/>
        </w:rPr>
        <w:t xml:space="preserve"> </w:t>
      </w:r>
    </w:p>
    <w:p w14:paraId="25E23BCE" w14:textId="77777777" w:rsidR="005558BD" w:rsidRPr="00C577B3" w:rsidRDefault="00A06EAE" w:rsidP="00C577B3">
      <w:pPr>
        <w:spacing w:line="360" w:lineRule="auto"/>
        <w:jc w:val="center"/>
        <w:rPr>
          <w:rFonts w:ascii="Arial" w:hAnsi="Arial" w:cs="Arial"/>
          <w:b/>
          <w:sz w:val="24"/>
          <w:szCs w:val="24"/>
        </w:rPr>
      </w:pPr>
      <w:r>
        <w:rPr>
          <w:rFonts w:ascii="Arial" w:hAnsi="Arial" w:cs="Arial"/>
          <w:b/>
          <w:noProof/>
          <w:sz w:val="24"/>
          <w:szCs w:val="24"/>
        </w:rPr>
        <w:lastRenderedPageBreak/>
        <w:pict w14:anchorId="41302BEF">
          <v:shape id="_x0000_s1039" type="#_x0000_t202" style="position:absolute;left:0;text-align:left;margin-left:174.25pt;margin-top:68.4pt;width:31.85pt;height:19.8pt;z-index:251673600">
            <v:textbox style="mso-next-textbox:#_x0000_s1039">
              <w:txbxContent>
                <w:p w14:paraId="42D0CA3D" w14:textId="77777777" w:rsidR="006652DB" w:rsidRPr="00487624" w:rsidRDefault="006652DB" w:rsidP="005558BD">
                  <w:pPr>
                    <w:rPr>
                      <w:rFonts w:ascii="Times New Roman" w:hAnsi="Times New Roman" w:cs="Times New Roman"/>
                      <w:b/>
                    </w:rPr>
                  </w:pPr>
                  <w:r w:rsidRPr="00487624">
                    <w:rPr>
                      <w:rFonts w:ascii="Times New Roman" w:hAnsi="Times New Roman" w:cs="Times New Roman"/>
                      <w:b/>
                    </w:rPr>
                    <w:t>NB</w:t>
                  </w:r>
                </w:p>
              </w:txbxContent>
            </v:textbox>
          </v:shape>
        </w:pict>
      </w:r>
      <w:r>
        <w:rPr>
          <w:rFonts w:ascii="Arial" w:hAnsi="Arial" w:cs="Arial"/>
          <w:b/>
          <w:noProof/>
          <w:sz w:val="24"/>
          <w:szCs w:val="24"/>
        </w:rPr>
        <w:pict w14:anchorId="70124AEF">
          <v:shape id="_x0000_s1038" type="#_x0000_t32" style="position:absolute;left:0;text-align:left;margin-left:154.45pt;margin-top:63.45pt;width:31.85pt;height:24.75pt;z-index:251672576" o:connectortype="straight">
            <v:stroke endarrow="block"/>
          </v:shape>
        </w:pict>
      </w:r>
      <w:r>
        <w:rPr>
          <w:rFonts w:ascii="Arial" w:hAnsi="Arial" w:cs="Arial"/>
          <w:b/>
          <w:noProof/>
          <w:sz w:val="24"/>
          <w:szCs w:val="24"/>
        </w:rPr>
        <w:pict w14:anchorId="08D1AE3C">
          <v:shape id="_x0000_s1037" type="#_x0000_t32" style="position:absolute;left:0;text-align:left;margin-left:179.75pt;margin-top:83.8pt;width:6.55pt;height:41.75pt;flip:y;z-index:251671552" o:connectortype="straight">
            <v:stroke endarrow="block"/>
          </v:shape>
        </w:pict>
      </w:r>
      <w:r>
        <w:rPr>
          <w:rFonts w:ascii="Arial" w:hAnsi="Arial" w:cs="Arial"/>
          <w:b/>
          <w:noProof/>
          <w:sz w:val="24"/>
          <w:szCs w:val="24"/>
        </w:rPr>
        <w:pict w14:anchorId="6F15ED90">
          <v:shape id="_x0000_s1036" type="#_x0000_t202" style="position:absolute;left:0;text-align:left;margin-left:236.9pt;margin-top:278.35pt;width:34.05pt;height:19.8pt;z-index:251670528">
            <v:textbox style="mso-next-textbox:#_x0000_s1036">
              <w:txbxContent>
                <w:p w14:paraId="08725ECB" w14:textId="77777777" w:rsidR="006652DB" w:rsidRPr="006C247B" w:rsidRDefault="006652DB" w:rsidP="005558BD">
                  <w:pPr>
                    <w:rPr>
                      <w:rFonts w:ascii="Times New Roman" w:hAnsi="Times New Roman" w:cs="Times New Roman"/>
                      <w:b/>
                      <w:sz w:val="24"/>
                      <w:szCs w:val="24"/>
                    </w:rPr>
                  </w:pPr>
                  <w:r w:rsidRPr="006C247B">
                    <w:rPr>
                      <w:rFonts w:ascii="Times New Roman" w:hAnsi="Times New Roman" w:cs="Times New Roman"/>
                      <w:b/>
                      <w:sz w:val="24"/>
                      <w:szCs w:val="24"/>
                    </w:rPr>
                    <w:t>BN</w:t>
                  </w:r>
                </w:p>
              </w:txbxContent>
            </v:textbox>
          </v:shape>
        </w:pict>
      </w:r>
      <w:r>
        <w:rPr>
          <w:rFonts w:ascii="Arial" w:hAnsi="Arial" w:cs="Arial"/>
          <w:b/>
          <w:noProof/>
          <w:sz w:val="24"/>
          <w:szCs w:val="24"/>
        </w:rPr>
        <w:pict w14:anchorId="3747AF3D">
          <v:shape id="_x0000_s1035" type="#_x0000_t32" style="position:absolute;left:0;text-align:left;margin-left:114.85pt;margin-top:196.45pt;width:122.05pt;height:89.05pt;z-index:251669504" o:connectortype="straight">
            <v:stroke endarrow="block"/>
          </v:shape>
        </w:pict>
      </w:r>
      <w:r>
        <w:rPr>
          <w:rFonts w:ascii="Arial" w:hAnsi="Arial" w:cs="Arial"/>
          <w:b/>
          <w:noProof/>
          <w:sz w:val="24"/>
          <w:szCs w:val="24"/>
        </w:rPr>
        <w:pict w14:anchorId="541A8FCD">
          <v:shape id="_x0000_s1032" type="#_x0000_t32" style="position:absolute;left:0;text-align:left;margin-left:58.8pt;margin-top:247.05pt;width:181.95pt;height:38.45pt;z-index:251666432" o:connectortype="straight">
            <v:stroke endarrow="block"/>
          </v:shape>
        </w:pict>
      </w:r>
      <w:r>
        <w:rPr>
          <w:rFonts w:ascii="Arial" w:hAnsi="Arial" w:cs="Arial"/>
          <w:b/>
          <w:noProof/>
          <w:sz w:val="24"/>
          <w:szCs w:val="24"/>
        </w:rPr>
        <w:pict w14:anchorId="1A0B80BE">
          <v:shape id="_x0000_s1034" type="#_x0000_t32" style="position:absolute;left:0;text-align:left;margin-left:58.8pt;margin-top:311.05pt;width:.05pt;height:.05pt;z-index:251668480" o:connectortype="straight">
            <v:stroke endarrow="block"/>
          </v:shape>
        </w:pict>
      </w:r>
      <w:r>
        <w:rPr>
          <w:rFonts w:ascii="Arial" w:hAnsi="Arial" w:cs="Arial"/>
          <w:b/>
          <w:noProof/>
          <w:sz w:val="24"/>
          <w:szCs w:val="24"/>
        </w:rPr>
        <w:pict w14:anchorId="4656C7A0">
          <v:shape id="_x0000_s1033" type="#_x0000_t32" style="position:absolute;left:0;text-align:left;margin-left:201.15pt;margin-top:186pt;width:35.75pt;height:99.5pt;z-index:251667456" o:connectortype="straight">
            <v:stroke endarrow="block"/>
          </v:shape>
        </w:pict>
      </w:r>
      <w:r w:rsidR="005558BD" w:rsidRPr="00C577B3">
        <w:rPr>
          <w:rFonts w:ascii="Arial" w:hAnsi="Arial" w:cs="Arial"/>
          <w:b/>
          <w:noProof/>
          <w:sz w:val="24"/>
          <w:szCs w:val="24"/>
        </w:rPr>
        <w:drawing>
          <wp:inline distT="0" distB="0" distL="0" distR="0" wp14:anchorId="0A350D5C" wp14:editId="304E39CC">
            <wp:extent cx="5924550" cy="444663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854" t="937" r="939" b="937"/>
                    <a:stretch>
                      <a:fillRect/>
                    </a:stretch>
                  </pic:blipFill>
                  <pic:spPr bwMode="auto">
                    <a:xfrm>
                      <a:off x="0" y="0"/>
                      <a:ext cx="5939792" cy="4458076"/>
                    </a:xfrm>
                    <a:prstGeom prst="rect">
                      <a:avLst/>
                    </a:prstGeom>
                    <a:noFill/>
                    <a:ln w="9525">
                      <a:noFill/>
                      <a:miter lim="800000"/>
                      <a:headEnd/>
                      <a:tailEnd/>
                    </a:ln>
                  </pic:spPr>
                </pic:pic>
              </a:graphicData>
            </a:graphic>
          </wp:inline>
        </w:drawing>
      </w:r>
    </w:p>
    <w:p w14:paraId="731D13AB" w14:textId="45101916" w:rsidR="005558BD" w:rsidRPr="00C577B3" w:rsidRDefault="005558BD" w:rsidP="00C577B3">
      <w:pPr>
        <w:spacing w:after="0" w:line="360" w:lineRule="auto"/>
        <w:jc w:val="center"/>
        <w:rPr>
          <w:rFonts w:ascii="Arial" w:hAnsi="Arial" w:cs="Arial"/>
          <w:b/>
          <w:sz w:val="20"/>
          <w:szCs w:val="20"/>
        </w:rPr>
      </w:pPr>
      <w:r w:rsidRPr="00DE4953">
        <w:rPr>
          <w:rFonts w:ascii="Arial" w:hAnsi="Arial" w:cs="Arial"/>
          <w:b/>
          <w:i/>
          <w:sz w:val="20"/>
          <w:szCs w:val="20"/>
        </w:rPr>
        <w:t>Fig</w:t>
      </w:r>
      <w:r w:rsidRPr="00C577B3">
        <w:rPr>
          <w:rFonts w:ascii="Arial" w:hAnsi="Arial" w:cs="Arial"/>
          <w:b/>
          <w:i/>
          <w:sz w:val="20"/>
          <w:szCs w:val="20"/>
        </w:rPr>
        <w:t>ure 2</w:t>
      </w:r>
      <w:r w:rsidRPr="00C577B3">
        <w:rPr>
          <w:rFonts w:ascii="Arial" w:hAnsi="Arial" w:cs="Arial"/>
          <w:b/>
          <w:sz w:val="20"/>
          <w:szCs w:val="20"/>
        </w:rPr>
        <w:t>:</w:t>
      </w:r>
      <w:r w:rsidRPr="00C577B3">
        <w:rPr>
          <w:rFonts w:ascii="Arial" w:hAnsi="Arial" w:cs="Arial"/>
          <w:sz w:val="20"/>
          <w:szCs w:val="20"/>
        </w:rPr>
        <w:t xml:space="preserve"> Light photomicrograph of exfoliated buccal mucosal cells obtained from ESWAMA waste disposal worker showing presence of binucleated cells (BN) and cells with nuclear buds (NB) [Stain: </w:t>
      </w:r>
      <w:proofErr w:type="spellStart"/>
      <w:r w:rsidRPr="00C577B3">
        <w:rPr>
          <w:rFonts w:ascii="Arial" w:hAnsi="Arial" w:cs="Arial"/>
          <w:sz w:val="20"/>
          <w:szCs w:val="20"/>
        </w:rPr>
        <w:t>Papanicolau</w:t>
      </w:r>
      <w:proofErr w:type="spellEnd"/>
      <w:r w:rsidRPr="00C577B3">
        <w:rPr>
          <w:rFonts w:ascii="Arial" w:hAnsi="Arial" w:cs="Arial"/>
          <w:sz w:val="20"/>
          <w:szCs w:val="20"/>
        </w:rPr>
        <w:t>/Mag: x100]</w:t>
      </w:r>
    </w:p>
    <w:p w14:paraId="3D886C0D" w14:textId="77777777" w:rsidR="005558BD" w:rsidRPr="00C577B3" w:rsidRDefault="00A06EAE" w:rsidP="00B1708F">
      <w:pPr>
        <w:spacing w:line="360" w:lineRule="auto"/>
        <w:jc w:val="center"/>
        <w:rPr>
          <w:rFonts w:ascii="Arial" w:hAnsi="Arial" w:cs="Arial"/>
          <w:b/>
          <w:sz w:val="24"/>
          <w:szCs w:val="24"/>
        </w:rPr>
      </w:pPr>
      <w:r>
        <w:rPr>
          <w:rFonts w:ascii="Arial" w:hAnsi="Arial" w:cs="Arial"/>
          <w:b/>
          <w:noProof/>
          <w:sz w:val="24"/>
          <w:szCs w:val="24"/>
        </w:rPr>
        <w:lastRenderedPageBreak/>
        <w:pict w14:anchorId="440C0380">
          <v:shape id="_x0000_s1048" type="#_x0000_t32" style="position:absolute;left:0;text-align:left;margin-left:197.85pt;margin-top:317.4pt;width:8.25pt;height:29.65pt;flip:y;z-index:251682816" o:connectortype="straight" strokecolor="black [3200]" strokeweight="5pt">
            <v:stroke endarrow="block"/>
            <v:shadow color="#868686"/>
          </v:shape>
        </w:pict>
      </w:r>
      <w:r>
        <w:rPr>
          <w:rFonts w:ascii="Arial" w:hAnsi="Arial" w:cs="Arial"/>
          <w:b/>
          <w:noProof/>
          <w:sz w:val="24"/>
          <w:szCs w:val="24"/>
        </w:rPr>
        <w:pict w14:anchorId="1BEF2EC7">
          <v:shape id="_x0000_s1047" type="#_x0000_t32" style="position:absolute;left:0;text-align:left;margin-left:140.15pt;margin-top:331.65pt;width:17.05pt;height:20.9pt;flip:y;z-index:251681792" o:connectortype="straight" strokecolor="black [3200]" strokeweight="5pt">
            <v:stroke endarrow="block"/>
            <v:shadow color="#868686"/>
          </v:shape>
        </w:pict>
      </w:r>
      <w:r>
        <w:rPr>
          <w:rFonts w:ascii="Arial" w:hAnsi="Arial" w:cs="Arial"/>
          <w:b/>
          <w:noProof/>
          <w:sz w:val="24"/>
          <w:szCs w:val="24"/>
        </w:rPr>
        <w:pict w14:anchorId="41E243A3">
          <v:shape id="_x0000_s1046" type="#_x0000_t202" style="position:absolute;left:0;text-align:left;margin-left:4.4pt;margin-top:166.8pt;width:34.05pt;height:20.3pt;z-index:251680768">
            <v:textbox style="mso-next-textbox:#_x0000_s1046">
              <w:txbxContent>
                <w:p w14:paraId="154BD935" w14:textId="77777777" w:rsidR="006652DB" w:rsidRPr="00553485" w:rsidRDefault="006652DB" w:rsidP="005558BD">
                  <w:pPr>
                    <w:rPr>
                      <w:rFonts w:ascii="Times New Roman" w:hAnsi="Times New Roman" w:cs="Times New Roman"/>
                      <w:b/>
                    </w:rPr>
                  </w:pPr>
                  <w:r w:rsidRPr="00553485">
                    <w:rPr>
                      <w:rFonts w:ascii="Times New Roman" w:hAnsi="Times New Roman" w:cs="Times New Roman"/>
                      <w:b/>
                    </w:rPr>
                    <w:t>BN</w:t>
                  </w:r>
                </w:p>
              </w:txbxContent>
            </v:textbox>
          </v:shape>
        </w:pict>
      </w:r>
      <w:r>
        <w:rPr>
          <w:rFonts w:ascii="Arial" w:hAnsi="Arial" w:cs="Arial"/>
          <w:b/>
          <w:noProof/>
          <w:sz w:val="24"/>
          <w:szCs w:val="24"/>
        </w:rPr>
        <w:pict w14:anchorId="204998A9">
          <v:shape id="_x0000_s1045" type="#_x0000_t32" style="position:absolute;left:0;text-align:left;margin-left:38.45pt;margin-top:179.4pt;width:29.15pt;height:0;flip:x;z-index:251679744" o:connectortype="straight">
            <v:stroke endarrow="block"/>
          </v:shape>
        </w:pict>
      </w:r>
      <w:r>
        <w:rPr>
          <w:rFonts w:ascii="Arial" w:hAnsi="Arial" w:cs="Arial"/>
          <w:b/>
          <w:noProof/>
          <w:sz w:val="24"/>
          <w:szCs w:val="24"/>
        </w:rPr>
        <w:pict w14:anchorId="42725A12">
          <v:shape id="_x0000_s1044" type="#_x0000_t32" style="position:absolute;left:0;text-align:left;margin-left:35.2pt;margin-top:151.4pt;width:28pt;height:28pt;flip:x;z-index:251678720" o:connectortype="straight">
            <v:stroke endarrow="block"/>
          </v:shape>
        </w:pict>
      </w:r>
      <w:r>
        <w:rPr>
          <w:rFonts w:ascii="Arial" w:hAnsi="Arial" w:cs="Arial"/>
          <w:b/>
          <w:noProof/>
          <w:sz w:val="24"/>
          <w:szCs w:val="24"/>
        </w:rPr>
        <w:pict w14:anchorId="37F633BD">
          <v:shape id="_x0000_s1043" type="#_x0000_t202" style="position:absolute;left:0;text-align:left;margin-left:117.05pt;margin-top:59.6pt;width:34.1pt;height:18.7pt;z-index:251677696">
            <v:textbox style="mso-next-textbox:#_x0000_s1043">
              <w:txbxContent>
                <w:p w14:paraId="2215FD59" w14:textId="77777777" w:rsidR="006652DB" w:rsidRPr="0080202B" w:rsidRDefault="006652DB" w:rsidP="005558BD">
                  <w:pPr>
                    <w:rPr>
                      <w:rFonts w:ascii="Times New Roman" w:hAnsi="Times New Roman" w:cs="Times New Roman"/>
                      <w:b/>
                    </w:rPr>
                  </w:pPr>
                  <w:r w:rsidRPr="0080202B">
                    <w:rPr>
                      <w:rFonts w:ascii="Times New Roman" w:hAnsi="Times New Roman" w:cs="Times New Roman"/>
                      <w:b/>
                    </w:rPr>
                    <w:t>NC</w:t>
                  </w:r>
                </w:p>
              </w:txbxContent>
            </v:textbox>
          </v:shape>
        </w:pict>
      </w:r>
      <w:r>
        <w:rPr>
          <w:rFonts w:ascii="Arial" w:hAnsi="Arial" w:cs="Arial"/>
          <w:b/>
          <w:noProof/>
          <w:sz w:val="24"/>
          <w:szCs w:val="24"/>
        </w:rPr>
        <w:pict w14:anchorId="7B2BB345">
          <v:shape id="_x0000_s1042" type="#_x0000_t32" style="position:absolute;left:0;text-align:left;margin-left:131.9pt;margin-top:74.45pt;width:8.25pt;height:34.6pt;flip:x y;z-index:251676672" o:connectortype="straight">
            <v:stroke endarrow="block"/>
          </v:shape>
        </w:pict>
      </w:r>
      <w:r>
        <w:rPr>
          <w:rFonts w:ascii="Arial" w:hAnsi="Arial" w:cs="Arial"/>
          <w:b/>
          <w:noProof/>
          <w:sz w:val="24"/>
          <w:szCs w:val="24"/>
        </w:rPr>
        <w:pict w14:anchorId="5689678F">
          <v:shape id="_x0000_s1041" type="#_x0000_t202" style="position:absolute;left:0;text-align:left;margin-left:386.4pt;margin-top:86.55pt;width:33.5pt;height:22.5pt;z-index:251675648">
            <v:textbox style="mso-next-textbox:#_x0000_s1041">
              <w:txbxContent>
                <w:p w14:paraId="14CFAC2F" w14:textId="77777777" w:rsidR="006652DB" w:rsidRPr="0080202B" w:rsidRDefault="006652DB" w:rsidP="005558BD">
                  <w:pPr>
                    <w:rPr>
                      <w:rFonts w:ascii="Times New Roman" w:hAnsi="Times New Roman" w:cs="Times New Roman"/>
                      <w:b/>
                    </w:rPr>
                  </w:pPr>
                  <w:r w:rsidRPr="0080202B">
                    <w:rPr>
                      <w:rFonts w:ascii="Times New Roman" w:hAnsi="Times New Roman" w:cs="Times New Roman"/>
                      <w:b/>
                    </w:rPr>
                    <w:t>NC</w:t>
                  </w:r>
                </w:p>
              </w:txbxContent>
            </v:textbox>
          </v:shape>
        </w:pict>
      </w:r>
      <w:r>
        <w:rPr>
          <w:rFonts w:ascii="Arial" w:hAnsi="Arial" w:cs="Arial"/>
          <w:b/>
          <w:noProof/>
          <w:sz w:val="24"/>
          <w:szCs w:val="24"/>
        </w:rPr>
        <w:pict w14:anchorId="7056BEC6">
          <v:shape id="_x0000_s1040" type="#_x0000_t32" style="position:absolute;left:0;text-align:left;margin-left:403.4pt;margin-top:109.05pt;width:16.5pt;height:15.95pt;flip:x y;z-index:251674624" o:connectortype="straight">
            <v:stroke endarrow="block"/>
          </v:shape>
        </w:pict>
      </w:r>
      <w:r w:rsidR="005558BD" w:rsidRPr="00C577B3">
        <w:rPr>
          <w:rFonts w:ascii="Arial" w:hAnsi="Arial" w:cs="Arial"/>
          <w:b/>
          <w:noProof/>
          <w:sz w:val="24"/>
          <w:szCs w:val="24"/>
        </w:rPr>
        <w:drawing>
          <wp:inline distT="0" distB="0" distL="0" distR="0" wp14:anchorId="4AE1AC5D" wp14:editId="4E9E3E21">
            <wp:extent cx="5893139" cy="443239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t="936" r="822"/>
                    <a:stretch>
                      <a:fillRect/>
                    </a:stretch>
                  </pic:blipFill>
                  <pic:spPr bwMode="auto">
                    <a:xfrm>
                      <a:off x="0" y="0"/>
                      <a:ext cx="5893139" cy="4432397"/>
                    </a:xfrm>
                    <a:prstGeom prst="rect">
                      <a:avLst/>
                    </a:prstGeom>
                    <a:noFill/>
                    <a:ln w="9525">
                      <a:noFill/>
                      <a:miter lim="800000"/>
                      <a:headEnd/>
                      <a:tailEnd/>
                    </a:ln>
                  </pic:spPr>
                </pic:pic>
              </a:graphicData>
            </a:graphic>
          </wp:inline>
        </w:drawing>
      </w:r>
    </w:p>
    <w:p w14:paraId="35A5FBFA" w14:textId="1DB708FD" w:rsidR="005558BD" w:rsidRPr="00C577B3" w:rsidRDefault="005558BD" w:rsidP="00C577B3">
      <w:pPr>
        <w:spacing w:line="360" w:lineRule="auto"/>
        <w:ind w:left="1440" w:hanging="1440"/>
        <w:jc w:val="center"/>
        <w:rPr>
          <w:rFonts w:ascii="Arial" w:hAnsi="Arial" w:cs="Arial"/>
          <w:sz w:val="20"/>
          <w:szCs w:val="20"/>
        </w:rPr>
      </w:pPr>
      <w:r w:rsidRPr="00DE4953">
        <w:rPr>
          <w:rFonts w:ascii="Arial" w:hAnsi="Arial" w:cs="Arial"/>
          <w:b/>
          <w:i/>
          <w:sz w:val="20"/>
          <w:szCs w:val="20"/>
        </w:rPr>
        <w:t>Fig</w:t>
      </w:r>
      <w:r w:rsidRPr="00C577B3">
        <w:rPr>
          <w:rFonts w:ascii="Arial" w:hAnsi="Arial" w:cs="Arial"/>
          <w:b/>
          <w:i/>
          <w:sz w:val="20"/>
          <w:szCs w:val="20"/>
        </w:rPr>
        <w:t>ure 3</w:t>
      </w:r>
      <w:r w:rsidRPr="00C577B3">
        <w:rPr>
          <w:rFonts w:ascii="Arial" w:hAnsi="Arial" w:cs="Arial"/>
          <w:b/>
          <w:sz w:val="20"/>
          <w:szCs w:val="20"/>
        </w:rPr>
        <w:t xml:space="preserve"> - </w:t>
      </w:r>
      <w:r w:rsidRPr="00C577B3">
        <w:rPr>
          <w:rFonts w:ascii="Arial" w:hAnsi="Arial" w:cs="Arial"/>
          <w:sz w:val="20"/>
          <w:szCs w:val="20"/>
        </w:rPr>
        <w:t xml:space="preserve">Light photomicrograph of exfoliated buccal mucosal cells obtained from a Hospital waste disposal worker showing presence of normal cells (NC), binucleated cells (BN) and cells undergoing </w:t>
      </w:r>
      <w:proofErr w:type="spellStart"/>
      <w:r w:rsidRPr="00C577B3">
        <w:rPr>
          <w:rFonts w:ascii="Arial" w:hAnsi="Arial" w:cs="Arial"/>
          <w:sz w:val="20"/>
          <w:szCs w:val="20"/>
        </w:rPr>
        <w:t>karyohexis</w:t>
      </w:r>
      <w:proofErr w:type="spellEnd"/>
      <w:r w:rsidRPr="00C577B3">
        <w:rPr>
          <w:rFonts w:ascii="Arial" w:hAnsi="Arial" w:cs="Arial"/>
          <w:sz w:val="20"/>
          <w:szCs w:val="20"/>
        </w:rPr>
        <w:t xml:space="preserve"> (thick arrows). [Stain: </w:t>
      </w:r>
      <w:proofErr w:type="spellStart"/>
      <w:r w:rsidRPr="00C577B3">
        <w:rPr>
          <w:rFonts w:ascii="Arial" w:hAnsi="Arial" w:cs="Arial"/>
          <w:sz w:val="20"/>
          <w:szCs w:val="20"/>
        </w:rPr>
        <w:t>Papanicolau</w:t>
      </w:r>
      <w:proofErr w:type="spellEnd"/>
      <w:r w:rsidRPr="00C577B3">
        <w:rPr>
          <w:rFonts w:ascii="Arial" w:hAnsi="Arial" w:cs="Arial"/>
          <w:sz w:val="20"/>
          <w:szCs w:val="20"/>
        </w:rPr>
        <w:t>/Mag: x100]</w:t>
      </w:r>
    </w:p>
    <w:p w14:paraId="3BC063B6" w14:textId="7F516ED4" w:rsidR="005558BD" w:rsidRPr="00C577B3" w:rsidRDefault="00A06EAE" w:rsidP="00B1708F">
      <w:pPr>
        <w:spacing w:after="0" w:line="360" w:lineRule="auto"/>
        <w:jc w:val="center"/>
        <w:rPr>
          <w:rFonts w:ascii="Arial" w:hAnsi="Arial" w:cs="Arial"/>
          <w:b/>
          <w:sz w:val="24"/>
          <w:szCs w:val="24"/>
        </w:rPr>
      </w:pPr>
      <w:r>
        <w:rPr>
          <w:rFonts w:ascii="Arial" w:hAnsi="Arial" w:cs="Arial"/>
          <w:b/>
          <w:noProof/>
          <w:sz w:val="24"/>
          <w:szCs w:val="24"/>
        </w:rPr>
        <w:lastRenderedPageBreak/>
        <w:pict w14:anchorId="27C269BB">
          <v:shape id="_x0000_s1053" type="#_x0000_t32" style="position:absolute;left:0;text-align:left;margin-left:85.75pt;margin-top:56.3pt;width:86.3pt;height:50.55pt;flip:x;z-index:251687936" o:connectortype="straight">
            <v:stroke endarrow="block"/>
          </v:shape>
        </w:pict>
      </w:r>
      <w:r>
        <w:rPr>
          <w:rFonts w:ascii="Arial" w:hAnsi="Arial" w:cs="Arial"/>
          <w:b/>
          <w:noProof/>
          <w:sz w:val="24"/>
          <w:szCs w:val="24"/>
        </w:rPr>
        <w:pict w14:anchorId="685EFA6E">
          <v:shape id="_x0000_s1052" type="#_x0000_t202" style="position:absolute;left:0;text-align:left;margin-left:52.2pt;margin-top:98.1pt;width:33.55pt;height:20.3pt;z-index:251686912">
            <v:textbox style="mso-next-textbox:#_x0000_s1052">
              <w:txbxContent>
                <w:p w14:paraId="5B66D216" w14:textId="77777777" w:rsidR="006652DB" w:rsidRPr="00483B7B" w:rsidRDefault="006652DB" w:rsidP="005558BD">
                  <w:pPr>
                    <w:rPr>
                      <w:rFonts w:ascii="Times New Roman" w:hAnsi="Times New Roman" w:cs="Times New Roman"/>
                      <w:b/>
                    </w:rPr>
                  </w:pPr>
                  <w:r w:rsidRPr="00483B7B">
                    <w:rPr>
                      <w:rFonts w:ascii="Times New Roman" w:hAnsi="Times New Roman" w:cs="Times New Roman"/>
                      <w:b/>
                    </w:rPr>
                    <w:t>NC</w:t>
                  </w:r>
                </w:p>
              </w:txbxContent>
            </v:textbox>
          </v:shape>
        </w:pict>
      </w:r>
      <w:r>
        <w:rPr>
          <w:rFonts w:ascii="Arial" w:hAnsi="Arial" w:cs="Arial"/>
          <w:b/>
          <w:noProof/>
          <w:sz w:val="24"/>
          <w:szCs w:val="24"/>
        </w:rPr>
        <w:pict w14:anchorId="1EBA4373">
          <v:shape id="_x0000_s1051" type="#_x0000_t32" style="position:absolute;left:0;text-align:left;margin-left:81.9pt;margin-top:98.1pt;width:74.75pt;height:8.75pt;flip:x;z-index:251685888" o:connectortype="straight">
            <v:stroke endarrow="block"/>
          </v:shape>
        </w:pict>
      </w:r>
      <w:r>
        <w:rPr>
          <w:rFonts w:ascii="Arial" w:hAnsi="Arial" w:cs="Arial"/>
          <w:b/>
          <w:noProof/>
          <w:sz w:val="24"/>
          <w:szCs w:val="24"/>
        </w:rPr>
        <w:pict w14:anchorId="6ABA656C">
          <v:shape id="_x0000_s1050" type="#_x0000_t32" style="position:absolute;left:0;text-align:left;margin-left:305.6pt;margin-top:60.15pt;width:10.45pt;height:40.7pt;flip:x;z-index:251684864" o:connectortype="straight" strokecolor="black [3200]" strokeweight="5pt">
            <v:stroke endarrow="block"/>
            <v:shadow color="#868686"/>
          </v:shape>
        </w:pict>
      </w:r>
      <w:r>
        <w:rPr>
          <w:rFonts w:ascii="Arial" w:hAnsi="Arial" w:cs="Arial"/>
          <w:b/>
          <w:noProof/>
          <w:sz w:val="24"/>
          <w:szCs w:val="24"/>
        </w:rPr>
        <w:pict w14:anchorId="0BD1C77D">
          <v:shape id="_x0000_s1049" type="#_x0000_t32" style="position:absolute;left:0;text-align:left;margin-left:283.05pt;margin-top:310.25pt;width:35.75pt;height:14.25pt;flip:y;z-index:251683840" o:connectortype="straight" strokecolor="black [3200]" strokeweight="5pt">
            <v:stroke endarrow="block"/>
            <v:shadow color="#868686"/>
          </v:shape>
        </w:pict>
      </w:r>
      <w:r w:rsidR="005558BD" w:rsidRPr="00C577B3">
        <w:rPr>
          <w:rFonts w:ascii="Arial" w:hAnsi="Arial" w:cs="Arial"/>
          <w:b/>
          <w:noProof/>
          <w:sz w:val="24"/>
          <w:szCs w:val="24"/>
        </w:rPr>
        <w:drawing>
          <wp:inline distT="0" distB="0" distL="0" distR="0" wp14:anchorId="09DEC56E" wp14:editId="4248B738">
            <wp:extent cx="5786327" cy="4529470"/>
            <wp:effectExtent l="19050" t="0" r="4873"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l="972" t="1097" r="751" b="784"/>
                    <a:stretch>
                      <a:fillRect/>
                    </a:stretch>
                  </pic:blipFill>
                  <pic:spPr bwMode="auto">
                    <a:xfrm>
                      <a:off x="0" y="0"/>
                      <a:ext cx="5785788" cy="4529048"/>
                    </a:xfrm>
                    <a:prstGeom prst="rect">
                      <a:avLst/>
                    </a:prstGeom>
                    <a:noFill/>
                    <a:ln w="9525">
                      <a:noFill/>
                      <a:miter lim="800000"/>
                      <a:headEnd/>
                      <a:tailEnd/>
                    </a:ln>
                  </pic:spPr>
                </pic:pic>
              </a:graphicData>
            </a:graphic>
          </wp:inline>
        </w:drawing>
      </w:r>
    </w:p>
    <w:p w14:paraId="5EBE184E" w14:textId="704417C9" w:rsidR="005558BD" w:rsidRPr="00C577B3" w:rsidRDefault="005558BD" w:rsidP="00C577B3">
      <w:pPr>
        <w:spacing w:after="0" w:line="360" w:lineRule="auto"/>
        <w:jc w:val="center"/>
        <w:rPr>
          <w:rFonts w:ascii="Arial" w:hAnsi="Arial" w:cs="Arial"/>
          <w:b/>
          <w:sz w:val="20"/>
          <w:szCs w:val="20"/>
        </w:rPr>
      </w:pPr>
      <w:r w:rsidRPr="00DE4953">
        <w:rPr>
          <w:rFonts w:ascii="Arial" w:hAnsi="Arial" w:cs="Arial"/>
          <w:b/>
          <w:i/>
          <w:sz w:val="20"/>
          <w:szCs w:val="20"/>
        </w:rPr>
        <w:t>Fig</w:t>
      </w:r>
      <w:r w:rsidRPr="00C577B3">
        <w:rPr>
          <w:rFonts w:ascii="Arial" w:hAnsi="Arial" w:cs="Arial"/>
          <w:b/>
          <w:i/>
          <w:sz w:val="20"/>
          <w:szCs w:val="20"/>
        </w:rPr>
        <w:t>ure 4:</w:t>
      </w:r>
      <w:r w:rsidRPr="00C577B3">
        <w:rPr>
          <w:rFonts w:ascii="Arial" w:hAnsi="Arial" w:cs="Arial"/>
          <w:sz w:val="20"/>
          <w:szCs w:val="20"/>
        </w:rPr>
        <w:t xml:space="preserve"> Light photomicrograph of exfoliated buccal mucosal cells obtained from Hostel waste disposal worker showing presence of normal cells (NC), and cells undergoing </w:t>
      </w:r>
      <w:proofErr w:type="spellStart"/>
      <w:r w:rsidRPr="00C577B3">
        <w:rPr>
          <w:rFonts w:ascii="Arial" w:hAnsi="Arial" w:cs="Arial"/>
          <w:sz w:val="20"/>
          <w:szCs w:val="20"/>
        </w:rPr>
        <w:t>karyohexis</w:t>
      </w:r>
      <w:proofErr w:type="spellEnd"/>
      <w:r w:rsidRPr="00C577B3">
        <w:rPr>
          <w:rFonts w:ascii="Arial" w:hAnsi="Arial" w:cs="Arial"/>
          <w:sz w:val="20"/>
          <w:szCs w:val="20"/>
        </w:rPr>
        <w:t xml:space="preserve"> (thick arrows) [Stain: </w:t>
      </w:r>
      <w:proofErr w:type="spellStart"/>
      <w:r w:rsidRPr="00C577B3">
        <w:rPr>
          <w:rFonts w:ascii="Arial" w:hAnsi="Arial" w:cs="Arial"/>
          <w:sz w:val="20"/>
          <w:szCs w:val="20"/>
        </w:rPr>
        <w:t>Papanicolau</w:t>
      </w:r>
      <w:proofErr w:type="spellEnd"/>
      <w:r w:rsidRPr="00C577B3">
        <w:rPr>
          <w:rFonts w:ascii="Arial" w:hAnsi="Arial" w:cs="Arial"/>
          <w:sz w:val="20"/>
          <w:szCs w:val="20"/>
        </w:rPr>
        <w:t>/Mag: x100]</w:t>
      </w:r>
    </w:p>
    <w:p w14:paraId="3DB74459" w14:textId="77777777" w:rsidR="005558BD" w:rsidRPr="00C577B3" w:rsidRDefault="005558BD" w:rsidP="00F07748">
      <w:pPr>
        <w:spacing w:line="360" w:lineRule="auto"/>
        <w:jc w:val="both"/>
        <w:rPr>
          <w:rFonts w:ascii="Arial" w:hAnsi="Arial" w:cs="Arial"/>
          <w:sz w:val="24"/>
          <w:szCs w:val="24"/>
        </w:rPr>
      </w:pPr>
    </w:p>
    <w:p w14:paraId="154C62DD" w14:textId="77777777" w:rsidR="000B5FDD" w:rsidRPr="00C577B3" w:rsidRDefault="000B5FDD" w:rsidP="003F4234">
      <w:pPr>
        <w:spacing w:line="360" w:lineRule="auto"/>
        <w:ind w:left="142"/>
        <w:jc w:val="both"/>
        <w:rPr>
          <w:rFonts w:ascii="Arial" w:hAnsi="Arial" w:cs="Arial"/>
          <w:b/>
          <w:sz w:val="24"/>
          <w:szCs w:val="24"/>
        </w:rPr>
      </w:pPr>
      <w:r w:rsidRPr="00C577B3">
        <w:rPr>
          <w:rFonts w:ascii="Arial" w:hAnsi="Arial" w:cs="Arial"/>
          <w:b/>
          <w:sz w:val="24"/>
          <w:szCs w:val="24"/>
        </w:rPr>
        <w:t>DISCUSSION</w:t>
      </w:r>
    </w:p>
    <w:p w14:paraId="07273B7A" w14:textId="6736EC44" w:rsidR="00D3561A" w:rsidRPr="003F4234" w:rsidRDefault="00BA785D" w:rsidP="003F4234">
      <w:pPr>
        <w:spacing w:line="360" w:lineRule="auto"/>
        <w:jc w:val="both"/>
        <w:rPr>
          <w:rFonts w:ascii="Arial" w:hAnsi="Arial" w:cs="Arial"/>
          <w:sz w:val="20"/>
          <w:szCs w:val="20"/>
        </w:rPr>
      </w:pPr>
      <w:r w:rsidRPr="003F4234">
        <w:rPr>
          <w:rFonts w:ascii="Arial" w:hAnsi="Arial" w:cs="Arial"/>
          <w:sz w:val="20"/>
          <w:szCs w:val="20"/>
        </w:rPr>
        <w:t xml:space="preserve">Occupational and environmental exposure to toxic chemical agents represents a significant risk to human health, a concern that has gained global attention </w:t>
      </w:r>
      <w:r w:rsidR="0076796A">
        <w:rPr>
          <w:rFonts w:ascii="Arial" w:hAnsi="Arial" w:cs="Arial"/>
          <w:sz w:val="20"/>
          <w:szCs w:val="20"/>
        </w:rPr>
        <w:t>[20]</w:t>
      </w:r>
      <w:r w:rsidR="000B5FDD" w:rsidRPr="003F4234">
        <w:rPr>
          <w:rFonts w:ascii="Arial" w:hAnsi="Arial" w:cs="Arial"/>
          <w:sz w:val="20"/>
          <w:szCs w:val="20"/>
        </w:rPr>
        <w:t>. Buccal epithelial cytogenetic damage due to environmental and occupational exposure, are monitored by micronu</w:t>
      </w:r>
      <w:r w:rsidR="00FC6D45" w:rsidRPr="003F4234">
        <w:rPr>
          <w:rFonts w:ascii="Arial" w:hAnsi="Arial" w:cs="Arial"/>
          <w:sz w:val="20"/>
          <w:szCs w:val="20"/>
        </w:rPr>
        <w:t xml:space="preserve">cleus (MN) assay </w:t>
      </w:r>
      <w:r w:rsidR="0076796A">
        <w:rPr>
          <w:rFonts w:ascii="Arial" w:hAnsi="Arial" w:cs="Arial"/>
          <w:sz w:val="20"/>
          <w:szCs w:val="20"/>
        </w:rPr>
        <w:t>[21]</w:t>
      </w:r>
      <w:r w:rsidR="00B1085B" w:rsidRPr="003F4234">
        <w:rPr>
          <w:rFonts w:ascii="Arial" w:hAnsi="Arial" w:cs="Arial"/>
          <w:sz w:val="20"/>
          <w:szCs w:val="20"/>
        </w:rPr>
        <w:t>. Disposing and managing of waste has</w:t>
      </w:r>
      <w:r w:rsidR="000B5FDD" w:rsidRPr="003F4234">
        <w:rPr>
          <w:rFonts w:ascii="Arial" w:hAnsi="Arial" w:cs="Arial"/>
          <w:sz w:val="20"/>
          <w:szCs w:val="20"/>
        </w:rPr>
        <w:t xml:space="preserve"> an inherent capacity to produce dust, which without effective control can </w:t>
      </w:r>
      <w:r w:rsidR="00FC6D45" w:rsidRPr="003F4234">
        <w:rPr>
          <w:rFonts w:ascii="Arial" w:hAnsi="Arial" w:cs="Arial"/>
          <w:sz w:val="20"/>
          <w:szCs w:val="20"/>
        </w:rPr>
        <w:t>lead to respiratory disease</w:t>
      </w:r>
      <w:r w:rsidR="0076796A">
        <w:rPr>
          <w:rFonts w:ascii="Arial" w:hAnsi="Arial" w:cs="Arial"/>
          <w:color w:val="000000"/>
          <w:sz w:val="20"/>
          <w:szCs w:val="20"/>
        </w:rPr>
        <w:t xml:space="preserve"> [22]</w:t>
      </w:r>
      <w:r w:rsidR="000B5FDD" w:rsidRPr="003F4234">
        <w:rPr>
          <w:rFonts w:ascii="Arial" w:hAnsi="Arial" w:cs="Arial"/>
          <w:sz w:val="20"/>
          <w:szCs w:val="20"/>
        </w:rPr>
        <w:t>. This study was performed to assess th</w:t>
      </w:r>
      <w:r w:rsidR="00B1085B" w:rsidRPr="003F4234">
        <w:rPr>
          <w:rFonts w:ascii="Arial" w:hAnsi="Arial" w:cs="Arial"/>
          <w:sz w:val="20"/>
          <w:szCs w:val="20"/>
        </w:rPr>
        <w:t>e occupational health of waste handlers</w:t>
      </w:r>
      <w:r w:rsidR="000B5FDD" w:rsidRPr="003F4234">
        <w:rPr>
          <w:rFonts w:ascii="Arial" w:hAnsi="Arial" w:cs="Arial"/>
          <w:sz w:val="20"/>
          <w:szCs w:val="20"/>
        </w:rPr>
        <w:t xml:space="preserve"> using MN </w:t>
      </w:r>
      <w:r w:rsidR="00B1085B" w:rsidRPr="003F4234">
        <w:rPr>
          <w:rFonts w:ascii="Arial" w:hAnsi="Arial" w:cs="Arial"/>
          <w:sz w:val="20"/>
          <w:szCs w:val="20"/>
        </w:rPr>
        <w:t>assay. Higher frequencies of</w:t>
      </w:r>
      <w:r w:rsidR="008074C1" w:rsidRPr="003F4234">
        <w:rPr>
          <w:rFonts w:ascii="Arial" w:hAnsi="Arial" w:cs="Arial"/>
          <w:sz w:val="20"/>
          <w:szCs w:val="20"/>
        </w:rPr>
        <w:t xml:space="preserve"> micronuclei,</w:t>
      </w:r>
      <w:r w:rsidR="00B1085B" w:rsidRPr="003F4234">
        <w:rPr>
          <w:rFonts w:ascii="Arial" w:hAnsi="Arial" w:cs="Arial"/>
          <w:sz w:val="20"/>
          <w:szCs w:val="20"/>
        </w:rPr>
        <w:t xml:space="preserve"> binucleate cells, nucl</w:t>
      </w:r>
      <w:r w:rsidR="00D91745" w:rsidRPr="003F4234">
        <w:rPr>
          <w:rFonts w:ascii="Arial" w:hAnsi="Arial" w:cs="Arial"/>
          <w:sz w:val="20"/>
          <w:szCs w:val="20"/>
        </w:rPr>
        <w:t>ear bud and karyo</w:t>
      </w:r>
      <w:r w:rsidR="00B1085B" w:rsidRPr="003F4234">
        <w:rPr>
          <w:rFonts w:ascii="Arial" w:hAnsi="Arial" w:cs="Arial"/>
          <w:sz w:val="20"/>
          <w:szCs w:val="20"/>
        </w:rPr>
        <w:t>rr</w:t>
      </w:r>
      <w:r w:rsidR="00D91745" w:rsidRPr="003F4234">
        <w:rPr>
          <w:rFonts w:ascii="Arial" w:hAnsi="Arial" w:cs="Arial"/>
          <w:sz w:val="20"/>
          <w:szCs w:val="20"/>
        </w:rPr>
        <w:t>he</w:t>
      </w:r>
      <w:r w:rsidR="00B1085B" w:rsidRPr="003F4234">
        <w:rPr>
          <w:rFonts w:ascii="Arial" w:hAnsi="Arial" w:cs="Arial"/>
          <w:sz w:val="20"/>
          <w:szCs w:val="20"/>
        </w:rPr>
        <w:t>xis were observed in ESWAMA waste</w:t>
      </w:r>
      <w:r w:rsidR="000B5FDD" w:rsidRPr="003F4234">
        <w:rPr>
          <w:rFonts w:ascii="Arial" w:hAnsi="Arial" w:cs="Arial"/>
          <w:sz w:val="20"/>
          <w:szCs w:val="20"/>
        </w:rPr>
        <w:t xml:space="preserve"> handlers when compared to the</w:t>
      </w:r>
      <w:r w:rsidR="00B1085B" w:rsidRPr="003F4234">
        <w:rPr>
          <w:rFonts w:ascii="Arial" w:hAnsi="Arial" w:cs="Arial"/>
          <w:sz w:val="20"/>
          <w:szCs w:val="20"/>
        </w:rPr>
        <w:t xml:space="preserve"> other groups and controls</w:t>
      </w:r>
      <w:r w:rsidR="000B5FDD" w:rsidRPr="003F4234">
        <w:rPr>
          <w:rFonts w:ascii="Arial" w:hAnsi="Arial" w:cs="Arial"/>
          <w:sz w:val="20"/>
          <w:szCs w:val="20"/>
        </w:rPr>
        <w:t>. This finding is similar to the report documented by a previous study which o</w:t>
      </w:r>
      <w:r w:rsidR="00B1085B" w:rsidRPr="003F4234">
        <w:rPr>
          <w:rFonts w:ascii="Arial" w:hAnsi="Arial" w:cs="Arial"/>
          <w:sz w:val="20"/>
          <w:szCs w:val="20"/>
        </w:rPr>
        <w:t>bserved an increased level of</w:t>
      </w:r>
      <w:r w:rsidR="008074C1" w:rsidRPr="003F4234">
        <w:rPr>
          <w:rFonts w:ascii="Arial" w:hAnsi="Arial" w:cs="Arial"/>
          <w:sz w:val="20"/>
          <w:szCs w:val="20"/>
        </w:rPr>
        <w:t xml:space="preserve"> micronuclei</w:t>
      </w:r>
      <w:r w:rsidR="004C726B" w:rsidRPr="003F4234">
        <w:rPr>
          <w:rFonts w:ascii="Arial" w:hAnsi="Arial" w:cs="Arial"/>
          <w:sz w:val="20"/>
          <w:szCs w:val="20"/>
        </w:rPr>
        <w:t xml:space="preserve"> (p=0.00)</w:t>
      </w:r>
      <w:r w:rsidR="008074C1" w:rsidRPr="003F4234">
        <w:rPr>
          <w:rFonts w:ascii="Arial" w:hAnsi="Arial" w:cs="Arial"/>
          <w:sz w:val="20"/>
          <w:szCs w:val="20"/>
        </w:rPr>
        <w:t>,</w:t>
      </w:r>
      <w:r w:rsidR="00B1085B" w:rsidRPr="003F4234">
        <w:rPr>
          <w:rFonts w:ascii="Arial" w:hAnsi="Arial" w:cs="Arial"/>
          <w:sz w:val="20"/>
          <w:szCs w:val="20"/>
        </w:rPr>
        <w:t xml:space="preserve"> nuclear bud</w:t>
      </w:r>
      <w:r w:rsidR="004C726B" w:rsidRPr="003F4234">
        <w:rPr>
          <w:sz w:val="20"/>
          <w:szCs w:val="20"/>
        </w:rPr>
        <w:t xml:space="preserve"> </w:t>
      </w:r>
      <w:r w:rsidR="004C726B" w:rsidRPr="003F4234">
        <w:rPr>
          <w:rFonts w:ascii="Arial" w:hAnsi="Arial" w:cs="Arial"/>
          <w:sz w:val="20"/>
          <w:szCs w:val="20"/>
        </w:rPr>
        <w:t>(p=0.00)</w:t>
      </w:r>
      <w:r w:rsidR="00B1085B" w:rsidRPr="003F4234">
        <w:rPr>
          <w:rFonts w:ascii="Arial" w:hAnsi="Arial" w:cs="Arial"/>
          <w:sz w:val="20"/>
          <w:szCs w:val="20"/>
        </w:rPr>
        <w:t>, binucleate cell</w:t>
      </w:r>
      <w:r w:rsidR="004C726B" w:rsidRPr="003F4234">
        <w:rPr>
          <w:rFonts w:ascii="Arial" w:hAnsi="Arial" w:cs="Arial"/>
          <w:sz w:val="20"/>
          <w:szCs w:val="20"/>
        </w:rPr>
        <w:t>s (p=0.03)</w:t>
      </w:r>
      <w:r w:rsidR="000B5FDD" w:rsidRPr="003F4234">
        <w:rPr>
          <w:rFonts w:ascii="Arial" w:hAnsi="Arial" w:cs="Arial"/>
          <w:sz w:val="20"/>
          <w:szCs w:val="20"/>
        </w:rPr>
        <w:t xml:space="preserve"> </w:t>
      </w:r>
      <w:r w:rsidR="00D91745" w:rsidRPr="003F4234">
        <w:rPr>
          <w:rFonts w:ascii="Arial" w:hAnsi="Arial" w:cs="Arial"/>
          <w:sz w:val="20"/>
          <w:szCs w:val="20"/>
        </w:rPr>
        <w:t>and karyo</w:t>
      </w:r>
      <w:r w:rsidR="00EA341E" w:rsidRPr="003F4234">
        <w:rPr>
          <w:rFonts w:ascii="Arial" w:hAnsi="Arial" w:cs="Arial"/>
          <w:sz w:val="20"/>
          <w:szCs w:val="20"/>
        </w:rPr>
        <w:t>rr</w:t>
      </w:r>
      <w:r w:rsidR="00D91745" w:rsidRPr="003F4234">
        <w:rPr>
          <w:rFonts w:ascii="Arial" w:hAnsi="Arial" w:cs="Arial"/>
          <w:sz w:val="20"/>
          <w:szCs w:val="20"/>
        </w:rPr>
        <w:t>he</w:t>
      </w:r>
      <w:r w:rsidR="00EA341E" w:rsidRPr="003F4234">
        <w:rPr>
          <w:rFonts w:ascii="Arial" w:hAnsi="Arial" w:cs="Arial"/>
          <w:sz w:val="20"/>
          <w:szCs w:val="20"/>
        </w:rPr>
        <w:t xml:space="preserve">xis </w:t>
      </w:r>
      <w:r w:rsidR="000B5FDD" w:rsidRPr="003F4234">
        <w:rPr>
          <w:rFonts w:ascii="Arial" w:hAnsi="Arial" w:cs="Arial"/>
          <w:sz w:val="20"/>
          <w:szCs w:val="20"/>
        </w:rPr>
        <w:t>in buccal epithelia</w:t>
      </w:r>
      <w:r w:rsidR="00EA341E" w:rsidRPr="003F4234">
        <w:rPr>
          <w:rFonts w:ascii="Arial" w:hAnsi="Arial" w:cs="Arial"/>
          <w:sz w:val="20"/>
          <w:szCs w:val="20"/>
        </w:rPr>
        <w:t xml:space="preserve">l cells of waste management </w:t>
      </w:r>
      <w:r w:rsidR="000B5FDD" w:rsidRPr="003F4234">
        <w:rPr>
          <w:rFonts w:ascii="Arial" w:hAnsi="Arial" w:cs="Arial"/>
          <w:sz w:val="20"/>
          <w:szCs w:val="20"/>
        </w:rPr>
        <w:t>workers when compared to</w:t>
      </w:r>
      <w:r w:rsidR="00FC6D45" w:rsidRPr="003F4234">
        <w:rPr>
          <w:rFonts w:ascii="Arial" w:hAnsi="Arial" w:cs="Arial"/>
          <w:sz w:val="20"/>
          <w:szCs w:val="20"/>
        </w:rPr>
        <w:t xml:space="preserve"> the controls </w:t>
      </w:r>
      <w:r w:rsidR="002A21FE">
        <w:rPr>
          <w:rFonts w:ascii="Arial" w:hAnsi="Arial" w:cs="Arial"/>
          <w:sz w:val="20"/>
          <w:szCs w:val="20"/>
        </w:rPr>
        <w:t>[23]</w:t>
      </w:r>
      <w:r w:rsidR="000B5FDD" w:rsidRPr="003F4234">
        <w:rPr>
          <w:rFonts w:ascii="Arial" w:hAnsi="Arial" w:cs="Arial"/>
          <w:sz w:val="20"/>
          <w:szCs w:val="20"/>
        </w:rPr>
        <w:t xml:space="preserve">. Comparing </w:t>
      </w:r>
      <w:r w:rsidR="000B5FDD" w:rsidRPr="003F4234">
        <w:rPr>
          <w:rFonts w:ascii="Arial" w:hAnsi="Arial" w:cs="Arial"/>
          <w:sz w:val="20"/>
          <w:szCs w:val="20"/>
        </w:rPr>
        <w:lastRenderedPageBreak/>
        <w:t>the var</w:t>
      </w:r>
      <w:r w:rsidR="00EA341E" w:rsidRPr="003F4234">
        <w:rPr>
          <w:rFonts w:ascii="Arial" w:hAnsi="Arial" w:cs="Arial"/>
          <w:sz w:val="20"/>
          <w:szCs w:val="20"/>
        </w:rPr>
        <w:t>ious categories of waste handlers</w:t>
      </w:r>
      <w:r w:rsidR="000B5FDD" w:rsidRPr="003F4234">
        <w:rPr>
          <w:rFonts w:ascii="Arial" w:hAnsi="Arial" w:cs="Arial"/>
          <w:sz w:val="20"/>
          <w:szCs w:val="20"/>
        </w:rPr>
        <w:t xml:space="preserve">, it </w:t>
      </w:r>
      <w:r w:rsidR="00EA341E" w:rsidRPr="003F4234">
        <w:rPr>
          <w:rFonts w:ascii="Arial" w:hAnsi="Arial" w:cs="Arial"/>
          <w:sz w:val="20"/>
          <w:szCs w:val="20"/>
        </w:rPr>
        <w:t>was observed that ESWAMA had the highest frequency of</w:t>
      </w:r>
      <w:r w:rsidR="008074C1" w:rsidRPr="003F4234">
        <w:rPr>
          <w:rFonts w:ascii="Arial" w:hAnsi="Arial" w:cs="Arial"/>
          <w:sz w:val="20"/>
          <w:szCs w:val="20"/>
        </w:rPr>
        <w:t xml:space="preserve"> micronuclei,</w:t>
      </w:r>
      <w:r w:rsidR="00EA341E" w:rsidRPr="003F4234">
        <w:rPr>
          <w:rFonts w:ascii="Arial" w:hAnsi="Arial" w:cs="Arial"/>
          <w:sz w:val="20"/>
          <w:szCs w:val="20"/>
        </w:rPr>
        <w:t xml:space="preserve"> binucleate cells</w:t>
      </w:r>
      <w:r w:rsidR="000B5FDD" w:rsidRPr="003F4234">
        <w:rPr>
          <w:rFonts w:ascii="Arial" w:hAnsi="Arial" w:cs="Arial"/>
          <w:sz w:val="20"/>
          <w:szCs w:val="20"/>
        </w:rPr>
        <w:t>,</w:t>
      </w:r>
      <w:r w:rsidR="00EA341E" w:rsidRPr="003F4234">
        <w:rPr>
          <w:rFonts w:ascii="Arial" w:hAnsi="Arial" w:cs="Arial"/>
          <w:sz w:val="20"/>
          <w:szCs w:val="20"/>
        </w:rPr>
        <w:t xml:space="preserve"> nuclear bud and </w:t>
      </w:r>
      <w:r w:rsidR="00D91745" w:rsidRPr="003F4234">
        <w:rPr>
          <w:rFonts w:ascii="Arial" w:hAnsi="Arial" w:cs="Arial"/>
          <w:sz w:val="20"/>
          <w:szCs w:val="20"/>
        </w:rPr>
        <w:t>karyo</w:t>
      </w:r>
      <w:r w:rsidR="00EA341E" w:rsidRPr="003F4234">
        <w:rPr>
          <w:rFonts w:ascii="Arial" w:hAnsi="Arial" w:cs="Arial"/>
          <w:sz w:val="20"/>
          <w:szCs w:val="20"/>
        </w:rPr>
        <w:t>rr</w:t>
      </w:r>
      <w:r w:rsidR="00D91745" w:rsidRPr="003F4234">
        <w:rPr>
          <w:rFonts w:ascii="Arial" w:hAnsi="Arial" w:cs="Arial"/>
          <w:sz w:val="20"/>
          <w:szCs w:val="20"/>
        </w:rPr>
        <w:t>he</w:t>
      </w:r>
      <w:r w:rsidR="00EA341E" w:rsidRPr="003F4234">
        <w:rPr>
          <w:rFonts w:ascii="Arial" w:hAnsi="Arial" w:cs="Arial"/>
          <w:sz w:val="20"/>
          <w:szCs w:val="20"/>
        </w:rPr>
        <w:t>xis while hostel waste handlers and hospital waste handlers had the least frequency of</w:t>
      </w:r>
      <w:r w:rsidR="008074C1" w:rsidRPr="003F4234">
        <w:rPr>
          <w:rFonts w:ascii="Arial" w:hAnsi="Arial" w:cs="Arial"/>
          <w:sz w:val="20"/>
          <w:szCs w:val="20"/>
        </w:rPr>
        <w:t xml:space="preserve"> micronuclei,</w:t>
      </w:r>
      <w:r w:rsidR="00EA341E" w:rsidRPr="003F4234">
        <w:rPr>
          <w:rFonts w:ascii="Arial" w:hAnsi="Arial" w:cs="Arial"/>
          <w:sz w:val="20"/>
          <w:szCs w:val="20"/>
        </w:rPr>
        <w:t xml:space="preserve"> binucleat</w:t>
      </w:r>
      <w:r w:rsidR="00D91745" w:rsidRPr="003F4234">
        <w:rPr>
          <w:rFonts w:ascii="Arial" w:hAnsi="Arial" w:cs="Arial"/>
          <w:sz w:val="20"/>
          <w:szCs w:val="20"/>
        </w:rPr>
        <w:t>e cells, nuclear bud and karyo</w:t>
      </w:r>
      <w:r w:rsidR="00EA341E" w:rsidRPr="003F4234">
        <w:rPr>
          <w:rFonts w:ascii="Arial" w:hAnsi="Arial" w:cs="Arial"/>
          <w:sz w:val="20"/>
          <w:szCs w:val="20"/>
        </w:rPr>
        <w:t>rr</w:t>
      </w:r>
      <w:r w:rsidR="00D91745" w:rsidRPr="003F4234">
        <w:rPr>
          <w:rFonts w:ascii="Arial" w:hAnsi="Arial" w:cs="Arial"/>
          <w:sz w:val="20"/>
          <w:szCs w:val="20"/>
        </w:rPr>
        <w:t>he</w:t>
      </w:r>
      <w:r w:rsidR="00EA341E" w:rsidRPr="003F4234">
        <w:rPr>
          <w:rFonts w:ascii="Arial" w:hAnsi="Arial" w:cs="Arial"/>
          <w:sz w:val="20"/>
          <w:szCs w:val="20"/>
        </w:rPr>
        <w:t>xis</w:t>
      </w:r>
      <w:r w:rsidR="000B5FDD" w:rsidRPr="003F4234">
        <w:rPr>
          <w:rFonts w:ascii="Arial" w:hAnsi="Arial" w:cs="Arial"/>
          <w:sz w:val="20"/>
          <w:szCs w:val="20"/>
        </w:rPr>
        <w:t>. This may be attribute</w:t>
      </w:r>
      <w:r w:rsidR="00EA341E" w:rsidRPr="003F4234">
        <w:rPr>
          <w:rFonts w:ascii="Arial" w:hAnsi="Arial" w:cs="Arial"/>
          <w:sz w:val="20"/>
          <w:szCs w:val="20"/>
        </w:rPr>
        <w:t>d to the fact that these hospital waste handlers do</w:t>
      </w:r>
      <w:r w:rsidR="000B5FDD" w:rsidRPr="003F4234">
        <w:rPr>
          <w:rFonts w:ascii="Arial" w:hAnsi="Arial" w:cs="Arial"/>
          <w:sz w:val="20"/>
          <w:szCs w:val="20"/>
        </w:rPr>
        <w:t xml:space="preserve"> use their personal protective equipment (PPE)</w:t>
      </w:r>
      <w:r w:rsidR="00EA341E" w:rsidRPr="003F4234">
        <w:rPr>
          <w:rFonts w:ascii="Arial" w:hAnsi="Arial" w:cs="Arial"/>
          <w:sz w:val="20"/>
          <w:szCs w:val="20"/>
        </w:rPr>
        <w:t xml:space="preserve"> while the ESWAMA waste handlers don't. Moreover, the ESWAMA waste handlers</w:t>
      </w:r>
      <w:r w:rsidR="000B5FDD" w:rsidRPr="003F4234">
        <w:rPr>
          <w:rFonts w:ascii="Arial" w:hAnsi="Arial" w:cs="Arial"/>
          <w:sz w:val="20"/>
          <w:szCs w:val="20"/>
        </w:rPr>
        <w:t xml:space="preserve"> are more inevitably in direc</w:t>
      </w:r>
      <w:r w:rsidR="00EA341E" w:rsidRPr="003F4234">
        <w:rPr>
          <w:rFonts w:ascii="Arial" w:hAnsi="Arial" w:cs="Arial"/>
          <w:sz w:val="20"/>
          <w:szCs w:val="20"/>
        </w:rPr>
        <w:t>t contact with waste</w:t>
      </w:r>
      <w:r w:rsidR="000B5FDD" w:rsidRPr="003F4234">
        <w:rPr>
          <w:rFonts w:ascii="Arial" w:hAnsi="Arial" w:cs="Arial"/>
          <w:sz w:val="20"/>
          <w:szCs w:val="20"/>
        </w:rPr>
        <w:t xml:space="preserve"> and inha</w:t>
      </w:r>
      <w:r w:rsidR="00EA341E" w:rsidRPr="003F4234">
        <w:rPr>
          <w:rFonts w:ascii="Arial" w:hAnsi="Arial" w:cs="Arial"/>
          <w:sz w:val="20"/>
          <w:szCs w:val="20"/>
        </w:rPr>
        <w:t>lation during loading and sorting of waste</w:t>
      </w:r>
      <w:r w:rsidR="000B5FDD" w:rsidRPr="003F4234">
        <w:rPr>
          <w:rFonts w:ascii="Arial" w:hAnsi="Arial" w:cs="Arial"/>
          <w:sz w:val="20"/>
          <w:szCs w:val="20"/>
        </w:rPr>
        <w:t xml:space="preserve"> respectively is inevi</w:t>
      </w:r>
      <w:r w:rsidR="00EA341E" w:rsidRPr="003F4234">
        <w:rPr>
          <w:rFonts w:ascii="Arial" w:hAnsi="Arial" w:cs="Arial"/>
          <w:sz w:val="20"/>
          <w:szCs w:val="20"/>
        </w:rPr>
        <w:t>table, unlike the hospital waste handlers and hostel waste handlers who just sweep and pack the waste into waste bins</w:t>
      </w:r>
      <w:r w:rsidR="000B5FDD" w:rsidRPr="003F4234">
        <w:rPr>
          <w:rFonts w:ascii="Arial" w:hAnsi="Arial" w:cs="Arial"/>
          <w:sz w:val="20"/>
          <w:szCs w:val="20"/>
        </w:rPr>
        <w:t>. This finding is similar to the findings of a previous study which documented a similar statistically</w:t>
      </w:r>
      <w:r w:rsidR="00EA341E" w:rsidRPr="003F4234">
        <w:rPr>
          <w:rFonts w:ascii="Arial" w:hAnsi="Arial" w:cs="Arial"/>
          <w:sz w:val="20"/>
          <w:szCs w:val="20"/>
        </w:rPr>
        <w:t xml:space="preserve"> higher frequency </w:t>
      </w:r>
      <w:r w:rsidR="00C6180B" w:rsidRPr="003F4234">
        <w:rPr>
          <w:rFonts w:ascii="Arial" w:hAnsi="Arial" w:cs="Arial"/>
          <w:sz w:val="20"/>
          <w:szCs w:val="20"/>
        </w:rPr>
        <w:t>of micronuclei</w:t>
      </w:r>
      <w:r w:rsidR="008074C1" w:rsidRPr="003F4234">
        <w:rPr>
          <w:rFonts w:ascii="Arial" w:hAnsi="Arial" w:cs="Arial"/>
          <w:sz w:val="20"/>
          <w:szCs w:val="20"/>
        </w:rPr>
        <w:t xml:space="preserve">, </w:t>
      </w:r>
      <w:r w:rsidR="00EA341E" w:rsidRPr="003F4234">
        <w:rPr>
          <w:rFonts w:ascii="Arial" w:hAnsi="Arial" w:cs="Arial"/>
          <w:sz w:val="20"/>
          <w:szCs w:val="20"/>
        </w:rPr>
        <w:t>binucleat</w:t>
      </w:r>
      <w:r w:rsidR="00D91745" w:rsidRPr="003F4234">
        <w:rPr>
          <w:rFonts w:ascii="Arial" w:hAnsi="Arial" w:cs="Arial"/>
          <w:sz w:val="20"/>
          <w:szCs w:val="20"/>
        </w:rPr>
        <w:t>e cells, nuclear bud and karyo</w:t>
      </w:r>
      <w:r w:rsidR="00EA341E" w:rsidRPr="003F4234">
        <w:rPr>
          <w:rFonts w:ascii="Arial" w:hAnsi="Arial" w:cs="Arial"/>
          <w:sz w:val="20"/>
          <w:szCs w:val="20"/>
        </w:rPr>
        <w:t>rr</w:t>
      </w:r>
      <w:r w:rsidR="00D91745" w:rsidRPr="003F4234">
        <w:rPr>
          <w:rFonts w:ascii="Arial" w:hAnsi="Arial" w:cs="Arial"/>
          <w:sz w:val="20"/>
          <w:szCs w:val="20"/>
        </w:rPr>
        <w:t>he</w:t>
      </w:r>
      <w:r w:rsidR="00EA341E" w:rsidRPr="003F4234">
        <w:rPr>
          <w:rFonts w:ascii="Arial" w:hAnsi="Arial" w:cs="Arial"/>
          <w:sz w:val="20"/>
          <w:szCs w:val="20"/>
        </w:rPr>
        <w:t>xis in waste handlers</w:t>
      </w:r>
      <w:r w:rsidR="000B5FDD" w:rsidRPr="003F4234">
        <w:rPr>
          <w:rFonts w:ascii="Arial" w:hAnsi="Arial" w:cs="Arial"/>
          <w:sz w:val="20"/>
          <w:szCs w:val="20"/>
        </w:rPr>
        <w:t xml:space="preserve"> involved in the var</w:t>
      </w:r>
      <w:r w:rsidR="00EA341E" w:rsidRPr="003F4234">
        <w:rPr>
          <w:rFonts w:ascii="Arial" w:hAnsi="Arial" w:cs="Arial"/>
          <w:sz w:val="20"/>
          <w:szCs w:val="20"/>
        </w:rPr>
        <w:t>ious stages of waste management, such as; sorting, loading, crushing</w:t>
      </w:r>
      <w:r w:rsidR="000B5FDD" w:rsidRPr="003F4234">
        <w:rPr>
          <w:rFonts w:ascii="Arial" w:hAnsi="Arial" w:cs="Arial"/>
          <w:sz w:val="20"/>
          <w:szCs w:val="20"/>
        </w:rPr>
        <w:t xml:space="preserve"> an</w:t>
      </w:r>
      <w:r w:rsidR="00EA341E" w:rsidRPr="003F4234">
        <w:rPr>
          <w:rFonts w:ascii="Arial" w:hAnsi="Arial" w:cs="Arial"/>
          <w:sz w:val="20"/>
          <w:szCs w:val="20"/>
        </w:rPr>
        <w:t xml:space="preserve">d burning </w:t>
      </w:r>
      <w:r w:rsidR="000B5FDD" w:rsidRPr="003F4234">
        <w:rPr>
          <w:rFonts w:ascii="Arial" w:hAnsi="Arial" w:cs="Arial"/>
          <w:sz w:val="20"/>
          <w:szCs w:val="20"/>
        </w:rPr>
        <w:t>when comp</w:t>
      </w:r>
      <w:r w:rsidR="00FC6D45" w:rsidRPr="003F4234">
        <w:rPr>
          <w:rFonts w:ascii="Arial" w:hAnsi="Arial" w:cs="Arial"/>
          <w:sz w:val="20"/>
          <w:szCs w:val="20"/>
        </w:rPr>
        <w:t>ared with the control group</w:t>
      </w:r>
      <w:r w:rsidR="002A21FE">
        <w:rPr>
          <w:rFonts w:ascii="Arial" w:hAnsi="Arial" w:cs="Arial"/>
          <w:sz w:val="20"/>
          <w:szCs w:val="20"/>
        </w:rPr>
        <w:t xml:space="preserve"> [24]</w:t>
      </w:r>
      <w:r w:rsidR="000B5FDD" w:rsidRPr="003F4234">
        <w:rPr>
          <w:rFonts w:ascii="Arial" w:hAnsi="Arial" w:cs="Arial"/>
          <w:sz w:val="20"/>
          <w:szCs w:val="20"/>
        </w:rPr>
        <w:t>. A previous study also d</w:t>
      </w:r>
      <w:r w:rsidR="00EA341E" w:rsidRPr="003F4234">
        <w:rPr>
          <w:rFonts w:ascii="Arial" w:hAnsi="Arial" w:cs="Arial"/>
          <w:sz w:val="20"/>
          <w:szCs w:val="20"/>
        </w:rPr>
        <w:t xml:space="preserve">ocumented </w:t>
      </w:r>
      <w:r w:rsidR="00951BDA" w:rsidRPr="003F4234">
        <w:rPr>
          <w:rFonts w:ascii="Arial" w:hAnsi="Arial" w:cs="Arial"/>
          <w:sz w:val="20"/>
          <w:szCs w:val="20"/>
        </w:rPr>
        <w:t>that worker</w:t>
      </w:r>
      <w:r w:rsidR="00EA341E" w:rsidRPr="003F4234">
        <w:rPr>
          <w:rFonts w:ascii="Arial" w:hAnsi="Arial" w:cs="Arial"/>
          <w:sz w:val="20"/>
          <w:szCs w:val="20"/>
        </w:rPr>
        <w:t xml:space="preserve"> who have spent more years in waste handling are</w:t>
      </w:r>
      <w:r w:rsidR="000B5FDD" w:rsidRPr="003F4234">
        <w:rPr>
          <w:rFonts w:ascii="Arial" w:hAnsi="Arial" w:cs="Arial"/>
          <w:sz w:val="20"/>
          <w:szCs w:val="20"/>
        </w:rPr>
        <w:t xml:space="preserve"> subjected to greater risks of developing oral pathological changes which may lead to cancer on prolonged exposure to</w:t>
      </w:r>
      <w:r w:rsidR="00FC6D45" w:rsidRPr="003F4234">
        <w:rPr>
          <w:rFonts w:ascii="Arial" w:hAnsi="Arial" w:cs="Arial"/>
          <w:sz w:val="20"/>
          <w:szCs w:val="20"/>
        </w:rPr>
        <w:t xml:space="preserve"> toxic substances </w:t>
      </w:r>
      <w:r w:rsidR="002A21FE">
        <w:rPr>
          <w:rFonts w:ascii="Arial" w:hAnsi="Arial" w:cs="Arial"/>
          <w:sz w:val="20"/>
          <w:szCs w:val="20"/>
        </w:rPr>
        <w:t>[25]</w:t>
      </w:r>
      <w:r w:rsidR="000B5FDD" w:rsidRPr="003F4234">
        <w:rPr>
          <w:rFonts w:ascii="Arial" w:hAnsi="Arial" w:cs="Arial"/>
          <w:sz w:val="20"/>
          <w:szCs w:val="20"/>
        </w:rPr>
        <w:t xml:space="preserve">. However, in </w:t>
      </w:r>
      <w:r w:rsidR="00EA341E" w:rsidRPr="003F4234">
        <w:rPr>
          <w:rFonts w:ascii="Arial" w:hAnsi="Arial" w:cs="Arial"/>
          <w:sz w:val="20"/>
          <w:szCs w:val="20"/>
        </w:rPr>
        <w:t xml:space="preserve">the present study, there was </w:t>
      </w:r>
      <w:r w:rsidR="000B5FDD" w:rsidRPr="003F4234">
        <w:rPr>
          <w:rFonts w:ascii="Arial" w:hAnsi="Arial" w:cs="Arial"/>
          <w:sz w:val="20"/>
          <w:szCs w:val="20"/>
        </w:rPr>
        <w:t>significant difference in the frequency of nuclear</w:t>
      </w:r>
      <w:r w:rsidR="00EA341E" w:rsidRPr="003F4234">
        <w:rPr>
          <w:rFonts w:ascii="Arial" w:hAnsi="Arial" w:cs="Arial"/>
          <w:sz w:val="20"/>
          <w:szCs w:val="20"/>
        </w:rPr>
        <w:t xml:space="preserve"> abnormalities betwe</w:t>
      </w:r>
      <w:r w:rsidR="00D64612" w:rsidRPr="003F4234">
        <w:rPr>
          <w:rFonts w:ascii="Arial" w:hAnsi="Arial" w:cs="Arial"/>
          <w:sz w:val="20"/>
          <w:szCs w:val="20"/>
        </w:rPr>
        <w:t xml:space="preserve">en </w:t>
      </w:r>
      <w:r w:rsidR="00EA341E" w:rsidRPr="003F4234">
        <w:rPr>
          <w:rFonts w:ascii="Arial" w:hAnsi="Arial" w:cs="Arial"/>
          <w:sz w:val="20"/>
          <w:szCs w:val="20"/>
        </w:rPr>
        <w:t>workers</w:t>
      </w:r>
      <w:r w:rsidR="00D64612" w:rsidRPr="003F4234">
        <w:rPr>
          <w:rFonts w:ascii="Arial" w:hAnsi="Arial" w:cs="Arial"/>
          <w:sz w:val="20"/>
          <w:szCs w:val="20"/>
        </w:rPr>
        <w:t xml:space="preserve"> who have spent more years handling waste and workers who just started waste handling</w:t>
      </w:r>
      <w:r w:rsidR="000B5FDD" w:rsidRPr="003F4234">
        <w:rPr>
          <w:rFonts w:ascii="Arial" w:hAnsi="Arial" w:cs="Arial"/>
          <w:sz w:val="20"/>
          <w:szCs w:val="20"/>
        </w:rPr>
        <w:t>; this is similar to the finding documented by a previous study invol</w:t>
      </w:r>
      <w:r w:rsidR="00C65E6A" w:rsidRPr="003F4234">
        <w:rPr>
          <w:rFonts w:ascii="Arial" w:hAnsi="Arial" w:cs="Arial"/>
          <w:sz w:val="20"/>
          <w:szCs w:val="20"/>
        </w:rPr>
        <w:t xml:space="preserve">ving gas station attendants </w:t>
      </w:r>
      <w:r w:rsidR="002A21FE" w:rsidRPr="002A21FE">
        <w:rPr>
          <w:rFonts w:ascii="Arial" w:hAnsi="Arial" w:cs="Arial"/>
          <w:sz w:val="20"/>
          <w:szCs w:val="20"/>
          <w:vertAlign w:val="superscript"/>
        </w:rPr>
        <w:t>15</w:t>
      </w:r>
      <w:r w:rsidR="000B5FDD" w:rsidRPr="003F4234">
        <w:rPr>
          <w:rFonts w:ascii="Arial" w:hAnsi="Arial" w:cs="Arial"/>
          <w:sz w:val="20"/>
          <w:szCs w:val="20"/>
        </w:rPr>
        <w:t>. The increase in MN in participants who have worked longer in occupation requiring them to handle cement suggests that most direct and indirect genotoxic substances require chronic exposure to exert its damaging ef</w:t>
      </w:r>
      <w:r w:rsidR="00C65E6A" w:rsidRPr="003F4234">
        <w:rPr>
          <w:rFonts w:ascii="Arial" w:hAnsi="Arial" w:cs="Arial"/>
          <w:sz w:val="20"/>
          <w:szCs w:val="20"/>
        </w:rPr>
        <w:t>fect as opined by Bened</w:t>
      </w:r>
      <w:r w:rsidR="00951BDA" w:rsidRPr="003F4234">
        <w:rPr>
          <w:rFonts w:ascii="Arial" w:hAnsi="Arial" w:cs="Arial"/>
          <w:sz w:val="20"/>
          <w:szCs w:val="20"/>
        </w:rPr>
        <w:t>e</w:t>
      </w:r>
      <w:r w:rsidR="00C65E6A" w:rsidRPr="003F4234">
        <w:rPr>
          <w:rFonts w:ascii="Arial" w:hAnsi="Arial" w:cs="Arial"/>
          <w:sz w:val="20"/>
          <w:szCs w:val="20"/>
        </w:rPr>
        <w:t>tti</w:t>
      </w:r>
      <w:r w:rsidR="002A21FE">
        <w:rPr>
          <w:rFonts w:ascii="Arial" w:hAnsi="Arial" w:cs="Arial"/>
          <w:sz w:val="20"/>
          <w:szCs w:val="20"/>
        </w:rPr>
        <w:t xml:space="preserve"> [26].</w:t>
      </w:r>
      <w:r w:rsidR="000B5FDD" w:rsidRPr="003F4234">
        <w:rPr>
          <w:rFonts w:ascii="Arial" w:hAnsi="Arial" w:cs="Arial"/>
          <w:sz w:val="20"/>
          <w:szCs w:val="20"/>
        </w:rPr>
        <w:t xml:space="preserve"> The use of</w:t>
      </w:r>
      <w:r w:rsidR="008074C1" w:rsidRPr="003F4234">
        <w:rPr>
          <w:rFonts w:ascii="Arial" w:hAnsi="Arial" w:cs="Arial"/>
          <w:sz w:val="20"/>
          <w:szCs w:val="20"/>
        </w:rPr>
        <w:t xml:space="preserve"> personal protective equipment</w:t>
      </w:r>
      <w:r w:rsidR="000B5FDD" w:rsidRPr="003F4234">
        <w:rPr>
          <w:rFonts w:ascii="Arial" w:hAnsi="Arial" w:cs="Arial"/>
          <w:sz w:val="20"/>
          <w:szCs w:val="20"/>
        </w:rPr>
        <w:t xml:space="preserve"> </w:t>
      </w:r>
      <w:r w:rsidR="008074C1" w:rsidRPr="003F4234">
        <w:rPr>
          <w:rFonts w:ascii="Arial" w:hAnsi="Arial" w:cs="Arial"/>
          <w:sz w:val="20"/>
          <w:szCs w:val="20"/>
        </w:rPr>
        <w:t>(</w:t>
      </w:r>
      <w:r w:rsidR="000B5FDD" w:rsidRPr="003F4234">
        <w:rPr>
          <w:rFonts w:ascii="Arial" w:hAnsi="Arial" w:cs="Arial"/>
          <w:sz w:val="20"/>
          <w:szCs w:val="20"/>
        </w:rPr>
        <w:t>PPE</w:t>
      </w:r>
      <w:r w:rsidR="008074C1" w:rsidRPr="003F4234">
        <w:rPr>
          <w:rFonts w:ascii="Arial" w:hAnsi="Arial" w:cs="Arial"/>
          <w:sz w:val="20"/>
          <w:szCs w:val="20"/>
        </w:rPr>
        <w:t>)</w:t>
      </w:r>
      <w:r w:rsidR="000B5FDD" w:rsidRPr="003F4234">
        <w:rPr>
          <w:rFonts w:ascii="Arial" w:hAnsi="Arial" w:cs="Arial"/>
          <w:sz w:val="20"/>
          <w:szCs w:val="20"/>
        </w:rPr>
        <w:t xml:space="preserve"> such as boots, gloves, face masks and overalls, did not significantly affect the frequency of nuclear abnormalities, although the majority of workers sampled in this study did not strictly adhere to the use of PPE when working. Nevertheless, in preventing work related hazards due to occupational genotoxins, adequate use of </w:t>
      </w:r>
      <w:r w:rsidR="00B11673" w:rsidRPr="003F4234">
        <w:rPr>
          <w:rFonts w:ascii="Arial" w:hAnsi="Arial" w:cs="Arial"/>
          <w:sz w:val="20"/>
          <w:szCs w:val="20"/>
        </w:rPr>
        <w:t>Personal Protective Equipment (</w:t>
      </w:r>
      <w:r w:rsidR="000B5FDD" w:rsidRPr="003F4234">
        <w:rPr>
          <w:rFonts w:ascii="Arial" w:hAnsi="Arial" w:cs="Arial"/>
          <w:sz w:val="20"/>
          <w:szCs w:val="20"/>
        </w:rPr>
        <w:t>PPE</w:t>
      </w:r>
      <w:r w:rsidR="00B11673" w:rsidRPr="003F4234">
        <w:rPr>
          <w:rFonts w:ascii="Arial" w:hAnsi="Arial" w:cs="Arial"/>
          <w:sz w:val="20"/>
          <w:szCs w:val="20"/>
        </w:rPr>
        <w:t>)</w:t>
      </w:r>
      <w:r w:rsidR="000B5FDD" w:rsidRPr="003F4234">
        <w:rPr>
          <w:rFonts w:ascii="Arial" w:hAnsi="Arial" w:cs="Arial"/>
          <w:sz w:val="20"/>
          <w:szCs w:val="20"/>
        </w:rPr>
        <w:t xml:space="preserve"> is very necessary. A</w:t>
      </w:r>
      <w:r w:rsidR="00C65E6A" w:rsidRPr="003F4234">
        <w:rPr>
          <w:rFonts w:ascii="Arial" w:hAnsi="Arial" w:cs="Arial"/>
          <w:sz w:val="20"/>
          <w:szCs w:val="20"/>
        </w:rPr>
        <w:t>ccording to some authors</w:t>
      </w:r>
      <w:r w:rsidR="002A21FE">
        <w:rPr>
          <w:rFonts w:ascii="Arial" w:hAnsi="Arial" w:cs="Arial"/>
          <w:sz w:val="20"/>
          <w:szCs w:val="20"/>
        </w:rPr>
        <w:t xml:space="preserve"> [27]</w:t>
      </w:r>
      <w:r w:rsidR="001C4F2D">
        <w:rPr>
          <w:rFonts w:ascii="Arial" w:hAnsi="Arial" w:cs="Arial"/>
          <w:sz w:val="20"/>
          <w:szCs w:val="20"/>
        </w:rPr>
        <w:t xml:space="preserve"> [28]</w:t>
      </w:r>
      <w:r w:rsidR="000B5FDD" w:rsidRPr="003F4234">
        <w:rPr>
          <w:rFonts w:ascii="Arial" w:hAnsi="Arial" w:cs="Arial"/>
          <w:sz w:val="20"/>
          <w:szCs w:val="20"/>
        </w:rPr>
        <w:t>, lifestyle factors such as alcohol consumption and smoking habits are considered as contributing factors for elevated levels of nuclear anomalies in individuals who are exposed to other environmental genotoxic substances. As observed in the present study, alcohol consumption and cigarette smoking were implicative factors to the significantly higher</w:t>
      </w:r>
      <w:r w:rsidR="00D64612" w:rsidRPr="003F4234">
        <w:rPr>
          <w:rFonts w:ascii="Arial" w:hAnsi="Arial" w:cs="Arial"/>
          <w:sz w:val="20"/>
          <w:szCs w:val="20"/>
        </w:rPr>
        <w:t xml:space="preserve"> MN and BNC observed in waste handlers</w:t>
      </w:r>
      <w:r w:rsidR="000B5FDD" w:rsidRPr="003F4234">
        <w:rPr>
          <w:rFonts w:ascii="Arial" w:hAnsi="Arial" w:cs="Arial"/>
          <w:sz w:val="20"/>
          <w:szCs w:val="20"/>
        </w:rPr>
        <w:t xml:space="preserve"> exposed to occupational genotoxins. Similarly, Khan and Sudha reported a higher degree of micronuclei and nuclear changes among cigarette smokers who were occupationally exposed to </w:t>
      </w:r>
      <w:r w:rsidR="0060291F" w:rsidRPr="003F4234">
        <w:rPr>
          <w:rFonts w:ascii="Arial" w:hAnsi="Arial" w:cs="Arial"/>
          <w:sz w:val="20"/>
          <w:szCs w:val="20"/>
        </w:rPr>
        <w:t>Polycyclic</w:t>
      </w:r>
      <w:r w:rsidR="000B5FDD" w:rsidRPr="003F4234">
        <w:rPr>
          <w:rFonts w:ascii="Arial" w:hAnsi="Arial" w:cs="Arial"/>
          <w:sz w:val="20"/>
          <w:szCs w:val="20"/>
        </w:rPr>
        <w:t xml:space="preserve"> </w:t>
      </w:r>
      <w:r w:rsidR="00C65E6A" w:rsidRPr="003F4234">
        <w:rPr>
          <w:rFonts w:ascii="Arial" w:hAnsi="Arial" w:cs="Arial"/>
          <w:sz w:val="20"/>
          <w:szCs w:val="20"/>
        </w:rPr>
        <w:t>aromatic hydrocarbons (PAH)</w:t>
      </w:r>
      <w:r w:rsidR="000B5FDD" w:rsidRPr="003F4234">
        <w:rPr>
          <w:rFonts w:ascii="Arial" w:hAnsi="Arial" w:cs="Arial"/>
          <w:sz w:val="20"/>
          <w:szCs w:val="20"/>
        </w:rPr>
        <w:t>. A previous study also showed</w:t>
      </w:r>
      <w:r w:rsidR="00D64612" w:rsidRPr="003F4234">
        <w:rPr>
          <w:rFonts w:ascii="Arial" w:hAnsi="Arial" w:cs="Arial"/>
          <w:sz w:val="20"/>
          <w:szCs w:val="20"/>
        </w:rPr>
        <w:t xml:space="preserve"> </w:t>
      </w:r>
      <w:r w:rsidR="000B5FDD" w:rsidRPr="003F4234">
        <w:rPr>
          <w:rFonts w:ascii="Arial" w:hAnsi="Arial" w:cs="Arial"/>
          <w:sz w:val="20"/>
          <w:szCs w:val="20"/>
        </w:rPr>
        <w:t xml:space="preserve">a direct relationship between buccal mucosa nuclear anomalies and exposure to </w:t>
      </w:r>
      <w:r w:rsidR="00C65E6A" w:rsidRPr="003F4234">
        <w:rPr>
          <w:rFonts w:ascii="Arial" w:hAnsi="Arial" w:cs="Arial"/>
          <w:sz w:val="20"/>
          <w:szCs w:val="20"/>
        </w:rPr>
        <w:t>cigarette smoke and alcohol</w:t>
      </w:r>
      <w:r w:rsidR="001C4F2D">
        <w:rPr>
          <w:rFonts w:ascii="Arial" w:hAnsi="Arial" w:cs="Arial"/>
          <w:sz w:val="20"/>
          <w:szCs w:val="20"/>
        </w:rPr>
        <w:t xml:space="preserve"> [29]</w:t>
      </w:r>
      <w:r w:rsidR="000B5FDD" w:rsidRPr="003F4234">
        <w:rPr>
          <w:rFonts w:ascii="Arial" w:hAnsi="Arial" w:cs="Arial"/>
          <w:sz w:val="20"/>
          <w:szCs w:val="20"/>
        </w:rPr>
        <w:t>.</w:t>
      </w:r>
      <w:r w:rsidR="002D611E" w:rsidRPr="003F4234">
        <w:rPr>
          <w:rFonts w:ascii="Arial" w:hAnsi="Arial" w:cs="Arial"/>
          <w:sz w:val="20"/>
          <w:szCs w:val="20"/>
        </w:rPr>
        <w:t xml:space="preserve"> The cytological assessment clearly revealed significant nuclear abnormalities in the buccal cells of waste handlers, particularly ESWAMA workers, indicating substantial potential genotoxic effects due to occupational exposure to hazardous waste. These findings </w:t>
      </w:r>
      <w:r w:rsidR="003F4234" w:rsidRPr="003F4234">
        <w:rPr>
          <w:rFonts w:ascii="Arial" w:hAnsi="Arial" w:cs="Arial"/>
          <w:sz w:val="20"/>
          <w:szCs w:val="20"/>
        </w:rPr>
        <w:t>show</w:t>
      </w:r>
      <w:r w:rsidR="002D611E" w:rsidRPr="003F4234">
        <w:rPr>
          <w:rFonts w:ascii="Arial" w:hAnsi="Arial" w:cs="Arial"/>
          <w:sz w:val="20"/>
          <w:szCs w:val="20"/>
        </w:rPr>
        <w:t xml:space="preserve"> the critical need for improved health and safety protocols for this vulnerable population. The relevance of these findings cannot be overemphasized, as they highlight the necessity of biomonitoring for semiskilled and unskilled workers who are often unprotected from toxic substances, and the urgent need to develop strategies to ensure </w:t>
      </w:r>
      <w:r w:rsidR="002D611E" w:rsidRPr="003F4234">
        <w:rPr>
          <w:rFonts w:ascii="Arial" w:hAnsi="Arial" w:cs="Arial"/>
          <w:sz w:val="20"/>
          <w:szCs w:val="20"/>
        </w:rPr>
        <w:lastRenderedPageBreak/>
        <w:t>their health and safety. Regular health monitoring and the stringent implementation of safety measures are crucial to protect waste handlers from occupational hazards</w:t>
      </w:r>
    </w:p>
    <w:p w14:paraId="105181F6" w14:textId="77777777" w:rsidR="000B5FDD" w:rsidRPr="003F4234" w:rsidRDefault="000B5FDD" w:rsidP="003F4234">
      <w:pPr>
        <w:spacing w:line="360" w:lineRule="auto"/>
        <w:ind w:left="142"/>
        <w:jc w:val="both"/>
        <w:rPr>
          <w:rFonts w:ascii="Arial" w:hAnsi="Arial" w:cs="Arial"/>
          <w:b/>
          <w:sz w:val="22"/>
          <w:szCs w:val="22"/>
        </w:rPr>
      </w:pPr>
      <w:r w:rsidRPr="003F4234">
        <w:rPr>
          <w:rFonts w:ascii="Arial" w:hAnsi="Arial" w:cs="Arial"/>
          <w:b/>
          <w:sz w:val="22"/>
          <w:szCs w:val="22"/>
        </w:rPr>
        <w:t xml:space="preserve">CONCLUSION </w:t>
      </w:r>
    </w:p>
    <w:p w14:paraId="21F37E08" w14:textId="77777777" w:rsidR="000B5FDD" w:rsidRPr="003F4234" w:rsidRDefault="00D64612" w:rsidP="00F07748">
      <w:pPr>
        <w:spacing w:line="360" w:lineRule="auto"/>
        <w:jc w:val="both"/>
        <w:rPr>
          <w:rFonts w:ascii="Arial" w:hAnsi="Arial" w:cs="Arial"/>
          <w:sz w:val="20"/>
          <w:szCs w:val="20"/>
        </w:rPr>
      </w:pPr>
      <w:r w:rsidRPr="003F4234">
        <w:rPr>
          <w:rFonts w:ascii="Arial" w:hAnsi="Arial" w:cs="Arial"/>
          <w:sz w:val="20"/>
          <w:szCs w:val="20"/>
        </w:rPr>
        <w:t xml:space="preserve">ESWAMA waste handlers in Enugu State University </w:t>
      </w:r>
      <w:r w:rsidR="00B11673" w:rsidRPr="003F4234">
        <w:rPr>
          <w:rFonts w:ascii="Arial" w:hAnsi="Arial" w:cs="Arial"/>
          <w:sz w:val="20"/>
          <w:szCs w:val="20"/>
        </w:rPr>
        <w:t>Teaching Hospital</w:t>
      </w:r>
      <w:r w:rsidR="000B5FDD" w:rsidRPr="003F4234">
        <w:rPr>
          <w:rFonts w:ascii="Arial" w:hAnsi="Arial" w:cs="Arial"/>
          <w:sz w:val="20"/>
          <w:szCs w:val="20"/>
        </w:rPr>
        <w:t xml:space="preserve"> may be occupationally exposed to substances capable of inducing genotoxic changes which manifested as increased freque</w:t>
      </w:r>
      <w:r w:rsidRPr="003F4234">
        <w:rPr>
          <w:rFonts w:ascii="Arial" w:hAnsi="Arial" w:cs="Arial"/>
          <w:sz w:val="20"/>
          <w:szCs w:val="20"/>
        </w:rPr>
        <w:t>ncies of buccal cell</w:t>
      </w:r>
      <w:r w:rsidR="008074C1" w:rsidRPr="003F4234">
        <w:rPr>
          <w:rFonts w:ascii="Arial" w:hAnsi="Arial" w:cs="Arial"/>
          <w:sz w:val="20"/>
          <w:szCs w:val="20"/>
        </w:rPr>
        <w:t xml:space="preserve"> micronuclei,</w:t>
      </w:r>
      <w:r w:rsidR="000B5FDD" w:rsidRPr="003F4234">
        <w:rPr>
          <w:rFonts w:ascii="Arial" w:hAnsi="Arial" w:cs="Arial"/>
          <w:sz w:val="20"/>
          <w:szCs w:val="20"/>
        </w:rPr>
        <w:t xml:space="preserve"> </w:t>
      </w:r>
      <w:r w:rsidR="008074C1" w:rsidRPr="003F4234">
        <w:rPr>
          <w:rFonts w:ascii="Arial" w:hAnsi="Arial" w:cs="Arial"/>
          <w:sz w:val="20"/>
          <w:szCs w:val="20"/>
        </w:rPr>
        <w:t>binucleate</w:t>
      </w:r>
      <w:r w:rsidR="000B5FDD" w:rsidRPr="003F4234">
        <w:rPr>
          <w:rFonts w:ascii="Arial" w:hAnsi="Arial" w:cs="Arial"/>
          <w:sz w:val="20"/>
          <w:szCs w:val="20"/>
        </w:rPr>
        <w:t xml:space="preserve"> cells</w:t>
      </w:r>
      <w:r w:rsidR="00D91745" w:rsidRPr="003F4234">
        <w:rPr>
          <w:rFonts w:ascii="Arial" w:hAnsi="Arial" w:cs="Arial"/>
          <w:sz w:val="20"/>
          <w:szCs w:val="20"/>
        </w:rPr>
        <w:t>, nuclear bud and karyo</w:t>
      </w:r>
      <w:r w:rsidRPr="003F4234">
        <w:rPr>
          <w:rFonts w:ascii="Arial" w:hAnsi="Arial" w:cs="Arial"/>
          <w:sz w:val="20"/>
          <w:szCs w:val="20"/>
        </w:rPr>
        <w:t>rr</w:t>
      </w:r>
      <w:r w:rsidR="00D91745" w:rsidRPr="003F4234">
        <w:rPr>
          <w:rFonts w:ascii="Arial" w:hAnsi="Arial" w:cs="Arial"/>
          <w:sz w:val="20"/>
          <w:szCs w:val="20"/>
        </w:rPr>
        <w:t>he</w:t>
      </w:r>
      <w:r w:rsidRPr="003F4234">
        <w:rPr>
          <w:rFonts w:ascii="Arial" w:hAnsi="Arial" w:cs="Arial"/>
          <w:sz w:val="20"/>
          <w:szCs w:val="20"/>
        </w:rPr>
        <w:t>xis</w:t>
      </w:r>
      <w:r w:rsidR="000B5FDD" w:rsidRPr="003F4234">
        <w:rPr>
          <w:rFonts w:ascii="Arial" w:hAnsi="Arial" w:cs="Arial"/>
          <w:sz w:val="20"/>
          <w:szCs w:val="20"/>
        </w:rPr>
        <w:t>.</w:t>
      </w:r>
      <w:r w:rsidR="00B11673" w:rsidRPr="003F4234">
        <w:rPr>
          <w:rFonts w:ascii="Arial" w:hAnsi="Arial" w:cs="Arial"/>
          <w:sz w:val="20"/>
          <w:szCs w:val="20"/>
        </w:rPr>
        <w:t xml:space="preserve"> The cytological assessment of buccal smear from waste handlers revealed significant nuclear abnormalities, indicating potential genotoxic effects due to occupational exposure to hazardous waste. This study highlights the importa</w:t>
      </w:r>
      <w:r w:rsidR="005C41E6" w:rsidRPr="003F4234">
        <w:rPr>
          <w:rFonts w:ascii="Arial" w:hAnsi="Arial" w:cs="Arial"/>
          <w:sz w:val="20"/>
          <w:szCs w:val="20"/>
        </w:rPr>
        <w:t>nce of regular health monitoring and implementation of safety measures to protect waste handlers from occupational hazards.</w:t>
      </w:r>
    </w:p>
    <w:p w14:paraId="2129C51C" w14:textId="77777777" w:rsidR="001C4F2D" w:rsidRPr="0043445E" w:rsidRDefault="001C4F2D" w:rsidP="003F4234">
      <w:pPr>
        <w:spacing w:before="100" w:beforeAutospacing="1" w:after="0" w:line="240" w:lineRule="auto"/>
        <w:jc w:val="both"/>
        <w:rPr>
          <w:rFonts w:ascii="Arial" w:eastAsia="Times New Roman" w:hAnsi="Arial" w:cs="Arial"/>
          <w:color w:val="1B1C1D"/>
        </w:rPr>
      </w:pPr>
      <w:bookmarkStart w:id="1" w:name="_GoBack"/>
      <w:bookmarkEnd w:id="1"/>
    </w:p>
    <w:p w14:paraId="0AA6F7CA" w14:textId="1FE9B85B" w:rsidR="00C502AB" w:rsidRPr="001C4F2D" w:rsidRDefault="00C502AB" w:rsidP="00F07748">
      <w:pPr>
        <w:spacing w:line="360" w:lineRule="auto"/>
        <w:ind w:left="0"/>
        <w:jc w:val="both"/>
        <w:rPr>
          <w:rFonts w:ascii="Arial" w:hAnsi="Arial" w:cs="Arial"/>
          <w:sz w:val="22"/>
          <w:szCs w:val="22"/>
        </w:rPr>
      </w:pPr>
      <w:r w:rsidRPr="001C4F2D">
        <w:rPr>
          <w:rFonts w:ascii="Arial" w:eastAsia="Times New Roman" w:hAnsi="Arial" w:cs="Arial"/>
          <w:b/>
          <w:iCs/>
          <w:sz w:val="22"/>
          <w:szCs w:val="22"/>
        </w:rPr>
        <w:t>REFERENCES</w:t>
      </w:r>
    </w:p>
    <w:p w14:paraId="26609661"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Hirvonen, A. (2021). Genetic factors in individual responses to environmental exposures. Journal of Occupational and Environmental Medicine, 1, 37-43.</w:t>
      </w:r>
    </w:p>
    <w:p w14:paraId="6275DE14"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Benites, C. I., Amado, L. L., Vianna, R. A. P., &amp; Martino-Roth, M. G. (2016). Micronucleus test on gas station attendants. Genetic and Molecular Research, 5(45), 45-54.</w:t>
      </w:r>
    </w:p>
    <w:p w14:paraId="5ED5931C"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Santos-Mello, R., &amp; Cavalcante, B. (2022). Cytogenetic studies on gas station attendants. Mutation Research/Genetic Toxicology, 280(4), 285-290.</w:t>
      </w:r>
    </w:p>
    <w:p w14:paraId="42797DF3"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Holland, N., Bolognesi, C., Kirsch-</w:t>
      </w:r>
      <w:proofErr w:type="spellStart"/>
      <w:r w:rsidRPr="001C4F2D">
        <w:rPr>
          <w:rFonts w:ascii="Arial" w:hAnsi="Arial" w:cs="Arial"/>
          <w:sz w:val="20"/>
          <w:szCs w:val="20"/>
        </w:rPr>
        <w:t>Volders</w:t>
      </w:r>
      <w:proofErr w:type="spellEnd"/>
      <w:r w:rsidRPr="001C4F2D">
        <w:rPr>
          <w:rFonts w:ascii="Arial" w:hAnsi="Arial" w:cs="Arial"/>
          <w:sz w:val="20"/>
          <w:szCs w:val="20"/>
        </w:rPr>
        <w:t xml:space="preserve">, M., Bonassi, S., Zeiger, E., &amp; </w:t>
      </w:r>
      <w:proofErr w:type="spellStart"/>
      <w:r w:rsidRPr="001C4F2D">
        <w:rPr>
          <w:rFonts w:ascii="Arial" w:hAnsi="Arial" w:cs="Arial"/>
          <w:sz w:val="20"/>
          <w:szCs w:val="20"/>
        </w:rPr>
        <w:t>Knasmueller</w:t>
      </w:r>
      <w:proofErr w:type="spellEnd"/>
      <w:r w:rsidRPr="001C4F2D">
        <w:rPr>
          <w:rFonts w:ascii="Arial" w:hAnsi="Arial" w:cs="Arial"/>
          <w:sz w:val="20"/>
          <w:szCs w:val="20"/>
        </w:rPr>
        <w:t>, S. (2018). The micronucleus assay in human buccal cells as a tool for biomonitoring DNA damage: The HUMN project perspective on current status and knowledge gaps. Mutation Research/Reviews in Mutation Research, 659(1), 93-108.</w:t>
      </w:r>
    </w:p>
    <w:p w14:paraId="49E1B8E1"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Majer, B. J., Laky, B., </w:t>
      </w:r>
      <w:proofErr w:type="spellStart"/>
      <w:r w:rsidRPr="001C4F2D">
        <w:rPr>
          <w:rFonts w:ascii="Arial" w:hAnsi="Arial" w:cs="Arial"/>
          <w:sz w:val="20"/>
          <w:szCs w:val="20"/>
        </w:rPr>
        <w:t>Knasmüller</w:t>
      </w:r>
      <w:proofErr w:type="spellEnd"/>
      <w:r w:rsidRPr="001C4F2D">
        <w:rPr>
          <w:rFonts w:ascii="Arial" w:hAnsi="Arial" w:cs="Arial"/>
          <w:sz w:val="20"/>
          <w:szCs w:val="20"/>
        </w:rPr>
        <w:t>, S., &amp; Kassie, F. (2017). Use of the micronucleus assay with exfoliated epithelial cells as a biomarker for monitoring individuals at elevated risk of genetic damage and chemoprevention trials. Mutation Research/Reviews in Mutation Research, 489(2), 147–172.</w:t>
      </w:r>
    </w:p>
    <w:p w14:paraId="737E7543"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Au, W. W. (2019). Cytogenetic assays in monitoring human exposure and prediction of risk. Environmental Mutagenesis, Carcinogenesis, and Teratogenesis, 23, 236-245.</w:t>
      </w:r>
    </w:p>
    <w:p w14:paraId="55659043"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Manjunath, G. S., Shashikala, R., Indira, A. P., Rao, K., &amp; Akshatha, B. K. (2015). Role of micronucleus in oral exfoliative cytology. Dental Science. 18(9)26-28</w:t>
      </w:r>
    </w:p>
    <w:p w14:paraId="345C3D2C"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Shashikala, R., Indira, A. P., Manjunath, G. S., Rao, K. A., &amp; Akshatha, B. K. (2015). Role of micronucleus in oral exfoliative cytology. Journal of Public Health Dentistry, 9(2), 163472.</w:t>
      </w:r>
    </w:p>
    <w:p w14:paraId="51A38ADD"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Borkar, S., Reche, A., Paul, P., Deshpande, A. and Deshpande, M. 2023. Noninvasive Technique for the Screening and Diagnosis of Oral Squamous Cell Carcinoma. </w:t>
      </w:r>
      <w:proofErr w:type="spellStart"/>
      <w:r w:rsidRPr="001C4F2D">
        <w:rPr>
          <w:rFonts w:ascii="Arial" w:hAnsi="Arial" w:cs="Arial"/>
          <w:i/>
          <w:iCs/>
          <w:sz w:val="20"/>
          <w:szCs w:val="20"/>
        </w:rPr>
        <w:t>Cureus</w:t>
      </w:r>
      <w:proofErr w:type="spellEnd"/>
      <w:r w:rsidRPr="001C4F2D">
        <w:rPr>
          <w:rFonts w:ascii="Arial" w:hAnsi="Arial" w:cs="Arial"/>
          <w:sz w:val="20"/>
          <w:szCs w:val="20"/>
        </w:rPr>
        <w:t xml:space="preserve"> 15(9), p. e46300. Available at: https://pmc.ncbi.nlm.nih.gov/articles/PMC10616636/</w:t>
      </w:r>
    </w:p>
    <w:p w14:paraId="0A131DE0"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lastRenderedPageBreak/>
        <w:t>Tayebi-</w:t>
      </w:r>
      <w:proofErr w:type="spellStart"/>
      <w:r w:rsidRPr="001C4F2D">
        <w:rPr>
          <w:rFonts w:ascii="Arial" w:hAnsi="Arial" w:cs="Arial"/>
          <w:sz w:val="20"/>
          <w:szCs w:val="20"/>
        </w:rPr>
        <w:t>Hillali</w:t>
      </w:r>
      <w:proofErr w:type="spellEnd"/>
      <w:r w:rsidRPr="001C4F2D">
        <w:rPr>
          <w:rFonts w:ascii="Arial" w:hAnsi="Arial" w:cs="Arial"/>
          <w:sz w:val="20"/>
          <w:szCs w:val="20"/>
        </w:rPr>
        <w:t>, H. et al. 2025. Accuracy of Cytological Methods in Early Detection of Oral Squamous Cell Carcinoma and Potentially Malignant Disorders: A Systematic Review and Meta</w:t>
      </w:r>
      <w:r w:rsidRPr="001C4F2D">
        <w:rPr>
          <w:rFonts w:ascii="Cambria Math" w:hAnsi="Cambria Math" w:cs="Cambria Math"/>
          <w:sz w:val="20"/>
          <w:szCs w:val="20"/>
        </w:rPr>
        <w:t>‐</w:t>
      </w:r>
      <w:r w:rsidRPr="001C4F2D">
        <w:rPr>
          <w:rFonts w:ascii="Arial" w:hAnsi="Arial" w:cs="Arial"/>
          <w:sz w:val="20"/>
          <w:szCs w:val="20"/>
        </w:rPr>
        <w:t xml:space="preserve">Analysis. </w:t>
      </w:r>
      <w:r w:rsidRPr="001C4F2D">
        <w:rPr>
          <w:rFonts w:ascii="Arial" w:hAnsi="Arial" w:cs="Arial"/>
          <w:i/>
          <w:iCs/>
          <w:sz w:val="20"/>
          <w:szCs w:val="20"/>
        </w:rPr>
        <w:t>Journal of Oral Pathology &amp; Medicine</w:t>
      </w:r>
      <w:r w:rsidRPr="001C4F2D">
        <w:rPr>
          <w:rFonts w:ascii="Arial" w:hAnsi="Arial" w:cs="Arial"/>
          <w:sz w:val="20"/>
          <w:szCs w:val="20"/>
        </w:rPr>
        <w:t xml:space="preserve"> 54(7), p. 507. Available at: https://pmc.ncbi.nlm.nih.gov/articles/PMC12344227/ </w:t>
      </w:r>
    </w:p>
    <w:p w14:paraId="1A6DC8D5"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proofErr w:type="spellStart"/>
      <w:r w:rsidRPr="001C4F2D">
        <w:rPr>
          <w:rFonts w:ascii="Arial" w:hAnsi="Arial" w:cs="Arial"/>
          <w:sz w:val="20"/>
          <w:szCs w:val="20"/>
        </w:rPr>
        <w:t>Kazanowska</w:t>
      </w:r>
      <w:proofErr w:type="spellEnd"/>
      <w:r w:rsidRPr="001C4F2D">
        <w:rPr>
          <w:rFonts w:ascii="Arial" w:hAnsi="Arial" w:cs="Arial"/>
          <w:sz w:val="20"/>
          <w:szCs w:val="20"/>
        </w:rPr>
        <w:t>, A., Zawada, M., &amp; Kowalski, T. P. (2014). Exfoliative cytology in oral cancer screening. Oral Oncology, 50(3), 213-219.</w:t>
      </w:r>
    </w:p>
    <w:p w14:paraId="00BE5E89"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Sabharwal, R., Verma, P., Syed, M.A., Sharma, T., Subudhi, S.K., Mohanty, S. and Gupta, S. 2015. Emergence of micronuclei as a genomic biomarker. </w:t>
      </w:r>
      <w:r w:rsidRPr="001C4F2D">
        <w:rPr>
          <w:rFonts w:ascii="Arial" w:hAnsi="Arial" w:cs="Arial"/>
          <w:i/>
          <w:iCs/>
          <w:sz w:val="20"/>
          <w:szCs w:val="20"/>
        </w:rPr>
        <w:t xml:space="preserve">Indian Journal of Medical and </w:t>
      </w:r>
      <w:proofErr w:type="spellStart"/>
      <w:r w:rsidRPr="001C4F2D">
        <w:rPr>
          <w:rFonts w:ascii="Arial" w:hAnsi="Arial" w:cs="Arial"/>
          <w:i/>
          <w:iCs/>
          <w:sz w:val="20"/>
          <w:szCs w:val="20"/>
        </w:rPr>
        <w:t>Paediatric</w:t>
      </w:r>
      <w:proofErr w:type="spellEnd"/>
      <w:r w:rsidRPr="001C4F2D">
        <w:rPr>
          <w:rFonts w:ascii="Arial" w:hAnsi="Arial" w:cs="Arial"/>
          <w:i/>
          <w:iCs/>
          <w:sz w:val="20"/>
          <w:szCs w:val="20"/>
        </w:rPr>
        <w:t xml:space="preserve"> </w:t>
      </w:r>
      <w:proofErr w:type="gramStart"/>
      <w:r w:rsidRPr="001C4F2D">
        <w:rPr>
          <w:rFonts w:ascii="Arial" w:hAnsi="Arial" w:cs="Arial"/>
          <w:i/>
          <w:iCs/>
          <w:sz w:val="20"/>
          <w:szCs w:val="20"/>
        </w:rPr>
        <w:t>Oncology :</w:t>
      </w:r>
      <w:proofErr w:type="gramEnd"/>
      <w:r w:rsidRPr="001C4F2D">
        <w:rPr>
          <w:rFonts w:ascii="Arial" w:hAnsi="Arial" w:cs="Arial"/>
          <w:i/>
          <w:iCs/>
          <w:sz w:val="20"/>
          <w:szCs w:val="20"/>
        </w:rPr>
        <w:t xml:space="preserve"> Official Journal of Indian Society of Medical &amp; </w:t>
      </w:r>
      <w:proofErr w:type="spellStart"/>
      <w:r w:rsidRPr="001C4F2D">
        <w:rPr>
          <w:rFonts w:ascii="Arial" w:hAnsi="Arial" w:cs="Arial"/>
          <w:i/>
          <w:iCs/>
          <w:sz w:val="20"/>
          <w:szCs w:val="20"/>
        </w:rPr>
        <w:t>Paediatric</w:t>
      </w:r>
      <w:proofErr w:type="spellEnd"/>
      <w:r w:rsidRPr="001C4F2D">
        <w:rPr>
          <w:rFonts w:ascii="Arial" w:hAnsi="Arial" w:cs="Arial"/>
          <w:i/>
          <w:iCs/>
          <w:sz w:val="20"/>
          <w:szCs w:val="20"/>
        </w:rPr>
        <w:t xml:space="preserve"> Oncology</w:t>
      </w:r>
      <w:r w:rsidRPr="001C4F2D">
        <w:rPr>
          <w:rFonts w:ascii="Arial" w:hAnsi="Arial" w:cs="Arial"/>
          <w:sz w:val="20"/>
          <w:szCs w:val="20"/>
        </w:rPr>
        <w:t xml:space="preserve"> 36(4), p. 212. Available at: https://pmc.ncbi.nlm.nih.gov/articles/PMC4711219/ </w:t>
      </w:r>
    </w:p>
    <w:p w14:paraId="223D685E"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Fenech, M., &amp; </w:t>
      </w:r>
      <w:proofErr w:type="spellStart"/>
      <w:r w:rsidRPr="001C4F2D">
        <w:rPr>
          <w:rFonts w:ascii="Arial" w:hAnsi="Arial" w:cs="Arial"/>
          <w:sz w:val="20"/>
          <w:szCs w:val="20"/>
        </w:rPr>
        <w:t>Crott</w:t>
      </w:r>
      <w:proofErr w:type="spellEnd"/>
      <w:r w:rsidRPr="001C4F2D">
        <w:rPr>
          <w:rFonts w:ascii="Arial" w:hAnsi="Arial" w:cs="Arial"/>
          <w:sz w:val="20"/>
          <w:szCs w:val="20"/>
        </w:rPr>
        <w:t>, J. W. (2022). Chromosomal instability, DNA damage and micronuclei in nutritional deficiency and ageing. Mechanisms of Ageing and Development, 123(8), 1041-1064.</w:t>
      </w:r>
    </w:p>
    <w:p w14:paraId="28D99347"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Bansal, H., Sandhu, V. S., Bhandari, R., &amp; Sharma, D. (2012). Evaluation of micronuclei in tobacco users: A study in Punjabi population. Contemporary Clinical Dentistry, 3(2),184-187 </w:t>
      </w:r>
    </w:p>
    <w:p w14:paraId="3DF3C174"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Benites, C. I., Amado, L. L., Vianna, R. A. P., &amp; Martino-Roth, M. G. (2016). Micronucleus test on gas station attendants. Genetic and Molecular Research, 5(45), 45-54.</w:t>
      </w:r>
    </w:p>
    <w:p w14:paraId="4B51593E"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International Agency for Research on Cancer. (2021). Some organic solvents, </w:t>
      </w:r>
      <w:proofErr w:type="spellStart"/>
      <w:r w:rsidRPr="001C4F2D">
        <w:rPr>
          <w:rFonts w:ascii="Arial" w:hAnsi="Arial" w:cs="Arial"/>
          <w:sz w:val="20"/>
          <w:szCs w:val="20"/>
        </w:rPr>
        <w:t>resi</w:t>
      </w:r>
      <w:proofErr w:type="spellEnd"/>
      <w:r w:rsidRPr="001C4F2D">
        <w:rPr>
          <w:rFonts w:ascii="Arial" w:hAnsi="Arial" w:cs="Arial"/>
          <w:sz w:val="20"/>
          <w:szCs w:val="20"/>
        </w:rPr>
        <w:t xml:space="preserve"> monomers and related compounds, pigments and occupational exposures in paint manufacture and painting. IARC Monographs on the Evaluation of Carcinogenic Risks to Humans, 47, 1-442.</w:t>
      </w:r>
    </w:p>
    <w:p w14:paraId="0AD97672"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Çelik, A., </w:t>
      </w:r>
      <w:proofErr w:type="spellStart"/>
      <w:r w:rsidRPr="001C4F2D">
        <w:rPr>
          <w:rFonts w:ascii="Arial" w:hAnsi="Arial" w:cs="Arial"/>
          <w:sz w:val="20"/>
          <w:szCs w:val="20"/>
        </w:rPr>
        <w:t>Çava</w:t>
      </w:r>
      <w:proofErr w:type="spellEnd"/>
      <w:r w:rsidRPr="001C4F2D">
        <w:rPr>
          <w:rFonts w:ascii="Arial" w:hAnsi="Arial" w:cs="Arial"/>
          <w:sz w:val="20"/>
          <w:szCs w:val="20"/>
        </w:rPr>
        <w:t xml:space="preserve">, T., &amp; </w:t>
      </w:r>
      <w:proofErr w:type="spellStart"/>
      <w:r w:rsidRPr="001C4F2D">
        <w:rPr>
          <w:rFonts w:ascii="Arial" w:hAnsi="Arial" w:cs="Arial"/>
          <w:sz w:val="20"/>
          <w:szCs w:val="20"/>
        </w:rPr>
        <w:t>Ergene-Gözükara</w:t>
      </w:r>
      <w:proofErr w:type="spellEnd"/>
      <w:r w:rsidRPr="001C4F2D">
        <w:rPr>
          <w:rFonts w:ascii="Arial" w:hAnsi="Arial" w:cs="Arial"/>
          <w:sz w:val="20"/>
          <w:szCs w:val="20"/>
        </w:rPr>
        <w:t>, S. (2023). Cytogenetic biomonitoring in petrol station attendants: Micronucleus test in exfoliated buccal cells. Mutagenesis, 18, 417-421.</w:t>
      </w:r>
    </w:p>
    <w:p w14:paraId="53A19B80"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Pastor, S., Gutiérrez, S., Creus, A., </w:t>
      </w:r>
      <w:proofErr w:type="spellStart"/>
      <w:r w:rsidRPr="001C4F2D">
        <w:rPr>
          <w:rFonts w:ascii="Arial" w:hAnsi="Arial" w:cs="Arial"/>
          <w:sz w:val="20"/>
          <w:szCs w:val="20"/>
        </w:rPr>
        <w:t>Xamena</w:t>
      </w:r>
      <w:proofErr w:type="spellEnd"/>
      <w:r w:rsidRPr="001C4F2D">
        <w:rPr>
          <w:rFonts w:ascii="Arial" w:hAnsi="Arial" w:cs="Arial"/>
          <w:sz w:val="20"/>
          <w:szCs w:val="20"/>
        </w:rPr>
        <w:t>, N., Piperakis, S., &amp; Marcos, R. (2021). Cytogenetic analysis of Greek farmers using the micronucleus assay in peripheral lymphocytes and buccal cells. Mutagenesis, 16, 539-545.</w:t>
      </w:r>
    </w:p>
    <w:p w14:paraId="79D75E27"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Kumar, N., Gupta, R., &amp; Gupta, S. (2020). Whole Slide Imaging (WSI) in Pathology: Current Perspectives and Future Directions. Journal of digital imaging, 33(4), 1034–1040.</w:t>
      </w:r>
    </w:p>
    <w:p w14:paraId="56440A82"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Franco, S.S., Nardocci, A.C., Gunther, W.M. (2018): PAH biomarkers for human health risk assessment: A review of the state-of-the-art. Cad. Saude Publica 24, 569–580</w:t>
      </w:r>
    </w:p>
    <w:p w14:paraId="0B53FF50"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Arul, P., Smitha, S., Masilamani, S., Akshatha, C. (2018): Micronucleus assay in exfoliated buccal epithelial cells using liquid based cytology preparations in building construction workers. Iran Journal </w:t>
      </w:r>
      <w:proofErr w:type="gramStart"/>
      <w:r w:rsidRPr="001C4F2D">
        <w:rPr>
          <w:rFonts w:ascii="Arial" w:hAnsi="Arial" w:cs="Arial"/>
          <w:sz w:val="20"/>
          <w:szCs w:val="20"/>
        </w:rPr>
        <w:t>Of</w:t>
      </w:r>
      <w:proofErr w:type="gramEnd"/>
      <w:r w:rsidRPr="001C4F2D">
        <w:rPr>
          <w:rFonts w:ascii="Arial" w:hAnsi="Arial" w:cs="Arial"/>
          <w:sz w:val="20"/>
          <w:szCs w:val="20"/>
        </w:rPr>
        <w:t xml:space="preserve"> Pathology. 13(1), 31–38</w:t>
      </w:r>
    </w:p>
    <w:p w14:paraId="30764AA0"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Papageorgiou, C. V, </w:t>
      </w:r>
      <w:proofErr w:type="spellStart"/>
      <w:r w:rsidRPr="001C4F2D">
        <w:rPr>
          <w:rFonts w:ascii="Arial" w:hAnsi="Arial" w:cs="Arial"/>
          <w:sz w:val="20"/>
          <w:szCs w:val="20"/>
        </w:rPr>
        <w:t>Savourdos</w:t>
      </w:r>
      <w:proofErr w:type="spellEnd"/>
      <w:r w:rsidRPr="001C4F2D">
        <w:rPr>
          <w:rFonts w:ascii="Arial" w:hAnsi="Arial" w:cs="Arial"/>
          <w:sz w:val="20"/>
          <w:szCs w:val="20"/>
        </w:rPr>
        <w:t xml:space="preserve">, P., Douna, E., Georgakopoulou, V.E., Makrodimitri, S. and Dounias, G. 2021. Respiratory Symptoms and Pulmonary Function of Workers in the Waste Management Industry. </w:t>
      </w:r>
      <w:proofErr w:type="spellStart"/>
      <w:r w:rsidRPr="001C4F2D">
        <w:rPr>
          <w:rFonts w:ascii="Arial" w:hAnsi="Arial" w:cs="Arial"/>
          <w:i/>
          <w:iCs/>
          <w:sz w:val="20"/>
          <w:szCs w:val="20"/>
        </w:rPr>
        <w:t>Cureus</w:t>
      </w:r>
      <w:proofErr w:type="spellEnd"/>
      <w:r w:rsidRPr="001C4F2D">
        <w:rPr>
          <w:rFonts w:ascii="Arial" w:hAnsi="Arial" w:cs="Arial"/>
          <w:sz w:val="20"/>
          <w:szCs w:val="20"/>
        </w:rPr>
        <w:t xml:space="preserve"> 13(8), p. e17027. Available at: https://pmc.ncbi.nlm.nih.gov/articles/PMC8425493/ </w:t>
      </w:r>
    </w:p>
    <w:p w14:paraId="45199632"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lastRenderedPageBreak/>
        <w:t xml:space="preserve">Brina, K.R., Carvalho, T.S., </w:t>
      </w:r>
      <w:proofErr w:type="spellStart"/>
      <w:r w:rsidRPr="001C4F2D">
        <w:rPr>
          <w:rFonts w:ascii="Arial" w:hAnsi="Arial" w:cs="Arial"/>
          <w:sz w:val="20"/>
          <w:szCs w:val="20"/>
        </w:rPr>
        <w:t>Ardenghi</w:t>
      </w:r>
      <w:proofErr w:type="spellEnd"/>
      <w:r w:rsidRPr="001C4F2D">
        <w:rPr>
          <w:rFonts w:ascii="Arial" w:hAnsi="Arial" w:cs="Arial"/>
          <w:sz w:val="20"/>
          <w:szCs w:val="20"/>
        </w:rPr>
        <w:t>, P.G. and Basso da Silva, L. 2018. Micronuclei and other nuclear anomalies in exfoliated buccal cells of urban solid waste collectors and recyclers in southern Brazil. Chemosphere 193, pp. 1058–1062</w:t>
      </w:r>
    </w:p>
    <w:p w14:paraId="01A3CD3E"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proofErr w:type="spellStart"/>
      <w:r w:rsidRPr="001C4F2D">
        <w:rPr>
          <w:rFonts w:ascii="Arial" w:hAnsi="Arial" w:cs="Arial"/>
          <w:sz w:val="20"/>
          <w:szCs w:val="20"/>
        </w:rPr>
        <w:t>Afesi</w:t>
      </w:r>
      <w:proofErr w:type="spellEnd"/>
      <w:r w:rsidRPr="001C4F2D">
        <w:rPr>
          <w:rFonts w:ascii="Arial" w:hAnsi="Arial" w:cs="Arial"/>
          <w:sz w:val="20"/>
          <w:szCs w:val="20"/>
        </w:rPr>
        <w:t>-Dei, C., Appiah-</w:t>
      </w:r>
      <w:proofErr w:type="spellStart"/>
      <w:r w:rsidRPr="001C4F2D">
        <w:rPr>
          <w:rFonts w:ascii="Arial" w:hAnsi="Arial" w:cs="Arial"/>
          <w:sz w:val="20"/>
          <w:szCs w:val="20"/>
        </w:rPr>
        <w:t>Brempong</w:t>
      </w:r>
      <w:proofErr w:type="spellEnd"/>
      <w:r w:rsidRPr="001C4F2D">
        <w:rPr>
          <w:rFonts w:ascii="Arial" w:hAnsi="Arial" w:cs="Arial"/>
          <w:sz w:val="20"/>
          <w:szCs w:val="20"/>
        </w:rPr>
        <w:t xml:space="preserve">, M., &amp; Awuah, E. (2023). Health-care waste management practices: The case of Ho Teaching Hospital in Ghana. </w:t>
      </w:r>
      <w:proofErr w:type="spellStart"/>
      <w:r w:rsidRPr="001C4F2D">
        <w:rPr>
          <w:rFonts w:ascii="Arial" w:hAnsi="Arial" w:cs="Arial"/>
          <w:sz w:val="20"/>
          <w:szCs w:val="20"/>
        </w:rPr>
        <w:t>Heliyon</w:t>
      </w:r>
      <w:proofErr w:type="spellEnd"/>
      <w:r w:rsidRPr="001C4F2D">
        <w:rPr>
          <w:rFonts w:ascii="Arial" w:hAnsi="Arial" w:cs="Arial"/>
          <w:sz w:val="20"/>
          <w:szCs w:val="20"/>
        </w:rPr>
        <w:t xml:space="preserve">, 9(4), e15514. </w:t>
      </w:r>
      <w:hyperlink r:id="rId12" w:history="1">
        <w:r w:rsidRPr="001C4F2D">
          <w:rPr>
            <w:rStyle w:val="Hyperlink"/>
            <w:rFonts w:ascii="Arial" w:hAnsi="Arial" w:cs="Arial"/>
            <w:sz w:val="20"/>
            <w:szCs w:val="20"/>
          </w:rPr>
          <w:t>https://doi.org/10.1016/j.heliyon.2023.e15514</w:t>
        </w:r>
      </w:hyperlink>
    </w:p>
    <w:p w14:paraId="0405652C"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Singh, S., Saini, M., Singh Yadav Professor, A. and Singh Yadav, A. 2015. Elevated frequencies of micronuclei and other nuclear anomalies in alcoholic subjects. </w:t>
      </w:r>
      <w:r w:rsidRPr="001C4F2D">
        <w:rPr>
          <w:rFonts w:ascii="Arial" w:hAnsi="Arial" w:cs="Arial"/>
          <w:i/>
          <w:iCs/>
          <w:sz w:val="20"/>
          <w:szCs w:val="20"/>
        </w:rPr>
        <w:t>~ 243 ~ Journal of Entomology and Zoology Studies</w:t>
      </w:r>
      <w:r w:rsidRPr="001C4F2D">
        <w:rPr>
          <w:rFonts w:ascii="Arial" w:hAnsi="Arial" w:cs="Arial"/>
          <w:sz w:val="20"/>
          <w:szCs w:val="20"/>
        </w:rPr>
        <w:t xml:space="preserve"> 3(2), pp. 243–245</w:t>
      </w:r>
    </w:p>
    <w:p w14:paraId="5E06EB73"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Benedetti, D., Nunes, E., Sarmento, M., Porto, C., dos Santos, C.E.I., Dias, J.F., da Silva, </w:t>
      </w:r>
      <w:proofErr w:type="gramStart"/>
      <w:r w:rsidRPr="001C4F2D">
        <w:rPr>
          <w:rFonts w:ascii="Arial" w:hAnsi="Arial" w:cs="Arial"/>
          <w:sz w:val="20"/>
          <w:szCs w:val="20"/>
        </w:rPr>
        <w:t>J.(</w:t>
      </w:r>
      <w:proofErr w:type="gramEnd"/>
      <w:r w:rsidRPr="001C4F2D">
        <w:rPr>
          <w:rFonts w:ascii="Arial" w:hAnsi="Arial" w:cs="Arial"/>
          <w:sz w:val="20"/>
          <w:szCs w:val="20"/>
        </w:rPr>
        <w:t xml:space="preserve">2023): Genetic damage in soybean workers exposed to pesticides: evaluation with the comet and buccal micronucleus </w:t>
      </w:r>
      <w:proofErr w:type="spellStart"/>
      <w:r w:rsidRPr="001C4F2D">
        <w:rPr>
          <w:rFonts w:ascii="Arial" w:hAnsi="Arial" w:cs="Arial"/>
          <w:sz w:val="20"/>
          <w:szCs w:val="20"/>
        </w:rPr>
        <w:t>cytome</w:t>
      </w:r>
      <w:proofErr w:type="spellEnd"/>
      <w:r w:rsidRPr="001C4F2D">
        <w:rPr>
          <w:rFonts w:ascii="Arial" w:hAnsi="Arial" w:cs="Arial"/>
          <w:sz w:val="20"/>
          <w:szCs w:val="20"/>
        </w:rPr>
        <w:t xml:space="preserve"> assays. Mutation. </w:t>
      </w:r>
      <w:proofErr w:type="gramStart"/>
      <w:r w:rsidRPr="001C4F2D">
        <w:rPr>
          <w:rFonts w:ascii="Arial" w:hAnsi="Arial" w:cs="Arial"/>
          <w:sz w:val="20"/>
          <w:szCs w:val="20"/>
        </w:rPr>
        <w:t>Research./</w:t>
      </w:r>
      <w:proofErr w:type="gramEnd"/>
      <w:r w:rsidRPr="001C4F2D">
        <w:rPr>
          <w:rFonts w:ascii="Arial" w:hAnsi="Arial" w:cs="Arial"/>
          <w:sz w:val="20"/>
          <w:szCs w:val="20"/>
        </w:rPr>
        <w:t>Genetic Toxicology. Environment. Mutagenesis. 752(22), 28–33.</w:t>
      </w:r>
    </w:p>
    <w:p w14:paraId="4A839564"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Holland, N., Bolognesi, C., Kirsch-</w:t>
      </w:r>
      <w:proofErr w:type="spellStart"/>
      <w:r w:rsidRPr="001C4F2D">
        <w:rPr>
          <w:rFonts w:ascii="Arial" w:hAnsi="Arial" w:cs="Arial"/>
          <w:sz w:val="20"/>
          <w:szCs w:val="20"/>
        </w:rPr>
        <w:t>Volders</w:t>
      </w:r>
      <w:proofErr w:type="spellEnd"/>
      <w:r w:rsidRPr="001C4F2D">
        <w:rPr>
          <w:rFonts w:ascii="Arial" w:hAnsi="Arial" w:cs="Arial"/>
          <w:sz w:val="20"/>
          <w:szCs w:val="20"/>
        </w:rPr>
        <w:t xml:space="preserve">, M., Bonassi, S., Zeiger, E., &amp; </w:t>
      </w:r>
      <w:proofErr w:type="spellStart"/>
      <w:r w:rsidRPr="001C4F2D">
        <w:rPr>
          <w:rFonts w:ascii="Arial" w:hAnsi="Arial" w:cs="Arial"/>
          <w:sz w:val="20"/>
          <w:szCs w:val="20"/>
        </w:rPr>
        <w:t>Knasmueller</w:t>
      </w:r>
      <w:proofErr w:type="spellEnd"/>
      <w:r w:rsidRPr="001C4F2D">
        <w:rPr>
          <w:rFonts w:ascii="Arial" w:hAnsi="Arial" w:cs="Arial"/>
          <w:sz w:val="20"/>
          <w:szCs w:val="20"/>
        </w:rPr>
        <w:t>, S. (2018). The micronucleus assay in human buccal cells as a tool for biomonitoring DNA damage: The HUMN project perspective on current status and knowledge gaps. Mutation Research/Reviews in Mutation Research, 659(1), 93-108.</w:t>
      </w:r>
    </w:p>
    <w:p w14:paraId="35070C86"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proofErr w:type="spellStart"/>
      <w:r w:rsidRPr="001C4F2D">
        <w:rPr>
          <w:rFonts w:ascii="Arial" w:hAnsi="Arial" w:cs="Arial"/>
          <w:sz w:val="20"/>
          <w:szCs w:val="20"/>
        </w:rPr>
        <w:t>Diler</w:t>
      </w:r>
      <w:proofErr w:type="spellEnd"/>
      <w:r w:rsidRPr="001C4F2D">
        <w:rPr>
          <w:rFonts w:ascii="Arial" w:hAnsi="Arial" w:cs="Arial"/>
          <w:sz w:val="20"/>
          <w:szCs w:val="20"/>
        </w:rPr>
        <w:t xml:space="preserve">, S.B., </w:t>
      </w:r>
      <w:proofErr w:type="spellStart"/>
      <w:r w:rsidRPr="001C4F2D">
        <w:rPr>
          <w:rFonts w:ascii="Arial" w:hAnsi="Arial" w:cs="Arial"/>
          <w:sz w:val="20"/>
          <w:szCs w:val="20"/>
        </w:rPr>
        <w:t>Ergene</w:t>
      </w:r>
      <w:proofErr w:type="spellEnd"/>
      <w:r w:rsidRPr="001C4F2D">
        <w:rPr>
          <w:rFonts w:ascii="Arial" w:hAnsi="Arial" w:cs="Arial"/>
          <w:sz w:val="20"/>
          <w:szCs w:val="20"/>
        </w:rPr>
        <w:t>, S. (2022): Nuclear anomalies in the buccal cells of calcite factory workers. Genetic. Molecular. Biology. 33(2), 374–378</w:t>
      </w:r>
    </w:p>
    <w:p w14:paraId="6A78396F" w14:textId="77777777" w:rsidR="001C4F2D" w:rsidRPr="001C4F2D" w:rsidRDefault="001C4F2D" w:rsidP="001C4F2D">
      <w:pPr>
        <w:pStyle w:val="ListParagraph"/>
        <w:numPr>
          <w:ilvl w:val="0"/>
          <w:numId w:val="30"/>
        </w:numPr>
        <w:spacing w:line="360" w:lineRule="auto"/>
        <w:jc w:val="both"/>
        <w:rPr>
          <w:rFonts w:ascii="Arial" w:hAnsi="Arial" w:cs="Arial"/>
          <w:sz w:val="20"/>
          <w:szCs w:val="20"/>
        </w:rPr>
      </w:pPr>
      <w:r w:rsidRPr="001C4F2D">
        <w:rPr>
          <w:rFonts w:ascii="Arial" w:hAnsi="Arial" w:cs="Arial"/>
          <w:sz w:val="20"/>
          <w:szCs w:val="20"/>
        </w:rPr>
        <w:t xml:space="preserve">Jyoti, S., </w:t>
      </w:r>
      <w:proofErr w:type="spellStart"/>
      <w:r w:rsidRPr="001C4F2D">
        <w:rPr>
          <w:rFonts w:ascii="Arial" w:hAnsi="Arial" w:cs="Arial"/>
          <w:sz w:val="20"/>
          <w:szCs w:val="20"/>
        </w:rPr>
        <w:t>Siddiquea</w:t>
      </w:r>
      <w:proofErr w:type="spellEnd"/>
      <w:r w:rsidRPr="001C4F2D">
        <w:rPr>
          <w:rFonts w:ascii="Arial" w:hAnsi="Arial" w:cs="Arial"/>
          <w:sz w:val="20"/>
          <w:szCs w:val="20"/>
        </w:rPr>
        <w:t xml:space="preserve">, Y.H., Khan, </w:t>
      </w:r>
      <w:proofErr w:type="gramStart"/>
      <w:r w:rsidRPr="001C4F2D">
        <w:rPr>
          <w:rFonts w:ascii="Arial" w:hAnsi="Arial" w:cs="Arial"/>
          <w:sz w:val="20"/>
          <w:szCs w:val="20"/>
        </w:rPr>
        <w:t>S.(</w:t>
      </w:r>
      <w:proofErr w:type="gramEnd"/>
      <w:r w:rsidRPr="001C4F2D">
        <w:rPr>
          <w:rFonts w:ascii="Arial" w:hAnsi="Arial" w:cs="Arial"/>
          <w:sz w:val="20"/>
          <w:szCs w:val="20"/>
        </w:rPr>
        <w:t xml:space="preserve">2015): Effect on micronucleus frequency and DNA damage in buccal </w:t>
      </w:r>
      <w:proofErr w:type="spellStart"/>
      <w:r w:rsidRPr="001C4F2D">
        <w:rPr>
          <w:rFonts w:ascii="Arial" w:hAnsi="Arial" w:cs="Arial"/>
          <w:sz w:val="20"/>
          <w:szCs w:val="20"/>
        </w:rPr>
        <w:t>epiththelial</w:t>
      </w:r>
      <w:proofErr w:type="spellEnd"/>
      <w:r w:rsidRPr="001C4F2D">
        <w:rPr>
          <w:rFonts w:ascii="Arial" w:hAnsi="Arial" w:cs="Arial"/>
          <w:sz w:val="20"/>
          <w:szCs w:val="20"/>
        </w:rPr>
        <w:t xml:space="preserve"> cells of various factors among pan masala and </w:t>
      </w:r>
      <w:proofErr w:type="spellStart"/>
      <w:r w:rsidRPr="001C4F2D">
        <w:rPr>
          <w:rFonts w:ascii="Arial" w:hAnsi="Arial" w:cs="Arial"/>
          <w:sz w:val="20"/>
          <w:szCs w:val="20"/>
        </w:rPr>
        <w:t>gutkhaoral</w:t>
      </w:r>
      <w:proofErr w:type="spellEnd"/>
      <w:r w:rsidRPr="001C4F2D">
        <w:rPr>
          <w:rFonts w:ascii="Arial" w:hAnsi="Arial" w:cs="Arial"/>
          <w:sz w:val="20"/>
          <w:szCs w:val="20"/>
        </w:rPr>
        <w:t xml:space="preserve"> science. International. Journal of Oral Science. 12, 9–14</w:t>
      </w:r>
    </w:p>
    <w:p w14:paraId="527C6E03" w14:textId="77777777" w:rsidR="00D6118F" w:rsidRPr="00C577B3" w:rsidRDefault="00D6118F" w:rsidP="00C12FCA">
      <w:pPr>
        <w:spacing w:line="360" w:lineRule="auto"/>
        <w:ind w:left="0"/>
        <w:jc w:val="both"/>
        <w:rPr>
          <w:rFonts w:ascii="Arial" w:eastAsia="Times New Roman" w:hAnsi="Arial" w:cs="Arial"/>
          <w:b/>
          <w:iCs/>
          <w:sz w:val="24"/>
          <w:szCs w:val="24"/>
        </w:rPr>
      </w:pPr>
    </w:p>
    <w:sectPr w:rsidR="00D6118F" w:rsidRPr="00C577B3" w:rsidSect="00CB08E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7CFCC" w14:textId="77777777" w:rsidR="00A06EAE" w:rsidRDefault="00A06EAE" w:rsidP="0032275C">
      <w:pPr>
        <w:spacing w:after="0" w:line="240" w:lineRule="auto"/>
      </w:pPr>
      <w:r>
        <w:separator/>
      </w:r>
    </w:p>
  </w:endnote>
  <w:endnote w:type="continuationSeparator" w:id="0">
    <w:p w14:paraId="42DFA405" w14:textId="77777777" w:rsidR="00A06EAE" w:rsidRDefault="00A06EAE" w:rsidP="00322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AFD5" w14:textId="77777777" w:rsidR="00830C81" w:rsidRDefault="00830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829422"/>
      <w:docPartObj>
        <w:docPartGallery w:val="Page Numbers (Bottom of Page)"/>
        <w:docPartUnique/>
      </w:docPartObj>
    </w:sdtPr>
    <w:sdtEndPr/>
    <w:sdtContent>
      <w:p w14:paraId="30E94070" w14:textId="77777777" w:rsidR="006652DB" w:rsidRDefault="00FD3DB9">
        <w:pPr>
          <w:pStyle w:val="Footer"/>
          <w:jc w:val="right"/>
        </w:pPr>
        <w:r>
          <w:fldChar w:fldCharType="begin"/>
        </w:r>
        <w:r>
          <w:instrText xml:space="preserve"> PAGE   \* MERGEFORMAT </w:instrText>
        </w:r>
        <w:r>
          <w:fldChar w:fldCharType="separate"/>
        </w:r>
        <w:r w:rsidR="007E1420">
          <w:rPr>
            <w:noProof/>
          </w:rPr>
          <w:t>1</w:t>
        </w:r>
        <w:r>
          <w:rPr>
            <w:noProof/>
          </w:rPr>
          <w:fldChar w:fldCharType="end"/>
        </w:r>
      </w:p>
    </w:sdtContent>
  </w:sdt>
  <w:p w14:paraId="7F59C680" w14:textId="77777777" w:rsidR="006652DB" w:rsidRDefault="00665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A7B8" w14:textId="77777777" w:rsidR="00830C81" w:rsidRDefault="0083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3715" w14:textId="77777777" w:rsidR="00A06EAE" w:rsidRDefault="00A06EAE" w:rsidP="0032275C">
      <w:pPr>
        <w:spacing w:after="0" w:line="240" w:lineRule="auto"/>
      </w:pPr>
      <w:r>
        <w:separator/>
      </w:r>
    </w:p>
  </w:footnote>
  <w:footnote w:type="continuationSeparator" w:id="0">
    <w:p w14:paraId="5A3200BE" w14:textId="77777777" w:rsidR="00A06EAE" w:rsidRDefault="00A06EAE" w:rsidP="00322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C3B7F" w14:textId="587E8C86" w:rsidR="00830C81" w:rsidRDefault="00830C81">
    <w:pPr>
      <w:pStyle w:val="Header"/>
    </w:pPr>
    <w:r>
      <w:rPr>
        <w:noProof/>
      </w:rPr>
      <w:pict w14:anchorId="0AFAF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062516"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0D33" w14:textId="39CB37D4" w:rsidR="006652DB" w:rsidRDefault="00830C81">
    <w:pPr>
      <w:pStyle w:val="Header"/>
    </w:pPr>
    <w:r>
      <w:rPr>
        <w:noProof/>
      </w:rPr>
      <w:pict w14:anchorId="7286D5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06251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E181EDE" w14:textId="77777777" w:rsidR="006652DB" w:rsidRDefault="00665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364B" w14:textId="1E11E724" w:rsidR="00830C81" w:rsidRDefault="00830C81">
    <w:pPr>
      <w:pStyle w:val="Header"/>
    </w:pPr>
    <w:r>
      <w:rPr>
        <w:noProof/>
      </w:rPr>
      <w:pict w14:anchorId="275C6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062515"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B7C286"/>
    <w:multiLevelType w:val="singleLevel"/>
    <w:tmpl w:val="B4B7C286"/>
    <w:lvl w:ilvl="0">
      <w:start w:val="16"/>
      <w:numFmt w:val="decimal"/>
      <w:suff w:val="space"/>
      <w:lvlText w:val="%1."/>
      <w:lvlJc w:val="left"/>
    </w:lvl>
  </w:abstractNum>
  <w:abstractNum w:abstractNumId="1" w15:restartNumberingAfterBreak="0">
    <w:nsid w:val="092457E5"/>
    <w:multiLevelType w:val="hybridMultilevel"/>
    <w:tmpl w:val="83B2AD2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15:restartNumberingAfterBreak="0">
    <w:nsid w:val="0A976BC2"/>
    <w:multiLevelType w:val="hybridMultilevel"/>
    <w:tmpl w:val="828CACF4"/>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81016"/>
    <w:multiLevelType w:val="hybridMultilevel"/>
    <w:tmpl w:val="C10A322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15:restartNumberingAfterBreak="0">
    <w:nsid w:val="11D26B2C"/>
    <w:multiLevelType w:val="hybridMultilevel"/>
    <w:tmpl w:val="6B064650"/>
    <w:lvl w:ilvl="0" w:tplc="CC3477F2">
      <w:start w:val="1"/>
      <w:numFmt w:val="bullet"/>
      <w:lvlText w:val="•"/>
      <w:lvlJc w:val="left"/>
      <w:pPr>
        <w:tabs>
          <w:tab w:val="num" w:pos="720"/>
        </w:tabs>
        <w:ind w:left="720" w:hanging="360"/>
      </w:pPr>
      <w:rPr>
        <w:rFonts w:ascii="Arial" w:hAnsi="Arial" w:hint="default"/>
      </w:rPr>
    </w:lvl>
    <w:lvl w:ilvl="1" w:tplc="E9749522" w:tentative="1">
      <w:start w:val="1"/>
      <w:numFmt w:val="bullet"/>
      <w:lvlText w:val="•"/>
      <w:lvlJc w:val="left"/>
      <w:pPr>
        <w:tabs>
          <w:tab w:val="num" w:pos="1440"/>
        </w:tabs>
        <w:ind w:left="1440" w:hanging="360"/>
      </w:pPr>
      <w:rPr>
        <w:rFonts w:ascii="Arial" w:hAnsi="Arial" w:hint="default"/>
      </w:rPr>
    </w:lvl>
    <w:lvl w:ilvl="2" w:tplc="C6240CCC" w:tentative="1">
      <w:start w:val="1"/>
      <w:numFmt w:val="bullet"/>
      <w:lvlText w:val="•"/>
      <w:lvlJc w:val="left"/>
      <w:pPr>
        <w:tabs>
          <w:tab w:val="num" w:pos="2160"/>
        </w:tabs>
        <w:ind w:left="2160" w:hanging="360"/>
      </w:pPr>
      <w:rPr>
        <w:rFonts w:ascii="Arial" w:hAnsi="Arial" w:hint="default"/>
      </w:rPr>
    </w:lvl>
    <w:lvl w:ilvl="3" w:tplc="718A2380" w:tentative="1">
      <w:start w:val="1"/>
      <w:numFmt w:val="bullet"/>
      <w:lvlText w:val="•"/>
      <w:lvlJc w:val="left"/>
      <w:pPr>
        <w:tabs>
          <w:tab w:val="num" w:pos="2880"/>
        </w:tabs>
        <w:ind w:left="2880" w:hanging="360"/>
      </w:pPr>
      <w:rPr>
        <w:rFonts w:ascii="Arial" w:hAnsi="Arial" w:hint="default"/>
      </w:rPr>
    </w:lvl>
    <w:lvl w:ilvl="4" w:tplc="34F4C6A2" w:tentative="1">
      <w:start w:val="1"/>
      <w:numFmt w:val="bullet"/>
      <w:lvlText w:val="•"/>
      <w:lvlJc w:val="left"/>
      <w:pPr>
        <w:tabs>
          <w:tab w:val="num" w:pos="3600"/>
        </w:tabs>
        <w:ind w:left="3600" w:hanging="360"/>
      </w:pPr>
      <w:rPr>
        <w:rFonts w:ascii="Arial" w:hAnsi="Arial" w:hint="default"/>
      </w:rPr>
    </w:lvl>
    <w:lvl w:ilvl="5" w:tplc="E80A53B4" w:tentative="1">
      <w:start w:val="1"/>
      <w:numFmt w:val="bullet"/>
      <w:lvlText w:val="•"/>
      <w:lvlJc w:val="left"/>
      <w:pPr>
        <w:tabs>
          <w:tab w:val="num" w:pos="4320"/>
        </w:tabs>
        <w:ind w:left="4320" w:hanging="360"/>
      </w:pPr>
      <w:rPr>
        <w:rFonts w:ascii="Arial" w:hAnsi="Arial" w:hint="default"/>
      </w:rPr>
    </w:lvl>
    <w:lvl w:ilvl="6" w:tplc="A4943B48" w:tentative="1">
      <w:start w:val="1"/>
      <w:numFmt w:val="bullet"/>
      <w:lvlText w:val="•"/>
      <w:lvlJc w:val="left"/>
      <w:pPr>
        <w:tabs>
          <w:tab w:val="num" w:pos="5040"/>
        </w:tabs>
        <w:ind w:left="5040" w:hanging="360"/>
      </w:pPr>
      <w:rPr>
        <w:rFonts w:ascii="Arial" w:hAnsi="Arial" w:hint="default"/>
      </w:rPr>
    </w:lvl>
    <w:lvl w:ilvl="7" w:tplc="AA90EF62" w:tentative="1">
      <w:start w:val="1"/>
      <w:numFmt w:val="bullet"/>
      <w:lvlText w:val="•"/>
      <w:lvlJc w:val="left"/>
      <w:pPr>
        <w:tabs>
          <w:tab w:val="num" w:pos="5760"/>
        </w:tabs>
        <w:ind w:left="5760" w:hanging="360"/>
      </w:pPr>
      <w:rPr>
        <w:rFonts w:ascii="Arial" w:hAnsi="Arial" w:hint="default"/>
      </w:rPr>
    </w:lvl>
    <w:lvl w:ilvl="8" w:tplc="0D8E43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0D5D1A"/>
    <w:multiLevelType w:val="hybridMultilevel"/>
    <w:tmpl w:val="DCB0EF9C"/>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6" w15:restartNumberingAfterBreak="0">
    <w:nsid w:val="1C441A8D"/>
    <w:multiLevelType w:val="hybridMultilevel"/>
    <w:tmpl w:val="AAE2443C"/>
    <w:lvl w:ilvl="0" w:tplc="04090013">
      <w:start w:val="1"/>
      <w:numFmt w:val="upp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7" w15:restartNumberingAfterBreak="0">
    <w:nsid w:val="1EBE1777"/>
    <w:multiLevelType w:val="hybridMultilevel"/>
    <w:tmpl w:val="BD5AB04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32DA04F0"/>
    <w:multiLevelType w:val="hybridMultilevel"/>
    <w:tmpl w:val="53567D74"/>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9" w15:restartNumberingAfterBreak="0">
    <w:nsid w:val="3A0C223D"/>
    <w:multiLevelType w:val="hybridMultilevel"/>
    <w:tmpl w:val="622226B4"/>
    <w:lvl w:ilvl="0" w:tplc="4EBC12E4">
      <w:start w:val="1"/>
      <w:numFmt w:val="bullet"/>
      <w:lvlText w:val="•"/>
      <w:lvlJc w:val="left"/>
      <w:pPr>
        <w:tabs>
          <w:tab w:val="num" w:pos="720"/>
        </w:tabs>
        <w:ind w:left="720" w:hanging="360"/>
      </w:pPr>
      <w:rPr>
        <w:rFonts w:ascii="Arial" w:hAnsi="Arial" w:hint="default"/>
      </w:rPr>
    </w:lvl>
    <w:lvl w:ilvl="1" w:tplc="FA683264" w:tentative="1">
      <w:start w:val="1"/>
      <w:numFmt w:val="bullet"/>
      <w:lvlText w:val="•"/>
      <w:lvlJc w:val="left"/>
      <w:pPr>
        <w:tabs>
          <w:tab w:val="num" w:pos="1440"/>
        </w:tabs>
        <w:ind w:left="1440" w:hanging="360"/>
      </w:pPr>
      <w:rPr>
        <w:rFonts w:ascii="Arial" w:hAnsi="Arial" w:hint="default"/>
      </w:rPr>
    </w:lvl>
    <w:lvl w:ilvl="2" w:tplc="AEEC11C6" w:tentative="1">
      <w:start w:val="1"/>
      <w:numFmt w:val="bullet"/>
      <w:lvlText w:val="•"/>
      <w:lvlJc w:val="left"/>
      <w:pPr>
        <w:tabs>
          <w:tab w:val="num" w:pos="2160"/>
        </w:tabs>
        <w:ind w:left="2160" w:hanging="360"/>
      </w:pPr>
      <w:rPr>
        <w:rFonts w:ascii="Arial" w:hAnsi="Arial" w:hint="default"/>
      </w:rPr>
    </w:lvl>
    <w:lvl w:ilvl="3" w:tplc="45809F9C" w:tentative="1">
      <w:start w:val="1"/>
      <w:numFmt w:val="bullet"/>
      <w:lvlText w:val="•"/>
      <w:lvlJc w:val="left"/>
      <w:pPr>
        <w:tabs>
          <w:tab w:val="num" w:pos="2880"/>
        </w:tabs>
        <w:ind w:left="2880" w:hanging="360"/>
      </w:pPr>
      <w:rPr>
        <w:rFonts w:ascii="Arial" w:hAnsi="Arial" w:hint="default"/>
      </w:rPr>
    </w:lvl>
    <w:lvl w:ilvl="4" w:tplc="BBD8FEAE" w:tentative="1">
      <w:start w:val="1"/>
      <w:numFmt w:val="bullet"/>
      <w:lvlText w:val="•"/>
      <w:lvlJc w:val="left"/>
      <w:pPr>
        <w:tabs>
          <w:tab w:val="num" w:pos="3600"/>
        </w:tabs>
        <w:ind w:left="3600" w:hanging="360"/>
      </w:pPr>
      <w:rPr>
        <w:rFonts w:ascii="Arial" w:hAnsi="Arial" w:hint="default"/>
      </w:rPr>
    </w:lvl>
    <w:lvl w:ilvl="5" w:tplc="FC90CD02" w:tentative="1">
      <w:start w:val="1"/>
      <w:numFmt w:val="bullet"/>
      <w:lvlText w:val="•"/>
      <w:lvlJc w:val="left"/>
      <w:pPr>
        <w:tabs>
          <w:tab w:val="num" w:pos="4320"/>
        </w:tabs>
        <w:ind w:left="4320" w:hanging="360"/>
      </w:pPr>
      <w:rPr>
        <w:rFonts w:ascii="Arial" w:hAnsi="Arial" w:hint="default"/>
      </w:rPr>
    </w:lvl>
    <w:lvl w:ilvl="6" w:tplc="65723FE4" w:tentative="1">
      <w:start w:val="1"/>
      <w:numFmt w:val="bullet"/>
      <w:lvlText w:val="•"/>
      <w:lvlJc w:val="left"/>
      <w:pPr>
        <w:tabs>
          <w:tab w:val="num" w:pos="5040"/>
        </w:tabs>
        <w:ind w:left="5040" w:hanging="360"/>
      </w:pPr>
      <w:rPr>
        <w:rFonts w:ascii="Arial" w:hAnsi="Arial" w:hint="default"/>
      </w:rPr>
    </w:lvl>
    <w:lvl w:ilvl="7" w:tplc="99944B86" w:tentative="1">
      <w:start w:val="1"/>
      <w:numFmt w:val="bullet"/>
      <w:lvlText w:val="•"/>
      <w:lvlJc w:val="left"/>
      <w:pPr>
        <w:tabs>
          <w:tab w:val="num" w:pos="5760"/>
        </w:tabs>
        <w:ind w:left="5760" w:hanging="360"/>
      </w:pPr>
      <w:rPr>
        <w:rFonts w:ascii="Arial" w:hAnsi="Arial" w:hint="default"/>
      </w:rPr>
    </w:lvl>
    <w:lvl w:ilvl="8" w:tplc="E348F9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1371D0"/>
    <w:multiLevelType w:val="hybridMultilevel"/>
    <w:tmpl w:val="2D3EFF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3E6C0316"/>
    <w:multiLevelType w:val="multilevel"/>
    <w:tmpl w:val="2836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A12D8"/>
    <w:multiLevelType w:val="multilevel"/>
    <w:tmpl w:val="370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C00064"/>
    <w:multiLevelType w:val="hybridMultilevel"/>
    <w:tmpl w:val="70E0C40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4" w15:restartNumberingAfterBreak="0">
    <w:nsid w:val="43FC652F"/>
    <w:multiLevelType w:val="hybridMultilevel"/>
    <w:tmpl w:val="1ADA8A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1573A9"/>
    <w:multiLevelType w:val="hybridMultilevel"/>
    <w:tmpl w:val="80384B4C"/>
    <w:lvl w:ilvl="0" w:tplc="B18E0D46">
      <w:start w:val="1"/>
      <w:numFmt w:val="lowerRoman"/>
      <w:lvlText w:val="%1."/>
      <w:lvlJc w:val="left"/>
      <w:pPr>
        <w:ind w:left="833" w:hanging="7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47E6127B"/>
    <w:multiLevelType w:val="hybridMultilevel"/>
    <w:tmpl w:val="F4283BC4"/>
    <w:lvl w:ilvl="0" w:tplc="DDAE142A">
      <w:start w:val="1"/>
      <w:numFmt w:val="lowerRoman"/>
      <w:lvlText w:val="%1."/>
      <w:lvlJc w:val="left"/>
      <w:pPr>
        <w:ind w:left="1553" w:hanging="720"/>
      </w:pPr>
      <w:rPr>
        <w:rFonts w:hint="default"/>
        <w:b/>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17" w15:restartNumberingAfterBreak="0">
    <w:nsid w:val="4A9A4395"/>
    <w:multiLevelType w:val="hybridMultilevel"/>
    <w:tmpl w:val="B91627A8"/>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8" w15:restartNumberingAfterBreak="0">
    <w:nsid w:val="4AA1390D"/>
    <w:multiLevelType w:val="hybridMultilevel"/>
    <w:tmpl w:val="BB5435D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9" w15:restartNumberingAfterBreak="0">
    <w:nsid w:val="4B6E799D"/>
    <w:multiLevelType w:val="hybridMultilevel"/>
    <w:tmpl w:val="7BAAB6F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0" w15:restartNumberingAfterBreak="0">
    <w:nsid w:val="54A0466C"/>
    <w:multiLevelType w:val="hybridMultilevel"/>
    <w:tmpl w:val="D09A6034"/>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1" w15:restartNumberingAfterBreak="0">
    <w:nsid w:val="59D80464"/>
    <w:multiLevelType w:val="multilevel"/>
    <w:tmpl w:val="2D5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3E6453"/>
    <w:multiLevelType w:val="hybridMultilevel"/>
    <w:tmpl w:val="2E64001A"/>
    <w:lvl w:ilvl="0" w:tplc="04090013">
      <w:start w:val="1"/>
      <w:numFmt w:val="upp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3" w15:restartNumberingAfterBreak="0">
    <w:nsid w:val="62BC0237"/>
    <w:multiLevelType w:val="hybridMultilevel"/>
    <w:tmpl w:val="4A5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957BA"/>
    <w:multiLevelType w:val="hybridMultilevel"/>
    <w:tmpl w:val="AB72DFE4"/>
    <w:lvl w:ilvl="0" w:tplc="0409001B">
      <w:start w:val="1"/>
      <w:numFmt w:val="lowerRoman"/>
      <w:lvlText w:val="%1."/>
      <w:lvlJc w:val="righ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5" w15:restartNumberingAfterBreak="0">
    <w:nsid w:val="6514077C"/>
    <w:multiLevelType w:val="hybridMultilevel"/>
    <w:tmpl w:val="8EE6B11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6" w15:restartNumberingAfterBreak="0">
    <w:nsid w:val="69DD01BC"/>
    <w:multiLevelType w:val="hybridMultilevel"/>
    <w:tmpl w:val="8828F9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7003AA"/>
    <w:multiLevelType w:val="multilevel"/>
    <w:tmpl w:val="7C3A29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345B7C"/>
    <w:multiLevelType w:val="multilevel"/>
    <w:tmpl w:val="C78612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D42E09"/>
    <w:multiLevelType w:val="hybridMultilevel"/>
    <w:tmpl w:val="438A7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4"/>
  </w:num>
  <w:num w:numId="4">
    <w:abstractNumId w:val="15"/>
  </w:num>
  <w:num w:numId="5">
    <w:abstractNumId w:val="16"/>
  </w:num>
  <w:num w:numId="6">
    <w:abstractNumId w:val="0"/>
  </w:num>
  <w:num w:numId="7">
    <w:abstractNumId w:val="21"/>
  </w:num>
  <w:num w:numId="8">
    <w:abstractNumId w:val="12"/>
  </w:num>
  <w:num w:numId="9">
    <w:abstractNumId w:val="11"/>
  </w:num>
  <w:num w:numId="10">
    <w:abstractNumId w:val="28"/>
  </w:num>
  <w:num w:numId="11">
    <w:abstractNumId w:val="26"/>
  </w:num>
  <w:num w:numId="12">
    <w:abstractNumId w:val="20"/>
  </w:num>
  <w:num w:numId="13">
    <w:abstractNumId w:val="24"/>
  </w:num>
  <w:num w:numId="14">
    <w:abstractNumId w:val="17"/>
  </w:num>
  <w:num w:numId="15">
    <w:abstractNumId w:val="2"/>
  </w:num>
  <w:num w:numId="16">
    <w:abstractNumId w:val="22"/>
  </w:num>
  <w:num w:numId="17">
    <w:abstractNumId w:val="14"/>
  </w:num>
  <w:num w:numId="18">
    <w:abstractNumId w:val="6"/>
  </w:num>
  <w:num w:numId="19">
    <w:abstractNumId w:val="19"/>
  </w:num>
  <w:num w:numId="20">
    <w:abstractNumId w:val="18"/>
  </w:num>
  <w:num w:numId="21">
    <w:abstractNumId w:val="13"/>
  </w:num>
  <w:num w:numId="22">
    <w:abstractNumId w:val="25"/>
  </w:num>
  <w:num w:numId="23">
    <w:abstractNumId w:val="5"/>
  </w:num>
  <w:num w:numId="24">
    <w:abstractNumId w:val="3"/>
  </w:num>
  <w:num w:numId="25">
    <w:abstractNumId w:val="8"/>
  </w:num>
  <w:num w:numId="26">
    <w:abstractNumId w:val="1"/>
  </w:num>
  <w:num w:numId="27">
    <w:abstractNumId w:val="7"/>
  </w:num>
  <w:num w:numId="28">
    <w:abstractNumId w:val="23"/>
  </w:num>
  <w:num w:numId="29">
    <w:abstractNumId w:val="27"/>
  </w:num>
  <w:num w:numId="3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275C"/>
    <w:rsid w:val="00002B90"/>
    <w:rsid w:val="000071CB"/>
    <w:rsid w:val="0002407A"/>
    <w:rsid w:val="0002795F"/>
    <w:rsid w:val="000343FD"/>
    <w:rsid w:val="0006026F"/>
    <w:rsid w:val="00066733"/>
    <w:rsid w:val="0008776D"/>
    <w:rsid w:val="000903CA"/>
    <w:rsid w:val="00090819"/>
    <w:rsid w:val="000A2D1E"/>
    <w:rsid w:val="000A6F6F"/>
    <w:rsid w:val="000B0F0D"/>
    <w:rsid w:val="000B57EB"/>
    <w:rsid w:val="000B5FDD"/>
    <w:rsid w:val="000C0305"/>
    <w:rsid w:val="000C1972"/>
    <w:rsid w:val="000C19B0"/>
    <w:rsid w:val="000C2415"/>
    <w:rsid w:val="000D1C3E"/>
    <w:rsid w:val="000D7843"/>
    <w:rsid w:val="000E2441"/>
    <w:rsid w:val="000E5410"/>
    <w:rsid w:val="000F0221"/>
    <w:rsid w:val="000F4B27"/>
    <w:rsid w:val="001074EB"/>
    <w:rsid w:val="0011315E"/>
    <w:rsid w:val="00117771"/>
    <w:rsid w:val="001312F7"/>
    <w:rsid w:val="001348E8"/>
    <w:rsid w:val="00144483"/>
    <w:rsid w:val="00150D28"/>
    <w:rsid w:val="001579D5"/>
    <w:rsid w:val="00160F67"/>
    <w:rsid w:val="00170AFC"/>
    <w:rsid w:val="00184437"/>
    <w:rsid w:val="00184DF2"/>
    <w:rsid w:val="0018699E"/>
    <w:rsid w:val="00195F2B"/>
    <w:rsid w:val="001A3C8D"/>
    <w:rsid w:val="001B7FC6"/>
    <w:rsid w:val="001C2BAB"/>
    <w:rsid w:val="001C4F2D"/>
    <w:rsid w:val="001D1D6A"/>
    <w:rsid w:val="001E00C4"/>
    <w:rsid w:val="001E0A5E"/>
    <w:rsid w:val="001E4390"/>
    <w:rsid w:val="001F3CAA"/>
    <w:rsid w:val="00203794"/>
    <w:rsid w:val="00204FE6"/>
    <w:rsid w:val="00206E1D"/>
    <w:rsid w:val="002149A0"/>
    <w:rsid w:val="002164EB"/>
    <w:rsid w:val="0023228E"/>
    <w:rsid w:val="002346ED"/>
    <w:rsid w:val="00243D6A"/>
    <w:rsid w:val="002471D2"/>
    <w:rsid w:val="002527CC"/>
    <w:rsid w:val="0025359C"/>
    <w:rsid w:val="002652F8"/>
    <w:rsid w:val="0026703F"/>
    <w:rsid w:val="00271463"/>
    <w:rsid w:val="002772B9"/>
    <w:rsid w:val="00280BB9"/>
    <w:rsid w:val="002824F2"/>
    <w:rsid w:val="0028419E"/>
    <w:rsid w:val="00285915"/>
    <w:rsid w:val="00286551"/>
    <w:rsid w:val="00286AF5"/>
    <w:rsid w:val="00295D07"/>
    <w:rsid w:val="00296164"/>
    <w:rsid w:val="0029788B"/>
    <w:rsid w:val="002A21FE"/>
    <w:rsid w:val="002A7128"/>
    <w:rsid w:val="002B0348"/>
    <w:rsid w:val="002B53FF"/>
    <w:rsid w:val="002C0E2E"/>
    <w:rsid w:val="002C5786"/>
    <w:rsid w:val="002D1D3A"/>
    <w:rsid w:val="002D611E"/>
    <w:rsid w:val="002F0D5F"/>
    <w:rsid w:val="002F0DE1"/>
    <w:rsid w:val="003010A4"/>
    <w:rsid w:val="00305C62"/>
    <w:rsid w:val="00316370"/>
    <w:rsid w:val="0032275C"/>
    <w:rsid w:val="00344A60"/>
    <w:rsid w:val="003464BA"/>
    <w:rsid w:val="00346F90"/>
    <w:rsid w:val="00364F38"/>
    <w:rsid w:val="003660BD"/>
    <w:rsid w:val="00377302"/>
    <w:rsid w:val="0038002C"/>
    <w:rsid w:val="00381652"/>
    <w:rsid w:val="00393314"/>
    <w:rsid w:val="00394F3D"/>
    <w:rsid w:val="00396DAF"/>
    <w:rsid w:val="003A515C"/>
    <w:rsid w:val="003C138E"/>
    <w:rsid w:val="003C1519"/>
    <w:rsid w:val="003C2012"/>
    <w:rsid w:val="003C39F2"/>
    <w:rsid w:val="003C6C80"/>
    <w:rsid w:val="003C6DDF"/>
    <w:rsid w:val="003D7F45"/>
    <w:rsid w:val="003E2577"/>
    <w:rsid w:val="003E2C1B"/>
    <w:rsid w:val="003F4234"/>
    <w:rsid w:val="00403194"/>
    <w:rsid w:val="00411599"/>
    <w:rsid w:val="00412889"/>
    <w:rsid w:val="0042002A"/>
    <w:rsid w:val="004468BA"/>
    <w:rsid w:val="00446E02"/>
    <w:rsid w:val="0045171F"/>
    <w:rsid w:val="004646C2"/>
    <w:rsid w:val="00465EFA"/>
    <w:rsid w:val="004712DC"/>
    <w:rsid w:val="004A6D97"/>
    <w:rsid w:val="004C2A7F"/>
    <w:rsid w:val="004C3DC0"/>
    <w:rsid w:val="004C726B"/>
    <w:rsid w:val="004D1187"/>
    <w:rsid w:val="004D2028"/>
    <w:rsid w:val="004E3DD0"/>
    <w:rsid w:val="00507B78"/>
    <w:rsid w:val="005221A2"/>
    <w:rsid w:val="0053497C"/>
    <w:rsid w:val="005359D1"/>
    <w:rsid w:val="0055149E"/>
    <w:rsid w:val="005558BD"/>
    <w:rsid w:val="005669FD"/>
    <w:rsid w:val="00574796"/>
    <w:rsid w:val="0058663F"/>
    <w:rsid w:val="005A3903"/>
    <w:rsid w:val="005A607D"/>
    <w:rsid w:val="005A6894"/>
    <w:rsid w:val="005A6ECA"/>
    <w:rsid w:val="005B6A04"/>
    <w:rsid w:val="005C1A52"/>
    <w:rsid w:val="005C20CA"/>
    <w:rsid w:val="005C41E6"/>
    <w:rsid w:val="005C4A21"/>
    <w:rsid w:val="005D2C38"/>
    <w:rsid w:val="005D648F"/>
    <w:rsid w:val="0060291F"/>
    <w:rsid w:val="006214B7"/>
    <w:rsid w:val="00626331"/>
    <w:rsid w:val="00635A3F"/>
    <w:rsid w:val="00635C9F"/>
    <w:rsid w:val="00640D5B"/>
    <w:rsid w:val="00643BEC"/>
    <w:rsid w:val="00654478"/>
    <w:rsid w:val="00654DE4"/>
    <w:rsid w:val="00656283"/>
    <w:rsid w:val="006652DB"/>
    <w:rsid w:val="006723B7"/>
    <w:rsid w:val="00675B5E"/>
    <w:rsid w:val="006760AE"/>
    <w:rsid w:val="00677665"/>
    <w:rsid w:val="006A60AF"/>
    <w:rsid w:val="006B7249"/>
    <w:rsid w:val="006C0480"/>
    <w:rsid w:val="006C7CDA"/>
    <w:rsid w:val="006D308E"/>
    <w:rsid w:val="006E2808"/>
    <w:rsid w:val="006E2E77"/>
    <w:rsid w:val="006E6C18"/>
    <w:rsid w:val="006F1DBD"/>
    <w:rsid w:val="006F296A"/>
    <w:rsid w:val="007022BA"/>
    <w:rsid w:val="007102D0"/>
    <w:rsid w:val="00731292"/>
    <w:rsid w:val="00750641"/>
    <w:rsid w:val="00764600"/>
    <w:rsid w:val="00765841"/>
    <w:rsid w:val="00767243"/>
    <w:rsid w:val="0076796A"/>
    <w:rsid w:val="007708C1"/>
    <w:rsid w:val="00797AAA"/>
    <w:rsid w:val="00797F9C"/>
    <w:rsid w:val="007A63AD"/>
    <w:rsid w:val="007B0109"/>
    <w:rsid w:val="007C09AC"/>
    <w:rsid w:val="007E1420"/>
    <w:rsid w:val="007E1BE3"/>
    <w:rsid w:val="007F11F3"/>
    <w:rsid w:val="007F237B"/>
    <w:rsid w:val="007F6AA3"/>
    <w:rsid w:val="008055D6"/>
    <w:rsid w:val="008074C1"/>
    <w:rsid w:val="008144FA"/>
    <w:rsid w:val="00830C81"/>
    <w:rsid w:val="00841896"/>
    <w:rsid w:val="00843C78"/>
    <w:rsid w:val="00845097"/>
    <w:rsid w:val="00847F8C"/>
    <w:rsid w:val="00851CA2"/>
    <w:rsid w:val="0085568E"/>
    <w:rsid w:val="00860597"/>
    <w:rsid w:val="0087635B"/>
    <w:rsid w:val="008774FB"/>
    <w:rsid w:val="008958FF"/>
    <w:rsid w:val="008A123B"/>
    <w:rsid w:val="008A519F"/>
    <w:rsid w:val="008A77F2"/>
    <w:rsid w:val="008C4278"/>
    <w:rsid w:val="008D1C0A"/>
    <w:rsid w:val="008D2E85"/>
    <w:rsid w:val="008D41F9"/>
    <w:rsid w:val="008E4AE7"/>
    <w:rsid w:val="008E4BDC"/>
    <w:rsid w:val="008E5D70"/>
    <w:rsid w:val="008F63EA"/>
    <w:rsid w:val="009026AB"/>
    <w:rsid w:val="00927F91"/>
    <w:rsid w:val="00951BDA"/>
    <w:rsid w:val="0095370C"/>
    <w:rsid w:val="009662FA"/>
    <w:rsid w:val="00967DBB"/>
    <w:rsid w:val="00972218"/>
    <w:rsid w:val="00973579"/>
    <w:rsid w:val="00980197"/>
    <w:rsid w:val="0099647F"/>
    <w:rsid w:val="009A1E5B"/>
    <w:rsid w:val="009A4D51"/>
    <w:rsid w:val="009C0769"/>
    <w:rsid w:val="009C7E17"/>
    <w:rsid w:val="009D073D"/>
    <w:rsid w:val="009D5756"/>
    <w:rsid w:val="009D629F"/>
    <w:rsid w:val="00A06EAE"/>
    <w:rsid w:val="00A24B50"/>
    <w:rsid w:val="00A27BC0"/>
    <w:rsid w:val="00A45607"/>
    <w:rsid w:val="00A832AC"/>
    <w:rsid w:val="00A86B56"/>
    <w:rsid w:val="00A86FB3"/>
    <w:rsid w:val="00A879EF"/>
    <w:rsid w:val="00A97987"/>
    <w:rsid w:val="00AA6996"/>
    <w:rsid w:val="00AC5268"/>
    <w:rsid w:val="00AD6323"/>
    <w:rsid w:val="00AF3671"/>
    <w:rsid w:val="00AF6B11"/>
    <w:rsid w:val="00AF7A9C"/>
    <w:rsid w:val="00B0040B"/>
    <w:rsid w:val="00B02E17"/>
    <w:rsid w:val="00B1085B"/>
    <w:rsid w:val="00B11673"/>
    <w:rsid w:val="00B1708F"/>
    <w:rsid w:val="00B46095"/>
    <w:rsid w:val="00B537AD"/>
    <w:rsid w:val="00B67CD4"/>
    <w:rsid w:val="00B740A3"/>
    <w:rsid w:val="00B75F53"/>
    <w:rsid w:val="00B96AB2"/>
    <w:rsid w:val="00BA2BAF"/>
    <w:rsid w:val="00BA3464"/>
    <w:rsid w:val="00BA785D"/>
    <w:rsid w:val="00BC48B8"/>
    <w:rsid w:val="00BD3EE4"/>
    <w:rsid w:val="00BD5493"/>
    <w:rsid w:val="00BD7F62"/>
    <w:rsid w:val="00BF57B8"/>
    <w:rsid w:val="00C0331E"/>
    <w:rsid w:val="00C11516"/>
    <w:rsid w:val="00C12FCA"/>
    <w:rsid w:val="00C22D77"/>
    <w:rsid w:val="00C26EFA"/>
    <w:rsid w:val="00C32122"/>
    <w:rsid w:val="00C43918"/>
    <w:rsid w:val="00C502AB"/>
    <w:rsid w:val="00C577B3"/>
    <w:rsid w:val="00C578AF"/>
    <w:rsid w:val="00C61653"/>
    <w:rsid w:val="00C6180B"/>
    <w:rsid w:val="00C635CC"/>
    <w:rsid w:val="00C63608"/>
    <w:rsid w:val="00C65E6A"/>
    <w:rsid w:val="00C66CA1"/>
    <w:rsid w:val="00C67D9F"/>
    <w:rsid w:val="00C73813"/>
    <w:rsid w:val="00C8372A"/>
    <w:rsid w:val="00C92321"/>
    <w:rsid w:val="00C94E95"/>
    <w:rsid w:val="00CB08EE"/>
    <w:rsid w:val="00CB410D"/>
    <w:rsid w:val="00CC2305"/>
    <w:rsid w:val="00CC5ACF"/>
    <w:rsid w:val="00CD2071"/>
    <w:rsid w:val="00CE2319"/>
    <w:rsid w:val="00CE57AB"/>
    <w:rsid w:val="00CF17AE"/>
    <w:rsid w:val="00CF185F"/>
    <w:rsid w:val="00CF4C6D"/>
    <w:rsid w:val="00D05006"/>
    <w:rsid w:val="00D06AF3"/>
    <w:rsid w:val="00D176AF"/>
    <w:rsid w:val="00D17DE4"/>
    <w:rsid w:val="00D2198B"/>
    <w:rsid w:val="00D23F58"/>
    <w:rsid w:val="00D3561A"/>
    <w:rsid w:val="00D41B80"/>
    <w:rsid w:val="00D6118F"/>
    <w:rsid w:val="00D61F3E"/>
    <w:rsid w:val="00D64612"/>
    <w:rsid w:val="00D73BE7"/>
    <w:rsid w:val="00D7762C"/>
    <w:rsid w:val="00D8673B"/>
    <w:rsid w:val="00D91745"/>
    <w:rsid w:val="00D95ACC"/>
    <w:rsid w:val="00DB55D4"/>
    <w:rsid w:val="00DC25F5"/>
    <w:rsid w:val="00DD588D"/>
    <w:rsid w:val="00DD5CB8"/>
    <w:rsid w:val="00DD7C73"/>
    <w:rsid w:val="00DE2A30"/>
    <w:rsid w:val="00DE4953"/>
    <w:rsid w:val="00DE4B4A"/>
    <w:rsid w:val="00DF12AA"/>
    <w:rsid w:val="00DF1ADA"/>
    <w:rsid w:val="00DF35F1"/>
    <w:rsid w:val="00DF36FB"/>
    <w:rsid w:val="00DF3C9E"/>
    <w:rsid w:val="00E040B7"/>
    <w:rsid w:val="00E11E66"/>
    <w:rsid w:val="00E26E9D"/>
    <w:rsid w:val="00E3050D"/>
    <w:rsid w:val="00E3331C"/>
    <w:rsid w:val="00E44EB0"/>
    <w:rsid w:val="00E53409"/>
    <w:rsid w:val="00E630DC"/>
    <w:rsid w:val="00E73EA2"/>
    <w:rsid w:val="00E74D21"/>
    <w:rsid w:val="00EA341E"/>
    <w:rsid w:val="00EC557C"/>
    <w:rsid w:val="00ED045D"/>
    <w:rsid w:val="00ED0E37"/>
    <w:rsid w:val="00ED7C75"/>
    <w:rsid w:val="00EE1BF5"/>
    <w:rsid w:val="00F07748"/>
    <w:rsid w:val="00F13B42"/>
    <w:rsid w:val="00F155F9"/>
    <w:rsid w:val="00F31658"/>
    <w:rsid w:val="00F333AB"/>
    <w:rsid w:val="00F40BDF"/>
    <w:rsid w:val="00F57134"/>
    <w:rsid w:val="00F6573C"/>
    <w:rsid w:val="00F671E9"/>
    <w:rsid w:val="00F76DA3"/>
    <w:rsid w:val="00FA023B"/>
    <w:rsid w:val="00FB2B64"/>
    <w:rsid w:val="00FC6464"/>
    <w:rsid w:val="00FC6D45"/>
    <w:rsid w:val="00FD1D96"/>
    <w:rsid w:val="00FD3DB9"/>
    <w:rsid w:val="00FE300D"/>
    <w:rsid w:val="00FE4A2B"/>
    <w:rsid w:val="00F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0"/>
        <o:r id="V:Rule2" type="connector" idref="#_x0000_s1047"/>
        <o:r id="V:Rule3" type="connector" idref="#_x0000_s1044"/>
        <o:r id="V:Rule4" type="connector" idref="#_x0000_s1037"/>
        <o:r id="V:Rule5" type="connector" idref="#_x0000_s1028"/>
        <o:r id="V:Rule6" type="connector" idref="#_x0000_s1042"/>
        <o:r id="V:Rule7" type="connector" idref="#_x0000_s1050"/>
        <o:r id="V:Rule8" type="connector" idref="#_x0000_s1038"/>
        <o:r id="V:Rule9" type="connector" idref="#_x0000_s1029"/>
        <o:r id="V:Rule10" type="connector" idref="#_x0000_s1030"/>
        <o:r id="V:Rule11" type="connector" idref="#_x0000_s1053"/>
        <o:r id="V:Rule12" type="connector" idref="#_x0000_s1051"/>
        <o:r id="V:Rule13" type="connector" idref="#_x0000_s1032"/>
        <o:r id="V:Rule14" type="connector" idref="#_x0000_s1034"/>
        <o:r id="V:Rule15" type="connector" idref="#_x0000_s1045"/>
        <o:r id="V:Rule16" type="connector" idref="#_x0000_s1049"/>
        <o:r id="V:Rule17" type="connector" idref="#_x0000_s1033"/>
        <o:r id="V:Rule18" type="connector" idref="#_x0000_s1048"/>
        <o:r id="V:Rule19" type="connector" idref="#_x0000_s1026"/>
        <o:r id="V:Rule20" type="connector" idref="#_x0000_s1035"/>
      </o:rules>
    </o:shapelayout>
  </w:shapeDefaults>
  <w:decimalSymbol w:val="."/>
  <w:listSeparator w:val=","/>
  <w14:docId w14:val="06B20D16"/>
  <w15:docId w15:val="{642A4370-B7A9-4EAD-B692-9D7EFE38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75C"/>
    <w:pPr>
      <w:spacing w:line="288" w:lineRule="auto"/>
      <w:ind w:left="113"/>
    </w:pPr>
    <w:rPr>
      <w:rFonts w:eastAsiaTheme="minorEastAsia"/>
      <w:sz w:val="21"/>
      <w:szCs w:val="21"/>
    </w:rPr>
  </w:style>
  <w:style w:type="paragraph" w:styleId="Heading2">
    <w:name w:val="heading 2"/>
    <w:basedOn w:val="Normal"/>
    <w:next w:val="Normal"/>
    <w:link w:val="Heading2Char"/>
    <w:uiPriority w:val="9"/>
    <w:unhideWhenUsed/>
    <w:qFormat/>
    <w:rsid w:val="00CD20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48E8"/>
    <w:pPr>
      <w:spacing w:before="100" w:beforeAutospacing="1" w:after="100" w:afterAutospacing="1" w:line="240" w:lineRule="auto"/>
      <w:ind w:left="0"/>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D20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5C"/>
    <w:rPr>
      <w:rFonts w:eastAsiaTheme="minorEastAsia"/>
      <w:sz w:val="21"/>
      <w:szCs w:val="21"/>
    </w:rPr>
  </w:style>
  <w:style w:type="paragraph" w:styleId="Footer">
    <w:name w:val="footer"/>
    <w:basedOn w:val="Normal"/>
    <w:link w:val="FooterChar"/>
    <w:uiPriority w:val="99"/>
    <w:unhideWhenUsed/>
    <w:rsid w:val="00322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5C"/>
    <w:rPr>
      <w:rFonts w:eastAsiaTheme="minorEastAsia"/>
      <w:sz w:val="21"/>
      <w:szCs w:val="21"/>
    </w:rPr>
  </w:style>
  <w:style w:type="paragraph" w:styleId="ListParagraph">
    <w:name w:val="List Paragraph"/>
    <w:basedOn w:val="Normal"/>
    <w:uiPriority w:val="99"/>
    <w:qFormat/>
    <w:rsid w:val="0058663F"/>
    <w:pPr>
      <w:ind w:left="720"/>
      <w:contextualSpacing/>
    </w:pPr>
  </w:style>
  <w:style w:type="table" w:styleId="TableGrid">
    <w:name w:val="Table Grid"/>
    <w:basedOn w:val="TableNormal"/>
    <w:uiPriority w:val="59"/>
    <w:rsid w:val="00860597"/>
    <w:pPr>
      <w:spacing w:after="0" w:line="240" w:lineRule="auto"/>
      <w:ind w:left="113"/>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4F38"/>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6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02"/>
    <w:rPr>
      <w:rFonts w:ascii="Tahoma" w:eastAsiaTheme="minorEastAsia" w:hAnsi="Tahoma" w:cs="Tahoma"/>
      <w:sz w:val="16"/>
      <w:szCs w:val="16"/>
    </w:rPr>
  </w:style>
  <w:style w:type="character" w:customStyle="1" w:styleId="topic-highlight">
    <w:name w:val="topic-highlight"/>
    <w:basedOn w:val="DefaultParagraphFont"/>
    <w:rsid w:val="00184437"/>
  </w:style>
  <w:style w:type="character" w:styleId="Strong">
    <w:name w:val="Strong"/>
    <w:basedOn w:val="DefaultParagraphFont"/>
    <w:uiPriority w:val="22"/>
    <w:qFormat/>
    <w:rsid w:val="00EC557C"/>
    <w:rPr>
      <w:b/>
      <w:bCs/>
    </w:rPr>
  </w:style>
  <w:style w:type="character" w:styleId="Hyperlink">
    <w:name w:val="Hyperlink"/>
    <w:basedOn w:val="DefaultParagraphFont"/>
    <w:uiPriority w:val="99"/>
    <w:unhideWhenUsed/>
    <w:rsid w:val="00DD5CB8"/>
    <w:rPr>
      <w:color w:val="0000FF"/>
      <w:u w:val="single"/>
    </w:rPr>
  </w:style>
  <w:style w:type="character" w:customStyle="1" w:styleId="cite-bracket">
    <w:name w:val="cite-bracket"/>
    <w:basedOn w:val="DefaultParagraphFont"/>
    <w:rsid w:val="002346ED"/>
  </w:style>
  <w:style w:type="character" w:customStyle="1" w:styleId="Heading3Char">
    <w:name w:val="Heading 3 Char"/>
    <w:basedOn w:val="DefaultParagraphFont"/>
    <w:link w:val="Heading3"/>
    <w:uiPriority w:val="9"/>
    <w:rsid w:val="001348E8"/>
    <w:rPr>
      <w:rFonts w:ascii="Times New Roman" w:eastAsia="Times New Roman" w:hAnsi="Times New Roman" w:cs="Times New Roman"/>
      <w:b/>
      <w:bCs/>
      <w:sz w:val="27"/>
      <w:szCs w:val="27"/>
    </w:rPr>
  </w:style>
  <w:style w:type="character" w:customStyle="1" w:styleId="mw-editsection">
    <w:name w:val="mw-editsection"/>
    <w:basedOn w:val="DefaultParagraphFont"/>
    <w:rsid w:val="00CD2071"/>
  </w:style>
  <w:style w:type="character" w:customStyle="1" w:styleId="mw-editsection-bracket">
    <w:name w:val="mw-editsection-bracket"/>
    <w:basedOn w:val="DefaultParagraphFont"/>
    <w:rsid w:val="00CD2071"/>
  </w:style>
  <w:style w:type="character" w:customStyle="1" w:styleId="Heading2Char">
    <w:name w:val="Heading 2 Char"/>
    <w:basedOn w:val="DefaultParagraphFont"/>
    <w:link w:val="Heading2"/>
    <w:uiPriority w:val="9"/>
    <w:rsid w:val="00CD207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D2071"/>
    <w:rPr>
      <w:rFonts w:asciiTheme="majorHAnsi" w:eastAsiaTheme="majorEastAsia" w:hAnsiTheme="majorHAnsi" w:cstheme="majorBidi"/>
      <w:b/>
      <w:bCs/>
      <w:i/>
      <w:iCs/>
      <w:color w:val="4F81BD" w:themeColor="accent1"/>
      <w:sz w:val="21"/>
      <w:szCs w:val="21"/>
    </w:rPr>
  </w:style>
  <w:style w:type="character" w:styleId="HTMLCite">
    <w:name w:val="HTML Cite"/>
    <w:basedOn w:val="DefaultParagraphFont"/>
    <w:uiPriority w:val="99"/>
    <w:semiHidden/>
    <w:unhideWhenUsed/>
    <w:rsid w:val="00C502AB"/>
    <w:rPr>
      <w:i/>
      <w:iCs/>
    </w:rPr>
  </w:style>
  <w:style w:type="character" w:customStyle="1" w:styleId="reference-text">
    <w:name w:val="reference-text"/>
    <w:basedOn w:val="DefaultParagraphFont"/>
    <w:rsid w:val="00C502AB"/>
  </w:style>
  <w:style w:type="character" w:customStyle="1" w:styleId="reference-accessdate">
    <w:name w:val="reference-accessdate"/>
    <w:basedOn w:val="DefaultParagraphFont"/>
    <w:rsid w:val="00C502AB"/>
  </w:style>
  <w:style w:type="character" w:customStyle="1" w:styleId="nowrap">
    <w:name w:val="nowrap"/>
    <w:basedOn w:val="DefaultParagraphFont"/>
    <w:rsid w:val="00C502AB"/>
  </w:style>
  <w:style w:type="character" w:customStyle="1" w:styleId="mx-05">
    <w:name w:val="mx-0.5"/>
    <w:basedOn w:val="DefaultParagraphFont"/>
    <w:rsid w:val="005D648F"/>
  </w:style>
  <w:style w:type="character" w:styleId="Emphasis">
    <w:name w:val="Emphasis"/>
    <w:basedOn w:val="DefaultParagraphFont"/>
    <w:uiPriority w:val="20"/>
    <w:qFormat/>
    <w:rsid w:val="00F671E9"/>
    <w:rPr>
      <w:i/>
      <w:iCs/>
    </w:rPr>
  </w:style>
  <w:style w:type="paragraph" w:styleId="NoSpacing">
    <w:name w:val="No Spacing"/>
    <w:uiPriority w:val="1"/>
    <w:qFormat/>
    <w:rsid w:val="00346F90"/>
    <w:pPr>
      <w:spacing w:after="0" w:line="240" w:lineRule="auto"/>
      <w:ind w:left="113"/>
    </w:pPr>
    <w:rPr>
      <w:rFonts w:eastAsiaTheme="minorEastAsia"/>
      <w:sz w:val="21"/>
      <w:szCs w:val="21"/>
    </w:rPr>
  </w:style>
  <w:style w:type="character" w:styleId="PlaceholderText">
    <w:name w:val="Placeholder Text"/>
    <w:basedOn w:val="DefaultParagraphFont"/>
    <w:uiPriority w:val="99"/>
    <w:semiHidden/>
    <w:rsid w:val="006F296A"/>
    <w:rPr>
      <w:color w:val="808080"/>
    </w:rPr>
  </w:style>
  <w:style w:type="paragraph" w:styleId="EndnoteText">
    <w:name w:val="endnote text"/>
    <w:basedOn w:val="Normal"/>
    <w:link w:val="EndnoteTextChar"/>
    <w:uiPriority w:val="99"/>
    <w:semiHidden/>
    <w:unhideWhenUsed/>
    <w:rsid w:val="00797F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7F9C"/>
    <w:rPr>
      <w:rFonts w:eastAsiaTheme="minorEastAsia"/>
      <w:sz w:val="20"/>
      <w:szCs w:val="20"/>
    </w:rPr>
  </w:style>
  <w:style w:type="character" w:styleId="EndnoteReference">
    <w:name w:val="endnote reference"/>
    <w:basedOn w:val="DefaultParagraphFont"/>
    <w:uiPriority w:val="99"/>
    <w:semiHidden/>
    <w:unhideWhenUsed/>
    <w:rsid w:val="00797F9C"/>
    <w:rPr>
      <w:vertAlign w:val="superscript"/>
    </w:rPr>
  </w:style>
  <w:style w:type="paragraph" w:styleId="FootnoteText">
    <w:name w:val="footnote text"/>
    <w:basedOn w:val="Normal"/>
    <w:link w:val="FootnoteTextChar"/>
    <w:uiPriority w:val="99"/>
    <w:semiHidden/>
    <w:unhideWhenUsed/>
    <w:rsid w:val="00797F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F9C"/>
    <w:rPr>
      <w:rFonts w:eastAsiaTheme="minorEastAsia"/>
      <w:sz w:val="20"/>
      <w:szCs w:val="20"/>
    </w:rPr>
  </w:style>
  <w:style w:type="character" w:styleId="FootnoteReference">
    <w:name w:val="footnote reference"/>
    <w:basedOn w:val="DefaultParagraphFont"/>
    <w:uiPriority w:val="99"/>
    <w:semiHidden/>
    <w:unhideWhenUsed/>
    <w:rsid w:val="00797F9C"/>
    <w:rPr>
      <w:vertAlign w:val="superscript"/>
    </w:rPr>
  </w:style>
  <w:style w:type="character" w:customStyle="1" w:styleId="ng-star-inserted">
    <w:name w:val="ng-star-inserted"/>
    <w:basedOn w:val="DefaultParagraphFont"/>
    <w:rsid w:val="00CF17AE"/>
  </w:style>
  <w:style w:type="character" w:customStyle="1" w:styleId="citation-338">
    <w:name w:val="citation-338"/>
    <w:basedOn w:val="DefaultParagraphFont"/>
    <w:rsid w:val="0025359C"/>
  </w:style>
  <w:style w:type="character" w:styleId="UnresolvedMention">
    <w:name w:val="Unresolved Mention"/>
    <w:basedOn w:val="DefaultParagraphFont"/>
    <w:uiPriority w:val="99"/>
    <w:semiHidden/>
    <w:unhideWhenUsed/>
    <w:rsid w:val="004C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3875">
      <w:bodyDiv w:val="1"/>
      <w:marLeft w:val="0"/>
      <w:marRight w:val="0"/>
      <w:marTop w:val="0"/>
      <w:marBottom w:val="0"/>
      <w:divBdr>
        <w:top w:val="none" w:sz="0" w:space="0" w:color="auto"/>
        <w:left w:val="none" w:sz="0" w:space="0" w:color="auto"/>
        <w:bottom w:val="none" w:sz="0" w:space="0" w:color="auto"/>
        <w:right w:val="none" w:sz="0" w:space="0" w:color="auto"/>
      </w:divBdr>
      <w:divsChild>
        <w:div w:id="743449461">
          <w:marLeft w:val="0"/>
          <w:marRight w:val="0"/>
          <w:marTop w:val="0"/>
          <w:marBottom w:val="0"/>
          <w:divBdr>
            <w:top w:val="none" w:sz="0" w:space="0" w:color="auto"/>
            <w:left w:val="none" w:sz="0" w:space="0" w:color="auto"/>
            <w:bottom w:val="none" w:sz="0" w:space="0" w:color="auto"/>
            <w:right w:val="none" w:sz="0" w:space="0" w:color="auto"/>
          </w:divBdr>
        </w:div>
        <w:div w:id="1057361928">
          <w:marLeft w:val="0"/>
          <w:marRight w:val="0"/>
          <w:marTop w:val="0"/>
          <w:marBottom w:val="0"/>
          <w:divBdr>
            <w:top w:val="none" w:sz="0" w:space="0" w:color="auto"/>
            <w:left w:val="none" w:sz="0" w:space="0" w:color="auto"/>
            <w:bottom w:val="none" w:sz="0" w:space="0" w:color="auto"/>
            <w:right w:val="none" w:sz="0" w:space="0" w:color="auto"/>
          </w:divBdr>
        </w:div>
        <w:div w:id="555508378">
          <w:marLeft w:val="0"/>
          <w:marRight w:val="0"/>
          <w:marTop w:val="0"/>
          <w:marBottom w:val="0"/>
          <w:divBdr>
            <w:top w:val="none" w:sz="0" w:space="0" w:color="auto"/>
            <w:left w:val="none" w:sz="0" w:space="0" w:color="auto"/>
            <w:bottom w:val="none" w:sz="0" w:space="0" w:color="auto"/>
            <w:right w:val="none" w:sz="0" w:space="0" w:color="auto"/>
          </w:divBdr>
        </w:div>
        <w:div w:id="1232888158">
          <w:marLeft w:val="0"/>
          <w:marRight w:val="0"/>
          <w:marTop w:val="0"/>
          <w:marBottom w:val="0"/>
          <w:divBdr>
            <w:top w:val="none" w:sz="0" w:space="0" w:color="auto"/>
            <w:left w:val="none" w:sz="0" w:space="0" w:color="auto"/>
            <w:bottom w:val="none" w:sz="0" w:space="0" w:color="auto"/>
            <w:right w:val="none" w:sz="0" w:space="0" w:color="auto"/>
          </w:divBdr>
        </w:div>
        <w:div w:id="1846702138">
          <w:marLeft w:val="0"/>
          <w:marRight w:val="0"/>
          <w:marTop w:val="0"/>
          <w:marBottom w:val="0"/>
          <w:divBdr>
            <w:top w:val="none" w:sz="0" w:space="0" w:color="auto"/>
            <w:left w:val="none" w:sz="0" w:space="0" w:color="auto"/>
            <w:bottom w:val="none" w:sz="0" w:space="0" w:color="auto"/>
            <w:right w:val="none" w:sz="0" w:space="0" w:color="auto"/>
          </w:divBdr>
        </w:div>
        <w:div w:id="216404354">
          <w:marLeft w:val="0"/>
          <w:marRight w:val="0"/>
          <w:marTop w:val="0"/>
          <w:marBottom w:val="0"/>
          <w:divBdr>
            <w:top w:val="none" w:sz="0" w:space="0" w:color="auto"/>
            <w:left w:val="none" w:sz="0" w:space="0" w:color="auto"/>
            <w:bottom w:val="none" w:sz="0" w:space="0" w:color="auto"/>
            <w:right w:val="none" w:sz="0" w:space="0" w:color="auto"/>
          </w:divBdr>
        </w:div>
        <w:div w:id="738094221">
          <w:marLeft w:val="0"/>
          <w:marRight w:val="0"/>
          <w:marTop w:val="0"/>
          <w:marBottom w:val="0"/>
          <w:divBdr>
            <w:top w:val="none" w:sz="0" w:space="0" w:color="auto"/>
            <w:left w:val="none" w:sz="0" w:space="0" w:color="auto"/>
            <w:bottom w:val="none" w:sz="0" w:space="0" w:color="auto"/>
            <w:right w:val="none" w:sz="0" w:space="0" w:color="auto"/>
          </w:divBdr>
        </w:div>
        <w:div w:id="99495082">
          <w:marLeft w:val="0"/>
          <w:marRight w:val="0"/>
          <w:marTop w:val="0"/>
          <w:marBottom w:val="0"/>
          <w:divBdr>
            <w:top w:val="none" w:sz="0" w:space="0" w:color="auto"/>
            <w:left w:val="none" w:sz="0" w:space="0" w:color="auto"/>
            <w:bottom w:val="none" w:sz="0" w:space="0" w:color="auto"/>
            <w:right w:val="none" w:sz="0" w:space="0" w:color="auto"/>
          </w:divBdr>
        </w:div>
        <w:div w:id="225141381">
          <w:marLeft w:val="0"/>
          <w:marRight w:val="0"/>
          <w:marTop w:val="0"/>
          <w:marBottom w:val="0"/>
          <w:divBdr>
            <w:top w:val="none" w:sz="0" w:space="0" w:color="auto"/>
            <w:left w:val="none" w:sz="0" w:space="0" w:color="auto"/>
            <w:bottom w:val="none" w:sz="0" w:space="0" w:color="auto"/>
            <w:right w:val="none" w:sz="0" w:space="0" w:color="auto"/>
          </w:divBdr>
        </w:div>
        <w:div w:id="1011571102">
          <w:marLeft w:val="0"/>
          <w:marRight w:val="0"/>
          <w:marTop w:val="0"/>
          <w:marBottom w:val="0"/>
          <w:divBdr>
            <w:top w:val="none" w:sz="0" w:space="0" w:color="auto"/>
            <w:left w:val="none" w:sz="0" w:space="0" w:color="auto"/>
            <w:bottom w:val="none" w:sz="0" w:space="0" w:color="auto"/>
            <w:right w:val="none" w:sz="0" w:space="0" w:color="auto"/>
          </w:divBdr>
        </w:div>
        <w:div w:id="824052010">
          <w:marLeft w:val="0"/>
          <w:marRight w:val="0"/>
          <w:marTop w:val="0"/>
          <w:marBottom w:val="0"/>
          <w:divBdr>
            <w:top w:val="none" w:sz="0" w:space="0" w:color="auto"/>
            <w:left w:val="none" w:sz="0" w:space="0" w:color="auto"/>
            <w:bottom w:val="none" w:sz="0" w:space="0" w:color="auto"/>
            <w:right w:val="none" w:sz="0" w:space="0" w:color="auto"/>
          </w:divBdr>
        </w:div>
        <w:div w:id="283926055">
          <w:marLeft w:val="0"/>
          <w:marRight w:val="0"/>
          <w:marTop w:val="0"/>
          <w:marBottom w:val="0"/>
          <w:divBdr>
            <w:top w:val="none" w:sz="0" w:space="0" w:color="auto"/>
            <w:left w:val="none" w:sz="0" w:space="0" w:color="auto"/>
            <w:bottom w:val="none" w:sz="0" w:space="0" w:color="auto"/>
            <w:right w:val="none" w:sz="0" w:space="0" w:color="auto"/>
          </w:divBdr>
        </w:div>
        <w:div w:id="503474366">
          <w:marLeft w:val="0"/>
          <w:marRight w:val="0"/>
          <w:marTop w:val="0"/>
          <w:marBottom w:val="0"/>
          <w:divBdr>
            <w:top w:val="none" w:sz="0" w:space="0" w:color="auto"/>
            <w:left w:val="none" w:sz="0" w:space="0" w:color="auto"/>
            <w:bottom w:val="none" w:sz="0" w:space="0" w:color="auto"/>
            <w:right w:val="none" w:sz="0" w:space="0" w:color="auto"/>
          </w:divBdr>
        </w:div>
        <w:div w:id="1837112668">
          <w:marLeft w:val="0"/>
          <w:marRight w:val="0"/>
          <w:marTop w:val="0"/>
          <w:marBottom w:val="0"/>
          <w:divBdr>
            <w:top w:val="none" w:sz="0" w:space="0" w:color="auto"/>
            <w:left w:val="none" w:sz="0" w:space="0" w:color="auto"/>
            <w:bottom w:val="none" w:sz="0" w:space="0" w:color="auto"/>
            <w:right w:val="none" w:sz="0" w:space="0" w:color="auto"/>
          </w:divBdr>
        </w:div>
        <w:div w:id="1950430266">
          <w:marLeft w:val="0"/>
          <w:marRight w:val="0"/>
          <w:marTop w:val="0"/>
          <w:marBottom w:val="0"/>
          <w:divBdr>
            <w:top w:val="none" w:sz="0" w:space="0" w:color="auto"/>
            <w:left w:val="none" w:sz="0" w:space="0" w:color="auto"/>
            <w:bottom w:val="none" w:sz="0" w:space="0" w:color="auto"/>
            <w:right w:val="none" w:sz="0" w:space="0" w:color="auto"/>
          </w:divBdr>
        </w:div>
        <w:div w:id="990864365">
          <w:marLeft w:val="0"/>
          <w:marRight w:val="0"/>
          <w:marTop w:val="0"/>
          <w:marBottom w:val="0"/>
          <w:divBdr>
            <w:top w:val="none" w:sz="0" w:space="0" w:color="auto"/>
            <w:left w:val="none" w:sz="0" w:space="0" w:color="auto"/>
            <w:bottom w:val="none" w:sz="0" w:space="0" w:color="auto"/>
            <w:right w:val="none" w:sz="0" w:space="0" w:color="auto"/>
          </w:divBdr>
        </w:div>
        <w:div w:id="781533980">
          <w:marLeft w:val="0"/>
          <w:marRight w:val="0"/>
          <w:marTop w:val="0"/>
          <w:marBottom w:val="0"/>
          <w:divBdr>
            <w:top w:val="none" w:sz="0" w:space="0" w:color="auto"/>
            <w:left w:val="none" w:sz="0" w:space="0" w:color="auto"/>
            <w:bottom w:val="none" w:sz="0" w:space="0" w:color="auto"/>
            <w:right w:val="none" w:sz="0" w:space="0" w:color="auto"/>
          </w:divBdr>
        </w:div>
        <w:div w:id="553391099">
          <w:marLeft w:val="0"/>
          <w:marRight w:val="0"/>
          <w:marTop w:val="0"/>
          <w:marBottom w:val="0"/>
          <w:divBdr>
            <w:top w:val="none" w:sz="0" w:space="0" w:color="auto"/>
            <w:left w:val="none" w:sz="0" w:space="0" w:color="auto"/>
            <w:bottom w:val="none" w:sz="0" w:space="0" w:color="auto"/>
            <w:right w:val="none" w:sz="0" w:space="0" w:color="auto"/>
          </w:divBdr>
        </w:div>
        <w:div w:id="524635542">
          <w:marLeft w:val="0"/>
          <w:marRight w:val="0"/>
          <w:marTop w:val="0"/>
          <w:marBottom w:val="0"/>
          <w:divBdr>
            <w:top w:val="none" w:sz="0" w:space="0" w:color="auto"/>
            <w:left w:val="none" w:sz="0" w:space="0" w:color="auto"/>
            <w:bottom w:val="none" w:sz="0" w:space="0" w:color="auto"/>
            <w:right w:val="none" w:sz="0" w:space="0" w:color="auto"/>
          </w:divBdr>
        </w:div>
        <w:div w:id="390733458">
          <w:marLeft w:val="0"/>
          <w:marRight w:val="0"/>
          <w:marTop w:val="0"/>
          <w:marBottom w:val="0"/>
          <w:divBdr>
            <w:top w:val="none" w:sz="0" w:space="0" w:color="auto"/>
            <w:left w:val="none" w:sz="0" w:space="0" w:color="auto"/>
            <w:bottom w:val="none" w:sz="0" w:space="0" w:color="auto"/>
            <w:right w:val="none" w:sz="0" w:space="0" w:color="auto"/>
          </w:divBdr>
        </w:div>
        <w:div w:id="1205370871">
          <w:marLeft w:val="0"/>
          <w:marRight w:val="0"/>
          <w:marTop w:val="0"/>
          <w:marBottom w:val="0"/>
          <w:divBdr>
            <w:top w:val="none" w:sz="0" w:space="0" w:color="auto"/>
            <w:left w:val="none" w:sz="0" w:space="0" w:color="auto"/>
            <w:bottom w:val="none" w:sz="0" w:space="0" w:color="auto"/>
            <w:right w:val="none" w:sz="0" w:space="0" w:color="auto"/>
          </w:divBdr>
        </w:div>
        <w:div w:id="1522402832">
          <w:marLeft w:val="0"/>
          <w:marRight w:val="0"/>
          <w:marTop w:val="0"/>
          <w:marBottom w:val="0"/>
          <w:divBdr>
            <w:top w:val="none" w:sz="0" w:space="0" w:color="auto"/>
            <w:left w:val="none" w:sz="0" w:space="0" w:color="auto"/>
            <w:bottom w:val="none" w:sz="0" w:space="0" w:color="auto"/>
            <w:right w:val="none" w:sz="0" w:space="0" w:color="auto"/>
          </w:divBdr>
        </w:div>
        <w:div w:id="222642673">
          <w:marLeft w:val="0"/>
          <w:marRight w:val="0"/>
          <w:marTop w:val="0"/>
          <w:marBottom w:val="0"/>
          <w:divBdr>
            <w:top w:val="none" w:sz="0" w:space="0" w:color="auto"/>
            <w:left w:val="none" w:sz="0" w:space="0" w:color="auto"/>
            <w:bottom w:val="none" w:sz="0" w:space="0" w:color="auto"/>
            <w:right w:val="none" w:sz="0" w:space="0" w:color="auto"/>
          </w:divBdr>
        </w:div>
        <w:div w:id="1288581977">
          <w:marLeft w:val="0"/>
          <w:marRight w:val="0"/>
          <w:marTop w:val="0"/>
          <w:marBottom w:val="0"/>
          <w:divBdr>
            <w:top w:val="none" w:sz="0" w:space="0" w:color="auto"/>
            <w:left w:val="none" w:sz="0" w:space="0" w:color="auto"/>
            <w:bottom w:val="none" w:sz="0" w:space="0" w:color="auto"/>
            <w:right w:val="none" w:sz="0" w:space="0" w:color="auto"/>
          </w:divBdr>
        </w:div>
        <w:div w:id="1764720262">
          <w:marLeft w:val="0"/>
          <w:marRight w:val="0"/>
          <w:marTop w:val="0"/>
          <w:marBottom w:val="0"/>
          <w:divBdr>
            <w:top w:val="none" w:sz="0" w:space="0" w:color="auto"/>
            <w:left w:val="none" w:sz="0" w:space="0" w:color="auto"/>
            <w:bottom w:val="none" w:sz="0" w:space="0" w:color="auto"/>
            <w:right w:val="none" w:sz="0" w:space="0" w:color="auto"/>
          </w:divBdr>
        </w:div>
      </w:divsChild>
    </w:div>
    <w:div w:id="10954457">
      <w:bodyDiv w:val="1"/>
      <w:marLeft w:val="0"/>
      <w:marRight w:val="0"/>
      <w:marTop w:val="0"/>
      <w:marBottom w:val="0"/>
      <w:divBdr>
        <w:top w:val="none" w:sz="0" w:space="0" w:color="auto"/>
        <w:left w:val="none" w:sz="0" w:space="0" w:color="auto"/>
        <w:bottom w:val="none" w:sz="0" w:space="0" w:color="auto"/>
        <w:right w:val="none" w:sz="0" w:space="0" w:color="auto"/>
      </w:divBdr>
      <w:divsChild>
        <w:div w:id="1565484010">
          <w:marLeft w:val="0"/>
          <w:marRight w:val="0"/>
          <w:marTop w:val="0"/>
          <w:marBottom w:val="0"/>
          <w:divBdr>
            <w:top w:val="none" w:sz="0" w:space="0" w:color="auto"/>
            <w:left w:val="none" w:sz="0" w:space="0" w:color="auto"/>
            <w:bottom w:val="none" w:sz="0" w:space="0" w:color="auto"/>
            <w:right w:val="none" w:sz="0" w:space="0" w:color="auto"/>
          </w:divBdr>
        </w:div>
        <w:div w:id="581379488">
          <w:marLeft w:val="0"/>
          <w:marRight w:val="0"/>
          <w:marTop w:val="0"/>
          <w:marBottom w:val="0"/>
          <w:divBdr>
            <w:top w:val="none" w:sz="0" w:space="0" w:color="auto"/>
            <w:left w:val="none" w:sz="0" w:space="0" w:color="auto"/>
            <w:bottom w:val="none" w:sz="0" w:space="0" w:color="auto"/>
            <w:right w:val="none" w:sz="0" w:space="0" w:color="auto"/>
          </w:divBdr>
        </w:div>
      </w:divsChild>
    </w:div>
    <w:div w:id="19355335">
      <w:bodyDiv w:val="1"/>
      <w:marLeft w:val="0"/>
      <w:marRight w:val="0"/>
      <w:marTop w:val="0"/>
      <w:marBottom w:val="0"/>
      <w:divBdr>
        <w:top w:val="none" w:sz="0" w:space="0" w:color="auto"/>
        <w:left w:val="none" w:sz="0" w:space="0" w:color="auto"/>
        <w:bottom w:val="none" w:sz="0" w:space="0" w:color="auto"/>
        <w:right w:val="none" w:sz="0" w:space="0" w:color="auto"/>
      </w:divBdr>
      <w:divsChild>
        <w:div w:id="1475291996">
          <w:marLeft w:val="0"/>
          <w:marRight w:val="0"/>
          <w:marTop w:val="0"/>
          <w:marBottom w:val="0"/>
          <w:divBdr>
            <w:top w:val="none" w:sz="0" w:space="0" w:color="auto"/>
            <w:left w:val="none" w:sz="0" w:space="0" w:color="auto"/>
            <w:bottom w:val="none" w:sz="0" w:space="0" w:color="auto"/>
            <w:right w:val="none" w:sz="0" w:space="0" w:color="auto"/>
          </w:divBdr>
        </w:div>
      </w:divsChild>
    </w:div>
    <w:div w:id="113453178">
      <w:bodyDiv w:val="1"/>
      <w:marLeft w:val="0"/>
      <w:marRight w:val="0"/>
      <w:marTop w:val="0"/>
      <w:marBottom w:val="0"/>
      <w:divBdr>
        <w:top w:val="none" w:sz="0" w:space="0" w:color="auto"/>
        <w:left w:val="none" w:sz="0" w:space="0" w:color="auto"/>
        <w:bottom w:val="none" w:sz="0" w:space="0" w:color="auto"/>
        <w:right w:val="none" w:sz="0" w:space="0" w:color="auto"/>
      </w:divBdr>
    </w:div>
    <w:div w:id="133450016">
      <w:bodyDiv w:val="1"/>
      <w:marLeft w:val="0"/>
      <w:marRight w:val="0"/>
      <w:marTop w:val="0"/>
      <w:marBottom w:val="0"/>
      <w:divBdr>
        <w:top w:val="none" w:sz="0" w:space="0" w:color="auto"/>
        <w:left w:val="none" w:sz="0" w:space="0" w:color="auto"/>
        <w:bottom w:val="none" w:sz="0" w:space="0" w:color="auto"/>
        <w:right w:val="none" w:sz="0" w:space="0" w:color="auto"/>
      </w:divBdr>
      <w:divsChild>
        <w:div w:id="843008754">
          <w:marLeft w:val="0"/>
          <w:marRight w:val="0"/>
          <w:marTop w:val="60"/>
          <w:marBottom w:val="60"/>
          <w:divBdr>
            <w:top w:val="none" w:sz="0" w:space="0" w:color="auto"/>
            <w:left w:val="none" w:sz="0" w:space="0" w:color="auto"/>
            <w:bottom w:val="none" w:sz="0" w:space="0" w:color="auto"/>
            <w:right w:val="none" w:sz="0" w:space="0" w:color="auto"/>
          </w:divBdr>
        </w:div>
      </w:divsChild>
    </w:div>
    <w:div w:id="142434394">
      <w:bodyDiv w:val="1"/>
      <w:marLeft w:val="0"/>
      <w:marRight w:val="0"/>
      <w:marTop w:val="0"/>
      <w:marBottom w:val="0"/>
      <w:divBdr>
        <w:top w:val="none" w:sz="0" w:space="0" w:color="auto"/>
        <w:left w:val="none" w:sz="0" w:space="0" w:color="auto"/>
        <w:bottom w:val="none" w:sz="0" w:space="0" w:color="auto"/>
        <w:right w:val="none" w:sz="0" w:space="0" w:color="auto"/>
      </w:divBdr>
    </w:div>
    <w:div w:id="251937297">
      <w:bodyDiv w:val="1"/>
      <w:marLeft w:val="0"/>
      <w:marRight w:val="0"/>
      <w:marTop w:val="0"/>
      <w:marBottom w:val="0"/>
      <w:divBdr>
        <w:top w:val="none" w:sz="0" w:space="0" w:color="auto"/>
        <w:left w:val="none" w:sz="0" w:space="0" w:color="auto"/>
        <w:bottom w:val="none" w:sz="0" w:space="0" w:color="auto"/>
        <w:right w:val="none" w:sz="0" w:space="0" w:color="auto"/>
      </w:divBdr>
      <w:divsChild>
        <w:div w:id="1443377182">
          <w:marLeft w:val="0"/>
          <w:marRight w:val="0"/>
          <w:marTop w:val="60"/>
          <w:marBottom w:val="60"/>
          <w:divBdr>
            <w:top w:val="none" w:sz="0" w:space="0" w:color="auto"/>
            <w:left w:val="none" w:sz="0" w:space="0" w:color="auto"/>
            <w:bottom w:val="none" w:sz="0" w:space="0" w:color="auto"/>
            <w:right w:val="none" w:sz="0" w:space="0" w:color="auto"/>
          </w:divBdr>
        </w:div>
        <w:div w:id="163521587">
          <w:marLeft w:val="0"/>
          <w:marRight w:val="0"/>
          <w:marTop w:val="60"/>
          <w:marBottom w:val="60"/>
          <w:divBdr>
            <w:top w:val="none" w:sz="0" w:space="0" w:color="auto"/>
            <w:left w:val="none" w:sz="0" w:space="0" w:color="auto"/>
            <w:bottom w:val="none" w:sz="0" w:space="0" w:color="auto"/>
            <w:right w:val="none" w:sz="0" w:space="0" w:color="auto"/>
          </w:divBdr>
        </w:div>
        <w:div w:id="1215971557">
          <w:marLeft w:val="0"/>
          <w:marRight w:val="0"/>
          <w:marTop w:val="60"/>
          <w:marBottom w:val="60"/>
          <w:divBdr>
            <w:top w:val="none" w:sz="0" w:space="0" w:color="auto"/>
            <w:left w:val="none" w:sz="0" w:space="0" w:color="auto"/>
            <w:bottom w:val="none" w:sz="0" w:space="0" w:color="auto"/>
            <w:right w:val="none" w:sz="0" w:space="0" w:color="auto"/>
          </w:divBdr>
        </w:div>
        <w:div w:id="892469368">
          <w:marLeft w:val="0"/>
          <w:marRight w:val="0"/>
          <w:marTop w:val="60"/>
          <w:marBottom w:val="60"/>
          <w:divBdr>
            <w:top w:val="none" w:sz="0" w:space="0" w:color="auto"/>
            <w:left w:val="none" w:sz="0" w:space="0" w:color="auto"/>
            <w:bottom w:val="none" w:sz="0" w:space="0" w:color="auto"/>
            <w:right w:val="none" w:sz="0" w:space="0" w:color="auto"/>
          </w:divBdr>
        </w:div>
        <w:div w:id="620416">
          <w:marLeft w:val="0"/>
          <w:marRight w:val="0"/>
          <w:marTop w:val="0"/>
          <w:marBottom w:val="120"/>
          <w:divBdr>
            <w:top w:val="none" w:sz="0" w:space="0" w:color="auto"/>
            <w:left w:val="none" w:sz="0" w:space="0" w:color="auto"/>
            <w:bottom w:val="none" w:sz="0" w:space="0" w:color="auto"/>
            <w:right w:val="none" w:sz="0" w:space="0" w:color="auto"/>
          </w:divBdr>
        </w:div>
        <w:div w:id="578684373">
          <w:marLeft w:val="0"/>
          <w:marRight w:val="0"/>
          <w:marTop w:val="60"/>
          <w:marBottom w:val="60"/>
          <w:divBdr>
            <w:top w:val="none" w:sz="0" w:space="0" w:color="auto"/>
            <w:left w:val="none" w:sz="0" w:space="0" w:color="auto"/>
            <w:bottom w:val="none" w:sz="0" w:space="0" w:color="auto"/>
            <w:right w:val="none" w:sz="0" w:space="0" w:color="auto"/>
          </w:divBdr>
        </w:div>
        <w:div w:id="1450970095">
          <w:marLeft w:val="0"/>
          <w:marRight w:val="0"/>
          <w:marTop w:val="60"/>
          <w:marBottom w:val="60"/>
          <w:divBdr>
            <w:top w:val="none" w:sz="0" w:space="0" w:color="auto"/>
            <w:left w:val="none" w:sz="0" w:space="0" w:color="auto"/>
            <w:bottom w:val="none" w:sz="0" w:space="0" w:color="auto"/>
            <w:right w:val="none" w:sz="0" w:space="0" w:color="auto"/>
          </w:divBdr>
        </w:div>
        <w:div w:id="1365982040">
          <w:marLeft w:val="0"/>
          <w:marRight w:val="0"/>
          <w:marTop w:val="60"/>
          <w:marBottom w:val="60"/>
          <w:divBdr>
            <w:top w:val="none" w:sz="0" w:space="0" w:color="auto"/>
            <w:left w:val="none" w:sz="0" w:space="0" w:color="auto"/>
            <w:bottom w:val="none" w:sz="0" w:space="0" w:color="auto"/>
            <w:right w:val="none" w:sz="0" w:space="0" w:color="auto"/>
          </w:divBdr>
        </w:div>
      </w:divsChild>
    </w:div>
    <w:div w:id="460196896">
      <w:bodyDiv w:val="1"/>
      <w:marLeft w:val="0"/>
      <w:marRight w:val="0"/>
      <w:marTop w:val="0"/>
      <w:marBottom w:val="0"/>
      <w:divBdr>
        <w:top w:val="none" w:sz="0" w:space="0" w:color="auto"/>
        <w:left w:val="none" w:sz="0" w:space="0" w:color="auto"/>
        <w:bottom w:val="none" w:sz="0" w:space="0" w:color="auto"/>
        <w:right w:val="none" w:sz="0" w:space="0" w:color="auto"/>
      </w:divBdr>
      <w:divsChild>
        <w:div w:id="740054655">
          <w:marLeft w:val="0"/>
          <w:marRight w:val="0"/>
          <w:marTop w:val="0"/>
          <w:marBottom w:val="0"/>
          <w:divBdr>
            <w:top w:val="none" w:sz="0" w:space="0" w:color="auto"/>
            <w:left w:val="none" w:sz="0" w:space="0" w:color="auto"/>
            <w:bottom w:val="none" w:sz="0" w:space="0" w:color="auto"/>
            <w:right w:val="none" w:sz="0" w:space="0" w:color="auto"/>
          </w:divBdr>
        </w:div>
        <w:div w:id="1745299726">
          <w:marLeft w:val="0"/>
          <w:marRight w:val="0"/>
          <w:marTop w:val="0"/>
          <w:marBottom w:val="0"/>
          <w:divBdr>
            <w:top w:val="none" w:sz="0" w:space="0" w:color="auto"/>
            <w:left w:val="none" w:sz="0" w:space="0" w:color="auto"/>
            <w:bottom w:val="none" w:sz="0" w:space="0" w:color="auto"/>
            <w:right w:val="none" w:sz="0" w:space="0" w:color="auto"/>
          </w:divBdr>
        </w:div>
      </w:divsChild>
    </w:div>
    <w:div w:id="489249659">
      <w:bodyDiv w:val="1"/>
      <w:marLeft w:val="0"/>
      <w:marRight w:val="0"/>
      <w:marTop w:val="0"/>
      <w:marBottom w:val="0"/>
      <w:divBdr>
        <w:top w:val="none" w:sz="0" w:space="0" w:color="auto"/>
        <w:left w:val="none" w:sz="0" w:space="0" w:color="auto"/>
        <w:bottom w:val="none" w:sz="0" w:space="0" w:color="auto"/>
        <w:right w:val="none" w:sz="0" w:space="0" w:color="auto"/>
      </w:divBdr>
      <w:divsChild>
        <w:div w:id="1513884311">
          <w:marLeft w:val="0"/>
          <w:marRight w:val="0"/>
          <w:marTop w:val="0"/>
          <w:marBottom w:val="0"/>
          <w:divBdr>
            <w:top w:val="none" w:sz="0" w:space="0" w:color="auto"/>
            <w:left w:val="none" w:sz="0" w:space="0" w:color="auto"/>
            <w:bottom w:val="none" w:sz="0" w:space="0" w:color="auto"/>
            <w:right w:val="none" w:sz="0" w:space="0" w:color="auto"/>
          </w:divBdr>
        </w:div>
        <w:div w:id="1278214199">
          <w:marLeft w:val="0"/>
          <w:marRight w:val="0"/>
          <w:marTop w:val="0"/>
          <w:marBottom w:val="0"/>
          <w:divBdr>
            <w:top w:val="none" w:sz="0" w:space="0" w:color="auto"/>
            <w:left w:val="none" w:sz="0" w:space="0" w:color="auto"/>
            <w:bottom w:val="none" w:sz="0" w:space="0" w:color="auto"/>
            <w:right w:val="none" w:sz="0" w:space="0" w:color="auto"/>
          </w:divBdr>
        </w:div>
        <w:div w:id="1033652041">
          <w:marLeft w:val="0"/>
          <w:marRight w:val="0"/>
          <w:marTop w:val="0"/>
          <w:marBottom w:val="0"/>
          <w:divBdr>
            <w:top w:val="none" w:sz="0" w:space="0" w:color="auto"/>
            <w:left w:val="none" w:sz="0" w:space="0" w:color="auto"/>
            <w:bottom w:val="none" w:sz="0" w:space="0" w:color="auto"/>
            <w:right w:val="none" w:sz="0" w:space="0" w:color="auto"/>
          </w:divBdr>
        </w:div>
        <w:div w:id="1400900462">
          <w:marLeft w:val="0"/>
          <w:marRight w:val="0"/>
          <w:marTop w:val="0"/>
          <w:marBottom w:val="0"/>
          <w:divBdr>
            <w:top w:val="none" w:sz="0" w:space="0" w:color="auto"/>
            <w:left w:val="none" w:sz="0" w:space="0" w:color="auto"/>
            <w:bottom w:val="none" w:sz="0" w:space="0" w:color="auto"/>
            <w:right w:val="none" w:sz="0" w:space="0" w:color="auto"/>
          </w:divBdr>
        </w:div>
        <w:div w:id="1976719099">
          <w:marLeft w:val="0"/>
          <w:marRight w:val="0"/>
          <w:marTop w:val="0"/>
          <w:marBottom w:val="0"/>
          <w:divBdr>
            <w:top w:val="none" w:sz="0" w:space="0" w:color="auto"/>
            <w:left w:val="none" w:sz="0" w:space="0" w:color="auto"/>
            <w:bottom w:val="none" w:sz="0" w:space="0" w:color="auto"/>
            <w:right w:val="none" w:sz="0" w:space="0" w:color="auto"/>
          </w:divBdr>
        </w:div>
        <w:div w:id="104542296">
          <w:marLeft w:val="0"/>
          <w:marRight w:val="0"/>
          <w:marTop w:val="0"/>
          <w:marBottom w:val="0"/>
          <w:divBdr>
            <w:top w:val="none" w:sz="0" w:space="0" w:color="auto"/>
            <w:left w:val="none" w:sz="0" w:space="0" w:color="auto"/>
            <w:bottom w:val="none" w:sz="0" w:space="0" w:color="auto"/>
            <w:right w:val="none" w:sz="0" w:space="0" w:color="auto"/>
          </w:divBdr>
        </w:div>
        <w:div w:id="635262566">
          <w:marLeft w:val="0"/>
          <w:marRight w:val="0"/>
          <w:marTop w:val="0"/>
          <w:marBottom w:val="0"/>
          <w:divBdr>
            <w:top w:val="none" w:sz="0" w:space="0" w:color="auto"/>
            <w:left w:val="none" w:sz="0" w:space="0" w:color="auto"/>
            <w:bottom w:val="none" w:sz="0" w:space="0" w:color="auto"/>
            <w:right w:val="none" w:sz="0" w:space="0" w:color="auto"/>
          </w:divBdr>
        </w:div>
      </w:divsChild>
    </w:div>
    <w:div w:id="578560435">
      <w:bodyDiv w:val="1"/>
      <w:marLeft w:val="0"/>
      <w:marRight w:val="0"/>
      <w:marTop w:val="0"/>
      <w:marBottom w:val="0"/>
      <w:divBdr>
        <w:top w:val="none" w:sz="0" w:space="0" w:color="auto"/>
        <w:left w:val="none" w:sz="0" w:space="0" w:color="auto"/>
        <w:bottom w:val="none" w:sz="0" w:space="0" w:color="auto"/>
        <w:right w:val="none" w:sz="0" w:space="0" w:color="auto"/>
      </w:divBdr>
      <w:divsChild>
        <w:div w:id="1342470388">
          <w:marLeft w:val="0"/>
          <w:marRight w:val="0"/>
          <w:marTop w:val="0"/>
          <w:marBottom w:val="0"/>
          <w:divBdr>
            <w:top w:val="none" w:sz="0" w:space="0" w:color="auto"/>
            <w:left w:val="none" w:sz="0" w:space="0" w:color="auto"/>
            <w:bottom w:val="none" w:sz="0" w:space="0" w:color="auto"/>
            <w:right w:val="none" w:sz="0" w:space="0" w:color="auto"/>
          </w:divBdr>
        </w:div>
        <w:div w:id="1422679406">
          <w:marLeft w:val="0"/>
          <w:marRight w:val="0"/>
          <w:marTop w:val="0"/>
          <w:marBottom w:val="0"/>
          <w:divBdr>
            <w:top w:val="none" w:sz="0" w:space="0" w:color="auto"/>
            <w:left w:val="none" w:sz="0" w:space="0" w:color="auto"/>
            <w:bottom w:val="none" w:sz="0" w:space="0" w:color="auto"/>
            <w:right w:val="none" w:sz="0" w:space="0" w:color="auto"/>
          </w:divBdr>
        </w:div>
        <w:div w:id="1844124828">
          <w:marLeft w:val="0"/>
          <w:marRight w:val="0"/>
          <w:marTop w:val="0"/>
          <w:marBottom w:val="0"/>
          <w:divBdr>
            <w:top w:val="none" w:sz="0" w:space="0" w:color="auto"/>
            <w:left w:val="none" w:sz="0" w:space="0" w:color="auto"/>
            <w:bottom w:val="none" w:sz="0" w:space="0" w:color="auto"/>
            <w:right w:val="none" w:sz="0" w:space="0" w:color="auto"/>
          </w:divBdr>
        </w:div>
        <w:div w:id="332802029">
          <w:marLeft w:val="0"/>
          <w:marRight w:val="0"/>
          <w:marTop w:val="0"/>
          <w:marBottom w:val="0"/>
          <w:divBdr>
            <w:top w:val="none" w:sz="0" w:space="0" w:color="auto"/>
            <w:left w:val="none" w:sz="0" w:space="0" w:color="auto"/>
            <w:bottom w:val="none" w:sz="0" w:space="0" w:color="auto"/>
            <w:right w:val="none" w:sz="0" w:space="0" w:color="auto"/>
          </w:divBdr>
        </w:div>
        <w:div w:id="1243485994">
          <w:marLeft w:val="0"/>
          <w:marRight w:val="0"/>
          <w:marTop w:val="0"/>
          <w:marBottom w:val="0"/>
          <w:divBdr>
            <w:top w:val="none" w:sz="0" w:space="0" w:color="auto"/>
            <w:left w:val="none" w:sz="0" w:space="0" w:color="auto"/>
            <w:bottom w:val="none" w:sz="0" w:space="0" w:color="auto"/>
            <w:right w:val="none" w:sz="0" w:space="0" w:color="auto"/>
          </w:divBdr>
        </w:div>
      </w:divsChild>
    </w:div>
    <w:div w:id="669214024">
      <w:bodyDiv w:val="1"/>
      <w:marLeft w:val="0"/>
      <w:marRight w:val="0"/>
      <w:marTop w:val="0"/>
      <w:marBottom w:val="0"/>
      <w:divBdr>
        <w:top w:val="none" w:sz="0" w:space="0" w:color="auto"/>
        <w:left w:val="none" w:sz="0" w:space="0" w:color="auto"/>
        <w:bottom w:val="none" w:sz="0" w:space="0" w:color="auto"/>
        <w:right w:val="none" w:sz="0" w:space="0" w:color="auto"/>
      </w:divBdr>
      <w:divsChild>
        <w:div w:id="813060006">
          <w:marLeft w:val="0"/>
          <w:marRight w:val="0"/>
          <w:marTop w:val="0"/>
          <w:marBottom w:val="0"/>
          <w:divBdr>
            <w:top w:val="none" w:sz="0" w:space="0" w:color="auto"/>
            <w:left w:val="none" w:sz="0" w:space="0" w:color="auto"/>
            <w:bottom w:val="none" w:sz="0" w:space="0" w:color="auto"/>
            <w:right w:val="none" w:sz="0" w:space="0" w:color="auto"/>
          </w:divBdr>
        </w:div>
        <w:div w:id="856582339">
          <w:marLeft w:val="0"/>
          <w:marRight w:val="0"/>
          <w:marTop w:val="0"/>
          <w:marBottom w:val="0"/>
          <w:divBdr>
            <w:top w:val="none" w:sz="0" w:space="0" w:color="auto"/>
            <w:left w:val="none" w:sz="0" w:space="0" w:color="auto"/>
            <w:bottom w:val="none" w:sz="0" w:space="0" w:color="auto"/>
            <w:right w:val="none" w:sz="0" w:space="0" w:color="auto"/>
          </w:divBdr>
        </w:div>
      </w:divsChild>
    </w:div>
    <w:div w:id="756093502">
      <w:bodyDiv w:val="1"/>
      <w:marLeft w:val="0"/>
      <w:marRight w:val="0"/>
      <w:marTop w:val="0"/>
      <w:marBottom w:val="0"/>
      <w:divBdr>
        <w:top w:val="none" w:sz="0" w:space="0" w:color="auto"/>
        <w:left w:val="none" w:sz="0" w:space="0" w:color="auto"/>
        <w:bottom w:val="none" w:sz="0" w:space="0" w:color="auto"/>
        <w:right w:val="none" w:sz="0" w:space="0" w:color="auto"/>
      </w:divBdr>
      <w:divsChild>
        <w:div w:id="1897348896">
          <w:marLeft w:val="0"/>
          <w:marRight w:val="0"/>
          <w:marTop w:val="60"/>
          <w:marBottom w:val="60"/>
          <w:divBdr>
            <w:top w:val="none" w:sz="0" w:space="0" w:color="auto"/>
            <w:left w:val="none" w:sz="0" w:space="0" w:color="auto"/>
            <w:bottom w:val="none" w:sz="0" w:space="0" w:color="auto"/>
            <w:right w:val="none" w:sz="0" w:space="0" w:color="auto"/>
          </w:divBdr>
        </w:div>
      </w:divsChild>
    </w:div>
    <w:div w:id="765854426">
      <w:bodyDiv w:val="1"/>
      <w:marLeft w:val="0"/>
      <w:marRight w:val="0"/>
      <w:marTop w:val="0"/>
      <w:marBottom w:val="0"/>
      <w:divBdr>
        <w:top w:val="none" w:sz="0" w:space="0" w:color="auto"/>
        <w:left w:val="none" w:sz="0" w:space="0" w:color="auto"/>
        <w:bottom w:val="none" w:sz="0" w:space="0" w:color="auto"/>
        <w:right w:val="none" w:sz="0" w:space="0" w:color="auto"/>
      </w:divBdr>
      <w:divsChild>
        <w:div w:id="1988588525">
          <w:marLeft w:val="0"/>
          <w:marRight w:val="0"/>
          <w:marTop w:val="0"/>
          <w:marBottom w:val="0"/>
          <w:divBdr>
            <w:top w:val="none" w:sz="0" w:space="0" w:color="auto"/>
            <w:left w:val="none" w:sz="0" w:space="0" w:color="auto"/>
            <w:bottom w:val="none" w:sz="0" w:space="0" w:color="auto"/>
            <w:right w:val="none" w:sz="0" w:space="0" w:color="auto"/>
          </w:divBdr>
        </w:div>
        <w:div w:id="1721319670">
          <w:marLeft w:val="0"/>
          <w:marRight w:val="0"/>
          <w:marTop w:val="0"/>
          <w:marBottom w:val="0"/>
          <w:divBdr>
            <w:top w:val="none" w:sz="0" w:space="0" w:color="auto"/>
            <w:left w:val="none" w:sz="0" w:space="0" w:color="auto"/>
            <w:bottom w:val="none" w:sz="0" w:space="0" w:color="auto"/>
            <w:right w:val="none" w:sz="0" w:space="0" w:color="auto"/>
          </w:divBdr>
        </w:div>
      </w:divsChild>
    </w:div>
    <w:div w:id="801270398">
      <w:bodyDiv w:val="1"/>
      <w:marLeft w:val="0"/>
      <w:marRight w:val="0"/>
      <w:marTop w:val="0"/>
      <w:marBottom w:val="0"/>
      <w:divBdr>
        <w:top w:val="none" w:sz="0" w:space="0" w:color="auto"/>
        <w:left w:val="none" w:sz="0" w:space="0" w:color="auto"/>
        <w:bottom w:val="none" w:sz="0" w:space="0" w:color="auto"/>
        <w:right w:val="none" w:sz="0" w:space="0" w:color="auto"/>
      </w:divBdr>
      <w:divsChild>
        <w:div w:id="1644431298">
          <w:marLeft w:val="0"/>
          <w:marRight w:val="0"/>
          <w:marTop w:val="60"/>
          <w:marBottom w:val="60"/>
          <w:divBdr>
            <w:top w:val="none" w:sz="0" w:space="0" w:color="auto"/>
            <w:left w:val="none" w:sz="0" w:space="0" w:color="auto"/>
            <w:bottom w:val="none" w:sz="0" w:space="0" w:color="auto"/>
            <w:right w:val="none" w:sz="0" w:space="0" w:color="auto"/>
          </w:divBdr>
        </w:div>
      </w:divsChild>
    </w:div>
    <w:div w:id="806316626">
      <w:bodyDiv w:val="1"/>
      <w:marLeft w:val="0"/>
      <w:marRight w:val="0"/>
      <w:marTop w:val="0"/>
      <w:marBottom w:val="0"/>
      <w:divBdr>
        <w:top w:val="none" w:sz="0" w:space="0" w:color="auto"/>
        <w:left w:val="none" w:sz="0" w:space="0" w:color="auto"/>
        <w:bottom w:val="none" w:sz="0" w:space="0" w:color="auto"/>
        <w:right w:val="none" w:sz="0" w:space="0" w:color="auto"/>
      </w:divBdr>
    </w:div>
    <w:div w:id="870529016">
      <w:bodyDiv w:val="1"/>
      <w:marLeft w:val="0"/>
      <w:marRight w:val="0"/>
      <w:marTop w:val="0"/>
      <w:marBottom w:val="0"/>
      <w:divBdr>
        <w:top w:val="none" w:sz="0" w:space="0" w:color="auto"/>
        <w:left w:val="none" w:sz="0" w:space="0" w:color="auto"/>
        <w:bottom w:val="none" w:sz="0" w:space="0" w:color="auto"/>
        <w:right w:val="none" w:sz="0" w:space="0" w:color="auto"/>
      </w:divBdr>
    </w:div>
    <w:div w:id="883834418">
      <w:bodyDiv w:val="1"/>
      <w:marLeft w:val="0"/>
      <w:marRight w:val="0"/>
      <w:marTop w:val="0"/>
      <w:marBottom w:val="0"/>
      <w:divBdr>
        <w:top w:val="none" w:sz="0" w:space="0" w:color="auto"/>
        <w:left w:val="none" w:sz="0" w:space="0" w:color="auto"/>
        <w:bottom w:val="none" w:sz="0" w:space="0" w:color="auto"/>
        <w:right w:val="none" w:sz="0" w:space="0" w:color="auto"/>
      </w:divBdr>
      <w:divsChild>
        <w:div w:id="1470635458">
          <w:marLeft w:val="547"/>
          <w:marRight w:val="0"/>
          <w:marTop w:val="154"/>
          <w:marBottom w:val="0"/>
          <w:divBdr>
            <w:top w:val="none" w:sz="0" w:space="0" w:color="auto"/>
            <w:left w:val="none" w:sz="0" w:space="0" w:color="auto"/>
            <w:bottom w:val="none" w:sz="0" w:space="0" w:color="auto"/>
            <w:right w:val="none" w:sz="0" w:space="0" w:color="auto"/>
          </w:divBdr>
        </w:div>
      </w:divsChild>
    </w:div>
    <w:div w:id="886916069">
      <w:bodyDiv w:val="1"/>
      <w:marLeft w:val="0"/>
      <w:marRight w:val="0"/>
      <w:marTop w:val="0"/>
      <w:marBottom w:val="0"/>
      <w:divBdr>
        <w:top w:val="none" w:sz="0" w:space="0" w:color="auto"/>
        <w:left w:val="none" w:sz="0" w:space="0" w:color="auto"/>
        <w:bottom w:val="none" w:sz="0" w:space="0" w:color="auto"/>
        <w:right w:val="none" w:sz="0" w:space="0" w:color="auto"/>
      </w:divBdr>
    </w:div>
    <w:div w:id="938565208">
      <w:bodyDiv w:val="1"/>
      <w:marLeft w:val="0"/>
      <w:marRight w:val="0"/>
      <w:marTop w:val="0"/>
      <w:marBottom w:val="0"/>
      <w:divBdr>
        <w:top w:val="none" w:sz="0" w:space="0" w:color="auto"/>
        <w:left w:val="none" w:sz="0" w:space="0" w:color="auto"/>
        <w:bottom w:val="none" w:sz="0" w:space="0" w:color="auto"/>
        <w:right w:val="none" w:sz="0" w:space="0" w:color="auto"/>
      </w:divBdr>
    </w:div>
    <w:div w:id="955671474">
      <w:bodyDiv w:val="1"/>
      <w:marLeft w:val="0"/>
      <w:marRight w:val="0"/>
      <w:marTop w:val="0"/>
      <w:marBottom w:val="0"/>
      <w:divBdr>
        <w:top w:val="none" w:sz="0" w:space="0" w:color="auto"/>
        <w:left w:val="none" w:sz="0" w:space="0" w:color="auto"/>
        <w:bottom w:val="none" w:sz="0" w:space="0" w:color="auto"/>
        <w:right w:val="none" w:sz="0" w:space="0" w:color="auto"/>
      </w:divBdr>
    </w:div>
    <w:div w:id="1009673437">
      <w:bodyDiv w:val="1"/>
      <w:marLeft w:val="0"/>
      <w:marRight w:val="0"/>
      <w:marTop w:val="0"/>
      <w:marBottom w:val="0"/>
      <w:divBdr>
        <w:top w:val="none" w:sz="0" w:space="0" w:color="auto"/>
        <w:left w:val="none" w:sz="0" w:space="0" w:color="auto"/>
        <w:bottom w:val="none" w:sz="0" w:space="0" w:color="auto"/>
        <w:right w:val="none" w:sz="0" w:space="0" w:color="auto"/>
      </w:divBdr>
      <w:divsChild>
        <w:div w:id="996032102">
          <w:marLeft w:val="0"/>
          <w:marRight w:val="0"/>
          <w:marTop w:val="0"/>
          <w:marBottom w:val="0"/>
          <w:divBdr>
            <w:top w:val="none" w:sz="0" w:space="0" w:color="auto"/>
            <w:left w:val="none" w:sz="0" w:space="0" w:color="auto"/>
            <w:bottom w:val="none" w:sz="0" w:space="0" w:color="auto"/>
            <w:right w:val="none" w:sz="0" w:space="0" w:color="auto"/>
          </w:divBdr>
        </w:div>
        <w:div w:id="1839689918">
          <w:marLeft w:val="0"/>
          <w:marRight w:val="0"/>
          <w:marTop w:val="0"/>
          <w:marBottom w:val="0"/>
          <w:divBdr>
            <w:top w:val="none" w:sz="0" w:space="0" w:color="auto"/>
            <w:left w:val="none" w:sz="0" w:space="0" w:color="auto"/>
            <w:bottom w:val="none" w:sz="0" w:space="0" w:color="auto"/>
            <w:right w:val="none" w:sz="0" w:space="0" w:color="auto"/>
          </w:divBdr>
        </w:div>
        <w:div w:id="1610892065">
          <w:marLeft w:val="0"/>
          <w:marRight w:val="0"/>
          <w:marTop w:val="0"/>
          <w:marBottom w:val="0"/>
          <w:divBdr>
            <w:top w:val="none" w:sz="0" w:space="0" w:color="auto"/>
            <w:left w:val="none" w:sz="0" w:space="0" w:color="auto"/>
            <w:bottom w:val="none" w:sz="0" w:space="0" w:color="auto"/>
            <w:right w:val="none" w:sz="0" w:space="0" w:color="auto"/>
          </w:divBdr>
        </w:div>
        <w:div w:id="1659650090">
          <w:marLeft w:val="0"/>
          <w:marRight w:val="0"/>
          <w:marTop w:val="0"/>
          <w:marBottom w:val="0"/>
          <w:divBdr>
            <w:top w:val="none" w:sz="0" w:space="0" w:color="auto"/>
            <w:left w:val="none" w:sz="0" w:space="0" w:color="auto"/>
            <w:bottom w:val="none" w:sz="0" w:space="0" w:color="auto"/>
            <w:right w:val="none" w:sz="0" w:space="0" w:color="auto"/>
          </w:divBdr>
        </w:div>
        <w:div w:id="533885892">
          <w:marLeft w:val="0"/>
          <w:marRight w:val="0"/>
          <w:marTop w:val="0"/>
          <w:marBottom w:val="0"/>
          <w:divBdr>
            <w:top w:val="none" w:sz="0" w:space="0" w:color="auto"/>
            <w:left w:val="none" w:sz="0" w:space="0" w:color="auto"/>
            <w:bottom w:val="none" w:sz="0" w:space="0" w:color="auto"/>
            <w:right w:val="none" w:sz="0" w:space="0" w:color="auto"/>
          </w:divBdr>
        </w:div>
        <w:div w:id="1443648905">
          <w:marLeft w:val="0"/>
          <w:marRight w:val="0"/>
          <w:marTop w:val="0"/>
          <w:marBottom w:val="0"/>
          <w:divBdr>
            <w:top w:val="none" w:sz="0" w:space="0" w:color="auto"/>
            <w:left w:val="none" w:sz="0" w:space="0" w:color="auto"/>
            <w:bottom w:val="none" w:sz="0" w:space="0" w:color="auto"/>
            <w:right w:val="none" w:sz="0" w:space="0" w:color="auto"/>
          </w:divBdr>
        </w:div>
        <w:div w:id="128591520">
          <w:marLeft w:val="0"/>
          <w:marRight w:val="0"/>
          <w:marTop w:val="0"/>
          <w:marBottom w:val="0"/>
          <w:divBdr>
            <w:top w:val="none" w:sz="0" w:space="0" w:color="auto"/>
            <w:left w:val="none" w:sz="0" w:space="0" w:color="auto"/>
            <w:bottom w:val="none" w:sz="0" w:space="0" w:color="auto"/>
            <w:right w:val="none" w:sz="0" w:space="0" w:color="auto"/>
          </w:divBdr>
        </w:div>
        <w:div w:id="1375426080">
          <w:marLeft w:val="0"/>
          <w:marRight w:val="0"/>
          <w:marTop w:val="0"/>
          <w:marBottom w:val="0"/>
          <w:divBdr>
            <w:top w:val="none" w:sz="0" w:space="0" w:color="auto"/>
            <w:left w:val="none" w:sz="0" w:space="0" w:color="auto"/>
            <w:bottom w:val="none" w:sz="0" w:space="0" w:color="auto"/>
            <w:right w:val="none" w:sz="0" w:space="0" w:color="auto"/>
          </w:divBdr>
        </w:div>
        <w:div w:id="1014065345">
          <w:marLeft w:val="0"/>
          <w:marRight w:val="0"/>
          <w:marTop w:val="0"/>
          <w:marBottom w:val="0"/>
          <w:divBdr>
            <w:top w:val="none" w:sz="0" w:space="0" w:color="auto"/>
            <w:left w:val="none" w:sz="0" w:space="0" w:color="auto"/>
            <w:bottom w:val="none" w:sz="0" w:space="0" w:color="auto"/>
            <w:right w:val="none" w:sz="0" w:space="0" w:color="auto"/>
          </w:divBdr>
        </w:div>
        <w:div w:id="1291519842">
          <w:marLeft w:val="0"/>
          <w:marRight w:val="0"/>
          <w:marTop w:val="0"/>
          <w:marBottom w:val="0"/>
          <w:divBdr>
            <w:top w:val="none" w:sz="0" w:space="0" w:color="auto"/>
            <w:left w:val="none" w:sz="0" w:space="0" w:color="auto"/>
            <w:bottom w:val="none" w:sz="0" w:space="0" w:color="auto"/>
            <w:right w:val="none" w:sz="0" w:space="0" w:color="auto"/>
          </w:divBdr>
        </w:div>
        <w:div w:id="1448548436">
          <w:marLeft w:val="0"/>
          <w:marRight w:val="0"/>
          <w:marTop w:val="0"/>
          <w:marBottom w:val="0"/>
          <w:divBdr>
            <w:top w:val="none" w:sz="0" w:space="0" w:color="auto"/>
            <w:left w:val="none" w:sz="0" w:space="0" w:color="auto"/>
            <w:bottom w:val="none" w:sz="0" w:space="0" w:color="auto"/>
            <w:right w:val="none" w:sz="0" w:space="0" w:color="auto"/>
          </w:divBdr>
        </w:div>
        <w:div w:id="1801917399">
          <w:marLeft w:val="0"/>
          <w:marRight w:val="0"/>
          <w:marTop w:val="0"/>
          <w:marBottom w:val="0"/>
          <w:divBdr>
            <w:top w:val="none" w:sz="0" w:space="0" w:color="auto"/>
            <w:left w:val="none" w:sz="0" w:space="0" w:color="auto"/>
            <w:bottom w:val="none" w:sz="0" w:space="0" w:color="auto"/>
            <w:right w:val="none" w:sz="0" w:space="0" w:color="auto"/>
          </w:divBdr>
        </w:div>
        <w:div w:id="888028112">
          <w:marLeft w:val="0"/>
          <w:marRight w:val="0"/>
          <w:marTop w:val="0"/>
          <w:marBottom w:val="0"/>
          <w:divBdr>
            <w:top w:val="none" w:sz="0" w:space="0" w:color="auto"/>
            <w:left w:val="none" w:sz="0" w:space="0" w:color="auto"/>
            <w:bottom w:val="none" w:sz="0" w:space="0" w:color="auto"/>
            <w:right w:val="none" w:sz="0" w:space="0" w:color="auto"/>
          </w:divBdr>
        </w:div>
      </w:divsChild>
    </w:div>
    <w:div w:id="1057122385">
      <w:bodyDiv w:val="1"/>
      <w:marLeft w:val="0"/>
      <w:marRight w:val="0"/>
      <w:marTop w:val="0"/>
      <w:marBottom w:val="0"/>
      <w:divBdr>
        <w:top w:val="none" w:sz="0" w:space="0" w:color="auto"/>
        <w:left w:val="none" w:sz="0" w:space="0" w:color="auto"/>
        <w:bottom w:val="none" w:sz="0" w:space="0" w:color="auto"/>
        <w:right w:val="none" w:sz="0" w:space="0" w:color="auto"/>
      </w:divBdr>
    </w:div>
    <w:div w:id="1158573535">
      <w:bodyDiv w:val="1"/>
      <w:marLeft w:val="0"/>
      <w:marRight w:val="0"/>
      <w:marTop w:val="0"/>
      <w:marBottom w:val="0"/>
      <w:divBdr>
        <w:top w:val="none" w:sz="0" w:space="0" w:color="auto"/>
        <w:left w:val="none" w:sz="0" w:space="0" w:color="auto"/>
        <w:bottom w:val="none" w:sz="0" w:space="0" w:color="auto"/>
        <w:right w:val="none" w:sz="0" w:space="0" w:color="auto"/>
      </w:divBdr>
      <w:divsChild>
        <w:div w:id="1843086762">
          <w:marLeft w:val="547"/>
          <w:marRight w:val="0"/>
          <w:marTop w:val="106"/>
          <w:marBottom w:val="0"/>
          <w:divBdr>
            <w:top w:val="none" w:sz="0" w:space="0" w:color="auto"/>
            <w:left w:val="none" w:sz="0" w:space="0" w:color="auto"/>
            <w:bottom w:val="none" w:sz="0" w:space="0" w:color="auto"/>
            <w:right w:val="none" w:sz="0" w:space="0" w:color="auto"/>
          </w:divBdr>
        </w:div>
        <w:div w:id="872423370">
          <w:marLeft w:val="547"/>
          <w:marRight w:val="0"/>
          <w:marTop w:val="106"/>
          <w:marBottom w:val="0"/>
          <w:divBdr>
            <w:top w:val="none" w:sz="0" w:space="0" w:color="auto"/>
            <w:left w:val="none" w:sz="0" w:space="0" w:color="auto"/>
            <w:bottom w:val="none" w:sz="0" w:space="0" w:color="auto"/>
            <w:right w:val="none" w:sz="0" w:space="0" w:color="auto"/>
          </w:divBdr>
        </w:div>
        <w:div w:id="497237658">
          <w:marLeft w:val="547"/>
          <w:marRight w:val="0"/>
          <w:marTop w:val="106"/>
          <w:marBottom w:val="0"/>
          <w:divBdr>
            <w:top w:val="none" w:sz="0" w:space="0" w:color="auto"/>
            <w:left w:val="none" w:sz="0" w:space="0" w:color="auto"/>
            <w:bottom w:val="none" w:sz="0" w:space="0" w:color="auto"/>
            <w:right w:val="none" w:sz="0" w:space="0" w:color="auto"/>
          </w:divBdr>
        </w:div>
        <w:div w:id="857112124">
          <w:marLeft w:val="547"/>
          <w:marRight w:val="0"/>
          <w:marTop w:val="106"/>
          <w:marBottom w:val="0"/>
          <w:divBdr>
            <w:top w:val="none" w:sz="0" w:space="0" w:color="auto"/>
            <w:left w:val="none" w:sz="0" w:space="0" w:color="auto"/>
            <w:bottom w:val="none" w:sz="0" w:space="0" w:color="auto"/>
            <w:right w:val="none" w:sz="0" w:space="0" w:color="auto"/>
          </w:divBdr>
        </w:div>
        <w:div w:id="2006978154">
          <w:marLeft w:val="547"/>
          <w:marRight w:val="0"/>
          <w:marTop w:val="106"/>
          <w:marBottom w:val="0"/>
          <w:divBdr>
            <w:top w:val="none" w:sz="0" w:space="0" w:color="auto"/>
            <w:left w:val="none" w:sz="0" w:space="0" w:color="auto"/>
            <w:bottom w:val="none" w:sz="0" w:space="0" w:color="auto"/>
            <w:right w:val="none" w:sz="0" w:space="0" w:color="auto"/>
          </w:divBdr>
        </w:div>
        <w:div w:id="2041008147">
          <w:marLeft w:val="547"/>
          <w:marRight w:val="0"/>
          <w:marTop w:val="106"/>
          <w:marBottom w:val="0"/>
          <w:divBdr>
            <w:top w:val="none" w:sz="0" w:space="0" w:color="auto"/>
            <w:left w:val="none" w:sz="0" w:space="0" w:color="auto"/>
            <w:bottom w:val="none" w:sz="0" w:space="0" w:color="auto"/>
            <w:right w:val="none" w:sz="0" w:space="0" w:color="auto"/>
          </w:divBdr>
        </w:div>
        <w:div w:id="280841231">
          <w:marLeft w:val="547"/>
          <w:marRight w:val="0"/>
          <w:marTop w:val="106"/>
          <w:marBottom w:val="0"/>
          <w:divBdr>
            <w:top w:val="none" w:sz="0" w:space="0" w:color="auto"/>
            <w:left w:val="none" w:sz="0" w:space="0" w:color="auto"/>
            <w:bottom w:val="none" w:sz="0" w:space="0" w:color="auto"/>
            <w:right w:val="none" w:sz="0" w:space="0" w:color="auto"/>
          </w:divBdr>
        </w:div>
        <w:div w:id="1849515180">
          <w:marLeft w:val="547"/>
          <w:marRight w:val="0"/>
          <w:marTop w:val="106"/>
          <w:marBottom w:val="0"/>
          <w:divBdr>
            <w:top w:val="none" w:sz="0" w:space="0" w:color="auto"/>
            <w:left w:val="none" w:sz="0" w:space="0" w:color="auto"/>
            <w:bottom w:val="none" w:sz="0" w:space="0" w:color="auto"/>
            <w:right w:val="none" w:sz="0" w:space="0" w:color="auto"/>
          </w:divBdr>
        </w:div>
        <w:div w:id="1344280556">
          <w:marLeft w:val="547"/>
          <w:marRight w:val="0"/>
          <w:marTop w:val="106"/>
          <w:marBottom w:val="0"/>
          <w:divBdr>
            <w:top w:val="none" w:sz="0" w:space="0" w:color="auto"/>
            <w:left w:val="none" w:sz="0" w:space="0" w:color="auto"/>
            <w:bottom w:val="none" w:sz="0" w:space="0" w:color="auto"/>
            <w:right w:val="none" w:sz="0" w:space="0" w:color="auto"/>
          </w:divBdr>
        </w:div>
        <w:div w:id="943731157">
          <w:marLeft w:val="547"/>
          <w:marRight w:val="0"/>
          <w:marTop w:val="106"/>
          <w:marBottom w:val="0"/>
          <w:divBdr>
            <w:top w:val="none" w:sz="0" w:space="0" w:color="auto"/>
            <w:left w:val="none" w:sz="0" w:space="0" w:color="auto"/>
            <w:bottom w:val="none" w:sz="0" w:space="0" w:color="auto"/>
            <w:right w:val="none" w:sz="0" w:space="0" w:color="auto"/>
          </w:divBdr>
        </w:div>
      </w:divsChild>
    </w:div>
    <w:div w:id="1220939548">
      <w:bodyDiv w:val="1"/>
      <w:marLeft w:val="0"/>
      <w:marRight w:val="0"/>
      <w:marTop w:val="0"/>
      <w:marBottom w:val="0"/>
      <w:divBdr>
        <w:top w:val="none" w:sz="0" w:space="0" w:color="auto"/>
        <w:left w:val="none" w:sz="0" w:space="0" w:color="auto"/>
        <w:bottom w:val="none" w:sz="0" w:space="0" w:color="auto"/>
        <w:right w:val="none" w:sz="0" w:space="0" w:color="auto"/>
      </w:divBdr>
      <w:divsChild>
        <w:div w:id="509371405">
          <w:marLeft w:val="0"/>
          <w:marRight w:val="0"/>
          <w:marTop w:val="60"/>
          <w:marBottom w:val="60"/>
          <w:divBdr>
            <w:top w:val="none" w:sz="0" w:space="0" w:color="auto"/>
            <w:left w:val="none" w:sz="0" w:space="0" w:color="auto"/>
            <w:bottom w:val="none" w:sz="0" w:space="0" w:color="auto"/>
            <w:right w:val="none" w:sz="0" w:space="0" w:color="auto"/>
          </w:divBdr>
        </w:div>
        <w:div w:id="1637024540">
          <w:marLeft w:val="0"/>
          <w:marRight w:val="0"/>
          <w:marTop w:val="0"/>
          <w:marBottom w:val="120"/>
          <w:divBdr>
            <w:top w:val="none" w:sz="0" w:space="0" w:color="auto"/>
            <w:left w:val="none" w:sz="0" w:space="0" w:color="auto"/>
            <w:bottom w:val="none" w:sz="0" w:space="0" w:color="auto"/>
            <w:right w:val="none" w:sz="0" w:space="0" w:color="auto"/>
          </w:divBdr>
        </w:div>
      </w:divsChild>
    </w:div>
    <w:div w:id="1253273797">
      <w:bodyDiv w:val="1"/>
      <w:marLeft w:val="0"/>
      <w:marRight w:val="0"/>
      <w:marTop w:val="0"/>
      <w:marBottom w:val="0"/>
      <w:divBdr>
        <w:top w:val="none" w:sz="0" w:space="0" w:color="auto"/>
        <w:left w:val="none" w:sz="0" w:space="0" w:color="auto"/>
        <w:bottom w:val="none" w:sz="0" w:space="0" w:color="auto"/>
        <w:right w:val="none" w:sz="0" w:space="0" w:color="auto"/>
      </w:divBdr>
    </w:div>
    <w:div w:id="1352874549">
      <w:bodyDiv w:val="1"/>
      <w:marLeft w:val="0"/>
      <w:marRight w:val="0"/>
      <w:marTop w:val="0"/>
      <w:marBottom w:val="0"/>
      <w:divBdr>
        <w:top w:val="none" w:sz="0" w:space="0" w:color="auto"/>
        <w:left w:val="none" w:sz="0" w:space="0" w:color="auto"/>
        <w:bottom w:val="none" w:sz="0" w:space="0" w:color="auto"/>
        <w:right w:val="none" w:sz="0" w:space="0" w:color="auto"/>
      </w:divBdr>
      <w:divsChild>
        <w:div w:id="1771049508">
          <w:marLeft w:val="0"/>
          <w:marRight w:val="0"/>
          <w:marTop w:val="0"/>
          <w:marBottom w:val="0"/>
          <w:divBdr>
            <w:top w:val="none" w:sz="0" w:space="0" w:color="auto"/>
            <w:left w:val="none" w:sz="0" w:space="0" w:color="auto"/>
            <w:bottom w:val="none" w:sz="0" w:space="0" w:color="auto"/>
            <w:right w:val="none" w:sz="0" w:space="0" w:color="auto"/>
          </w:divBdr>
        </w:div>
        <w:div w:id="1956984301">
          <w:marLeft w:val="0"/>
          <w:marRight w:val="0"/>
          <w:marTop w:val="0"/>
          <w:marBottom w:val="0"/>
          <w:divBdr>
            <w:top w:val="none" w:sz="0" w:space="0" w:color="auto"/>
            <w:left w:val="none" w:sz="0" w:space="0" w:color="auto"/>
            <w:bottom w:val="none" w:sz="0" w:space="0" w:color="auto"/>
            <w:right w:val="none" w:sz="0" w:space="0" w:color="auto"/>
          </w:divBdr>
        </w:div>
      </w:divsChild>
    </w:div>
    <w:div w:id="1358921292">
      <w:bodyDiv w:val="1"/>
      <w:marLeft w:val="0"/>
      <w:marRight w:val="0"/>
      <w:marTop w:val="0"/>
      <w:marBottom w:val="0"/>
      <w:divBdr>
        <w:top w:val="none" w:sz="0" w:space="0" w:color="auto"/>
        <w:left w:val="none" w:sz="0" w:space="0" w:color="auto"/>
        <w:bottom w:val="none" w:sz="0" w:space="0" w:color="auto"/>
        <w:right w:val="none" w:sz="0" w:space="0" w:color="auto"/>
      </w:divBdr>
      <w:divsChild>
        <w:div w:id="1880390765">
          <w:marLeft w:val="0"/>
          <w:marRight w:val="0"/>
          <w:marTop w:val="0"/>
          <w:marBottom w:val="0"/>
          <w:divBdr>
            <w:top w:val="none" w:sz="0" w:space="0" w:color="auto"/>
            <w:left w:val="none" w:sz="0" w:space="0" w:color="auto"/>
            <w:bottom w:val="none" w:sz="0" w:space="0" w:color="auto"/>
            <w:right w:val="none" w:sz="0" w:space="0" w:color="auto"/>
          </w:divBdr>
        </w:div>
        <w:div w:id="339622945">
          <w:marLeft w:val="0"/>
          <w:marRight w:val="0"/>
          <w:marTop w:val="0"/>
          <w:marBottom w:val="0"/>
          <w:divBdr>
            <w:top w:val="none" w:sz="0" w:space="0" w:color="auto"/>
            <w:left w:val="none" w:sz="0" w:space="0" w:color="auto"/>
            <w:bottom w:val="none" w:sz="0" w:space="0" w:color="auto"/>
            <w:right w:val="none" w:sz="0" w:space="0" w:color="auto"/>
          </w:divBdr>
        </w:div>
        <w:div w:id="1665359013">
          <w:marLeft w:val="0"/>
          <w:marRight w:val="0"/>
          <w:marTop w:val="0"/>
          <w:marBottom w:val="0"/>
          <w:divBdr>
            <w:top w:val="none" w:sz="0" w:space="0" w:color="auto"/>
            <w:left w:val="none" w:sz="0" w:space="0" w:color="auto"/>
            <w:bottom w:val="none" w:sz="0" w:space="0" w:color="auto"/>
            <w:right w:val="none" w:sz="0" w:space="0" w:color="auto"/>
          </w:divBdr>
        </w:div>
      </w:divsChild>
    </w:div>
    <w:div w:id="1425153419">
      <w:bodyDiv w:val="1"/>
      <w:marLeft w:val="0"/>
      <w:marRight w:val="0"/>
      <w:marTop w:val="0"/>
      <w:marBottom w:val="0"/>
      <w:divBdr>
        <w:top w:val="none" w:sz="0" w:space="0" w:color="auto"/>
        <w:left w:val="none" w:sz="0" w:space="0" w:color="auto"/>
        <w:bottom w:val="none" w:sz="0" w:space="0" w:color="auto"/>
        <w:right w:val="none" w:sz="0" w:space="0" w:color="auto"/>
      </w:divBdr>
      <w:divsChild>
        <w:div w:id="1954248397">
          <w:marLeft w:val="0"/>
          <w:marRight w:val="0"/>
          <w:marTop w:val="0"/>
          <w:marBottom w:val="0"/>
          <w:divBdr>
            <w:top w:val="none" w:sz="0" w:space="0" w:color="auto"/>
            <w:left w:val="none" w:sz="0" w:space="0" w:color="auto"/>
            <w:bottom w:val="none" w:sz="0" w:space="0" w:color="auto"/>
            <w:right w:val="none" w:sz="0" w:space="0" w:color="auto"/>
          </w:divBdr>
        </w:div>
      </w:divsChild>
    </w:div>
    <w:div w:id="1549224369">
      <w:bodyDiv w:val="1"/>
      <w:marLeft w:val="0"/>
      <w:marRight w:val="0"/>
      <w:marTop w:val="0"/>
      <w:marBottom w:val="0"/>
      <w:divBdr>
        <w:top w:val="none" w:sz="0" w:space="0" w:color="auto"/>
        <w:left w:val="none" w:sz="0" w:space="0" w:color="auto"/>
        <w:bottom w:val="none" w:sz="0" w:space="0" w:color="auto"/>
        <w:right w:val="none" w:sz="0" w:space="0" w:color="auto"/>
      </w:divBdr>
      <w:divsChild>
        <w:div w:id="2113233922">
          <w:marLeft w:val="0"/>
          <w:marRight w:val="0"/>
          <w:marTop w:val="0"/>
          <w:marBottom w:val="0"/>
          <w:divBdr>
            <w:top w:val="none" w:sz="0" w:space="0" w:color="auto"/>
            <w:left w:val="none" w:sz="0" w:space="0" w:color="auto"/>
            <w:bottom w:val="none" w:sz="0" w:space="0" w:color="auto"/>
            <w:right w:val="none" w:sz="0" w:space="0" w:color="auto"/>
          </w:divBdr>
        </w:div>
        <w:div w:id="1221096208">
          <w:marLeft w:val="0"/>
          <w:marRight w:val="0"/>
          <w:marTop w:val="0"/>
          <w:marBottom w:val="0"/>
          <w:divBdr>
            <w:top w:val="none" w:sz="0" w:space="0" w:color="auto"/>
            <w:left w:val="none" w:sz="0" w:space="0" w:color="auto"/>
            <w:bottom w:val="none" w:sz="0" w:space="0" w:color="auto"/>
            <w:right w:val="none" w:sz="0" w:space="0" w:color="auto"/>
          </w:divBdr>
        </w:div>
      </w:divsChild>
    </w:div>
    <w:div w:id="1585798939">
      <w:bodyDiv w:val="1"/>
      <w:marLeft w:val="0"/>
      <w:marRight w:val="0"/>
      <w:marTop w:val="0"/>
      <w:marBottom w:val="0"/>
      <w:divBdr>
        <w:top w:val="none" w:sz="0" w:space="0" w:color="auto"/>
        <w:left w:val="none" w:sz="0" w:space="0" w:color="auto"/>
        <w:bottom w:val="none" w:sz="0" w:space="0" w:color="auto"/>
        <w:right w:val="none" w:sz="0" w:space="0" w:color="auto"/>
      </w:divBdr>
    </w:div>
    <w:div w:id="1670713097">
      <w:bodyDiv w:val="1"/>
      <w:marLeft w:val="0"/>
      <w:marRight w:val="0"/>
      <w:marTop w:val="0"/>
      <w:marBottom w:val="0"/>
      <w:divBdr>
        <w:top w:val="none" w:sz="0" w:space="0" w:color="auto"/>
        <w:left w:val="none" w:sz="0" w:space="0" w:color="auto"/>
        <w:bottom w:val="none" w:sz="0" w:space="0" w:color="auto"/>
        <w:right w:val="none" w:sz="0" w:space="0" w:color="auto"/>
      </w:divBdr>
      <w:divsChild>
        <w:div w:id="1921713245">
          <w:marLeft w:val="0"/>
          <w:marRight w:val="0"/>
          <w:marTop w:val="60"/>
          <w:marBottom w:val="60"/>
          <w:divBdr>
            <w:top w:val="none" w:sz="0" w:space="0" w:color="auto"/>
            <w:left w:val="none" w:sz="0" w:space="0" w:color="auto"/>
            <w:bottom w:val="none" w:sz="0" w:space="0" w:color="auto"/>
            <w:right w:val="none" w:sz="0" w:space="0" w:color="auto"/>
          </w:divBdr>
        </w:div>
      </w:divsChild>
    </w:div>
    <w:div w:id="1697735026">
      <w:bodyDiv w:val="1"/>
      <w:marLeft w:val="0"/>
      <w:marRight w:val="0"/>
      <w:marTop w:val="0"/>
      <w:marBottom w:val="0"/>
      <w:divBdr>
        <w:top w:val="none" w:sz="0" w:space="0" w:color="auto"/>
        <w:left w:val="none" w:sz="0" w:space="0" w:color="auto"/>
        <w:bottom w:val="none" w:sz="0" w:space="0" w:color="auto"/>
        <w:right w:val="none" w:sz="0" w:space="0" w:color="auto"/>
      </w:divBdr>
      <w:divsChild>
        <w:div w:id="75904056">
          <w:marLeft w:val="0"/>
          <w:marRight w:val="0"/>
          <w:marTop w:val="60"/>
          <w:marBottom w:val="60"/>
          <w:divBdr>
            <w:top w:val="none" w:sz="0" w:space="0" w:color="auto"/>
            <w:left w:val="none" w:sz="0" w:space="0" w:color="auto"/>
            <w:bottom w:val="none" w:sz="0" w:space="0" w:color="auto"/>
            <w:right w:val="none" w:sz="0" w:space="0" w:color="auto"/>
          </w:divBdr>
        </w:div>
      </w:divsChild>
    </w:div>
    <w:div w:id="1752701852">
      <w:bodyDiv w:val="1"/>
      <w:marLeft w:val="0"/>
      <w:marRight w:val="0"/>
      <w:marTop w:val="0"/>
      <w:marBottom w:val="0"/>
      <w:divBdr>
        <w:top w:val="none" w:sz="0" w:space="0" w:color="auto"/>
        <w:left w:val="none" w:sz="0" w:space="0" w:color="auto"/>
        <w:bottom w:val="none" w:sz="0" w:space="0" w:color="auto"/>
        <w:right w:val="none" w:sz="0" w:space="0" w:color="auto"/>
      </w:divBdr>
      <w:divsChild>
        <w:div w:id="89011681">
          <w:marLeft w:val="547"/>
          <w:marRight w:val="0"/>
          <w:marTop w:val="173"/>
          <w:marBottom w:val="0"/>
          <w:divBdr>
            <w:top w:val="none" w:sz="0" w:space="0" w:color="auto"/>
            <w:left w:val="none" w:sz="0" w:space="0" w:color="auto"/>
            <w:bottom w:val="none" w:sz="0" w:space="0" w:color="auto"/>
            <w:right w:val="none" w:sz="0" w:space="0" w:color="auto"/>
          </w:divBdr>
        </w:div>
        <w:div w:id="240216110">
          <w:marLeft w:val="547"/>
          <w:marRight w:val="0"/>
          <w:marTop w:val="173"/>
          <w:marBottom w:val="0"/>
          <w:divBdr>
            <w:top w:val="none" w:sz="0" w:space="0" w:color="auto"/>
            <w:left w:val="none" w:sz="0" w:space="0" w:color="auto"/>
            <w:bottom w:val="none" w:sz="0" w:space="0" w:color="auto"/>
            <w:right w:val="none" w:sz="0" w:space="0" w:color="auto"/>
          </w:divBdr>
        </w:div>
        <w:div w:id="1185170103">
          <w:marLeft w:val="547"/>
          <w:marRight w:val="0"/>
          <w:marTop w:val="173"/>
          <w:marBottom w:val="0"/>
          <w:divBdr>
            <w:top w:val="none" w:sz="0" w:space="0" w:color="auto"/>
            <w:left w:val="none" w:sz="0" w:space="0" w:color="auto"/>
            <w:bottom w:val="none" w:sz="0" w:space="0" w:color="auto"/>
            <w:right w:val="none" w:sz="0" w:space="0" w:color="auto"/>
          </w:divBdr>
        </w:div>
        <w:div w:id="112528464">
          <w:marLeft w:val="547"/>
          <w:marRight w:val="0"/>
          <w:marTop w:val="173"/>
          <w:marBottom w:val="0"/>
          <w:divBdr>
            <w:top w:val="none" w:sz="0" w:space="0" w:color="auto"/>
            <w:left w:val="none" w:sz="0" w:space="0" w:color="auto"/>
            <w:bottom w:val="none" w:sz="0" w:space="0" w:color="auto"/>
            <w:right w:val="none" w:sz="0" w:space="0" w:color="auto"/>
          </w:divBdr>
        </w:div>
      </w:divsChild>
    </w:div>
    <w:div w:id="1798449780">
      <w:bodyDiv w:val="1"/>
      <w:marLeft w:val="0"/>
      <w:marRight w:val="0"/>
      <w:marTop w:val="0"/>
      <w:marBottom w:val="0"/>
      <w:divBdr>
        <w:top w:val="none" w:sz="0" w:space="0" w:color="auto"/>
        <w:left w:val="none" w:sz="0" w:space="0" w:color="auto"/>
        <w:bottom w:val="none" w:sz="0" w:space="0" w:color="auto"/>
        <w:right w:val="none" w:sz="0" w:space="0" w:color="auto"/>
      </w:divBdr>
      <w:divsChild>
        <w:div w:id="1230313293">
          <w:marLeft w:val="0"/>
          <w:marRight w:val="0"/>
          <w:marTop w:val="0"/>
          <w:marBottom w:val="0"/>
          <w:divBdr>
            <w:top w:val="none" w:sz="0" w:space="0" w:color="auto"/>
            <w:left w:val="none" w:sz="0" w:space="0" w:color="auto"/>
            <w:bottom w:val="none" w:sz="0" w:space="0" w:color="auto"/>
            <w:right w:val="none" w:sz="0" w:space="0" w:color="auto"/>
          </w:divBdr>
        </w:div>
        <w:div w:id="2142073116">
          <w:marLeft w:val="0"/>
          <w:marRight w:val="0"/>
          <w:marTop w:val="0"/>
          <w:marBottom w:val="0"/>
          <w:divBdr>
            <w:top w:val="none" w:sz="0" w:space="0" w:color="auto"/>
            <w:left w:val="none" w:sz="0" w:space="0" w:color="auto"/>
            <w:bottom w:val="none" w:sz="0" w:space="0" w:color="auto"/>
            <w:right w:val="none" w:sz="0" w:space="0" w:color="auto"/>
          </w:divBdr>
        </w:div>
      </w:divsChild>
    </w:div>
    <w:div w:id="1859345651">
      <w:bodyDiv w:val="1"/>
      <w:marLeft w:val="0"/>
      <w:marRight w:val="0"/>
      <w:marTop w:val="0"/>
      <w:marBottom w:val="0"/>
      <w:divBdr>
        <w:top w:val="none" w:sz="0" w:space="0" w:color="auto"/>
        <w:left w:val="none" w:sz="0" w:space="0" w:color="auto"/>
        <w:bottom w:val="none" w:sz="0" w:space="0" w:color="auto"/>
        <w:right w:val="none" w:sz="0" w:space="0" w:color="auto"/>
      </w:divBdr>
      <w:divsChild>
        <w:div w:id="958489922">
          <w:marLeft w:val="0"/>
          <w:marRight w:val="0"/>
          <w:marTop w:val="0"/>
          <w:marBottom w:val="0"/>
          <w:divBdr>
            <w:top w:val="none" w:sz="0" w:space="0" w:color="auto"/>
            <w:left w:val="none" w:sz="0" w:space="0" w:color="auto"/>
            <w:bottom w:val="none" w:sz="0" w:space="0" w:color="auto"/>
            <w:right w:val="none" w:sz="0" w:space="0" w:color="auto"/>
          </w:divBdr>
        </w:div>
        <w:div w:id="691152966">
          <w:marLeft w:val="0"/>
          <w:marRight w:val="0"/>
          <w:marTop w:val="0"/>
          <w:marBottom w:val="0"/>
          <w:divBdr>
            <w:top w:val="none" w:sz="0" w:space="0" w:color="auto"/>
            <w:left w:val="none" w:sz="0" w:space="0" w:color="auto"/>
            <w:bottom w:val="none" w:sz="0" w:space="0" w:color="auto"/>
            <w:right w:val="none" w:sz="0" w:space="0" w:color="auto"/>
          </w:divBdr>
        </w:div>
        <w:div w:id="455756495">
          <w:marLeft w:val="0"/>
          <w:marRight w:val="0"/>
          <w:marTop w:val="0"/>
          <w:marBottom w:val="0"/>
          <w:divBdr>
            <w:top w:val="none" w:sz="0" w:space="0" w:color="auto"/>
            <w:left w:val="none" w:sz="0" w:space="0" w:color="auto"/>
            <w:bottom w:val="none" w:sz="0" w:space="0" w:color="auto"/>
            <w:right w:val="none" w:sz="0" w:space="0" w:color="auto"/>
          </w:divBdr>
        </w:div>
        <w:div w:id="2088764734">
          <w:marLeft w:val="0"/>
          <w:marRight w:val="0"/>
          <w:marTop w:val="0"/>
          <w:marBottom w:val="0"/>
          <w:divBdr>
            <w:top w:val="none" w:sz="0" w:space="0" w:color="auto"/>
            <w:left w:val="none" w:sz="0" w:space="0" w:color="auto"/>
            <w:bottom w:val="none" w:sz="0" w:space="0" w:color="auto"/>
            <w:right w:val="none" w:sz="0" w:space="0" w:color="auto"/>
          </w:divBdr>
        </w:div>
        <w:div w:id="920258479">
          <w:marLeft w:val="0"/>
          <w:marRight w:val="0"/>
          <w:marTop w:val="0"/>
          <w:marBottom w:val="0"/>
          <w:divBdr>
            <w:top w:val="none" w:sz="0" w:space="0" w:color="auto"/>
            <w:left w:val="none" w:sz="0" w:space="0" w:color="auto"/>
            <w:bottom w:val="none" w:sz="0" w:space="0" w:color="auto"/>
            <w:right w:val="none" w:sz="0" w:space="0" w:color="auto"/>
          </w:divBdr>
        </w:div>
        <w:div w:id="1586768507">
          <w:marLeft w:val="0"/>
          <w:marRight w:val="0"/>
          <w:marTop w:val="0"/>
          <w:marBottom w:val="0"/>
          <w:divBdr>
            <w:top w:val="none" w:sz="0" w:space="0" w:color="auto"/>
            <w:left w:val="none" w:sz="0" w:space="0" w:color="auto"/>
            <w:bottom w:val="none" w:sz="0" w:space="0" w:color="auto"/>
            <w:right w:val="none" w:sz="0" w:space="0" w:color="auto"/>
          </w:divBdr>
        </w:div>
        <w:div w:id="1106656936">
          <w:marLeft w:val="0"/>
          <w:marRight w:val="0"/>
          <w:marTop w:val="0"/>
          <w:marBottom w:val="0"/>
          <w:divBdr>
            <w:top w:val="none" w:sz="0" w:space="0" w:color="auto"/>
            <w:left w:val="none" w:sz="0" w:space="0" w:color="auto"/>
            <w:bottom w:val="none" w:sz="0" w:space="0" w:color="auto"/>
            <w:right w:val="none" w:sz="0" w:space="0" w:color="auto"/>
          </w:divBdr>
        </w:div>
        <w:div w:id="1437217231">
          <w:marLeft w:val="0"/>
          <w:marRight w:val="0"/>
          <w:marTop w:val="0"/>
          <w:marBottom w:val="0"/>
          <w:divBdr>
            <w:top w:val="none" w:sz="0" w:space="0" w:color="auto"/>
            <w:left w:val="none" w:sz="0" w:space="0" w:color="auto"/>
            <w:bottom w:val="none" w:sz="0" w:space="0" w:color="auto"/>
            <w:right w:val="none" w:sz="0" w:space="0" w:color="auto"/>
          </w:divBdr>
        </w:div>
        <w:div w:id="1515269118">
          <w:marLeft w:val="0"/>
          <w:marRight w:val="0"/>
          <w:marTop w:val="0"/>
          <w:marBottom w:val="0"/>
          <w:divBdr>
            <w:top w:val="none" w:sz="0" w:space="0" w:color="auto"/>
            <w:left w:val="none" w:sz="0" w:space="0" w:color="auto"/>
            <w:bottom w:val="none" w:sz="0" w:space="0" w:color="auto"/>
            <w:right w:val="none" w:sz="0" w:space="0" w:color="auto"/>
          </w:divBdr>
        </w:div>
        <w:div w:id="1462186135">
          <w:marLeft w:val="0"/>
          <w:marRight w:val="0"/>
          <w:marTop w:val="0"/>
          <w:marBottom w:val="0"/>
          <w:divBdr>
            <w:top w:val="none" w:sz="0" w:space="0" w:color="auto"/>
            <w:left w:val="none" w:sz="0" w:space="0" w:color="auto"/>
            <w:bottom w:val="none" w:sz="0" w:space="0" w:color="auto"/>
            <w:right w:val="none" w:sz="0" w:space="0" w:color="auto"/>
          </w:divBdr>
        </w:div>
        <w:div w:id="831724924">
          <w:marLeft w:val="0"/>
          <w:marRight w:val="0"/>
          <w:marTop w:val="0"/>
          <w:marBottom w:val="0"/>
          <w:divBdr>
            <w:top w:val="none" w:sz="0" w:space="0" w:color="auto"/>
            <w:left w:val="none" w:sz="0" w:space="0" w:color="auto"/>
            <w:bottom w:val="none" w:sz="0" w:space="0" w:color="auto"/>
            <w:right w:val="none" w:sz="0" w:space="0" w:color="auto"/>
          </w:divBdr>
        </w:div>
        <w:div w:id="1036852979">
          <w:marLeft w:val="0"/>
          <w:marRight w:val="0"/>
          <w:marTop w:val="0"/>
          <w:marBottom w:val="0"/>
          <w:divBdr>
            <w:top w:val="none" w:sz="0" w:space="0" w:color="auto"/>
            <w:left w:val="none" w:sz="0" w:space="0" w:color="auto"/>
            <w:bottom w:val="none" w:sz="0" w:space="0" w:color="auto"/>
            <w:right w:val="none" w:sz="0" w:space="0" w:color="auto"/>
          </w:divBdr>
        </w:div>
        <w:div w:id="1617638681">
          <w:marLeft w:val="0"/>
          <w:marRight w:val="0"/>
          <w:marTop w:val="0"/>
          <w:marBottom w:val="0"/>
          <w:divBdr>
            <w:top w:val="none" w:sz="0" w:space="0" w:color="auto"/>
            <w:left w:val="none" w:sz="0" w:space="0" w:color="auto"/>
            <w:bottom w:val="none" w:sz="0" w:space="0" w:color="auto"/>
            <w:right w:val="none" w:sz="0" w:space="0" w:color="auto"/>
          </w:divBdr>
        </w:div>
        <w:div w:id="201214839">
          <w:marLeft w:val="0"/>
          <w:marRight w:val="0"/>
          <w:marTop w:val="0"/>
          <w:marBottom w:val="0"/>
          <w:divBdr>
            <w:top w:val="none" w:sz="0" w:space="0" w:color="auto"/>
            <w:left w:val="none" w:sz="0" w:space="0" w:color="auto"/>
            <w:bottom w:val="none" w:sz="0" w:space="0" w:color="auto"/>
            <w:right w:val="none" w:sz="0" w:space="0" w:color="auto"/>
          </w:divBdr>
        </w:div>
        <w:div w:id="1005397042">
          <w:marLeft w:val="0"/>
          <w:marRight w:val="0"/>
          <w:marTop w:val="0"/>
          <w:marBottom w:val="0"/>
          <w:divBdr>
            <w:top w:val="none" w:sz="0" w:space="0" w:color="auto"/>
            <w:left w:val="none" w:sz="0" w:space="0" w:color="auto"/>
            <w:bottom w:val="none" w:sz="0" w:space="0" w:color="auto"/>
            <w:right w:val="none" w:sz="0" w:space="0" w:color="auto"/>
          </w:divBdr>
        </w:div>
        <w:div w:id="484511809">
          <w:marLeft w:val="0"/>
          <w:marRight w:val="0"/>
          <w:marTop w:val="0"/>
          <w:marBottom w:val="0"/>
          <w:divBdr>
            <w:top w:val="none" w:sz="0" w:space="0" w:color="auto"/>
            <w:left w:val="none" w:sz="0" w:space="0" w:color="auto"/>
            <w:bottom w:val="none" w:sz="0" w:space="0" w:color="auto"/>
            <w:right w:val="none" w:sz="0" w:space="0" w:color="auto"/>
          </w:divBdr>
        </w:div>
        <w:div w:id="482429473">
          <w:marLeft w:val="0"/>
          <w:marRight w:val="0"/>
          <w:marTop w:val="0"/>
          <w:marBottom w:val="0"/>
          <w:divBdr>
            <w:top w:val="none" w:sz="0" w:space="0" w:color="auto"/>
            <w:left w:val="none" w:sz="0" w:space="0" w:color="auto"/>
            <w:bottom w:val="none" w:sz="0" w:space="0" w:color="auto"/>
            <w:right w:val="none" w:sz="0" w:space="0" w:color="auto"/>
          </w:divBdr>
        </w:div>
        <w:div w:id="1630818885">
          <w:marLeft w:val="0"/>
          <w:marRight w:val="0"/>
          <w:marTop w:val="0"/>
          <w:marBottom w:val="0"/>
          <w:divBdr>
            <w:top w:val="none" w:sz="0" w:space="0" w:color="auto"/>
            <w:left w:val="none" w:sz="0" w:space="0" w:color="auto"/>
            <w:bottom w:val="none" w:sz="0" w:space="0" w:color="auto"/>
            <w:right w:val="none" w:sz="0" w:space="0" w:color="auto"/>
          </w:divBdr>
        </w:div>
        <w:div w:id="1143039533">
          <w:marLeft w:val="0"/>
          <w:marRight w:val="0"/>
          <w:marTop w:val="0"/>
          <w:marBottom w:val="0"/>
          <w:divBdr>
            <w:top w:val="none" w:sz="0" w:space="0" w:color="auto"/>
            <w:left w:val="none" w:sz="0" w:space="0" w:color="auto"/>
            <w:bottom w:val="none" w:sz="0" w:space="0" w:color="auto"/>
            <w:right w:val="none" w:sz="0" w:space="0" w:color="auto"/>
          </w:divBdr>
        </w:div>
        <w:div w:id="1686861444">
          <w:marLeft w:val="0"/>
          <w:marRight w:val="0"/>
          <w:marTop w:val="0"/>
          <w:marBottom w:val="0"/>
          <w:divBdr>
            <w:top w:val="none" w:sz="0" w:space="0" w:color="auto"/>
            <w:left w:val="none" w:sz="0" w:space="0" w:color="auto"/>
            <w:bottom w:val="none" w:sz="0" w:space="0" w:color="auto"/>
            <w:right w:val="none" w:sz="0" w:space="0" w:color="auto"/>
          </w:divBdr>
        </w:div>
        <w:div w:id="1587567739">
          <w:marLeft w:val="0"/>
          <w:marRight w:val="0"/>
          <w:marTop w:val="0"/>
          <w:marBottom w:val="0"/>
          <w:divBdr>
            <w:top w:val="none" w:sz="0" w:space="0" w:color="auto"/>
            <w:left w:val="none" w:sz="0" w:space="0" w:color="auto"/>
            <w:bottom w:val="none" w:sz="0" w:space="0" w:color="auto"/>
            <w:right w:val="none" w:sz="0" w:space="0" w:color="auto"/>
          </w:divBdr>
        </w:div>
        <w:div w:id="80219018">
          <w:marLeft w:val="0"/>
          <w:marRight w:val="0"/>
          <w:marTop w:val="0"/>
          <w:marBottom w:val="0"/>
          <w:divBdr>
            <w:top w:val="none" w:sz="0" w:space="0" w:color="auto"/>
            <w:left w:val="none" w:sz="0" w:space="0" w:color="auto"/>
            <w:bottom w:val="none" w:sz="0" w:space="0" w:color="auto"/>
            <w:right w:val="none" w:sz="0" w:space="0" w:color="auto"/>
          </w:divBdr>
        </w:div>
        <w:div w:id="909538784">
          <w:marLeft w:val="0"/>
          <w:marRight w:val="0"/>
          <w:marTop w:val="0"/>
          <w:marBottom w:val="0"/>
          <w:divBdr>
            <w:top w:val="none" w:sz="0" w:space="0" w:color="auto"/>
            <w:left w:val="none" w:sz="0" w:space="0" w:color="auto"/>
            <w:bottom w:val="none" w:sz="0" w:space="0" w:color="auto"/>
            <w:right w:val="none" w:sz="0" w:space="0" w:color="auto"/>
          </w:divBdr>
        </w:div>
        <w:div w:id="1160000821">
          <w:marLeft w:val="0"/>
          <w:marRight w:val="0"/>
          <w:marTop w:val="0"/>
          <w:marBottom w:val="0"/>
          <w:divBdr>
            <w:top w:val="none" w:sz="0" w:space="0" w:color="auto"/>
            <w:left w:val="none" w:sz="0" w:space="0" w:color="auto"/>
            <w:bottom w:val="none" w:sz="0" w:space="0" w:color="auto"/>
            <w:right w:val="none" w:sz="0" w:space="0" w:color="auto"/>
          </w:divBdr>
        </w:div>
        <w:div w:id="1038046714">
          <w:marLeft w:val="0"/>
          <w:marRight w:val="0"/>
          <w:marTop w:val="0"/>
          <w:marBottom w:val="0"/>
          <w:divBdr>
            <w:top w:val="none" w:sz="0" w:space="0" w:color="auto"/>
            <w:left w:val="none" w:sz="0" w:space="0" w:color="auto"/>
            <w:bottom w:val="none" w:sz="0" w:space="0" w:color="auto"/>
            <w:right w:val="none" w:sz="0" w:space="0" w:color="auto"/>
          </w:divBdr>
        </w:div>
      </w:divsChild>
    </w:div>
    <w:div w:id="1889102420">
      <w:bodyDiv w:val="1"/>
      <w:marLeft w:val="0"/>
      <w:marRight w:val="0"/>
      <w:marTop w:val="0"/>
      <w:marBottom w:val="0"/>
      <w:divBdr>
        <w:top w:val="none" w:sz="0" w:space="0" w:color="auto"/>
        <w:left w:val="none" w:sz="0" w:space="0" w:color="auto"/>
        <w:bottom w:val="none" w:sz="0" w:space="0" w:color="auto"/>
        <w:right w:val="none" w:sz="0" w:space="0" w:color="auto"/>
      </w:divBdr>
      <w:divsChild>
        <w:div w:id="1289357450">
          <w:marLeft w:val="547"/>
          <w:marRight w:val="0"/>
          <w:marTop w:val="134"/>
          <w:marBottom w:val="0"/>
          <w:divBdr>
            <w:top w:val="none" w:sz="0" w:space="0" w:color="auto"/>
            <w:left w:val="none" w:sz="0" w:space="0" w:color="auto"/>
            <w:bottom w:val="none" w:sz="0" w:space="0" w:color="auto"/>
            <w:right w:val="none" w:sz="0" w:space="0" w:color="auto"/>
          </w:divBdr>
        </w:div>
        <w:div w:id="679235083">
          <w:marLeft w:val="547"/>
          <w:marRight w:val="0"/>
          <w:marTop w:val="134"/>
          <w:marBottom w:val="0"/>
          <w:divBdr>
            <w:top w:val="none" w:sz="0" w:space="0" w:color="auto"/>
            <w:left w:val="none" w:sz="0" w:space="0" w:color="auto"/>
            <w:bottom w:val="none" w:sz="0" w:space="0" w:color="auto"/>
            <w:right w:val="none" w:sz="0" w:space="0" w:color="auto"/>
          </w:divBdr>
        </w:div>
        <w:div w:id="735477021">
          <w:marLeft w:val="547"/>
          <w:marRight w:val="0"/>
          <w:marTop w:val="134"/>
          <w:marBottom w:val="0"/>
          <w:divBdr>
            <w:top w:val="none" w:sz="0" w:space="0" w:color="auto"/>
            <w:left w:val="none" w:sz="0" w:space="0" w:color="auto"/>
            <w:bottom w:val="none" w:sz="0" w:space="0" w:color="auto"/>
            <w:right w:val="none" w:sz="0" w:space="0" w:color="auto"/>
          </w:divBdr>
        </w:div>
      </w:divsChild>
    </w:div>
    <w:div w:id="1893275619">
      <w:bodyDiv w:val="1"/>
      <w:marLeft w:val="0"/>
      <w:marRight w:val="0"/>
      <w:marTop w:val="0"/>
      <w:marBottom w:val="0"/>
      <w:divBdr>
        <w:top w:val="none" w:sz="0" w:space="0" w:color="auto"/>
        <w:left w:val="none" w:sz="0" w:space="0" w:color="auto"/>
        <w:bottom w:val="none" w:sz="0" w:space="0" w:color="auto"/>
        <w:right w:val="none" w:sz="0" w:space="0" w:color="auto"/>
      </w:divBdr>
      <w:divsChild>
        <w:div w:id="1192299262">
          <w:marLeft w:val="0"/>
          <w:marRight w:val="0"/>
          <w:marTop w:val="0"/>
          <w:marBottom w:val="0"/>
          <w:divBdr>
            <w:top w:val="none" w:sz="0" w:space="0" w:color="auto"/>
            <w:left w:val="none" w:sz="0" w:space="0" w:color="auto"/>
            <w:bottom w:val="none" w:sz="0" w:space="0" w:color="auto"/>
            <w:right w:val="none" w:sz="0" w:space="0" w:color="auto"/>
          </w:divBdr>
        </w:div>
        <w:div w:id="1311250053">
          <w:marLeft w:val="0"/>
          <w:marRight w:val="0"/>
          <w:marTop w:val="0"/>
          <w:marBottom w:val="0"/>
          <w:divBdr>
            <w:top w:val="none" w:sz="0" w:space="0" w:color="auto"/>
            <w:left w:val="none" w:sz="0" w:space="0" w:color="auto"/>
            <w:bottom w:val="none" w:sz="0" w:space="0" w:color="auto"/>
            <w:right w:val="none" w:sz="0" w:space="0" w:color="auto"/>
          </w:divBdr>
        </w:div>
        <w:div w:id="187302133">
          <w:marLeft w:val="0"/>
          <w:marRight w:val="0"/>
          <w:marTop w:val="0"/>
          <w:marBottom w:val="0"/>
          <w:divBdr>
            <w:top w:val="none" w:sz="0" w:space="0" w:color="auto"/>
            <w:left w:val="none" w:sz="0" w:space="0" w:color="auto"/>
            <w:bottom w:val="none" w:sz="0" w:space="0" w:color="auto"/>
            <w:right w:val="none" w:sz="0" w:space="0" w:color="auto"/>
          </w:divBdr>
        </w:div>
        <w:div w:id="943225621">
          <w:marLeft w:val="0"/>
          <w:marRight w:val="0"/>
          <w:marTop w:val="0"/>
          <w:marBottom w:val="0"/>
          <w:divBdr>
            <w:top w:val="none" w:sz="0" w:space="0" w:color="auto"/>
            <w:left w:val="none" w:sz="0" w:space="0" w:color="auto"/>
            <w:bottom w:val="none" w:sz="0" w:space="0" w:color="auto"/>
            <w:right w:val="none" w:sz="0" w:space="0" w:color="auto"/>
          </w:divBdr>
        </w:div>
        <w:div w:id="1947807406">
          <w:marLeft w:val="0"/>
          <w:marRight w:val="0"/>
          <w:marTop w:val="0"/>
          <w:marBottom w:val="0"/>
          <w:divBdr>
            <w:top w:val="none" w:sz="0" w:space="0" w:color="auto"/>
            <w:left w:val="none" w:sz="0" w:space="0" w:color="auto"/>
            <w:bottom w:val="none" w:sz="0" w:space="0" w:color="auto"/>
            <w:right w:val="none" w:sz="0" w:space="0" w:color="auto"/>
          </w:divBdr>
        </w:div>
      </w:divsChild>
    </w:div>
    <w:div w:id="1903976940">
      <w:bodyDiv w:val="1"/>
      <w:marLeft w:val="0"/>
      <w:marRight w:val="0"/>
      <w:marTop w:val="0"/>
      <w:marBottom w:val="0"/>
      <w:divBdr>
        <w:top w:val="none" w:sz="0" w:space="0" w:color="auto"/>
        <w:left w:val="none" w:sz="0" w:space="0" w:color="auto"/>
        <w:bottom w:val="none" w:sz="0" w:space="0" w:color="auto"/>
        <w:right w:val="none" w:sz="0" w:space="0" w:color="auto"/>
      </w:divBdr>
      <w:divsChild>
        <w:div w:id="2137134498">
          <w:marLeft w:val="547"/>
          <w:marRight w:val="0"/>
          <w:marTop w:val="173"/>
          <w:marBottom w:val="0"/>
          <w:divBdr>
            <w:top w:val="none" w:sz="0" w:space="0" w:color="auto"/>
            <w:left w:val="none" w:sz="0" w:space="0" w:color="auto"/>
            <w:bottom w:val="none" w:sz="0" w:space="0" w:color="auto"/>
            <w:right w:val="none" w:sz="0" w:space="0" w:color="auto"/>
          </w:divBdr>
        </w:div>
      </w:divsChild>
    </w:div>
    <w:div w:id="1967811999">
      <w:bodyDiv w:val="1"/>
      <w:marLeft w:val="0"/>
      <w:marRight w:val="0"/>
      <w:marTop w:val="0"/>
      <w:marBottom w:val="0"/>
      <w:divBdr>
        <w:top w:val="none" w:sz="0" w:space="0" w:color="auto"/>
        <w:left w:val="none" w:sz="0" w:space="0" w:color="auto"/>
        <w:bottom w:val="none" w:sz="0" w:space="0" w:color="auto"/>
        <w:right w:val="none" w:sz="0" w:space="0" w:color="auto"/>
      </w:divBdr>
    </w:div>
    <w:div w:id="20834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heliyon.2023.e155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05B251-C56F-4EF6-8702-A7239DE298BE}">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cardiff-university-harvard&quot;,&quot;title&quot;:&quot;Cardiff University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B346F-ABE8-438D-B00C-934DF528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18</Pages>
  <Words>4991</Words>
  <Characters>28452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95</cp:revision>
  <dcterms:created xsi:type="dcterms:W3CDTF">2024-06-06T07:10:00Z</dcterms:created>
  <dcterms:modified xsi:type="dcterms:W3CDTF">2025-09-10T12:17:00Z</dcterms:modified>
</cp:coreProperties>
</file>