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0BE47" w14:textId="4E1E79F5" w:rsidR="009B751C" w:rsidRDefault="009B751C" w:rsidP="00B617C7">
      <w:pPr>
        <w:pStyle w:val="Heading1"/>
        <w:spacing w:line="360" w:lineRule="auto"/>
        <w:jc w:val="center"/>
        <w:rPr>
          <w:rFonts w:ascii="Times New Roman" w:hAnsi="Times New Roman" w:cs="Times New Roman"/>
          <w:b/>
          <w:bCs/>
          <w:color w:val="auto"/>
          <w:sz w:val="24"/>
          <w:szCs w:val="24"/>
        </w:rPr>
      </w:pPr>
      <w:r w:rsidRPr="00384711">
        <w:rPr>
          <w:rFonts w:ascii="Times New Roman" w:hAnsi="Times New Roman" w:cs="Times New Roman"/>
          <w:b/>
          <w:bCs/>
          <w:color w:val="auto"/>
          <w:sz w:val="24"/>
          <w:szCs w:val="24"/>
        </w:rPr>
        <w:t>Biochar application in mulberry (</w:t>
      </w:r>
      <w:r w:rsidR="00FB2BF5" w:rsidRPr="00384711">
        <w:rPr>
          <w:rFonts w:ascii="Times New Roman" w:hAnsi="Times New Roman" w:cs="Times New Roman"/>
          <w:b/>
          <w:bCs/>
          <w:i/>
          <w:iCs/>
          <w:color w:val="auto"/>
          <w:sz w:val="24"/>
          <w:szCs w:val="24"/>
        </w:rPr>
        <w:t>Morus</w:t>
      </w:r>
      <w:r w:rsidRPr="00384711">
        <w:rPr>
          <w:rFonts w:ascii="Times New Roman" w:hAnsi="Times New Roman" w:cs="Times New Roman"/>
          <w:b/>
          <w:bCs/>
          <w:color w:val="auto"/>
          <w:sz w:val="24"/>
          <w:szCs w:val="24"/>
        </w:rPr>
        <w:t xml:space="preserve"> spp.) fields — A review</w:t>
      </w:r>
    </w:p>
    <w:p w14:paraId="0A047CF5" w14:textId="77777777" w:rsidR="00FA7F23" w:rsidRPr="00FA7F23" w:rsidRDefault="00FA7F23" w:rsidP="00FA7F23"/>
    <w:p w14:paraId="0C0B3CF6" w14:textId="77777777" w:rsidR="00A16410" w:rsidRDefault="00A16410" w:rsidP="00B617C7">
      <w:pPr>
        <w:pStyle w:val="Heading2"/>
        <w:spacing w:after="0" w:afterAutospacing="0" w:line="360" w:lineRule="auto"/>
        <w:jc w:val="both"/>
        <w:rPr>
          <w:sz w:val="24"/>
          <w:szCs w:val="24"/>
        </w:rPr>
      </w:pPr>
    </w:p>
    <w:p w14:paraId="1D09F2B8" w14:textId="7B8A8488" w:rsidR="009B751C" w:rsidRPr="00384711" w:rsidRDefault="009B751C" w:rsidP="00B617C7">
      <w:pPr>
        <w:pStyle w:val="Heading2"/>
        <w:spacing w:after="0" w:afterAutospacing="0" w:line="360" w:lineRule="auto"/>
        <w:jc w:val="both"/>
        <w:rPr>
          <w:sz w:val="24"/>
          <w:szCs w:val="24"/>
        </w:rPr>
      </w:pPr>
      <w:bookmarkStart w:id="0" w:name="_GoBack"/>
      <w:bookmarkEnd w:id="0"/>
      <w:r w:rsidRPr="00384711">
        <w:rPr>
          <w:sz w:val="24"/>
          <w:szCs w:val="24"/>
        </w:rPr>
        <w:t>Abstract</w:t>
      </w:r>
    </w:p>
    <w:p w14:paraId="71E6591A" w14:textId="64943AB2" w:rsidR="009B751C" w:rsidRPr="00384711" w:rsidRDefault="009B751C" w:rsidP="00072DAE">
      <w:pPr>
        <w:pStyle w:val="NormalWeb"/>
        <w:spacing w:before="0" w:beforeAutospacing="0" w:after="0" w:afterAutospacing="0" w:line="360" w:lineRule="auto"/>
        <w:jc w:val="both"/>
      </w:pPr>
      <w:r w:rsidRPr="00384711">
        <w:t>Biochar — a stable, carbon-rich product from pyrolysis of biomass — is increasingly proposed as a soil amendment to improve soil fertility, water retention, and crop productivity while sequestering carbon. Mulberry (</w:t>
      </w:r>
      <w:r w:rsidR="00FB2BF5" w:rsidRPr="00384711">
        <w:rPr>
          <w:i/>
          <w:iCs/>
        </w:rPr>
        <w:t>Morus</w:t>
      </w:r>
      <w:r w:rsidRPr="00384711">
        <w:t xml:space="preserve"> spp.) is the sole food source of the mulberry silkworm (</w:t>
      </w:r>
      <w:r w:rsidR="00FB2BF5" w:rsidRPr="00384711">
        <w:rPr>
          <w:i/>
          <w:iCs/>
        </w:rPr>
        <w:t>Bombyx mori</w:t>
      </w:r>
      <w:r w:rsidRPr="00384711">
        <w:t xml:space="preserve">) and a key crop in sericulture; small changes in leaf yield or quality strongly affect cocoon production and farm incomes. This review synthesizes current knowledge about biochar production from mulberry- and other feedstocks, effects of biochar on mulberry growth, soil </w:t>
      </w:r>
      <w:proofErr w:type="spellStart"/>
      <w:r w:rsidRPr="00384711">
        <w:t>physico</w:t>
      </w:r>
      <w:proofErr w:type="spellEnd"/>
      <w:r w:rsidRPr="00384711">
        <w:t xml:space="preserve">-chemical and biological properties in mulberry gardens, impacts on silkworm performance reported from field and pot experiments, practical application rates and methods tested, mechanisms of action, and remaining research gaps. </w:t>
      </w:r>
    </w:p>
    <w:p w14:paraId="3C8ABD10" w14:textId="4AA59A55" w:rsidR="004B0B7A" w:rsidRPr="00384711" w:rsidRDefault="004B0B7A" w:rsidP="00072DAE">
      <w:pPr>
        <w:pStyle w:val="NormalWeb"/>
        <w:spacing w:before="0" w:beforeAutospacing="0" w:line="360" w:lineRule="auto"/>
        <w:jc w:val="both"/>
      </w:pPr>
      <w:r w:rsidRPr="00384711">
        <w:rPr>
          <w:b/>
          <w:bCs/>
        </w:rPr>
        <w:t xml:space="preserve">Keywords: </w:t>
      </w:r>
      <w:r w:rsidRPr="00384711">
        <w:t>Mulberry, Biochar, Silkworm, Soil, Production</w:t>
      </w:r>
    </w:p>
    <w:p w14:paraId="5E5201D8" w14:textId="60263D40" w:rsidR="00115919" w:rsidRPr="00384711" w:rsidRDefault="00115919" w:rsidP="00072DAE">
      <w:pPr>
        <w:pStyle w:val="ListParagraph"/>
        <w:numPr>
          <w:ilvl w:val="0"/>
          <w:numId w:val="2"/>
        </w:numPr>
        <w:spacing w:after="0"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Introduction </w:t>
      </w:r>
    </w:p>
    <w:p w14:paraId="1CF257AA" w14:textId="4C1B470E" w:rsidR="00C77E28" w:rsidRPr="00C77E28" w:rsidRDefault="00072DAE" w:rsidP="00072DAE">
      <w:pPr>
        <w:spacing w:after="0" w:line="360" w:lineRule="auto"/>
        <w:jc w:val="both"/>
        <w:rPr>
          <w:rFonts w:ascii="Times New Roman" w:eastAsia="Times New Roman" w:hAnsi="Times New Roman" w:cs="Times New Roman"/>
          <w:sz w:val="24"/>
          <w:szCs w:val="24"/>
        </w:rPr>
      </w:pPr>
      <w:r w:rsidRPr="00384711">
        <w:rPr>
          <w:rFonts w:ascii="Times New Roman" w:eastAsia="Times New Roman" w:hAnsi="Times New Roman" w:cs="Times New Roman"/>
          <w:sz w:val="24"/>
          <w:szCs w:val="24"/>
        </w:rPr>
        <w:tab/>
      </w:r>
      <w:r w:rsidR="00C77E28" w:rsidRPr="00C77E28">
        <w:rPr>
          <w:rFonts w:ascii="Times New Roman" w:eastAsia="Times New Roman" w:hAnsi="Times New Roman" w:cs="Times New Roman"/>
          <w:sz w:val="24"/>
          <w:szCs w:val="24"/>
        </w:rPr>
        <w:t xml:space="preserve">Mulberry is a vital commercial crop, widely cultivated as the primary food source for silkworms. Being a perennial plant with high biomass production, it holds great economic value. The nutritional quality of mulberry leaves plays a decisive role in ensuring healthy silkworm growth and directly affects key traits such as larval development, cocoon formation, and </w:t>
      </w:r>
      <w:proofErr w:type="spellStart"/>
      <w:r w:rsidR="00C77E28" w:rsidRPr="00C77E28">
        <w:rPr>
          <w:rFonts w:ascii="Times New Roman" w:eastAsia="Times New Roman" w:hAnsi="Times New Roman" w:cs="Times New Roman"/>
          <w:sz w:val="24"/>
          <w:szCs w:val="24"/>
        </w:rPr>
        <w:t>grainage</w:t>
      </w:r>
      <w:proofErr w:type="spellEnd"/>
      <w:r w:rsidR="00C77E28" w:rsidRPr="00C77E28">
        <w:rPr>
          <w:rFonts w:ascii="Times New Roman" w:eastAsia="Times New Roman" w:hAnsi="Times New Roman" w:cs="Times New Roman"/>
          <w:sz w:val="24"/>
          <w:szCs w:val="24"/>
        </w:rPr>
        <w:t xml:space="preserve"> performance (Krishnaswami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1971). However, after leaf harvesting, the leftover mulberry shoots often remain unutilized and decompose slowly in the soil. Considering this, these shoots can serve as a sustainable feedstock for biochar production.</w:t>
      </w:r>
    </w:p>
    <w:p w14:paraId="1819E29C" w14:textId="037D1480" w:rsidR="00C77E28" w:rsidRPr="00C77E28" w:rsidRDefault="00072DAE" w:rsidP="00072DAE">
      <w:pPr>
        <w:spacing w:after="0" w:line="360" w:lineRule="auto"/>
        <w:jc w:val="both"/>
        <w:rPr>
          <w:rFonts w:ascii="Times New Roman" w:eastAsia="Times New Roman" w:hAnsi="Times New Roman" w:cs="Times New Roman"/>
          <w:sz w:val="24"/>
          <w:szCs w:val="24"/>
        </w:rPr>
      </w:pPr>
      <w:r w:rsidRPr="00384711">
        <w:rPr>
          <w:rFonts w:ascii="Times New Roman" w:eastAsia="Times New Roman" w:hAnsi="Times New Roman" w:cs="Times New Roman"/>
          <w:sz w:val="24"/>
          <w:szCs w:val="24"/>
        </w:rPr>
        <w:tab/>
      </w:r>
      <w:r w:rsidR="00C77E28" w:rsidRPr="00C77E28">
        <w:rPr>
          <w:rFonts w:ascii="Times New Roman" w:eastAsia="Times New Roman" w:hAnsi="Times New Roman" w:cs="Times New Roman"/>
          <w:sz w:val="24"/>
          <w:szCs w:val="24"/>
        </w:rPr>
        <w:t xml:space="preserve">Biochar is a carbon-dense material generated through pyrolysis, a process that thermally decomposes organic matter at temperatures below 700°C under limited oxygen conditions. It generally contains over 60% carbon along with essential plant nutrients. When applied back to the soil, biochar enhances carbon sequestration, improves soil fertility, and contributes to higher crop productivity (Ranjitha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2024).</w:t>
      </w:r>
    </w:p>
    <w:p w14:paraId="7C7CA97E" w14:textId="66ED9987" w:rsidR="00C77E28" w:rsidRPr="00C77E28" w:rsidRDefault="00072DAE" w:rsidP="00072DAE">
      <w:pPr>
        <w:spacing w:after="100" w:afterAutospacing="1" w:line="360" w:lineRule="auto"/>
        <w:jc w:val="both"/>
        <w:rPr>
          <w:rFonts w:ascii="Times New Roman" w:eastAsia="Times New Roman" w:hAnsi="Times New Roman" w:cs="Times New Roman"/>
          <w:sz w:val="24"/>
          <w:szCs w:val="24"/>
        </w:rPr>
      </w:pPr>
      <w:r w:rsidRPr="00384711">
        <w:rPr>
          <w:rFonts w:ascii="Times New Roman" w:eastAsia="Times New Roman" w:hAnsi="Times New Roman" w:cs="Times New Roman"/>
          <w:sz w:val="24"/>
          <w:szCs w:val="24"/>
        </w:rPr>
        <w:tab/>
      </w:r>
      <w:r w:rsidR="00C77E28" w:rsidRPr="00C77E28">
        <w:rPr>
          <w:rFonts w:ascii="Times New Roman" w:eastAsia="Times New Roman" w:hAnsi="Times New Roman" w:cs="Times New Roman"/>
          <w:sz w:val="24"/>
          <w:szCs w:val="24"/>
        </w:rPr>
        <w:t xml:space="preserve">Beyond soil enrichment, biochar has also been investigated for environmental rehabilitation, reducing the mobility of pollutants in contaminated soils, and minimizing the transfer of toxic </w:t>
      </w:r>
      <w:r w:rsidR="00C77E28" w:rsidRPr="00C77E28">
        <w:rPr>
          <w:rFonts w:ascii="Times New Roman" w:eastAsia="Times New Roman" w:hAnsi="Times New Roman" w:cs="Times New Roman"/>
          <w:sz w:val="24"/>
          <w:szCs w:val="24"/>
        </w:rPr>
        <w:lastRenderedPageBreak/>
        <w:t xml:space="preserve">elements to crops (Jalal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xml:space="preserve">., 2020). Commonly derived from agricultural residues, animal manures, and forestry by-products, biochar production effectively converts waste into a resource of agricultural and environmental value (Brewer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xml:space="preserve">., 2014). Its influence on soil health and crop growth depends largely on production techniques, soil type and condition, and the crop species cultivated (Awad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xml:space="preserve">., 2018; Arif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2020).</w:t>
      </w:r>
      <w:r w:rsidR="00C77E28" w:rsidRPr="00384711">
        <w:rPr>
          <w:rFonts w:ascii="Times New Roman" w:eastAsia="Times New Roman" w:hAnsi="Times New Roman" w:cs="Times New Roman"/>
          <w:sz w:val="24"/>
          <w:szCs w:val="24"/>
        </w:rPr>
        <w:t xml:space="preserve"> </w:t>
      </w:r>
      <w:r w:rsidR="00C77E28" w:rsidRPr="00C77E28">
        <w:rPr>
          <w:rFonts w:ascii="Times New Roman" w:eastAsia="Times New Roman" w:hAnsi="Times New Roman" w:cs="Times New Roman"/>
          <w:sz w:val="24"/>
          <w:szCs w:val="24"/>
        </w:rPr>
        <w:t>Given its significance, numerous studies have explored the potential of biochar to enhance soil quality, crop yield, and environmental sustainability. This review specifically emphasizes its relevance in improving mulberry growth, productivity, and the subsequent impact on silkworm rearing.</w:t>
      </w:r>
    </w:p>
    <w:p w14:paraId="4270FEF7" w14:textId="1182E83B" w:rsidR="003F49DC" w:rsidRPr="00384711" w:rsidRDefault="003F49DC" w:rsidP="001A5B4A">
      <w:pPr>
        <w:pStyle w:val="ListParagraph"/>
        <w:numPr>
          <w:ilvl w:val="0"/>
          <w:numId w:val="2"/>
        </w:numPr>
        <w:spacing w:after="0" w:line="360" w:lineRule="auto"/>
        <w:jc w:val="both"/>
        <w:outlineLvl w:val="1"/>
        <w:rPr>
          <w:rFonts w:ascii="Times New Roman" w:eastAsia="Times New Roman" w:hAnsi="Times New Roman" w:cs="Times New Roman"/>
          <w:b/>
          <w:bCs/>
          <w:sz w:val="24"/>
          <w:szCs w:val="24"/>
        </w:rPr>
      </w:pPr>
      <w:r w:rsidRPr="00384711">
        <w:rPr>
          <w:rFonts w:ascii="Times New Roman" w:eastAsia="Times New Roman" w:hAnsi="Times New Roman" w:cs="Times New Roman"/>
          <w:b/>
          <w:bCs/>
          <w:sz w:val="24"/>
          <w:szCs w:val="24"/>
        </w:rPr>
        <w:t>Why biochar for mulberry?</w:t>
      </w:r>
    </w:p>
    <w:p w14:paraId="35F9D896" w14:textId="4036B924" w:rsidR="00C77E28" w:rsidRPr="00384711" w:rsidRDefault="001A5B4A" w:rsidP="001A5B4A">
      <w:pPr>
        <w:spacing w:after="0" w:line="360" w:lineRule="auto"/>
        <w:jc w:val="both"/>
        <w:rPr>
          <w:rFonts w:ascii="Times New Roman" w:hAnsi="Times New Roman" w:cs="Times New Roman"/>
          <w:sz w:val="24"/>
          <w:szCs w:val="24"/>
        </w:rPr>
      </w:pPr>
      <w:r w:rsidRPr="00384711">
        <w:rPr>
          <w:rFonts w:ascii="Times New Roman" w:hAnsi="Times New Roman" w:cs="Times New Roman"/>
          <w:sz w:val="24"/>
          <w:szCs w:val="24"/>
        </w:rPr>
        <w:tab/>
      </w:r>
      <w:r w:rsidR="00C77E28" w:rsidRPr="00384711">
        <w:rPr>
          <w:rFonts w:ascii="Times New Roman" w:hAnsi="Times New Roman" w:cs="Times New Roman"/>
          <w:sz w:val="24"/>
          <w:szCs w:val="24"/>
        </w:rPr>
        <w:t xml:space="preserve">In many sericulture regions, mulberry is often cultivated on marginal soils characterized by erosion, low organic matter, or acidity. Even slight improvements in leaf production, nutritional quality, or drought tolerance can significantly boost cocoon yield. On-farm production of biochar from pruning residues such as stalks, shoots, and leaves </w:t>
      </w:r>
      <w:r w:rsidR="00384711" w:rsidRPr="00384711">
        <w:rPr>
          <w:rFonts w:ascii="Times New Roman" w:hAnsi="Times New Roman" w:cs="Times New Roman"/>
          <w:sz w:val="24"/>
          <w:szCs w:val="24"/>
        </w:rPr>
        <w:t>offer</w:t>
      </w:r>
      <w:r w:rsidR="00C77E28" w:rsidRPr="00384711">
        <w:rPr>
          <w:rFonts w:ascii="Times New Roman" w:hAnsi="Times New Roman" w:cs="Times New Roman"/>
          <w:sz w:val="24"/>
          <w:szCs w:val="24"/>
        </w:rPr>
        <w:t xml:space="preserve"> a sustainable circular strategy—transforming sericulture waste into a soil amendment that replenishes nutrients while contributing stable carbon back to the orchard. Several field studies involving mulberry-based biochar or other </w:t>
      </w:r>
      <w:proofErr w:type="spellStart"/>
      <w:r w:rsidR="00C77E28" w:rsidRPr="00384711">
        <w:rPr>
          <w:rFonts w:ascii="Times New Roman" w:hAnsi="Times New Roman" w:cs="Times New Roman"/>
          <w:sz w:val="24"/>
          <w:szCs w:val="24"/>
        </w:rPr>
        <w:t>biochars</w:t>
      </w:r>
      <w:proofErr w:type="spellEnd"/>
      <w:r w:rsidR="00C77E28" w:rsidRPr="00384711">
        <w:rPr>
          <w:rFonts w:ascii="Times New Roman" w:hAnsi="Times New Roman" w:cs="Times New Roman"/>
          <w:sz w:val="24"/>
          <w:szCs w:val="24"/>
        </w:rPr>
        <w:t xml:space="preserve"> applied to mulberry plantations have shown enhanced soil fertility, improved water-holding capacity, higher leaf yield, and better cocoon productivity, particularly when combined with organic manures or recommended fertilizer inputs (Rajitha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2024).</w:t>
      </w:r>
    </w:p>
    <w:p w14:paraId="48A6102E" w14:textId="11492F05" w:rsidR="009B751C" w:rsidRPr="00384711" w:rsidRDefault="003F49DC" w:rsidP="001A5B4A">
      <w:pPr>
        <w:pStyle w:val="ListParagraph"/>
        <w:numPr>
          <w:ilvl w:val="0"/>
          <w:numId w:val="2"/>
        </w:numPr>
        <w:spacing w:before="240" w:after="0"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Impact of biochar</w:t>
      </w:r>
    </w:p>
    <w:p w14:paraId="49AD4332" w14:textId="77777777" w:rsidR="002B5B47" w:rsidRPr="00384711" w:rsidRDefault="001A5B4A" w:rsidP="00B617C7">
      <w:pPr>
        <w:spacing w:line="360" w:lineRule="auto"/>
        <w:jc w:val="both"/>
        <w:rPr>
          <w:rFonts w:ascii="Times New Roman" w:hAnsi="Times New Roman" w:cs="Times New Roman"/>
          <w:sz w:val="24"/>
          <w:szCs w:val="24"/>
        </w:rPr>
      </w:pPr>
      <w:r w:rsidRPr="00384711">
        <w:rPr>
          <w:rFonts w:ascii="Times New Roman" w:hAnsi="Times New Roman" w:cs="Times New Roman"/>
          <w:sz w:val="24"/>
          <w:szCs w:val="24"/>
        </w:rPr>
        <w:tab/>
      </w:r>
      <w:r w:rsidR="00C77E28" w:rsidRPr="00384711">
        <w:rPr>
          <w:rFonts w:ascii="Times New Roman" w:hAnsi="Times New Roman" w:cs="Times New Roman"/>
          <w:sz w:val="24"/>
          <w:szCs w:val="24"/>
        </w:rPr>
        <w:t>Biochar application is recognized as a sustainable strategy for enhancing soil physical and chemical properties, improving crop quality, and increasing yield</w:t>
      </w:r>
      <w:r w:rsidR="00542044" w:rsidRPr="00384711">
        <w:rPr>
          <w:rFonts w:ascii="Times New Roman" w:hAnsi="Times New Roman" w:cs="Times New Roman"/>
          <w:sz w:val="24"/>
          <w:szCs w:val="24"/>
        </w:rPr>
        <w:t xml:space="preserve"> (</w:t>
      </w:r>
      <w:proofErr w:type="spellStart"/>
      <w:r w:rsidR="00542044" w:rsidRPr="00384711">
        <w:rPr>
          <w:rFonts w:ascii="Times New Roman" w:hAnsi="Times New Roman" w:cs="Times New Roman"/>
          <w:sz w:val="24"/>
          <w:szCs w:val="24"/>
        </w:rPr>
        <w:t>Medynska-Juraszek</w:t>
      </w:r>
      <w:proofErr w:type="spellEnd"/>
      <w:r w:rsidR="00542044" w:rsidRPr="00384711">
        <w:rPr>
          <w:rFonts w:ascii="Times New Roman" w:hAnsi="Times New Roman" w:cs="Times New Roman"/>
          <w:sz w:val="24"/>
          <w:szCs w:val="24"/>
        </w:rPr>
        <w:t xml:space="preserve"> </w:t>
      </w:r>
      <w:r w:rsidR="00542044" w:rsidRPr="00384711">
        <w:rPr>
          <w:rFonts w:ascii="Times New Roman" w:hAnsi="Times New Roman" w:cs="Times New Roman"/>
          <w:i/>
          <w:iCs/>
          <w:sz w:val="24"/>
          <w:szCs w:val="24"/>
        </w:rPr>
        <w:t>et al</w:t>
      </w:r>
      <w:r w:rsidR="00542044" w:rsidRPr="00384711">
        <w:rPr>
          <w:rFonts w:ascii="Times New Roman" w:hAnsi="Times New Roman" w:cs="Times New Roman"/>
          <w:sz w:val="24"/>
          <w:szCs w:val="24"/>
        </w:rPr>
        <w:t xml:space="preserve">., </w:t>
      </w:r>
      <w:r w:rsidR="002B5B47" w:rsidRPr="00384711">
        <w:rPr>
          <w:rFonts w:ascii="Times New Roman" w:hAnsi="Times New Roman" w:cs="Times New Roman"/>
          <w:sz w:val="24"/>
          <w:szCs w:val="24"/>
        </w:rPr>
        <w:t>2021)</w:t>
      </w:r>
      <w:r w:rsidR="00C77E28" w:rsidRPr="00384711">
        <w:rPr>
          <w:rFonts w:ascii="Times New Roman" w:hAnsi="Times New Roman" w:cs="Times New Roman"/>
          <w:sz w:val="24"/>
          <w:szCs w:val="24"/>
        </w:rPr>
        <w:t>. In addition to its role in agriculture, biochar has demonstrated effectiveness in various fields, particularly as a soil amendment to boost crop productivity and as an agent for remediating contaminated soils and water</w:t>
      </w:r>
      <w:r w:rsidR="002B5B47" w:rsidRPr="00384711">
        <w:rPr>
          <w:rFonts w:ascii="Times New Roman" w:hAnsi="Times New Roman" w:cs="Times New Roman"/>
          <w:sz w:val="24"/>
          <w:szCs w:val="24"/>
        </w:rPr>
        <w:t xml:space="preserve"> (Kamali </w:t>
      </w:r>
      <w:r w:rsidR="002B5B47" w:rsidRPr="00384711">
        <w:rPr>
          <w:rFonts w:ascii="Times New Roman" w:hAnsi="Times New Roman" w:cs="Times New Roman"/>
          <w:i/>
          <w:iCs/>
          <w:sz w:val="24"/>
          <w:szCs w:val="24"/>
        </w:rPr>
        <w:t>et al</w:t>
      </w:r>
      <w:r w:rsidR="002B5B47" w:rsidRPr="00384711">
        <w:rPr>
          <w:rFonts w:ascii="Times New Roman" w:hAnsi="Times New Roman" w:cs="Times New Roman"/>
          <w:sz w:val="24"/>
          <w:szCs w:val="24"/>
        </w:rPr>
        <w:t>., 2022)</w:t>
      </w:r>
      <w:r w:rsidR="00C77E28" w:rsidRPr="00384711">
        <w:rPr>
          <w:rFonts w:ascii="Times New Roman" w:hAnsi="Times New Roman" w:cs="Times New Roman"/>
          <w:sz w:val="24"/>
          <w:szCs w:val="24"/>
        </w:rPr>
        <w:t>. The following section discusses the influence of biochar on soil health, including its impact on physical and chemical characteristics, nutrient dynamics, rhizosphere biological activity, and overall crop growth and productivity.</w:t>
      </w:r>
    </w:p>
    <w:p w14:paraId="7911C4FF" w14:textId="20A7351C" w:rsidR="00B408AA" w:rsidRPr="00384711" w:rsidRDefault="00B408AA" w:rsidP="00B617C7">
      <w:pPr>
        <w:spacing w:line="360" w:lineRule="auto"/>
        <w:jc w:val="both"/>
        <w:rPr>
          <w:rFonts w:ascii="Times New Roman" w:hAnsi="Times New Roman" w:cs="Times New Roman"/>
          <w:b/>
          <w:bCs/>
          <w:sz w:val="24"/>
          <w:szCs w:val="24"/>
        </w:rPr>
      </w:pPr>
      <w:r w:rsidRPr="00384711">
        <w:rPr>
          <w:rFonts w:ascii="Times New Roman" w:hAnsi="Times New Roman" w:cs="Times New Roman"/>
          <w:noProof/>
          <w:sz w:val="24"/>
          <w:szCs w:val="24"/>
        </w:rPr>
        <w:lastRenderedPageBreak/>
        <w:drawing>
          <wp:inline distT="0" distB="0" distL="0" distR="0" wp14:anchorId="7CC0AAE3" wp14:editId="0317F072">
            <wp:extent cx="5943600" cy="2774816"/>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774816"/>
                    </a:xfrm>
                    <a:prstGeom prst="rect">
                      <a:avLst/>
                    </a:prstGeom>
                    <a:noFill/>
                  </pic:spPr>
                </pic:pic>
              </a:graphicData>
            </a:graphic>
          </wp:inline>
        </w:drawing>
      </w:r>
    </w:p>
    <w:p w14:paraId="1CD2C383" w14:textId="1E5D9A07" w:rsidR="00B408AA" w:rsidRPr="00384711" w:rsidRDefault="00B408AA" w:rsidP="002B5B47">
      <w:pPr>
        <w:spacing w:line="360" w:lineRule="auto"/>
        <w:jc w:val="center"/>
        <w:rPr>
          <w:rFonts w:ascii="Times New Roman" w:hAnsi="Times New Roman" w:cs="Times New Roman"/>
          <w:b/>
          <w:bCs/>
          <w:sz w:val="24"/>
          <w:szCs w:val="24"/>
        </w:rPr>
      </w:pPr>
      <w:r w:rsidRPr="00384711">
        <w:rPr>
          <w:rFonts w:ascii="Times New Roman" w:hAnsi="Times New Roman" w:cs="Times New Roman"/>
          <w:b/>
          <w:bCs/>
          <w:sz w:val="24"/>
          <w:szCs w:val="24"/>
        </w:rPr>
        <w:t>Figure 1. Shows impact of biochar application</w:t>
      </w:r>
    </w:p>
    <w:p w14:paraId="66314AB6" w14:textId="48A3EFEE" w:rsidR="006C2583" w:rsidRPr="00384711" w:rsidRDefault="00B617C7" w:rsidP="00B617C7">
      <w:pPr>
        <w:pStyle w:val="ListParagraph"/>
        <w:numPr>
          <w:ilvl w:val="0"/>
          <w:numId w:val="2"/>
        </w:numPr>
        <w:spacing w:after="0"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Impact</w:t>
      </w:r>
      <w:r w:rsidR="000265CF" w:rsidRPr="00384711">
        <w:rPr>
          <w:rFonts w:ascii="Times New Roman" w:hAnsi="Times New Roman" w:cs="Times New Roman"/>
          <w:b/>
          <w:bCs/>
          <w:sz w:val="24"/>
          <w:szCs w:val="24"/>
        </w:rPr>
        <w:t xml:space="preserve"> on </w:t>
      </w:r>
      <w:r w:rsidR="006C2583" w:rsidRPr="00384711">
        <w:rPr>
          <w:rFonts w:ascii="Times New Roman" w:hAnsi="Times New Roman" w:cs="Times New Roman"/>
          <w:b/>
          <w:bCs/>
          <w:sz w:val="24"/>
          <w:szCs w:val="24"/>
        </w:rPr>
        <w:t>Soil properties</w:t>
      </w:r>
    </w:p>
    <w:p w14:paraId="0C0C1BBC" w14:textId="2CDF9A02" w:rsidR="006C2583" w:rsidRPr="00384711" w:rsidRDefault="00C15670" w:rsidP="00C15670">
      <w:pPr>
        <w:pStyle w:val="ListParagraph"/>
        <w:numPr>
          <w:ilvl w:val="1"/>
          <w:numId w:val="6"/>
        </w:numPr>
        <w:spacing w:after="0"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 </w:t>
      </w:r>
      <w:r w:rsidR="004D1C11" w:rsidRPr="00384711">
        <w:rPr>
          <w:rFonts w:ascii="Times New Roman" w:hAnsi="Times New Roman" w:cs="Times New Roman"/>
          <w:b/>
          <w:bCs/>
          <w:sz w:val="24"/>
          <w:szCs w:val="24"/>
        </w:rPr>
        <w:t>P</w:t>
      </w:r>
      <w:r w:rsidR="006C2583" w:rsidRPr="00384711">
        <w:rPr>
          <w:rFonts w:ascii="Times New Roman" w:hAnsi="Times New Roman" w:cs="Times New Roman"/>
          <w:b/>
          <w:bCs/>
          <w:sz w:val="24"/>
          <w:szCs w:val="24"/>
        </w:rPr>
        <w:t>hysical properties</w:t>
      </w:r>
    </w:p>
    <w:p w14:paraId="510B8B97" w14:textId="00E25744" w:rsidR="00C77E28" w:rsidRPr="00C77E28" w:rsidRDefault="00B617C7" w:rsidP="00C15670">
      <w:pPr>
        <w:spacing w:after="0" w:line="360" w:lineRule="auto"/>
        <w:jc w:val="both"/>
        <w:rPr>
          <w:rFonts w:ascii="Times New Roman" w:eastAsia="Times New Roman" w:hAnsi="Times New Roman" w:cs="Times New Roman"/>
          <w:sz w:val="24"/>
          <w:szCs w:val="24"/>
        </w:rPr>
      </w:pPr>
      <w:r w:rsidRPr="00384711">
        <w:rPr>
          <w:rFonts w:ascii="Times New Roman" w:eastAsia="Times New Roman" w:hAnsi="Times New Roman" w:cs="Times New Roman"/>
          <w:sz w:val="24"/>
          <w:szCs w:val="24"/>
        </w:rPr>
        <w:tab/>
      </w:r>
      <w:r w:rsidR="00C77E28" w:rsidRPr="00C77E28">
        <w:rPr>
          <w:rFonts w:ascii="Times New Roman" w:eastAsia="Times New Roman" w:hAnsi="Times New Roman" w:cs="Times New Roman"/>
          <w:sz w:val="24"/>
          <w:szCs w:val="24"/>
        </w:rPr>
        <w:t xml:space="preserve">Lamani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xml:space="preserve">. (2024) reported that soils amended with biochar exhibited higher water-holding capacity than unamended soils, which was attributed to the porous and spongy structure of biochar. This property allows greater water retention, while simultaneously reducing bulk density and enhancing soil aggregation and organic matter content. The improvement in soil water-holding capacity following biochar addition is largely linked to its ability to increase the soil’s specific surface area, pore network, and overall porosity, including both macro- and micropores. Similar observations were made by Sun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xml:space="preserve">. (2013) and Rohitha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(2021), who associated these benefits with changes in soil structure, porosity, and capillary action.</w:t>
      </w:r>
    </w:p>
    <w:p w14:paraId="42F6F559" w14:textId="57414BBE" w:rsidR="00C77E28" w:rsidRPr="00C77E28" w:rsidRDefault="00B617C7" w:rsidP="00C15670">
      <w:pPr>
        <w:spacing w:after="100" w:afterAutospacing="1" w:line="360" w:lineRule="auto"/>
        <w:jc w:val="both"/>
        <w:rPr>
          <w:rFonts w:ascii="Times New Roman" w:eastAsia="Times New Roman" w:hAnsi="Times New Roman" w:cs="Times New Roman"/>
          <w:sz w:val="24"/>
          <w:szCs w:val="24"/>
        </w:rPr>
      </w:pPr>
      <w:r w:rsidRPr="00384711">
        <w:rPr>
          <w:rFonts w:ascii="Times New Roman" w:eastAsia="Times New Roman" w:hAnsi="Times New Roman" w:cs="Times New Roman"/>
          <w:sz w:val="24"/>
          <w:szCs w:val="24"/>
        </w:rPr>
        <w:tab/>
      </w:r>
      <w:r w:rsidR="00C77E28" w:rsidRPr="00C77E28">
        <w:rPr>
          <w:rFonts w:ascii="Times New Roman" w:eastAsia="Times New Roman" w:hAnsi="Times New Roman" w:cs="Times New Roman"/>
          <w:sz w:val="24"/>
          <w:szCs w:val="24"/>
        </w:rPr>
        <w:t xml:space="preserve">In another study, Ranjitha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xml:space="preserve">. (2023) demonstrated that the combined application of biochar and farmyard manure (FYM) reduced soil bulk density while improving total porosity, available water, and water-holding capacity in sandy and loamy soils. This effect was explained by enhanced aggregate formation, where FYM and mulberry shoot biochar acted as binding agents in stabilizing soil aggregates. The structural characteristics of biochar, particularly its high porosity, play a vital role in regulating soil bulk density, porosity, adsorption properties, and water retention. Furthermore, biochar particles—due to their spherical morphology and deformability—offer increased pore spaces that favor water storage (Atkinson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xml:space="preserve">., 2010; Downie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2009).</w:t>
      </w:r>
    </w:p>
    <w:p w14:paraId="63D38A1E" w14:textId="365D4383" w:rsidR="00C15670" w:rsidRPr="00384711" w:rsidRDefault="004D1C11" w:rsidP="00787BE5">
      <w:pPr>
        <w:pStyle w:val="ListParagraph"/>
        <w:numPr>
          <w:ilvl w:val="1"/>
          <w:numId w:val="6"/>
        </w:numPr>
        <w:spacing w:line="360" w:lineRule="auto"/>
        <w:ind w:left="810" w:hanging="450"/>
        <w:jc w:val="both"/>
        <w:rPr>
          <w:rFonts w:ascii="Times New Roman" w:hAnsi="Times New Roman" w:cs="Times New Roman"/>
          <w:b/>
          <w:bCs/>
          <w:sz w:val="24"/>
          <w:szCs w:val="24"/>
        </w:rPr>
      </w:pPr>
      <w:r w:rsidRPr="00384711">
        <w:rPr>
          <w:rFonts w:ascii="Times New Roman" w:hAnsi="Times New Roman" w:cs="Times New Roman"/>
          <w:b/>
          <w:bCs/>
          <w:sz w:val="24"/>
          <w:szCs w:val="24"/>
        </w:rPr>
        <w:lastRenderedPageBreak/>
        <w:t>C</w:t>
      </w:r>
      <w:r w:rsidR="006C2583" w:rsidRPr="00384711">
        <w:rPr>
          <w:rFonts w:ascii="Times New Roman" w:hAnsi="Times New Roman" w:cs="Times New Roman"/>
          <w:b/>
          <w:bCs/>
          <w:sz w:val="24"/>
          <w:szCs w:val="24"/>
        </w:rPr>
        <w:t>hemical properties</w:t>
      </w:r>
    </w:p>
    <w:p w14:paraId="4238111E" w14:textId="46DD1E82" w:rsidR="00C15670" w:rsidRPr="00384711" w:rsidRDefault="004F5170" w:rsidP="00787BE5">
      <w:pPr>
        <w:pStyle w:val="ListParagraph"/>
        <w:numPr>
          <w:ilvl w:val="2"/>
          <w:numId w:val="6"/>
        </w:numPr>
        <w:tabs>
          <w:tab w:val="left" w:pos="360"/>
        </w:tabs>
        <w:spacing w:line="360" w:lineRule="auto"/>
        <w:ind w:left="0" w:firstLine="360"/>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Soil pH: </w:t>
      </w:r>
      <w:r w:rsidR="00C77E28" w:rsidRPr="00384711">
        <w:rPr>
          <w:rFonts w:ascii="Times New Roman" w:hAnsi="Times New Roman" w:cs="Times New Roman"/>
          <w:sz w:val="24"/>
          <w:szCs w:val="24"/>
        </w:rPr>
        <w:t xml:space="preserve">An increase in the rate of biochar application has been found to elevate soil </w:t>
      </w:r>
      <w:proofErr w:type="spellStart"/>
      <w:r w:rsidR="00C77E28" w:rsidRPr="00384711">
        <w:rPr>
          <w:rFonts w:ascii="Times New Roman" w:hAnsi="Times New Roman" w:cs="Times New Roman"/>
          <w:sz w:val="24"/>
          <w:szCs w:val="24"/>
        </w:rPr>
        <w:t>pH.</w:t>
      </w:r>
      <w:proofErr w:type="spellEnd"/>
      <w:r w:rsidR="00C77E28" w:rsidRPr="00384711">
        <w:rPr>
          <w:rFonts w:ascii="Times New Roman" w:hAnsi="Times New Roman" w:cs="Times New Roman"/>
          <w:sz w:val="24"/>
          <w:szCs w:val="24"/>
        </w:rPr>
        <w:t xml:space="preserve"> This is because biochar typically improves the pH of acidic and nutrient-deficient soils. The rise in soil pH following biochar incorporation is mainly associated with its inherent alkalinity, the release of basic compounds, and the oxidation of organic matter stimulated by microbial activity, which together contribute to soil neutralization (Lamani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2024).</w:t>
      </w:r>
    </w:p>
    <w:p w14:paraId="69E9E1B8" w14:textId="06CEF39F" w:rsidR="00C77E28" w:rsidRPr="00384711" w:rsidRDefault="00F05ACD" w:rsidP="00787BE5">
      <w:pPr>
        <w:pStyle w:val="ListParagraph"/>
        <w:numPr>
          <w:ilvl w:val="2"/>
          <w:numId w:val="6"/>
        </w:numPr>
        <w:spacing w:line="360" w:lineRule="auto"/>
        <w:ind w:left="0" w:firstLine="360"/>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Soil alkalinity: </w:t>
      </w:r>
      <w:r w:rsidR="00C77E28" w:rsidRPr="00384711">
        <w:rPr>
          <w:rFonts w:ascii="Times New Roman" w:hAnsi="Times New Roman" w:cs="Times New Roman"/>
          <w:sz w:val="24"/>
          <w:szCs w:val="24"/>
        </w:rPr>
        <w:t xml:space="preserve">The alkalinity of biochar is considered more influential than its pH in raising the pH of acidic soils (Dai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2017). During pyrolysis, the decline of acidic functional groups (Xiang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2021) alongside the formation of functional groups such as –COO⁻ and –O⁻ enhances the overall alkalinity of biochar (Dai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2017; Wei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2020). As soil pH increases, acidic groups within the soil—such as phenolic and hydroxyl groups—undergo deprotonation, which results in soil particles acquiring a stronger negative charge (He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2019).</w:t>
      </w:r>
    </w:p>
    <w:p w14:paraId="308D0BF1" w14:textId="77777777" w:rsidR="00C15670" w:rsidRPr="00384711" w:rsidRDefault="00C15670" w:rsidP="00787BE5">
      <w:pPr>
        <w:pStyle w:val="ListParagraph"/>
        <w:numPr>
          <w:ilvl w:val="1"/>
          <w:numId w:val="6"/>
        </w:numPr>
        <w:spacing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 </w:t>
      </w:r>
      <w:r w:rsidR="005869D0" w:rsidRPr="00384711">
        <w:rPr>
          <w:rFonts w:ascii="Times New Roman" w:hAnsi="Times New Roman" w:cs="Times New Roman"/>
          <w:b/>
          <w:bCs/>
          <w:sz w:val="24"/>
          <w:szCs w:val="24"/>
        </w:rPr>
        <w:t>Concentration of soil nutrient</w:t>
      </w:r>
    </w:p>
    <w:p w14:paraId="292AC58C" w14:textId="7F852077" w:rsidR="00C15670" w:rsidRPr="00384711" w:rsidRDefault="00F05ACD" w:rsidP="00787BE5">
      <w:pPr>
        <w:pStyle w:val="ListParagraph"/>
        <w:numPr>
          <w:ilvl w:val="2"/>
          <w:numId w:val="6"/>
        </w:numPr>
        <w:spacing w:line="360" w:lineRule="auto"/>
        <w:ind w:left="0" w:firstLine="360"/>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Nitrogen: </w:t>
      </w:r>
      <w:r w:rsidR="00C77E28" w:rsidRPr="00384711">
        <w:rPr>
          <w:rFonts w:ascii="Times New Roman" w:hAnsi="Times New Roman" w:cs="Times New Roman"/>
          <w:sz w:val="24"/>
          <w:szCs w:val="24"/>
        </w:rPr>
        <w:t xml:space="preserve">Soil nitrogen availability was enhanced with increasing application levels of mulberry shoot biochar, farmyard manure (FYM), and NPK fertilizer in combination, compared to the package of practices and control plots. This improvement can be attributed to the contribution of available nitrogen through the mineralization of FYM and biochar. The rate and extent of nitrogen mineralization from biochar indicate its potential role as a slow-release nitrogen source (Chan &amp; Xu, 2009; Steiner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2008). Additionally, biochar has been shown to minimize nutrient leaching, thereby improving fertilizer use efficiency (Lehmann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2009; Novak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2009; Arunkumar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2020). Enhanced nitrogen retention following biochar application has also been documented in earlier studies (Novak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2009).</w:t>
      </w:r>
    </w:p>
    <w:p w14:paraId="0AEB36A2" w14:textId="40ACCDBE" w:rsidR="00C15670" w:rsidRPr="00384711" w:rsidRDefault="00F05ACD" w:rsidP="00787BE5">
      <w:pPr>
        <w:pStyle w:val="ListParagraph"/>
        <w:numPr>
          <w:ilvl w:val="2"/>
          <w:numId w:val="6"/>
        </w:numPr>
        <w:spacing w:line="360" w:lineRule="auto"/>
        <w:ind w:left="0" w:firstLine="360"/>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Phosphorus: </w:t>
      </w:r>
      <w:r w:rsidR="00C77E28" w:rsidRPr="00384711">
        <w:rPr>
          <w:rFonts w:ascii="Times New Roman" w:hAnsi="Times New Roman" w:cs="Times New Roman"/>
          <w:sz w:val="24"/>
          <w:szCs w:val="24"/>
        </w:rPr>
        <w:t xml:space="preserve">Phosphorus availability in soil was found to increase with higher application levels of mulberry shoot biochar at the time of leaf harvest. This improvement is likely due to the relatively high concentration of available phosphorus present in biochar. Similar findings were reported by </w:t>
      </w:r>
      <w:proofErr w:type="spellStart"/>
      <w:r w:rsidR="00C77E28" w:rsidRPr="00384711">
        <w:rPr>
          <w:rFonts w:ascii="Times New Roman" w:hAnsi="Times New Roman" w:cs="Times New Roman"/>
          <w:sz w:val="24"/>
          <w:szCs w:val="24"/>
        </w:rPr>
        <w:t>Zwieten</w:t>
      </w:r>
      <w:proofErr w:type="spellEnd"/>
      <w:r w:rsidR="00C77E28" w:rsidRPr="00384711">
        <w:rPr>
          <w:rFonts w:ascii="Times New Roman" w:hAnsi="Times New Roman" w:cs="Times New Roman"/>
          <w:sz w:val="24"/>
          <w:szCs w:val="24"/>
        </w:rPr>
        <w:t xml:space="preserve">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(2010), Chan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(2008), and Arunkumar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(2020), who observed greater soil P levels following biochar incorporation. The enhanced P₂O₅ availability can be explained by several mechanisms: the presence of soluble and exchangeable phosphate in biochar, its ability to modify soil pH, reduction of P-fixing metals such as Al³⁺ and Fe³⁺, promotion of microbial activity, and acceleration of phosphorus mineralization. Parvage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(2013) and Hass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(2012) also documented increases in available soil P₂O₅ after biochar addition. Moreover, the </w:t>
      </w:r>
      <w:r w:rsidR="00C77E28" w:rsidRPr="00384711">
        <w:rPr>
          <w:rFonts w:ascii="Times New Roman" w:hAnsi="Times New Roman" w:cs="Times New Roman"/>
          <w:sz w:val="24"/>
          <w:szCs w:val="24"/>
        </w:rPr>
        <w:lastRenderedPageBreak/>
        <w:t>rise in soil pH associated with biochar may further reduce Al and Fe activity, thereby enhancing phosphorus availability.</w:t>
      </w:r>
    </w:p>
    <w:p w14:paraId="01675C38" w14:textId="542BDFBF" w:rsidR="006C2583" w:rsidRPr="00384711" w:rsidRDefault="00F05ACD" w:rsidP="00A6543C">
      <w:pPr>
        <w:pStyle w:val="ListParagraph"/>
        <w:numPr>
          <w:ilvl w:val="2"/>
          <w:numId w:val="6"/>
        </w:numPr>
        <w:spacing w:after="120" w:line="360" w:lineRule="auto"/>
        <w:ind w:left="0" w:firstLine="360"/>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Potassium: </w:t>
      </w:r>
      <w:r w:rsidR="00C77E28" w:rsidRPr="00384711">
        <w:rPr>
          <w:rFonts w:ascii="Times New Roman" w:hAnsi="Times New Roman" w:cs="Times New Roman"/>
          <w:sz w:val="24"/>
          <w:szCs w:val="24"/>
        </w:rPr>
        <w:t xml:space="preserve">Application of mulberry shoot biochar led to an increase in soil potassium levels after mulberry leaf harvest, primarily due to the high K concentration present in the biochar (Chan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xml:space="preserve">., 2007). Biochar is typically rich in ash and contains greater amounts of potassium compared to other macronutrients, and thus, the incorporation of ash-rich biochar significantly enhances soil K content. Similar observations were reported by Major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(2010), who attributed the rise in potassium availability to the substantial amounts of K supplied with biochar, which can be readily leached into the soil.</w:t>
      </w:r>
    </w:p>
    <w:p w14:paraId="026E8EB5" w14:textId="26D82E6A" w:rsidR="00FB2BF5" w:rsidRPr="00384711" w:rsidRDefault="00FB2BF5" w:rsidP="00A6543C">
      <w:pPr>
        <w:pStyle w:val="ListParagraph"/>
        <w:numPr>
          <w:ilvl w:val="0"/>
          <w:numId w:val="6"/>
        </w:numPr>
        <w:spacing w:before="120" w:line="360" w:lineRule="auto"/>
        <w:ind w:left="720"/>
        <w:jc w:val="both"/>
        <w:rPr>
          <w:rFonts w:ascii="Times New Roman" w:hAnsi="Times New Roman" w:cs="Times New Roman"/>
          <w:b/>
          <w:bCs/>
          <w:sz w:val="24"/>
          <w:szCs w:val="24"/>
        </w:rPr>
      </w:pPr>
      <w:r w:rsidRPr="00384711">
        <w:rPr>
          <w:rFonts w:ascii="Times New Roman" w:hAnsi="Times New Roman" w:cs="Times New Roman"/>
          <w:b/>
          <w:bCs/>
          <w:sz w:val="24"/>
          <w:szCs w:val="24"/>
        </w:rPr>
        <w:t>Effect on mulberry plant</w:t>
      </w:r>
    </w:p>
    <w:p w14:paraId="75498457" w14:textId="3B84524E" w:rsidR="006C2583" w:rsidRPr="00384711" w:rsidRDefault="0038728F" w:rsidP="00787BE5">
      <w:pPr>
        <w:pStyle w:val="ListParagraph"/>
        <w:numPr>
          <w:ilvl w:val="1"/>
          <w:numId w:val="6"/>
        </w:numPr>
        <w:spacing w:after="0"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Effect on mulberry plant growth and yield</w:t>
      </w:r>
    </w:p>
    <w:p w14:paraId="3407C45D" w14:textId="7C45ADD5" w:rsidR="00C77E28" w:rsidRPr="00384711" w:rsidRDefault="00D977CC" w:rsidP="00B617C7">
      <w:pPr>
        <w:spacing w:line="360" w:lineRule="auto"/>
        <w:jc w:val="both"/>
        <w:rPr>
          <w:rFonts w:ascii="Times New Roman" w:hAnsi="Times New Roman" w:cs="Times New Roman"/>
          <w:sz w:val="24"/>
          <w:szCs w:val="24"/>
        </w:rPr>
      </w:pPr>
      <w:r w:rsidRPr="00384711">
        <w:rPr>
          <w:rFonts w:ascii="Times New Roman" w:hAnsi="Times New Roman" w:cs="Times New Roman"/>
          <w:sz w:val="24"/>
          <w:szCs w:val="24"/>
        </w:rPr>
        <w:tab/>
      </w:r>
      <w:r w:rsidR="00C77E28" w:rsidRPr="00384711">
        <w:rPr>
          <w:rFonts w:ascii="Times New Roman" w:hAnsi="Times New Roman" w:cs="Times New Roman"/>
          <w:sz w:val="24"/>
          <w:szCs w:val="24"/>
        </w:rPr>
        <w:t xml:space="preserve">Annual leaf yield per hectare increased by 142.1% with the application of 1 ton of mineral-enriched biochar and by 115.9% with 1 ton of rice husk biochar, when combined with the BSRTI-recommended basal dose of NPK, compared to the control. However, specific studies on the combined use of biochar and inorganic fertilizers in mulberry cultivation are lacking. Research on other crops has shown positive interactions between biochar and chemical fertilizers. For instance, Igarashi (2002) reported that rice husk biochar enhanced yields of maize, soybean, and peanut in Indonesia. Similarly, Lehmann </w:t>
      </w:r>
      <w:r w:rsidR="00A6543C" w:rsidRPr="00384711">
        <w:rPr>
          <w:rFonts w:ascii="Times New Roman" w:hAnsi="Times New Roman" w:cs="Times New Roman"/>
          <w:i/>
          <w:iCs/>
          <w:sz w:val="24"/>
          <w:szCs w:val="24"/>
        </w:rPr>
        <w:t>et al</w:t>
      </w:r>
      <w:r w:rsidR="00C77E28" w:rsidRPr="00384711">
        <w:rPr>
          <w:rFonts w:ascii="Times New Roman" w:hAnsi="Times New Roman" w:cs="Times New Roman"/>
          <w:sz w:val="24"/>
          <w:szCs w:val="24"/>
        </w:rPr>
        <w:t>. (2006) observed that high biochar application rates in tropical soils improved plant uptake of nutrients such as P, K, Ca, Zn, and Cu. These findings suggest that integrating biochar with inorganic fertilizers may enhance nutrient availability and uptake, thereby supporting mulberry growth and yield.</w:t>
      </w:r>
    </w:p>
    <w:p w14:paraId="2067000F" w14:textId="5C015E1C" w:rsidR="00D70795" w:rsidRPr="00384711" w:rsidRDefault="00D70795" w:rsidP="00787BE5">
      <w:pPr>
        <w:pStyle w:val="ListParagraph"/>
        <w:numPr>
          <w:ilvl w:val="1"/>
          <w:numId w:val="6"/>
        </w:numPr>
        <w:spacing w:after="0"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Reduces diseases in mulberry plant</w:t>
      </w:r>
    </w:p>
    <w:p w14:paraId="233B829F" w14:textId="2963DD14" w:rsidR="00C77E28" w:rsidRPr="00C77E28" w:rsidRDefault="00D977CC" w:rsidP="00D977CC">
      <w:pPr>
        <w:spacing w:after="0" w:line="360" w:lineRule="auto"/>
        <w:jc w:val="both"/>
        <w:rPr>
          <w:rFonts w:ascii="Times New Roman" w:eastAsia="Times New Roman" w:hAnsi="Times New Roman" w:cs="Times New Roman"/>
          <w:sz w:val="24"/>
          <w:szCs w:val="24"/>
        </w:rPr>
      </w:pPr>
      <w:r w:rsidRPr="00384711">
        <w:rPr>
          <w:rFonts w:ascii="Times New Roman" w:eastAsia="Times New Roman" w:hAnsi="Times New Roman" w:cs="Times New Roman"/>
          <w:sz w:val="24"/>
          <w:szCs w:val="24"/>
        </w:rPr>
        <w:tab/>
      </w:r>
      <w:r w:rsidR="00C77E28" w:rsidRPr="00C77E28">
        <w:rPr>
          <w:rFonts w:ascii="Times New Roman" w:eastAsia="Times New Roman" w:hAnsi="Times New Roman" w:cs="Times New Roman"/>
          <w:sz w:val="24"/>
          <w:szCs w:val="24"/>
        </w:rPr>
        <w:t>Application of biochar to soil has been shown to reduce the prevalence of common mulberry diseases. In our study, the use of mineral-enriched biochar lowered disease incidence by nearly 50%. This effect may be attributed to the balanced supply of essential macro- and micronutrients in biochar, which support plant growth, enhance microbial activity, and contribute to disease suppression. Similar arguments were presented by Huber and Graham (1999), who emphasized the critical role of nutrients in plant development, soil microbial processes, and disease regulation.</w:t>
      </w:r>
    </w:p>
    <w:p w14:paraId="3D0EE1C2" w14:textId="2A050453" w:rsidR="00C77E28" w:rsidRPr="00C77E28" w:rsidRDefault="00D977CC" w:rsidP="00D977CC">
      <w:pPr>
        <w:spacing w:after="100" w:afterAutospacing="1" w:line="360" w:lineRule="auto"/>
        <w:jc w:val="both"/>
        <w:rPr>
          <w:rFonts w:ascii="Times New Roman" w:eastAsia="Times New Roman" w:hAnsi="Times New Roman" w:cs="Times New Roman"/>
          <w:sz w:val="24"/>
          <w:szCs w:val="24"/>
        </w:rPr>
      </w:pPr>
      <w:r w:rsidRPr="00384711">
        <w:rPr>
          <w:rFonts w:ascii="Times New Roman" w:eastAsia="Times New Roman" w:hAnsi="Times New Roman" w:cs="Times New Roman"/>
          <w:sz w:val="24"/>
          <w:szCs w:val="24"/>
        </w:rPr>
        <w:tab/>
      </w:r>
      <w:r w:rsidR="00C77E28" w:rsidRPr="00C77E28">
        <w:rPr>
          <w:rFonts w:ascii="Times New Roman" w:eastAsia="Times New Roman" w:hAnsi="Times New Roman" w:cs="Times New Roman"/>
          <w:sz w:val="24"/>
          <w:szCs w:val="24"/>
        </w:rPr>
        <w:t xml:space="preserve">Although limited research has examined the role of biochar in plant disease resistance, evidence from other crops suggests promising outcomes. Elad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(2010) reported significant reductions in disease severity caused by necrotrophic (</w:t>
      </w:r>
      <w:r w:rsidR="00C77E28" w:rsidRPr="00C77E28">
        <w:rPr>
          <w:rFonts w:ascii="Times New Roman" w:eastAsia="Times New Roman" w:hAnsi="Times New Roman" w:cs="Times New Roman"/>
          <w:i/>
          <w:iCs/>
          <w:sz w:val="24"/>
          <w:szCs w:val="24"/>
        </w:rPr>
        <w:t>Botrytis cinerea</w:t>
      </w:r>
      <w:r w:rsidR="00C77E28" w:rsidRPr="00C77E28">
        <w:rPr>
          <w:rFonts w:ascii="Times New Roman" w:eastAsia="Times New Roman" w:hAnsi="Times New Roman" w:cs="Times New Roman"/>
          <w:sz w:val="24"/>
          <w:szCs w:val="24"/>
        </w:rPr>
        <w:t>) and biotrophic (</w:t>
      </w:r>
      <w:proofErr w:type="spellStart"/>
      <w:r w:rsidR="00C77E28" w:rsidRPr="00C77E28">
        <w:rPr>
          <w:rFonts w:ascii="Times New Roman" w:eastAsia="Times New Roman" w:hAnsi="Times New Roman" w:cs="Times New Roman"/>
          <w:i/>
          <w:iCs/>
          <w:sz w:val="24"/>
          <w:szCs w:val="24"/>
        </w:rPr>
        <w:t>Oidiopsis</w:t>
      </w:r>
      <w:proofErr w:type="spellEnd"/>
      <w:r w:rsidR="00C77E28" w:rsidRPr="00C77E28">
        <w:rPr>
          <w:rFonts w:ascii="Times New Roman" w:eastAsia="Times New Roman" w:hAnsi="Times New Roman" w:cs="Times New Roman"/>
          <w:i/>
          <w:iCs/>
          <w:sz w:val="24"/>
          <w:szCs w:val="24"/>
        </w:rPr>
        <w:t xml:space="preserve"> </w:t>
      </w:r>
      <w:proofErr w:type="spellStart"/>
      <w:r w:rsidR="00C77E28" w:rsidRPr="00C77E28">
        <w:rPr>
          <w:rFonts w:ascii="Times New Roman" w:eastAsia="Times New Roman" w:hAnsi="Times New Roman" w:cs="Times New Roman"/>
          <w:i/>
          <w:iCs/>
          <w:sz w:val="24"/>
          <w:szCs w:val="24"/>
        </w:rPr>
        <w:lastRenderedPageBreak/>
        <w:t>sicula</w:t>
      </w:r>
      <w:proofErr w:type="spellEnd"/>
      <w:r w:rsidR="00C77E28" w:rsidRPr="00C77E28">
        <w:rPr>
          <w:rFonts w:ascii="Times New Roman" w:eastAsia="Times New Roman" w:hAnsi="Times New Roman" w:cs="Times New Roman"/>
          <w:sz w:val="24"/>
          <w:szCs w:val="24"/>
        </w:rPr>
        <w:t xml:space="preserve">, teleomorph: </w:t>
      </w:r>
      <w:proofErr w:type="spellStart"/>
      <w:r w:rsidR="00C77E28" w:rsidRPr="00C77E28">
        <w:rPr>
          <w:rFonts w:ascii="Times New Roman" w:eastAsia="Times New Roman" w:hAnsi="Times New Roman" w:cs="Times New Roman"/>
          <w:i/>
          <w:iCs/>
          <w:sz w:val="24"/>
          <w:szCs w:val="24"/>
        </w:rPr>
        <w:t>Leveillula</w:t>
      </w:r>
      <w:proofErr w:type="spellEnd"/>
      <w:r w:rsidR="00C77E28" w:rsidRPr="00C77E28">
        <w:rPr>
          <w:rFonts w:ascii="Times New Roman" w:eastAsia="Times New Roman" w:hAnsi="Times New Roman" w:cs="Times New Roman"/>
          <w:i/>
          <w:iCs/>
          <w:sz w:val="24"/>
          <w:szCs w:val="24"/>
        </w:rPr>
        <w:t xml:space="preserve"> </w:t>
      </w:r>
      <w:proofErr w:type="spellStart"/>
      <w:r w:rsidR="00C77E28" w:rsidRPr="00C77E28">
        <w:rPr>
          <w:rFonts w:ascii="Times New Roman" w:eastAsia="Times New Roman" w:hAnsi="Times New Roman" w:cs="Times New Roman"/>
          <w:i/>
          <w:iCs/>
          <w:sz w:val="24"/>
          <w:szCs w:val="24"/>
        </w:rPr>
        <w:t>taurica</w:t>
      </w:r>
      <w:proofErr w:type="spellEnd"/>
      <w:r w:rsidR="00C77E28" w:rsidRPr="00C77E28">
        <w:rPr>
          <w:rFonts w:ascii="Times New Roman" w:eastAsia="Times New Roman" w:hAnsi="Times New Roman" w:cs="Times New Roman"/>
          <w:sz w:val="24"/>
          <w:szCs w:val="24"/>
        </w:rPr>
        <w:t xml:space="preserve">) foliar pathogens in pepper and tomato under biochar-amended conditions. Furthermore, chemical residues in biochar tars incorporated into the soil may exert direct toxic effects on pathogens, as suggested by Graber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(2010). Biochar also improves plant nutrition and supports microbial communities, including those capable of degrading toxic organic pollutants, which often show increased resistance to harmful compounds. Notably, antibiotic- and volatile organic compound–producing microbes are commonly more resilient to multiple antibiotics (</w:t>
      </w:r>
      <w:proofErr w:type="spellStart"/>
      <w:r w:rsidR="00C77E28" w:rsidRPr="00C77E28">
        <w:rPr>
          <w:rFonts w:ascii="Times New Roman" w:eastAsia="Times New Roman" w:hAnsi="Times New Roman" w:cs="Times New Roman"/>
          <w:sz w:val="24"/>
          <w:szCs w:val="24"/>
        </w:rPr>
        <w:t>Nodwell</w:t>
      </w:r>
      <w:proofErr w:type="spellEnd"/>
      <w:r w:rsidR="00C77E28" w:rsidRPr="00C77E28">
        <w:rPr>
          <w:rFonts w:ascii="Times New Roman" w:eastAsia="Times New Roman" w:hAnsi="Times New Roman" w:cs="Times New Roman"/>
          <w:sz w:val="24"/>
          <w:szCs w:val="24"/>
        </w:rPr>
        <w:t xml:space="preserve">, 2007; Laskaris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xml:space="preserve">., 2010), and biochar-amended soils have been found to harbor antibiotic-producing strains such as </w:t>
      </w:r>
      <w:r w:rsidR="00C77E28" w:rsidRPr="00C77E28">
        <w:rPr>
          <w:rFonts w:ascii="Times New Roman" w:eastAsia="Times New Roman" w:hAnsi="Times New Roman" w:cs="Times New Roman"/>
          <w:i/>
          <w:iCs/>
          <w:sz w:val="24"/>
          <w:szCs w:val="24"/>
        </w:rPr>
        <w:t xml:space="preserve">Pseudomonas </w:t>
      </w:r>
      <w:proofErr w:type="spellStart"/>
      <w:r w:rsidR="00C77E28" w:rsidRPr="00C77E28">
        <w:rPr>
          <w:rFonts w:ascii="Times New Roman" w:eastAsia="Times New Roman" w:hAnsi="Times New Roman" w:cs="Times New Roman"/>
          <w:i/>
          <w:iCs/>
          <w:sz w:val="24"/>
          <w:szCs w:val="24"/>
        </w:rPr>
        <w:t>mendocina</w:t>
      </w:r>
      <w:proofErr w:type="spellEnd"/>
      <w:r w:rsidR="00C77E28" w:rsidRPr="00C77E28">
        <w:rPr>
          <w:rFonts w:ascii="Times New Roman" w:eastAsia="Times New Roman" w:hAnsi="Times New Roman" w:cs="Times New Roman"/>
          <w:sz w:val="24"/>
          <w:szCs w:val="24"/>
        </w:rPr>
        <w:t xml:space="preserve"> and </w:t>
      </w:r>
      <w:r w:rsidR="00C77E28" w:rsidRPr="00C77E28">
        <w:rPr>
          <w:rFonts w:ascii="Times New Roman" w:eastAsia="Times New Roman" w:hAnsi="Times New Roman" w:cs="Times New Roman"/>
          <w:i/>
          <w:iCs/>
          <w:sz w:val="24"/>
          <w:szCs w:val="24"/>
        </w:rPr>
        <w:t>P. aeruginosa</w:t>
      </w:r>
      <w:r w:rsidR="00C77E28" w:rsidRPr="00C77E28">
        <w:rPr>
          <w:rFonts w:ascii="Times New Roman" w:eastAsia="Times New Roman" w:hAnsi="Times New Roman" w:cs="Times New Roman"/>
          <w:sz w:val="24"/>
          <w:szCs w:val="24"/>
        </w:rPr>
        <w:t xml:space="preserve"> (Graber </w:t>
      </w:r>
      <w:r w:rsidR="00A6543C" w:rsidRPr="00384711">
        <w:rPr>
          <w:rFonts w:ascii="Times New Roman" w:eastAsia="Times New Roman" w:hAnsi="Times New Roman" w:cs="Times New Roman"/>
          <w:i/>
          <w:iCs/>
          <w:sz w:val="24"/>
          <w:szCs w:val="24"/>
        </w:rPr>
        <w:t>et al</w:t>
      </w:r>
      <w:r w:rsidR="00C77E28" w:rsidRPr="00C77E28">
        <w:rPr>
          <w:rFonts w:ascii="Times New Roman" w:eastAsia="Times New Roman" w:hAnsi="Times New Roman" w:cs="Times New Roman"/>
          <w:sz w:val="24"/>
          <w:szCs w:val="24"/>
        </w:rPr>
        <w:t>., 2010).</w:t>
      </w:r>
    </w:p>
    <w:p w14:paraId="79F2FF62" w14:textId="512271AC" w:rsidR="009B751C" w:rsidRPr="00384711" w:rsidRDefault="009B751C" w:rsidP="00787BE5">
      <w:pPr>
        <w:pStyle w:val="ListParagraph"/>
        <w:numPr>
          <w:ilvl w:val="0"/>
          <w:numId w:val="6"/>
        </w:numPr>
        <w:spacing w:after="0" w:line="360" w:lineRule="auto"/>
        <w:ind w:left="630" w:hanging="270"/>
        <w:jc w:val="both"/>
        <w:rPr>
          <w:rFonts w:ascii="Times New Roman" w:hAnsi="Times New Roman" w:cs="Times New Roman"/>
          <w:sz w:val="24"/>
          <w:szCs w:val="24"/>
        </w:rPr>
      </w:pPr>
      <w:r w:rsidRPr="00384711">
        <w:rPr>
          <w:rFonts w:ascii="Times New Roman" w:hAnsi="Times New Roman" w:cs="Times New Roman"/>
          <w:b/>
          <w:bCs/>
          <w:sz w:val="24"/>
          <w:szCs w:val="24"/>
        </w:rPr>
        <w:t>Indirect effects on silkworm</w:t>
      </w:r>
    </w:p>
    <w:p w14:paraId="162183DF" w14:textId="61C36EF4" w:rsidR="00B617C7" w:rsidRPr="00384711" w:rsidRDefault="00B617C7" w:rsidP="00787BE5">
      <w:pPr>
        <w:spacing w:line="360" w:lineRule="auto"/>
        <w:ind w:firstLine="630"/>
        <w:jc w:val="both"/>
        <w:rPr>
          <w:rFonts w:ascii="Times New Roman" w:hAnsi="Times New Roman" w:cs="Times New Roman"/>
          <w:sz w:val="24"/>
          <w:szCs w:val="24"/>
        </w:rPr>
      </w:pPr>
      <w:r w:rsidRPr="00384711">
        <w:rPr>
          <w:rFonts w:ascii="Times New Roman" w:hAnsi="Times New Roman" w:cs="Times New Roman"/>
          <w:sz w:val="24"/>
          <w:szCs w:val="24"/>
        </w:rPr>
        <w:t xml:space="preserve">The combined application of mulberry shoot biochar with farmyard manure (FYM) and the recommended dose of fertilizers (RDF) improved rearing, cocoon, and reeling parameters by supplying essential nutrients for mulberry growth, compared to the package of practices and control treatments. This integrated approach not only enhanced leaf quality but also supported superior silkworm performance and cocoon traits. Moreover, the utilization of sericulture residues from mulberry cultivation and silkworm rearing for biochar production provides opportunities for additional income generation, entrepreneurship development, and value addition, thereby promoting sustainability in sericulture (Ranjitha </w:t>
      </w:r>
      <w:r w:rsidR="00A6543C" w:rsidRPr="00384711">
        <w:rPr>
          <w:rFonts w:ascii="Times New Roman" w:hAnsi="Times New Roman" w:cs="Times New Roman"/>
          <w:i/>
          <w:iCs/>
          <w:sz w:val="24"/>
          <w:szCs w:val="24"/>
        </w:rPr>
        <w:t>et al</w:t>
      </w:r>
      <w:r w:rsidRPr="00384711">
        <w:rPr>
          <w:rFonts w:ascii="Times New Roman" w:hAnsi="Times New Roman" w:cs="Times New Roman"/>
          <w:sz w:val="24"/>
          <w:szCs w:val="24"/>
        </w:rPr>
        <w:t>., 2024).</w:t>
      </w:r>
    </w:p>
    <w:p w14:paraId="228CA738" w14:textId="0670BC89" w:rsidR="00072DAE" w:rsidRPr="00384711" w:rsidRDefault="00072DAE" w:rsidP="00787BE5">
      <w:pPr>
        <w:pStyle w:val="ListParagraph"/>
        <w:numPr>
          <w:ilvl w:val="0"/>
          <w:numId w:val="6"/>
        </w:numPr>
        <w:spacing w:after="0" w:line="360" w:lineRule="auto"/>
        <w:ind w:left="630" w:hanging="270"/>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Conclusion </w:t>
      </w:r>
    </w:p>
    <w:p w14:paraId="15716659" w14:textId="16F7AEB5" w:rsidR="00072DAE" w:rsidRPr="00384711" w:rsidRDefault="00072DAE" w:rsidP="002B5B47">
      <w:pPr>
        <w:pStyle w:val="NormalWeb"/>
        <w:spacing w:before="0" w:beforeAutospacing="0" w:line="360" w:lineRule="auto"/>
        <w:ind w:firstLine="630"/>
        <w:jc w:val="both"/>
      </w:pPr>
      <w:r w:rsidRPr="00384711">
        <w:t>The use of biochar in mulberry (</w:t>
      </w:r>
      <w:r w:rsidRPr="00384711">
        <w:rPr>
          <w:rStyle w:val="Emphasis"/>
          <w:rFonts w:eastAsiaTheme="majorEastAsia"/>
        </w:rPr>
        <w:t>Morus</w:t>
      </w:r>
      <w:r w:rsidRPr="00384711">
        <w:t xml:space="preserve"> spp.) cultivation improves soil health, increases nutrient availability, and enhances leaf production, thereby supporting better silkworm growth and cocoon yield. When combined with organic manures and chemical fertilizers, biochar not only sustains mulberry farming but also encourages waste reutilization, income generation, and environmental sustainability, positioning it as an effective strategy for advancing sericulture.</w:t>
      </w:r>
    </w:p>
    <w:p w14:paraId="7BAA6BC7" w14:textId="4B22EE6C" w:rsidR="00D8664F" w:rsidRPr="00384711" w:rsidRDefault="00D8664F" w:rsidP="00FA5E1A">
      <w:pPr>
        <w:spacing w:after="0" w:line="360" w:lineRule="auto"/>
        <w:jc w:val="both"/>
        <w:rPr>
          <w:rFonts w:ascii="Times New Roman" w:hAnsi="Times New Roman" w:cs="Times New Roman"/>
          <w:b/>
          <w:bCs/>
          <w:sz w:val="24"/>
          <w:szCs w:val="24"/>
        </w:rPr>
      </w:pPr>
      <w:r w:rsidRPr="00384711">
        <w:rPr>
          <w:rFonts w:ascii="Times New Roman" w:hAnsi="Times New Roman" w:cs="Times New Roman"/>
          <w:b/>
          <w:bCs/>
          <w:sz w:val="24"/>
          <w:szCs w:val="24"/>
        </w:rPr>
        <w:t xml:space="preserve">References </w:t>
      </w:r>
    </w:p>
    <w:p w14:paraId="32134D91" w14:textId="77777777" w:rsidR="001E1115" w:rsidRPr="00384711" w:rsidRDefault="001E1115" w:rsidP="001E1115">
      <w:pPr>
        <w:pStyle w:val="NormalWeb"/>
        <w:spacing w:before="0" w:beforeAutospacing="0" w:line="276" w:lineRule="auto"/>
        <w:ind w:left="810" w:hanging="810"/>
      </w:pPr>
      <w:r w:rsidRPr="00384711">
        <w:t xml:space="preserve">Arif, M., Ali, S., Ilyas, M., Riaz, M., Akhtar, K., Ali, K., &amp; Wang, H. (2020). Enhancing phosphorus availability, soil organic carbon, maize productivity, and farm profitability through biochar and organic–inorganic fertilizers in an irrigated maize agroecosystem under semi-arid climate. </w:t>
      </w:r>
      <w:r w:rsidRPr="00384711">
        <w:rPr>
          <w:rStyle w:val="Emphasis"/>
          <w:rFonts w:eastAsiaTheme="majorEastAsia"/>
        </w:rPr>
        <w:t>Soil Use and Management, 36</w:t>
      </w:r>
      <w:r w:rsidRPr="00384711">
        <w:t>(4), 543–556.</w:t>
      </w:r>
    </w:p>
    <w:p w14:paraId="2993886C" w14:textId="77777777" w:rsidR="001E1115" w:rsidRPr="00384711" w:rsidRDefault="001E1115" w:rsidP="00384711">
      <w:pPr>
        <w:pStyle w:val="NormalWeb"/>
        <w:spacing w:line="276" w:lineRule="auto"/>
        <w:ind w:left="810" w:hanging="810"/>
      </w:pPr>
      <w:r w:rsidRPr="00384711">
        <w:lastRenderedPageBreak/>
        <w:t xml:space="preserve">Arunkumar, B. R., </w:t>
      </w:r>
      <w:proofErr w:type="spellStart"/>
      <w:r w:rsidRPr="00384711">
        <w:t>Thippeshappa</w:t>
      </w:r>
      <w:proofErr w:type="spellEnd"/>
      <w:r w:rsidRPr="00384711">
        <w:t xml:space="preserve">, G. N., &amp; </w:t>
      </w:r>
      <w:proofErr w:type="spellStart"/>
      <w:r w:rsidRPr="00384711">
        <w:t>Bhogi</w:t>
      </w:r>
      <w:proofErr w:type="spellEnd"/>
      <w:r w:rsidRPr="00384711">
        <w:t xml:space="preserve">, B. H. (2020). Effect of levels of coconut shell biochar and farm yard manure on soil properties under upland rice cultivation. </w:t>
      </w:r>
      <w:r w:rsidRPr="00384711">
        <w:rPr>
          <w:rStyle w:val="Emphasis"/>
          <w:rFonts w:eastAsiaTheme="majorEastAsia"/>
        </w:rPr>
        <w:t>International Research Journal of Pure and Applied Chemistry, 21</w:t>
      </w:r>
      <w:r w:rsidRPr="00384711">
        <w:t>(11), 18–35.</w:t>
      </w:r>
    </w:p>
    <w:p w14:paraId="1BE55B6C" w14:textId="77777777" w:rsidR="001E1115" w:rsidRPr="00384711" w:rsidRDefault="001E1115" w:rsidP="00384711">
      <w:pPr>
        <w:pStyle w:val="NormalWeb"/>
        <w:spacing w:line="276" w:lineRule="auto"/>
        <w:ind w:left="810" w:hanging="810"/>
      </w:pPr>
      <w:r w:rsidRPr="00384711">
        <w:t xml:space="preserve">Atkinson, C. J., Fitzgerald, J. D., &amp; Hipps, N. A. (2010). Potential mechanisms for achieving agricultural benefits from biochar application to temperate soils: A review. </w:t>
      </w:r>
      <w:r w:rsidRPr="00384711">
        <w:rPr>
          <w:rStyle w:val="Emphasis"/>
          <w:rFonts w:eastAsiaTheme="majorEastAsia"/>
        </w:rPr>
        <w:t>Plant and Soil, 337</w:t>
      </w:r>
      <w:r w:rsidRPr="00384711">
        <w:t>(1–2), 1–18.</w:t>
      </w:r>
    </w:p>
    <w:p w14:paraId="48F0FCF3" w14:textId="77777777" w:rsidR="001E1115" w:rsidRPr="00384711" w:rsidRDefault="001E1115" w:rsidP="00384711">
      <w:pPr>
        <w:pStyle w:val="NormalWeb"/>
        <w:spacing w:line="276" w:lineRule="auto"/>
        <w:ind w:left="810" w:hanging="810"/>
      </w:pPr>
      <w:r w:rsidRPr="00384711">
        <w:t xml:space="preserve">Awad, Y. M., Lee, S. S., Kim, K. H., Ok, Y. S., &amp; Kuzyakov, Y. (2018). Carbon and nitrogen mineralization and enzyme activities in soil aggregate-size classes: Effects of biochar, oyster shells, and polymers. </w:t>
      </w:r>
      <w:r w:rsidRPr="00384711">
        <w:rPr>
          <w:rStyle w:val="Emphasis"/>
          <w:rFonts w:eastAsiaTheme="majorEastAsia"/>
        </w:rPr>
        <w:t>Chemosphere, 198</w:t>
      </w:r>
      <w:r w:rsidRPr="00384711">
        <w:t>, 40–48.</w:t>
      </w:r>
    </w:p>
    <w:p w14:paraId="6024D163" w14:textId="77777777" w:rsidR="001E1115" w:rsidRPr="00384711" w:rsidRDefault="001E1115" w:rsidP="00384711">
      <w:pPr>
        <w:pStyle w:val="NormalWeb"/>
        <w:spacing w:line="276" w:lineRule="auto"/>
        <w:ind w:left="810" w:hanging="810"/>
      </w:pPr>
      <w:r w:rsidRPr="00384711">
        <w:t xml:space="preserve">Brewer, C. E., Chuang, V. J., Masiello, C. A., </w:t>
      </w:r>
      <w:proofErr w:type="spellStart"/>
      <w:r w:rsidRPr="00384711">
        <w:t>Gonnermann</w:t>
      </w:r>
      <w:proofErr w:type="spellEnd"/>
      <w:r w:rsidRPr="00384711">
        <w:t xml:space="preserve">, H., Gao, X., Dugan, B., &amp; Davies, C. A. (2014). New approaches to measuring biochar density and porosity. </w:t>
      </w:r>
      <w:r w:rsidRPr="00384711">
        <w:rPr>
          <w:rStyle w:val="Emphasis"/>
          <w:rFonts w:eastAsiaTheme="majorEastAsia"/>
        </w:rPr>
        <w:t>Biomass and Bioenergy, 66</w:t>
      </w:r>
      <w:r w:rsidRPr="00384711">
        <w:t>, 176–185.</w:t>
      </w:r>
    </w:p>
    <w:p w14:paraId="7F81BE5E" w14:textId="77777777" w:rsidR="001E1115" w:rsidRPr="00384711" w:rsidRDefault="001E1115" w:rsidP="00384711">
      <w:pPr>
        <w:pStyle w:val="NormalWeb"/>
        <w:spacing w:line="276" w:lineRule="auto"/>
        <w:ind w:left="810" w:hanging="810"/>
      </w:pPr>
      <w:r w:rsidRPr="00384711">
        <w:t xml:space="preserve">Chan, K. Y., &amp; Xu, Z. (2009). Biochar: Nutrient properties and their enhancement. In J. Lehmann &amp; S. Joseph (Eds.), </w:t>
      </w:r>
      <w:r w:rsidRPr="00384711">
        <w:rPr>
          <w:rStyle w:val="Emphasis"/>
          <w:rFonts w:eastAsiaTheme="majorEastAsia"/>
        </w:rPr>
        <w:t>Biochar for environmental management: Science and technology</w:t>
      </w:r>
      <w:r w:rsidRPr="00384711">
        <w:t xml:space="preserve"> (pp. 67–84). Earthscan.</w:t>
      </w:r>
    </w:p>
    <w:p w14:paraId="2F712292" w14:textId="77777777" w:rsidR="001E1115" w:rsidRPr="00384711" w:rsidRDefault="001E1115" w:rsidP="00384711">
      <w:pPr>
        <w:pStyle w:val="NormalWeb"/>
        <w:spacing w:line="276" w:lineRule="auto"/>
        <w:ind w:left="810" w:hanging="810"/>
      </w:pPr>
      <w:r w:rsidRPr="00384711">
        <w:t xml:space="preserve">Chan, K. Y., Van </w:t>
      </w:r>
      <w:proofErr w:type="spellStart"/>
      <w:r w:rsidRPr="00384711">
        <w:t>Zwieten</w:t>
      </w:r>
      <w:proofErr w:type="spellEnd"/>
      <w:r w:rsidRPr="00384711">
        <w:t xml:space="preserve">, L., Meszaros, I. A., Downie, C., &amp; Joseph, S. (2008). Using poultry litter biochar as soil amendments. </w:t>
      </w:r>
      <w:r w:rsidRPr="00384711">
        <w:rPr>
          <w:rStyle w:val="Emphasis"/>
          <w:rFonts w:eastAsiaTheme="majorEastAsia"/>
        </w:rPr>
        <w:t>Australian Journal of Soil Research, 46</w:t>
      </w:r>
      <w:r w:rsidRPr="00384711">
        <w:t>(5), 437–444.</w:t>
      </w:r>
    </w:p>
    <w:p w14:paraId="22480FC9" w14:textId="77777777" w:rsidR="001E1115" w:rsidRPr="00384711" w:rsidRDefault="001E1115" w:rsidP="00384711">
      <w:pPr>
        <w:pStyle w:val="NormalWeb"/>
        <w:spacing w:line="276" w:lineRule="auto"/>
        <w:ind w:left="810" w:hanging="810"/>
      </w:pPr>
      <w:r w:rsidRPr="00384711">
        <w:t xml:space="preserve">Chan, K. Y., Van </w:t>
      </w:r>
      <w:proofErr w:type="spellStart"/>
      <w:r w:rsidRPr="00384711">
        <w:t>Zwieten</w:t>
      </w:r>
      <w:proofErr w:type="spellEnd"/>
      <w:r w:rsidRPr="00384711">
        <w:t xml:space="preserve">, L., Meszaros, I., Downie, A., &amp; Joseph, S. (2007). Agronomic values of green waste biochar as a soil amendment. </w:t>
      </w:r>
      <w:r w:rsidRPr="00384711">
        <w:rPr>
          <w:rStyle w:val="Emphasis"/>
          <w:rFonts w:eastAsiaTheme="majorEastAsia"/>
        </w:rPr>
        <w:t>Australian Journal of Soil Research, 45</w:t>
      </w:r>
      <w:r w:rsidRPr="00384711">
        <w:t>(8), 629–634.</w:t>
      </w:r>
    </w:p>
    <w:p w14:paraId="41925634" w14:textId="77777777" w:rsidR="001E1115" w:rsidRPr="00384711" w:rsidRDefault="001E1115" w:rsidP="00384711">
      <w:pPr>
        <w:pStyle w:val="NormalWeb"/>
        <w:spacing w:line="276" w:lineRule="auto"/>
        <w:ind w:left="810" w:hanging="810"/>
      </w:pPr>
      <w:r w:rsidRPr="00384711">
        <w:t xml:space="preserve">Dai, Z., Zhang, X., Tang, C., Muhammad, N., Wu, J., Brookes, P. C., &amp; Xu, J. (2017). Potential role of </w:t>
      </w:r>
      <w:proofErr w:type="spellStart"/>
      <w:r w:rsidRPr="00384711">
        <w:t>biochars</w:t>
      </w:r>
      <w:proofErr w:type="spellEnd"/>
      <w:r w:rsidRPr="00384711">
        <w:t xml:space="preserve"> in decreasing soil acidification: A critical review. </w:t>
      </w:r>
      <w:r w:rsidRPr="00384711">
        <w:rPr>
          <w:rStyle w:val="Emphasis"/>
          <w:rFonts w:eastAsiaTheme="majorEastAsia"/>
        </w:rPr>
        <w:t>Science of the Total Environment, 581</w:t>
      </w:r>
      <w:r w:rsidRPr="00384711">
        <w:t>, 601–611.</w:t>
      </w:r>
    </w:p>
    <w:p w14:paraId="2601EDF9" w14:textId="77777777" w:rsidR="001E1115" w:rsidRPr="00384711" w:rsidRDefault="001E1115" w:rsidP="00384711">
      <w:pPr>
        <w:pStyle w:val="NormalWeb"/>
        <w:spacing w:line="276" w:lineRule="auto"/>
        <w:ind w:left="810" w:hanging="810"/>
      </w:pPr>
      <w:r w:rsidRPr="00384711">
        <w:t xml:space="preserve">Downie, A., Crosky, A., &amp; Munroe, P. (2009). Physical properties of biochar. In J. Lehmann &amp; S. Joseph (Eds.), </w:t>
      </w:r>
      <w:r w:rsidRPr="00384711">
        <w:rPr>
          <w:rStyle w:val="Emphasis"/>
          <w:rFonts w:eastAsiaTheme="majorEastAsia"/>
        </w:rPr>
        <w:t>Biochar for environmental management: Science and technology</w:t>
      </w:r>
      <w:r w:rsidRPr="00384711">
        <w:t xml:space="preserve"> (pp. 13–32). Earthscan.</w:t>
      </w:r>
    </w:p>
    <w:p w14:paraId="33131E35" w14:textId="77777777" w:rsidR="001E1115" w:rsidRPr="00384711" w:rsidRDefault="001E1115" w:rsidP="00384711">
      <w:pPr>
        <w:pStyle w:val="NormalWeb"/>
        <w:spacing w:line="276" w:lineRule="auto"/>
        <w:ind w:left="810" w:hanging="810"/>
      </w:pPr>
      <w:r w:rsidRPr="00384711">
        <w:t xml:space="preserve">Elad, Y., David, D. R., Harel, Y. M., </w:t>
      </w:r>
      <w:proofErr w:type="spellStart"/>
      <w:r w:rsidRPr="00384711">
        <w:t>Borenshtein</w:t>
      </w:r>
      <w:proofErr w:type="spellEnd"/>
      <w:r w:rsidRPr="00384711">
        <w:t xml:space="preserve">, M., Ben Kalifa, H., Silber, A., &amp; Graber, E. R. (2010). Induction of systemic resistance in plants by biochar, a soil-applied carbon sequestering agent. </w:t>
      </w:r>
      <w:r w:rsidRPr="00384711">
        <w:rPr>
          <w:rStyle w:val="Emphasis"/>
          <w:rFonts w:eastAsiaTheme="majorEastAsia"/>
        </w:rPr>
        <w:t>Phytopathology, 100</w:t>
      </w:r>
      <w:r w:rsidRPr="00384711">
        <w:t>(9), 913–921.</w:t>
      </w:r>
    </w:p>
    <w:p w14:paraId="7F7AAC4B" w14:textId="77777777" w:rsidR="001E1115" w:rsidRPr="00384711" w:rsidRDefault="001E1115" w:rsidP="00384711">
      <w:pPr>
        <w:pStyle w:val="NormalWeb"/>
        <w:spacing w:line="276" w:lineRule="auto"/>
        <w:ind w:left="810" w:hanging="810"/>
      </w:pPr>
      <w:r w:rsidRPr="00384711">
        <w:t xml:space="preserve">Graber, E. R., Harel, Y. M., Kolton, M., Cytryn, E., Silber, A., David, D. R., Tsechansky, L., </w:t>
      </w:r>
      <w:proofErr w:type="spellStart"/>
      <w:r w:rsidRPr="00384711">
        <w:t>Borenshtein</w:t>
      </w:r>
      <w:proofErr w:type="spellEnd"/>
      <w:r w:rsidRPr="00384711">
        <w:t xml:space="preserve">, M., &amp; Elad, Y. (2010). Biochar impact on development and productivity of pepper and tomato grown in fertigated soilless media. </w:t>
      </w:r>
      <w:r w:rsidRPr="00384711">
        <w:rPr>
          <w:rStyle w:val="Emphasis"/>
          <w:rFonts w:eastAsiaTheme="majorEastAsia"/>
        </w:rPr>
        <w:t>Plant and Soil, 337</w:t>
      </w:r>
      <w:r w:rsidRPr="00384711">
        <w:t>(1–2), 481–496.</w:t>
      </w:r>
    </w:p>
    <w:p w14:paraId="2030BFAB" w14:textId="389AA492" w:rsidR="001E1115" w:rsidRPr="00384711" w:rsidRDefault="001E1115" w:rsidP="00384711">
      <w:pPr>
        <w:pStyle w:val="NormalWeb"/>
        <w:spacing w:line="276" w:lineRule="auto"/>
        <w:ind w:left="810" w:hanging="810"/>
      </w:pPr>
      <w:r w:rsidRPr="00384711">
        <w:lastRenderedPageBreak/>
        <w:t>Hass, A., Gonzalez, J. M., Lima, I. M., Habteselassie, M. Y., &amp;</w:t>
      </w:r>
      <w:r>
        <w:t xml:space="preserve"> </w:t>
      </w:r>
      <w:r w:rsidRPr="00384711">
        <w:t xml:space="preserve">Ji, H. (2012). Chicken manure biochar as liming and nutrient source for acid Appalachian soil. </w:t>
      </w:r>
      <w:r w:rsidRPr="00384711">
        <w:rPr>
          <w:rStyle w:val="Emphasis"/>
          <w:rFonts w:eastAsiaTheme="majorEastAsia"/>
        </w:rPr>
        <w:t>Journal of Environmental Quality, 41</w:t>
      </w:r>
      <w:r w:rsidRPr="00384711">
        <w:t>(4), 1096–1106.</w:t>
      </w:r>
    </w:p>
    <w:p w14:paraId="0935D7DE" w14:textId="77777777" w:rsidR="001E1115" w:rsidRPr="00384711" w:rsidRDefault="001E1115" w:rsidP="00384711">
      <w:pPr>
        <w:pStyle w:val="NormalWeb"/>
        <w:spacing w:line="276" w:lineRule="auto"/>
        <w:ind w:left="810" w:hanging="810"/>
      </w:pPr>
      <w:r w:rsidRPr="00384711">
        <w:t xml:space="preserve">He, L., Zhong, H., Liu, G., Dai, Z., Brookes, P. C., &amp; Xu, J. (2019). Remediation of heavy metal contaminated soils by biochar: Mechanisms, potential risks and applications in China. </w:t>
      </w:r>
      <w:r w:rsidRPr="00384711">
        <w:rPr>
          <w:rStyle w:val="Emphasis"/>
          <w:rFonts w:eastAsiaTheme="majorEastAsia"/>
        </w:rPr>
        <w:t>Environmental Pollution, 252</w:t>
      </w:r>
      <w:r w:rsidRPr="00384711">
        <w:t>, 846–855.</w:t>
      </w:r>
    </w:p>
    <w:p w14:paraId="71A723D5" w14:textId="77777777" w:rsidR="001E1115" w:rsidRPr="00384711" w:rsidRDefault="001E1115" w:rsidP="00384711">
      <w:pPr>
        <w:pStyle w:val="NormalWeb"/>
        <w:spacing w:line="276" w:lineRule="auto"/>
        <w:ind w:left="810" w:hanging="810"/>
      </w:pPr>
      <w:r w:rsidRPr="00384711">
        <w:t xml:space="preserve">Huber, D. M., &amp; Graham, R. D. (1999). The role of nutrition in crop resistance and tolerance to diseases. In Z. Rengel (Ed.), </w:t>
      </w:r>
      <w:r w:rsidRPr="00384711">
        <w:rPr>
          <w:rStyle w:val="Emphasis"/>
          <w:rFonts w:eastAsiaTheme="majorEastAsia"/>
        </w:rPr>
        <w:t>Mineral nutrition of crops: Fundamental mechanisms and implications</w:t>
      </w:r>
      <w:r w:rsidRPr="00384711">
        <w:t xml:space="preserve"> (pp. 169–206). Food Products Press.</w:t>
      </w:r>
    </w:p>
    <w:p w14:paraId="34168775" w14:textId="77777777" w:rsidR="001E1115" w:rsidRPr="00384711" w:rsidRDefault="001E1115" w:rsidP="00384711">
      <w:pPr>
        <w:pStyle w:val="NormalWeb"/>
        <w:spacing w:line="276" w:lineRule="auto"/>
        <w:ind w:left="810" w:hanging="810"/>
      </w:pPr>
      <w:r w:rsidRPr="00384711">
        <w:t xml:space="preserve">Igarashi, T. (2002). Effectiveness of soil amendments like rice husk charcoal. In </w:t>
      </w:r>
      <w:r w:rsidRPr="00384711">
        <w:rPr>
          <w:rStyle w:val="Emphasis"/>
          <w:rFonts w:eastAsiaTheme="majorEastAsia"/>
        </w:rPr>
        <w:t>Handbook for soil amendment of tropical soil</w:t>
      </w:r>
      <w:r w:rsidRPr="00384711">
        <w:t xml:space="preserve"> (pp. 127–134). Association for International Cooperation of Agriculture and Forestry (AICAF).</w:t>
      </w:r>
    </w:p>
    <w:p w14:paraId="5F576EB1" w14:textId="77777777" w:rsidR="001E1115" w:rsidRPr="00384711" w:rsidRDefault="001E1115" w:rsidP="00384711">
      <w:pPr>
        <w:pStyle w:val="NormalWeb"/>
        <w:spacing w:line="276" w:lineRule="auto"/>
        <w:ind w:left="810" w:hanging="810"/>
      </w:pPr>
      <w:r w:rsidRPr="00384711">
        <w:t xml:space="preserve">Jalal, F., Arif, M., Akhtar, K., Khan, A., Naz, M., Said, F., &amp; Ali, M. (2020). Biochar integration with legume crops in summer gape synergizes nitrogen use efficiency and enhances maize yield. </w:t>
      </w:r>
      <w:r w:rsidRPr="00384711">
        <w:rPr>
          <w:rStyle w:val="Emphasis"/>
          <w:rFonts w:eastAsiaTheme="majorEastAsia"/>
        </w:rPr>
        <w:t>Agronomy, 10</w:t>
      </w:r>
      <w:r w:rsidRPr="00384711">
        <w:t>(1), 58.</w:t>
      </w:r>
    </w:p>
    <w:p w14:paraId="383E5850" w14:textId="77777777" w:rsidR="001E1115" w:rsidRPr="00384711" w:rsidRDefault="001E1115" w:rsidP="00384711">
      <w:pPr>
        <w:pStyle w:val="NormalWeb"/>
        <w:spacing w:line="276" w:lineRule="auto"/>
        <w:ind w:left="810" w:hanging="810"/>
      </w:pPr>
      <w:r w:rsidRPr="00384711">
        <w:t xml:space="preserve">Kamali, M., Sweyger, N., As-Salem, S., Appels, L., </w:t>
      </w:r>
      <w:proofErr w:type="spellStart"/>
      <w:r w:rsidRPr="00384711">
        <w:t>Aminabhavi</w:t>
      </w:r>
      <w:proofErr w:type="spellEnd"/>
      <w:r w:rsidRPr="00384711">
        <w:t xml:space="preserve">, T. M., &amp; Dewil, R. (2022). Biochar for soil applications: Sustainability aspects, challenges and future prospects. </w:t>
      </w:r>
      <w:r w:rsidRPr="00384711">
        <w:rPr>
          <w:rStyle w:val="Emphasis"/>
          <w:rFonts w:eastAsiaTheme="majorEastAsia"/>
        </w:rPr>
        <w:t>Chemical Engineering Journal, 428</w:t>
      </w:r>
      <w:r w:rsidRPr="00384711">
        <w:t>, 131189.</w:t>
      </w:r>
    </w:p>
    <w:p w14:paraId="4ACED100" w14:textId="77777777" w:rsidR="001E1115" w:rsidRPr="00384711" w:rsidRDefault="001E1115" w:rsidP="00384711">
      <w:pPr>
        <w:pStyle w:val="NormalWeb"/>
        <w:spacing w:line="276" w:lineRule="auto"/>
        <w:ind w:left="810" w:hanging="810"/>
      </w:pPr>
      <w:r w:rsidRPr="00384711">
        <w:t xml:space="preserve">Krishnaswami, S., </w:t>
      </w:r>
      <w:proofErr w:type="spellStart"/>
      <w:r w:rsidRPr="00384711">
        <w:t>Kumararaj</w:t>
      </w:r>
      <w:proofErr w:type="spellEnd"/>
      <w:r w:rsidRPr="00384711">
        <w:t xml:space="preserve">, S., Vijayaraghavan, K., &amp; </w:t>
      </w:r>
      <w:proofErr w:type="spellStart"/>
      <w:r w:rsidRPr="00384711">
        <w:t>Kasiviswanathan</w:t>
      </w:r>
      <w:proofErr w:type="spellEnd"/>
      <w:r w:rsidRPr="00384711">
        <w:t xml:space="preserve">, K. (1971). Silkworm feeding trials for evaluating the quality of mulberry leaves as influenced by variety, spacing and nitrogen fertilizers. </w:t>
      </w:r>
      <w:r w:rsidRPr="00384711">
        <w:rPr>
          <w:rStyle w:val="Emphasis"/>
          <w:rFonts w:eastAsiaTheme="majorEastAsia"/>
        </w:rPr>
        <w:t>Indian Journal of Sericulture, 10</w:t>
      </w:r>
      <w:r w:rsidRPr="00384711">
        <w:t>(2), 79–89.</w:t>
      </w:r>
    </w:p>
    <w:p w14:paraId="7B34C1F7" w14:textId="77777777" w:rsidR="001E1115" w:rsidRPr="00384711" w:rsidRDefault="001E1115" w:rsidP="00FA5E1A">
      <w:pPr>
        <w:pStyle w:val="NormalWeb"/>
        <w:spacing w:before="0" w:beforeAutospacing="0" w:line="276" w:lineRule="auto"/>
        <w:ind w:left="810" w:hanging="810"/>
      </w:pPr>
      <w:r w:rsidRPr="00384711">
        <w:t xml:space="preserve">Lamani, H. D., Prakasha, H., &amp; Naveen, D. (2024). Enhancing soil fertility of mulberry cultivated garden through sustainable recycling of mulberry stalks as biochar adjunct with organic amendments. </w:t>
      </w:r>
      <w:r w:rsidRPr="00384711">
        <w:rPr>
          <w:rStyle w:val="Emphasis"/>
          <w:rFonts w:eastAsiaTheme="majorEastAsia"/>
        </w:rPr>
        <w:t>Mysore Journal of Agricultural Sciences, 59</w:t>
      </w:r>
      <w:r w:rsidRPr="00384711">
        <w:t>(2).</w:t>
      </w:r>
    </w:p>
    <w:p w14:paraId="3202202F" w14:textId="77777777" w:rsidR="001E1115" w:rsidRPr="00384711" w:rsidRDefault="001E1115" w:rsidP="00384711">
      <w:pPr>
        <w:pStyle w:val="NormalWeb"/>
        <w:spacing w:line="276" w:lineRule="auto"/>
        <w:ind w:left="810" w:hanging="810"/>
      </w:pPr>
      <w:r w:rsidRPr="00384711">
        <w:t xml:space="preserve">Laskaris, P., Tolba, S., Calvo-Bado, L., &amp; Wellington, E. M. H. (2010). Coevolution of antibiotic production and counter resistance in soil bacteria. </w:t>
      </w:r>
      <w:r w:rsidRPr="00384711">
        <w:rPr>
          <w:rStyle w:val="Emphasis"/>
          <w:rFonts w:eastAsiaTheme="majorEastAsia"/>
        </w:rPr>
        <w:t>Environmental Microbiology, 12</w:t>
      </w:r>
      <w:r w:rsidRPr="00384711">
        <w:t>(3), 783–796.</w:t>
      </w:r>
    </w:p>
    <w:p w14:paraId="169983DE" w14:textId="77777777" w:rsidR="001E1115" w:rsidRPr="00384711" w:rsidRDefault="001E1115" w:rsidP="00384711">
      <w:pPr>
        <w:pStyle w:val="NormalWeb"/>
        <w:spacing w:line="276" w:lineRule="auto"/>
        <w:ind w:left="810" w:hanging="810"/>
      </w:pPr>
      <w:r w:rsidRPr="00384711">
        <w:t xml:space="preserve">Lehmann, J., </w:t>
      </w:r>
      <w:proofErr w:type="spellStart"/>
      <w:r w:rsidRPr="00384711">
        <w:t>Czimnik</w:t>
      </w:r>
      <w:proofErr w:type="spellEnd"/>
      <w:r w:rsidRPr="00384711">
        <w:t xml:space="preserve">, C., Laird, D., &amp; Sohi, S. (2009). Stability of biochar in the soil. In J. Lehmann &amp; S. Joseph (Eds.), </w:t>
      </w:r>
      <w:r w:rsidRPr="00384711">
        <w:rPr>
          <w:rStyle w:val="Emphasis"/>
          <w:rFonts w:eastAsiaTheme="majorEastAsia"/>
        </w:rPr>
        <w:t>Biochar for environmental management: Science and technology</w:t>
      </w:r>
      <w:r w:rsidRPr="00384711">
        <w:t xml:space="preserve"> (pp. 215–238). Earthscan.</w:t>
      </w:r>
    </w:p>
    <w:p w14:paraId="1A64987E" w14:textId="77777777" w:rsidR="001E1115" w:rsidRPr="00384711" w:rsidRDefault="001E1115" w:rsidP="00384711">
      <w:pPr>
        <w:pStyle w:val="NormalWeb"/>
        <w:spacing w:line="276" w:lineRule="auto"/>
        <w:ind w:left="810" w:hanging="810"/>
      </w:pPr>
      <w:r w:rsidRPr="00384711">
        <w:t xml:space="preserve">Lehmann, J., Gaunt, J., &amp; Rondon, M. (2006). Biochar sequestration in terrestrial ecosystems: A review. </w:t>
      </w:r>
      <w:r w:rsidRPr="00384711">
        <w:rPr>
          <w:rStyle w:val="Emphasis"/>
          <w:rFonts w:eastAsiaTheme="majorEastAsia"/>
        </w:rPr>
        <w:t>Mitigation and Adaptation Strategies for Global Change, 11</w:t>
      </w:r>
      <w:r w:rsidRPr="00384711">
        <w:t>(2), 403–427.</w:t>
      </w:r>
    </w:p>
    <w:p w14:paraId="203AE022" w14:textId="77777777" w:rsidR="001E1115" w:rsidRPr="00384711" w:rsidRDefault="001E1115" w:rsidP="00384711">
      <w:pPr>
        <w:pStyle w:val="NormalWeb"/>
        <w:spacing w:line="276" w:lineRule="auto"/>
        <w:ind w:left="810" w:hanging="810"/>
      </w:pPr>
      <w:r w:rsidRPr="00384711">
        <w:lastRenderedPageBreak/>
        <w:t xml:space="preserve">Major, J., Rondon, M., Molina, D., Riha, S. J., &amp; Lehmann, J. (2010). Maize yield and nutrition during 4 years after biochar application to a Colombian savanna </w:t>
      </w:r>
      <w:proofErr w:type="spellStart"/>
      <w:r w:rsidRPr="00384711">
        <w:t>oxisol</w:t>
      </w:r>
      <w:proofErr w:type="spellEnd"/>
      <w:r w:rsidRPr="00384711">
        <w:t xml:space="preserve">. </w:t>
      </w:r>
      <w:r w:rsidRPr="00384711">
        <w:rPr>
          <w:rStyle w:val="Emphasis"/>
          <w:rFonts w:eastAsiaTheme="majorEastAsia"/>
        </w:rPr>
        <w:t>Plant and Soil, 333</w:t>
      </w:r>
      <w:r w:rsidRPr="00384711">
        <w:t>(1–2), 117–128.</w:t>
      </w:r>
    </w:p>
    <w:p w14:paraId="0DB54156" w14:textId="77777777" w:rsidR="001E1115" w:rsidRPr="00384711" w:rsidRDefault="001E1115" w:rsidP="00384711">
      <w:pPr>
        <w:pStyle w:val="NormalWeb"/>
        <w:spacing w:line="276" w:lineRule="auto"/>
        <w:ind w:left="810" w:hanging="810"/>
      </w:pPr>
      <w:proofErr w:type="spellStart"/>
      <w:r w:rsidRPr="00384711">
        <w:t>Medynska-Juraszek</w:t>
      </w:r>
      <w:proofErr w:type="spellEnd"/>
      <w:r w:rsidRPr="00384711">
        <w:t xml:space="preserve">, A., Latawiec, A., </w:t>
      </w:r>
      <w:proofErr w:type="spellStart"/>
      <w:r w:rsidRPr="00384711">
        <w:t>Królczyk</w:t>
      </w:r>
      <w:proofErr w:type="spellEnd"/>
      <w:r w:rsidRPr="00384711">
        <w:t xml:space="preserve">, J., Bogacz, A., </w:t>
      </w:r>
      <w:proofErr w:type="spellStart"/>
      <w:r w:rsidRPr="00384711">
        <w:t>Kawałko</w:t>
      </w:r>
      <w:proofErr w:type="spellEnd"/>
      <w:r w:rsidRPr="00384711">
        <w:t xml:space="preserve">, D., </w:t>
      </w:r>
      <w:proofErr w:type="spellStart"/>
      <w:r w:rsidRPr="00384711">
        <w:t>Bednik</w:t>
      </w:r>
      <w:proofErr w:type="spellEnd"/>
      <w:r w:rsidRPr="00384711">
        <w:t xml:space="preserve">, M., &amp; Dudek, M. (2021). Biochar improves maize growth but has a limited effect on soil properties: Evidence from a three-year field experiment. </w:t>
      </w:r>
      <w:r w:rsidRPr="00384711">
        <w:rPr>
          <w:rStyle w:val="Emphasis"/>
          <w:rFonts w:eastAsiaTheme="majorEastAsia"/>
        </w:rPr>
        <w:t>Sustainability, 13</w:t>
      </w:r>
      <w:r w:rsidRPr="00384711">
        <w:t>(7), 3617.</w:t>
      </w:r>
    </w:p>
    <w:p w14:paraId="7D983091" w14:textId="77777777" w:rsidR="001E1115" w:rsidRPr="00384711" w:rsidRDefault="001E1115" w:rsidP="00384711">
      <w:pPr>
        <w:pStyle w:val="NormalWeb"/>
        <w:spacing w:line="276" w:lineRule="auto"/>
        <w:ind w:left="810" w:hanging="810"/>
      </w:pPr>
      <w:r w:rsidRPr="00384711">
        <w:t xml:space="preserve">Nodwell, J. R. (2007). Novel links between antibiotic resistance and antibiotic production. </w:t>
      </w:r>
      <w:r w:rsidRPr="00384711">
        <w:rPr>
          <w:rStyle w:val="Emphasis"/>
          <w:rFonts w:eastAsiaTheme="majorEastAsia"/>
        </w:rPr>
        <w:t>Journal of Bacteriology, 189</w:t>
      </w:r>
      <w:r w:rsidRPr="00384711">
        <w:t>(10), 3683–3685.</w:t>
      </w:r>
    </w:p>
    <w:p w14:paraId="528C30F2" w14:textId="77777777" w:rsidR="001E1115" w:rsidRPr="00384711" w:rsidRDefault="001E1115" w:rsidP="00384711">
      <w:pPr>
        <w:pStyle w:val="NormalWeb"/>
        <w:spacing w:line="276" w:lineRule="auto"/>
        <w:ind w:left="810" w:hanging="810"/>
      </w:pPr>
      <w:r w:rsidRPr="00384711">
        <w:t xml:space="preserve">Novak, J. M., Busscher, W. J., Laird, D. L., </w:t>
      </w:r>
      <w:proofErr w:type="spellStart"/>
      <w:r w:rsidRPr="00384711">
        <w:t>Ahmedna</w:t>
      </w:r>
      <w:proofErr w:type="spellEnd"/>
      <w:r w:rsidRPr="00384711">
        <w:t xml:space="preserve">, M., Watts, D. W., &amp; </w:t>
      </w:r>
      <w:proofErr w:type="spellStart"/>
      <w:r w:rsidRPr="00384711">
        <w:t>Niandou</w:t>
      </w:r>
      <w:proofErr w:type="spellEnd"/>
      <w:r w:rsidRPr="00384711">
        <w:t xml:space="preserve">, M. A. S. (2009). Impact of biochar amendment on fertility of a southeastern coastal plain soil. </w:t>
      </w:r>
      <w:r w:rsidRPr="00384711">
        <w:rPr>
          <w:rStyle w:val="Emphasis"/>
          <w:rFonts w:eastAsiaTheme="majorEastAsia"/>
        </w:rPr>
        <w:t>Soil Science, 174</w:t>
      </w:r>
      <w:r w:rsidRPr="00384711">
        <w:t>(2), 105–112.</w:t>
      </w:r>
    </w:p>
    <w:p w14:paraId="673EA0EF" w14:textId="77777777" w:rsidR="001E1115" w:rsidRPr="00384711" w:rsidRDefault="001E1115" w:rsidP="00384711">
      <w:pPr>
        <w:pStyle w:val="NormalWeb"/>
        <w:spacing w:line="276" w:lineRule="auto"/>
        <w:ind w:left="810" w:hanging="810"/>
      </w:pPr>
      <w:r w:rsidRPr="00384711">
        <w:t xml:space="preserve">Parvage, M. M., Ulén, B., Eriksson, J., Jeffery, S., &amp; Kirchmann, H. (2013). Phosphorus availability in soils amended with wheat residue char. </w:t>
      </w:r>
      <w:r w:rsidRPr="00384711">
        <w:rPr>
          <w:rStyle w:val="Emphasis"/>
          <w:rFonts w:eastAsiaTheme="majorEastAsia"/>
        </w:rPr>
        <w:t>Biology and Fertility of Soils, 49</w:t>
      </w:r>
      <w:r w:rsidRPr="00384711">
        <w:t>(2), 245–250.</w:t>
      </w:r>
    </w:p>
    <w:p w14:paraId="68B0D5AD" w14:textId="77777777" w:rsidR="001E1115" w:rsidRPr="00384711" w:rsidRDefault="001E1115" w:rsidP="00384711">
      <w:pPr>
        <w:pStyle w:val="NormalWeb"/>
        <w:spacing w:line="276" w:lineRule="auto"/>
        <w:ind w:left="810" w:hanging="810"/>
      </w:pPr>
      <w:r w:rsidRPr="00384711">
        <w:t xml:space="preserve">Ranjitha, B. H., Gowda, R., Gowda, M., Naika, R., Arunkumar, B. R., &amp; </w:t>
      </w:r>
      <w:proofErr w:type="spellStart"/>
      <w:r w:rsidRPr="00384711">
        <w:t>Kadalli</w:t>
      </w:r>
      <w:proofErr w:type="spellEnd"/>
      <w:r w:rsidRPr="00384711">
        <w:t xml:space="preserve">, G. G. (2023). Effect of levels of mulberry shoots biochar, farm yard manure and NPK fertilizer on soil properties under tree mulberry garden. </w:t>
      </w:r>
      <w:r w:rsidRPr="00384711">
        <w:rPr>
          <w:rStyle w:val="Emphasis"/>
          <w:rFonts w:eastAsiaTheme="majorEastAsia"/>
        </w:rPr>
        <w:t>The Pharma Innovation Journal, 12</w:t>
      </w:r>
      <w:r w:rsidRPr="00384711">
        <w:t>, 592–597.</w:t>
      </w:r>
    </w:p>
    <w:p w14:paraId="63023A6B" w14:textId="77777777" w:rsidR="001E1115" w:rsidRPr="00384711" w:rsidRDefault="001E1115" w:rsidP="00384711">
      <w:pPr>
        <w:pStyle w:val="NormalWeb"/>
        <w:spacing w:line="276" w:lineRule="auto"/>
        <w:ind w:left="810" w:hanging="810"/>
      </w:pPr>
      <w:r w:rsidRPr="00384711">
        <w:t xml:space="preserve">Ranjitha, B. H., Tejaswini, E. H., Sandhya, N., </w:t>
      </w:r>
      <w:proofErr w:type="spellStart"/>
      <w:r w:rsidRPr="00384711">
        <w:t>Kenchappa</w:t>
      </w:r>
      <w:proofErr w:type="spellEnd"/>
      <w:r w:rsidRPr="00384711">
        <w:t xml:space="preserve">, N. M., Reddy, N. C., &amp; Gowda, R. (2024). Effect of levels of mulberry shoots biochar, farm yard manure and NPK fertilizer application to tree mulberry on cocoon parameters of silkworm, Bombyx mori L. </w:t>
      </w:r>
      <w:r w:rsidRPr="00384711">
        <w:rPr>
          <w:rStyle w:val="Emphasis"/>
          <w:rFonts w:eastAsiaTheme="majorEastAsia"/>
        </w:rPr>
        <w:t>International Journal of Research in Agronomy, 7</w:t>
      </w:r>
      <w:r w:rsidRPr="00384711">
        <w:t>(9), 643–646.</w:t>
      </w:r>
    </w:p>
    <w:p w14:paraId="6787FC47" w14:textId="77777777" w:rsidR="001E1115" w:rsidRPr="00384711" w:rsidRDefault="001E1115" w:rsidP="00384711">
      <w:pPr>
        <w:pStyle w:val="NormalWeb"/>
        <w:spacing w:line="276" w:lineRule="auto"/>
        <w:ind w:left="810" w:hanging="810"/>
      </w:pPr>
      <w:r w:rsidRPr="00384711">
        <w:t xml:space="preserve">Rohitha, D. S., Mamatha, B., Desai, N., Reddy, S. K. M., &amp; Prakasha, H. C. (2021). Physico-chemical characterization of coconut shell biochar and its influence on growth of soybean. </w:t>
      </w:r>
      <w:r w:rsidRPr="00384711">
        <w:rPr>
          <w:rStyle w:val="Emphasis"/>
          <w:rFonts w:eastAsiaTheme="majorEastAsia"/>
        </w:rPr>
        <w:t>Mysore Journal of Agricultural Sciences, 55</w:t>
      </w:r>
      <w:r w:rsidRPr="00384711">
        <w:t>(1), 30–36.</w:t>
      </w:r>
    </w:p>
    <w:p w14:paraId="66E60EBA" w14:textId="77777777" w:rsidR="001E1115" w:rsidRPr="00384711" w:rsidRDefault="001E1115" w:rsidP="00384711">
      <w:pPr>
        <w:pStyle w:val="NormalWeb"/>
        <w:spacing w:line="276" w:lineRule="auto"/>
        <w:ind w:left="810" w:hanging="810"/>
      </w:pPr>
      <w:r w:rsidRPr="00384711">
        <w:t xml:space="preserve">Steiner, C., Glaser, B., Teixeira, W. G., Lehmann, J., Blum, W. E., &amp; Zech, W. (2008). Nitrogen retention and plant uptake on a highly weathered central Amazonian </w:t>
      </w:r>
      <w:proofErr w:type="spellStart"/>
      <w:r w:rsidRPr="00384711">
        <w:t>Ferralsol</w:t>
      </w:r>
      <w:proofErr w:type="spellEnd"/>
      <w:r w:rsidRPr="00384711">
        <w:t xml:space="preserve"> amended with compost and charcoal. </w:t>
      </w:r>
      <w:r w:rsidRPr="00384711">
        <w:rPr>
          <w:rStyle w:val="Emphasis"/>
          <w:rFonts w:eastAsiaTheme="majorEastAsia"/>
        </w:rPr>
        <w:t>Journal of Plant Nutrition and Soil Science, 171</w:t>
      </w:r>
      <w:r w:rsidRPr="00384711">
        <w:t>(6), 893–899.</w:t>
      </w:r>
    </w:p>
    <w:p w14:paraId="22CFD4BB" w14:textId="77777777" w:rsidR="001E1115" w:rsidRPr="00384711" w:rsidRDefault="001E1115" w:rsidP="00384711">
      <w:pPr>
        <w:pStyle w:val="NormalWeb"/>
        <w:spacing w:line="276" w:lineRule="auto"/>
        <w:ind w:left="810" w:hanging="810"/>
      </w:pPr>
      <w:r w:rsidRPr="00384711">
        <w:t xml:space="preserve">Sun, Z., Moldrup, P., </w:t>
      </w:r>
      <w:proofErr w:type="spellStart"/>
      <w:r w:rsidRPr="00384711">
        <w:t>Elsgarrd</w:t>
      </w:r>
      <w:proofErr w:type="spellEnd"/>
      <w:r w:rsidRPr="00384711">
        <w:t xml:space="preserve">, L., </w:t>
      </w:r>
      <w:proofErr w:type="spellStart"/>
      <w:r w:rsidRPr="00384711">
        <w:t>Arhur</w:t>
      </w:r>
      <w:proofErr w:type="spellEnd"/>
      <w:r w:rsidRPr="00384711">
        <w:t xml:space="preserve">, E., Bruun, E. W., Nielsen, H. H., &amp; De Jonge, L. W. (2013). Direct and indirect short-term effects of biochar on physical characteristics of an arable sandy loam. </w:t>
      </w:r>
      <w:r w:rsidRPr="00384711">
        <w:rPr>
          <w:rStyle w:val="Emphasis"/>
          <w:rFonts w:eastAsiaTheme="majorEastAsia"/>
        </w:rPr>
        <w:t>Soil Science, 178</w:t>
      </w:r>
      <w:r w:rsidRPr="00384711">
        <w:t>(9), 465–473.</w:t>
      </w:r>
    </w:p>
    <w:p w14:paraId="1A20D7A3" w14:textId="391BE687" w:rsidR="001E1115" w:rsidRPr="00384711" w:rsidRDefault="001E1115" w:rsidP="00384711">
      <w:pPr>
        <w:pStyle w:val="NormalWeb"/>
        <w:spacing w:line="276" w:lineRule="auto"/>
        <w:ind w:left="810" w:hanging="810"/>
      </w:pPr>
      <w:r w:rsidRPr="00384711">
        <w:lastRenderedPageBreak/>
        <w:t>Van Zwieten, L., Kimber, S., Downie, A., Morris, S., &amp;</w:t>
      </w:r>
      <w:r>
        <w:t xml:space="preserve"> </w:t>
      </w:r>
      <w:r w:rsidRPr="00384711">
        <w:t xml:space="preserve">Petty, S. (2010). A glasshouse study on the interaction of low mineral ash biochar with nitrogen in a sandy soil. </w:t>
      </w:r>
      <w:r w:rsidRPr="00384711">
        <w:rPr>
          <w:rStyle w:val="Emphasis"/>
          <w:rFonts w:eastAsiaTheme="majorEastAsia"/>
        </w:rPr>
        <w:t>Australian Journal of Soil Research, 48</w:t>
      </w:r>
      <w:r w:rsidRPr="00384711">
        <w:t>(6), 569–576.</w:t>
      </w:r>
    </w:p>
    <w:p w14:paraId="78FD498D" w14:textId="77777777" w:rsidR="001E1115" w:rsidRPr="00384711" w:rsidRDefault="001E1115" w:rsidP="00384711">
      <w:pPr>
        <w:pStyle w:val="NormalWeb"/>
        <w:spacing w:line="276" w:lineRule="auto"/>
        <w:ind w:left="810" w:hanging="810"/>
      </w:pPr>
      <w:r w:rsidRPr="00384711">
        <w:t xml:space="preserve">Wei, Y., Jin, Z., Zhang, M., Li, Y., Huang, S., Liu, X., &amp; Qu, J. (2020). Impact of spent mushroom substrate on Cd immobilization and soil property. </w:t>
      </w:r>
      <w:r w:rsidRPr="00384711">
        <w:rPr>
          <w:rStyle w:val="Emphasis"/>
          <w:rFonts w:eastAsiaTheme="majorEastAsia"/>
        </w:rPr>
        <w:t>Environmental Science and Pollution Research, 27</w:t>
      </w:r>
      <w:r w:rsidRPr="00384711">
        <w:t>(3), 3007–3022.</w:t>
      </w:r>
    </w:p>
    <w:p w14:paraId="27FB8F0D" w14:textId="77777777" w:rsidR="001E1115" w:rsidRPr="00384711" w:rsidRDefault="001E1115" w:rsidP="00384711">
      <w:pPr>
        <w:pStyle w:val="NormalWeb"/>
        <w:spacing w:line="276" w:lineRule="auto"/>
        <w:ind w:left="810" w:hanging="810"/>
      </w:pPr>
      <w:r w:rsidRPr="00384711">
        <w:t xml:space="preserve">Xiang, L., Liu, S., Ye, S., Yang, H., Song, B., Qin, F., &amp; Tan, X. (2021). Potential hazards of biochar: The negative environmental impacts of biochar applications. </w:t>
      </w:r>
      <w:r w:rsidRPr="00384711">
        <w:rPr>
          <w:rStyle w:val="Emphasis"/>
          <w:rFonts w:eastAsiaTheme="majorEastAsia"/>
        </w:rPr>
        <w:t>Journal of Hazardous Materials, 420</w:t>
      </w:r>
      <w:r w:rsidRPr="00384711">
        <w:t>, 126611.</w:t>
      </w:r>
    </w:p>
    <w:sectPr w:rsidR="001E1115" w:rsidRPr="00384711" w:rsidSect="00D977CC">
      <w:headerReference w:type="even" r:id="rId9"/>
      <w:headerReference w:type="default" r:id="rId10"/>
      <w:footerReference w:type="even" r:id="rId11"/>
      <w:footerReference w:type="default" r:id="rId12"/>
      <w:headerReference w:type="first" r:id="rId13"/>
      <w:footerReference w:type="first" r:id="rId14"/>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63D9C" w14:textId="77777777" w:rsidR="00C86B64" w:rsidRDefault="00C86B64" w:rsidP="00A16410">
      <w:pPr>
        <w:spacing w:after="0" w:line="240" w:lineRule="auto"/>
      </w:pPr>
      <w:r>
        <w:separator/>
      </w:r>
    </w:p>
  </w:endnote>
  <w:endnote w:type="continuationSeparator" w:id="0">
    <w:p w14:paraId="27305592" w14:textId="77777777" w:rsidR="00C86B64" w:rsidRDefault="00C86B64" w:rsidP="00A1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52FD" w14:textId="77777777" w:rsidR="00A16410" w:rsidRDefault="00A16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D9AD" w14:textId="77777777" w:rsidR="00A16410" w:rsidRDefault="00A16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E20E1" w14:textId="77777777" w:rsidR="00A16410" w:rsidRDefault="00A16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02FCF" w14:textId="77777777" w:rsidR="00C86B64" w:rsidRDefault="00C86B64" w:rsidP="00A16410">
      <w:pPr>
        <w:spacing w:after="0" w:line="240" w:lineRule="auto"/>
      </w:pPr>
      <w:r>
        <w:separator/>
      </w:r>
    </w:p>
  </w:footnote>
  <w:footnote w:type="continuationSeparator" w:id="0">
    <w:p w14:paraId="0F90E959" w14:textId="77777777" w:rsidR="00C86B64" w:rsidRDefault="00C86B64" w:rsidP="00A16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55DE9" w14:textId="22A6927D" w:rsidR="00A16410" w:rsidRDefault="00A16410">
    <w:pPr>
      <w:pStyle w:val="Header"/>
    </w:pPr>
    <w:r>
      <w:rPr>
        <w:noProof/>
      </w:rPr>
      <w:pict w14:anchorId="4271C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45313" o:spid="_x0000_s2050" type="#_x0000_t136" style="position:absolute;margin-left:0;margin-top:0;width:561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9BFF6" w14:textId="6413FC69" w:rsidR="00A16410" w:rsidRDefault="00A16410">
    <w:pPr>
      <w:pStyle w:val="Header"/>
    </w:pPr>
    <w:r>
      <w:rPr>
        <w:noProof/>
      </w:rPr>
      <w:pict w14:anchorId="732EC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45314" o:spid="_x0000_s2051" type="#_x0000_t136" style="position:absolute;margin-left:0;margin-top:0;width:561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7EF89" w14:textId="697125A9" w:rsidR="00A16410" w:rsidRDefault="00A16410">
    <w:pPr>
      <w:pStyle w:val="Header"/>
    </w:pPr>
    <w:r>
      <w:rPr>
        <w:noProof/>
      </w:rPr>
      <w:pict w14:anchorId="50946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45312" o:spid="_x0000_s2049" type="#_x0000_t136" style="position:absolute;margin-left:0;margin-top:0;width:561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F9F"/>
    <w:multiLevelType w:val="hybridMultilevel"/>
    <w:tmpl w:val="58841D84"/>
    <w:lvl w:ilvl="0" w:tplc="6F50C472">
      <w:start w:val="1"/>
      <w:numFmt w:val="decimal"/>
      <w:lvlText w:val="3.6.11%1"/>
      <w:lvlJc w:val="left"/>
      <w:pPr>
        <w:ind w:left="1440" w:hanging="360"/>
      </w:pPr>
      <w:rPr>
        <w:rFonts w:hint="default"/>
      </w:rPr>
    </w:lvl>
    <w:lvl w:ilvl="1" w:tplc="04090019" w:tentative="1">
      <w:start w:val="1"/>
      <w:numFmt w:val="lowerLetter"/>
      <w:lvlText w:val="%2."/>
      <w:lvlJc w:val="left"/>
      <w:pPr>
        <w:ind w:left="2160" w:hanging="360"/>
      </w:pPr>
    </w:lvl>
    <w:lvl w:ilvl="2" w:tplc="6F50C472">
      <w:start w:val="1"/>
      <w:numFmt w:val="decimal"/>
      <w:lvlText w:val="3.6.11%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524D77"/>
    <w:multiLevelType w:val="multilevel"/>
    <w:tmpl w:val="9D44BD44"/>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6080681"/>
    <w:multiLevelType w:val="multilevel"/>
    <w:tmpl w:val="F350CD30"/>
    <w:lvl w:ilvl="0">
      <w:start w:val="1"/>
      <w:numFmt w:val="decimal"/>
      <w:lvlText w:val="%1."/>
      <w:lvlJc w:val="left"/>
      <w:pPr>
        <w:ind w:left="720" w:hanging="360"/>
      </w:pPr>
      <w:rPr>
        <w:rFonts w:hint="default"/>
      </w:rPr>
    </w:lvl>
    <w:lvl w:ilvl="1">
      <w:start w:val="1"/>
      <w:numFmt w:val="decimal"/>
      <w:lvlText w:val="3.6.1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FA75E3"/>
    <w:multiLevelType w:val="multilevel"/>
    <w:tmpl w:val="8A92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81EB2"/>
    <w:multiLevelType w:val="hybridMultilevel"/>
    <w:tmpl w:val="A62EA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C2A80"/>
    <w:multiLevelType w:val="hybridMultilevel"/>
    <w:tmpl w:val="F76C921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72255"/>
    <w:multiLevelType w:val="hybridMultilevel"/>
    <w:tmpl w:val="AAB2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56A1D"/>
    <w:multiLevelType w:val="hybridMultilevel"/>
    <w:tmpl w:val="C33EB97E"/>
    <w:lvl w:ilvl="0" w:tplc="429E1BC0">
      <w:start w:val="1"/>
      <w:numFmt w:val="decimal"/>
      <w:lvlText w:val="3.%1"/>
      <w:lvlJc w:val="left"/>
      <w:pPr>
        <w:ind w:left="720" w:hanging="360"/>
      </w:pPr>
      <w:rPr>
        <w:rFonts w:hint="default"/>
      </w:rPr>
    </w:lvl>
    <w:lvl w:ilvl="1" w:tplc="429E1BC0">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8D63E8"/>
    <w:multiLevelType w:val="hybridMultilevel"/>
    <w:tmpl w:val="915E7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A305D3"/>
    <w:multiLevelType w:val="hybridMultilevel"/>
    <w:tmpl w:val="630E71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0"/>
  </w:num>
  <w:num w:numId="6">
    <w:abstractNumId w:val="1"/>
  </w:num>
  <w:num w:numId="7">
    <w:abstractNumId w:val="8"/>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2C"/>
    <w:rsid w:val="000265CF"/>
    <w:rsid w:val="0005102C"/>
    <w:rsid w:val="00072DAE"/>
    <w:rsid w:val="000D0A72"/>
    <w:rsid w:val="001008B9"/>
    <w:rsid w:val="00113B32"/>
    <w:rsid w:val="00115919"/>
    <w:rsid w:val="001A5B4A"/>
    <w:rsid w:val="001B6D58"/>
    <w:rsid w:val="001E1115"/>
    <w:rsid w:val="001F56E1"/>
    <w:rsid w:val="00220423"/>
    <w:rsid w:val="002B5B47"/>
    <w:rsid w:val="00384711"/>
    <w:rsid w:val="0038728F"/>
    <w:rsid w:val="003F49DC"/>
    <w:rsid w:val="004B0B7A"/>
    <w:rsid w:val="004D1C11"/>
    <w:rsid w:val="004F5170"/>
    <w:rsid w:val="00522DFF"/>
    <w:rsid w:val="00541BE7"/>
    <w:rsid w:val="00542044"/>
    <w:rsid w:val="005869D0"/>
    <w:rsid w:val="005D3AB1"/>
    <w:rsid w:val="005E177A"/>
    <w:rsid w:val="006C2583"/>
    <w:rsid w:val="00767B2C"/>
    <w:rsid w:val="00787BE5"/>
    <w:rsid w:val="008100B7"/>
    <w:rsid w:val="009B751C"/>
    <w:rsid w:val="00A16410"/>
    <w:rsid w:val="00A60472"/>
    <w:rsid w:val="00A6543C"/>
    <w:rsid w:val="00A81817"/>
    <w:rsid w:val="00B408AA"/>
    <w:rsid w:val="00B617C7"/>
    <w:rsid w:val="00B74CE3"/>
    <w:rsid w:val="00C15670"/>
    <w:rsid w:val="00C337D5"/>
    <w:rsid w:val="00C35546"/>
    <w:rsid w:val="00C541C8"/>
    <w:rsid w:val="00C77E28"/>
    <w:rsid w:val="00C86B64"/>
    <w:rsid w:val="00CC5AC2"/>
    <w:rsid w:val="00CC688E"/>
    <w:rsid w:val="00D70795"/>
    <w:rsid w:val="00D8664F"/>
    <w:rsid w:val="00D977CC"/>
    <w:rsid w:val="00DC1074"/>
    <w:rsid w:val="00E10180"/>
    <w:rsid w:val="00E434E0"/>
    <w:rsid w:val="00E951B9"/>
    <w:rsid w:val="00F05ACD"/>
    <w:rsid w:val="00F83042"/>
    <w:rsid w:val="00FA5E1A"/>
    <w:rsid w:val="00FA7F23"/>
    <w:rsid w:val="00FB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CE1D9C"/>
  <w15:chartTrackingRefBased/>
  <w15:docId w15:val="{363EE7A2-BBF3-4C8E-ACF8-AF023E35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5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F49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B75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49DC"/>
    <w:rPr>
      <w:rFonts w:ascii="Times New Roman" w:eastAsia="Times New Roman" w:hAnsi="Times New Roman" w:cs="Times New Roman"/>
      <w:b/>
      <w:bCs/>
      <w:sz w:val="36"/>
      <w:szCs w:val="36"/>
    </w:rPr>
  </w:style>
  <w:style w:type="paragraph" w:styleId="NormalWeb">
    <w:name w:val="Normal (Web)"/>
    <w:basedOn w:val="Normal"/>
    <w:uiPriority w:val="99"/>
    <w:unhideWhenUsed/>
    <w:rsid w:val="003F49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B751C"/>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B751C"/>
    <w:rPr>
      <w:b/>
      <w:bCs/>
    </w:rPr>
  </w:style>
  <w:style w:type="character" w:customStyle="1" w:styleId="ms-1">
    <w:name w:val="ms-1"/>
    <w:basedOn w:val="DefaultParagraphFont"/>
    <w:rsid w:val="009B751C"/>
  </w:style>
  <w:style w:type="character" w:customStyle="1" w:styleId="max-w-15ch">
    <w:name w:val="max-w-[15ch]"/>
    <w:basedOn w:val="DefaultParagraphFont"/>
    <w:rsid w:val="009B751C"/>
  </w:style>
  <w:style w:type="character" w:customStyle="1" w:styleId="-me-1">
    <w:name w:val="-me-1"/>
    <w:basedOn w:val="DefaultParagraphFont"/>
    <w:rsid w:val="009B751C"/>
  </w:style>
  <w:style w:type="character" w:customStyle="1" w:styleId="Heading1Char">
    <w:name w:val="Heading 1 Char"/>
    <w:basedOn w:val="DefaultParagraphFont"/>
    <w:link w:val="Heading1"/>
    <w:uiPriority w:val="9"/>
    <w:rsid w:val="009B75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C688E"/>
    <w:rPr>
      <w:color w:val="0563C1" w:themeColor="hyperlink"/>
      <w:u w:val="single"/>
    </w:rPr>
  </w:style>
  <w:style w:type="character" w:styleId="UnresolvedMention">
    <w:name w:val="Unresolved Mention"/>
    <w:basedOn w:val="DefaultParagraphFont"/>
    <w:uiPriority w:val="99"/>
    <w:semiHidden/>
    <w:unhideWhenUsed/>
    <w:rsid w:val="00CC688E"/>
    <w:rPr>
      <w:color w:val="605E5C"/>
      <w:shd w:val="clear" w:color="auto" w:fill="E1DFDD"/>
    </w:rPr>
  </w:style>
  <w:style w:type="character" w:styleId="Emphasis">
    <w:name w:val="Emphasis"/>
    <w:basedOn w:val="DefaultParagraphFont"/>
    <w:uiPriority w:val="20"/>
    <w:qFormat/>
    <w:rsid w:val="00C77E28"/>
    <w:rPr>
      <w:i/>
      <w:iCs/>
    </w:rPr>
  </w:style>
  <w:style w:type="paragraph" w:styleId="ListParagraph">
    <w:name w:val="List Paragraph"/>
    <w:basedOn w:val="Normal"/>
    <w:uiPriority w:val="34"/>
    <w:qFormat/>
    <w:rsid w:val="00B617C7"/>
    <w:pPr>
      <w:ind w:left="720"/>
      <w:contextualSpacing/>
    </w:pPr>
  </w:style>
  <w:style w:type="paragraph" w:styleId="Header">
    <w:name w:val="header"/>
    <w:basedOn w:val="Normal"/>
    <w:link w:val="HeaderChar"/>
    <w:uiPriority w:val="99"/>
    <w:unhideWhenUsed/>
    <w:rsid w:val="00A16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10"/>
  </w:style>
  <w:style w:type="paragraph" w:styleId="Footer">
    <w:name w:val="footer"/>
    <w:basedOn w:val="Normal"/>
    <w:link w:val="FooterChar"/>
    <w:uiPriority w:val="99"/>
    <w:unhideWhenUsed/>
    <w:rsid w:val="00A16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502374">
      <w:bodyDiv w:val="1"/>
      <w:marLeft w:val="0"/>
      <w:marRight w:val="0"/>
      <w:marTop w:val="0"/>
      <w:marBottom w:val="0"/>
      <w:divBdr>
        <w:top w:val="none" w:sz="0" w:space="0" w:color="auto"/>
        <w:left w:val="none" w:sz="0" w:space="0" w:color="auto"/>
        <w:bottom w:val="none" w:sz="0" w:space="0" w:color="auto"/>
        <w:right w:val="none" w:sz="0" w:space="0" w:color="auto"/>
      </w:divBdr>
    </w:div>
    <w:div w:id="587889904">
      <w:bodyDiv w:val="1"/>
      <w:marLeft w:val="0"/>
      <w:marRight w:val="0"/>
      <w:marTop w:val="0"/>
      <w:marBottom w:val="0"/>
      <w:divBdr>
        <w:top w:val="none" w:sz="0" w:space="0" w:color="auto"/>
        <w:left w:val="none" w:sz="0" w:space="0" w:color="auto"/>
        <w:bottom w:val="none" w:sz="0" w:space="0" w:color="auto"/>
        <w:right w:val="none" w:sz="0" w:space="0" w:color="auto"/>
      </w:divBdr>
    </w:div>
    <w:div w:id="623728458">
      <w:bodyDiv w:val="1"/>
      <w:marLeft w:val="0"/>
      <w:marRight w:val="0"/>
      <w:marTop w:val="0"/>
      <w:marBottom w:val="0"/>
      <w:divBdr>
        <w:top w:val="none" w:sz="0" w:space="0" w:color="auto"/>
        <w:left w:val="none" w:sz="0" w:space="0" w:color="auto"/>
        <w:bottom w:val="none" w:sz="0" w:space="0" w:color="auto"/>
        <w:right w:val="none" w:sz="0" w:space="0" w:color="auto"/>
      </w:divBdr>
    </w:div>
    <w:div w:id="695424739">
      <w:bodyDiv w:val="1"/>
      <w:marLeft w:val="0"/>
      <w:marRight w:val="0"/>
      <w:marTop w:val="0"/>
      <w:marBottom w:val="0"/>
      <w:divBdr>
        <w:top w:val="none" w:sz="0" w:space="0" w:color="auto"/>
        <w:left w:val="none" w:sz="0" w:space="0" w:color="auto"/>
        <w:bottom w:val="none" w:sz="0" w:space="0" w:color="auto"/>
        <w:right w:val="none" w:sz="0" w:space="0" w:color="auto"/>
      </w:divBdr>
    </w:div>
    <w:div w:id="1002588013">
      <w:bodyDiv w:val="1"/>
      <w:marLeft w:val="0"/>
      <w:marRight w:val="0"/>
      <w:marTop w:val="0"/>
      <w:marBottom w:val="0"/>
      <w:divBdr>
        <w:top w:val="none" w:sz="0" w:space="0" w:color="auto"/>
        <w:left w:val="none" w:sz="0" w:space="0" w:color="auto"/>
        <w:bottom w:val="none" w:sz="0" w:space="0" w:color="auto"/>
        <w:right w:val="none" w:sz="0" w:space="0" w:color="auto"/>
      </w:divBdr>
    </w:div>
    <w:div w:id="1507131766">
      <w:bodyDiv w:val="1"/>
      <w:marLeft w:val="0"/>
      <w:marRight w:val="0"/>
      <w:marTop w:val="0"/>
      <w:marBottom w:val="0"/>
      <w:divBdr>
        <w:top w:val="none" w:sz="0" w:space="0" w:color="auto"/>
        <w:left w:val="none" w:sz="0" w:space="0" w:color="auto"/>
        <w:bottom w:val="none" w:sz="0" w:space="0" w:color="auto"/>
        <w:right w:val="none" w:sz="0" w:space="0" w:color="auto"/>
      </w:divBdr>
    </w:div>
    <w:div w:id="1598170394">
      <w:bodyDiv w:val="1"/>
      <w:marLeft w:val="0"/>
      <w:marRight w:val="0"/>
      <w:marTop w:val="0"/>
      <w:marBottom w:val="0"/>
      <w:divBdr>
        <w:top w:val="none" w:sz="0" w:space="0" w:color="auto"/>
        <w:left w:val="none" w:sz="0" w:space="0" w:color="auto"/>
        <w:bottom w:val="none" w:sz="0" w:space="0" w:color="auto"/>
        <w:right w:val="none" w:sz="0" w:space="0" w:color="auto"/>
      </w:divBdr>
    </w:div>
    <w:div w:id="1807317029">
      <w:bodyDiv w:val="1"/>
      <w:marLeft w:val="0"/>
      <w:marRight w:val="0"/>
      <w:marTop w:val="0"/>
      <w:marBottom w:val="0"/>
      <w:divBdr>
        <w:top w:val="none" w:sz="0" w:space="0" w:color="auto"/>
        <w:left w:val="none" w:sz="0" w:space="0" w:color="auto"/>
        <w:bottom w:val="none" w:sz="0" w:space="0" w:color="auto"/>
        <w:right w:val="none" w:sz="0" w:space="0" w:color="auto"/>
      </w:divBdr>
    </w:div>
    <w:div w:id="196237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EB3E5-92D6-487F-8327-7497A407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10</Pages>
  <Words>3212</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sudan</dc:creator>
  <cp:keywords/>
  <dc:description/>
  <cp:lastModifiedBy>SDI 1084</cp:lastModifiedBy>
  <cp:revision>10</cp:revision>
  <dcterms:created xsi:type="dcterms:W3CDTF">2025-09-10T06:23:00Z</dcterms:created>
  <dcterms:modified xsi:type="dcterms:W3CDTF">2025-09-13T13:57:00Z</dcterms:modified>
</cp:coreProperties>
</file>