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B7F4D" w14:textId="4AA51756" w:rsidR="00925B9C" w:rsidRDefault="00925B9C" w:rsidP="005B4528">
      <w:pPr>
        <w:spacing w:line="360" w:lineRule="auto"/>
        <w:jc w:val="center"/>
        <w:rPr>
          <w:rFonts w:ascii="Times New Roman" w:hAnsi="Times New Roman" w:cs="Times New Roman"/>
          <w:b/>
          <w:bCs/>
        </w:rPr>
      </w:pPr>
      <w:bookmarkStart w:id="0" w:name="_Hlk208678908"/>
      <w:r w:rsidRPr="00925B9C">
        <w:rPr>
          <w:rFonts w:ascii="Times New Roman" w:hAnsi="Times New Roman" w:cs="Times New Roman"/>
          <w:b/>
          <w:bCs/>
          <w:i/>
          <w:iCs/>
          <w:u w:val="single"/>
        </w:rPr>
        <w:t>Original Research Article</w:t>
      </w:r>
    </w:p>
    <w:p w14:paraId="5644D34C" w14:textId="7E388ECE" w:rsidR="007B6C57" w:rsidRPr="005B4528" w:rsidRDefault="009527DD" w:rsidP="005B4528">
      <w:pPr>
        <w:spacing w:line="360" w:lineRule="auto"/>
        <w:jc w:val="center"/>
        <w:rPr>
          <w:rFonts w:ascii="Times New Roman" w:hAnsi="Times New Roman" w:cs="Times New Roman"/>
          <w:b/>
          <w:bCs/>
        </w:rPr>
      </w:pPr>
      <w:r>
        <w:rPr>
          <w:rFonts w:ascii="Times New Roman" w:hAnsi="Times New Roman" w:cs="Times New Roman"/>
          <w:b/>
          <w:bCs/>
        </w:rPr>
        <w:t xml:space="preserve">Performance </w:t>
      </w:r>
      <w:r w:rsidR="004805F4">
        <w:rPr>
          <w:rFonts w:ascii="Times New Roman" w:hAnsi="Times New Roman" w:cs="Times New Roman"/>
          <w:b/>
          <w:bCs/>
        </w:rPr>
        <w:t xml:space="preserve">Evaluation </w:t>
      </w:r>
      <w:r>
        <w:rPr>
          <w:rFonts w:ascii="Times New Roman" w:hAnsi="Times New Roman" w:cs="Times New Roman"/>
          <w:b/>
          <w:bCs/>
        </w:rPr>
        <w:t xml:space="preserve">of </w:t>
      </w:r>
      <w:r w:rsidR="00A23611" w:rsidRPr="005B4528">
        <w:rPr>
          <w:rFonts w:ascii="Times New Roman" w:hAnsi="Times New Roman" w:cs="Times New Roman"/>
          <w:b/>
          <w:bCs/>
        </w:rPr>
        <w:t xml:space="preserve">Sewage Treatment Plant </w:t>
      </w:r>
      <w:r w:rsidR="004805F4">
        <w:rPr>
          <w:rFonts w:ascii="Times New Roman" w:hAnsi="Times New Roman" w:cs="Times New Roman"/>
          <w:b/>
          <w:bCs/>
        </w:rPr>
        <w:t xml:space="preserve">Processes: A Case Study </w:t>
      </w:r>
      <w:proofErr w:type="gramStart"/>
      <w:r w:rsidR="004805F4">
        <w:rPr>
          <w:rFonts w:ascii="Times New Roman" w:hAnsi="Times New Roman" w:cs="Times New Roman"/>
          <w:b/>
          <w:bCs/>
        </w:rPr>
        <w:t>From</w:t>
      </w:r>
      <w:proofErr w:type="gramEnd"/>
      <w:r w:rsidR="004805F4">
        <w:rPr>
          <w:rFonts w:ascii="Times New Roman" w:hAnsi="Times New Roman" w:cs="Times New Roman"/>
          <w:b/>
          <w:bCs/>
        </w:rPr>
        <w:t xml:space="preserve"> </w:t>
      </w:r>
      <w:r w:rsidR="004C6B6A" w:rsidRPr="005B4528">
        <w:rPr>
          <w:rFonts w:ascii="Times New Roman" w:hAnsi="Times New Roman" w:cs="Times New Roman"/>
          <w:b/>
          <w:bCs/>
        </w:rPr>
        <w:t>Joginder Nagar</w:t>
      </w:r>
      <w:r w:rsidR="00795353">
        <w:rPr>
          <w:rFonts w:ascii="Times New Roman" w:hAnsi="Times New Roman" w:cs="Times New Roman"/>
          <w:b/>
          <w:bCs/>
        </w:rPr>
        <w:t>, Mandi (H.P.)</w:t>
      </w:r>
    </w:p>
    <w:bookmarkEnd w:id="0"/>
    <w:p w14:paraId="3D395424" w14:textId="77777777" w:rsidR="00944932" w:rsidRDefault="00944932" w:rsidP="003B750D">
      <w:pPr>
        <w:spacing w:line="360" w:lineRule="auto"/>
        <w:jc w:val="both"/>
        <w:rPr>
          <w:rFonts w:ascii="Times New Roman" w:hAnsi="Times New Roman" w:cs="Times New Roman"/>
          <w:b/>
          <w:bCs/>
        </w:rPr>
      </w:pPr>
    </w:p>
    <w:p w14:paraId="366A8A49" w14:textId="77777777" w:rsidR="00944932" w:rsidRDefault="00944932" w:rsidP="003B750D">
      <w:pPr>
        <w:spacing w:line="360" w:lineRule="auto"/>
        <w:jc w:val="both"/>
        <w:rPr>
          <w:rFonts w:ascii="Times New Roman" w:hAnsi="Times New Roman" w:cs="Times New Roman"/>
          <w:b/>
          <w:bCs/>
        </w:rPr>
      </w:pPr>
    </w:p>
    <w:p w14:paraId="524916D6" w14:textId="77777777" w:rsidR="00944932" w:rsidRDefault="00944932" w:rsidP="003B750D">
      <w:pPr>
        <w:spacing w:line="360" w:lineRule="auto"/>
        <w:jc w:val="both"/>
        <w:rPr>
          <w:rFonts w:ascii="Times New Roman" w:hAnsi="Times New Roman" w:cs="Times New Roman"/>
          <w:b/>
          <w:bCs/>
        </w:rPr>
      </w:pPr>
    </w:p>
    <w:p w14:paraId="1EA959CE" w14:textId="77777777" w:rsidR="00944932" w:rsidRDefault="00944932" w:rsidP="003B750D">
      <w:pPr>
        <w:spacing w:line="360" w:lineRule="auto"/>
        <w:jc w:val="both"/>
        <w:rPr>
          <w:rFonts w:ascii="Times New Roman" w:hAnsi="Times New Roman" w:cs="Times New Roman"/>
          <w:b/>
          <w:bCs/>
        </w:rPr>
      </w:pPr>
    </w:p>
    <w:p w14:paraId="74D9DBFD" w14:textId="77777777" w:rsidR="00944932" w:rsidRDefault="00944932" w:rsidP="003B750D">
      <w:pPr>
        <w:spacing w:line="360" w:lineRule="auto"/>
        <w:jc w:val="both"/>
        <w:rPr>
          <w:rFonts w:ascii="Times New Roman" w:hAnsi="Times New Roman" w:cs="Times New Roman"/>
          <w:b/>
          <w:bCs/>
        </w:rPr>
      </w:pPr>
    </w:p>
    <w:p w14:paraId="01E64EE1" w14:textId="77777777" w:rsidR="00944932" w:rsidRDefault="00944932" w:rsidP="003B750D">
      <w:pPr>
        <w:spacing w:line="360" w:lineRule="auto"/>
        <w:jc w:val="both"/>
        <w:rPr>
          <w:rFonts w:ascii="Times New Roman" w:hAnsi="Times New Roman" w:cs="Times New Roman"/>
          <w:b/>
          <w:bCs/>
        </w:rPr>
      </w:pPr>
    </w:p>
    <w:p w14:paraId="6F491596" w14:textId="64D95D89" w:rsidR="007B6C57" w:rsidRPr="005B4528" w:rsidRDefault="007B6C57" w:rsidP="003B750D">
      <w:pPr>
        <w:spacing w:line="360" w:lineRule="auto"/>
        <w:jc w:val="both"/>
        <w:rPr>
          <w:rFonts w:ascii="Times New Roman" w:hAnsi="Times New Roman" w:cs="Times New Roman"/>
          <w:b/>
          <w:bCs/>
        </w:rPr>
      </w:pPr>
      <w:r w:rsidRPr="005B4528">
        <w:rPr>
          <w:rFonts w:ascii="Times New Roman" w:hAnsi="Times New Roman" w:cs="Times New Roman"/>
          <w:b/>
          <w:bCs/>
        </w:rPr>
        <w:t>ABSTRACT</w:t>
      </w:r>
    </w:p>
    <w:p w14:paraId="61CE0956" w14:textId="77777777" w:rsidR="007B6C57" w:rsidRPr="005B4528" w:rsidRDefault="00DD3C65" w:rsidP="003B750D">
      <w:pPr>
        <w:spacing w:line="360" w:lineRule="auto"/>
        <w:jc w:val="both"/>
        <w:rPr>
          <w:rFonts w:ascii="Times New Roman" w:hAnsi="Times New Roman" w:cs="Times New Roman"/>
        </w:rPr>
      </w:pPr>
      <w:r w:rsidRPr="005B4528">
        <w:rPr>
          <w:rFonts w:ascii="Times New Roman" w:hAnsi="Times New Roman" w:cs="Times New Roman"/>
        </w:rPr>
        <w:t>This study focused</w:t>
      </w:r>
      <w:r w:rsidR="00C77B29" w:rsidRPr="005B4528">
        <w:rPr>
          <w:rFonts w:ascii="Times New Roman" w:hAnsi="Times New Roman" w:cs="Times New Roman"/>
        </w:rPr>
        <w:t xml:space="preserve"> on evaluating the performance of a Sewage Treatment Plant (STP) located in Joginder Nagar, Himachal Pradesh. The plant operates using the extended aeration activated sludge process and has a treatment capacity of 1.735 million liters per day (MLD). To understand its efficiency, samples were collected monthly from both the inlet and outlet points of the plant between January and June 2025. These samples were tested for a range of physio-chemical parame</w:t>
      </w:r>
      <w:r w:rsidR="00A23611" w:rsidRPr="005B4528">
        <w:rPr>
          <w:rFonts w:ascii="Times New Roman" w:hAnsi="Times New Roman" w:cs="Times New Roman"/>
        </w:rPr>
        <w:t xml:space="preserve">ters </w:t>
      </w:r>
      <w:r w:rsidR="00C77B29" w:rsidRPr="005B4528">
        <w:rPr>
          <w:rFonts w:ascii="Times New Roman" w:hAnsi="Times New Roman" w:cs="Times New Roman"/>
        </w:rPr>
        <w:t>including Odor, Color, Temperature, pH, Free CO</w:t>
      </w:r>
      <w:r w:rsidR="00C77B29" w:rsidRPr="005B4528">
        <w:rPr>
          <w:rFonts w:ascii="Times New Roman" w:hAnsi="Times New Roman" w:cs="Times New Roman"/>
          <w:vertAlign w:val="subscript"/>
        </w:rPr>
        <w:t>2,</w:t>
      </w:r>
      <w:r w:rsidR="00C77B29" w:rsidRPr="005B4528">
        <w:rPr>
          <w:rFonts w:ascii="Times New Roman" w:hAnsi="Times New Roman" w:cs="Times New Roman"/>
        </w:rPr>
        <w:t xml:space="preserve"> Alkalinity, Total Dissolved Solids (TDS), Conductivity, Turbidity, Total Hardness (TH), Calcium, Magnesium, Biological Oxygen Demand (BOD), Chemical Oxygen Demand (COD) and Dissolved Oxygen (DO).  The findings revealed that while the STP moderately reduced turbidity, COD, and TDS levels, and showed some improvement in DO levels, it also exhibited several limitations. Persistent issues such as unpleasant odor, inconsistent BOD levels, and unaltered calcium and magnesium concentrations were observed in the treated effluent. These inconsistencies suggest that the treatment process is only partially successful in bringing the effluent within acceptable quality standards.</w:t>
      </w:r>
      <w:r w:rsidR="00FA7571" w:rsidRPr="005B4528">
        <w:rPr>
          <w:rFonts w:ascii="Times New Roman" w:hAnsi="Times New Roman" w:cs="Times New Roman"/>
        </w:rPr>
        <w:t xml:space="preserve"> </w:t>
      </w:r>
      <w:r w:rsidR="00C77B29" w:rsidRPr="005B4528">
        <w:rPr>
          <w:rFonts w:ascii="Times New Roman" w:hAnsi="Times New Roman" w:cs="Times New Roman"/>
        </w:rPr>
        <w:t>Overall, the study highlights that although the STP does offer some degree of pollutant reduction, there remains a need for further improvement, especially in terms of biological stability and odor control. Enhancing the system’s efficiency could help it better comply with Central Pollution Control Board (CPCB) norms and contribute to safer water discharge into the environment.</w:t>
      </w:r>
    </w:p>
    <w:p w14:paraId="38490D2C" w14:textId="77777777" w:rsidR="004C6B6A" w:rsidRPr="005B4528" w:rsidRDefault="007B6C57" w:rsidP="003B750D">
      <w:pPr>
        <w:spacing w:line="360" w:lineRule="auto"/>
        <w:jc w:val="both"/>
        <w:rPr>
          <w:rFonts w:ascii="Times New Roman" w:hAnsi="Times New Roman" w:cs="Times New Roman"/>
        </w:rPr>
      </w:pPr>
      <w:r w:rsidRPr="005B4528">
        <w:rPr>
          <w:rFonts w:ascii="Times New Roman" w:hAnsi="Times New Roman" w:cs="Times New Roman"/>
          <w:b/>
          <w:bCs/>
        </w:rPr>
        <w:lastRenderedPageBreak/>
        <w:t>Keywords:</w:t>
      </w:r>
      <w:r w:rsidRPr="005B4528">
        <w:rPr>
          <w:rFonts w:ascii="Times New Roman" w:hAnsi="Times New Roman" w:cs="Times New Roman"/>
        </w:rPr>
        <w:t xml:space="preserve"> Sewage treatment, Extended</w:t>
      </w:r>
      <w:r w:rsidR="00A23611" w:rsidRPr="005B4528">
        <w:rPr>
          <w:rFonts w:ascii="Times New Roman" w:hAnsi="Times New Roman" w:cs="Times New Roman"/>
        </w:rPr>
        <w:t xml:space="preserve"> aeration, BOD, COD, Wastewater and</w:t>
      </w:r>
      <w:r w:rsidRPr="005B4528">
        <w:rPr>
          <w:rFonts w:ascii="Times New Roman" w:hAnsi="Times New Roman" w:cs="Times New Roman"/>
        </w:rPr>
        <w:t xml:space="preserve"> Water quality</w:t>
      </w:r>
      <w:r w:rsidR="009F09BE" w:rsidRPr="005B4528">
        <w:rPr>
          <w:rFonts w:ascii="Times New Roman" w:hAnsi="Times New Roman" w:cs="Times New Roman"/>
        </w:rPr>
        <w:t>.</w:t>
      </w:r>
    </w:p>
    <w:p w14:paraId="658B1E29" w14:textId="77777777" w:rsidR="004C6B6A" w:rsidRPr="005B4528" w:rsidRDefault="007B6C57" w:rsidP="003B750D">
      <w:pPr>
        <w:spacing w:line="360" w:lineRule="auto"/>
        <w:jc w:val="both"/>
        <w:rPr>
          <w:rFonts w:ascii="Times New Roman" w:hAnsi="Times New Roman" w:cs="Times New Roman"/>
        </w:rPr>
      </w:pPr>
      <w:r w:rsidRPr="005B4528">
        <w:rPr>
          <w:rFonts w:ascii="Times New Roman" w:hAnsi="Times New Roman" w:cs="Times New Roman"/>
          <w:b/>
          <w:bCs/>
        </w:rPr>
        <w:t>INTRODUCTION</w:t>
      </w:r>
    </w:p>
    <w:p w14:paraId="2510E82F" w14:textId="77777777" w:rsidR="00B71D9F" w:rsidRPr="005B4528" w:rsidRDefault="007B6C57" w:rsidP="003B750D">
      <w:pPr>
        <w:spacing w:line="360" w:lineRule="auto"/>
        <w:jc w:val="both"/>
        <w:rPr>
          <w:rFonts w:ascii="Times New Roman" w:hAnsi="Times New Roman" w:cs="Times New Roman"/>
        </w:rPr>
      </w:pPr>
      <w:r w:rsidRPr="005B4528">
        <w:rPr>
          <w:rFonts w:ascii="Times New Roman" w:hAnsi="Times New Roman" w:cs="Times New Roman"/>
        </w:rPr>
        <w:t xml:space="preserve">Water is an essential natural resource necessary for sustaining life and ecosystem balance. </w:t>
      </w:r>
      <w:r w:rsidR="00F00DF5" w:rsidRPr="005B4528">
        <w:rPr>
          <w:rFonts w:ascii="Times New Roman" w:hAnsi="Times New Roman" w:cs="Times New Roman"/>
        </w:rPr>
        <w:t xml:space="preserve">It is one of the most important elements which is necessary for </w:t>
      </w:r>
      <w:proofErr w:type="gramStart"/>
      <w:r w:rsidR="00F00DF5" w:rsidRPr="005B4528">
        <w:rPr>
          <w:rFonts w:ascii="Times New Roman" w:hAnsi="Times New Roman" w:cs="Times New Roman"/>
        </w:rPr>
        <w:t>all  forms</w:t>
      </w:r>
      <w:proofErr w:type="gramEnd"/>
      <w:r w:rsidR="00F00DF5" w:rsidRPr="005B4528">
        <w:rPr>
          <w:rFonts w:ascii="Times New Roman" w:hAnsi="Times New Roman" w:cs="Times New Roman"/>
        </w:rPr>
        <w:t xml:space="preserve"> of life. But due to growing world, human activities are increasing day</w:t>
      </w:r>
      <w:r w:rsidR="004A1A42" w:rsidRPr="005B4528">
        <w:rPr>
          <w:rFonts w:ascii="Times New Roman" w:hAnsi="Times New Roman" w:cs="Times New Roman"/>
        </w:rPr>
        <w:t>-</w:t>
      </w:r>
      <w:r w:rsidR="00F00DF5" w:rsidRPr="005B4528">
        <w:rPr>
          <w:rFonts w:ascii="Times New Roman" w:hAnsi="Times New Roman" w:cs="Times New Roman"/>
        </w:rPr>
        <w:t>by</w:t>
      </w:r>
      <w:r w:rsidR="004A1A42" w:rsidRPr="005B4528">
        <w:rPr>
          <w:rFonts w:ascii="Times New Roman" w:hAnsi="Times New Roman" w:cs="Times New Roman"/>
        </w:rPr>
        <w:t>-</w:t>
      </w:r>
      <w:r w:rsidR="00F00DF5" w:rsidRPr="005B4528">
        <w:rPr>
          <w:rFonts w:ascii="Times New Roman" w:hAnsi="Times New Roman" w:cs="Times New Roman"/>
        </w:rPr>
        <w:t>day</w:t>
      </w:r>
      <w:r w:rsidR="004A1A42" w:rsidRPr="005B4528">
        <w:rPr>
          <w:rFonts w:ascii="Times New Roman" w:hAnsi="Times New Roman" w:cs="Times New Roman"/>
        </w:rPr>
        <w:t xml:space="preserve"> which is a huge concern </w:t>
      </w:r>
      <w:proofErr w:type="gramStart"/>
      <w:r w:rsidR="004A1A42" w:rsidRPr="005B4528">
        <w:rPr>
          <w:rFonts w:ascii="Times New Roman" w:hAnsi="Times New Roman" w:cs="Times New Roman"/>
        </w:rPr>
        <w:t>for  all</w:t>
      </w:r>
      <w:proofErr w:type="gramEnd"/>
      <w:r w:rsidR="004A1A42" w:rsidRPr="005B4528">
        <w:rPr>
          <w:rFonts w:ascii="Times New Roman" w:hAnsi="Times New Roman" w:cs="Times New Roman"/>
        </w:rPr>
        <w:t xml:space="preserve"> the living beings  that reside on earth. Excess use of water can cause water scarcity</w:t>
      </w:r>
      <w:r w:rsidR="00DF05C4" w:rsidRPr="005B4528">
        <w:rPr>
          <w:rFonts w:ascii="Times New Roman" w:hAnsi="Times New Roman" w:cs="Times New Roman"/>
        </w:rPr>
        <w:t xml:space="preserve"> and its contamination leads to the unavailability of quality water to the major population of the world (Sharma et al., 2025)</w:t>
      </w:r>
      <w:r w:rsidR="004A1A42" w:rsidRPr="005B4528">
        <w:rPr>
          <w:rFonts w:ascii="Times New Roman" w:hAnsi="Times New Roman" w:cs="Times New Roman"/>
        </w:rPr>
        <w:t xml:space="preserve">.  Deficiency of water in the body cause several diseases like dehydration, kidney stones, joint problems, skin disorders, low blood pressure etc. </w:t>
      </w:r>
    </w:p>
    <w:p w14:paraId="14A80C06" w14:textId="77777777" w:rsidR="00185A04" w:rsidRPr="005B4528" w:rsidRDefault="00185A04" w:rsidP="00185A04">
      <w:pPr>
        <w:spacing w:line="360" w:lineRule="auto"/>
        <w:jc w:val="both"/>
        <w:rPr>
          <w:rFonts w:ascii="Times New Roman" w:hAnsi="Times New Roman" w:cs="Times New Roman"/>
        </w:rPr>
      </w:pPr>
      <w:r w:rsidRPr="005B4528">
        <w:rPr>
          <w:rFonts w:ascii="Times New Roman" w:hAnsi="Times New Roman" w:cs="Times New Roman"/>
        </w:rPr>
        <w:t>Now a days pollution becomes a huge threat that is depleting our environment. Rapid urbanization and industrialization have contributed significantly to the contamination of water sources through increase degeneration of wastewater or sewage water. The United States Environmental Protection Agency (EPA, 2020) defines sewage water as the liquid waste that mostly comes from everyday household activities like using the toilet, washing dishes, taking showers, and doing laundry. Since this wastewater can pose serious risks to both the environment and public health, it needs to be properly treated before being released.</w:t>
      </w:r>
    </w:p>
    <w:p w14:paraId="0DE1F775" w14:textId="77777777" w:rsidR="00CD5B73" w:rsidRPr="005B4528" w:rsidRDefault="00B71D9F" w:rsidP="003B750D">
      <w:pPr>
        <w:spacing w:line="360" w:lineRule="auto"/>
        <w:jc w:val="both"/>
        <w:rPr>
          <w:rFonts w:ascii="Times New Roman" w:hAnsi="Times New Roman" w:cs="Times New Roman"/>
        </w:rPr>
      </w:pPr>
      <w:r w:rsidRPr="005B4528">
        <w:rPr>
          <w:rFonts w:ascii="Times New Roman" w:hAnsi="Times New Roman" w:cs="Times New Roman"/>
        </w:rPr>
        <w:t xml:space="preserve">Untreated or poorly treated sewage can have dangerous effects on human health. It can carry harmful bacteria and viruses that cause serious waterborne diseases like cholera, dysentery, and hepatitis. These illnesses spread easily through contaminated water, especially in areas where many people live close together. The World Health Organization (WHO, 2017) has highlighted the importance of proper sewage treatment as a key step in preventing these diseases. </w:t>
      </w:r>
      <w:r w:rsidR="00185A04" w:rsidRPr="005B4528">
        <w:rPr>
          <w:rFonts w:ascii="Times New Roman" w:hAnsi="Times New Roman" w:cs="Times New Roman"/>
        </w:rPr>
        <w:t xml:space="preserve"> </w:t>
      </w:r>
      <w:r w:rsidR="007B6C57" w:rsidRPr="005B4528">
        <w:rPr>
          <w:rFonts w:ascii="Times New Roman" w:hAnsi="Times New Roman" w:cs="Times New Roman"/>
        </w:rPr>
        <w:t xml:space="preserve"> Wastewater contains organic matter, pathogens, and heavy metals, which if released untreated, can lead to environmental degradation.</w:t>
      </w:r>
    </w:p>
    <w:p w14:paraId="30DEFC9A" w14:textId="77777777" w:rsidR="00D34AF1" w:rsidRPr="005B4528" w:rsidRDefault="00CD5B73" w:rsidP="003B750D">
      <w:pPr>
        <w:spacing w:line="360" w:lineRule="auto"/>
        <w:jc w:val="both"/>
        <w:rPr>
          <w:rFonts w:ascii="Times New Roman" w:hAnsi="Times New Roman" w:cs="Times New Roman"/>
        </w:rPr>
      </w:pPr>
      <w:r w:rsidRPr="005B4528">
        <w:rPr>
          <w:rFonts w:ascii="Times New Roman" w:hAnsi="Times New Roman" w:cs="Times New Roman"/>
        </w:rPr>
        <w:t xml:space="preserve">Sewage and industrial effluents, which are often rich in organic matter and essential plant nutrients, are increasingly being used in agriculture as a cost-effective method of disposal (Nath </w:t>
      </w:r>
      <w:r w:rsidRPr="005B4528">
        <w:rPr>
          <w:rFonts w:ascii="Times New Roman" w:hAnsi="Times New Roman" w:cs="Times New Roman"/>
          <w:i/>
          <w:iCs/>
        </w:rPr>
        <w:t>et al</w:t>
      </w:r>
      <w:r w:rsidRPr="005B4528">
        <w:rPr>
          <w:rFonts w:ascii="Times New Roman" w:hAnsi="Times New Roman" w:cs="Times New Roman"/>
        </w:rPr>
        <w:t xml:space="preserve">., 2009; </w:t>
      </w:r>
      <w:proofErr w:type="spellStart"/>
      <w:r w:rsidRPr="005B4528">
        <w:rPr>
          <w:rFonts w:ascii="Times New Roman" w:hAnsi="Times New Roman" w:cs="Times New Roman"/>
        </w:rPr>
        <w:t>Nagajyothi</w:t>
      </w:r>
      <w:proofErr w:type="spellEnd"/>
      <w:r w:rsidRPr="005B4528">
        <w:rPr>
          <w:rFonts w:ascii="Times New Roman" w:hAnsi="Times New Roman" w:cs="Times New Roman"/>
        </w:rPr>
        <w:t xml:space="preserve"> et al., 2009).</w:t>
      </w:r>
    </w:p>
    <w:p w14:paraId="758D6327" w14:textId="77777777" w:rsidR="00CD5B73" w:rsidRPr="005B4528" w:rsidRDefault="00CD5B73" w:rsidP="003B750D">
      <w:pPr>
        <w:spacing w:line="360" w:lineRule="auto"/>
        <w:jc w:val="both"/>
        <w:rPr>
          <w:rFonts w:ascii="Times New Roman" w:hAnsi="Times New Roman" w:cs="Times New Roman"/>
        </w:rPr>
      </w:pPr>
      <w:r w:rsidRPr="005B4528">
        <w:rPr>
          <w:rFonts w:ascii="Times New Roman" w:hAnsi="Times New Roman" w:cs="Times New Roman"/>
        </w:rPr>
        <w:t xml:space="preserve"> Instead of letting these wastewaters go untreated into water bodies, they are being diverted to farmlands, where they can serve as a source of irrigation and natural fertilization. This approach not only helps reduce the cost of waste management for industries and municipalities but also </w:t>
      </w:r>
      <w:r w:rsidRPr="005B4528">
        <w:rPr>
          <w:rFonts w:ascii="Times New Roman" w:hAnsi="Times New Roman" w:cs="Times New Roman"/>
        </w:rPr>
        <w:lastRenderedPageBreak/>
        <w:t>offers farmers an affordable alternative to chemical fertilizers. However, it’s important to ensure that such water is properly treated to prevent harmful impacts on soil quality, crops, and human health.</w:t>
      </w:r>
    </w:p>
    <w:p w14:paraId="4C21CCBF" w14:textId="77777777" w:rsidR="00CD5B73" w:rsidRPr="005B4528" w:rsidRDefault="00CD5B73" w:rsidP="003B750D">
      <w:pPr>
        <w:spacing w:line="360" w:lineRule="auto"/>
        <w:jc w:val="both"/>
        <w:rPr>
          <w:rFonts w:ascii="Times New Roman" w:hAnsi="Times New Roman" w:cs="Times New Roman"/>
        </w:rPr>
      </w:pPr>
      <w:r w:rsidRPr="005B4528">
        <w:rPr>
          <w:rFonts w:ascii="Times New Roman" w:hAnsi="Times New Roman" w:cs="Times New Roman"/>
        </w:rPr>
        <w:t>Sewage Treatment Plants (STPs) are established to mitigate this threat. These facilities apply physical, chemical, and biological methods to remove contaminants before discharging the treated water into natural water bodies. The sewage water is collected from different areas by pipes and then transported to the sewage treatment plants (STPs). These plants treat this waste water in order to reduce the contamination</w:t>
      </w:r>
      <w:r w:rsidR="00185A04" w:rsidRPr="005B4528">
        <w:rPr>
          <w:rFonts w:ascii="Times New Roman" w:hAnsi="Times New Roman" w:cs="Times New Roman"/>
        </w:rPr>
        <w:t xml:space="preserve">. </w:t>
      </w:r>
      <w:r w:rsidRPr="005B4528">
        <w:rPr>
          <w:rFonts w:ascii="Times New Roman" w:hAnsi="Times New Roman" w:cs="Times New Roman"/>
        </w:rPr>
        <w:t xml:space="preserve">This process </w:t>
      </w:r>
      <w:r w:rsidR="001C461A" w:rsidRPr="005B4528">
        <w:rPr>
          <w:rFonts w:ascii="Times New Roman" w:hAnsi="Times New Roman" w:cs="Times New Roman"/>
        </w:rPr>
        <w:t>includes</w:t>
      </w:r>
      <w:r w:rsidRPr="005B4528">
        <w:rPr>
          <w:rFonts w:ascii="Times New Roman" w:hAnsi="Times New Roman" w:cs="Times New Roman"/>
        </w:rPr>
        <w:t xml:space="preserve"> physical, chemical and biological process in order to remove the contaminants.</w:t>
      </w:r>
    </w:p>
    <w:p w14:paraId="47B8A5B6" w14:textId="77777777" w:rsidR="001C461A" w:rsidRPr="005B4528" w:rsidRDefault="001C461A" w:rsidP="003B750D">
      <w:pPr>
        <w:spacing w:line="360" w:lineRule="auto"/>
        <w:jc w:val="both"/>
        <w:rPr>
          <w:rFonts w:ascii="Times New Roman" w:hAnsi="Times New Roman" w:cs="Times New Roman"/>
        </w:rPr>
      </w:pPr>
      <w:r w:rsidRPr="005B4528">
        <w:rPr>
          <w:rFonts w:ascii="Times New Roman" w:hAnsi="Times New Roman" w:cs="Times New Roman"/>
        </w:rPr>
        <w:t>Sewage treatment is a step-by-step process designed to clean wastewater before it's released back into the environment. It generally begins with primary treatment, where large debris and solid waste are physically removed, and heavier particles are allowed to settle at the bottom (Metcalf &amp; Eddy, 2014). In secondary treatment microbes are added through processes like activated sludge or biofilm reactors. These tiny organisms break down the remaining organic matter in the water (</w:t>
      </w:r>
      <w:proofErr w:type="spellStart"/>
      <w:r w:rsidRPr="005B4528">
        <w:rPr>
          <w:rFonts w:ascii="Times New Roman" w:hAnsi="Times New Roman" w:cs="Times New Roman"/>
        </w:rPr>
        <w:t>Tchobanoglous</w:t>
      </w:r>
      <w:proofErr w:type="spellEnd"/>
      <w:r w:rsidRPr="005B4528">
        <w:rPr>
          <w:rFonts w:ascii="Times New Roman" w:hAnsi="Times New Roman" w:cs="Times New Roman"/>
        </w:rPr>
        <w:t xml:space="preserve"> </w:t>
      </w:r>
      <w:r w:rsidRPr="005B4528">
        <w:rPr>
          <w:rFonts w:ascii="Times New Roman" w:hAnsi="Times New Roman" w:cs="Times New Roman"/>
          <w:i/>
          <w:iCs/>
        </w:rPr>
        <w:t>et al.,</w:t>
      </w:r>
      <w:r w:rsidRPr="005B4528">
        <w:rPr>
          <w:rFonts w:ascii="Times New Roman" w:hAnsi="Times New Roman" w:cs="Times New Roman"/>
        </w:rPr>
        <w:t xml:space="preserve"> 2014). In tertiary treatment, the water is further filtered and disinfected to make sure it’s safe and clean enough to return to nature or be reused (EPA, 2012).</w:t>
      </w:r>
    </w:p>
    <w:p w14:paraId="11BA074B" w14:textId="77777777" w:rsidR="004710A3" w:rsidRPr="005B4528" w:rsidRDefault="000A48B1" w:rsidP="003B750D">
      <w:pPr>
        <w:spacing w:line="360" w:lineRule="auto"/>
        <w:jc w:val="both"/>
        <w:rPr>
          <w:rFonts w:ascii="Times New Roman" w:hAnsi="Times New Roman" w:cs="Times New Roman"/>
        </w:rPr>
      </w:pPr>
      <w:r w:rsidRPr="005B4528">
        <w:rPr>
          <w:rFonts w:ascii="Times New Roman" w:hAnsi="Times New Roman" w:cs="Times New Roman"/>
        </w:rPr>
        <w:t>The treated waste</w:t>
      </w:r>
      <w:r w:rsidR="00D34AF1" w:rsidRPr="005B4528">
        <w:rPr>
          <w:rFonts w:ascii="Times New Roman" w:hAnsi="Times New Roman" w:cs="Times New Roman"/>
        </w:rPr>
        <w:t xml:space="preserve"> can be used for agricultural purpose.</w:t>
      </w:r>
      <w:r w:rsidR="00185A04" w:rsidRPr="005B4528">
        <w:rPr>
          <w:rFonts w:ascii="Times New Roman" w:hAnsi="Times New Roman" w:cs="Times New Roman"/>
        </w:rPr>
        <w:t xml:space="preserve"> </w:t>
      </w:r>
      <w:r w:rsidR="00B71D9F" w:rsidRPr="005B4528">
        <w:rPr>
          <w:rFonts w:ascii="Times New Roman" w:hAnsi="Times New Roman" w:cs="Times New Roman"/>
        </w:rPr>
        <w:t>Sewage Treatment Plants (STPs) play a critical role in safeguarding water resources, public health, and ecological integrity. When properly designed and efficiently operated, these systems mitigate the spread of waterborne pathogens, significantly lower pollutant loads discharged into receiving water bodies, and support the principles of sustainable water resource management (</w:t>
      </w:r>
      <w:proofErr w:type="spellStart"/>
      <w:r w:rsidR="00B71D9F" w:rsidRPr="005B4528">
        <w:rPr>
          <w:rFonts w:ascii="Times New Roman" w:hAnsi="Times New Roman" w:cs="Times New Roman"/>
        </w:rPr>
        <w:t>Gikas</w:t>
      </w:r>
      <w:proofErr w:type="spellEnd"/>
      <w:r w:rsidR="00B71D9F" w:rsidRPr="005B4528">
        <w:rPr>
          <w:rFonts w:ascii="Times New Roman" w:hAnsi="Times New Roman" w:cs="Times New Roman"/>
        </w:rPr>
        <w:t xml:space="preserve"> &amp; </w:t>
      </w:r>
      <w:proofErr w:type="spellStart"/>
      <w:r w:rsidR="00B71D9F" w:rsidRPr="005B4528">
        <w:rPr>
          <w:rFonts w:ascii="Times New Roman" w:hAnsi="Times New Roman" w:cs="Times New Roman"/>
        </w:rPr>
        <w:t>Tchobanoglous</w:t>
      </w:r>
      <w:proofErr w:type="spellEnd"/>
      <w:r w:rsidR="00B71D9F" w:rsidRPr="005B4528">
        <w:rPr>
          <w:rFonts w:ascii="Times New Roman" w:hAnsi="Times New Roman" w:cs="Times New Roman"/>
        </w:rPr>
        <w:t>, 2015).</w:t>
      </w:r>
    </w:p>
    <w:p w14:paraId="28B6895C" w14:textId="77777777" w:rsidR="001C461A" w:rsidRPr="005B4528" w:rsidRDefault="000A48B1" w:rsidP="003B750D">
      <w:pPr>
        <w:spacing w:line="360" w:lineRule="auto"/>
        <w:jc w:val="both"/>
        <w:rPr>
          <w:rFonts w:ascii="Times New Roman" w:hAnsi="Times New Roman" w:cs="Times New Roman"/>
        </w:rPr>
      </w:pPr>
      <w:r w:rsidRPr="005B4528">
        <w:rPr>
          <w:rFonts w:ascii="Times New Roman" w:hAnsi="Times New Roman" w:cs="Times New Roman"/>
          <w:b/>
          <w:bCs/>
        </w:rPr>
        <w:t>STUDY AREA</w:t>
      </w:r>
    </w:p>
    <w:p w14:paraId="7DC06257" w14:textId="77777777" w:rsidR="00C01094" w:rsidRPr="005B4528" w:rsidRDefault="005231F2" w:rsidP="003B750D">
      <w:pPr>
        <w:spacing w:line="360" w:lineRule="auto"/>
        <w:jc w:val="both"/>
        <w:rPr>
          <w:rFonts w:ascii="Times New Roman" w:hAnsi="Times New Roman" w:cs="Times New Roman"/>
        </w:rPr>
      </w:pPr>
      <w:r w:rsidRPr="005B4528">
        <w:rPr>
          <w:rFonts w:ascii="Times New Roman" w:hAnsi="Times New Roman" w:cs="Times New Roman"/>
        </w:rPr>
        <w:t>Joginder Nagar is a sub district in Mandi district, Himachal Pradesh. The sewage Treatment Plant of Joginder Nagar is located in a small village named “</w:t>
      </w:r>
      <w:proofErr w:type="spellStart"/>
      <w:r w:rsidRPr="005B4528">
        <w:rPr>
          <w:rFonts w:ascii="Times New Roman" w:hAnsi="Times New Roman" w:cs="Times New Roman"/>
        </w:rPr>
        <w:t>Majharnu</w:t>
      </w:r>
      <w:proofErr w:type="spellEnd"/>
      <w:r w:rsidRPr="005B4528">
        <w:rPr>
          <w:rFonts w:ascii="Times New Roman" w:hAnsi="Times New Roman" w:cs="Times New Roman"/>
        </w:rPr>
        <w:t xml:space="preserve">” on the bank </w:t>
      </w:r>
      <w:proofErr w:type="gramStart"/>
      <w:r w:rsidRPr="005B4528">
        <w:rPr>
          <w:rFonts w:ascii="Times New Roman" w:hAnsi="Times New Roman" w:cs="Times New Roman"/>
        </w:rPr>
        <w:t>of  “</w:t>
      </w:r>
      <w:proofErr w:type="gramEnd"/>
      <w:r w:rsidRPr="005B4528">
        <w:rPr>
          <w:rFonts w:ascii="Times New Roman" w:hAnsi="Times New Roman" w:cs="Times New Roman"/>
        </w:rPr>
        <w:t>Neri Khad”, a tributary of river “Beas”. The plant managed by “Jal Shakti Division” of Himachal Pradesh</w:t>
      </w:r>
      <w:r w:rsidR="00185A04" w:rsidRPr="005B4528">
        <w:rPr>
          <w:rFonts w:ascii="Times New Roman" w:hAnsi="Times New Roman" w:cs="Times New Roman"/>
        </w:rPr>
        <w:t xml:space="preserve"> g</w:t>
      </w:r>
      <w:r w:rsidR="005E4148" w:rsidRPr="005B4528">
        <w:rPr>
          <w:rFonts w:ascii="Times New Roman" w:hAnsi="Times New Roman" w:cs="Times New Roman"/>
        </w:rPr>
        <w:t>overnment.</w:t>
      </w:r>
      <w:r w:rsidR="000A48B1" w:rsidRPr="005B4528">
        <w:rPr>
          <w:rFonts w:ascii="Times New Roman" w:hAnsi="Times New Roman" w:cs="Times New Roman"/>
        </w:rPr>
        <w:t xml:space="preserve"> Its capacity is 1.735 MLD (</w:t>
      </w:r>
      <w:r w:rsidRPr="005B4528">
        <w:rPr>
          <w:rFonts w:ascii="Times New Roman" w:hAnsi="Times New Roman" w:cs="Times New Roman"/>
        </w:rPr>
        <w:t xml:space="preserve">Million Liters Per Day) of waste water. </w:t>
      </w:r>
      <w:r w:rsidR="00232183" w:rsidRPr="005B4528">
        <w:rPr>
          <w:rFonts w:ascii="Times New Roman" w:hAnsi="Times New Roman" w:cs="Times New Roman"/>
        </w:rPr>
        <w:t xml:space="preserve">The STP of Joginder Nagar is an extended aeration type of sewage treatment plant, a type of activated sludge process. </w:t>
      </w:r>
    </w:p>
    <w:p w14:paraId="58898E3A" w14:textId="77777777" w:rsidR="007B6C57" w:rsidRPr="005B4528" w:rsidRDefault="00C01094" w:rsidP="003B750D">
      <w:pPr>
        <w:spacing w:line="360" w:lineRule="auto"/>
        <w:jc w:val="both"/>
        <w:rPr>
          <w:rFonts w:ascii="Times New Roman" w:hAnsi="Times New Roman" w:cs="Times New Roman"/>
        </w:rPr>
      </w:pPr>
      <w:r w:rsidRPr="005B4528">
        <w:rPr>
          <w:rFonts w:ascii="Times New Roman" w:hAnsi="Times New Roman" w:cs="Times New Roman"/>
        </w:rPr>
        <w:lastRenderedPageBreak/>
        <w:t>A key feature of these systems is the maintenance of a relatively high concentration of mixed liquor suspended solids (MLSS), typically ranging from 3,000 to 6,000 mg/L, which enhances the stability and efficiency of the treatment process (Wang et al., 2019). One of the notable advantages of the extended aeration process is its ability to produce very low amounts of excess sludge. This is because the system promotes complete oxidation of organic matter, significantly reducing the volume of sludge that needs to be handled and disposed of, thereby lowering operational and maintenance costs (Metcalf &amp; Eddy, 2014).</w:t>
      </w:r>
    </w:p>
    <w:p w14:paraId="30223331" w14:textId="77777777" w:rsidR="00C01094" w:rsidRPr="005B4528" w:rsidRDefault="007B6C57" w:rsidP="003B750D">
      <w:pPr>
        <w:spacing w:line="360" w:lineRule="auto"/>
        <w:jc w:val="both"/>
        <w:rPr>
          <w:rFonts w:ascii="Times New Roman" w:hAnsi="Times New Roman" w:cs="Times New Roman"/>
          <w:b/>
          <w:bCs/>
        </w:rPr>
      </w:pPr>
      <w:r w:rsidRPr="005B4528">
        <w:rPr>
          <w:rFonts w:ascii="Times New Roman" w:hAnsi="Times New Roman" w:cs="Times New Roman"/>
          <w:b/>
          <w:bCs/>
        </w:rPr>
        <w:t>MATERIALS AND METHODS</w:t>
      </w:r>
    </w:p>
    <w:p w14:paraId="2B12BCC3" w14:textId="77777777" w:rsidR="007B6C57" w:rsidRPr="005B4528" w:rsidRDefault="007B6C57" w:rsidP="003B750D">
      <w:pPr>
        <w:spacing w:line="360" w:lineRule="auto"/>
        <w:jc w:val="both"/>
        <w:rPr>
          <w:rFonts w:ascii="Times New Roman" w:hAnsi="Times New Roman" w:cs="Times New Roman"/>
          <w:i/>
          <w:iCs/>
        </w:rPr>
      </w:pPr>
      <w:r w:rsidRPr="005B4528">
        <w:rPr>
          <w:rFonts w:ascii="Times New Roman" w:hAnsi="Times New Roman" w:cs="Times New Roman"/>
          <w:i/>
          <w:iCs/>
        </w:rPr>
        <w:t>Sample collection</w:t>
      </w:r>
    </w:p>
    <w:p w14:paraId="08E05624" w14:textId="77777777" w:rsidR="007B6C57" w:rsidRPr="005B4528" w:rsidRDefault="007B6C57" w:rsidP="003B750D">
      <w:pPr>
        <w:spacing w:line="360" w:lineRule="auto"/>
        <w:jc w:val="both"/>
        <w:rPr>
          <w:rFonts w:ascii="Times New Roman" w:hAnsi="Times New Roman" w:cs="Times New Roman"/>
        </w:rPr>
      </w:pPr>
      <w:r w:rsidRPr="005B4528">
        <w:rPr>
          <w:rFonts w:ascii="Times New Roman" w:hAnsi="Times New Roman" w:cs="Times New Roman"/>
        </w:rPr>
        <w:t>Samples were collected monthly from the STP’s inlet and outlet between 9:00 AM and 11:00 AM using clean PET bottles. Samples were tested at the</w:t>
      </w:r>
      <w:r w:rsidR="00185A04" w:rsidRPr="005B4528">
        <w:rPr>
          <w:rFonts w:ascii="Times New Roman" w:hAnsi="Times New Roman" w:cs="Times New Roman"/>
        </w:rPr>
        <w:t xml:space="preserve"> Sri Sai University, </w:t>
      </w:r>
      <w:proofErr w:type="gramStart"/>
      <w:r w:rsidR="00185A04" w:rsidRPr="005B4528">
        <w:rPr>
          <w:rFonts w:ascii="Times New Roman" w:hAnsi="Times New Roman" w:cs="Times New Roman"/>
        </w:rPr>
        <w:t xml:space="preserve">laboratory </w:t>
      </w:r>
      <w:r w:rsidRPr="005B4528">
        <w:rPr>
          <w:rFonts w:ascii="Times New Roman" w:hAnsi="Times New Roman" w:cs="Times New Roman"/>
        </w:rPr>
        <w:t xml:space="preserve"> </w:t>
      </w:r>
      <w:r w:rsidR="00185A04" w:rsidRPr="005B4528">
        <w:rPr>
          <w:rFonts w:ascii="Times New Roman" w:hAnsi="Times New Roman" w:cs="Times New Roman"/>
        </w:rPr>
        <w:t>and</w:t>
      </w:r>
      <w:proofErr w:type="gramEnd"/>
      <w:r w:rsidR="00185A04" w:rsidRPr="005B4528">
        <w:rPr>
          <w:rFonts w:ascii="Times New Roman" w:hAnsi="Times New Roman" w:cs="Times New Roman"/>
        </w:rPr>
        <w:t xml:space="preserve"> </w:t>
      </w:r>
      <w:r w:rsidRPr="005B4528">
        <w:rPr>
          <w:rFonts w:ascii="Times New Roman" w:hAnsi="Times New Roman" w:cs="Times New Roman"/>
        </w:rPr>
        <w:t>IPH Department Laboratory, Palampur.</w:t>
      </w:r>
    </w:p>
    <w:p w14:paraId="215559A1" w14:textId="77777777" w:rsidR="007B6C57" w:rsidRPr="005B4528" w:rsidRDefault="007B6C57" w:rsidP="003B750D">
      <w:pPr>
        <w:spacing w:line="360" w:lineRule="auto"/>
        <w:jc w:val="both"/>
        <w:rPr>
          <w:rFonts w:ascii="Times New Roman" w:hAnsi="Times New Roman" w:cs="Times New Roman"/>
          <w:i/>
          <w:iCs/>
        </w:rPr>
      </w:pPr>
      <w:r w:rsidRPr="005B4528">
        <w:rPr>
          <w:rFonts w:ascii="Times New Roman" w:hAnsi="Times New Roman" w:cs="Times New Roman"/>
          <w:i/>
          <w:iCs/>
        </w:rPr>
        <w:t>Parameters measured</w:t>
      </w:r>
    </w:p>
    <w:p w14:paraId="625C31F4" w14:textId="77777777" w:rsidR="007B6C57" w:rsidRPr="005B4528" w:rsidRDefault="007B6C57" w:rsidP="003B750D">
      <w:pPr>
        <w:spacing w:line="360" w:lineRule="auto"/>
        <w:jc w:val="both"/>
        <w:rPr>
          <w:rFonts w:ascii="Times New Roman" w:hAnsi="Times New Roman" w:cs="Times New Roman"/>
        </w:rPr>
      </w:pPr>
      <w:r w:rsidRPr="005B4528">
        <w:rPr>
          <w:rFonts w:ascii="Times New Roman" w:hAnsi="Times New Roman" w:cs="Times New Roman"/>
        </w:rPr>
        <w:t xml:space="preserve">The following parameters were analyzed using standard </w:t>
      </w:r>
      <w:proofErr w:type="gramStart"/>
      <w:r w:rsidRPr="005B4528">
        <w:rPr>
          <w:rFonts w:ascii="Times New Roman" w:hAnsi="Times New Roman" w:cs="Times New Roman"/>
        </w:rPr>
        <w:t xml:space="preserve">methods </w:t>
      </w:r>
      <w:r w:rsidR="00607B43" w:rsidRPr="005B4528">
        <w:rPr>
          <w:rFonts w:ascii="Times New Roman" w:hAnsi="Times New Roman" w:cs="Times New Roman"/>
        </w:rPr>
        <w:t>:</w:t>
      </w:r>
      <w:proofErr w:type="gramEnd"/>
      <w:r w:rsidRPr="005B4528">
        <w:rPr>
          <w:rFonts w:ascii="Times New Roman" w:hAnsi="Times New Roman" w:cs="Times New Roman"/>
        </w:rPr>
        <w:t xml:space="preserve"> odor, color, temperature, pH, free CO₂, alkalinity, TDS, conductivity, turbidity, total hardness, calcium, magnesium, BOD, COD, and DO.</w:t>
      </w:r>
    </w:p>
    <w:p w14:paraId="05F54DE3" w14:textId="77777777" w:rsidR="007B6C57" w:rsidRPr="005B4528" w:rsidRDefault="007B6C57" w:rsidP="003B750D">
      <w:pPr>
        <w:spacing w:line="360" w:lineRule="auto"/>
        <w:jc w:val="both"/>
        <w:rPr>
          <w:rFonts w:ascii="Times New Roman" w:hAnsi="Times New Roman" w:cs="Times New Roman"/>
          <w:i/>
          <w:iCs/>
        </w:rPr>
      </w:pPr>
      <w:r w:rsidRPr="005B4528">
        <w:rPr>
          <w:rFonts w:ascii="Times New Roman" w:hAnsi="Times New Roman" w:cs="Times New Roman"/>
          <w:i/>
          <w:iCs/>
        </w:rPr>
        <w:t>Instrumentation and analysis</w:t>
      </w:r>
    </w:p>
    <w:p w14:paraId="2EB9B4B0" w14:textId="77777777" w:rsidR="007B6C57" w:rsidRPr="005B4528" w:rsidRDefault="007B6C57" w:rsidP="003B750D">
      <w:pPr>
        <w:pStyle w:val="ListParagraph"/>
        <w:numPr>
          <w:ilvl w:val="0"/>
          <w:numId w:val="2"/>
        </w:numPr>
        <w:spacing w:line="360" w:lineRule="auto"/>
        <w:jc w:val="both"/>
        <w:rPr>
          <w:rFonts w:ascii="Times New Roman" w:hAnsi="Times New Roman" w:cs="Times New Roman"/>
        </w:rPr>
      </w:pPr>
      <w:r w:rsidRPr="005B4528">
        <w:rPr>
          <w:rFonts w:ascii="Times New Roman" w:hAnsi="Times New Roman" w:cs="Times New Roman"/>
        </w:rPr>
        <w:t>Odor – Sence of Smell</w:t>
      </w:r>
    </w:p>
    <w:p w14:paraId="255598C2" w14:textId="77777777" w:rsidR="007B6C57" w:rsidRPr="005B4528" w:rsidRDefault="007B6C57" w:rsidP="003B750D">
      <w:pPr>
        <w:pStyle w:val="ListParagraph"/>
        <w:numPr>
          <w:ilvl w:val="0"/>
          <w:numId w:val="2"/>
        </w:numPr>
        <w:spacing w:line="360" w:lineRule="auto"/>
        <w:jc w:val="both"/>
        <w:rPr>
          <w:rFonts w:ascii="Times New Roman" w:hAnsi="Times New Roman" w:cs="Times New Roman"/>
        </w:rPr>
      </w:pPr>
      <w:r w:rsidRPr="005B4528">
        <w:rPr>
          <w:rFonts w:ascii="Times New Roman" w:hAnsi="Times New Roman" w:cs="Times New Roman"/>
        </w:rPr>
        <w:t>Color – Color Chart</w:t>
      </w:r>
    </w:p>
    <w:p w14:paraId="5FD215A1" w14:textId="77777777" w:rsidR="007B6C57" w:rsidRPr="005B4528" w:rsidRDefault="007B6C57" w:rsidP="003B750D">
      <w:pPr>
        <w:pStyle w:val="ListParagraph"/>
        <w:numPr>
          <w:ilvl w:val="0"/>
          <w:numId w:val="2"/>
        </w:numPr>
        <w:spacing w:line="360" w:lineRule="auto"/>
        <w:jc w:val="both"/>
        <w:rPr>
          <w:rFonts w:ascii="Times New Roman" w:hAnsi="Times New Roman" w:cs="Times New Roman"/>
        </w:rPr>
      </w:pPr>
      <w:r w:rsidRPr="005B4528">
        <w:rPr>
          <w:rFonts w:ascii="Times New Roman" w:hAnsi="Times New Roman" w:cs="Times New Roman"/>
        </w:rPr>
        <w:t>Temperature – Digital Thermometer</w:t>
      </w:r>
    </w:p>
    <w:p w14:paraId="1994A273" w14:textId="77777777" w:rsidR="007B6C57" w:rsidRPr="005B4528" w:rsidRDefault="007B6C57" w:rsidP="003B750D">
      <w:pPr>
        <w:pStyle w:val="ListParagraph"/>
        <w:numPr>
          <w:ilvl w:val="0"/>
          <w:numId w:val="2"/>
        </w:numPr>
        <w:spacing w:line="360" w:lineRule="auto"/>
        <w:jc w:val="both"/>
        <w:rPr>
          <w:rFonts w:ascii="Times New Roman" w:hAnsi="Times New Roman" w:cs="Times New Roman"/>
        </w:rPr>
      </w:pPr>
      <w:r w:rsidRPr="005B4528">
        <w:rPr>
          <w:rFonts w:ascii="Times New Roman" w:hAnsi="Times New Roman" w:cs="Times New Roman"/>
        </w:rPr>
        <w:t>pH – Digital pH meter</w:t>
      </w:r>
    </w:p>
    <w:p w14:paraId="7628CAE6" w14:textId="77777777" w:rsidR="007B6C57" w:rsidRPr="005B4528" w:rsidRDefault="007B6C57" w:rsidP="003B750D">
      <w:pPr>
        <w:pStyle w:val="ListParagraph"/>
        <w:numPr>
          <w:ilvl w:val="0"/>
          <w:numId w:val="2"/>
        </w:numPr>
        <w:spacing w:line="360" w:lineRule="auto"/>
        <w:jc w:val="both"/>
        <w:rPr>
          <w:rFonts w:ascii="Times New Roman" w:hAnsi="Times New Roman" w:cs="Times New Roman"/>
        </w:rPr>
      </w:pPr>
      <w:r w:rsidRPr="005B4528">
        <w:rPr>
          <w:rFonts w:ascii="Times New Roman" w:hAnsi="Times New Roman" w:cs="Times New Roman"/>
        </w:rPr>
        <w:t>Free CO</w:t>
      </w:r>
      <w:r w:rsidRPr="005B4528">
        <w:rPr>
          <w:rFonts w:ascii="Times New Roman" w:hAnsi="Times New Roman" w:cs="Times New Roman"/>
          <w:vertAlign w:val="subscript"/>
        </w:rPr>
        <w:t>2</w:t>
      </w:r>
      <w:r w:rsidRPr="005B4528">
        <w:rPr>
          <w:rFonts w:ascii="Times New Roman" w:hAnsi="Times New Roman" w:cs="Times New Roman"/>
        </w:rPr>
        <w:t xml:space="preserve"> – Titration </w:t>
      </w:r>
    </w:p>
    <w:p w14:paraId="15FCD171" w14:textId="77777777" w:rsidR="007B6C57" w:rsidRPr="005B4528" w:rsidRDefault="007B6C57" w:rsidP="003B750D">
      <w:pPr>
        <w:pStyle w:val="ListParagraph"/>
        <w:numPr>
          <w:ilvl w:val="0"/>
          <w:numId w:val="2"/>
        </w:numPr>
        <w:spacing w:line="360" w:lineRule="auto"/>
        <w:jc w:val="both"/>
        <w:rPr>
          <w:rFonts w:ascii="Times New Roman" w:hAnsi="Times New Roman" w:cs="Times New Roman"/>
        </w:rPr>
      </w:pPr>
      <w:r w:rsidRPr="005B4528">
        <w:rPr>
          <w:rFonts w:ascii="Times New Roman" w:hAnsi="Times New Roman" w:cs="Times New Roman"/>
        </w:rPr>
        <w:t xml:space="preserve">Alkalinity – Titration </w:t>
      </w:r>
    </w:p>
    <w:p w14:paraId="1EFBA782" w14:textId="77777777" w:rsidR="007B6C57" w:rsidRPr="005B4528" w:rsidRDefault="007B6C57" w:rsidP="003B750D">
      <w:pPr>
        <w:pStyle w:val="ListParagraph"/>
        <w:numPr>
          <w:ilvl w:val="0"/>
          <w:numId w:val="2"/>
        </w:numPr>
        <w:spacing w:line="360" w:lineRule="auto"/>
        <w:jc w:val="both"/>
        <w:rPr>
          <w:rFonts w:ascii="Times New Roman" w:hAnsi="Times New Roman" w:cs="Times New Roman"/>
        </w:rPr>
      </w:pPr>
      <w:r w:rsidRPr="005B4528">
        <w:rPr>
          <w:rFonts w:ascii="Times New Roman" w:hAnsi="Times New Roman" w:cs="Times New Roman"/>
        </w:rPr>
        <w:t>TDS – Digital TDS Meter</w:t>
      </w:r>
    </w:p>
    <w:p w14:paraId="3755D655" w14:textId="77777777" w:rsidR="007B6C57" w:rsidRPr="005B4528" w:rsidRDefault="007B6C57" w:rsidP="003B750D">
      <w:pPr>
        <w:pStyle w:val="ListParagraph"/>
        <w:numPr>
          <w:ilvl w:val="0"/>
          <w:numId w:val="2"/>
        </w:numPr>
        <w:spacing w:line="360" w:lineRule="auto"/>
        <w:jc w:val="both"/>
        <w:rPr>
          <w:rFonts w:ascii="Times New Roman" w:hAnsi="Times New Roman" w:cs="Times New Roman"/>
        </w:rPr>
      </w:pPr>
      <w:r w:rsidRPr="005B4528">
        <w:rPr>
          <w:rFonts w:ascii="Times New Roman" w:hAnsi="Times New Roman" w:cs="Times New Roman"/>
        </w:rPr>
        <w:t>Turbidity – Nephelometer</w:t>
      </w:r>
    </w:p>
    <w:p w14:paraId="730C45E1" w14:textId="77777777" w:rsidR="007B6C57" w:rsidRPr="005B4528" w:rsidRDefault="007B6C57" w:rsidP="003B750D">
      <w:pPr>
        <w:pStyle w:val="ListParagraph"/>
        <w:numPr>
          <w:ilvl w:val="0"/>
          <w:numId w:val="2"/>
        </w:numPr>
        <w:spacing w:line="360" w:lineRule="auto"/>
        <w:jc w:val="both"/>
        <w:rPr>
          <w:rFonts w:ascii="Times New Roman" w:hAnsi="Times New Roman" w:cs="Times New Roman"/>
        </w:rPr>
      </w:pPr>
      <w:r w:rsidRPr="005B4528">
        <w:rPr>
          <w:rFonts w:ascii="Times New Roman" w:hAnsi="Times New Roman" w:cs="Times New Roman"/>
        </w:rPr>
        <w:t>Total H</w:t>
      </w:r>
      <w:r w:rsidR="00220F67" w:rsidRPr="005B4528">
        <w:rPr>
          <w:rFonts w:ascii="Times New Roman" w:hAnsi="Times New Roman" w:cs="Times New Roman"/>
        </w:rPr>
        <w:t>a</w:t>
      </w:r>
      <w:r w:rsidRPr="005B4528">
        <w:rPr>
          <w:rFonts w:ascii="Times New Roman" w:hAnsi="Times New Roman" w:cs="Times New Roman"/>
        </w:rPr>
        <w:t>rdness</w:t>
      </w:r>
      <w:r w:rsidR="00220F67" w:rsidRPr="005B4528">
        <w:rPr>
          <w:rFonts w:ascii="Times New Roman" w:hAnsi="Times New Roman" w:cs="Times New Roman"/>
        </w:rPr>
        <w:t xml:space="preserve"> – Titration</w:t>
      </w:r>
    </w:p>
    <w:p w14:paraId="38E1C21F" w14:textId="77777777" w:rsidR="00220F67" w:rsidRPr="005B4528" w:rsidRDefault="00220F67" w:rsidP="003B750D">
      <w:pPr>
        <w:pStyle w:val="ListParagraph"/>
        <w:numPr>
          <w:ilvl w:val="0"/>
          <w:numId w:val="2"/>
        </w:numPr>
        <w:spacing w:line="360" w:lineRule="auto"/>
        <w:jc w:val="both"/>
        <w:rPr>
          <w:rFonts w:ascii="Times New Roman" w:hAnsi="Times New Roman" w:cs="Times New Roman"/>
        </w:rPr>
      </w:pPr>
      <w:r w:rsidRPr="005B4528">
        <w:rPr>
          <w:rFonts w:ascii="Times New Roman" w:hAnsi="Times New Roman" w:cs="Times New Roman"/>
        </w:rPr>
        <w:t>Calcium – Titration</w:t>
      </w:r>
    </w:p>
    <w:p w14:paraId="47E102FE" w14:textId="77777777" w:rsidR="00220F67" w:rsidRPr="005B4528" w:rsidRDefault="00220F67" w:rsidP="003B750D">
      <w:pPr>
        <w:pStyle w:val="ListParagraph"/>
        <w:numPr>
          <w:ilvl w:val="0"/>
          <w:numId w:val="2"/>
        </w:numPr>
        <w:spacing w:line="360" w:lineRule="auto"/>
        <w:jc w:val="both"/>
        <w:rPr>
          <w:rFonts w:ascii="Times New Roman" w:hAnsi="Times New Roman" w:cs="Times New Roman"/>
        </w:rPr>
      </w:pPr>
      <w:r w:rsidRPr="005B4528">
        <w:rPr>
          <w:rFonts w:ascii="Times New Roman" w:hAnsi="Times New Roman" w:cs="Times New Roman"/>
        </w:rPr>
        <w:t>Magnesium – Titration</w:t>
      </w:r>
    </w:p>
    <w:p w14:paraId="1E3C9B0C" w14:textId="77777777" w:rsidR="00220F67" w:rsidRPr="005B4528" w:rsidRDefault="00220F67" w:rsidP="003B750D">
      <w:pPr>
        <w:pStyle w:val="ListParagraph"/>
        <w:numPr>
          <w:ilvl w:val="0"/>
          <w:numId w:val="2"/>
        </w:numPr>
        <w:spacing w:line="360" w:lineRule="auto"/>
        <w:jc w:val="both"/>
        <w:rPr>
          <w:rFonts w:ascii="Times New Roman" w:hAnsi="Times New Roman" w:cs="Times New Roman"/>
        </w:rPr>
      </w:pPr>
      <w:r w:rsidRPr="005B4528">
        <w:rPr>
          <w:rFonts w:ascii="Times New Roman" w:hAnsi="Times New Roman" w:cs="Times New Roman"/>
        </w:rPr>
        <w:lastRenderedPageBreak/>
        <w:t>BOD – 2 Day BOD test</w:t>
      </w:r>
    </w:p>
    <w:p w14:paraId="1614EDDC" w14:textId="77777777" w:rsidR="00220F67" w:rsidRPr="005B4528" w:rsidRDefault="00220F67" w:rsidP="003B750D">
      <w:pPr>
        <w:pStyle w:val="ListParagraph"/>
        <w:numPr>
          <w:ilvl w:val="0"/>
          <w:numId w:val="2"/>
        </w:numPr>
        <w:spacing w:line="360" w:lineRule="auto"/>
        <w:jc w:val="both"/>
        <w:rPr>
          <w:rFonts w:ascii="Times New Roman" w:hAnsi="Times New Roman" w:cs="Times New Roman"/>
        </w:rPr>
      </w:pPr>
      <w:r w:rsidRPr="005B4528">
        <w:rPr>
          <w:rFonts w:ascii="Times New Roman" w:hAnsi="Times New Roman" w:cs="Times New Roman"/>
        </w:rPr>
        <w:t>COD – Open reflux</w:t>
      </w:r>
    </w:p>
    <w:p w14:paraId="3BF5C3E0" w14:textId="77777777" w:rsidR="00220F67" w:rsidRPr="005B4528" w:rsidRDefault="00220F67" w:rsidP="003B750D">
      <w:pPr>
        <w:pStyle w:val="ListParagraph"/>
        <w:numPr>
          <w:ilvl w:val="0"/>
          <w:numId w:val="2"/>
        </w:numPr>
        <w:spacing w:line="360" w:lineRule="auto"/>
        <w:jc w:val="both"/>
        <w:rPr>
          <w:rFonts w:ascii="Times New Roman" w:hAnsi="Times New Roman" w:cs="Times New Roman"/>
        </w:rPr>
      </w:pPr>
      <w:r w:rsidRPr="005B4528">
        <w:rPr>
          <w:rFonts w:ascii="Times New Roman" w:hAnsi="Times New Roman" w:cs="Times New Roman"/>
        </w:rPr>
        <w:t>DO – Winkler’s Test</w:t>
      </w:r>
    </w:p>
    <w:p w14:paraId="5E682FA1" w14:textId="77777777" w:rsidR="00A12F99" w:rsidRPr="005B4528" w:rsidRDefault="000A48B1" w:rsidP="00A12F99">
      <w:pPr>
        <w:pStyle w:val="Default"/>
        <w:spacing w:line="360" w:lineRule="auto"/>
        <w:jc w:val="both"/>
        <w:rPr>
          <w:rFonts w:ascii="Times New Roman" w:hAnsi="Times New Roman" w:cs="Times New Roman"/>
        </w:rPr>
      </w:pPr>
      <w:r w:rsidRPr="005B4528">
        <w:rPr>
          <w:rFonts w:ascii="Times New Roman" w:hAnsi="Times New Roman" w:cs="Times New Roman"/>
        </w:rPr>
        <w:t>For the various chemical analysis methods prescribed by APHA (2012) and Saxena (2001) were followed.</w:t>
      </w:r>
      <w:r w:rsidR="00523BE5" w:rsidRPr="005B4528">
        <w:rPr>
          <w:rFonts w:ascii="Times New Roman" w:hAnsi="Times New Roman" w:cs="Times New Roman"/>
        </w:rPr>
        <w:br/>
      </w:r>
      <w:r w:rsidR="00A12F99" w:rsidRPr="005B4528">
        <w:rPr>
          <w:rFonts w:ascii="Times New Roman" w:hAnsi="Times New Roman" w:cs="Times New Roman"/>
        </w:rPr>
        <w:t xml:space="preserve">The calculation of Water Quality Index (WQI) was made using weighed Arithmetic index method (Brown et al., 1972) is calculated by the following equation. </w:t>
      </w:r>
    </w:p>
    <w:p w14:paraId="5DF829B9" w14:textId="77777777" w:rsidR="00523BE5" w:rsidRPr="005B4528" w:rsidRDefault="00A12F99" w:rsidP="003B750D">
      <w:pPr>
        <w:spacing w:line="360" w:lineRule="auto"/>
        <w:jc w:val="both"/>
        <w:rPr>
          <w:rFonts w:ascii="Times New Roman" w:hAnsi="Times New Roman" w:cs="Times New Roman"/>
        </w:rPr>
      </w:pPr>
      <w:r w:rsidRPr="005B4528">
        <w:rPr>
          <w:rFonts w:ascii="Times New Roman" w:hAnsi="Times New Roman" w:cs="Times New Roman"/>
          <w:b/>
          <w:bCs/>
        </w:rPr>
        <w:t xml:space="preserve">   WQI= </w:t>
      </w:r>
      <w:r w:rsidRPr="005B4528">
        <w:rPr>
          <w:rFonts w:ascii="Times New Roman" w:hAnsi="Times New Roman" w:cs="Times New Roman"/>
        </w:rPr>
        <w:br/>
      </w:r>
      <m:oMathPara>
        <m:oMath>
          <m:nary>
            <m:naryPr>
              <m:chr m:val="∑"/>
              <m:limLoc m:val="undOvr"/>
              <m:grow m:val="1"/>
              <m:ctrlPr>
                <w:rPr>
                  <w:rFonts w:ascii="Cambria Math" w:hAnsi="Times New Roman" w:cs="Times New Roman"/>
                  <w:b/>
                  <w:bCs/>
                </w:rPr>
              </m:ctrlPr>
            </m:naryPr>
            <m:sub>
              <m:r>
                <m:rPr>
                  <m:sty m:val="bi"/>
                </m:rPr>
                <w:rPr>
                  <w:rFonts w:ascii="Cambria Math" w:hAnsi="Cambria Math" w:cs="Times New Roman"/>
                </w:rPr>
                <m:t>n</m:t>
              </m:r>
              <m:r>
                <m:rPr>
                  <m:sty m:val="bi"/>
                </m:rPr>
                <w:rPr>
                  <w:rFonts w:ascii="Cambria Math" w:hAnsi="Times New Roman" w:cs="Times New Roman"/>
                </w:rPr>
                <m:t>=</m:t>
              </m:r>
              <m:r>
                <m:rPr>
                  <m:sty m:val="bi"/>
                </m:rPr>
                <w:rPr>
                  <w:rFonts w:ascii="Cambria Math" w:hAnsi="Cambria Math" w:cs="Times New Roman"/>
                </w:rPr>
                <m:t>1</m:t>
              </m:r>
            </m:sub>
            <m:sup>
              <m:r>
                <m:rPr>
                  <m:sty m:val="bi"/>
                </m:rPr>
                <w:rPr>
                  <w:rFonts w:ascii="Cambria Math" w:hAnsi="Cambria Math" w:cs="Times New Roman"/>
                </w:rPr>
                <m:t>n</m:t>
              </m:r>
            </m:sup>
            <m:e>
              <m:sSub>
                <m:sSubPr>
                  <m:ctrlPr>
                    <w:rPr>
                      <w:rFonts w:ascii="Cambria Math" w:hAnsi="Times New Roman" w:cs="Times New Roman"/>
                      <w:b/>
                      <w:bCs/>
                    </w:rPr>
                  </m:ctrlPr>
                </m:sSubPr>
                <m:e>
                  <m:r>
                    <m:rPr>
                      <m:sty m:val="bi"/>
                    </m:rPr>
                    <w:rPr>
                      <w:rFonts w:ascii="Cambria Math" w:hAnsi="Cambria Math" w:cs="Times New Roman"/>
                    </w:rPr>
                    <m:t>q</m:t>
                  </m:r>
                </m:e>
                <m:sub>
                  <m:r>
                    <m:rPr>
                      <m:sty m:val="bi"/>
                    </m:rPr>
                    <w:rPr>
                      <w:rFonts w:ascii="Cambria Math" w:hAnsi="Cambria Math" w:cs="Times New Roman"/>
                    </w:rPr>
                    <m:t>n</m:t>
                  </m:r>
                </m:sub>
              </m:sSub>
              <m:sSub>
                <m:sSubPr>
                  <m:ctrlPr>
                    <w:rPr>
                      <w:rFonts w:ascii="Cambria Math" w:hAnsi="Times New Roman" w:cs="Times New Roman"/>
                      <w:b/>
                      <w:bCs/>
                    </w:rPr>
                  </m:ctrlPr>
                </m:sSubPr>
                <m:e>
                  <m:r>
                    <m:rPr>
                      <m:sty m:val="bi"/>
                    </m:rPr>
                    <w:rPr>
                      <w:rFonts w:ascii="Cambria Math" w:hAnsi="Cambria Math" w:cs="Times New Roman"/>
                    </w:rPr>
                    <m:t>w</m:t>
                  </m:r>
                </m:e>
                <m:sub>
                  <m:r>
                    <m:rPr>
                      <m:sty m:val="bi"/>
                    </m:rPr>
                    <w:rPr>
                      <w:rFonts w:ascii="Cambria Math" w:hAnsi="Cambria Math" w:cs="Times New Roman"/>
                    </w:rPr>
                    <m:t>n</m:t>
                  </m:r>
                </m:sub>
              </m:sSub>
            </m:e>
          </m:nary>
          <m:r>
            <m:rPr>
              <m:sty m:val="b"/>
            </m:rPr>
            <w:rPr>
              <w:rFonts w:ascii="Times New Roman" w:hAnsi="Times New Roman" w:cs="Times New Roman"/>
            </w:rPr>
            <m:t>∕</m:t>
          </m:r>
          <m:nary>
            <m:naryPr>
              <m:chr m:val="∑"/>
              <m:limLoc m:val="undOvr"/>
              <m:grow m:val="1"/>
              <m:ctrlPr>
                <w:rPr>
                  <w:rFonts w:ascii="Cambria Math" w:hAnsi="Times New Roman" w:cs="Times New Roman"/>
                  <w:b/>
                  <w:bCs/>
                </w:rPr>
              </m:ctrlPr>
            </m:naryPr>
            <m:sub>
              <m:r>
                <m:rPr>
                  <m:sty m:val="bi"/>
                </m:rPr>
                <w:rPr>
                  <w:rFonts w:ascii="Cambria Math" w:hAnsi="Cambria Math" w:cs="Times New Roman"/>
                </w:rPr>
                <m:t>n</m:t>
              </m:r>
              <m:r>
                <m:rPr>
                  <m:sty m:val="bi"/>
                </m:rPr>
                <w:rPr>
                  <w:rFonts w:ascii="Cambria Math" w:hAnsi="Times New Roman" w:cs="Times New Roman"/>
                </w:rPr>
                <m:t>=</m:t>
              </m:r>
              <m:r>
                <m:rPr>
                  <m:sty m:val="bi"/>
                </m:rPr>
                <w:rPr>
                  <w:rFonts w:ascii="Cambria Math" w:hAnsi="Cambria Math" w:cs="Times New Roman"/>
                </w:rPr>
                <m:t>1</m:t>
              </m:r>
            </m:sub>
            <m:sup>
              <m:r>
                <m:rPr>
                  <m:sty m:val="bi"/>
                </m:rPr>
                <w:rPr>
                  <w:rFonts w:ascii="Cambria Math" w:hAnsi="Cambria Math" w:cs="Times New Roman"/>
                </w:rPr>
                <m:t>n</m:t>
              </m:r>
            </m:sup>
            <m:e>
              <m:sSub>
                <m:sSubPr>
                  <m:ctrlPr>
                    <w:rPr>
                      <w:rFonts w:ascii="Cambria Math" w:hAnsi="Times New Roman" w:cs="Times New Roman"/>
                      <w:b/>
                      <w:bCs/>
                    </w:rPr>
                  </m:ctrlPr>
                </m:sSubPr>
                <m:e>
                  <m:r>
                    <m:rPr>
                      <m:sty m:val="bi"/>
                    </m:rPr>
                    <w:rPr>
                      <w:rFonts w:ascii="Cambria Math" w:hAnsi="Cambria Math" w:cs="Times New Roman"/>
                    </w:rPr>
                    <m:t>w</m:t>
                  </m:r>
                </m:e>
                <m:sub>
                  <m:r>
                    <m:rPr>
                      <m:sty m:val="bi"/>
                    </m:rPr>
                    <w:rPr>
                      <w:rFonts w:ascii="Cambria Math" w:hAnsi="Cambria Math" w:cs="Times New Roman"/>
                    </w:rPr>
                    <m:t>n</m:t>
                  </m:r>
                </m:sub>
              </m:sSub>
            </m:e>
          </m:nary>
        </m:oMath>
      </m:oMathPara>
    </w:p>
    <w:p w14:paraId="1465902D" w14:textId="77777777" w:rsidR="00A12F99" w:rsidRPr="005B4528" w:rsidRDefault="00A12F99" w:rsidP="003B750D">
      <w:pPr>
        <w:spacing w:line="360" w:lineRule="auto"/>
        <w:jc w:val="both"/>
        <w:rPr>
          <w:rFonts w:ascii="Times New Roman" w:hAnsi="Times New Roman" w:cs="Times New Roman"/>
          <w:b/>
          <w:bCs/>
        </w:rPr>
      </w:pPr>
    </w:p>
    <w:p w14:paraId="1758CC64" w14:textId="77777777" w:rsidR="00A12F99" w:rsidRPr="005B4528" w:rsidRDefault="00A12F99" w:rsidP="00A12F99">
      <w:pPr>
        <w:pStyle w:val="BodyText"/>
        <w:spacing w:line="360" w:lineRule="auto"/>
        <w:ind w:right="4"/>
        <w:jc w:val="both"/>
        <w:rPr>
          <w:rFonts w:ascii="Times New Roman" w:hAnsi="Times New Roman" w:cs="Times New Roman"/>
          <w:w w:val="115"/>
        </w:rPr>
      </w:pPr>
      <w:r w:rsidRPr="005B4528">
        <w:rPr>
          <w:rFonts w:ascii="Times New Roman" w:hAnsi="Times New Roman" w:cs="Times New Roman"/>
          <w:w w:val="115"/>
        </w:rPr>
        <w:t>The</w:t>
      </w:r>
      <w:r w:rsidRPr="005B4528">
        <w:rPr>
          <w:rFonts w:ascii="Times New Roman" w:hAnsi="Times New Roman" w:cs="Times New Roman"/>
          <w:spacing w:val="30"/>
          <w:w w:val="115"/>
        </w:rPr>
        <w:t xml:space="preserve"> </w:t>
      </w:r>
      <w:r w:rsidRPr="005B4528">
        <w:rPr>
          <w:rFonts w:ascii="Times New Roman" w:hAnsi="Times New Roman" w:cs="Times New Roman"/>
          <w:w w:val="115"/>
        </w:rPr>
        <w:t>suitability</w:t>
      </w:r>
      <w:r w:rsidRPr="005B4528">
        <w:rPr>
          <w:rFonts w:ascii="Times New Roman" w:hAnsi="Times New Roman" w:cs="Times New Roman"/>
          <w:spacing w:val="31"/>
          <w:w w:val="115"/>
        </w:rPr>
        <w:t xml:space="preserve"> </w:t>
      </w:r>
      <w:r w:rsidRPr="005B4528">
        <w:rPr>
          <w:rFonts w:ascii="Times New Roman" w:hAnsi="Times New Roman" w:cs="Times New Roman"/>
          <w:w w:val="115"/>
        </w:rPr>
        <w:t>of</w:t>
      </w:r>
      <w:r w:rsidRPr="005B4528">
        <w:rPr>
          <w:rFonts w:ascii="Times New Roman" w:hAnsi="Times New Roman" w:cs="Times New Roman"/>
          <w:spacing w:val="32"/>
          <w:w w:val="115"/>
        </w:rPr>
        <w:t xml:space="preserve"> </w:t>
      </w:r>
      <w:r w:rsidRPr="005B4528">
        <w:rPr>
          <w:rFonts w:ascii="Times New Roman" w:hAnsi="Times New Roman" w:cs="Times New Roman"/>
          <w:w w:val="115"/>
        </w:rPr>
        <w:t>WQI</w:t>
      </w:r>
      <w:r w:rsidRPr="005B4528">
        <w:rPr>
          <w:rFonts w:ascii="Times New Roman" w:hAnsi="Times New Roman" w:cs="Times New Roman"/>
          <w:spacing w:val="33"/>
          <w:w w:val="115"/>
        </w:rPr>
        <w:t xml:space="preserve"> </w:t>
      </w:r>
      <w:r w:rsidRPr="005B4528">
        <w:rPr>
          <w:rFonts w:ascii="Times New Roman" w:hAnsi="Times New Roman" w:cs="Times New Roman"/>
          <w:w w:val="115"/>
        </w:rPr>
        <w:t>values</w:t>
      </w:r>
      <w:r w:rsidRPr="005B4528">
        <w:rPr>
          <w:rFonts w:ascii="Times New Roman" w:hAnsi="Times New Roman" w:cs="Times New Roman"/>
          <w:spacing w:val="31"/>
          <w:w w:val="115"/>
        </w:rPr>
        <w:t xml:space="preserve"> </w:t>
      </w:r>
      <w:r w:rsidRPr="005B4528">
        <w:rPr>
          <w:rFonts w:ascii="Times New Roman" w:hAnsi="Times New Roman" w:cs="Times New Roman"/>
          <w:w w:val="115"/>
        </w:rPr>
        <w:t>for</w:t>
      </w:r>
      <w:r w:rsidRPr="005B4528">
        <w:rPr>
          <w:rFonts w:ascii="Times New Roman" w:hAnsi="Times New Roman" w:cs="Times New Roman"/>
          <w:spacing w:val="29"/>
          <w:w w:val="115"/>
        </w:rPr>
        <w:t xml:space="preserve"> </w:t>
      </w:r>
      <w:r w:rsidRPr="005B4528">
        <w:rPr>
          <w:rFonts w:ascii="Times New Roman" w:hAnsi="Times New Roman" w:cs="Times New Roman"/>
          <w:w w:val="115"/>
        </w:rPr>
        <w:t>human</w:t>
      </w:r>
      <w:r w:rsidRPr="005B4528">
        <w:rPr>
          <w:rFonts w:ascii="Times New Roman" w:hAnsi="Times New Roman" w:cs="Times New Roman"/>
          <w:spacing w:val="30"/>
          <w:w w:val="115"/>
        </w:rPr>
        <w:t xml:space="preserve"> </w:t>
      </w:r>
      <w:r w:rsidRPr="005B4528">
        <w:rPr>
          <w:rFonts w:ascii="Times New Roman" w:hAnsi="Times New Roman" w:cs="Times New Roman"/>
          <w:w w:val="115"/>
        </w:rPr>
        <w:t>consumption</w:t>
      </w:r>
      <w:r w:rsidRPr="005B4528">
        <w:rPr>
          <w:rFonts w:ascii="Times New Roman" w:hAnsi="Times New Roman" w:cs="Times New Roman"/>
          <w:spacing w:val="31"/>
          <w:w w:val="115"/>
        </w:rPr>
        <w:t xml:space="preserve"> can be checked </w:t>
      </w:r>
      <w:r w:rsidRPr="005B4528">
        <w:rPr>
          <w:rFonts w:ascii="Times New Roman" w:hAnsi="Times New Roman" w:cs="Times New Roman"/>
          <w:w w:val="115"/>
        </w:rPr>
        <w:t xml:space="preserve">by categorization given </w:t>
      </w:r>
      <w:proofErr w:type="gramStart"/>
      <w:r w:rsidRPr="005B4528">
        <w:rPr>
          <w:rFonts w:ascii="Times New Roman" w:hAnsi="Times New Roman" w:cs="Times New Roman"/>
          <w:w w:val="115"/>
        </w:rPr>
        <w:t xml:space="preserve">by </w:t>
      </w:r>
      <w:r w:rsidRPr="005B4528">
        <w:rPr>
          <w:rFonts w:ascii="Times New Roman" w:hAnsi="Times New Roman" w:cs="Times New Roman"/>
          <w:spacing w:val="-58"/>
          <w:w w:val="115"/>
        </w:rPr>
        <w:t xml:space="preserve"> </w:t>
      </w:r>
      <w:r w:rsidRPr="005B4528">
        <w:rPr>
          <w:rFonts w:ascii="Times New Roman" w:hAnsi="Times New Roman" w:cs="Times New Roman"/>
          <w:w w:val="115"/>
        </w:rPr>
        <w:t>WHO</w:t>
      </w:r>
      <w:proofErr w:type="gramEnd"/>
      <w:r w:rsidRPr="005B4528">
        <w:rPr>
          <w:rFonts w:ascii="Times New Roman" w:hAnsi="Times New Roman" w:cs="Times New Roman"/>
          <w:w w:val="115"/>
        </w:rPr>
        <w:t>, 2004.</w:t>
      </w:r>
    </w:p>
    <w:p w14:paraId="44A5DB17" w14:textId="77777777" w:rsidR="004C6B6A" w:rsidRPr="005B4528" w:rsidRDefault="0002263E" w:rsidP="003B750D">
      <w:pPr>
        <w:spacing w:line="360" w:lineRule="auto"/>
        <w:jc w:val="both"/>
        <w:rPr>
          <w:rFonts w:ascii="Times New Roman" w:hAnsi="Times New Roman" w:cs="Times New Roman"/>
          <w:b/>
          <w:bCs/>
        </w:rPr>
      </w:pPr>
      <w:r w:rsidRPr="005B4528">
        <w:rPr>
          <w:rFonts w:ascii="Times New Roman" w:hAnsi="Times New Roman" w:cs="Times New Roman"/>
          <w:b/>
          <w:bCs/>
        </w:rPr>
        <w:t>RESULTS AND DISCUSSION</w:t>
      </w:r>
    </w:p>
    <w:p w14:paraId="29D2D521" w14:textId="77777777" w:rsidR="00B20647" w:rsidRPr="005B4528" w:rsidRDefault="00B20647" w:rsidP="00B20647">
      <w:pPr>
        <w:spacing w:line="360" w:lineRule="auto"/>
        <w:jc w:val="both"/>
        <w:rPr>
          <w:rFonts w:ascii="Times New Roman" w:hAnsi="Times New Roman" w:cs="Times New Roman"/>
          <w:b/>
          <w:bCs/>
        </w:rPr>
      </w:pPr>
      <w:r w:rsidRPr="005B4528">
        <w:rPr>
          <w:rFonts w:ascii="Times New Roman" w:hAnsi="Times New Roman" w:cs="Times New Roman"/>
          <w:b/>
          <w:bCs/>
        </w:rPr>
        <w:t>Odor</w:t>
      </w:r>
    </w:p>
    <w:p w14:paraId="18470950" w14:textId="77777777" w:rsidR="00B20647" w:rsidRDefault="00B20647" w:rsidP="003B750D">
      <w:pPr>
        <w:spacing w:line="360" w:lineRule="auto"/>
        <w:jc w:val="both"/>
        <w:rPr>
          <w:rFonts w:ascii="Times New Roman" w:hAnsi="Times New Roman" w:cs="Times New Roman"/>
        </w:rPr>
      </w:pPr>
      <w:r w:rsidRPr="005B4528">
        <w:rPr>
          <w:rFonts w:ascii="Times New Roman" w:hAnsi="Times New Roman" w:cs="Times New Roman"/>
        </w:rPr>
        <w:t xml:space="preserve">The data (Table 1 and 2) shows no improvement in odor after treatment. Both inlet and outlet samples consistently emitted a "rotten" smell, indicating ineffective removal of volatile organic compounds. This shows that the biological treatment process is not functioning effectively. This outcome reflects a shortfall in meeting the Central Pollution Contral Board (CPCB) guidelines, which highlight the importance of controlling odor as part of comprehensive wastewater treatment. </w:t>
      </w:r>
    </w:p>
    <w:p w14:paraId="0E866399" w14:textId="77777777" w:rsidR="00CA762B" w:rsidRDefault="00CA762B" w:rsidP="003B750D">
      <w:pPr>
        <w:spacing w:line="360" w:lineRule="auto"/>
        <w:jc w:val="both"/>
        <w:rPr>
          <w:rFonts w:ascii="Times New Roman" w:hAnsi="Times New Roman" w:cs="Times New Roman"/>
        </w:rPr>
      </w:pPr>
    </w:p>
    <w:p w14:paraId="3E13B704" w14:textId="77777777" w:rsidR="00CA762B" w:rsidRPr="005B4528" w:rsidRDefault="00CA762B" w:rsidP="003B750D">
      <w:pPr>
        <w:spacing w:line="360" w:lineRule="auto"/>
        <w:jc w:val="both"/>
        <w:rPr>
          <w:rFonts w:ascii="Times New Roman" w:hAnsi="Times New Roman" w:cs="Times New Roman"/>
        </w:rPr>
      </w:pPr>
    </w:p>
    <w:p w14:paraId="783D0FFC" w14:textId="77777777" w:rsidR="004C6B6A" w:rsidRPr="005B4528" w:rsidRDefault="00320022" w:rsidP="003B750D">
      <w:pPr>
        <w:spacing w:line="360" w:lineRule="auto"/>
        <w:jc w:val="both"/>
        <w:rPr>
          <w:rFonts w:ascii="Times New Roman" w:hAnsi="Times New Roman" w:cs="Times New Roman"/>
          <w:b/>
          <w:bCs/>
        </w:rPr>
      </w:pPr>
      <w:r>
        <w:rPr>
          <w:rFonts w:ascii="Times New Roman" w:hAnsi="Times New Roman" w:cs="Times New Roman"/>
          <w:b/>
          <w:bCs/>
          <w:noProof/>
          <w:lang w:bidi="hi-IN"/>
        </w:rPr>
        <w:pict w14:anchorId="6D8BF693">
          <v:shapetype id="_x0000_t32" coordsize="21600,21600" o:spt="32" o:oned="t" path="m,l21600,21600e" filled="f">
            <v:path arrowok="t" fillok="f" o:connecttype="none"/>
            <o:lock v:ext="edit" shapetype="t"/>
          </v:shapetype>
          <v:shape id="_x0000_s1026" type="#_x0000_t32" style="position:absolute;left:0;text-align:left;margin-left:-4.25pt;margin-top:69.5pt;width:77.95pt;height:44.15pt;flip:y;z-index:251658240" o:connectortype="straight"/>
        </w:pict>
      </w:r>
      <w:r w:rsidR="004C6B6A" w:rsidRPr="005B4528">
        <w:rPr>
          <w:rFonts w:ascii="Times New Roman" w:hAnsi="Times New Roman" w:cs="Times New Roman"/>
          <w:b/>
          <w:bCs/>
        </w:rPr>
        <w:t>Table 1: Monthly variation in physical and chemical parameter of inlet water sample of the Sewage Treatment Plant situated in Joginder Nagar, values are expressed in mg/l in water, expect otherwise mentioned.</w:t>
      </w:r>
    </w:p>
    <w:tbl>
      <w:tblPr>
        <w:tblStyle w:val="TableGrid"/>
        <w:tblW w:w="0" w:type="auto"/>
        <w:tblLook w:val="04A0" w:firstRow="1" w:lastRow="0" w:firstColumn="1" w:lastColumn="0" w:noHBand="0" w:noVBand="1"/>
      </w:tblPr>
      <w:tblGrid>
        <w:gridCol w:w="1676"/>
        <w:gridCol w:w="1288"/>
        <w:gridCol w:w="1295"/>
        <w:gridCol w:w="1281"/>
        <w:gridCol w:w="1273"/>
        <w:gridCol w:w="1270"/>
        <w:gridCol w:w="1271"/>
      </w:tblGrid>
      <w:tr w:rsidR="00A12F99" w:rsidRPr="005B4528" w14:paraId="20D09F68" w14:textId="77777777" w:rsidTr="00B20647">
        <w:trPr>
          <w:trHeight w:val="1118"/>
        </w:trPr>
        <w:tc>
          <w:tcPr>
            <w:tcW w:w="1676" w:type="dxa"/>
          </w:tcPr>
          <w:p w14:paraId="599B3327" w14:textId="77777777" w:rsidR="00A12F99" w:rsidRPr="005B4528" w:rsidRDefault="00320022" w:rsidP="00A12F99">
            <w:pPr>
              <w:spacing w:line="360" w:lineRule="auto"/>
              <w:jc w:val="center"/>
              <w:rPr>
                <w:rFonts w:ascii="Times New Roman" w:hAnsi="Times New Roman" w:cs="Times New Roman"/>
                <w:b/>
                <w:bCs/>
              </w:rPr>
            </w:pPr>
            <w:r>
              <w:rPr>
                <w:rFonts w:ascii="Times New Roman" w:hAnsi="Times New Roman" w:cs="Times New Roman"/>
                <w:b/>
                <w:bCs/>
                <w:noProof/>
                <w:lang w:bidi="hi-IN"/>
              </w:rPr>
              <w:lastRenderedPageBreak/>
              <w:pict w14:anchorId="2D7F4816">
                <v:shape id="_x0000_s1027" type="#_x0000_t32" style="position:absolute;left:0;text-align:left;margin-left:3.65pt;margin-top:16.45pt;width:.6pt;height:10.25pt;z-index:251659264" o:connectortype="straight">
                  <v:stroke endarrow="block"/>
                </v:shape>
              </w:pict>
            </w:r>
            <w:r w:rsidR="00A12F99" w:rsidRPr="005B4528">
              <w:rPr>
                <w:rFonts w:ascii="Times New Roman" w:hAnsi="Times New Roman" w:cs="Times New Roman"/>
                <w:b/>
                <w:bCs/>
              </w:rPr>
              <w:t>Parameter</w:t>
            </w:r>
          </w:p>
          <w:p w14:paraId="32063BB5" w14:textId="77777777" w:rsidR="00A12F99" w:rsidRPr="005B4528" w:rsidRDefault="00320022" w:rsidP="00A12F99">
            <w:pPr>
              <w:spacing w:line="360" w:lineRule="auto"/>
              <w:jc w:val="center"/>
              <w:rPr>
                <w:rFonts w:ascii="Times New Roman" w:hAnsi="Times New Roman" w:cs="Times New Roman"/>
                <w:b/>
                <w:bCs/>
              </w:rPr>
            </w:pPr>
            <w:r>
              <w:rPr>
                <w:rFonts w:ascii="Times New Roman" w:hAnsi="Times New Roman" w:cs="Times New Roman"/>
                <w:b/>
                <w:bCs/>
                <w:noProof/>
                <w:lang w:bidi="hi-IN"/>
              </w:rPr>
              <w:pict w14:anchorId="06FD3003">
                <v:shape id="_x0000_s1028" type="#_x0000_t32" style="position:absolute;left:0;text-align:left;margin-left:33.9pt;margin-top:9.45pt;width:13.3pt;height:0;z-index:251660288" o:connectortype="straight">
                  <v:stroke endarrow="block"/>
                </v:shape>
              </w:pict>
            </w:r>
          </w:p>
          <w:p w14:paraId="342D4EBE"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b/>
                <w:bCs/>
              </w:rPr>
              <w:t>Months</w:t>
            </w:r>
          </w:p>
        </w:tc>
        <w:tc>
          <w:tcPr>
            <w:tcW w:w="1288" w:type="dxa"/>
          </w:tcPr>
          <w:p w14:paraId="4932AD82"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b/>
                <w:bCs/>
              </w:rPr>
              <w:t>January</w:t>
            </w:r>
          </w:p>
        </w:tc>
        <w:tc>
          <w:tcPr>
            <w:tcW w:w="1295" w:type="dxa"/>
          </w:tcPr>
          <w:p w14:paraId="38372FF1"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b/>
                <w:bCs/>
              </w:rPr>
              <w:t>February</w:t>
            </w:r>
          </w:p>
        </w:tc>
        <w:tc>
          <w:tcPr>
            <w:tcW w:w="1281" w:type="dxa"/>
          </w:tcPr>
          <w:p w14:paraId="3836F09E"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b/>
                <w:bCs/>
              </w:rPr>
              <w:t>March</w:t>
            </w:r>
          </w:p>
        </w:tc>
        <w:tc>
          <w:tcPr>
            <w:tcW w:w="1273" w:type="dxa"/>
          </w:tcPr>
          <w:p w14:paraId="2EB99C7D"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b/>
                <w:bCs/>
              </w:rPr>
              <w:t>April</w:t>
            </w:r>
          </w:p>
        </w:tc>
        <w:tc>
          <w:tcPr>
            <w:tcW w:w="1270" w:type="dxa"/>
          </w:tcPr>
          <w:p w14:paraId="21B53F01"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b/>
                <w:bCs/>
              </w:rPr>
              <w:t>May</w:t>
            </w:r>
          </w:p>
        </w:tc>
        <w:tc>
          <w:tcPr>
            <w:tcW w:w="1271" w:type="dxa"/>
          </w:tcPr>
          <w:p w14:paraId="413EC9CD"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b/>
                <w:bCs/>
              </w:rPr>
              <w:t>June</w:t>
            </w:r>
          </w:p>
        </w:tc>
      </w:tr>
      <w:tr w:rsidR="00A12F99" w:rsidRPr="005B4528" w14:paraId="6B4CA2CE" w14:textId="77777777" w:rsidTr="00B20647">
        <w:trPr>
          <w:trHeight w:val="501"/>
        </w:trPr>
        <w:tc>
          <w:tcPr>
            <w:tcW w:w="1676" w:type="dxa"/>
          </w:tcPr>
          <w:p w14:paraId="7E801BC3"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b/>
                <w:bCs/>
              </w:rPr>
              <w:t>Odor</w:t>
            </w:r>
          </w:p>
        </w:tc>
        <w:tc>
          <w:tcPr>
            <w:tcW w:w="1288" w:type="dxa"/>
          </w:tcPr>
          <w:p w14:paraId="13B616E2"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rPr>
              <w:t>Rotten</w:t>
            </w:r>
          </w:p>
        </w:tc>
        <w:tc>
          <w:tcPr>
            <w:tcW w:w="1295" w:type="dxa"/>
          </w:tcPr>
          <w:p w14:paraId="4B988623"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rPr>
              <w:t>Rotten</w:t>
            </w:r>
          </w:p>
        </w:tc>
        <w:tc>
          <w:tcPr>
            <w:tcW w:w="1281" w:type="dxa"/>
          </w:tcPr>
          <w:p w14:paraId="355EC2BC"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rPr>
              <w:t>Rotten</w:t>
            </w:r>
          </w:p>
        </w:tc>
        <w:tc>
          <w:tcPr>
            <w:tcW w:w="1273" w:type="dxa"/>
          </w:tcPr>
          <w:p w14:paraId="0F616DDB"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rPr>
              <w:t>Rotten</w:t>
            </w:r>
          </w:p>
        </w:tc>
        <w:tc>
          <w:tcPr>
            <w:tcW w:w="1270" w:type="dxa"/>
          </w:tcPr>
          <w:p w14:paraId="27C02FF2"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rPr>
              <w:t>Rotten</w:t>
            </w:r>
          </w:p>
        </w:tc>
        <w:tc>
          <w:tcPr>
            <w:tcW w:w="1271" w:type="dxa"/>
          </w:tcPr>
          <w:p w14:paraId="12FC1209"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rPr>
              <w:t>Rotten</w:t>
            </w:r>
          </w:p>
        </w:tc>
      </w:tr>
      <w:tr w:rsidR="00A12F99" w:rsidRPr="005B4528" w14:paraId="27B5430F" w14:textId="77777777" w:rsidTr="00B20647">
        <w:trPr>
          <w:trHeight w:val="523"/>
        </w:trPr>
        <w:tc>
          <w:tcPr>
            <w:tcW w:w="1676" w:type="dxa"/>
          </w:tcPr>
          <w:p w14:paraId="760EBA3C"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b/>
                <w:bCs/>
              </w:rPr>
              <w:t>Color</w:t>
            </w:r>
          </w:p>
        </w:tc>
        <w:tc>
          <w:tcPr>
            <w:tcW w:w="1288" w:type="dxa"/>
          </w:tcPr>
          <w:p w14:paraId="2E0B8450"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rPr>
              <w:t>25</w:t>
            </w:r>
          </w:p>
        </w:tc>
        <w:tc>
          <w:tcPr>
            <w:tcW w:w="1295" w:type="dxa"/>
          </w:tcPr>
          <w:p w14:paraId="0ADFB5ED"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rPr>
              <w:t>30</w:t>
            </w:r>
          </w:p>
        </w:tc>
        <w:tc>
          <w:tcPr>
            <w:tcW w:w="1281" w:type="dxa"/>
          </w:tcPr>
          <w:p w14:paraId="4352F5CD"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rPr>
              <w:t>35</w:t>
            </w:r>
          </w:p>
        </w:tc>
        <w:tc>
          <w:tcPr>
            <w:tcW w:w="1273" w:type="dxa"/>
          </w:tcPr>
          <w:p w14:paraId="60AC95DC"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rPr>
              <w:t>25</w:t>
            </w:r>
          </w:p>
        </w:tc>
        <w:tc>
          <w:tcPr>
            <w:tcW w:w="1270" w:type="dxa"/>
          </w:tcPr>
          <w:p w14:paraId="57FDF156"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rPr>
              <w:t>25</w:t>
            </w:r>
          </w:p>
        </w:tc>
        <w:tc>
          <w:tcPr>
            <w:tcW w:w="1271" w:type="dxa"/>
          </w:tcPr>
          <w:p w14:paraId="442056F8"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rPr>
              <w:t>30</w:t>
            </w:r>
          </w:p>
        </w:tc>
      </w:tr>
      <w:tr w:rsidR="00A12F99" w:rsidRPr="005B4528" w14:paraId="161544DF" w14:textId="77777777" w:rsidTr="00B20647">
        <w:trPr>
          <w:trHeight w:val="1047"/>
        </w:trPr>
        <w:tc>
          <w:tcPr>
            <w:tcW w:w="1676" w:type="dxa"/>
          </w:tcPr>
          <w:p w14:paraId="6FDA5D8E"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b/>
                <w:bCs/>
              </w:rPr>
              <w:t>Temperature (</w:t>
            </w:r>
            <w:r w:rsidRPr="005B4528">
              <w:rPr>
                <w:rFonts w:ascii="Times New Roman" w:hAnsi="Times New Roman" w:cs="Times New Roman"/>
                <w:b/>
                <w:bCs/>
                <w:vertAlign w:val="superscript"/>
              </w:rPr>
              <w:t xml:space="preserve">o </w:t>
            </w:r>
            <w:r w:rsidRPr="005B4528">
              <w:rPr>
                <w:rFonts w:ascii="Times New Roman" w:hAnsi="Times New Roman" w:cs="Times New Roman"/>
                <w:b/>
                <w:bCs/>
              </w:rPr>
              <w:t>C)</w:t>
            </w:r>
          </w:p>
        </w:tc>
        <w:tc>
          <w:tcPr>
            <w:tcW w:w="1288" w:type="dxa"/>
          </w:tcPr>
          <w:p w14:paraId="2743F8E3"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14.8</w:t>
            </w:r>
          </w:p>
        </w:tc>
        <w:tc>
          <w:tcPr>
            <w:tcW w:w="1295" w:type="dxa"/>
          </w:tcPr>
          <w:p w14:paraId="75AFF04F"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20.3</w:t>
            </w:r>
          </w:p>
        </w:tc>
        <w:tc>
          <w:tcPr>
            <w:tcW w:w="1281" w:type="dxa"/>
          </w:tcPr>
          <w:p w14:paraId="79A2EA5A"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18.2</w:t>
            </w:r>
          </w:p>
        </w:tc>
        <w:tc>
          <w:tcPr>
            <w:tcW w:w="1273" w:type="dxa"/>
          </w:tcPr>
          <w:p w14:paraId="7A056F02"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23.8</w:t>
            </w:r>
          </w:p>
        </w:tc>
        <w:tc>
          <w:tcPr>
            <w:tcW w:w="1270" w:type="dxa"/>
          </w:tcPr>
          <w:p w14:paraId="3D80AAB8"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22.9</w:t>
            </w:r>
          </w:p>
        </w:tc>
        <w:tc>
          <w:tcPr>
            <w:tcW w:w="1271" w:type="dxa"/>
          </w:tcPr>
          <w:p w14:paraId="0C222C97"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23.4</w:t>
            </w:r>
          </w:p>
        </w:tc>
      </w:tr>
      <w:tr w:rsidR="00A12F99" w:rsidRPr="005B4528" w14:paraId="648814B4" w14:textId="77777777" w:rsidTr="00B20647">
        <w:trPr>
          <w:trHeight w:val="523"/>
        </w:trPr>
        <w:tc>
          <w:tcPr>
            <w:tcW w:w="1676" w:type="dxa"/>
          </w:tcPr>
          <w:p w14:paraId="48FFD256"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b/>
                <w:bCs/>
              </w:rPr>
              <w:t>pH</w:t>
            </w:r>
          </w:p>
        </w:tc>
        <w:tc>
          <w:tcPr>
            <w:tcW w:w="1288" w:type="dxa"/>
          </w:tcPr>
          <w:p w14:paraId="19351758"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6.4</w:t>
            </w:r>
          </w:p>
        </w:tc>
        <w:tc>
          <w:tcPr>
            <w:tcW w:w="1295" w:type="dxa"/>
          </w:tcPr>
          <w:p w14:paraId="24CD463D"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6.9</w:t>
            </w:r>
          </w:p>
        </w:tc>
        <w:tc>
          <w:tcPr>
            <w:tcW w:w="1281" w:type="dxa"/>
          </w:tcPr>
          <w:p w14:paraId="720C5FA2"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6.5</w:t>
            </w:r>
          </w:p>
        </w:tc>
        <w:tc>
          <w:tcPr>
            <w:tcW w:w="1273" w:type="dxa"/>
          </w:tcPr>
          <w:p w14:paraId="5FBDC302"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6.6</w:t>
            </w:r>
          </w:p>
        </w:tc>
        <w:tc>
          <w:tcPr>
            <w:tcW w:w="1270" w:type="dxa"/>
          </w:tcPr>
          <w:p w14:paraId="0DEF18FE"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6.8</w:t>
            </w:r>
          </w:p>
        </w:tc>
        <w:tc>
          <w:tcPr>
            <w:tcW w:w="1271" w:type="dxa"/>
          </w:tcPr>
          <w:p w14:paraId="289E8604"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6.3</w:t>
            </w:r>
          </w:p>
        </w:tc>
      </w:tr>
      <w:tr w:rsidR="00A12F99" w:rsidRPr="005B4528" w14:paraId="206DE8A7" w14:textId="77777777" w:rsidTr="00B20647">
        <w:trPr>
          <w:trHeight w:val="523"/>
        </w:trPr>
        <w:tc>
          <w:tcPr>
            <w:tcW w:w="1676" w:type="dxa"/>
          </w:tcPr>
          <w:p w14:paraId="538F21A5" w14:textId="77777777" w:rsidR="00A12F99" w:rsidRPr="005B4528" w:rsidRDefault="00A12F99" w:rsidP="00A12F99">
            <w:pPr>
              <w:spacing w:line="360" w:lineRule="auto"/>
              <w:jc w:val="center"/>
              <w:rPr>
                <w:rFonts w:ascii="Times New Roman" w:hAnsi="Times New Roman" w:cs="Times New Roman"/>
                <w:b/>
                <w:bCs/>
                <w:vertAlign w:val="subscript"/>
              </w:rPr>
            </w:pPr>
            <w:r w:rsidRPr="005B4528">
              <w:rPr>
                <w:rFonts w:ascii="Times New Roman" w:hAnsi="Times New Roman" w:cs="Times New Roman"/>
                <w:b/>
                <w:bCs/>
              </w:rPr>
              <w:t>Free CO</w:t>
            </w:r>
            <w:r w:rsidRPr="005B4528">
              <w:rPr>
                <w:rFonts w:ascii="Times New Roman" w:hAnsi="Times New Roman" w:cs="Times New Roman"/>
                <w:b/>
                <w:bCs/>
                <w:vertAlign w:val="subscript"/>
              </w:rPr>
              <w:t>2</w:t>
            </w:r>
          </w:p>
        </w:tc>
        <w:tc>
          <w:tcPr>
            <w:tcW w:w="1288" w:type="dxa"/>
          </w:tcPr>
          <w:p w14:paraId="350A9221"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29</w:t>
            </w:r>
          </w:p>
        </w:tc>
        <w:tc>
          <w:tcPr>
            <w:tcW w:w="1295" w:type="dxa"/>
          </w:tcPr>
          <w:p w14:paraId="7194D7FF"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25</w:t>
            </w:r>
          </w:p>
        </w:tc>
        <w:tc>
          <w:tcPr>
            <w:tcW w:w="1281" w:type="dxa"/>
          </w:tcPr>
          <w:p w14:paraId="762F53EF"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36</w:t>
            </w:r>
          </w:p>
        </w:tc>
        <w:tc>
          <w:tcPr>
            <w:tcW w:w="1273" w:type="dxa"/>
          </w:tcPr>
          <w:p w14:paraId="10B3F33C"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34</w:t>
            </w:r>
          </w:p>
        </w:tc>
        <w:tc>
          <w:tcPr>
            <w:tcW w:w="1270" w:type="dxa"/>
          </w:tcPr>
          <w:p w14:paraId="6286FE91"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32</w:t>
            </w:r>
          </w:p>
        </w:tc>
        <w:tc>
          <w:tcPr>
            <w:tcW w:w="1271" w:type="dxa"/>
          </w:tcPr>
          <w:p w14:paraId="6FE0DC3C"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30</w:t>
            </w:r>
          </w:p>
        </w:tc>
      </w:tr>
      <w:tr w:rsidR="00A12F99" w:rsidRPr="005B4528" w14:paraId="7F2272FC" w14:textId="77777777" w:rsidTr="00B20647">
        <w:trPr>
          <w:trHeight w:val="523"/>
        </w:trPr>
        <w:tc>
          <w:tcPr>
            <w:tcW w:w="1676" w:type="dxa"/>
          </w:tcPr>
          <w:p w14:paraId="33831613"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b/>
                <w:bCs/>
              </w:rPr>
              <w:t>Alkalinity</w:t>
            </w:r>
          </w:p>
        </w:tc>
        <w:tc>
          <w:tcPr>
            <w:tcW w:w="1288" w:type="dxa"/>
          </w:tcPr>
          <w:p w14:paraId="46F2B4B6"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174</w:t>
            </w:r>
          </w:p>
        </w:tc>
        <w:tc>
          <w:tcPr>
            <w:tcW w:w="1295" w:type="dxa"/>
          </w:tcPr>
          <w:p w14:paraId="680B93D7"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210</w:t>
            </w:r>
          </w:p>
        </w:tc>
        <w:tc>
          <w:tcPr>
            <w:tcW w:w="1281" w:type="dxa"/>
          </w:tcPr>
          <w:p w14:paraId="1F338443"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152</w:t>
            </w:r>
          </w:p>
        </w:tc>
        <w:tc>
          <w:tcPr>
            <w:tcW w:w="1273" w:type="dxa"/>
          </w:tcPr>
          <w:p w14:paraId="1665BA10"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260</w:t>
            </w:r>
          </w:p>
        </w:tc>
        <w:tc>
          <w:tcPr>
            <w:tcW w:w="1270" w:type="dxa"/>
          </w:tcPr>
          <w:p w14:paraId="579FA25F"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159</w:t>
            </w:r>
          </w:p>
        </w:tc>
        <w:tc>
          <w:tcPr>
            <w:tcW w:w="1271" w:type="dxa"/>
          </w:tcPr>
          <w:p w14:paraId="2224F6F2"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180</w:t>
            </w:r>
          </w:p>
        </w:tc>
      </w:tr>
      <w:tr w:rsidR="00A12F99" w:rsidRPr="005B4528" w14:paraId="38E10A8F" w14:textId="77777777" w:rsidTr="00B20647">
        <w:trPr>
          <w:trHeight w:val="523"/>
        </w:trPr>
        <w:tc>
          <w:tcPr>
            <w:tcW w:w="1676" w:type="dxa"/>
          </w:tcPr>
          <w:p w14:paraId="67A21BEA"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b/>
                <w:bCs/>
              </w:rPr>
              <w:t>TDS (ppm)</w:t>
            </w:r>
          </w:p>
        </w:tc>
        <w:tc>
          <w:tcPr>
            <w:tcW w:w="1288" w:type="dxa"/>
          </w:tcPr>
          <w:p w14:paraId="5115CF47"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307</w:t>
            </w:r>
          </w:p>
        </w:tc>
        <w:tc>
          <w:tcPr>
            <w:tcW w:w="1295" w:type="dxa"/>
          </w:tcPr>
          <w:p w14:paraId="4CBDA684"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320</w:t>
            </w:r>
          </w:p>
        </w:tc>
        <w:tc>
          <w:tcPr>
            <w:tcW w:w="1281" w:type="dxa"/>
          </w:tcPr>
          <w:p w14:paraId="22A9F9FC"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220</w:t>
            </w:r>
          </w:p>
        </w:tc>
        <w:tc>
          <w:tcPr>
            <w:tcW w:w="1273" w:type="dxa"/>
          </w:tcPr>
          <w:p w14:paraId="6DE7FED4"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270</w:t>
            </w:r>
          </w:p>
        </w:tc>
        <w:tc>
          <w:tcPr>
            <w:tcW w:w="1270" w:type="dxa"/>
          </w:tcPr>
          <w:p w14:paraId="7827F363"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310</w:t>
            </w:r>
          </w:p>
        </w:tc>
        <w:tc>
          <w:tcPr>
            <w:tcW w:w="1271" w:type="dxa"/>
          </w:tcPr>
          <w:p w14:paraId="2FB11E38"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280</w:t>
            </w:r>
          </w:p>
        </w:tc>
      </w:tr>
      <w:tr w:rsidR="00A12F99" w:rsidRPr="005B4528" w14:paraId="66B27F67" w14:textId="77777777" w:rsidTr="00B20647">
        <w:trPr>
          <w:trHeight w:val="1025"/>
        </w:trPr>
        <w:tc>
          <w:tcPr>
            <w:tcW w:w="1676" w:type="dxa"/>
          </w:tcPr>
          <w:p w14:paraId="2C5EDCFA"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b/>
                <w:bCs/>
              </w:rPr>
              <w:t>Conductivity (</w:t>
            </w:r>
            <w:proofErr w:type="gramStart"/>
            <w:r w:rsidRPr="005B4528">
              <w:rPr>
                <w:rFonts w:ascii="Times New Roman" w:hAnsi="Times New Roman" w:cs="Times New Roman"/>
                <w:b/>
                <w:bCs/>
              </w:rPr>
              <w:t>d  S</w:t>
            </w:r>
            <w:proofErr w:type="gramEnd"/>
            <w:r w:rsidRPr="005B4528">
              <w:rPr>
                <w:rFonts w:ascii="Times New Roman" w:hAnsi="Times New Roman" w:cs="Times New Roman"/>
                <w:b/>
                <w:bCs/>
              </w:rPr>
              <w:t>/m)</w:t>
            </w:r>
          </w:p>
        </w:tc>
        <w:tc>
          <w:tcPr>
            <w:tcW w:w="1288" w:type="dxa"/>
          </w:tcPr>
          <w:p w14:paraId="4E50322B"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3</w:t>
            </w:r>
          </w:p>
        </w:tc>
        <w:tc>
          <w:tcPr>
            <w:tcW w:w="1295" w:type="dxa"/>
          </w:tcPr>
          <w:p w14:paraId="75A1832B"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3</w:t>
            </w:r>
          </w:p>
        </w:tc>
        <w:tc>
          <w:tcPr>
            <w:tcW w:w="1281" w:type="dxa"/>
          </w:tcPr>
          <w:p w14:paraId="503209DF"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2</w:t>
            </w:r>
          </w:p>
        </w:tc>
        <w:tc>
          <w:tcPr>
            <w:tcW w:w="1273" w:type="dxa"/>
          </w:tcPr>
          <w:p w14:paraId="2AB19697"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3</w:t>
            </w:r>
          </w:p>
        </w:tc>
        <w:tc>
          <w:tcPr>
            <w:tcW w:w="1270" w:type="dxa"/>
          </w:tcPr>
          <w:p w14:paraId="79EAEBE1"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2</w:t>
            </w:r>
          </w:p>
        </w:tc>
        <w:tc>
          <w:tcPr>
            <w:tcW w:w="1271" w:type="dxa"/>
          </w:tcPr>
          <w:p w14:paraId="44680C73"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3</w:t>
            </w:r>
          </w:p>
        </w:tc>
      </w:tr>
      <w:tr w:rsidR="00A12F99" w:rsidRPr="005B4528" w14:paraId="38D4B398" w14:textId="77777777" w:rsidTr="00B20647">
        <w:trPr>
          <w:trHeight w:val="1047"/>
        </w:trPr>
        <w:tc>
          <w:tcPr>
            <w:tcW w:w="1676" w:type="dxa"/>
          </w:tcPr>
          <w:p w14:paraId="68CE7446"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b/>
                <w:bCs/>
              </w:rPr>
              <w:t>Turbidity (NTU)</w:t>
            </w:r>
          </w:p>
        </w:tc>
        <w:tc>
          <w:tcPr>
            <w:tcW w:w="1288" w:type="dxa"/>
          </w:tcPr>
          <w:p w14:paraId="534F83CF"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435</w:t>
            </w:r>
          </w:p>
        </w:tc>
        <w:tc>
          <w:tcPr>
            <w:tcW w:w="1295" w:type="dxa"/>
          </w:tcPr>
          <w:p w14:paraId="2C8088FF"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233</w:t>
            </w:r>
          </w:p>
        </w:tc>
        <w:tc>
          <w:tcPr>
            <w:tcW w:w="1281" w:type="dxa"/>
          </w:tcPr>
          <w:p w14:paraId="5A146E95"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104</w:t>
            </w:r>
          </w:p>
        </w:tc>
        <w:tc>
          <w:tcPr>
            <w:tcW w:w="1273" w:type="dxa"/>
          </w:tcPr>
          <w:p w14:paraId="5CE34310"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182</w:t>
            </w:r>
          </w:p>
        </w:tc>
        <w:tc>
          <w:tcPr>
            <w:tcW w:w="1270" w:type="dxa"/>
          </w:tcPr>
          <w:p w14:paraId="15909D19"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205</w:t>
            </w:r>
          </w:p>
        </w:tc>
        <w:tc>
          <w:tcPr>
            <w:tcW w:w="1271" w:type="dxa"/>
          </w:tcPr>
          <w:p w14:paraId="67E78B37"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250</w:t>
            </w:r>
          </w:p>
        </w:tc>
      </w:tr>
      <w:tr w:rsidR="00A12F99" w:rsidRPr="005B4528" w14:paraId="4FE654A4" w14:textId="77777777" w:rsidTr="00B20647">
        <w:trPr>
          <w:trHeight w:val="501"/>
        </w:trPr>
        <w:tc>
          <w:tcPr>
            <w:tcW w:w="1676" w:type="dxa"/>
          </w:tcPr>
          <w:p w14:paraId="52FA964D" w14:textId="77777777" w:rsidR="00A12F99" w:rsidRPr="005B4528" w:rsidRDefault="00A12F99" w:rsidP="00A12F99">
            <w:pPr>
              <w:tabs>
                <w:tab w:val="left" w:pos="638"/>
              </w:tabs>
              <w:spacing w:line="360" w:lineRule="auto"/>
              <w:jc w:val="center"/>
              <w:rPr>
                <w:rFonts w:ascii="Times New Roman" w:hAnsi="Times New Roman" w:cs="Times New Roman"/>
                <w:b/>
                <w:bCs/>
              </w:rPr>
            </w:pPr>
            <w:r w:rsidRPr="005B4528">
              <w:rPr>
                <w:rFonts w:ascii="Times New Roman" w:hAnsi="Times New Roman" w:cs="Times New Roman"/>
                <w:b/>
                <w:bCs/>
              </w:rPr>
              <w:t>TH</w:t>
            </w:r>
          </w:p>
        </w:tc>
        <w:tc>
          <w:tcPr>
            <w:tcW w:w="1288" w:type="dxa"/>
          </w:tcPr>
          <w:p w14:paraId="7264D7C5"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90</w:t>
            </w:r>
          </w:p>
        </w:tc>
        <w:tc>
          <w:tcPr>
            <w:tcW w:w="1295" w:type="dxa"/>
          </w:tcPr>
          <w:p w14:paraId="21B68B91"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78</w:t>
            </w:r>
          </w:p>
        </w:tc>
        <w:tc>
          <w:tcPr>
            <w:tcW w:w="1281" w:type="dxa"/>
          </w:tcPr>
          <w:p w14:paraId="7314FBD6"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68</w:t>
            </w:r>
          </w:p>
        </w:tc>
        <w:tc>
          <w:tcPr>
            <w:tcW w:w="1273" w:type="dxa"/>
          </w:tcPr>
          <w:p w14:paraId="070E297F"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88</w:t>
            </w:r>
          </w:p>
        </w:tc>
        <w:tc>
          <w:tcPr>
            <w:tcW w:w="1270" w:type="dxa"/>
          </w:tcPr>
          <w:p w14:paraId="455A9E37"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86</w:t>
            </w:r>
          </w:p>
        </w:tc>
        <w:tc>
          <w:tcPr>
            <w:tcW w:w="1271" w:type="dxa"/>
          </w:tcPr>
          <w:p w14:paraId="40747CD9"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68</w:t>
            </w:r>
          </w:p>
        </w:tc>
      </w:tr>
      <w:tr w:rsidR="00A12F99" w:rsidRPr="005B4528" w14:paraId="1452C0C7" w14:textId="77777777" w:rsidTr="00B20647">
        <w:trPr>
          <w:trHeight w:val="523"/>
        </w:trPr>
        <w:tc>
          <w:tcPr>
            <w:tcW w:w="1676" w:type="dxa"/>
          </w:tcPr>
          <w:p w14:paraId="524A002D"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b/>
                <w:bCs/>
              </w:rPr>
              <w:t>Calcium</w:t>
            </w:r>
          </w:p>
        </w:tc>
        <w:tc>
          <w:tcPr>
            <w:tcW w:w="1288" w:type="dxa"/>
          </w:tcPr>
          <w:p w14:paraId="7BF5AE10"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126</w:t>
            </w:r>
          </w:p>
        </w:tc>
        <w:tc>
          <w:tcPr>
            <w:tcW w:w="1295" w:type="dxa"/>
          </w:tcPr>
          <w:p w14:paraId="1B239559"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63</w:t>
            </w:r>
          </w:p>
        </w:tc>
        <w:tc>
          <w:tcPr>
            <w:tcW w:w="1281" w:type="dxa"/>
          </w:tcPr>
          <w:p w14:paraId="3F2542C9"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56</w:t>
            </w:r>
          </w:p>
        </w:tc>
        <w:tc>
          <w:tcPr>
            <w:tcW w:w="1273" w:type="dxa"/>
          </w:tcPr>
          <w:p w14:paraId="137FEF7D"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67</w:t>
            </w:r>
          </w:p>
        </w:tc>
        <w:tc>
          <w:tcPr>
            <w:tcW w:w="1270" w:type="dxa"/>
          </w:tcPr>
          <w:p w14:paraId="2E13596A"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60.8</w:t>
            </w:r>
          </w:p>
        </w:tc>
        <w:tc>
          <w:tcPr>
            <w:tcW w:w="1271" w:type="dxa"/>
          </w:tcPr>
          <w:p w14:paraId="375A0A87"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50</w:t>
            </w:r>
          </w:p>
        </w:tc>
      </w:tr>
      <w:tr w:rsidR="00A12F99" w:rsidRPr="005B4528" w14:paraId="02D9D5D2" w14:textId="77777777" w:rsidTr="00B20647">
        <w:trPr>
          <w:trHeight w:val="523"/>
        </w:trPr>
        <w:tc>
          <w:tcPr>
            <w:tcW w:w="1676" w:type="dxa"/>
          </w:tcPr>
          <w:p w14:paraId="45BA3CB4"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b/>
                <w:bCs/>
              </w:rPr>
              <w:t>Magnesium</w:t>
            </w:r>
          </w:p>
        </w:tc>
        <w:tc>
          <w:tcPr>
            <w:tcW w:w="1288" w:type="dxa"/>
          </w:tcPr>
          <w:p w14:paraId="14B797E4"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34</w:t>
            </w:r>
          </w:p>
        </w:tc>
        <w:tc>
          <w:tcPr>
            <w:tcW w:w="1295" w:type="dxa"/>
          </w:tcPr>
          <w:p w14:paraId="624AB8C7"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15</w:t>
            </w:r>
          </w:p>
        </w:tc>
        <w:tc>
          <w:tcPr>
            <w:tcW w:w="1281" w:type="dxa"/>
          </w:tcPr>
          <w:p w14:paraId="679F97E9"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12</w:t>
            </w:r>
          </w:p>
        </w:tc>
        <w:tc>
          <w:tcPr>
            <w:tcW w:w="1273" w:type="dxa"/>
          </w:tcPr>
          <w:p w14:paraId="7093BBE1"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21</w:t>
            </w:r>
          </w:p>
        </w:tc>
        <w:tc>
          <w:tcPr>
            <w:tcW w:w="1270" w:type="dxa"/>
          </w:tcPr>
          <w:p w14:paraId="6E9B98B4"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25.2</w:t>
            </w:r>
          </w:p>
        </w:tc>
        <w:tc>
          <w:tcPr>
            <w:tcW w:w="1271" w:type="dxa"/>
          </w:tcPr>
          <w:p w14:paraId="623E15DE"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18</w:t>
            </w:r>
          </w:p>
        </w:tc>
      </w:tr>
      <w:tr w:rsidR="00A12F99" w:rsidRPr="005B4528" w14:paraId="08AA6799" w14:textId="77777777" w:rsidTr="00B20647">
        <w:trPr>
          <w:trHeight w:val="501"/>
        </w:trPr>
        <w:tc>
          <w:tcPr>
            <w:tcW w:w="1676" w:type="dxa"/>
          </w:tcPr>
          <w:p w14:paraId="79EC898A"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b/>
                <w:bCs/>
              </w:rPr>
              <w:t>BOD</w:t>
            </w:r>
          </w:p>
        </w:tc>
        <w:tc>
          <w:tcPr>
            <w:tcW w:w="1288" w:type="dxa"/>
          </w:tcPr>
          <w:p w14:paraId="02657271"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0.4</w:t>
            </w:r>
          </w:p>
        </w:tc>
        <w:tc>
          <w:tcPr>
            <w:tcW w:w="1295" w:type="dxa"/>
          </w:tcPr>
          <w:p w14:paraId="08E41479"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3.8</w:t>
            </w:r>
          </w:p>
        </w:tc>
        <w:tc>
          <w:tcPr>
            <w:tcW w:w="1281" w:type="dxa"/>
          </w:tcPr>
          <w:p w14:paraId="30F21B03"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2.4</w:t>
            </w:r>
          </w:p>
        </w:tc>
        <w:tc>
          <w:tcPr>
            <w:tcW w:w="1273" w:type="dxa"/>
          </w:tcPr>
          <w:p w14:paraId="5302FD46"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3.6</w:t>
            </w:r>
          </w:p>
        </w:tc>
        <w:tc>
          <w:tcPr>
            <w:tcW w:w="1270" w:type="dxa"/>
          </w:tcPr>
          <w:p w14:paraId="34BB440E"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4.5</w:t>
            </w:r>
          </w:p>
        </w:tc>
        <w:tc>
          <w:tcPr>
            <w:tcW w:w="1271" w:type="dxa"/>
          </w:tcPr>
          <w:p w14:paraId="0F2E922C"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2.5</w:t>
            </w:r>
          </w:p>
        </w:tc>
      </w:tr>
      <w:tr w:rsidR="00A12F99" w:rsidRPr="005B4528" w14:paraId="21202E95" w14:textId="77777777" w:rsidTr="00B20647">
        <w:trPr>
          <w:trHeight w:val="523"/>
        </w:trPr>
        <w:tc>
          <w:tcPr>
            <w:tcW w:w="1676" w:type="dxa"/>
          </w:tcPr>
          <w:p w14:paraId="0C55023F"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b/>
                <w:bCs/>
              </w:rPr>
              <w:t>COD</w:t>
            </w:r>
          </w:p>
        </w:tc>
        <w:tc>
          <w:tcPr>
            <w:tcW w:w="1288" w:type="dxa"/>
          </w:tcPr>
          <w:p w14:paraId="3443DE10"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272</w:t>
            </w:r>
          </w:p>
        </w:tc>
        <w:tc>
          <w:tcPr>
            <w:tcW w:w="1295" w:type="dxa"/>
          </w:tcPr>
          <w:p w14:paraId="2AAAE7FA"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268</w:t>
            </w:r>
          </w:p>
        </w:tc>
        <w:tc>
          <w:tcPr>
            <w:tcW w:w="1281" w:type="dxa"/>
          </w:tcPr>
          <w:p w14:paraId="79922554"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268</w:t>
            </w:r>
          </w:p>
        </w:tc>
        <w:tc>
          <w:tcPr>
            <w:tcW w:w="1273" w:type="dxa"/>
          </w:tcPr>
          <w:p w14:paraId="76AEFA9A"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292</w:t>
            </w:r>
          </w:p>
        </w:tc>
        <w:tc>
          <w:tcPr>
            <w:tcW w:w="1270" w:type="dxa"/>
          </w:tcPr>
          <w:p w14:paraId="31D0E626"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296</w:t>
            </w:r>
          </w:p>
        </w:tc>
        <w:tc>
          <w:tcPr>
            <w:tcW w:w="1271" w:type="dxa"/>
          </w:tcPr>
          <w:p w14:paraId="361A118D"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280</w:t>
            </w:r>
          </w:p>
        </w:tc>
      </w:tr>
      <w:tr w:rsidR="00A12F99" w:rsidRPr="005B4528" w14:paraId="10CC2F62" w14:textId="77777777" w:rsidTr="00B20647">
        <w:trPr>
          <w:trHeight w:val="546"/>
        </w:trPr>
        <w:tc>
          <w:tcPr>
            <w:tcW w:w="1676" w:type="dxa"/>
          </w:tcPr>
          <w:p w14:paraId="6AA7D43B"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b/>
                <w:bCs/>
              </w:rPr>
              <w:t>DO</w:t>
            </w:r>
          </w:p>
        </w:tc>
        <w:tc>
          <w:tcPr>
            <w:tcW w:w="1288" w:type="dxa"/>
          </w:tcPr>
          <w:p w14:paraId="4385CDED"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5.8</w:t>
            </w:r>
          </w:p>
        </w:tc>
        <w:tc>
          <w:tcPr>
            <w:tcW w:w="1295" w:type="dxa"/>
          </w:tcPr>
          <w:p w14:paraId="7F39C58D"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5.8</w:t>
            </w:r>
          </w:p>
        </w:tc>
        <w:tc>
          <w:tcPr>
            <w:tcW w:w="1281" w:type="dxa"/>
          </w:tcPr>
          <w:p w14:paraId="665CA4DC"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8.7</w:t>
            </w:r>
          </w:p>
        </w:tc>
        <w:tc>
          <w:tcPr>
            <w:tcW w:w="1273" w:type="dxa"/>
          </w:tcPr>
          <w:p w14:paraId="0B2D88D5"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8.3</w:t>
            </w:r>
          </w:p>
        </w:tc>
        <w:tc>
          <w:tcPr>
            <w:tcW w:w="1270" w:type="dxa"/>
          </w:tcPr>
          <w:p w14:paraId="6CE6FEFC"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8.1</w:t>
            </w:r>
          </w:p>
        </w:tc>
        <w:tc>
          <w:tcPr>
            <w:tcW w:w="1271" w:type="dxa"/>
          </w:tcPr>
          <w:p w14:paraId="74D0FECF"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5.2</w:t>
            </w:r>
          </w:p>
        </w:tc>
      </w:tr>
    </w:tbl>
    <w:p w14:paraId="04427089" w14:textId="77777777" w:rsidR="00B20647" w:rsidRPr="005B4528" w:rsidRDefault="00B20647" w:rsidP="003B750D">
      <w:pPr>
        <w:spacing w:line="360" w:lineRule="auto"/>
        <w:jc w:val="both"/>
        <w:rPr>
          <w:rFonts w:ascii="Times New Roman" w:hAnsi="Times New Roman" w:cs="Times New Roman"/>
          <w:b/>
          <w:bCs/>
        </w:rPr>
      </w:pPr>
    </w:p>
    <w:p w14:paraId="03E3F883" w14:textId="77777777" w:rsidR="004C6B6A" w:rsidRPr="005B4528" w:rsidRDefault="00523BE5" w:rsidP="003B750D">
      <w:pPr>
        <w:spacing w:line="360" w:lineRule="auto"/>
        <w:jc w:val="both"/>
        <w:rPr>
          <w:rFonts w:ascii="Times New Roman" w:hAnsi="Times New Roman" w:cs="Times New Roman"/>
          <w:b/>
          <w:bCs/>
        </w:rPr>
      </w:pPr>
      <w:r w:rsidRPr="005B4528">
        <w:rPr>
          <w:rFonts w:ascii="Times New Roman" w:hAnsi="Times New Roman" w:cs="Times New Roman"/>
          <w:b/>
          <w:bCs/>
        </w:rPr>
        <w:t>Table 2: Monthly variation in physical and chemical parameter of outlet water sample of the Sewage Treatment Plant situated in Joginder Nagar, values are expressed in mg/l in water, expect otherwise mentioned.</w:t>
      </w:r>
    </w:p>
    <w:tbl>
      <w:tblPr>
        <w:tblStyle w:val="TableGrid"/>
        <w:tblW w:w="0" w:type="auto"/>
        <w:tblLook w:val="04A0" w:firstRow="1" w:lastRow="0" w:firstColumn="1" w:lastColumn="0" w:noHBand="0" w:noVBand="1"/>
      </w:tblPr>
      <w:tblGrid>
        <w:gridCol w:w="1686"/>
        <w:gridCol w:w="1295"/>
        <w:gridCol w:w="1302"/>
        <w:gridCol w:w="1288"/>
        <w:gridCol w:w="1280"/>
        <w:gridCol w:w="1277"/>
        <w:gridCol w:w="1278"/>
      </w:tblGrid>
      <w:tr w:rsidR="00B20647" w:rsidRPr="005B4528" w14:paraId="1E541ED7" w14:textId="77777777" w:rsidTr="00B20647">
        <w:trPr>
          <w:trHeight w:val="1148"/>
        </w:trPr>
        <w:tc>
          <w:tcPr>
            <w:tcW w:w="1686" w:type="dxa"/>
          </w:tcPr>
          <w:p w14:paraId="5BC16AAB" w14:textId="77777777" w:rsidR="00B20647" w:rsidRPr="005B4528" w:rsidRDefault="00320022" w:rsidP="00FF7546">
            <w:pPr>
              <w:spacing w:line="360" w:lineRule="auto"/>
              <w:jc w:val="center"/>
              <w:rPr>
                <w:rFonts w:ascii="Times New Roman" w:hAnsi="Times New Roman" w:cs="Times New Roman"/>
                <w:b/>
                <w:bCs/>
              </w:rPr>
            </w:pPr>
            <w:r>
              <w:rPr>
                <w:rFonts w:ascii="Times New Roman" w:hAnsi="Times New Roman" w:cs="Times New Roman"/>
                <w:b/>
                <w:bCs/>
                <w:noProof/>
                <w:lang w:bidi="hi-IN"/>
              </w:rPr>
              <w:lastRenderedPageBreak/>
              <w:pict w14:anchorId="3A27A986">
                <v:shape id="_x0000_s1031" type="#_x0000_t32" style="position:absolute;left:0;text-align:left;margin-left:-6.8pt;margin-top:-.7pt;width:77.95pt;height:44.15pt;flip:y;z-index:251664384" o:connectortype="straight"/>
              </w:pict>
            </w:r>
            <w:r>
              <w:rPr>
                <w:rFonts w:ascii="Times New Roman" w:hAnsi="Times New Roman" w:cs="Times New Roman"/>
                <w:b/>
                <w:bCs/>
                <w:noProof/>
                <w:lang w:bidi="hi-IN"/>
              </w:rPr>
              <w:pict w14:anchorId="1E9F49A1">
                <v:shape id="_x0000_s1029" type="#_x0000_t32" style="position:absolute;left:0;text-align:left;margin-left:3.65pt;margin-top:16.45pt;width:.6pt;height:10.25pt;z-index:251662336" o:connectortype="straight">
                  <v:stroke endarrow="block"/>
                </v:shape>
              </w:pict>
            </w:r>
            <w:r w:rsidR="00B20647" w:rsidRPr="005B4528">
              <w:rPr>
                <w:rFonts w:ascii="Times New Roman" w:hAnsi="Times New Roman" w:cs="Times New Roman"/>
                <w:b/>
                <w:bCs/>
              </w:rPr>
              <w:t>Parameter</w:t>
            </w:r>
          </w:p>
          <w:p w14:paraId="2625FAFD" w14:textId="77777777" w:rsidR="00B20647" w:rsidRPr="005B4528" w:rsidRDefault="00320022" w:rsidP="00FF7546">
            <w:pPr>
              <w:spacing w:line="360" w:lineRule="auto"/>
              <w:jc w:val="center"/>
              <w:rPr>
                <w:rFonts w:ascii="Times New Roman" w:hAnsi="Times New Roman" w:cs="Times New Roman"/>
                <w:b/>
                <w:bCs/>
              </w:rPr>
            </w:pPr>
            <w:r>
              <w:rPr>
                <w:rFonts w:ascii="Times New Roman" w:hAnsi="Times New Roman" w:cs="Times New Roman"/>
                <w:b/>
                <w:bCs/>
                <w:noProof/>
                <w:lang w:bidi="hi-IN"/>
              </w:rPr>
              <w:pict w14:anchorId="5FD8780F">
                <v:shape id="_x0000_s1030" type="#_x0000_t32" style="position:absolute;left:0;text-align:left;margin-left:33.9pt;margin-top:9.45pt;width:13.3pt;height:0;z-index:251663360" o:connectortype="straight">
                  <v:stroke endarrow="block"/>
                </v:shape>
              </w:pict>
            </w:r>
          </w:p>
          <w:p w14:paraId="1A1A7FB9" w14:textId="77777777" w:rsidR="00B20647" w:rsidRPr="005B4528" w:rsidRDefault="00B20647" w:rsidP="00FF7546">
            <w:pPr>
              <w:spacing w:line="360" w:lineRule="auto"/>
              <w:jc w:val="center"/>
              <w:rPr>
                <w:rFonts w:ascii="Times New Roman" w:hAnsi="Times New Roman" w:cs="Times New Roman"/>
                <w:b/>
                <w:bCs/>
              </w:rPr>
            </w:pPr>
            <w:r w:rsidRPr="005B4528">
              <w:rPr>
                <w:rFonts w:ascii="Times New Roman" w:hAnsi="Times New Roman" w:cs="Times New Roman"/>
                <w:b/>
                <w:bCs/>
              </w:rPr>
              <w:t>Months</w:t>
            </w:r>
          </w:p>
        </w:tc>
        <w:tc>
          <w:tcPr>
            <w:tcW w:w="1295" w:type="dxa"/>
          </w:tcPr>
          <w:p w14:paraId="05A29E73" w14:textId="77777777" w:rsidR="00B20647" w:rsidRPr="005B4528" w:rsidRDefault="00B20647" w:rsidP="00FF7546">
            <w:pPr>
              <w:spacing w:line="360" w:lineRule="auto"/>
              <w:jc w:val="center"/>
              <w:rPr>
                <w:rFonts w:ascii="Times New Roman" w:hAnsi="Times New Roman" w:cs="Times New Roman"/>
                <w:b/>
                <w:bCs/>
              </w:rPr>
            </w:pPr>
            <w:r w:rsidRPr="005B4528">
              <w:rPr>
                <w:rFonts w:ascii="Times New Roman" w:hAnsi="Times New Roman" w:cs="Times New Roman"/>
                <w:b/>
                <w:bCs/>
              </w:rPr>
              <w:t>January</w:t>
            </w:r>
          </w:p>
        </w:tc>
        <w:tc>
          <w:tcPr>
            <w:tcW w:w="1302" w:type="dxa"/>
          </w:tcPr>
          <w:p w14:paraId="4AA544C5" w14:textId="77777777" w:rsidR="00B20647" w:rsidRPr="005B4528" w:rsidRDefault="00B20647" w:rsidP="00FF7546">
            <w:pPr>
              <w:spacing w:line="360" w:lineRule="auto"/>
              <w:jc w:val="center"/>
              <w:rPr>
                <w:rFonts w:ascii="Times New Roman" w:hAnsi="Times New Roman" w:cs="Times New Roman"/>
                <w:b/>
                <w:bCs/>
              </w:rPr>
            </w:pPr>
            <w:r w:rsidRPr="005B4528">
              <w:rPr>
                <w:rFonts w:ascii="Times New Roman" w:hAnsi="Times New Roman" w:cs="Times New Roman"/>
                <w:b/>
                <w:bCs/>
              </w:rPr>
              <w:t>February</w:t>
            </w:r>
          </w:p>
        </w:tc>
        <w:tc>
          <w:tcPr>
            <w:tcW w:w="1288" w:type="dxa"/>
          </w:tcPr>
          <w:p w14:paraId="414C0CBD" w14:textId="77777777" w:rsidR="00B20647" w:rsidRPr="005B4528" w:rsidRDefault="00B20647" w:rsidP="00FF7546">
            <w:pPr>
              <w:spacing w:line="360" w:lineRule="auto"/>
              <w:jc w:val="center"/>
              <w:rPr>
                <w:rFonts w:ascii="Times New Roman" w:hAnsi="Times New Roman" w:cs="Times New Roman"/>
                <w:b/>
                <w:bCs/>
              </w:rPr>
            </w:pPr>
            <w:r w:rsidRPr="005B4528">
              <w:rPr>
                <w:rFonts w:ascii="Times New Roman" w:hAnsi="Times New Roman" w:cs="Times New Roman"/>
                <w:b/>
                <w:bCs/>
              </w:rPr>
              <w:t>March</w:t>
            </w:r>
          </w:p>
        </w:tc>
        <w:tc>
          <w:tcPr>
            <w:tcW w:w="1280" w:type="dxa"/>
          </w:tcPr>
          <w:p w14:paraId="1D9179F7" w14:textId="77777777" w:rsidR="00B20647" w:rsidRPr="005B4528" w:rsidRDefault="00B20647" w:rsidP="00FF7546">
            <w:pPr>
              <w:spacing w:line="360" w:lineRule="auto"/>
              <w:jc w:val="center"/>
              <w:rPr>
                <w:rFonts w:ascii="Times New Roman" w:hAnsi="Times New Roman" w:cs="Times New Roman"/>
                <w:b/>
                <w:bCs/>
              </w:rPr>
            </w:pPr>
            <w:r w:rsidRPr="005B4528">
              <w:rPr>
                <w:rFonts w:ascii="Times New Roman" w:hAnsi="Times New Roman" w:cs="Times New Roman"/>
                <w:b/>
                <w:bCs/>
              </w:rPr>
              <w:t>April</w:t>
            </w:r>
          </w:p>
        </w:tc>
        <w:tc>
          <w:tcPr>
            <w:tcW w:w="1277" w:type="dxa"/>
          </w:tcPr>
          <w:p w14:paraId="7100C142" w14:textId="77777777" w:rsidR="00B20647" w:rsidRPr="005B4528" w:rsidRDefault="00B20647" w:rsidP="00FF7546">
            <w:pPr>
              <w:spacing w:line="360" w:lineRule="auto"/>
              <w:jc w:val="center"/>
              <w:rPr>
                <w:rFonts w:ascii="Times New Roman" w:hAnsi="Times New Roman" w:cs="Times New Roman"/>
                <w:b/>
                <w:bCs/>
              </w:rPr>
            </w:pPr>
            <w:r w:rsidRPr="005B4528">
              <w:rPr>
                <w:rFonts w:ascii="Times New Roman" w:hAnsi="Times New Roman" w:cs="Times New Roman"/>
                <w:b/>
                <w:bCs/>
              </w:rPr>
              <w:t>May</w:t>
            </w:r>
          </w:p>
        </w:tc>
        <w:tc>
          <w:tcPr>
            <w:tcW w:w="1278" w:type="dxa"/>
          </w:tcPr>
          <w:p w14:paraId="4502FA96" w14:textId="77777777" w:rsidR="00B20647" w:rsidRPr="005B4528" w:rsidRDefault="00B20647" w:rsidP="00FF7546">
            <w:pPr>
              <w:spacing w:line="360" w:lineRule="auto"/>
              <w:jc w:val="center"/>
              <w:rPr>
                <w:rFonts w:ascii="Times New Roman" w:hAnsi="Times New Roman" w:cs="Times New Roman"/>
                <w:b/>
                <w:bCs/>
              </w:rPr>
            </w:pPr>
            <w:r w:rsidRPr="005B4528">
              <w:rPr>
                <w:rFonts w:ascii="Times New Roman" w:hAnsi="Times New Roman" w:cs="Times New Roman"/>
                <w:b/>
                <w:bCs/>
              </w:rPr>
              <w:t>June</w:t>
            </w:r>
          </w:p>
        </w:tc>
      </w:tr>
      <w:tr w:rsidR="00B20647" w:rsidRPr="005B4528" w14:paraId="1EDE244E" w14:textId="77777777" w:rsidTr="00B20647">
        <w:trPr>
          <w:trHeight w:val="537"/>
        </w:trPr>
        <w:tc>
          <w:tcPr>
            <w:tcW w:w="1686" w:type="dxa"/>
          </w:tcPr>
          <w:p w14:paraId="1C2FE97C" w14:textId="77777777" w:rsidR="00B20647" w:rsidRPr="005B4528" w:rsidRDefault="00B20647" w:rsidP="00B20647">
            <w:pPr>
              <w:spacing w:line="360" w:lineRule="auto"/>
              <w:jc w:val="center"/>
              <w:rPr>
                <w:rFonts w:ascii="Times New Roman" w:hAnsi="Times New Roman" w:cs="Times New Roman"/>
                <w:b/>
                <w:bCs/>
              </w:rPr>
            </w:pPr>
            <w:r w:rsidRPr="005B4528">
              <w:rPr>
                <w:rFonts w:ascii="Times New Roman" w:hAnsi="Times New Roman" w:cs="Times New Roman"/>
                <w:b/>
                <w:bCs/>
              </w:rPr>
              <w:t>Odor</w:t>
            </w:r>
          </w:p>
        </w:tc>
        <w:tc>
          <w:tcPr>
            <w:tcW w:w="1295" w:type="dxa"/>
          </w:tcPr>
          <w:p w14:paraId="751D098B" w14:textId="77777777" w:rsidR="00B20647" w:rsidRPr="005B4528" w:rsidRDefault="00B20647" w:rsidP="00B20647">
            <w:pPr>
              <w:spacing w:line="360" w:lineRule="auto"/>
              <w:jc w:val="center"/>
              <w:rPr>
                <w:rFonts w:ascii="Times New Roman" w:hAnsi="Times New Roman" w:cs="Times New Roman"/>
                <w:b/>
                <w:bCs/>
              </w:rPr>
            </w:pPr>
            <w:r w:rsidRPr="005B4528">
              <w:rPr>
                <w:rFonts w:ascii="Times New Roman" w:hAnsi="Times New Roman" w:cs="Times New Roman"/>
              </w:rPr>
              <w:t>Rotten</w:t>
            </w:r>
          </w:p>
        </w:tc>
        <w:tc>
          <w:tcPr>
            <w:tcW w:w="1302" w:type="dxa"/>
          </w:tcPr>
          <w:p w14:paraId="76040EFB" w14:textId="77777777" w:rsidR="00B20647" w:rsidRPr="005B4528" w:rsidRDefault="00B20647" w:rsidP="00B20647">
            <w:pPr>
              <w:spacing w:line="360" w:lineRule="auto"/>
              <w:jc w:val="center"/>
              <w:rPr>
                <w:rFonts w:ascii="Times New Roman" w:hAnsi="Times New Roman" w:cs="Times New Roman"/>
                <w:b/>
                <w:bCs/>
              </w:rPr>
            </w:pPr>
            <w:r w:rsidRPr="005B4528">
              <w:rPr>
                <w:rFonts w:ascii="Times New Roman" w:hAnsi="Times New Roman" w:cs="Times New Roman"/>
              </w:rPr>
              <w:t>Rotten</w:t>
            </w:r>
          </w:p>
        </w:tc>
        <w:tc>
          <w:tcPr>
            <w:tcW w:w="1288" w:type="dxa"/>
          </w:tcPr>
          <w:p w14:paraId="14BFAC32" w14:textId="77777777" w:rsidR="00B20647" w:rsidRPr="005B4528" w:rsidRDefault="00B20647" w:rsidP="00B20647">
            <w:pPr>
              <w:spacing w:line="360" w:lineRule="auto"/>
              <w:jc w:val="center"/>
              <w:rPr>
                <w:rFonts w:ascii="Times New Roman" w:hAnsi="Times New Roman" w:cs="Times New Roman"/>
                <w:b/>
                <w:bCs/>
              </w:rPr>
            </w:pPr>
            <w:r w:rsidRPr="005B4528">
              <w:rPr>
                <w:rFonts w:ascii="Times New Roman" w:hAnsi="Times New Roman" w:cs="Times New Roman"/>
              </w:rPr>
              <w:t>Rotten</w:t>
            </w:r>
          </w:p>
        </w:tc>
        <w:tc>
          <w:tcPr>
            <w:tcW w:w="1280" w:type="dxa"/>
          </w:tcPr>
          <w:p w14:paraId="183DBB21" w14:textId="77777777" w:rsidR="00B20647" w:rsidRPr="005B4528" w:rsidRDefault="00B20647" w:rsidP="00B20647">
            <w:pPr>
              <w:spacing w:line="360" w:lineRule="auto"/>
              <w:jc w:val="center"/>
              <w:rPr>
                <w:rFonts w:ascii="Times New Roman" w:hAnsi="Times New Roman" w:cs="Times New Roman"/>
                <w:b/>
                <w:bCs/>
              </w:rPr>
            </w:pPr>
            <w:r w:rsidRPr="005B4528">
              <w:rPr>
                <w:rFonts w:ascii="Times New Roman" w:hAnsi="Times New Roman" w:cs="Times New Roman"/>
              </w:rPr>
              <w:t>Rotten</w:t>
            </w:r>
          </w:p>
        </w:tc>
        <w:tc>
          <w:tcPr>
            <w:tcW w:w="1277" w:type="dxa"/>
          </w:tcPr>
          <w:p w14:paraId="1340A6F9" w14:textId="77777777" w:rsidR="00B20647" w:rsidRPr="005B4528" w:rsidRDefault="00B20647" w:rsidP="00B20647">
            <w:pPr>
              <w:spacing w:line="360" w:lineRule="auto"/>
              <w:jc w:val="center"/>
              <w:rPr>
                <w:rFonts w:ascii="Times New Roman" w:hAnsi="Times New Roman" w:cs="Times New Roman"/>
                <w:b/>
                <w:bCs/>
              </w:rPr>
            </w:pPr>
            <w:r w:rsidRPr="005B4528">
              <w:rPr>
                <w:rFonts w:ascii="Times New Roman" w:hAnsi="Times New Roman" w:cs="Times New Roman"/>
              </w:rPr>
              <w:t>Rotten</w:t>
            </w:r>
          </w:p>
        </w:tc>
        <w:tc>
          <w:tcPr>
            <w:tcW w:w="1278" w:type="dxa"/>
          </w:tcPr>
          <w:p w14:paraId="32526AF6" w14:textId="77777777" w:rsidR="00B20647" w:rsidRPr="005B4528" w:rsidRDefault="00B20647" w:rsidP="00B20647">
            <w:pPr>
              <w:spacing w:line="360" w:lineRule="auto"/>
              <w:jc w:val="center"/>
              <w:rPr>
                <w:rFonts w:ascii="Times New Roman" w:hAnsi="Times New Roman" w:cs="Times New Roman"/>
                <w:b/>
                <w:bCs/>
              </w:rPr>
            </w:pPr>
            <w:r w:rsidRPr="005B4528">
              <w:rPr>
                <w:rFonts w:ascii="Times New Roman" w:hAnsi="Times New Roman" w:cs="Times New Roman"/>
              </w:rPr>
              <w:t>Rotten</w:t>
            </w:r>
          </w:p>
        </w:tc>
      </w:tr>
      <w:tr w:rsidR="00B20647" w:rsidRPr="005B4528" w14:paraId="1940052A" w14:textId="77777777" w:rsidTr="00B20647">
        <w:trPr>
          <w:trHeight w:val="537"/>
        </w:trPr>
        <w:tc>
          <w:tcPr>
            <w:tcW w:w="1686" w:type="dxa"/>
          </w:tcPr>
          <w:p w14:paraId="4B237C02" w14:textId="77777777" w:rsidR="00B20647" w:rsidRPr="005B4528" w:rsidRDefault="00B20647" w:rsidP="00B20647">
            <w:pPr>
              <w:spacing w:line="360" w:lineRule="auto"/>
              <w:jc w:val="center"/>
              <w:rPr>
                <w:rFonts w:ascii="Times New Roman" w:hAnsi="Times New Roman" w:cs="Times New Roman"/>
                <w:b/>
                <w:bCs/>
              </w:rPr>
            </w:pPr>
            <w:r w:rsidRPr="005B4528">
              <w:rPr>
                <w:rFonts w:ascii="Times New Roman" w:hAnsi="Times New Roman" w:cs="Times New Roman"/>
                <w:b/>
                <w:bCs/>
              </w:rPr>
              <w:t>Color</w:t>
            </w:r>
          </w:p>
        </w:tc>
        <w:tc>
          <w:tcPr>
            <w:tcW w:w="1295" w:type="dxa"/>
          </w:tcPr>
          <w:p w14:paraId="2B5930FE" w14:textId="77777777" w:rsidR="00B20647" w:rsidRPr="005B4528" w:rsidRDefault="00B20647" w:rsidP="00B20647">
            <w:pPr>
              <w:spacing w:line="360" w:lineRule="auto"/>
              <w:jc w:val="center"/>
              <w:rPr>
                <w:rFonts w:ascii="Times New Roman" w:hAnsi="Times New Roman" w:cs="Times New Roman"/>
                <w:b/>
                <w:bCs/>
              </w:rPr>
            </w:pPr>
            <w:r w:rsidRPr="005B4528">
              <w:rPr>
                <w:rFonts w:ascii="Times New Roman" w:hAnsi="Times New Roman" w:cs="Times New Roman"/>
              </w:rPr>
              <w:t>10</w:t>
            </w:r>
          </w:p>
        </w:tc>
        <w:tc>
          <w:tcPr>
            <w:tcW w:w="1302" w:type="dxa"/>
          </w:tcPr>
          <w:p w14:paraId="17B95911" w14:textId="77777777" w:rsidR="00B20647" w:rsidRPr="005B4528" w:rsidRDefault="00B20647" w:rsidP="00B20647">
            <w:pPr>
              <w:spacing w:line="360" w:lineRule="auto"/>
              <w:jc w:val="center"/>
              <w:rPr>
                <w:rFonts w:ascii="Times New Roman" w:hAnsi="Times New Roman" w:cs="Times New Roman"/>
                <w:b/>
                <w:bCs/>
              </w:rPr>
            </w:pPr>
            <w:r w:rsidRPr="005B4528">
              <w:rPr>
                <w:rFonts w:ascii="Times New Roman" w:hAnsi="Times New Roman" w:cs="Times New Roman"/>
              </w:rPr>
              <w:t>10</w:t>
            </w:r>
          </w:p>
        </w:tc>
        <w:tc>
          <w:tcPr>
            <w:tcW w:w="1288" w:type="dxa"/>
          </w:tcPr>
          <w:p w14:paraId="3C9A9E05" w14:textId="77777777" w:rsidR="00B20647" w:rsidRPr="005B4528" w:rsidRDefault="00B20647" w:rsidP="00B20647">
            <w:pPr>
              <w:spacing w:line="360" w:lineRule="auto"/>
              <w:jc w:val="center"/>
              <w:rPr>
                <w:rFonts w:ascii="Times New Roman" w:hAnsi="Times New Roman" w:cs="Times New Roman"/>
                <w:b/>
                <w:bCs/>
              </w:rPr>
            </w:pPr>
            <w:r w:rsidRPr="005B4528">
              <w:rPr>
                <w:rFonts w:ascii="Times New Roman" w:hAnsi="Times New Roman" w:cs="Times New Roman"/>
              </w:rPr>
              <w:t>15</w:t>
            </w:r>
          </w:p>
        </w:tc>
        <w:tc>
          <w:tcPr>
            <w:tcW w:w="1280" w:type="dxa"/>
          </w:tcPr>
          <w:p w14:paraId="12ACEC2D" w14:textId="77777777" w:rsidR="00B20647" w:rsidRPr="005B4528" w:rsidRDefault="00B20647" w:rsidP="00B20647">
            <w:pPr>
              <w:spacing w:line="360" w:lineRule="auto"/>
              <w:jc w:val="center"/>
              <w:rPr>
                <w:rFonts w:ascii="Times New Roman" w:hAnsi="Times New Roman" w:cs="Times New Roman"/>
                <w:b/>
                <w:bCs/>
              </w:rPr>
            </w:pPr>
            <w:r w:rsidRPr="005B4528">
              <w:rPr>
                <w:rFonts w:ascii="Times New Roman" w:hAnsi="Times New Roman" w:cs="Times New Roman"/>
              </w:rPr>
              <w:t>10</w:t>
            </w:r>
          </w:p>
        </w:tc>
        <w:tc>
          <w:tcPr>
            <w:tcW w:w="1277" w:type="dxa"/>
          </w:tcPr>
          <w:p w14:paraId="0EED4355" w14:textId="77777777" w:rsidR="00B20647" w:rsidRPr="005B4528" w:rsidRDefault="00B20647" w:rsidP="00B20647">
            <w:pPr>
              <w:spacing w:line="360" w:lineRule="auto"/>
              <w:jc w:val="center"/>
              <w:rPr>
                <w:rFonts w:ascii="Times New Roman" w:hAnsi="Times New Roman" w:cs="Times New Roman"/>
                <w:b/>
                <w:bCs/>
              </w:rPr>
            </w:pPr>
            <w:r w:rsidRPr="005B4528">
              <w:rPr>
                <w:rFonts w:ascii="Times New Roman" w:hAnsi="Times New Roman" w:cs="Times New Roman"/>
              </w:rPr>
              <w:t>10</w:t>
            </w:r>
          </w:p>
        </w:tc>
        <w:tc>
          <w:tcPr>
            <w:tcW w:w="1278" w:type="dxa"/>
          </w:tcPr>
          <w:p w14:paraId="3F3CC435" w14:textId="77777777" w:rsidR="00B20647" w:rsidRPr="005B4528" w:rsidRDefault="00B20647" w:rsidP="00B20647">
            <w:pPr>
              <w:spacing w:line="360" w:lineRule="auto"/>
              <w:jc w:val="center"/>
              <w:rPr>
                <w:rFonts w:ascii="Times New Roman" w:hAnsi="Times New Roman" w:cs="Times New Roman"/>
                <w:b/>
                <w:bCs/>
              </w:rPr>
            </w:pPr>
            <w:r w:rsidRPr="005B4528">
              <w:rPr>
                <w:rFonts w:ascii="Times New Roman" w:hAnsi="Times New Roman" w:cs="Times New Roman"/>
              </w:rPr>
              <w:t>15</w:t>
            </w:r>
          </w:p>
        </w:tc>
      </w:tr>
      <w:tr w:rsidR="00B20647" w:rsidRPr="005B4528" w14:paraId="1B432825" w14:textId="77777777" w:rsidTr="00BD0A30">
        <w:trPr>
          <w:trHeight w:val="841"/>
        </w:trPr>
        <w:tc>
          <w:tcPr>
            <w:tcW w:w="1686" w:type="dxa"/>
          </w:tcPr>
          <w:p w14:paraId="4812E2EA" w14:textId="77777777" w:rsidR="00B20647" w:rsidRPr="005B4528" w:rsidRDefault="00B20647" w:rsidP="00B20647">
            <w:pPr>
              <w:spacing w:line="360" w:lineRule="auto"/>
              <w:jc w:val="center"/>
              <w:rPr>
                <w:rFonts w:ascii="Times New Roman" w:hAnsi="Times New Roman" w:cs="Times New Roman"/>
                <w:b/>
                <w:bCs/>
              </w:rPr>
            </w:pPr>
            <w:r w:rsidRPr="005B4528">
              <w:rPr>
                <w:rFonts w:ascii="Times New Roman" w:hAnsi="Times New Roman" w:cs="Times New Roman"/>
                <w:b/>
                <w:bCs/>
              </w:rPr>
              <w:t>Temperature (</w:t>
            </w:r>
            <w:r w:rsidRPr="005B4528">
              <w:rPr>
                <w:rFonts w:ascii="Times New Roman" w:hAnsi="Times New Roman" w:cs="Times New Roman"/>
                <w:b/>
                <w:bCs/>
                <w:vertAlign w:val="superscript"/>
              </w:rPr>
              <w:t xml:space="preserve">o </w:t>
            </w:r>
            <w:r w:rsidRPr="005B4528">
              <w:rPr>
                <w:rFonts w:ascii="Times New Roman" w:hAnsi="Times New Roman" w:cs="Times New Roman"/>
                <w:b/>
                <w:bCs/>
              </w:rPr>
              <w:t>C)</w:t>
            </w:r>
          </w:p>
        </w:tc>
        <w:tc>
          <w:tcPr>
            <w:tcW w:w="1295" w:type="dxa"/>
          </w:tcPr>
          <w:p w14:paraId="17980FDD"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15.3</w:t>
            </w:r>
          </w:p>
        </w:tc>
        <w:tc>
          <w:tcPr>
            <w:tcW w:w="1302" w:type="dxa"/>
          </w:tcPr>
          <w:p w14:paraId="3FA5577E"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21.9</w:t>
            </w:r>
          </w:p>
        </w:tc>
        <w:tc>
          <w:tcPr>
            <w:tcW w:w="1288" w:type="dxa"/>
          </w:tcPr>
          <w:p w14:paraId="451A5E2E"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18.9</w:t>
            </w:r>
          </w:p>
        </w:tc>
        <w:tc>
          <w:tcPr>
            <w:tcW w:w="1280" w:type="dxa"/>
          </w:tcPr>
          <w:p w14:paraId="1F9BE9A6"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23.3</w:t>
            </w:r>
          </w:p>
        </w:tc>
        <w:tc>
          <w:tcPr>
            <w:tcW w:w="1277" w:type="dxa"/>
          </w:tcPr>
          <w:p w14:paraId="3B5F3E1A"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23.1</w:t>
            </w:r>
          </w:p>
        </w:tc>
        <w:tc>
          <w:tcPr>
            <w:tcW w:w="1278" w:type="dxa"/>
          </w:tcPr>
          <w:p w14:paraId="4FDE3925"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24</w:t>
            </w:r>
          </w:p>
        </w:tc>
      </w:tr>
      <w:tr w:rsidR="00B20647" w:rsidRPr="005B4528" w14:paraId="3F02797C" w14:textId="77777777" w:rsidTr="00B20647">
        <w:trPr>
          <w:trHeight w:val="537"/>
        </w:trPr>
        <w:tc>
          <w:tcPr>
            <w:tcW w:w="1686" w:type="dxa"/>
          </w:tcPr>
          <w:p w14:paraId="7A67D5E6" w14:textId="77777777" w:rsidR="00B20647" w:rsidRPr="005B4528" w:rsidRDefault="00B20647" w:rsidP="00B20647">
            <w:pPr>
              <w:spacing w:line="360" w:lineRule="auto"/>
              <w:jc w:val="center"/>
              <w:rPr>
                <w:rFonts w:ascii="Times New Roman" w:hAnsi="Times New Roman" w:cs="Times New Roman"/>
                <w:b/>
                <w:bCs/>
              </w:rPr>
            </w:pPr>
            <w:r w:rsidRPr="005B4528">
              <w:rPr>
                <w:rFonts w:ascii="Times New Roman" w:hAnsi="Times New Roman" w:cs="Times New Roman"/>
                <w:b/>
                <w:bCs/>
              </w:rPr>
              <w:t>pH</w:t>
            </w:r>
          </w:p>
        </w:tc>
        <w:tc>
          <w:tcPr>
            <w:tcW w:w="1295" w:type="dxa"/>
          </w:tcPr>
          <w:p w14:paraId="7C85DD2D"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7.1</w:t>
            </w:r>
          </w:p>
        </w:tc>
        <w:tc>
          <w:tcPr>
            <w:tcW w:w="1302" w:type="dxa"/>
          </w:tcPr>
          <w:p w14:paraId="3682F4AB"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7.8</w:t>
            </w:r>
          </w:p>
        </w:tc>
        <w:tc>
          <w:tcPr>
            <w:tcW w:w="1288" w:type="dxa"/>
          </w:tcPr>
          <w:p w14:paraId="58F11E8F"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7.2</w:t>
            </w:r>
          </w:p>
        </w:tc>
        <w:tc>
          <w:tcPr>
            <w:tcW w:w="1280" w:type="dxa"/>
          </w:tcPr>
          <w:p w14:paraId="352E3701"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7.4</w:t>
            </w:r>
          </w:p>
        </w:tc>
        <w:tc>
          <w:tcPr>
            <w:tcW w:w="1277" w:type="dxa"/>
          </w:tcPr>
          <w:p w14:paraId="49010026"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7.1</w:t>
            </w:r>
          </w:p>
        </w:tc>
        <w:tc>
          <w:tcPr>
            <w:tcW w:w="1278" w:type="dxa"/>
          </w:tcPr>
          <w:p w14:paraId="466F8307"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6.9</w:t>
            </w:r>
          </w:p>
        </w:tc>
      </w:tr>
      <w:tr w:rsidR="00B20647" w:rsidRPr="005B4528" w14:paraId="2A9C8171" w14:textId="77777777" w:rsidTr="00B20647">
        <w:trPr>
          <w:trHeight w:val="537"/>
        </w:trPr>
        <w:tc>
          <w:tcPr>
            <w:tcW w:w="1686" w:type="dxa"/>
          </w:tcPr>
          <w:p w14:paraId="5CFB70FF" w14:textId="77777777" w:rsidR="00B20647" w:rsidRPr="005B4528" w:rsidRDefault="00B20647" w:rsidP="00B20647">
            <w:pPr>
              <w:spacing w:line="360" w:lineRule="auto"/>
              <w:jc w:val="center"/>
              <w:rPr>
                <w:rFonts w:ascii="Times New Roman" w:hAnsi="Times New Roman" w:cs="Times New Roman"/>
                <w:b/>
                <w:bCs/>
                <w:vertAlign w:val="subscript"/>
              </w:rPr>
            </w:pPr>
            <w:r w:rsidRPr="005B4528">
              <w:rPr>
                <w:rFonts w:ascii="Times New Roman" w:hAnsi="Times New Roman" w:cs="Times New Roman"/>
                <w:b/>
                <w:bCs/>
              </w:rPr>
              <w:t>Free CO</w:t>
            </w:r>
            <w:r w:rsidRPr="005B4528">
              <w:rPr>
                <w:rFonts w:ascii="Times New Roman" w:hAnsi="Times New Roman" w:cs="Times New Roman"/>
                <w:b/>
                <w:bCs/>
                <w:vertAlign w:val="subscript"/>
              </w:rPr>
              <w:t>2</w:t>
            </w:r>
          </w:p>
        </w:tc>
        <w:tc>
          <w:tcPr>
            <w:tcW w:w="1295" w:type="dxa"/>
          </w:tcPr>
          <w:p w14:paraId="352AD681"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35</w:t>
            </w:r>
          </w:p>
        </w:tc>
        <w:tc>
          <w:tcPr>
            <w:tcW w:w="1302" w:type="dxa"/>
          </w:tcPr>
          <w:p w14:paraId="4773F3F8"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32</w:t>
            </w:r>
          </w:p>
        </w:tc>
        <w:tc>
          <w:tcPr>
            <w:tcW w:w="1288" w:type="dxa"/>
          </w:tcPr>
          <w:p w14:paraId="46635A85"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42</w:t>
            </w:r>
          </w:p>
        </w:tc>
        <w:tc>
          <w:tcPr>
            <w:tcW w:w="1280" w:type="dxa"/>
          </w:tcPr>
          <w:p w14:paraId="6C946998"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42</w:t>
            </w:r>
          </w:p>
        </w:tc>
        <w:tc>
          <w:tcPr>
            <w:tcW w:w="1277" w:type="dxa"/>
          </w:tcPr>
          <w:p w14:paraId="14A3DEC9"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49</w:t>
            </w:r>
          </w:p>
        </w:tc>
        <w:tc>
          <w:tcPr>
            <w:tcW w:w="1278" w:type="dxa"/>
          </w:tcPr>
          <w:p w14:paraId="6DA69484"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46</w:t>
            </w:r>
          </w:p>
        </w:tc>
      </w:tr>
      <w:tr w:rsidR="00B20647" w:rsidRPr="005B4528" w14:paraId="46C44C91" w14:textId="77777777" w:rsidTr="00B20647">
        <w:trPr>
          <w:trHeight w:val="537"/>
        </w:trPr>
        <w:tc>
          <w:tcPr>
            <w:tcW w:w="1686" w:type="dxa"/>
          </w:tcPr>
          <w:p w14:paraId="511E9EB2" w14:textId="77777777" w:rsidR="00B20647" w:rsidRPr="005B4528" w:rsidRDefault="00B20647" w:rsidP="00B20647">
            <w:pPr>
              <w:spacing w:line="360" w:lineRule="auto"/>
              <w:jc w:val="center"/>
              <w:rPr>
                <w:rFonts w:ascii="Times New Roman" w:hAnsi="Times New Roman" w:cs="Times New Roman"/>
                <w:b/>
                <w:bCs/>
              </w:rPr>
            </w:pPr>
            <w:r w:rsidRPr="005B4528">
              <w:rPr>
                <w:rFonts w:ascii="Times New Roman" w:hAnsi="Times New Roman" w:cs="Times New Roman"/>
                <w:b/>
                <w:bCs/>
              </w:rPr>
              <w:t>Alkalinity</w:t>
            </w:r>
          </w:p>
        </w:tc>
        <w:tc>
          <w:tcPr>
            <w:tcW w:w="1295" w:type="dxa"/>
          </w:tcPr>
          <w:p w14:paraId="1EBAF9EB"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126</w:t>
            </w:r>
          </w:p>
        </w:tc>
        <w:tc>
          <w:tcPr>
            <w:tcW w:w="1302" w:type="dxa"/>
          </w:tcPr>
          <w:p w14:paraId="06126B64"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170</w:t>
            </w:r>
          </w:p>
        </w:tc>
        <w:tc>
          <w:tcPr>
            <w:tcW w:w="1288" w:type="dxa"/>
          </w:tcPr>
          <w:p w14:paraId="0BAE8597"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120</w:t>
            </w:r>
          </w:p>
        </w:tc>
        <w:tc>
          <w:tcPr>
            <w:tcW w:w="1280" w:type="dxa"/>
          </w:tcPr>
          <w:p w14:paraId="4147B66A"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140</w:t>
            </w:r>
          </w:p>
        </w:tc>
        <w:tc>
          <w:tcPr>
            <w:tcW w:w="1277" w:type="dxa"/>
          </w:tcPr>
          <w:p w14:paraId="772DE210"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109</w:t>
            </w:r>
          </w:p>
        </w:tc>
        <w:tc>
          <w:tcPr>
            <w:tcW w:w="1278" w:type="dxa"/>
          </w:tcPr>
          <w:p w14:paraId="36466CAF"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110</w:t>
            </w:r>
          </w:p>
        </w:tc>
      </w:tr>
      <w:tr w:rsidR="00B20647" w:rsidRPr="005B4528" w14:paraId="1D3EB692" w14:textId="77777777" w:rsidTr="00B20647">
        <w:trPr>
          <w:trHeight w:val="537"/>
        </w:trPr>
        <w:tc>
          <w:tcPr>
            <w:tcW w:w="1686" w:type="dxa"/>
          </w:tcPr>
          <w:p w14:paraId="73BA2C17" w14:textId="77777777" w:rsidR="00B20647" w:rsidRPr="005B4528" w:rsidRDefault="00B20647" w:rsidP="00B20647">
            <w:pPr>
              <w:spacing w:line="360" w:lineRule="auto"/>
              <w:jc w:val="center"/>
              <w:rPr>
                <w:rFonts w:ascii="Times New Roman" w:hAnsi="Times New Roman" w:cs="Times New Roman"/>
                <w:b/>
                <w:bCs/>
              </w:rPr>
            </w:pPr>
            <w:r w:rsidRPr="005B4528">
              <w:rPr>
                <w:rFonts w:ascii="Times New Roman" w:hAnsi="Times New Roman" w:cs="Times New Roman"/>
                <w:b/>
                <w:bCs/>
              </w:rPr>
              <w:t>TDS (ppm)</w:t>
            </w:r>
          </w:p>
        </w:tc>
        <w:tc>
          <w:tcPr>
            <w:tcW w:w="1295" w:type="dxa"/>
          </w:tcPr>
          <w:p w14:paraId="483A7141"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185</w:t>
            </w:r>
          </w:p>
        </w:tc>
        <w:tc>
          <w:tcPr>
            <w:tcW w:w="1302" w:type="dxa"/>
          </w:tcPr>
          <w:p w14:paraId="0517B10B"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268</w:t>
            </w:r>
          </w:p>
        </w:tc>
        <w:tc>
          <w:tcPr>
            <w:tcW w:w="1288" w:type="dxa"/>
          </w:tcPr>
          <w:p w14:paraId="78EFB215"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261</w:t>
            </w:r>
          </w:p>
        </w:tc>
        <w:tc>
          <w:tcPr>
            <w:tcW w:w="1280" w:type="dxa"/>
          </w:tcPr>
          <w:p w14:paraId="1E8FCD96"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171</w:t>
            </w:r>
          </w:p>
        </w:tc>
        <w:tc>
          <w:tcPr>
            <w:tcW w:w="1277" w:type="dxa"/>
          </w:tcPr>
          <w:p w14:paraId="0DCEB402"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250</w:t>
            </w:r>
          </w:p>
        </w:tc>
        <w:tc>
          <w:tcPr>
            <w:tcW w:w="1278" w:type="dxa"/>
          </w:tcPr>
          <w:p w14:paraId="4DDC7343"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250</w:t>
            </w:r>
          </w:p>
        </w:tc>
      </w:tr>
      <w:tr w:rsidR="00B20647" w:rsidRPr="005B4528" w14:paraId="1B996147" w14:textId="77777777" w:rsidTr="00BD0A30">
        <w:trPr>
          <w:trHeight w:val="830"/>
        </w:trPr>
        <w:tc>
          <w:tcPr>
            <w:tcW w:w="1686" w:type="dxa"/>
          </w:tcPr>
          <w:p w14:paraId="09EEC1BB" w14:textId="77777777" w:rsidR="00B20647" w:rsidRPr="005B4528" w:rsidRDefault="00B20647" w:rsidP="00B20647">
            <w:pPr>
              <w:spacing w:line="360" w:lineRule="auto"/>
              <w:jc w:val="center"/>
              <w:rPr>
                <w:rFonts w:ascii="Times New Roman" w:hAnsi="Times New Roman" w:cs="Times New Roman"/>
                <w:b/>
                <w:bCs/>
              </w:rPr>
            </w:pPr>
            <w:r w:rsidRPr="005B4528">
              <w:rPr>
                <w:rFonts w:ascii="Times New Roman" w:hAnsi="Times New Roman" w:cs="Times New Roman"/>
                <w:b/>
                <w:bCs/>
              </w:rPr>
              <w:t>Conductivity (</w:t>
            </w:r>
            <w:proofErr w:type="gramStart"/>
            <w:r w:rsidRPr="005B4528">
              <w:rPr>
                <w:rFonts w:ascii="Times New Roman" w:hAnsi="Times New Roman" w:cs="Times New Roman"/>
                <w:b/>
                <w:bCs/>
              </w:rPr>
              <w:t>d  S</w:t>
            </w:r>
            <w:proofErr w:type="gramEnd"/>
            <w:r w:rsidRPr="005B4528">
              <w:rPr>
                <w:rFonts w:ascii="Times New Roman" w:hAnsi="Times New Roman" w:cs="Times New Roman"/>
                <w:b/>
                <w:bCs/>
              </w:rPr>
              <w:t>/m)</w:t>
            </w:r>
          </w:p>
        </w:tc>
        <w:tc>
          <w:tcPr>
            <w:tcW w:w="1295" w:type="dxa"/>
          </w:tcPr>
          <w:p w14:paraId="278AC960"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2</w:t>
            </w:r>
          </w:p>
        </w:tc>
        <w:tc>
          <w:tcPr>
            <w:tcW w:w="1302" w:type="dxa"/>
          </w:tcPr>
          <w:p w14:paraId="125C2252"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2</w:t>
            </w:r>
          </w:p>
        </w:tc>
        <w:tc>
          <w:tcPr>
            <w:tcW w:w="1288" w:type="dxa"/>
          </w:tcPr>
          <w:p w14:paraId="739D7156"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2</w:t>
            </w:r>
          </w:p>
        </w:tc>
        <w:tc>
          <w:tcPr>
            <w:tcW w:w="1280" w:type="dxa"/>
          </w:tcPr>
          <w:p w14:paraId="7A11F05E"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2</w:t>
            </w:r>
          </w:p>
        </w:tc>
        <w:tc>
          <w:tcPr>
            <w:tcW w:w="1277" w:type="dxa"/>
          </w:tcPr>
          <w:p w14:paraId="1D3F375E"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2</w:t>
            </w:r>
          </w:p>
        </w:tc>
        <w:tc>
          <w:tcPr>
            <w:tcW w:w="1278" w:type="dxa"/>
          </w:tcPr>
          <w:p w14:paraId="1D3BD64F"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2</w:t>
            </w:r>
          </w:p>
        </w:tc>
      </w:tr>
      <w:tr w:rsidR="00B20647" w:rsidRPr="005B4528" w14:paraId="0A8CD700" w14:textId="77777777" w:rsidTr="00BD0A30">
        <w:trPr>
          <w:trHeight w:val="591"/>
        </w:trPr>
        <w:tc>
          <w:tcPr>
            <w:tcW w:w="1686" w:type="dxa"/>
          </w:tcPr>
          <w:p w14:paraId="6635ACB1" w14:textId="77777777" w:rsidR="00B20647" w:rsidRPr="005B4528" w:rsidRDefault="00B20647" w:rsidP="00B20647">
            <w:pPr>
              <w:spacing w:line="360" w:lineRule="auto"/>
              <w:jc w:val="center"/>
              <w:rPr>
                <w:rFonts w:ascii="Times New Roman" w:hAnsi="Times New Roman" w:cs="Times New Roman"/>
                <w:b/>
                <w:bCs/>
              </w:rPr>
            </w:pPr>
            <w:r w:rsidRPr="005B4528">
              <w:rPr>
                <w:rFonts w:ascii="Times New Roman" w:hAnsi="Times New Roman" w:cs="Times New Roman"/>
                <w:b/>
                <w:bCs/>
              </w:rPr>
              <w:t>Turbidity (NTU)</w:t>
            </w:r>
          </w:p>
        </w:tc>
        <w:tc>
          <w:tcPr>
            <w:tcW w:w="1295" w:type="dxa"/>
          </w:tcPr>
          <w:p w14:paraId="342F0294"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80.4</w:t>
            </w:r>
          </w:p>
        </w:tc>
        <w:tc>
          <w:tcPr>
            <w:tcW w:w="1302" w:type="dxa"/>
          </w:tcPr>
          <w:p w14:paraId="0A82C069"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202</w:t>
            </w:r>
          </w:p>
        </w:tc>
        <w:tc>
          <w:tcPr>
            <w:tcW w:w="1288" w:type="dxa"/>
          </w:tcPr>
          <w:p w14:paraId="551C2B0C"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54.1</w:t>
            </w:r>
          </w:p>
        </w:tc>
        <w:tc>
          <w:tcPr>
            <w:tcW w:w="1280" w:type="dxa"/>
          </w:tcPr>
          <w:p w14:paraId="34AC6053"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46.9</w:t>
            </w:r>
          </w:p>
        </w:tc>
        <w:tc>
          <w:tcPr>
            <w:tcW w:w="1277" w:type="dxa"/>
          </w:tcPr>
          <w:p w14:paraId="53F81862"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60.5</w:t>
            </w:r>
          </w:p>
        </w:tc>
        <w:tc>
          <w:tcPr>
            <w:tcW w:w="1278" w:type="dxa"/>
          </w:tcPr>
          <w:p w14:paraId="6FCC4556"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51.8</w:t>
            </w:r>
          </w:p>
        </w:tc>
      </w:tr>
      <w:tr w:rsidR="00B20647" w:rsidRPr="005B4528" w14:paraId="7EB61AC9" w14:textId="77777777" w:rsidTr="00B20647">
        <w:trPr>
          <w:trHeight w:val="537"/>
        </w:trPr>
        <w:tc>
          <w:tcPr>
            <w:tcW w:w="1686" w:type="dxa"/>
          </w:tcPr>
          <w:p w14:paraId="5820DE0F" w14:textId="77777777" w:rsidR="00B20647" w:rsidRPr="005B4528" w:rsidRDefault="00B20647" w:rsidP="00B20647">
            <w:pPr>
              <w:tabs>
                <w:tab w:val="left" w:pos="638"/>
              </w:tabs>
              <w:spacing w:line="360" w:lineRule="auto"/>
              <w:jc w:val="center"/>
              <w:rPr>
                <w:rFonts w:ascii="Times New Roman" w:hAnsi="Times New Roman" w:cs="Times New Roman"/>
                <w:b/>
                <w:bCs/>
              </w:rPr>
            </w:pPr>
            <w:r w:rsidRPr="005B4528">
              <w:rPr>
                <w:rFonts w:ascii="Times New Roman" w:hAnsi="Times New Roman" w:cs="Times New Roman"/>
                <w:b/>
                <w:bCs/>
              </w:rPr>
              <w:t>TH</w:t>
            </w:r>
          </w:p>
        </w:tc>
        <w:tc>
          <w:tcPr>
            <w:tcW w:w="1295" w:type="dxa"/>
          </w:tcPr>
          <w:p w14:paraId="7FF3D517"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50</w:t>
            </w:r>
          </w:p>
        </w:tc>
        <w:tc>
          <w:tcPr>
            <w:tcW w:w="1302" w:type="dxa"/>
          </w:tcPr>
          <w:p w14:paraId="4842C5EC"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76</w:t>
            </w:r>
          </w:p>
        </w:tc>
        <w:tc>
          <w:tcPr>
            <w:tcW w:w="1288" w:type="dxa"/>
          </w:tcPr>
          <w:p w14:paraId="44AFBE3C"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70</w:t>
            </w:r>
          </w:p>
        </w:tc>
        <w:tc>
          <w:tcPr>
            <w:tcW w:w="1280" w:type="dxa"/>
          </w:tcPr>
          <w:p w14:paraId="2521D2EC"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62</w:t>
            </w:r>
          </w:p>
        </w:tc>
        <w:tc>
          <w:tcPr>
            <w:tcW w:w="1277" w:type="dxa"/>
          </w:tcPr>
          <w:p w14:paraId="1DA57A62"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65</w:t>
            </w:r>
          </w:p>
        </w:tc>
        <w:tc>
          <w:tcPr>
            <w:tcW w:w="1278" w:type="dxa"/>
          </w:tcPr>
          <w:p w14:paraId="7054C27D"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71</w:t>
            </w:r>
          </w:p>
        </w:tc>
      </w:tr>
      <w:tr w:rsidR="00B20647" w:rsidRPr="005B4528" w14:paraId="36AF059E" w14:textId="77777777" w:rsidTr="00B20647">
        <w:trPr>
          <w:trHeight w:val="537"/>
        </w:trPr>
        <w:tc>
          <w:tcPr>
            <w:tcW w:w="1686" w:type="dxa"/>
          </w:tcPr>
          <w:p w14:paraId="2B2E8815" w14:textId="77777777" w:rsidR="00B20647" w:rsidRPr="005B4528" w:rsidRDefault="00B20647" w:rsidP="00B20647">
            <w:pPr>
              <w:spacing w:line="360" w:lineRule="auto"/>
              <w:jc w:val="center"/>
              <w:rPr>
                <w:rFonts w:ascii="Times New Roman" w:hAnsi="Times New Roman" w:cs="Times New Roman"/>
                <w:b/>
                <w:bCs/>
              </w:rPr>
            </w:pPr>
            <w:r w:rsidRPr="005B4528">
              <w:rPr>
                <w:rFonts w:ascii="Times New Roman" w:hAnsi="Times New Roman" w:cs="Times New Roman"/>
                <w:b/>
                <w:bCs/>
              </w:rPr>
              <w:t>Calcium</w:t>
            </w:r>
          </w:p>
        </w:tc>
        <w:tc>
          <w:tcPr>
            <w:tcW w:w="1295" w:type="dxa"/>
          </w:tcPr>
          <w:p w14:paraId="3327593C"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8</w:t>
            </w:r>
          </w:p>
        </w:tc>
        <w:tc>
          <w:tcPr>
            <w:tcW w:w="1302" w:type="dxa"/>
          </w:tcPr>
          <w:p w14:paraId="079710D7"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28</w:t>
            </w:r>
          </w:p>
        </w:tc>
        <w:tc>
          <w:tcPr>
            <w:tcW w:w="1288" w:type="dxa"/>
          </w:tcPr>
          <w:p w14:paraId="496DCADE"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27.8</w:t>
            </w:r>
          </w:p>
        </w:tc>
        <w:tc>
          <w:tcPr>
            <w:tcW w:w="1280" w:type="dxa"/>
          </w:tcPr>
          <w:p w14:paraId="140C7A6C"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19</w:t>
            </w:r>
          </w:p>
        </w:tc>
        <w:tc>
          <w:tcPr>
            <w:tcW w:w="1277" w:type="dxa"/>
          </w:tcPr>
          <w:p w14:paraId="3DC1378F"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23</w:t>
            </w:r>
          </w:p>
        </w:tc>
        <w:tc>
          <w:tcPr>
            <w:tcW w:w="1278" w:type="dxa"/>
          </w:tcPr>
          <w:p w14:paraId="387D36E0"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30</w:t>
            </w:r>
          </w:p>
        </w:tc>
      </w:tr>
      <w:tr w:rsidR="00B20647" w:rsidRPr="005B4528" w14:paraId="160024A1" w14:textId="77777777" w:rsidTr="00B20647">
        <w:trPr>
          <w:trHeight w:val="537"/>
        </w:trPr>
        <w:tc>
          <w:tcPr>
            <w:tcW w:w="1686" w:type="dxa"/>
          </w:tcPr>
          <w:p w14:paraId="73775ADB" w14:textId="77777777" w:rsidR="00B20647" w:rsidRPr="005B4528" w:rsidRDefault="00B20647" w:rsidP="00B20647">
            <w:pPr>
              <w:spacing w:line="360" w:lineRule="auto"/>
              <w:jc w:val="center"/>
              <w:rPr>
                <w:rFonts w:ascii="Times New Roman" w:hAnsi="Times New Roman" w:cs="Times New Roman"/>
                <w:b/>
                <w:bCs/>
              </w:rPr>
            </w:pPr>
            <w:r w:rsidRPr="005B4528">
              <w:rPr>
                <w:rFonts w:ascii="Times New Roman" w:hAnsi="Times New Roman" w:cs="Times New Roman"/>
                <w:b/>
                <w:bCs/>
              </w:rPr>
              <w:t>Magnesium</w:t>
            </w:r>
          </w:p>
        </w:tc>
        <w:tc>
          <w:tcPr>
            <w:tcW w:w="1295" w:type="dxa"/>
          </w:tcPr>
          <w:p w14:paraId="44E5894E"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42</w:t>
            </w:r>
          </w:p>
        </w:tc>
        <w:tc>
          <w:tcPr>
            <w:tcW w:w="1302" w:type="dxa"/>
          </w:tcPr>
          <w:p w14:paraId="34D15804"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42</w:t>
            </w:r>
          </w:p>
        </w:tc>
        <w:tc>
          <w:tcPr>
            <w:tcW w:w="1288" w:type="dxa"/>
          </w:tcPr>
          <w:p w14:paraId="5E2A73C2"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42.2</w:t>
            </w:r>
          </w:p>
        </w:tc>
        <w:tc>
          <w:tcPr>
            <w:tcW w:w="1280" w:type="dxa"/>
          </w:tcPr>
          <w:p w14:paraId="1DA7BF4E"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43</w:t>
            </w:r>
          </w:p>
        </w:tc>
        <w:tc>
          <w:tcPr>
            <w:tcW w:w="1277" w:type="dxa"/>
          </w:tcPr>
          <w:p w14:paraId="4762E768"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42</w:t>
            </w:r>
          </w:p>
        </w:tc>
        <w:tc>
          <w:tcPr>
            <w:tcW w:w="1278" w:type="dxa"/>
          </w:tcPr>
          <w:p w14:paraId="385452FA"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41</w:t>
            </w:r>
          </w:p>
        </w:tc>
      </w:tr>
      <w:tr w:rsidR="00B20647" w:rsidRPr="005B4528" w14:paraId="3EA44390" w14:textId="77777777" w:rsidTr="00B20647">
        <w:trPr>
          <w:trHeight w:val="537"/>
        </w:trPr>
        <w:tc>
          <w:tcPr>
            <w:tcW w:w="1686" w:type="dxa"/>
          </w:tcPr>
          <w:p w14:paraId="1E89E5DE" w14:textId="77777777" w:rsidR="00B20647" w:rsidRPr="005B4528" w:rsidRDefault="00B20647" w:rsidP="00B20647">
            <w:pPr>
              <w:spacing w:line="360" w:lineRule="auto"/>
              <w:jc w:val="center"/>
              <w:rPr>
                <w:rFonts w:ascii="Times New Roman" w:hAnsi="Times New Roman" w:cs="Times New Roman"/>
                <w:b/>
                <w:bCs/>
              </w:rPr>
            </w:pPr>
            <w:r w:rsidRPr="005B4528">
              <w:rPr>
                <w:rFonts w:ascii="Times New Roman" w:hAnsi="Times New Roman" w:cs="Times New Roman"/>
                <w:b/>
                <w:bCs/>
              </w:rPr>
              <w:t>BOD</w:t>
            </w:r>
          </w:p>
        </w:tc>
        <w:tc>
          <w:tcPr>
            <w:tcW w:w="1295" w:type="dxa"/>
          </w:tcPr>
          <w:p w14:paraId="2B444406"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12.5</w:t>
            </w:r>
          </w:p>
        </w:tc>
        <w:tc>
          <w:tcPr>
            <w:tcW w:w="1302" w:type="dxa"/>
          </w:tcPr>
          <w:p w14:paraId="74F273DE"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4.2</w:t>
            </w:r>
          </w:p>
        </w:tc>
        <w:tc>
          <w:tcPr>
            <w:tcW w:w="1288" w:type="dxa"/>
          </w:tcPr>
          <w:p w14:paraId="1453F5C0"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4.1</w:t>
            </w:r>
          </w:p>
        </w:tc>
        <w:tc>
          <w:tcPr>
            <w:tcW w:w="1280" w:type="dxa"/>
          </w:tcPr>
          <w:p w14:paraId="74078204"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4.8</w:t>
            </w:r>
          </w:p>
        </w:tc>
        <w:tc>
          <w:tcPr>
            <w:tcW w:w="1277" w:type="dxa"/>
          </w:tcPr>
          <w:p w14:paraId="5F13C74A"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6.8</w:t>
            </w:r>
          </w:p>
        </w:tc>
        <w:tc>
          <w:tcPr>
            <w:tcW w:w="1278" w:type="dxa"/>
          </w:tcPr>
          <w:p w14:paraId="14D15B32"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3.6</w:t>
            </w:r>
          </w:p>
        </w:tc>
      </w:tr>
      <w:tr w:rsidR="00B20647" w:rsidRPr="005B4528" w14:paraId="750CCDAD" w14:textId="77777777" w:rsidTr="00B20647">
        <w:trPr>
          <w:trHeight w:val="537"/>
        </w:trPr>
        <w:tc>
          <w:tcPr>
            <w:tcW w:w="1686" w:type="dxa"/>
          </w:tcPr>
          <w:p w14:paraId="3EC0C035" w14:textId="77777777" w:rsidR="00B20647" w:rsidRPr="005B4528" w:rsidRDefault="00B20647" w:rsidP="00B20647">
            <w:pPr>
              <w:spacing w:line="360" w:lineRule="auto"/>
              <w:jc w:val="center"/>
              <w:rPr>
                <w:rFonts w:ascii="Times New Roman" w:hAnsi="Times New Roman" w:cs="Times New Roman"/>
                <w:b/>
                <w:bCs/>
              </w:rPr>
            </w:pPr>
            <w:r w:rsidRPr="005B4528">
              <w:rPr>
                <w:rFonts w:ascii="Times New Roman" w:hAnsi="Times New Roman" w:cs="Times New Roman"/>
                <w:b/>
                <w:bCs/>
              </w:rPr>
              <w:t>COD</w:t>
            </w:r>
          </w:p>
        </w:tc>
        <w:tc>
          <w:tcPr>
            <w:tcW w:w="1295" w:type="dxa"/>
          </w:tcPr>
          <w:p w14:paraId="039A8361"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144</w:t>
            </w:r>
          </w:p>
        </w:tc>
        <w:tc>
          <w:tcPr>
            <w:tcW w:w="1302" w:type="dxa"/>
          </w:tcPr>
          <w:p w14:paraId="59AED6B6"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176</w:t>
            </w:r>
          </w:p>
        </w:tc>
        <w:tc>
          <w:tcPr>
            <w:tcW w:w="1288" w:type="dxa"/>
          </w:tcPr>
          <w:p w14:paraId="236FDFFB"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160</w:t>
            </w:r>
          </w:p>
        </w:tc>
        <w:tc>
          <w:tcPr>
            <w:tcW w:w="1280" w:type="dxa"/>
          </w:tcPr>
          <w:p w14:paraId="15F06E30"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168</w:t>
            </w:r>
          </w:p>
        </w:tc>
        <w:tc>
          <w:tcPr>
            <w:tcW w:w="1277" w:type="dxa"/>
          </w:tcPr>
          <w:p w14:paraId="43BFDE49"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172</w:t>
            </w:r>
          </w:p>
        </w:tc>
        <w:tc>
          <w:tcPr>
            <w:tcW w:w="1278" w:type="dxa"/>
          </w:tcPr>
          <w:p w14:paraId="32BF6EDC"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159</w:t>
            </w:r>
          </w:p>
        </w:tc>
      </w:tr>
      <w:tr w:rsidR="00B20647" w:rsidRPr="005B4528" w14:paraId="3FB86C07" w14:textId="77777777" w:rsidTr="00B20647">
        <w:trPr>
          <w:trHeight w:val="537"/>
        </w:trPr>
        <w:tc>
          <w:tcPr>
            <w:tcW w:w="1686" w:type="dxa"/>
          </w:tcPr>
          <w:p w14:paraId="073B6B4C" w14:textId="77777777" w:rsidR="00B20647" w:rsidRPr="005B4528" w:rsidRDefault="00B20647" w:rsidP="00B20647">
            <w:pPr>
              <w:spacing w:line="360" w:lineRule="auto"/>
              <w:jc w:val="center"/>
              <w:rPr>
                <w:rFonts w:ascii="Times New Roman" w:hAnsi="Times New Roman" w:cs="Times New Roman"/>
                <w:b/>
                <w:bCs/>
              </w:rPr>
            </w:pPr>
            <w:r w:rsidRPr="005B4528">
              <w:rPr>
                <w:rFonts w:ascii="Times New Roman" w:hAnsi="Times New Roman" w:cs="Times New Roman"/>
                <w:b/>
                <w:bCs/>
              </w:rPr>
              <w:t>DO</w:t>
            </w:r>
          </w:p>
        </w:tc>
        <w:tc>
          <w:tcPr>
            <w:tcW w:w="1295" w:type="dxa"/>
          </w:tcPr>
          <w:p w14:paraId="0D90096C"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6.25</w:t>
            </w:r>
          </w:p>
        </w:tc>
        <w:tc>
          <w:tcPr>
            <w:tcW w:w="1302" w:type="dxa"/>
          </w:tcPr>
          <w:p w14:paraId="69C61A4C"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5.41</w:t>
            </w:r>
          </w:p>
        </w:tc>
        <w:tc>
          <w:tcPr>
            <w:tcW w:w="1288" w:type="dxa"/>
          </w:tcPr>
          <w:p w14:paraId="6FEBB9F0"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9.16</w:t>
            </w:r>
          </w:p>
        </w:tc>
        <w:tc>
          <w:tcPr>
            <w:tcW w:w="1280" w:type="dxa"/>
          </w:tcPr>
          <w:p w14:paraId="41490E58"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10.4</w:t>
            </w:r>
          </w:p>
        </w:tc>
        <w:tc>
          <w:tcPr>
            <w:tcW w:w="1277" w:type="dxa"/>
          </w:tcPr>
          <w:p w14:paraId="2AB81E03"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9.5</w:t>
            </w:r>
          </w:p>
        </w:tc>
        <w:tc>
          <w:tcPr>
            <w:tcW w:w="1278" w:type="dxa"/>
          </w:tcPr>
          <w:p w14:paraId="74641CF9"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6.8</w:t>
            </w:r>
          </w:p>
        </w:tc>
      </w:tr>
    </w:tbl>
    <w:p w14:paraId="21150DDB" w14:textId="77777777" w:rsidR="00185A04" w:rsidRPr="005B4528" w:rsidRDefault="00185A04" w:rsidP="007F11E7">
      <w:pPr>
        <w:spacing w:line="360" w:lineRule="auto"/>
        <w:jc w:val="both"/>
        <w:rPr>
          <w:rFonts w:ascii="Times New Roman" w:hAnsi="Times New Roman" w:cs="Times New Roman"/>
        </w:rPr>
      </w:pPr>
    </w:p>
    <w:p w14:paraId="3FC13EB6" w14:textId="77777777" w:rsidR="007B6C57" w:rsidRPr="005B4528" w:rsidRDefault="00220F67" w:rsidP="003B750D">
      <w:pPr>
        <w:spacing w:line="360" w:lineRule="auto"/>
        <w:jc w:val="both"/>
        <w:rPr>
          <w:rFonts w:ascii="Times New Roman" w:hAnsi="Times New Roman" w:cs="Times New Roman"/>
          <w:b/>
          <w:bCs/>
        </w:rPr>
      </w:pPr>
      <w:r w:rsidRPr="005B4528">
        <w:rPr>
          <w:rFonts w:ascii="Times New Roman" w:hAnsi="Times New Roman" w:cs="Times New Roman"/>
          <w:b/>
          <w:bCs/>
        </w:rPr>
        <w:t>C</w:t>
      </w:r>
      <w:r w:rsidR="007B6C57" w:rsidRPr="005B4528">
        <w:rPr>
          <w:rFonts w:ascii="Times New Roman" w:hAnsi="Times New Roman" w:cs="Times New Roman"/>
          <w:b/>
          <w:bCs/>
        </w:rPr>
        <w:t>olor</w:t>
      </w:r>
    </w:p>
    <w:p w14:paraId="738F8FC6" w14:textId="77777777" w:rsidR="00245AD9" w:rsidRPr="005B4528" w:rsidRDefault="008B3631" w:rsidP="003B750D">
      <w:pPr>
        <w:spacing w:line="360" w:lineRule="auto"/>
        <w:jc w:val="center"/>
        <w:rPr>
          <w:rFonts w:ascii="Times New Roman" w:hAnsi="Times New Roman" w:cs="Times New Roman"/>
          <w:i/>
          <w:iCs/>
        </w:rPr>
      </w:pPr>
      <w:r w:rsidRPr="005B4528">
        <w:rPr>
          <w:rFonts w:ascii="Times New Roman" w:hAnsi="Times New Roman" w:cs="Times New Roman"/>
          <w:noProof/>
          <w:lang w:bidi="hi-IN"/>
        </w:rPr>
        <w:lastRenderedPageBreak/>
        <w:drawing>
          <wp:inline distT="0" distB="0" distL="0" distR="0" wp14:anchorId="0E82B7BC" wp14:editId="47CF6A6F">
            <wp:extent cx="4572000" cy="2196820"/>
            <wp:effectExtent l="19050" t="0" r="19050" b="0"/>
            <wp:docPr id="1880204922" name="Chart 1">
              <a:extLst xmlns:a="http://schemas.openxmlformats.org/drawingml/2006/main">
                <a:ext uri="{FF2B5EF4-FFF2-40B4-BE49-F238E27FC236}">
                  <a16:creationId xmlns:a16="http://schemas.microsoft.com/office/drawing/2014/main" id="{42E8C901-A97B-BE8F-260F-CDBF27CBE2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58B9FF4" w14:textId="77777777" w:rsidR="00245AD9" w:rsidRPr="005B4528" w:rsidRDefault="00245AD9" w:rsidP="003B750D">
      <w:pPr>
        <w:spacing w:line="360" w:lineRule="auto"/>
        <w:jc w:val="center"/>
        <w:rPr>
          <w:rFonts w:ascii="Times New Roman" w:hAnsi="Times New Roman" w:cs="Times New Roman"/>
          <w:b/>
          <w:bCs/>
        </w:rPr>
      </w:pPr>
      <w:r w:rsidRPr="005B4528">
        <w:rPr>
          <w:rFonts w:ascii="Times New Roman" w:hAnsi="Times New Roman" w:cs="Times New Roman"/>
          <w:b/>
          <w:bCs/>
        </w:rPr>
        <w:t>Figure 1: Variation of Color of Inlet and Outlet water of the STP</w:t>
      </w:r>
    </w:p>
    <w:p w14:paraId="38844BC0" w14:textId="77777777" w:rsidR="00DE5635" w:rsidRPr="005B4528" w:rsidRDefault="009F09BE" w:rsidP="003B750D">
      <w:pPr>
        <w:spacing w:line="360" w:lineRule="auto"/>
        <w:jc w:val="both"/>
        <w:rPr>
          <w:rFonts w:ascii="Times New Roman" w:hAnsi="Times New Roman" w:cs="Times New Roman"/>
        </w:rPr>
      </w:pPr>
      <w:r w:rsidRPr="005B4528">
        <w:rPr>
          <w:rFonts w:ascii="Times New Roman" w:hAnsi="Times New Roman" w:cs="Times New Roman"/>
        </w:rPr>
        <w:t>The STP demonstrated notable reduction in water color</w:t>
      </w:r>
      <w:r w:rsidR="007221F7" w:rsidRPr="005B4528">
        <w:rPr>
          <w:rFonts w:ascii="Times New Roman" w:hAnsi="Times New Roman" w:cs="Times New Roman"/>
        </w:rPr>
        <w:t xml:space="preserve"> (Table 1</w:t>
      </w:r>
      <w:r w:rsidR="00185A04" w:rsidRPr="005B4528">
        <w:rPr>
          <w:rFonts w:ascii="Times New Roman" w:hAnsi="Times New Roman" w:cs="Times New Roman"/>
        </w:rPr>
        <w:t xml:space="preserve"> and 2 </w:t>
      </w:r>
      <w:r w:rsidR="007221F7" w:rsidRPr="005B4528">
        <w:rPr>
          <w:rFonts w:ascii="Times New Roman" w:hAnsi="Times New Roman" w:cs="Times New Roman"/>
        </w:rPr>
        <w:t>and Fig.1)</w:t>
      </w:r>
      <w:r w:rsidRPr="005B4528">
        <w:rPr>
          <w:rFonts w:ascii="Times New Roman" w:hAnsi="Times New Roman" w:cs="Times New Roman"/>
        </w:rPr>
        <w:t xml:space="preserve">, with values decreasing from 25–35 (inlet) to 10–15 (outlet), suggesting effective sedimentation and oxidation processes. Color reduction confirms the removal of substances </w:t>
      </w:r>
      <w:r w:rsidR="009E290F" w:rsidRPr="005B4528">
        <w:rPr>
          <w:rFonts w:ascii="Times New Roman" w:hAnsi="Times New Roman" w:cs="Times New Roman"/>
        </w:rPr>
        <w:t xml:space="preserve">through processes like sedimentation and biological treatment. Slight increase in March </w:t>
      </w:r>
      <w:r w:rsidR="00996D6E" w:rsidRPr="005B4528">
        <w:rPr>
          <w:rFonts w:ascii="Times New Roman" w:hAnsi="Times New Roman" w:cs="Times New Roman"/>
        </w:rPr>
        <w:t xml:space="preserve">and June suggest seasonal factors may influence treatment efficiency. As per CPCB </w:t>
      </w:r>
      <w:r w:rsidR="00185A04" w:rsidRPr="005B4528">
        <w:rPr>
          <w:rFonts w:ascii="Times New Roman" w:hAnsi="Times New Roman" w:cs="Times New Roman"/>
        </w:rPr>
        <w:t xml:space="preserve">(2008) </w:t>
      </w:r>
      <w:r w:rsidR="00996D6E" w:rsidRPr="005B4528">
        <w:rPr>
          <w:rFonts w:ascii="Times New Roman" w:hAnsi="Times New Roman" w:cs="Times New Roman"/>
        </w:rPr>
        <w:t>guidelines, treated water should ideally appear colorless before discharge or reuse.</w:t>
      </w:r>
    </w:p>
    <w:p w14:paraId="465AE51C" w14:textId="77777777" w:rsidR="007B6C57" w:rsidRPr="005B4528" w:rsidRDefault="00232F89" w:rsidP="003B750D">
      <w:pPr>
        <w:spacing w:line="360" w:lineRule="auto"/>
        <w:jc w:val="both"/>
        <w:rPr>
          <w:rFonts w:ascii="Times New Roman" w:hAnsi="Times New Roman" w:cs="Times New Roman"/>
          <w:b/>
          <w:bCs/>
        </w:rPr>
      </w:pPr>
      <w:r w:rsidRPr="005B4528">
        <w:rPr>
          <w:rFonts w:ascii="Times New Roman" w:hAnsi="Times New Roman" w:cs="Times New Roman"/>
          <w:b/>
          <w:bCs/>
        </w:rPr>
        <w:t>T</w:t>
      </w:r>
      <w:r w:rsidR="007B6C57" w:rsidRPr="005B4528">
        <w:rPr>
          <w:rFonts w:ascii="Times New Roman" w:hAnsi="Times New Roman" w:cs="Times New Roman"/>
          <w:b/>
          <w:bCs/>
        </w:rPr>
        <w:t>emperature</w:t>
      </w:r>
    </w:p>
    <w:p w14:paraId="28142D47" w14:textId="77777777" w:rsidR="00245AD9" w:rsidRPr="005B4528" w:rsidRDefault="00245AD9" w:rsidP="003B750D">
      <w:pPr>
        <w:spacing w:line="360" w:lineRule="auto"/>
        <w:jc w:val="both"/>
        <w:rPr>
          <w:rFonts w:ascii="Times New Roman" w:hAnsi="Times New Roman" w:cs="Times New Roman"/>
        </w:rPr>
      </w:pPr>
      <w:r w:rsidRPr="005B4528">
        <w:rPr>
          <w:rFonts w:ascii="Times New Roman" w:hAnsi="Times New Roman" w:cs="Times New Roman"/>
        </w:rPr>
        <w:t>Temperature varied seasonally</w:t>
      </w:r>
      <w:r w:rsidR="00F326E1" w:rsidRPr="005B4528">
        <w:rPr>
          <w:rFonts w:ascii="Times New Roman" w:hAnsi="Times New Roman" w:cs="Times New Roman"/>
        </w:rPr>
        <w:t xml:space="preserve"> (Table 1, 2 and</w:t>
      </w:r>
      <w:r w:rsidR="007221F7" w:rsidRPr="005B4528">
        <w:rPr>
          <w:rFonts w:ascii="Times New Roman" w:hAnsi="Times New Roman" w:cs="Times New Roman"/>
        </w:rPr>
        <w:t xml:space="preserve"> Fig.2)</w:t>
      </w:r>
      <w:r w:rsidRPr="005B4528">
        <w:rPr>
          <w:rFonts w:ascii="Times New Roman" w:hAnsi="Times New Roman" w:cs="Times New Roman"/>
        </w:rPr>
        <w:t>, from 14.8°C to 23.8°C (inlet) and 15.3°C to 24°C (outlet), showing minor elevation due to biological processes. Temperature of inlet water ranges from 14.8</w:t>
      </w:r>
      <w:r w:rsidRPr="005B4528">
        <w:rPr>
          <w:rFonts w:ascii="Times New Roman" w:hAnsi="Times New Roman" w:cs="Times New Roman"/>
          <w:vertAlign w:val="superscript"/>
        </w:rPr>
        <w:t>0</w:t>
      </w:r>
      <w:proofErr w:type="gramStart"/>
      <w:r w:rsidRPr="005B4528">
        <w:rPr>
          <w:rFonts w:ascii="Times New Roman" w:hAnsi="Times New Roman" w:cs="Times New Roman"/>
        </w:rPr>
        <w:t>C  to</w:t>
      </w:r>
      <w:proofErr w:type="gramEnd"/>
      <w:r w:rsidRPr="005B4528">
        <w:rPr>
          <w:rFonts w:ascii="Times New Roman" w:hAnsi="Times New Roman" w:cs="Times New Roman"/>
        </w:rPr>
        <w:t xml:space="preserve"> 23.8</w:t>
      </w:r>
      <w:r w:rsidRPr="005B4528">
        <w:rPr>
          <w:rFonts w:ascii="Times New Roman" w:hAnsi="Times New Roman" w:cs="Times New Roman"/>
          <w:vertAlign w:val="superscript"/>
        </w:rPr>
        <w:t>0</w:t>
      </w:r>
      <w:r w:rsidR="00F326E1" w:rsidRPr="005B4528">
        <w:rPr>
          <w:rFonts w:ascii="Times New Roman" w:hAnsi="Times New Roman" w:cs="Times New Roman"/>
        </w:rPr>
        <w:t>C</w:t>
      </w:r>
      <w:r w:rsidRPr="005B4528">
        <w:rPr>
          <w:rFonts w:ascii="Times New Roman" w:hAnsi="Times New Roman" w:cs="Times New Roman"/>
        </w:rPr>
        <w:t>, while outlet temperature ranges between 15.3</w:t>
      </w:r>
      <w:r w:rsidRPr="005B4528">
        <w:rPr>
          <w:rFonts w:ascii="Times New Roman" w:hAnsi="Times New Roman" w:cs="Times New Roman"/>
          <w:vertAlign w:val="superscript"/>
        </w:rPr>
        <w:t>0</w:t>
      </w:r>
      <w:r w:rsidRPr="005B4528">
        <w:rPr>
          <w:rFonts w:ascii="Times New Roman" w:hAnsi="Times New Roman" w:cs="Times New Roman"/>
        </w:rPr>
        <w:t>C and 23.3</w:t>
      </w:r>
      <w:r w:rsidRPr="005B4528">
        <w:rPr>
          <w:rFonts w:ascii="Times New Roman" w:hAnsi="Times New Roman" w:cs="Times New Roman"/>
          <w:vertAlign w:val="superscript"/>
        </w:rPr>
        <w:t>0</w:t>
      </w:r>
      <w:r w:rsidRPr="005B4528">
        <w:rPr>
          <w:rFonts w:ascii="Times New Roman" w:hAnsi="Times New Roman" w:cs="Times New Roman"/>
        </w:rPr>
        <w:t>C. The lowest temperature was recorded in the month of January</w:t>
      </w:r>
      <w:r w:rsidR="00F326E1" w:rsidRPr="005B4528">
        <w:rPr>
          <w:rFonts w:ascii="Times New Roman" w:hAnsi="Times New Roman" w:cs="Times New Roman"/>
        </w:rPr>
        <w:t xml:space="preserve"> </w:t>
      </w:r>
      <w:r w:rsidRPr="005B4528">
        <w:rPr>
          <w:rFonts w:ascii="Times New Roman" w:hAnsi="Times New Roman" w:cs="Times New Roman"/>
        </w:rPr>
        <w:t>(14.89</w:t>
      </w:r>
      <w:r w:rsidRPr="005B4528">
        <w:rPr>
          <w:rFonts w:ascii="Times New Roman" w:hAnsi="Times New Roman" w:cs="Times New Roman"/>
          <w:vertAlign w:val="superscript"/>
        </w:rPr>
        <w:t>0</w:t>
      </w:r>
      <w:r w:rsidRPr="005B4528">
        <w:rPr>
          <w:rFonts w:ascii="Times New Roman" w:hAnsi="Times New Roman" w:cs="Times New Roman"/>
        </w:rPr>
        <w:t>C inlet,23.3</w:t>
      </w:r>
      <w:r w:rsidRPr="005B4528">
        <w:rPr>
          <w:rFonts w:ascii="Times New Roman" w:hAnsi="Times New Roman" w:cs="Times New Roman"/>
          <w:vertAlign w:val="superscript"/>
        </w:rPr>
        <w:t>0</w:t>
      </w:r>
      <w:r w:rsidRPr="005B4528">
        <w:rPr>
          <w:rFonts w:ascii="Times New Roman" w:hAnsi="Times New Roman" w:cs="Times New Roman"/>
        </w:rPr>
        <w:t>C outlet). Temperature influences the effectiveness of treatment, dissolved oxygen and microbial growth.</w:t>
      </w:r>
      <w:r w:rsidR="001E16BF" w:rsidRPr="005B4528">
        <w:rPr>
          <w:rFonts w:ascii="Times New Roman" w:hAnsi="Times New Roman" w:cs="Times New Roman"/>
        </w:rPr>
        <w:t xml:space="preserve"> The outlet temperature was slightly higher than the inlet, that can be due to biological activity and environmental conditions during the treatment. Temperature has a great influence the effective treatment, dissolved oxygen and microbial growth. Change in temperature cand made a huge impact on aquatic ecosystem if too hot or too cold water is released into the rivers and lakes directly.</w:t>
      </w:r>
    </w:p>
    <w:p w14:paraId="2919C8EC" w14:textId="77777777" w:rsidR="00245AD9" w:rsidRPr="005B4528" w:rsidRDefault="007F11E7" w:rsidP="007F11E7">
      <w:pPr>
        <w:spacing w:line="360" w:lineRule="auto"/>
        <w:jc w:val="center"/>
        <w:rPr>
          <w:rFonts w:ascii="Times New Roman" w:hAnsi="Times New Roman" w:cs="Times New Roman"/>
        </w:rPr>
      </w:pPr>
      <w:r w:rsidRPr="005B4528">
        <w:rPr>
          <w:rFonts w:ascii="Times New Roman" w:hAnsi="Times New Roman" w:cs="Times New Roman"/>
          <w:noProof/>
          <w:lang w:bidi="hi-IN"/>
        </w:rPr>
        <w:lastRenderedPageBreak/>
        <w:drawing>
          <wp:inline distT="0" distB="0" distL="0" distR="0" wp14:anchorId="7B32F492" wp14:editId="6CDD737B">
            <wp:extent cx="4515080" cy="2782111"/>
            <wp:effectExtent l="19050" t="0" r="18820" b="0"/>
            <wp:docPr id="1403702030" name="Chart 1">
              <a:extLst xmlns:a="http://schemas.openxmlformats.org/drawingml/2006/main">
                <a:ext uri="{FF2B5EF4-FFF2-40B4-BE49-F238E27FC236}">
                  <a16:creationId xmlns:a16="http://schemas.microsoft.com/office/drawing/2014/main" id="{015F7C88-E981-5A78-6E3D-06603503C3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D3DCE30" w14:textId="77777777" w:rsidR="00DE5635" w:rsidRPr="005B4528" w:rsidRDefault="00607B43" w:rsidP="00FA76DF">
      <w:pPr>
        <w:spacing w:line="360" w:lineRule="auto"/>
        <w:jc w:val="center"/>
        <w:rPr>
          <w:rFonts w:ascii="Times New Roman" w:hAnsi="Times New Roman" w:cs="Times New Roman"/>
          <w:b/>
          <w:bCs/>
        </w:rPr>
      </w:pPr>
      <w:r w:rsidRPr="005B4528">
        <w:rPr>
          <w:rFonts w:ascii="Times New Roman" w:hAnsi="Times New Roman" w:cs="Times New Roman"/>
          <w:b/>
          <w:bCs/>
        </w:rPr>
        <w:t>Figure 2: Variation of Temperature (</w:t>
      </w:r>
      <w:proofErr w:type="spellStart"/>
      <w:r w:rsidRPr="005B4528">
        <w:rPr>
          <w:rFonts w:ascii="Times New Roman" w:hAnsi="Times New Roman" w:cs="Times New Roman"/>
          <w:b/>
          <w:bCs/>
          <w:vertAlign w:val="superscript"/>
        </w:rPr>
        <w:t>o</w:t>
      </w:r>
      <w:r w:rsidRPr="005B4528">
        <w:rPr>
          <w:rFonts w:ascii="Times New Roman" w:hAnsi="Times New Roman" w:cs="Times New Roman"/>
          <w:b/>
          <w:bCs/>
        </w:rPr>
        <w:t>C</w:t>
      </w:r>
      <w:proofErr w:type="spellEnd"/>
      <w:r w:rsidRPr="005B4528">
        <w:rPr>
          <w:rFonts w:ascii="Times New Roman" w:hAnsi="Times New Roman" w:cs="Times New Roman"/>
          <w:b/>
          <w:bCs/>
        </w:rPr>
        <w:t>) of Inlet and Outlet water of the STP</w:t>
      </w:r>
    </w:p>
    <w:p w14:paraId="271BFA14" w14:textId="77777777" w:rsidR="00CC1411" w:rsidRPr="005B4528" w:rsidRDefault="00CC1411" w:rsidP="007F11E7">
      <w:pPr>
        <w:spacing w:line="360" w:lineRule="auto"/>
        <w:rPr>
          <w:rFonts w:ascii="Times New Roman" w:hAnsi="Times New Roman" w:cs="Times New Roman"/>
          <w:b/>
          <w:bCs/>
        </w:rPr>
      </w:pPr>
      <w:r w:rsidRPr="005B4528">
        <w:rPr>
          <w:rFonts w:ascii="Times New Roman" w:hAnsi="Times New Roman" w:cs="Times New Roman"/>
          <w:b/>
          <w:bCs/>
        </w:rPr>
        <w:t>pH</w:t>
      </w:r>
    </w:p>
    <w:p w14:paraId="7755A7A8" w14:textId="77777777" w:rsidR="00DE5635" w:rsidRPr="005B4528" w:rsidRDefault="00DE5635" w:rsidP="00DE5635">
      <w:pPr>
        <w:spacing w:line="360" w:lineRule="auto"/>
        <w:jc w:val="both"/>
        <w:rPr>
          <w:rFonts w:ascii="Times New Roman" w:hAnsi="Times New Roman" w:cs="Times New Roman"/>
        </w:rPr>
      </w:pPr>
      <w:r w:rsidRPr="005B4528">
        <w:rPr>
          <w:rFonts w:ascii="Times New Roman" w:hAnsi="Times New Roman" w:cs="Times New Roman"/>
        </w:rPr>
        <w:t>The pH, a measure of acidity or alkalinity, is crucial for maintaining environmental and biological balance. In sewage treatment (Table 1</w:t>
      </w:r>
      <w:r w:rsidR="00F326E1" w:rsidRPr="005B4528">
        <w:rPr>
          <w:rFonts w:ascii="Times New Roman" w:hAnsi="Times New Roman" w:cs="Times New Roman"/>
        </w:rPr>
        <w:t xml:space="preserve">, 2 </w:t>
      </w:r>
      <w:r w:rsidRPr="005B4528">
        <w:rPr>
          <w:rFonts w:ascii="Times New Roman" w:hAnsi="Times New Roman" w:cs="Times New Roman"/>
        </w:rPr>
        <w:t>and Fig.3), pH stability ensures system efficiency and environmental safety. The study observed inlet pH values ranging from 6.3 to 6.8 and outlet values between 6.9 and 7.8, indicating a slight increase post-treatment. Throughout the study, both influent and effluent pH levels remained in a moderately neutral range. The observed pH trend indicates that the sewage treatment plant is effectively regulating and stabilizing the pH of the wastewater. Maintaining a balanced pH is essential, as significant deviations toward acidity or alkalinity can impair biological treatment processes and pose risks to aquatic ecosystems. According to the guidelines set by CPCB (2008) and BIS (2012), the permissible pH range for treated effluent discharge is between 6.5 and 8.5. The outlet pH values in this study largely remain within this range, suggesting that the plant is functioning efficiently and producing water that is suitable for safe discharge into the environment or potential reuse applications.</w:t>
      </w:r>
    </w:p>
    <w:p w14:paraId="2C0DC26E" w14:textId="77777777" w:rsidR="000F27F3" w:rsidRPr="005B4528" w:rsidRDefault="008B3631" w:rsidP="003B750D">
      <w:pPr>
        <w:spacing w:line="360" w:lineRule="auto"/>
        <w:jc w:val="center"/>
        <w:rPr>
          <w:rFonts w:ascii="Times New Roman" w:hAnsi="Times New Roman" w:cs="Times New Roman"/>
        </w:rPr>
      </w:pPr>
      <w:r w:rsidRPr="005B4528">
        <w:rPr>
          <w:rFonts w:ascii="Times New Roman" w:hAnsi="Times New Roman" w:cs="Times New Roman"/>
          <w:noProof/>
          <w:lang w:bidi="hi-IN"/>
        </w:rPr>
        <w:lastRenderedPageBreak/>
        <w:drawing>
          <wp:inline distT="0" distB="0" distL="0" distR="0" wp14:anchorId="06A42C00" wp14:editId="6338A848">
            <wp:extent cx="4485059" cy="3054485"/>
            <wp:effectExtent l="19050" t="0" r="10741" b="0"/>
            <wp:docPr id="1884124904" name="Chart 1">
              <a:extLst xmlns:a="http://schemas.openxmlformats.org/drawingml/2006/main">
                <a:ext uri="{FF2B5EF4-FFF2-40B4-BE49-F238E27FC236}">
                  <a16:creationId xmlns:a16="http://schemas.microsoft.com/office/drawing/2014/main" id="{3EC571D2-0B5E-70AD-B89F-BDFC847534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6E8CD1B" w14:textId="77777777" w:rsidR="00DE5635" w:rsidRPr="005B4528" w:rsidRDefault="00CC1411" w:rsidP="00FA76DF">
      <w:pPr>
        <w:spacing w:line="360" w:lineRule="auto"/>
        <w:jc w:val="center"/>
        <w:rPr>
          <w:rFonts w:ascii="Times New Roman" w:hAnsi="Times New Roman" w:cs="Times New Roman"/>
          <w:b/>
          <w:bCs/>
        </w:rPr>
      </w:pPr>
      <w:r w:rsidRPr="005B4528">
        <w:rPr>
          <w:rFonts w:ascii="Times New Roman" w:hAnsi="Times New Roman" w:cs="Times New Roman"/>
          <w:b/>
          <w:bCs/>
        </w:rPr>
        <w:t>Figure 3: Variation of pH of Inlet and Outlet water of the STP</w:t>
      </w:r>
    </w:p>
    <w:p w14:paraId="4C1141CD" w14:textId="77777777" w:rsidR="000F27F3" w:rsidRPr="005B4528" w:rsidRDefault="00232183" w:rsidP="003B750D">
      <w:pPr>
        <w:spacing w:line="360" w:lineRule="auto"/>
        <w:jc w:val="both"/>
        <w:rPr>
          <w:rFonts w:ascii="Times New Roman" w:hAnsi="Times New Roman" w:cs="Times New Roman"/>
          <w:b/>
          <w:bCs/>
          <w:vertAlign w:val="subscript"/>
        </w:rPr>
      </w:pPr>
      <w:r w:rsidRPr="005B4528">
        <w:rPr>
          <w:rFonts w:ascii="Times New Roman" w:hAnsi="Times New Roman" w:cs="Times New Roman"/>
          <w:b/>
          <w:bCs/>
        </w:rPr>
        <w:t>Free CO</w:t>
      </w:r>
      <w:r w:rsidRPr="005B4528">
        <w:rPr>
          <w:rFonts w:ascii="Times New Roman" w:hAnsi="Times New Roman" w:cs="Times New Roman"/>
          <w:b/>
          <w:bCs/>
          <w:vertAlign w:val="subscript"/>
        </w:rPr>
        <w:t>2</w:t>
      </w:r>
    </w:p>
    <w:p w14:paraId="4D1629C4" w14:textId="77777777" w:rsidR="00DE5635" w:rsidRPr="005B4528" w:rsidRDefault="00DE5635" w:rsidP="00DE5635">
      <w:pPr>
        <w:spacing w:line="360" w:lineRule="auto"/>
        <w:jc w:val="both"/>
        <w:rPr>
          <w:rFonts w:ascii="Times New Roman" w:hAnsi="Times New Roman" w:cs="Times New Roman"/>
        </w:rPr>
      </w:pPr>
      <w:r w:rsidRPr="005B4528">
        <w:rPr>
          <w:rFonts w:ascii="Times New Roman" w:hAnsi="Times New Roman" w:cs="Times New Roman"/>
        </w:rPr>
        <w:t>The study showed that free CO₂ levels were consistently higher in the outlet than the inlet</w:t>
      </w:r>
      <w:r w:rsidR="00F326E1" w:rsidRPr="005B4528">
        <w:rPr>
          <w:rFonts w:ascii="Times New Roman" w:hAnsi="Times New Roman" w:cs="Times New Roman"/>
        </w:rPr>
        <w:t xml:space="preserve"> </w:t>
      </w:r>
      <w:r w:rsidRPr="005B4528">
        <w:rPr>
          <w:rFonts w:ascii="Times New Roman" w:hAnsi="Times New Roman" w:cs="Times New Roman"/>
        </w:rPr>
        <w:t>(Table 1</w:t>
      </w:r>
      <w:r w:rsidR="00F326E1" w:rsidRPr="005B4528">
        <w:rPr>
          <w:rFonts w:ascii="Times New Roman" w:hAnsi="Times New Roman" w:cs="Times New Roman"/>
        </w:rPr>
        <w:t xml:space="preserve">,2 </w:t>
      </w:r>
      <w:r w:rsidRPr="005B4528">
        <w:rPr>
          <w:rFonts w:ascii="Times New Roman" w:hAnsi="Times New Roman" w:cs="Times New Roman"/>
        </w:rPr>
        <w:t>and Fig.4), peaking at 49 mg/L in May. This rise is linked to increased microbial activity during warmer months, which breaks down organic matter and releases CO₂.</w:t>
      </w:r>
      <w:r w:rsidR="00F326E1" w:rsidRPr="005B4528">
        <w:rPr>
          <w:rFonts w:ascii="Times New Roman" w:hAnsi="Times New Roman" w:cs="Times New Roman"/>
        </w:rPr>
        <w:t xml:space="preserve"> </w:t>
      </w:r>
      <w:r w:rsidRPr="005B4528">
        <w:rPr>
          <w:rFonts w:ascii="Times New Roman" w:hAnsi="Times New Roman" w:cs="Times New Roman"/>
        </w:rPr>
        <w:t>The consistent elevation of free CO₂ concentrations in the outlet relative to the inlet indicates intensified microbial mineralization of organic matter during the biological treatment stages. This trend, particularly prominent during warmer months, reflects temperature</w:t>
      </w:r>
      <w:r w:rsidR="00F326E1" w:rsidRPr="005B4528">
        <w:rPr>
          <w:rFonts w:ascii="Times New Roman" w:hAnsi="Times New Roman" w:cs="Times New Roman"/>
        </w:rPr>
        <w:t xml:space="preserve"> </w:t>
      </w:r>
      <w:r w:rsidRPr="005B4528">
        <w:rPr>
          <w:rFonts w:ascii="Times New Roman" w:hAnsi="Times New Roman" w:cs="Times New Roman"/>
        </w:rPr>
        <w:t>induced enhancement of microbial metabolic rates, leading to increased CO₂ production. Although regulatory standards such as CPCB (2008) and BIS (2012) do not mandate specific limits for free CO₂, concentrations. These findings suggest the necessity for post-treatment measures, such as aeration, to ensure effluent quality complies with environmental norms.</w:t>
      </w:r>
      <w:r w:rsidR="00F326E1" w:rsidRPr="005B4528">
        <w:rPr>
          <w:rFonts w:ascii="Times New Roman" w:hAnsi="Times New Roman" w:cs="Times New Roman"/>
        </w:rPr>
        <w:t xml:space="preserve"> </w:t>
      </w:r>
      <w:r w:rsidRPr="005B4528">
        <w:rPr>
          <w:rFonts w:ascii="Times New Roman" w:hAnsi="Times New Roman" w:cs="Times New Roman"/>
        </w:rPr>
        <w:t>Although biological treatment is effective, the high CO₂ levels suggest a need for post-treatment steps like aeration. This would help stabilize the water and make it safer for discharge or reuse.</w:t>
      </w:r>
    </w:p>
    <w:p w14:paraId="664D2B4D" w14:textId="77777777" w:rsidR="00DE5635" w:rsidRPr="005B4528" w:rsidRDefault="00DE5635" w:rsidP="003B750D">
      <w:pPr>
        <w:spacing w:line="360" w:lineRule="auto"/>
        <w:jc w:val="both"/>
        <w:rPr>
          <w:rFonts w:ascii="Times New Roman" w:hAnsi="Times New Roman" w:cs="Times New Roman"/>
        </w:rPr>
      </w:pPr>
    </w:p>
    <w:p w14:paraId="398326C7" w14:textId="77777777" w:rsidR="000F27F3" w:rsidRPr="005B4528" w:rsidRDefault="00EE316B" w:rsidP="00272BB1">
      <w:pPr>
        <w:spacing w:line="360" w:lineRule="auto"/>
        <w:jc w:val="center"/>
        <w:rPr>
          <w:rFonts w:ascii="Times New Roman" w:hAnsi="Times New Roman" w:cs="Times New Roman"/>
        </w:rPr>
      </w:pPr>
      <w:r w:rsidRPr="005B4528">
        <w:rPr>
          <w:rFonts w:ascii="Times New Roman" w:hAnsi="Times New Roman" w:cs="Times New Roman"/>
          <w:noProof/>
          <w:lang w:bidi="hi-IN"/>
        </w:rPr>
        <w:lastRenderedPageBreak/>
        <w:drawing>
          <wp:inline distT="0" distB="0" distL="0" distR="0" wp14:anchorId="0F9CB969" wp14:editId="0A81B02A">
            <wp:extent cx="4112435" cy="2178996"/>
            <wp:effectExtent l="19050" t="0" r="21415" b="0"/>
            <wp:docPr id="1322943082" name="Chart 1">
              <a:extLst xmlns:a="http://schemas.openxmlformats.org/drawingml/2006/main">
                <a:ext uri="{FF2B5EF4-FFF2-40B4-BE49-F238E27FC236}">
                  <a16:creationId xmlns:a16="http://schemas.microsoft.com/office/drawing/2014/main" id="{AE7428A4-2FF1-0FD3-3E2F-43035946BB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7737928" w14:textId="77777777" w:rsidR="00DE5635" w:rsidRPr="005B4528" w:rsidRDefault="00CC1411" w:rsidP="00FA76DF">
      <w:pPr>
        <w:spacing w:line="360" w:lineRule="auto"/>
        <w:jc w:val="center"/>
        <w:rPr>
          <w:rFonts w:ascii="Times New Roman" w:hAnsi="Times New Roman" w:cs="Times New Roman"/>
          <w:b/>
          <w:bCs/>
        </w:rPr>
      </w:pPr>
      <w:r w:rsidRPr="005B4528">
        <w:rPr>
          <w:rFonts w:ascii="Times New Roman" w:hAnsi="Times New Roman" w:cs="Times New Roman"/>
          <w:b/>
          <w:bCs/>
        </w:rPr>
        <w:t>Figure 4: Variation of Free CO</w:t>
      </w:r>
      <w:r w:rsidRPr="005B4528">
        <w:rPr>
          <w:rFonts w:ascii="Times New Roman" w:hAnsi="Times New Roman" w:cs="Times New Roman"/>
          <w:b/>
          <w:bCs/>
          <w:vertAlign w:val="subscript"/>
        </w:rPr>
        <w:t>2</w:t>
      </w:r>
      <w:r w:rsidRPr="005B4528">
        <w:rPr>
          <w:rFonts w:ascii="Times New Roman" w:hAnsi="Times New Roman" w:cs="Times New Roman"/>
          <w:b/>
          <w:bCs/>
        </w:rPr>
        <w:t xml:space="preserve"> (mg/l) of Inlet and Outlet water of the STP.</w:t>
      </w:r>
    </w:p>
    <w:p w14:paraId="23FBDDB5" w14:textId="77777777" w:rsidR="000F27F3" w:rsidRPr="005B4528" w:rsidRDefault="000F27F3" w:rsidP="003B750D">
      <w:pPr>
        <w:spacing w:line="360" w:lineRule="auto"/>
        <w:jc w:val="both"/>
        <w:rPr>
          <w:rFonts w:ascii="Times New Roman" w:hAnsi="Times New Roman" w:cs="Times New Roman"/>
          <w:b/>
          <w:bCs/>
        </w:rPr>
      </w:pPr>
      <w:r w:rsidRPr="005B4528">
        <w:rPr>
          <w:rFonts w:ascii="Times New Roman" w:hAnsi="Times New Roman" w:cs="Times New Roman"/>
          <w:b/>
          <w:bCs/>
        </w:rPr>
        <w:t>Alkalinity</w:t>
      </w:r>
    </w:p>
    <w:p w14:paraId="10752B12" w14:textId="77777777" w:rsidR="0010239E" w:rsidRPr="005B4528" w:rsidRDefault="00245AD9" w:rsidP="003B750D">
      <w:pPr>
        <w:spacing w:line="360" w:lineRule="auto"/>
        <w:jc w:val="both"/>
        <w:rPr>
          <w:rFonts w:ascii="Times New Roman" w:hAnsi="Times New Roman" w:cs="Times New Roman"/>
        </w:rPr>
      </w:pPr>
      <w:r w:rsidRPr="005B4528">
        <w:rPr>
          <w:rFonts w:ascii="Times New Roman" w:hAnsi="Times New Roman" w:cs="Times New Roman"/>
        </w:rPr>
        <w:t>During the study, inlet alkalinity ranged from 152 to 260 mg/</w:t>
      </w:r>
      <w:proofErr w:type="gramStart"/>
      <w:r w:rsidRPr="005B4528">
        <w:rPr>
          <w:rFonts w:ascii="Times New Roman" w:hAnsi="Times New Roman" w:cs="Times New Roman"/>
        </w:rPr>
        <w:t>L</w:t>
      </w:r>
      <w:r w:rsidR="0018504F" w:rsidRPr="005B4528">
        <w:rPr>
          <w:rFonts w:ascii="Times New Roman" w:hAnsi="Times New Roman" w:cs="Times New Roman"/>
        </w:rPr>
        <w:t>(</w:t>
      </w:r>
      <w:proofErr w:type="gramEnd"/>
      <w:r w:rsidR="0018504F" w:rsidRPr="005B4528">
        <w:rPr>
          <w:rFonts w:ascii="Times New Roman" w:hAnsi="Times New Roman" w:cs="Times New Roman"/>
        </w:rPr>
        <w:t>Table 1</w:t>
      </w:r>
      <w:r w:rsidR="00F326E1" w:rsidRPr="005B4528">
        <w:rPr>
          <w:rFonts w:ascii="Times New Roman" w:hAnsi="Times New Roman" w:cs="Times New Roman"/>
        </w:rPr>
        <w:t xml:space="preserve">, 2 </w:t>
      </w:r>
      <w:r w:rsidR="0018504F" w:rsidRPr="005B4528">
        <w:rPr>
          <w:rFonts w:ascii="Times New Roman" w:hAnsi="Times New Roman" w:cs="Times New Roman"/>
        </w:rPr>
        <w:t>and Fig.5)</w:t>
      </w:r>
      <w:r w:rsidRPr="005B4528">
        <w:rPr>
          <w:rFonts w:ascii="Times New Roman" w:hAnsi="Times New Roman" w:cs="Times New Roman"/>
        </w:rPr>
        <w:t xml:space="preserve">, often exceeding safe limits due to household and industrial waste. After treatment, outlet values dropped to a safer range of 109–140 mg/L. </w:t>
      </w:r>
      <w:r w:rsidR="0010239E" w:rsidRPr="005B4528">
        <w:rPr>
          <w:rFonts w:ascii="Times New Roman" w:hAnsi="Times New Roman" w:cs="Times New Roman"/>
        </w:rPr>
        <w:t>Alkalinity reduction in sewage treatment primarily occurs through biochemical oxidation of organic and nitrogenous compounds, leading to acid formation that neutralizes available alkalinity. Seasonal fluctuations in influent levels are attributed to variable wastewater composition from domestic and industrial sources. Inlet values frequently exceeded the CPCB (2008) and BIS (2012) permissible limit, while treated effluent remained within acceptable standards. This indicates effective alkalinity control by the STP, contributing to pH stabilization and compliance with regulatory </w:t>
      </w:r>
      <w:proofErr w:type="spellStart"/>
      <w:proofErr w:type="gramStart"/>
      <w:r w:rsidR="0010239E" w:rsidRPr="005B4528">
        <w:rPr>
          <w:rFonts w:ascii="Times New Roman" w:hAnsi="Times New Roman" w:cs="Times New Roman"/>
        </w:rPr>
        <w:t>guidelines.The</w:t>
      </w:r>
      <w:proofErr w:type="spellEnd"/>
      <w:proofErr w:type="gramEnd"/>
      <w:r w:rsidR="0010239E" w:rsidRPr="005B4528">
        <w:rPr>
          <w:rFonts w:ascii="Times New Roman" w:hAnsi="Times New Roman" w:cs="Times New Roman"/>
        </w:rPr>
        <w:t xml:space="preserve"> reduction shows the plant effectively removes excess alkalinity through biological processes.</w:t>
      </w:r>
    </w:p>
    <w:p w14:paraId="7A01FB7F" w14:textId="77777777" w:rsidR="00245AD9" w:rsidRPr="005B4528" w:rsidRDefault="007F11E7" w:rsidP="007F11E7">
      <w:pPr>
        <w:spacing w:line="360" w:lineRule="auto"/>
        <w:jc w:val="center"/>
        <w:rPr>
          <w:rFonts w:ascii="Times New Roman" w:hAnsi="Times New Roman" w:cs="Times New Roman"/>
          <w:i/>
          <w:iCs/>
        </w:rPr>
      </w:pPr>
      <w:r w:rsidRPr="005B4528">
        <w:rPr>
          <w:rFonts w:ascii="Times New Roman" w:hAnsi="Times New Roman" w:cs="Times New Roman"/>
          <w:noProof/>
          <w:lang w:bidi="hi-IN"/>
        </w:rPr>
        <w:drawing>
          <wp:inline distT="0" distB="0" distL="0" distR="0" wp14:anchorId="2C4FE585" wp14:editId="1024E3E1">
            <wp:extent cx="4597575" cy="2042809"/>
            <wp:effectExtent l="19050" t="0" r="12525" b="0"/>
            <wp:docPr id="421500173" name="Chart 1">
              <a:extLst xmlns:a="http://schemas.openxmlformats.org/drawingml/2006/main">
                <a:ext uri="{FF2B5EF4-FFF2-40B4-BE49-F238E27FC236}">
                  <a16:creationId xmlns:a16="http://schemas.microsoft.com/office/drawing/2014/main" id="{2DA2F930-F7AE-E3F4-D248-B5D6CF9677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91A2C8D" w14:textId="77777777" w:rsidR="007F11E7" w:rsidRPr="005B4528" w:rsidRDefault="000F27F3" w:rsidP="007F11E7">
      <w:pPr>
        <w:spacing w:line="360" w:lineRule="auto"/>
        <w:jc w:val="center"/>
        <w:rPr>
          <w:rFonts w:ascii="Times New Roman" w:hAnsi="Times New Roman" w:cs="Times New Roman"/>
          <w:b/>
          <w:bCs/>
          <w:noProof/>
        </w:rPr>
      </w:pPr>
      <w:r w:rsidRPr="005B4528">
        <w:rPr>
          <w:rFonts w:ascii="Times New Roman" w:hAnsi="Times New Roman" w:cs="Times New Roman"/>
          <w:b/>
          <w:bCs/>
        </w:rPr>
        <w:lastRenderedPageBreak/>
        <w:t>Figure 5: Variation of Alkalinity (mg/l) of inlet and outlet water of the STP.</w:t>
      </w:r>
    </w:p>
    <w:p w14:paraId="3C2BE8FA" w14:textId="77777777" w:rsidR="007B6C57" w:rsidRPr="005B4528" w:rsidRDefault="007B6C57" w:rsidP="007F11E7">
      <w:pPr>
        <w:spacing w:line="360" w:lineRule="auto"/>
        <w:rPr>
          <w:rFonts w:ascii="Times New Roman" w:hAnsi="Times New Roman" w:cs="Times New Roman"/>
          <w:b/>
          <w:bCs/>
          <w:noProof/>
        </w:rPr>
      </w:pPr>
      <w:r w:rsidRPr="005B4528">
        <w:rPr>
          <w:rFonts w:ascii="Times New Roman" w:hAnsi="Times New Roman" w:cs="Times New Roman"/>
          <w:b/>
          <w:bCs/>
        </w:rPr>
        <w:t>T</w:t>
      </w:r>
      <w:r w:rsidR="00B35EC8" w:rsidRPr="005B4528">
        <w:rPr>
          <w:rFonts w:ascii="Times New Roman" w:hAnsi="Times New Roman" w:cs="Times New Roman"/>
          <w:b/>
          <w:bCs/>
        </w:rPr>
        <w:t>otal Dissolved Solids (TDS)</w:t>
      </w:r>
    </w:p>
    <w:p w14:paraId="7B958ACB" w14:textId="77777777" w:rsidR="000F27F3" w:rsidRPr="005B4528" w:rsidRDefault="000F27F3" w:rsidP="003B750D">
      <w:pPr>
        <w:spacing w:line="360" w:lineRule="auto"/>
        <w:jc w:val="both"/>
        <w:rPr>
          <w:rFonts w:ascii="Times New Roman" w:hAnsi="Times New Roman" w:cs="Times New Roman"/>
          <w:i/>
          <w:iCs/>
        </w:rPr>
      </w:pPr>
    </w:p>
    <w:p w14:paraId="32FA94FE" w14:textId="77777777" w:rsidR="00245AD9" w:rsidRPr="005B4528" w:rsidRDefault="00245AD9" w:rsidP="00272BB1">
      <w:pPr>
        <w:spacing w:line="360" w:lineRule="auto"/>
        <w:jc w:val="center"/>
        <w:rPr>
          <w:rFonts w:ascii="Times New Roman" w:hAnsi="Times New Roman" w:cs="Times New Roman"/>
          <w:i/>
          <w:iCs/>
        </w:rPr>
      </w:pPr>
      <w:r w:rsidRPr="005B4528">
        <w:rPr>
          <w:rFonts w:ascii="Times New Roman" w:hAnsi="Times New Roman" w:cs="Times New Roman"/>
          <w:noProof/>
          <w:lang w:bidi="hi-IN"/>
        </w:rPr>
        <w:drawing>
          <wp:inline distT="0" distB="0" distL="0" distR="0" wp14:anchorId="7246E9EE" wp14:editId="25893C55">
            <wp:extent cx="4400055" cy="2806065"/>
            <wp:effectExtent l="0" t="0" r="635" b="13335"/>
            <wp:docPr id="1237648988" name="Chart 1">
              <a:extLst xmlns:a="http://schemas.openxmlformats.org/drawingml/2006/main">
                <a:ext uri="{FF2B5EF4-FFF2-40B4-BE49-F238E27FC236}">
                  <a16:creationId xmlns:a16="http://schemas.microsoft.com/office/drawing/2014/main" id="{E12F259A-BBE6-1AE4-FD15-E8B2B9C56295}"/>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232A8DE" w14:textId="77777777" w:rsidR="000F27F3" w:rsidRPr="005B4528" w:rsidRDefault="00CC1411" w:rsidP="00272BB1">
      <w:pPr>
        <w:spacing w:line="360" w:lineRule="auto"/>
        <w:jc w:val="center"/>
        <w:rPr>
          <w:rFonts w:ascii="Times New Roman" w:hAnsi="Times New Roman" w:cs="Times New Roman"/>
          <w:b/>
          <w:bCs/>
        </w:rPr>
      </w:pPr>
      <w:r w:rsidRPr="005B4528">
        <w:rPr>
          <w:rFonts w:ascii="Times New Roman" w:hAnsi="Times New Roman" w:cs="Times New Roman"/>
          <w:b/>
          <w:bCs/>
        </w:rPr>
        <w:t>Figure 6: Variation of TDS (mg/l) of Inlet and Outlet water of the STP.</w:t>
      </w:r>
    </w:p>
    <w:p w14:paraId="7C852942" w14:textId="77777777" w:rsidR="0010239E" w:rsidRPr="005B4528" w:rsidRDefault="00A038B8" w:rsidP="003B750D">
      <w:pPr>
        <w:spacing w:line="360" w:lineRule="auto"/>
        <w:jc w:val="both"/>
        <w:rPr>
          <w:rFonts w:ascii="Times New Roman" w:hAnsi="Times New Roman" w:cs="Times New Roman"/>
        </w:rPr>
      </w:pPr>
      <w:r w:rsidRPr="005B4528">
        <w:rPr>
          <w:rFonts w:ascii="Times New Roman" w:hAnsi="Times New Roman" w:cs="Times New Roman"/>
        </w:rPr>
        <w:t>During the study, inlet TDS levels ranged from 220 to 320 mg/L</w:t>
      </w:r>
      <w:r w:rsidR="0018504F" w:rsidRPr="005B4528">
        <w:rPr>
          <w:rFonts w:ascii="Times New Roman" w:hAnsi="Times New Roman" w:cs="Times New Roman"/>
        </w:rPr>
        <w:t xml:space="preserve"> (Table 1</w:t>
      </w:r>
      <w:r w:rsidR="00F326E1" w:rsidRPr="005B4528">
        <w:rPr>
          <w:rFonts w:ascii="Times New Roman" w:hAnsi="Times New Roman" w:cs="Times New Roman"/>
        </w:rPr>
        <w:t xml:space="preserve">,2 </w:t>
      </w:r>
      <w:r w:rsidR="0018504F" w:rsidRPr="005B4528">
        <w:rPr>
          <w:rFonts w:ascii="Times New Roman" w:hAnsi="Times New Roman" w:cs="Times New Roman"/>
        </w:rPr>
        <w:t>and Fig.6)</w:t>
      </w:r>
      <w:r w:rsidRPr="005B4528">
        <w:rPr>
          <w:rFonts w:ascii="Times New Roman" w:hAnsi="Times New Roman" w:cs="Times New Roman"/>
        </w:rPr>
        <w:t xml:space="preserve">, while outlet levels dropped to between 171 and 268 mg/L. </w:t>
      </w:r>
      <w:r w:rsidR="0010239E" w:rsidRPr="005B4528">
        <w:rPr>
          <w:rFonts w:ascii="Times New Roman" w:hAnsi="Times New Roman" w:cs="Times New Roman"/>
        </w:rPr>
        <w:t>The observed reduction in Total Dissolved Solids (TDS) can be attributed to the combined action of physical processes such as sedimentation and filtration, alongside biological mechanisms that aid in the removal of dissolved and suspended matter. Notably, the lower TDS values recorded in March may be linked to seasonal decreases in influent organic and inorganic load, likely due to variations in domestic water use. Inlet TDS levels ranged from 220–320 mg/L, while outlet values were between 171–268 mg/L, remaining within the acce</w:t>
      </w:r>
      <w:r w:rsidR="00D37234" w:rsidRPr="005B4528">
        <w:rPr>
          <w:rFonts w:ascii="Times New Roman" w:hAnsi="Times New Roman" w:cs="Times New Roman"/>
        </w:rPr>
        <w:t>ptable limits set by CPCB</w:t>
      </w:r>
      <w:r w:rsidR="0010239E" w:rsidRPr="005B4528">
        <w:rPr>
          <w:rFonts w:ascii="Times New Roman" w:hAnsi="Times New Roman" w:cs="Times New Roman"/>
        </w:rPr>
        <w:t xml:space="preserve"> and BIS (2012). These findings suggest efficient TDS removal and satisfactory performance of the STP.</w:t>
      </w:r>
    </w:p>
    <w:p w14:paraId="1B8CB64D" w14:textId="77777777" w:rsidR="000F27F3" w:rsidRPr="005B4528" w:rsidRDefault="000F27F3" w:rsidP="003B750D">
      <w:pPr>
        <w:spacing w:line="360" w:lineRule="auto"/>
        <w:jc w:val="both"/>
        <w:rPr>
          <w:rFonts w:ascii="Times New Roman" w:hAnsi="Times New Roman" w:cs="Times New Roman"/>
          <w:b/>
          <w:bCs/>
        </w:rPr>
      </w:pPr>
      <w:r w:rsidRPr="005B4528">
        <w:rPr>
          <w:rFonts w:ascii="Times New Roman" w:hAnsi="Times New Roman" w:cs="Times New Roman"/>
          <w:b/>
          <w:bCs/>
        </w:rPr>
        <w:t>Conductivity</w:t>
      </w:r>
    </w:p>
    <w:p w14:paraId="003A5C0D" w14:textId="77777777" w:rsidR="007F11E7" w:rsidRPr="005B4528" w:rsidRDefault="007F11E7" w:rsidP="003B750D">
      <w:pPr>
        <w:spacing w:line="360" w:lineRule="auto"/>
        <w:jc w:val="both"/>
        <w:rPr>
          <w:rFonts w:ascii="Times New Roman" w:hAnsi="Times New Roman" w:cs="Times New Roman"/>
        </w:rPr>
      </w:pPr>
      <w:r w:rsidRPr="005B4528">
        <w:rPr>
          <w:rFonts w:ascii="Times New Roman" w:hAnsi="Times New Roman" w:cs="Times New Roman"/>
        </w:rPr>
        <w:t>Inlet conductivity during the study ranged from 2 to 3 S/m (Table 1</w:t>
      </w:r>
      <w:r w:rsidR="00F326E1" w:rsidRPr="005B4528">
        <w:rPr>
          <w:rFonts w:ascii="Times New Roman" w:hAnsi="Times New Roman" w:cs="Times New Roman"/>
        </w:rPr>
        <w:t>,</w:t>
      </w:r>
      <w:r w:rsidR="00FE01A8" w:rsidRPr="005B4528">
        <w:rPr>
          <w:rFonts w:ascii="Times New Roman" w:hAnsi="Times New Roman" w:cs="Times New Roman"/>
        </w:rPr>
        <w:t xml:space="preserve"> </w:t>
      </w:r>
      <w:r w:rsidR="00F326E1" w:rsidRPr="005B4528">
        <w:rPr>
          <w:rFonts w:ascii="Times New Roman" w:hAnsi="Times New Roman" w:cs="Times New Roman"/>
        </w:rPr>
        <w:t xml:space="preserve">2 </w:t>
      </w:r>
      <w:r w:rsidRPr="005B4528">
        <w:rPr>
          <w:rFonts w:ascii="Times New Roman" w:hAnsi="Times New Roman" w:cs="Times New Roman"/>
        </w:rPr>
        <w:t xml:space="preserve">and Fig.7), with higher values seen in January, March, and June, likely due to increased salt and ion loads in the wastewater. The outlet conductivity remained steady at 2 S/m across all months, showing the </w:t>
      </w:r>
      <w:r w:rsidRPr="005B4528">
        <w:rPr>
          <w:rFonts w:ascii="Times New Roman" w:hAnsi="Times New Roman" w:cs="Times New Roman"/>
        </w:rPr>
        <w:lastRenderedPageBreak/>
        <w:t xml:space="preserve">plant’s effectiveness in reducing dissolved ionic substances. The data demonstrate a notable reduction in electrical conductivity from inlet to outlet during specific months, indicating the effective performance of the STP’s physical, chemical, and biological treatment mechanisms in eliminating dissolved ionic species. Elevated inlet conductivity in January, March, and June likely reflects increased discharge of salt-rich domestic and commercial effluents. Seasonal variations in water usage may explain lower values during other </w:t>
      </w:r>
      <w:r w:rsidR="00D37234" w:rsidRPr="005B4528">
        <w:rPr>
          <w:rFonts w:ascii="Times New Roman" w:hAnsi="Times New Roman" w:cs="Times New Roman"/>
        </w:rPr>
        <w:t>months. According to CPCB</w:t>
      </w:r>
      <w:r w:rsidRPr="005B4528">
        <w:rPr>
          <w:rFonts w:ascii="Times New Roman" w:hAnsi="Times New Roman" w:cs="Times New Roman"/>
        </w:rPr>
        <w:t xml:space="preserve"> and BIS (2012), although no explicit conductivity limits are set, treated water with reduced conductivity can be reused for non-potable applications such as irrigation and industrial use.</w:t>
      </w:r>
    </w:p>
    <w:p w14:paraId="59EA1B6A" w14:textId="77777777" w:rsidR="000F27F3" w:rsidRPr="005B4528" w:rsidRDefault="000F27F3" w:rsidP="00272BB1">
      <w:pPr>
        <w:spacing w:line="360" w:lineRule="auto"/>
        <w:jc w:val="center"/>
        <w:rPr>
          <w:rFonts w:ascii="Times New Roman" w:hAnsi="Times New Roman" w:cs="Times New Roman"/>
        </w:rPr>
      </w:pPr>
      <w:r w:rsidRPr="005B4528">
        <w:rPr>
          <w:rFonts w:ascii="Times New Roman" w:hAnsi="Times New Roman" w:cs="Times New Roman"/>
          <w:noProof/>
          <w:lang w:bidi="hi-IN"/>
        </w:rPr>
        <w:drawing>
          <wp:inline distT="0" distB="0" distL="0" distR="0" wp14:anchorId="1CDC5FE0" wp14:editId="4D56C36E">
            <wp:extent cx="3861881" cy="2423482"/>
            <wp:effectExtent l="19050" t="0" r="24319" b="0"/>
            <wp:docPr id="1442065447" name="Chart 1">
              <a:extLst xmlns:a="http://schemas.openxmlformats.org/drawingml/2006/main">
                <a:ext uri="{FF2B5EF4-FFF2-40B4-BE49-F238E27FC236}">
                  <a16:creationId xmlns:a16="http://schemas.microsoft.com/office/drawing/2014/main" id="{33F2F3CE-03D7-DB58-8208-71EC2DD32638}"/>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52A904C" w14:textId="77777777" w:rsidR="000F27F3" w:rsidRPr="005B4528" w:rsidRDefault="000F27F3" w:rsidP="00272BB1">
      <w:pPr>
        <w:spacing w:line="360" w:lineRule="auto"/>
        <w:jc w:val="center"/>
        <w:rPr>
          <w:rFonts w:ascii="Times New Roman" w:hAnsi="Times New Roman" w:cs="Times New Roman"/>
          <w:b/>
          <w:bCs/>
        </w:rPr>
      </w:pPr>
      <w:r w:rsidRPr="005B4528">
        <w:rPr>
          <w:rFonts w:ascii="Times New Roman" w:hAnsi="Times New Roman" w:cs="Times New Roman"/>
          <w:b/>
          <w:bCs/>
        </w:rPr>
        <w:t>Figure 7: Variation of conductivity (S/m) of inlet and outlet water of the STP.</w:t>
      </w:r>
    </w:p>
    <w:p w14:paraId="4CEE6CDB" w14:textId="77777777" w:rsidR="000F27F3" w:rsidRPr="005B4528" w:rsidRDefault="000F27F3" w:rsidP="003B750D">
      <w:pPr>
        <w:spacing w:line="360" w:lineRule="auto"/>
        <w:jc w:val="both"/>
        <w:rPr>
          <w:rFonts w:ascii="Times New Roman" w:hAnsi="Times New Roman" w:cs="Times New Roman"/>
          <w:b/>
          <w:bCs/>
        </w:rPr>
      </w:pPr>
      <w:r w:rsidRPr="005B4528">
        <w:rPr>
          <w:rFonts w:ascii="Times New Roman" w:hAnsi="Times New Roman" w:cs="Times New Roman"/>
          <w:b/>
          <w:bCs/>
        </w:rPr>
        <w:t>Turbidity</w:t>
      </w:r>
    </w:p>
    <w:p w14:paraId="71D2DEB4" w14:textId="77777777" w:rsidR="00245AD9" w:rsidRPr="005B4528" w:rsidRDefault="00245AD9" w:rsidP="003B750D">
      <w:pPr>
        <w:tabs>
          <w:tab w:val="center" w:pos="4680"/>
        </w:tabs>
        <w:spacing w:line="360" w:lineRule="auto"/>
        <w:jc w:val="both"/>
        <w:rPr>
          <w:rFonts w:ascii="Times New Roman" w:hAnsi="Times New Roman" w:cs="Times New Roman"/>
        </w:rPr>
      </w:pPr>
      <w:r w:rsidRPr="005B4528">
        <w:rPr>
          <w:rFonts w:ascii="Times New Roman" w:hAnsi="Times New Roman" w:cs="Times New Roman"/>
        </w:rPr>
        <w:t xml:space="preserve">Turbidity levels in the sewage water dropped from a high of 435 NTU at the inlet (January) to 80.4 NTU </w:t>
      </w:r>
      <w:r w:rsidR="0018504F" w:rsidRPr="005B4528">
        <w:rPr>
          <w:rFonts w:ascii="Times New Roman" w:hAnsi="Times New Roman" w:cs="Times New Roman"/>
        </w:rPr>
        <w:t xml:space="preserve">(Table 1and Fig.8) </w:t>
      </w:r>
      <w:r w:rsidRPr="005B4528">
        <w:rPr>
          <w:rFonts w:ascii="Times New Roman" w:hAnsi="Times New Roman" w:cs="Times New Roman"/>
        </w:rPr>
        <w:t xml:space="preserve">at the outlet, showing that the plant is reducing suspended impurities to some extent. </w:t>
      </w:r>
      <w:r w:rsidR="0010239E" w:rsidRPr="005B4528">
        <w:rPr>
          <w:rFonts w:ascii="Times New Roman" w:hAnsi="Times New Roman" w:cs="Times New Roman"/>
        </w:rPr>
        <w:t>Elevated turbidity levels in January suggest a higher particulate load, whereas the lowest levels in April indicate relatively better treatment efficiency. However, outlet turbidity values consi</w:t>
      </w:r>
      <w:r w:rsidR="00D37234" w:rsidRPr="005B4528">
        <w:rPr>
          <w:rFonts w:ascii="Times New Roman" w:hAnsi="Times New Roman" w:cs="Times New Roman"/>
        </w:rPr>
        <w:t>stently exceeded the CPCB</w:t>
      </w:r>
      <w:r w:rsidR="0010239E" w:rsidRPr="005B4528">
        <w:rPr>
          <w:rFonts w:ascii="Times New Roman" w:hAnsi="Times New Roman" w:cs="Times New Roman"/>
        </w:rPr>
        <w:t xml:space="preserve"> and BIS (2012) limits, highlighting inefficiencies in the removal process. This poses risks to disinfection efficacy and microbial safety, underscoring the need to enhance the sedimentation and filtration components of the STP.</w:t>
      </w:r>
      <w:r w:rsidR="00F326E1" w:rsidRPr="005B4528">
        <w:rPr>
          <w:rFonts w:ascii="Times New Roman" w:hAnsi="Times New Roman" w:cs="Times New Roman"/>
        </w:rPr>
        <w:t xml:space="preserve"> </w:t>
      </w:r>
      <w:r w:rsidR="0010239E" w:rsidRPr="005B4528">
        <w:rPr>
          <w:rFonts w:ascii="Times New Roman" w:hAnsi="Times New Roman" w:cs="Times New Roman"/>
        </w:rPr>
        <w:t>This indicates that the treatment isn’t fully effective, and the water may still be unsafe for reuse or discharge. To meet safety standards, the STP needs better sedimentation and filtration processes.</w:t>
      </w:r>
    </w:p>
    <w:p w14:paraId="41B694BB" w14:textId="77777777" w:rsidR="000F27F3" w:rsidRPr="005B4528" w:rsidRDefault="000F27F3" w:rsidP="003B750D">
      <w:pPr>
        <w:spacing w:line="360" w:lineRule="auto"/>
        <w:jc w:val="both"/>
        <w:rPr>
          <w:rFonts w:ascii="Times New Roman" w:hAnsi="Times New Roman" w:cs="Times New Roman"/>
        </w:rPr>
      </w:pPr>
    </w:p>
    <w:p w14:paraId="14748ECC" w14:textId="77777777" w:rsidR="00B35EC8" w:rsidRPr="005B4528" w:rsidRDefault="000F27F3" w:rsidP="00272BB1">
      <w:pPr>
        <w:tabs>
          <w:tab w:val="center" w:pos="4680"/>
        </w:tabs>
        <w:spacing w:line="360" w:lineRule="auto"/>
        <w:jc w:val="center"/>
        <w:rPr>
          <w:rFonts w:ascii="Times New Roman" w:hAnsi="Times New Roman" w:cs="Times New Roman"/>
        </w:rPr>
      </w:pPr>
      <w:r w:rsidRPr="005B4528">
        <w:rPr>
          <w:rFonts w:ascii="Times New Roman" w:hAnsi="Times New Roman" w:cs="Times New Roman"/>
          <w:noProof/>
          <w:lang w:bidi="hi-IN"/>
        </w:rPr>
        <w:drawing>
          <wp:inline distT="0" distB="0" distL="0" distR="0" wp14:anchorId="14942F80" wp14:editId="13EF017E">
            <wp:extent cx="4655820" cy="3075709"/>
            <wp:effectExtent l="0" t="0" r="11430" b="10795"/>
            <wp:docPr id="829622606" name="Chart 1">
              <a:extLst xmlns:a="http://schemas.openxmlformats.org/drawingml/2006/main">
                <a:ext uri="{FF2B5EF4-FFF2-40B4-BE49-F238E27FC236}">
                  <a16:creationId xmlns:a16="http://schemas.microsoft.com/office/drawing/2014/main" id="{4CBF98EF-83A7-26EB-17A7-50488A5947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696D8D0" w14:textId="77777777" w:rsidR="0064636E" w:rsidRPr="005B4528" w:rsidRDefault="000F27F3" w:rsidP="00F326E1">
      <w:pPr>
        <w:tabs>
          <w:tab w:val="center" w:pos="4680"/>
        </w:tabs>
        <w:spacing w:line="360" w:lineRule="auto"/>
        <w:jc w:val="center"/>
        <w:rPr>
          <w:rFonts w:ascii="Times New Roman" w:hAnsi="Times New Roman" w:cs="Times New Roman"/>
          <w:b/>
          <w:bCs/>
        </w:rPr>
      </w:pPr>
      <w:r w:rsidRPr="005B4528">
        <w:rPr>
          <w:rFonts w:ascii="Times New Roman" w:hAnsi="Times New Roman" w:cs="Times New Roman"/>
          <w:b/>
          <w:bCs/>
        </w:rPr>
        <w:t>Figure 8: Variation of Turbidity (NTU) of inlet and outlet water of the STP.</w:t>
      </w:r>
    </w:p>
    <w:p w14:paraId="74087FF2" w14:textId="77777777" w:rsidR="000F27F3" w:rsidRPr="005B4528" w:rsidRDefault="00C97EC3" w:rsidP="003B750D">
      <w:pPr>
        <w:spacing w:line="360" w:lineRule="auto"/>
        <w:jc w:val="both"/>
        <w:rPr>
          <w:rFonts w:ascii="Times New Roman" w:hAnsi="Times New Roman" w:cs="Times New Roman"/>
          <w:b/>
          <w:bCs/>
        </w:rPr>
      </w:pPr>
      <w:r w:rsidRPr="005B4528">
        <w:rPr>
          <w:rFonts w:ascii="Times New Roman" w:hAnsi="Times New Roman" w:cs="Times New Roman"/>
          <w:b/>
          <w:bCs/>
        </w:rPr>
        <w:t xml:space="preserve">Total </w:t>
      </w:r>
      <w:r w:rsidR="000F27F3" w:rsidRPr="005B4528">
        <w:rPr>
          <w:rFonts w:ascii="Times New Roman" w:hAnsi="Times New Roman" w:cs="Times New Roman"/>
          <w:b/>
          <w:bCs/>
        </w:rPr>
        <w:t>Hardness</w:t>
      </w:r>
    </w:p>
    <w:p w14:paraId="052165B2" w14:textId="77777777" w:rsidR="000F27F3" w:rsidRPr="005B4528" w:rsidRDefault="000F27F3" w:rsidP="003B750D">
      <w:pPr>
        <w:spacing w:line="360" w:lineRule="auto"/>
        <w:jc w:val="both"/>
        <w:rPr>
          <w:rFonts w:ascii="Times New Roman" w:hAnsi="Times New Roman" w:cs="Times New Roman"/>
        </w:rPr>
      </w:pPr>
    </w:p>
    <w:p w14:paraId="6D471E06" w14:textId="77777777" w:rsidR="000F27F3" w:rsidRPr="005B4528" w:rsidRDefault="000F27F3" w:rsidP="00272BB1">
      <w:pPr>
        <w:spacing w:line="360" w:lineRule="auto"/>
        <w:jc w:val="center"/>
        <w:rPr>
          <w:rFonts w:ascii="Times New Roman" w:hAnsi="Times New Roman" w:cs="Times New Roman"/>
        </w:rPr>
      </w:pPr>
      <w:r w:rsidRPr="005B4528">
        <w:rPr>
          <w:rFonts w:ascii="Times New Roman" w:hAnsi="Times New Roman" w:cs="Times New Roman"/>
          <w:noProof/>
          <w:lang w:bidi="hi-IN"/>
        </w:rPr>
        <w:drawing>
          <wp:inline distT="0" distB="0" distL="0" distR="0" wp14:anchorId="5318F6E5" wp14:editId="7FC48AE6">
            <wp:extent cx="4858953" cy="2169268"/>
            <wp:effectExtent l="19050" t="0" r="17847" b="2432"/>
            <wp:docPr id="221670833" name="Chart 1">
              <a:extLst xmlns:a="http://schemas.openxmlformats.org/drawingml/2006/main">
                <a:ext uri="{FF2B5EF4-FFF2-40B4-BE49-F238E27FC236}">
                  <a16:creationId xmlns:a16="http://schemas.microsoft.com/office/drawing/2014/main" id="{FB225847-04D9-F140-219E-D8019301C8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C57CD81" w14:textId="77777777" w:rsidR="00CC1411" w:rsidRPr="005B4528" w:rsidRDefault="00CC1411" w:rsidP="00272BB1">
      <w:pPr>
        <w:spacing w:line="360" w:lineRule="auto"/>
        <w:jc w:val="center"/>
        <w:rPr>
          <w:rFonts w:ascii="Times New Roman" w:hAnsi="Times New Roman" w:cs="Times New Roman"/>
          <w:b/>
          <w:bCs/>
        </w:rPr>
      </w:pPr>
      <w:r w:rsidRPr="005B4528">
        <w:rPr>
          <w:rFonts w:ascii="Times New Roman" w:hAnsi="Times New Roman" w:cs="Times New Roman"/>
          <w:b/>
          <w:bCs/>
        </w:rPr>
        <w:t>Figure 9: Variation of Total Hardness (mg/l) of the Inlet and Outlet water of the STP.</w:t>
      </w:r>
    </w:p>
    <w:p w14:paraId="2F73BB7C" w14:textId="77777777" w:rsidR="0064636E" w:rsidRPr="005B4528" w:rsidRDefault="00C97EC3" w:rsidP="003B750D">
      <w:pPr>
        <w:spacing w:line="360" w:lineRule="auto"/>
        <w:jc w:val="both"/>
        <w:rPr>
          <w:rFonts w:ascii="Times New Roman" w:hAnsi="Times New Roman" w:cs="Times New Roman"/>
        </w:rPr>
      </w:pPr>
      <w:r w:rsidRPr="005B4528">
        <w:rPr>
          <w:rFonts w:ascii="Times New Roman" w:hAnsi="Times New Roman" w:cs="Times New Roman"/>
        </w:rPr>
        <w:t>Total hardness in the sewage ranged from 68 to 90 mg/L at the inlet and dropped to 50–71 mg/L at the outlet</w:t>
      </w:r>
      <w:r w:rsidR="00D529B9" w:rsidRPr="005B4528">
        <w:rPr>
          <w:rFonts w:ascii="Times New Roman" w:hAnsi="Times New Roman" w:cs="Times New Roman"/>
        </w:rPr>
        <w:t xml:space="preserve"> (Table 1</w:t>
      </w:r>
      <w:r w:rsidR="00F326E1" w:rsidRPr="005B4528">
        <w:rPr>
          <w:rFonts w:ascii="Times New Roman" w:hAnsi="Times New Roman" w:cs="Times New Roman"/>
        </w:rPr>
        <w:t xml:space="preserve">, 2 </w:t>
      </w:r>
      <w:r w:rsidR="00D529B9" w:rsidRPr="005B4528">
        <w:rPr>
          <w:rFonts w:ascii="Times New Roman" w:hAnsi="Times New Roman" w:cs="Times New Roman"/>
        </w:rPr>
        <w:t>and Fig.9)</w:t>
      </w:r>
      <w:r w:rsidRPr="005B4528">
        <w:rPr>
          <w:rFonts w:ascii="Times New Roman" w:hAnsi="Times New Roman" w:cs="Times New Roman"/>
        </w:rPr>
        <w:t xml:space="preserve">, showing a clear reduction after treatment. This decrease is due to processes like precipitation, ion exchange, and microbial activity. Higher inlet levels in </w:t>
      </w:r>
      <w:r w:rsidRPr="005B4528">
        <w:rPr>
          <w:rFonts w:ascii="Times New Roman" w:hAnsi="Times New Roman" w:cs="Times New Roman"/>
        </w:rPr>
        <w:lastRenderedPageBreak/>
        <w:t>January may be linked to increased domestic wastewater.</w:t>
      </w:r>
      <w:r w:rsidR="005B4528">
        <w:rPr>
          <w:rFonts w:ascii="Times New Roman" w:hAnsi="Times New Roman" w:cs="Times New Roman"/>
        </w:rPr>
        <w:t xml:space="preserve"> </w:t>
      </w:r>
      <w:r w:rsidR="0010239E" w:rsidRPr="005B4528">
        <w:rPr>
          <w:rFonts w:ascii="Times New Roman" w:hAnsi="Times New Roman" w:cs="Times New Roman"/>
        </w:rPr>
        <w:t>A consistent reduction in total hardness from inlet to outlet indicates effective treatment through mechanisms such as chemical precipitation, ion exchange, and microbial activity. Elevated inlet levels in January may reflect increased discharge from domestic and instituti</w:t>
      </w:r>
      <w:r w:rsidR="00D37234" w:rsidRPr="005B4528">
        <w:rPr>
          <w:rFonts w:ascii="Times New Roman" w:hAnsi="Times New Roman" w:cs="Times New Roman"/>
        </w:rPr>
        <w:t>onal sources. As per CPCB</w:t>
      </w:r>
      <w:r w:rsidR="0010239E" w:rsidRPr="005B4528">
        <w:rPr>
          <w:rFonts w:ascii="Times New Roman" w:hAnsi="Times New Roman" w:cs="Times New Roman"/>
        </w:rPr>
        <w:t xml:space="preserve"> and BIS (2012) guidelines, total hardness should not exceed 200 mg/L, though up to 600 mg/L is permissible in the absence of alternative sources. The observed values remained within these limits, demonstrating the STP’s satisfactory performance in hardness removal.</w:t>
      </w:r>
    </w:p>
    <w:p w14:paraId="05EC53ED" w14:textId="77777777" w:rsidR="000F27F3" w:rsidRPr="005B4528" w:rsidRDefault="000F27F3" w:rsidP="003B750D">
      <w:pPr>
        <w:spacing w:line="360" w:lineRule="auto"/>
        <w:jc w:val="both"/>
        <w:rPr>
          <w:rFonts w:ascii="Times New Roman" w:hAnsi="Times New Roman" w:cs="Times New Roman"/>
          <w:b/>
          <w:bCs/>
        </w:rPr>
      </w:pPr>
      <w:r w:rsidRPr="005B4528">
        <w:rPr>
          <w:rFonts w:ascii="Times New Roman" w:hAnsi="Times New Roman" w:cs="Times New Roman"/>
          <w:b/>
          <w:bCs/>
        </w:rPr>
        <w:t>Calcium</w:t>
      </w:r>
    </w:p>
    <w:p w14:paraId="565C5056" w14:textId="77777777" w:rsidR="000F27F3" w:rsidRPr="005B4528" w:rsidRDefault="00FA76DF" w:rsidP="003B750D">
      <w:pPr>
        <w:spacing w:line="360" w:lineRule="auto"/>
        <w:jc w:val="both"/>
        <w:rPr>
          <w:rFonts w:ascii="Times New Roman" w:hAnsi="Times New Roman" w:cs="Times New Roman"/>
        </w:rPr>
      </w:pPr>
      <w:r w:rsidRPr="005B4528">
        <w:rPr>
          <w:rFonts w:ascii="Times New Roman" w:hAnsi="Times New Roman" w:cs="Times New Roman"/>
        </w:rPr>
        <w:t>Calcium levels in the inlet water dropped from 126 mg/L in January to 50 mg/L in June, while outlet levels remained steady between 41–43 mg/L throughout</w:t>
      </w:r>
      <w:r w:rsidR="005B4528">
        <w:rPr>
          <w:rFonts w:ascii="Times New Roman" w:hAnsi="Times New Roman" w:cs="Times New Roman"/>
        </w:rPr>
        <w:t xml:space="preserve"> </w:t>
      </w:r>
      <w:r w:rsidRPr="005B4528">
        <w:rPr>
          <w:rFonts w:ascii="Times New Roman" w:hAnsi="Times New Roman" w:cs="Times New Roman"/>
        </w:rPr>
        <w:t>(Table 1, 2 and Fig.10). The sharp reduction, especially in January, shows that the STP is effectively removing excess calcium through processes like precipitation and sedimentation. This steady performance ensures the water is safe for discharge or reuse and helps prevent issues like scaling. Post-treatment, calcium levels consistently indicating effective removal and compl</w:t>
      </w:r>
      <w:r w:rsidR="00D37234" w:rsidRPr="005B4528">
        <w:rPr>
          <w:rFonts w:ascii="Times New Roman" w:hAnsi="Times New Roman" w:cs="Times New Roman"/>
        </w:rPr>
        <w:t xml:space="preserve">iance with BIS (2012) and CPCB </w:t>
      </w:r>
      <w:r w:rsidRPr="005B4528">
        <w:rPr>
          <w:rFonts w:ascii="Times New Roman" w:hAnsi="Times New Roman" w:cs="Times New Roman"/>
        </w:rPr>
        <w:t>standards for reuse and discharge.</w:t>
      </w:r>
    </w:p>
    <w:p w14:paraId="2E82D7A6" w14:textId="77777777" w:rsidR="000F27F3" w:rsidRPr="005B4528" w:rsidRDefault="000F27F3" w:rsidP="00272BB1">
      <w:pPr>
        <w:spacing w:line="360" w:lineRule="auto"/>
        <w:jc w:val="center"/>
        <w:rPr>
          <w:rFonts w:ascii="Times New Roman" w:hAnsi="Times New Roman" w:cs="Times New Roman"/>
        </w:rPr>
      </w:pPr>
      <w:r w:rsidRPr="005B4528">
        <w:rPr>
          <w:rFonts w:ascii="Times New Roman" w:hAnsi="Times New Roman" w:cs="Times New Roman"/>
          <w:noProof/>
          <w:lang w:bidi="hi-IN"/>
        </w:rPr>
        <w:drawing>
          <wp:inline distT="0" distB="0" distL="0" distR="0" wp14:anchorId="3211A659" wp14:editId="6A27637F">
            <wp:extent cx="4374448" cy="2363821"/>
            <wp:effectExtent l="19050" t="0" r="26102" b="0"/>
            <wp:docPr id="384397678" name="Chart 1">
              <a:extLst xmlns:a="http://schemas.openxmlformats.org/drawingml/2006/main">
                <a:ext uri="{FF2B5EF4-FFF2-40B4-BE49-F238E27FC236}">
                  <a16:creationId xmlns:a16="http://schemas.microsoft.com/office/drawing/2014/main" id="{A71393AC-4487-02B9-0326-2357FE0DB8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C97BE10" w14:textId="77777777" w:rsidR="000F27F3" w:rsidRPr="005B4528" w:rsidRDefault="000F27F3" w:rsidP="00272BB1">
      <w:pPr>
        <w:spacing w:line="360" w:lineRule="auto"/>
        <w:jc w:val="center"/>
        <w:rPr>
          <w:rFonts w:ascii="Times New Roman" w:hAnsi="Times New Roman" w:cs="Times New Roman"/>
          <w:b/>
          <w:bCs/>
        </w:rPr>
      </w:pPr>
      <w:r w:rsidRPr="005B4528">
        <w:rPr>
          <w:rFonts w:ascii="Times New Roman" w:hAnsi="Times New Roman" w:cs="Times New Roman"/>
          <w:b/>
          <w:bCs/>
        </w:rPr>
        <w:t>Figure 10:  Variation of Calcium (mg/l) of inlet and outlet water of the STP.</w:t>
      </w:r>
    </w:p>
    <w:p w14:paraId="146365F3" w14:textId="77777777" w:rsidR="000F27F3" w:rsidRPr="005B4528" w:rsidRDefault="000F27F3" w:rsidP="003B750D">
      <w:pPr>
        <w:spacing w:line="360" w:lineRule="auto"/>
        <w:jc w:val="both"/>
        <w:rPr>
          <w:rFonts w:ascii="Times New Roman" w:hAnsi="Times New Roman" w:cs="Times New Roman"/>
          <w:b/>
          <w:bCs/>
        </w:rPr>
      </w:pPr>
      <w:r w:rsidRPr="005B4528">
        <w:rPr>
          <w:rFonts w:ascii="Times New Roman" w:hAnsi="Times New Roman" w:cs="Times New Roman"/>
          <w:b/>
          <w:bCs/>
        </w:rPr>
        <w:t>Magnesium</w:t>
      </w:r>
    </w:p>
    <w:p w14:paraId="444AD1C0" w14:textId="77777777" w:rsidR="000170D3" w:rsidRPr="005B4528" w:rsidRDefault="000170D3" w:rsidP="003B750D">
      <w:pPr>
        <w:spacing w:line="360" w:lineRule="auto"/>
        <w:jc w:val="both"/>
        <w:rPr>
          <w:rFonts w:ascii="Times New Roman" w:hAnsi="Times New Roman" w:cs="Times New Roman"/>
        </w:rPr>
      </w:pPr>
      <w:r w:rsidRPr="005B4528">
        <w:rPr>
          <w:rFonts w:ascii="Times New Roman" w:hAnsi="Times New Roman" w:cs="Times New Roman"/>
        </w:rPr>
        <w:t>From January to June, inlet magnesium levels ranged between 12–34 mg/L, with outlet values between 8–30 mg/L</w:t>
      </w:r>
      <w:r w:rsidR="00D529B9" w:rsidRPr="005B4528">
        <w:rPr>
          <w:rFonts w:ascii="Times New Roman" w:hAnsi="Times New Roman" w:cs="Times New Roman"/>
        </w:rPr>
        <w:t xml:space="preserve"> (Table 1</w:t>
      </w:r>
      <w:r w:rsidR="00F326E1" w:rsidRPr="005B4528">
        <w:rPr>
          <w:rFonts w:ascii="Times New Roman" w:hAnsi="Times New Roman" w:cs="Times New Roman"/>
        </w:rPr>
        <w:t>, 2</w:t>
      </w:r>
      <w:r w:rsidR="00D529B9" w:rsidRPr="005B4528">
        <w:rPr>
          <w:rFonts w:ascii="Times New Roman" w:hAnsi="Times New Roman" w:cs="Times New Roman"/>
        </w:rPr>
        <w:t xml:space="preserve"> and Fig.11)</w:t>
      </w:r>
      <w:r w:rsidRPr="005B4528">
        <w:rPr>
          <w:rFonts w:ascii="Times New Roman" w:hAnsi="Times New Roman" w:cs="Times New Roman"/>
        </w:rPr>
        <w:t xml:space="preserve">. Interestingly, in most months, outlet levels were </w:t>
      </w:r>
      <w:r w:rsidRPr="005B4528">
        <w:rPr>
          <w:rFonts w:ascii="Times New Roman" w:hAnsi="Times New Roman" w:cs="Times New Roman"/>
        </w:rPr>
        <w:lastRenderedPageBreak/>
        <w:t>slightly higher than the inlet, possibly due to sludge release, external inflow, or sampling errors. Only in January was there a significant reduction, suggesting effective treatment.</w:t>
      </w:r>
      <w:r w:rsidR="00F326E1" w:rsidRPr="005B4528">
        <w:rPr>
          <w:rFonts w:ascii="Times New Roman" w:hAnsi="Times New Roman" w:cs="Times New Roman"/>
        </w:rPr>
        <w:t xml:space="preserve"> </w:t>
      </w:r>
      <w:r w:rsidR="002E5179" w:rsidRPr="005B4528">
        <w:rPr>
          <w:rFonts w:ascii="Times New Roman" w:hAnsi="Times New Roman" w:cs="Times New Roman"/>
        </w:rPr>
        <w:t>A notable reduction was observed in January, suggesting effective removal during that month. Treated effluent levels ranged</w:t>
      </w:r>
      <w:r w:rsidR="00F326E1" w:rsidRPr="005B4528">
        <w:rPr>
          <w:rFonts w:ascii="Times New Roman" w:hAnsi="Times New Roman" w:cs="Times New Roman"/>
        </w:rPr>
        <w:t xml:space="preserve"> </w:t>
      </w:r>
      <w:r w:rsidR="002E5179" w:rsidRPr="005B4528">
        <w:rPr>
          <w:rFonts w:ascii="Times New Roman" w:hAnsi="Times New Roman" w:cs="Times New Roman"/>
        </w:rPr>
        <w:t>consistently below both BIS</w:t>
      </w:r>
      <w:r w:rsidR="00F326E1" w:rsidRPr="005B4528">
        <w:rPr>
          <w:rFonts w:ascii="Times New Roman" w:hAnsi="Times New Roman" w:cs="Times New Roman"/>
        </w:rPr>
        <w:t xml:space="preserve"> (2012)</w:t>
      </w:r>
      <w:r w:rsidR="002E5179" w:rsidRPr="005B4528">
        <w:rPr>
          <w:rFonts w:ascii="Times New Roman" w:hAnsi="Times New Roman" w:cs="Times New Roman"/>
        </w:rPr>
        <w:t xml:space="preserve"> limits and environmentally acceptable for reuse. Although CPCB (does not specify effluent limits for magnesium, the observed values indicate efficient regulation and safe discharge potential.</w:t>
      </w:r>
      <w:r w:rsidR="005B4528">
        <w:rPr>
          <w:rFonts w:ascii="Times New Roman" w:hAnsi="Times New Roman" w:cs="Times New Roman"/>
        </w:rPr>
        <w:t xml:space="preserve"> </w:t>
      </w:r>
      <w:r w:rsidR="002E5179" w:rsidRPr="005B4528">
        <w:rPr>
          <w:rFonts w:ascii="Times New Roman" w:hAnsi="Times New Roman" w:cs="Times New Roman"/>
        </w:rPr>
        <w:t>Overall, the STP maintains safe magnesium levels, but further investigation is needed to improve consistency.</w:t>
      </w:r>
    </w:p>
    <w:p w14:paraId="055D8E9E" w14:textId="77777777" w:rsidR="00DE5635" w:rsidRPr="005B4528" w:rsidRDefault="00DE5635" w:rsidP="003B750D">
      <w:pPr>
        <w:spacing w:line="360" w:lineRule="auto"/>
        <w:jc w:val="both"/>
        <w:rPr>
          <w:rFonts w:ascii="Times New Roman" w:hAnsi="Times New Roman" w:cs="Times New Roman"/>
        </w:rPr>
      </w:pPr>
    </w:p>
    <w:p w14:paraId="7134EB08" w14:textId="77777777" w:rsidR="00607B43" w:rsidRPr="005B4528" w:rsidRDefault="007831C7" w:rsidP="00272BB1">
      <w:pPr>
        <w:spacing w:line="360" w:lineRule="auto"/>
        <w:jc w:val="center"/>
        <w:rPr>
          <w:rFonts w:ascii="Times New Roman" w:hAnsi="Times New Roman" w:cs="Times New Roman"/>
          <w:i/>
          <w:iCs/>
          <w:noProof/>
        </w:rPr>
      </w:pPr>
      <w:r w:rsidRPr="005B4528">
        <w:rPr>
          <w:rFonts w:ascii="Times New Roman" w:hAnsi="Times New Roman" w:cs="Times New Roman"/>
          <w:noProof/>
          <w:lang w:bidi="hi-IN"/>
        </w:rPr>
        <w:drawing>
          <wp:inline distT="0" distB="0" distL="0" distR="0" wp14:anchorId="0420DDB3" wp14:editId="7BE5D857">
            <wp:extent cx="4328808" cy="2178996"/>
            <wp:effectExtent l="19050" t="0" r="14592" b="0"/>
            <wp:docPr id="112911542" name="Chart 1">
              <a:extLst xmlns:a="http://schemas.openxmlformats.org/drawingml/2006/main">
                <a:ext uri="{FF2B5EF4-FFF2-40B4-BE49-F238E27FC236}">
                  <a16:creationId xmlns:a16="http://schemas.microsoft.com/office/drawing/2014/main" id="{86BA170B-F665-E3AE-4C69-953995589D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629957C" w14:textId="77777777" w:rsidR="00AA5FC9" w:rsidRPr="005B4528" w:rsidRDefault="00B35EC8" w:rsidP="00FA76DF">
      <w:pPr>
        <w:spacing w:line="360" w:lineRule="auto"/>
        <w:jc w:val="center"/>
        <w:rPr>
          <w:rFonts w:ascii="Times New Roman" w:hAnsi="Times New Roman" w:cs="Times New Roman"/>
          <w:b/>
          <w:bCs/>
        </w:rPr>
      </w:pPr>
      <w:r w:rsidRPr="005B4528">
        <w:rPr>
          <w:rFonts w:ascii="Times New Roman" w:hAnsi="Times New Roman" w:cs="Times New Roman"/>
          <w:b/>
          <w:bCs/>
        </w:rPr>
        <w:t>Figure 11: variation of Magnesium (mg/l) of inlet and outlet water of the STP.</w:t>
      </w:r>
    </w:p>
    <w:p w14:paraId="54586806" w14:textId="77777777" w:rsidR="007B6C57" w:rsidRPr="005B4528" w:rsidRDefault="007B6C57" w:rsidP="003B750D">
      <w:pPr>
        <w:spacing w:line="360" w:lineRule="auto"/>
        <w:jc w:val="both"/>
        <w:rPr>
          <w:rFonts w:ascii="Times New Roman" w:hAnsi="Times New Roman" w:cs="Times New Roman"/>
          <w:b/>
          <w:bCs/>
        </w:rPr>
      </w:pPr>
      <w:r w:rsidRPr="005B4528">
        <w:rPr>
          <w:rFonts w:ascii="Times New Roman" w:hAnsi="Times New Roman" w:cs="Times New Roman"/>
          <w:b/>
          <w:bCs/>
        </w:rPr>
        <w:t>B</w:t>
      </w:r>
      <w:r w:rsidR="004C6EBE" w:rsidRPr="005B4528">
        <w:rPr>
          <w:rFonts w:ascii="Times New Roman" w:hAnsi="Times New Roman" w:cs="Times New Roman"/>
          <w:b/>
          <w:bCs/>
        </w:rPr>
        <w:t>iological Oxygen Demand (BOD)</w:t>
      </w:r>
    </w:p>
    <w:p w14:paraId="5E9B8DF0" w14:textId="77777777" w:rsidR="007F11E7" w:rsidRPr="005B4528" w:rsidRDefault="007F11E7" w:rsidP="003B750D">
      <w:pPr>
        <w:spacing w:line="360" w:lineRule="auto"/>
        <w:jc w:val="both"/>
        <w:rPr>
          <w:rFonts w:ascii="Times New Roman" w:hAnsi="Times New Roman" w:cs="Times New Roman"/>
        </w:rPr>
      </w:pPr>
      <w:r w:rsidRPr="005B4528">
        <w:rPr>
          <w:rFonts w:ascii="Times New Roman" w:hAnsi="Times New Roman" w:cs="Times New Roman"/>
        </w:rPr>
        <w:t>From January to June, BOD levels at the STP outlet were often higher than at the inlet, which is unusual and suggests possible issues with treatment efficiency or sampling errors (Table 1</w:t>
      </w:r>
      <w:r w:rsidR="00F326E1" w:rsidRPr="005B4528">
        <w:rPr>
          <w:rFonts w:ascii="Times New Roman" w:hAnsi="Times New Roman" w:cs="Times New Roman"/>
        </w:rPr>
        <w:t>, 2</w:t>
      </w:r>
      <w:r w:rsidRPr="005B4528">
        <w:rPr>
          <w:rFonts w:ascii="Times New Roman" w:hAnsi="Times New Roman" w:cs="Times New Roman"/>
        </w:rPr>
        <w:t xml:space="preserve"> and Fig.12). For instance, January showed an inlet BOD of 0.4 mg/L but an outlet value of 12.5 mg/L. This indicates that although the plant meets basic regulatory norms, improvements are needed to ensure better organic waste removal and water quality. Although</w:t>
      </w:r>
      <w:r w:rsidR="00D37234" w:rsidRPr="005B4528">
        <w:rPr>
          <w:rFonts w:ascii="Times New Roman" w:hAnsi="Times New Roman" w:cs="Times New Roman"/>
        </w:rPr>
        <w:t xml:space="preserve"> these values comply with CPCB </w:t>
      </w:r>
      <w:r w:rsidRPr="005B4528">
        <w:rPr>
          <w:rFonts w:ascii="Times New Roman" w:hAnsi="Times New Roman" w:cs="Times New Roman"/>
        </w:rPr>
        <w:t>discharge standards, they exceed the BIS (2012) guidelines. Elevated BOD in the effluent, particularly in January and April, indicates incomplete organic matter degradation. This suggests potential inefficiencies in the treatment process or issues related to sampling accuracy, warranting closer operational assessment.</w:t>
      </w:r>
    </w:p>
    <w:p w14:paraId="10A10F46" w14:textId="77777777" w:rsidR="00607B43" w:rsidRPr="005B4528" w:rsidRDefault="00607B43" w:rsidP="00272BB1">
      <w:pPr>
        <w:spacing w:line="360" w:lineRule="auto"/>
        <w:jc w:val="center"/>
        <w:rPr>
          <w:rFonts w:ascii="Times New Roman" w:hAnsi="Times New Roman" w:cs="Times New Roman"/>
        </w:rPr>
      </w:pPr>
      <w:r w:rsidRPr="005B4528">
        <w:rPr>
          <w:rFonts w:ascii="Times New Roman" w:hAnsi="Times New Roman" w:cs="Times New Roman"/>
          <w:noProof/>
          <w:lang w:bidi="hi-IN"/>
        </w:rPr>
        <w:lastRenderedPageBreak/>
        <w:drawing>
          <wp:inline distT="0" distB="0" distL="0" distR="0" wp14:anchorId="3BA98A46" wp14:editId="722A8541">
            <wp:extent cx="4535805" cy="2334638"/>
            <wp:effectExtent l="19050" t="0" r="17145" b="8512"/>
            <wp:docPr id="1574964410" name="Chart 1">
              <a:extLst xmlns:a="http://schemas.openxmlformats.org/drawingml/2006/main">
                <a:ext uri="{FF2B5EF4-FFF2-40B4-BE49-F238E27FC236}">
                  <a16:creationId xmlns:a16="http://schemas.microsoft.com/office/drawing/2014/main" id="{1B2545FB-9704-6624-8188-41ECC157F4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DD3B72A" w14:textId="77777777" w:rsidR="007F11E7" w:rsidRPr="005B4528" w:rsidRDefault="00607B43" w:rsidP="00FA76DF">
      <w:pPr>
        <w:spacing w:line="360" w:lineRule="auto"/>
        <w:jc w:val="center"/>
        <w:rPr>
          <w:rFonts w:ascii="Times New Roman" w:hAnsi="Times New Roman" w:cs="Times New Roman"/>
          <w:b/>
          <w:bCs/>
        </w:rPr>
      </w:pPr>
      <w:r w:rsidRPr="005B4528">
        <w:rPr>
          <w:rFonts w:ascii="Times New Roman" w:hAnsi="Times New Roman" w:cs="Times New Roman"/>
          <w:b/>
          <w:bCs/>
        </w:rPr>
        <w:t>Figure 12:  Variation of BOD (mg/l) of inlet and outlet water of the STP.</w:t>
      </w:r>
    </w:p>
    <w:p w14:paraId="0E268BB8" w14:textId="77777777" w:rsidR="00607B43" w:rsidRPr="005B4528" w:rsidRDefault="004C6EBE" w:rsidP="003B750D">
      <w:pPr>
        <w:spacing w:line="360" w:lineRule="auto"/>
        <w:jc w:val="both"/>
        <w:rPr>
          <w:rFonts w:ascii="Times New Roman" w:hAnsi="Times New Roman" w:cs="Times New Roman"/>
          <w:b/>
          <w:bCs/>
        </w:rPr>
      </w:pPr>
      <w:r w:rsidRPr="005B4528">
        <w:rPr>
          <w:rFonts w:ascii="Times New Roman" w:hAnsi="Times New Roman" w:cs="Times New Roman"/>
          <w:b/>
          <w:bCs/>
        </w:rPr>
        <w:t>Chemical Oxygen Demand (COD)</w:t>
      </w:r>
    </w:p>
    <w:p w14:paraId="77CAD3ED" w14:textId="77777777" w:rsidR="007F11E7" w:rsidRPr="005B4528" w:rsidRDefault="007F11E7" w:rsidP="007F11E7">
      <w:pPr>
        <w:spacing w:line="360" w:lineRule="auto"/>
        <w:jc w:val="both"/>
        <w:rPr>
          <w:rFonts w:ascii="Times New Roman" w:hAnsi="Times New Roman" w:cs="Times New Roman"/>
        </w:rPr>
      </w:pPr>
      <w:r w:rsidRPr="005B4528">
        <w:rPr>
          <w:rFonts w:ascii="Times New Roman" w:hAnsi="Times New Roman" w:cs="Times New Roman"/>
        </w:rPr>
        <w:t>Between January and June, COD levels in the sewage dropped from 268–296 mg/L at the inlet to 144–176 mg/L at the outlet (Table 1 and Fig.13), showing the STP is effectively reducing organic pollution. The biggest drop was seen in January, indicating strong treatment performance. These mechanisms are crucial for the degradation of organic pollutants. All outlet values surpassed the CPCB minimum requirement of 4 mg/L for safe discharge into surface waters. This consistent improvement reflects the system’s operational efficiency and its ability to maintain suitable conditions for aquatic life.</w:t>
      </w:r>
      <w:r w:rsidR="005B4528">
        <w:rPr>
          <w:rFonts w:ascii="Times New Roman" w:hAnsi="Times New Roman" w:cs="Times New Roman"/>
        </w:rPr>
        <w:t xml:space="preserve"> </w:t>
      </w:r>
      <w:r w:rsidRPr="005B4528">
        <w:rPr>
          <w:rFonts w:ascii="Times New Roman" w:hAnsi="Times New Roman" w:cs="Times New Roman"/>
        </w:rPr>
        <w:t>While the plant meets environmental standards, additional treatment would be needed for higher</w:t>
      </w:r>
      <w:r w:rsidR="005B4528">
        <w:rPr>
          <w:rFonts w:ascii="Times New Roman" w:hAnsi="Times New Roman" w:cs="Times New Roman"/>
        </w:rPr>
        <w:t xml:space="preserve"> </w:t>
      </w:r>
      <w:r w:rsidRPr="005B4528">
        <w:rPr>
          <w:rFonts w:ascii="Times New Roman" w:hAnsi="Times New Roman" w:cs="Times New Roman"/>
        </w:rPr>
        <w:t>quality water reuse.</w:t>
      </w:r>
    </w:p>
    <w:p w14:paraId="3B31333E" w14:textId="77777777" w:rsidR="007F11E7" w:rsidRPr="005B4528" w:rsidRDefault="007F11E7" w:rsidP="003B750D">
      <w:pPr>
        <w:spacing w:line="360" w:lineRule="auto"/>
        <w:jc w:val="both"/>
        <w:rPr>
          <w:rFonts w:ascii="Times New Roman" w:hAnsi="Times New Roman" w:cs="Times New Roman"/>
          <w:b/>
          <w:bCs/>
        </w:rPr>
      </w:pPr>
    </w:p>
    <w:p w14:paraId="6987AD02" w14:textId="77777777" w:rsidR="00607B43" w:rsidRPr="005B4528" w:rsidRDefault="00EE316B" w:rsidP="00272BB1">
      <w:pPr>
        <w:spacing w:line="360" w:lineRule="auto"/>
        <w:jc w:val="center"/>
        <w:rPr>
          <w:rFonts w:ascii="Times New Roman" w:hAnsi="Times New Roman" w:cs="Times New Roman"/>
        </w:rPr>
      </w:pPr>
      <w:r w:rsidRPr="005B4528">
        <w:rPr>
          <w:rFonts w:ascii="Times New Roman" w:hAnsi="Times New Roman" w:cs="Times New Roman"/>
          <w:noProof/>
          <w:lang w:bidi="hi-IN"/>
        </w:rPr>
        <w:drawing>
          <wp:inline distT="0" distB="0" distL="0" distR="0" wp14:anchorId="6447090B" wp14:editId="1432E3B5">
            <wp:extent cx="4543425" cy="2023353"/>
            <wp:effectExtent l="19050" t="0" r="9525" b="0"/>
            <wp:docPr id="2047852076" name="Chart 1">
              <a:extLst xmlns:a="http://schemas.openxmlformats.org/drawingml/2006/main">
                <a:ext uri="{FF2B5EF4-FFF2-40B4-BE49-F238E27FC236}">
                  <a16:creationId xmlns:a16="http://schemas.microsoft.com/office/drawing/2014/main" id="{14249F92-088C-2A64-2AE2-9E2376B2F6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5051D9D" w14:textId="77777777" w:rsidR="00A80C63" w:rsidRPr="005B4528" w:rsidRDefault="00A80C63" w:rsidP="00272BB1">
      <w:pPr>
        <w:spacing w:line="360" w:lineRule="auto"/>
        <w:jc w:val="center"/>
        <w:rPr>
          <w:rFonts w:ascii="Times New Roman" w:hAnsi="Times New Roman" w:cs="Times New Roman"/>
          <w:b/>
          <w:bCs/>
        </w:rPr>
      </w:pPr>
      <w:r w:rsidRPr="005B4528">
        <w:rPr>
          <w:rFonts w:ascii="Times New Roman" w:hAnsi="Times New Roman" w:cs="Times New Roman"/>
          <w:b/>
          <w:bCs/>
        </w:rPr>
        <w:t>Figure 13: Variation of COD (mg/l) Inlet and Outlet water of the STP.</w:t>
      </w:r>
    </w:p>
    <w:p w14:paraId="004DDB7E" w14:textId="77777777" w:rsidR="007F11E7" w:rsidRPr="005B4528" w:rsidRDefault="007F11E7" w:rsidP="003B750D">
      <w:pPr>
        <w:spacing w:line="360" w:lineRule="auto"/>
        <w:jc w:val="both"/>
        <w:rPr>
          <w:rFonts w:ascii="Times New Roman" w:hAnsi="Times New Roman" w:cs="Times New Roman"/>
          <w:b/>
          <w:bCs/>
        </w:rPr>
      </w:pPr>
    </w:p>
    <w:p w14:paraId="45EA20E1" w14:textId="77777777" w:rsidR="007B6C57" w:rsidRPr="005B4528" w:rsidRDefault="00A80C63" w:rsidP="003B750D">
      <w:pPr>
        <w:spacing w:line="360" w:lineRule="auto"/>
        <w:jc w:val="both"/>
        <w:rPr>
          <w:rFonts w:ascii="Times New Roman" w:hAnsi="Times New Roman" w:cs="Times New Roman"/>
          <w:b/>
          <w:bCs/>
        </w:rPr>
      </w:pPr>
      <w:r w:rsidRPr="005B4528">
        <w:rPr>
          <w:rFonts w:ascii="Times New Roman" w:hAnsi="Times New Roman" w:cs="Times New Roman"/>
          <w:b/>
          <w:bCs/>
        </w:rPr>
        <w:t>D</w:t>
      </w:r>
      <w:r w:rsidR="007B6C57" w:rsidRPr="005B4528">
        <w:rPr>
          <w:rFonts w:ascii="Times New Roman" w:hAnsi="Times New Roman" w:cs="Times New Roman"/>
          <w:b/>
          <w:bCs/>
        </w:rPr>
        <w:t xml:space="preserve">issolved </w:t>
      </w:r>
      <w:r w:rsidRPr="005B4528">
        <w:rPr>
          <w:rFonts w:ascii="Times New Roman" w:hAnsi="Times New Roman" w:cs="Times New Roman"/>
          <w:b/>
          <w:bCs/>
        </w:rPr>
        <w:t>O</w:t>
      </w:r>
      <w:r w:rsidR="007B6C57" w:rsidRPr="005B4528">
        <w:rPr>
          <w:rFonts w:ascii="Times New Roman" w:hAnsi="Times New Roman" w:cs="Times New Roman"/>
          <w:b/>
          <w:bCs/>
        </w:rPr>
        <w:t>xygen</w:t>
      </w:r>
    </w:p>
    <w:p w14:paraId="41FC22BE" w14:textId="77777777" w:rsidR="002E5179" w:rsidRPr="005B4528" w:rsidRDefault="007831C7" w:rsidP="003B750D">
      <w:pPr>
        <w:spacing w:line="360" w:lineRule="auto"/>
        <w:jc w:val="both"/>
        <w:rPr>
          <w:rFonts w:ascii="Times New Roman" w:hAnsi="Times New Roman" w:cs="Times New Roman"/>
        </w:rPr>
      </w:pPr>
      <w:r w:rsidRPr="005B4528">
        <w:rPr>
          <w:rFonts w:ascii="Times New Roman" w:hAnsi="Times New Roman" w:cs="Times New Roman"/>
        </w:rPr>
        <w:t>From January to June, dissolved oxygen (DO) levels consistently increased after treatment</w:t>
      </w:r>
      <w:r w:rsidR="00F326E1" w:rsidRPr="005B4528">
        <w:rPr>
          <w:rFonts w:ascii="Times New Roman" w:hAnsi="Times New Roman" w:cs="Times New Roman"/>
        </w:rPr>
        <w:t xml:space="preserve"> </w:t>
      </w:r>
      <w:r w:rsidRPr="005B4528">
        <w:rPr>
          <w:rFonts w:ascii="Times New Roman" w:hAnsi="Times New Roman" w:cs="Times New Roman"/>
        </w:rPr>
        <w:t>from 5.2–8.7 mg/L at the inlet to as high as 10.4 mg/L at the outlet</w:t>
      </w:r>
      <w:r w:rsidR="00D529B9" w:rsidRPr="005B4528">
        <w:rPr>
          <w:rFonts w:ascii="Times New Roman" w:hAnsi="Times New Roman" w:cs="Times New Roman"/>
        </w:rPr>
        <w:t xml:space="preserve"> (Table 1 and Fig.14)</w:t>
      </w:r>
      <w:r w:rsidRPr="005B4528">
        <w:rPr>
          <w:rFonts w:ascii="Times New Roman" w:hAnsi="Times New Roman" w:cs="Times New Roman"/>
        </w:rPr>
        <w:t>. This rise shows the STP is effectively maintaining aerobic conditions, essential for breaking down organic matter. Overall, the plant is enhancing water quality and ensuring the treated effluent is safe for discharge into the environment.</w:t>
      </w:r>
      <w:r w:rsidR="005B4528">
        <w:rPr>
          <w:rFonts w:ascii="Times New Roman" w:hAnsi="Times New Roman" w:cs="Times New Roman"/>
        </w:rPr>
        <w:t xml:space="preserve"> </w:t>
      </w:r>
      <w:r w:rsidR="002E5179" w:rsidRPr="005B4528">
        <w:rPr>
          <w:rFonts w:ascii="Times New Roman" w:hAnsi="Times New Roman" w:cs="Times New Roman"/>
        </w:rPr>
        <w:t>These mechanisms are crucial for the degradation of organic pollutants. All outlet values surpassed the CPCB minimum requirement for safe discharge into surface waters. This consistent improvement reflects the system’s operational efficiency and its ability to maintain suitable conditions for aquatic life.</w:t>
      </w:r>
    </w:p>
    <w:p w14:paraId="00CDB46F" w14:textId="77777777" w:rsidR="007831C7" w:rsidRPr="005B4528" w:rsidRDefault="0010117C" w:rsidP="00272BB1">
      <w:pPr>
        <w:spacing w:line="360" w:lineRule="auto"/>
        <w:jc w:val="center"/>
        <w:rPr>
          <w:rFonts w:ascii="Times New Roman" w:hAnsi="Times New Roman" w:cs="Times New Roman"/>
          <w:i/>
          <w:iCs/>
        </w:rPr>
      </w:pPr>
      <w:r w:rsidRPr="005B4528">
        <w:rPr>
          <w:rFonts w:ascii="Times New Roman" w:hAnsi="Times New Roman" w:cs="Times New Roman"/>
          <w:noProof/>
          <w:lang w:bidi="hi-IN"/>
        </w:rPr>
        <w:drawing>
          <wp:inline distT="0" distB="0" distL="0" distR="0" wp14:anchorId="7F566221" wp14:editId="2FFF81DA">
            <wp:extent cx="4572000" cy="2743200"/>
            <wp:effectExtent l="0" t="0" r="0" b="0"/>
            <wp:docPr id="1448543789" name="Chart 1">
              <a:extLst xmlns:a="http://schemas.openxmlformats.org/drawingml/2006/main">
                <a:ext uri="{FF2B5EF4-FFF2-40B4-BE49-F238E27FC236}">
                  <a16:creationId xmlns:a16="http://schemas.microsoft.com/office/drawing/2014/main" id="{04F8A276-9A66-4A91-27F2-3B116B2B27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E8FBEE4" w14:textId="77777777" w:rsidR="004710A3" w:rsidRPr="005B4528" w:rsidRDefault="00607B43" w:rsidP="00272BB1">
      <w:pPr>
        <w:tabs>
          <w:tab w:val="left" w:pos="1901"/>
        </w:tabs>
        <w:spacing w:line="360" w:lineRule="auto"/>
        <w:jc w:val="center"/>
        <w:rPr>
          <w:rFonts w:ascii="Times New Roman" w:hAnsi="Times New Roman" w:cs="Times New Roman"/>
          <w:b/>
          <w:bCs/>
        </w:rPr>
      </w:pPr>
      <w:r w:rsidRPr="005B4528">
        <w:rPr>
          <w:rFonts w:ascii="Times New Roman" w:hAnsi="Times New Roman" w:cs="Times New Roman"/>
          <w:b/>
          <w:bCs/>
        </w:rPr>
        <w:t>Figure 14: Variation of DO (mg/l) of inlet and outlet water of the STP.</w:t>
      </w:r>
    </w:p>
    <w:p w14:paraId="1B9B365B" w14:textId="77777777" w:rsidR="00272BB1" w:rsidRPr="005B4528" w:rsidRDefault="00272BB1" w:rsidP="003B750D">
      <w:pPr>
        <w:spacing w:line="360" w:lineRule="auto"/>
        <w:jc w:val="both"/>
        <w:rPr>
          <w:rFonts w:ascii="Times New Roman" w:hAnsi="Times New Roman" w:cs="Times New Roman"/>
          <w:i/>
          <w:iCs/>
        </w:rPr>
      </w:pPr>
    </w:p>
    <w:p w14:paraId="2C80F3F0" w14:textId="77777777" w:rsidR="007B14CF" w:rsidRPr="005B4528" w:rsidRDefault="007B14CF" w:rsidP="003B750D">
      <w:pPr>
        <w:spacing w:line="360" w:lineRule="auto"/>
        <w:jc w:val="both"/>
        <w:rPr>
          <w:rFonts w:ascii="Times New Roman" w:hAnsi="Times New Roman" w:cs="Times New Roman"/>
          <w:b/>
          <w:bCs/>
        </w:rPr>
      </w:pPr>
      <w:r w:rsidRPr="005B4528">
        <w:rPr>
          <w:rFonts w:ascii="Times New Roman" w:hAnsi="Times New Roman" w:cs="Times New Roman"/>
          <w:b/>
          <w:bCs/>
        </w:rPr>
        <w:t>Water Quality Index (WQI)</w:t>
      </w:r>
    </w:p>
    <w:p w14:paraId="6A1AFE79" w14:textId="77777777" w:rsidR="00E50ED9" w:rsidRPr="005B4528" w:rsidRDefault="00FA76DF" w:rsidP="003B750D">
      <w:pPr>
        <w:spacing w:line="360" w:lineRule="auto"/>
        <w:jc w:val="both"/>
        <w:rPr>
          <w:rFonts w:ascii="Times New Roman" w:hAnsi="Times New Roman" w:cs="Times New Roman"/>
        </w:rPr>
      </w:pPr>
      <w:r w:rsidRPr="005B4528">
        <w:rPr>
          <w:rFonts w:ascii="Times New Roman" w:eastAsia="MinionPro-Regular" w:hAnsi="Times New Roman" w:cs="Times New Roman"/>
        </w:rPr>
        <w:t>Water Quality Index (WQI) of outlet calculated and compare with the standards given by WHO (2004) (Table.3).</w:t>
      </w:r>
      <w:r w:rsidRPr="005B4528">
        <w:rPr>
          <w:rFonts w:ascii="Times New Roman" w:hAnsi="Times New Roman" w:cs="Times New Roman"/>
        </w:rPr>
        <w:t xml:space="preserve"> The value</w:t>
      </w:r>
      <w:r w:rsidR="00E50ED9" w:rsidRPr="005B4528">
        <w:rPr>
          <w:rFonts w:ascii="Times New Roman" w:hAnsi="Times New Roman" w:cs="Times New Roman"/>
        </w:rPr>
        <w:t xml:space="preserve"> of the outlet </w:t>
      </w:r>
      <w:r w:rsidR="00F326E1" w:rsidRPr="005B4528">
        <w:rPr>
          <w:rFonts w:ascii="Times New Roman" w:hAnsi="Times New Roman" w:cs="Times New Roman"/>
        </w:rPr>
        <w:t xml:space="preserve">sample is </w:t>
      </w:r>
      <w:r w:rsidR="00E50ED9" w:rsidRPr="005B4528">
        <w:rPr>
          <w:rFonts w:ascii="Times New Roman" w:hAnsi="Times New Roman" w:cs="Times New Roman"/>
        </w:rPr>
        <w:t xml:space="preserve">(72.274) surpass the acceptable limits signifying considerable pollution levels. These elevated readings indicate that the water contains contaminants in concentrations unsuitable for safe use. The quality deterioration is likely due to the accumulation of toxic elements such as heavy metals, disease-causing microorganisms, </w:t>
      </w:r>
      <w:r w:rsidR="00E50ED9" w:rsidRPr="005B4528">
        <w:rPr>
          <w:rFonts w:ascii="Times New Roman" w:hAnsi="Times New Roman" w:cs="Times New Roman"/>
        </w:rPr>
        <w:lastRenderedPageBreak/>
        <w:t>excessive nutrients, and organic matter. Potential sources contributing to this pollution include domestic wastewater, industrial effluents, and surface runoff from agricultural areas.</w:t>
      </w:r>
    </w:p>
    <w:p w14:paraId="28A16251" w14:textId="77777777" w:rsidR="007B14CF" w:rsidRPr="005B4528" w:rsidRDefault="007B14CF" w:rsidP="003B750D">
      <w:pPr>
        <w:spacing w:line="360" w:lineRule="auto"/>
        <w:jc w:val="both"/>
        <w:rPr>
          <w:rFonts w:ascii="Times New Roman" w:hAnsi="Times New Roman" w:cs="Times New Roman"/>
          <w:b/>
          <w:bCs/>
        </w:rPr>
      </w:pPr>
      <w:r w:rsidRPr="005B4528">
        <w:rPr>
          <w:rFonts w:ascii="Times New Roman" w:hAnsi="Times New Roman" w:cs="Times New Roman"/>
          <w:b/>
          <w:bCs/>
        </w:rPr>
        <w:t>Table 3: Water Quality Index of inlet and outlet water</w:t>
      </w:r>
    </w:p>
    <w:tbl>
      <w:tblPr>
        <w:tblStyle w:val="TableGrid"/>
        <w:tblW w:w="9442" w:type="dxa"/>
        <w:tblInd w:w="198" w:type="dxa"/>
        <w:tblLook w:val="04A0" w:firstRow="1" w:lastRow="0" w:firstColumn="1" w:lastColumn="0" w:noHBand="0" w:noVBand="1"/>
      </w:tblPr>
      <w:tblGrid>
        <w:gridCol w:w="3454"/>
        <w:gridCol w:w="2222"/>
        <w:gridCol w:w="3766"/>
      </w:tblGrid>
      <w:tr w:rsidR="00FA76DF" w:rsidRPr="005B4528" w14:paraId="29A13864" w14:textId="77777777" w:rsidTr="00FA76DF">
        <w:trPr>
          <w:trHeight w:val="551"/>
        </w:trPr>
        <w:tc>
          <w:tcPr>
            <w:tcW w:w="3454" w:type="dxa"/>
          </w:tcPr>
          <w:p w14:paraId="524588A7" w14:textId="77777777" w:rsidR="00FA76DF" w:rsidRPr="005B4528" w:rsidRDefault="00FA76DF" w:rsidP="003B750D">
            <w:pPr>
              <w:spacing w:line="360" w:lineRule="auto"/>
              <w:jc w:val="both"/>
              <w:rPr>
                <w:rFonts w:ascii="Times New Roman" w:hAnsi="Times New Roman" w:cs="Times New Roman"/>
                <w:b/>
                <w:bCs/>
              </w:rPr>
            </w:pPr>
            <w:r w:rsidRPr="005B4528">
              <w:rPr>
                <w:rFonts w:ascii="Times New Roman" w:hAnsi="Times New Roman" w:cs="Times New Roman"/>
                <w:b/>
                <w:bCs/>
              </w:rPr>
              <w:t>Water Quality Index Level</w:t>
            </w:r>
          </w:p>
        </w:tc>
        <w:tc>
          <w:tcPr>
            <w:tcW w:w="2222" w:type="dxa"/>
          </w:tcPr>
          <w:p w14:paraId="50985698" w14:textId="77777777" w:rsidR="00FA76DF" w:rsidRPr="005B4528" w:rsidRDefault="00FA76DF" w:rsidP="00FA76DF">
            <w:pPr>
              <w:spacing w:line="360" w:lineRule="auto"/>
              <w:jc w:val="center"/>
              <w:rPr>
                <w:rFonts w:ascii="Times New Roman" w:hAnsi="Times New Roman" w:cs="Times New Roman"/>
                <w:b/>
                <w:bCs/>
              </w:rPr>
            </w:pPr>
            <w:proofErr w:type="gramStart"/>
            <w:r w:rsidRPr="005B4528">
              <w:rPr>
                <w:rFonts w:ascii="Times New Roman" w:hAnsi="Times New Roman" w:cs="Times New Roman"/>
                <w:b/>
                <w:bCs/>
              </w:rPr>
              <w:t>Sample  Value</w:t>
            </w:r>
            <w:proofErr w:type="gramEnd"/>
          </w:p>
        </w:tc>
        <w:tc>
          <w:tcPr>
            <w:tcW w:w="3766" w:type="dxa"/>
          </w:tcPr>
          <w:p w14:paraId="7F3EDC95" w14:textId="77777777" w:rsidR="00FA76DF" w:rsidRPr="005B4528" w:rsidRDefault="00FA76DF" w:rsidP="003B750D">
            <w:pPr>
              <w:spacing w:line="360" w:lineRule="auto"/>
              <w:jc w:val="both"/>
              <w:rPr>
                <w:rFonts w:ascii="Times New Roman" w:hAnsi="Times New Roman" w:cs="Times New Roman"/>
                <w:b/>
                <w:bCs/>
              </w:rPr>
            </w:pPr>
            <w:r w:rsidRPr="005B4528">
              <w:rPr>
                <w:rFonts w:ascii="Times New Roman" w:hAnsi="Times New Roman" w:cs="Times New Roman"/>
                <w:b/>
                <w:bCs/>
              </w:rPr>
              <w:t>Water Quality Status</w:t>
            </w:r>
          </w:p>
        </w:tc>
      </w:tr>
      <w:tr w:rsidR="001E0B09" w:rsidRPr="005B4528" w14:paraId="6FAF2A2E" w14:textId="77777777" w:rsidTr="00FA76DF">
        <w:trPr>
          <w:trHeight w:val="395"/>
        </w:trPr>
        <w:tc>
          <w:tcPr>
            <w:tcW w:w="3454" w:type="dxa"/>
          </w:tcPr>
          <w:p w14:paraId="28FD1C56" w14:textId="77777777" w:rsidR="001E0B09" w:rsidRPr="005B4528" w:rsidRDefault="001E0B09" w:rsidP="003B750D">
            <w:pPr>
              <w:spacing w:line="360" w:lineRule="auto"/>
              <w:jc w:val="both"/>
              <w:rPr>
                <w:rFonts w:ascii="Times New Roman" w:hAnsi="Times New Roman" w:cs="Times New Roman"/>
              </w:rPr>
            </w:pPr>
            <w:r w:rsidRPr="005B4528">
              <w:rPr>
                <w:rFonts w:ascii="Times New Roman" w:hAnsi="Times New Roman" w:cs="Times New Roman"/>
              </w:rPr>
              <w:t>0 -25</w:t>
            </w:r>
          </w:p>
        </w:tc>
        <w:tc>
          <w:tcPr>
            <w:tcW w:w="2222" w:type="dxa"/>
          </w:tcPr>
          <w:p w14:paraId="1134D813" w14:textId="77777777" w:rsidR="001E0B09" w:rsidRPr="005B4528" w:rsidRDefault="001E0B09" w:rsidP="003B750D">
            <w:pPr>
              <w:spacing w:line="360" w:lineRule="auto"/>
              <w:jc w:val="both"/>
              <w:rPr>
                <w:rFonts w:ascii="Times New Roman" w:hAnsi="Times New Roman" w:cs="Times New Roman"/>
              </w:rPr>
            </w:pPr>
            <w:r w:rsidRPr="005B4528">
              <w:rPr>
                <w:rFonts w:ascii="Times New Roman" w:hAnsi="Times New Roman" w:cs="Times New Roman"/>
              </w:rPr>
              <w:t>-</w:t>
            </w:r>
          </w:p>
        </w:tc>
        <w:tc>
          <w:tcPr>
            <w:tcW w:w="3766" w:type="dxa"/>
          </w:tcPr>
          <w:p w14:paraId="335219A9" w14:textId="77777777" w:rsidR="001E0B09" w:rsidRPr="005B4528" w:rsidRDefault="001E0B09" w:rsidP="003B750D">
            <w:pPr>
              <w:spacing w:line="360" w:lineRule="auto"/>
              <w:jc w:val="both"/>
              <w:rPr>
                <w:rFonts w:ascii="Times New Roman" w:hAnsi="Times New Roman" w:cs="Times New Roman"/>
              </w:rPr>
            </w:pPr>
            <w:r w:rsidRPr="005B4528">
              <w:rPr>
                <w:rFonts w:ascii="Times New Roman" w:hAnsi="Times New Roman" w:cs="Times New Roman"/>
              </w:rPr>
              <w:t>Excellent</w:t>
            </w:r>
          </w:p>
        </w:tc>
      </w:tr>
      <w:tr w:rsidR="001E0B09" w:rsidRPr="005B4528" w14:paraId="7627E21F" w14:textId="77777777" w:rsidTr="00FA76DF">
        <w:trPr>
          <w:trHeight w:val="395"/>
        </w:trPr>
        <w:tc>
          <w:tcPr>
            <w:tcW w:w="3454" w:type="dxa"/>
          </w:tcPr>
          <w:p w14:paraId="2DF212FC" w14:textId="77777777" w:rsidR="001E0B09" w:rsidRPr="005B4528" w:rsidRDefault="001E0B09" w:rsidP="003B750D">
            <w:pPr>
              <w:spacing w:line="360" w:lineRule="auto"/>
              <w:jc w:val="both"/>
              <w:rPr>
                <w:rFonts w:ascii="Times New Roman" w:hAnsi="Times New Roman" w:cs="Times New Roman"/>
              </w:rPr>
            </w:pPr>
            <w:r w:rsidRPr="005B4528">
              <w:rPr>
                <w:rFonts w:ascii="Times New Roman" w:hAnsi="Times New Roman" w:cs="Times New Roman"/>
              </w:rPr>
              <w:t>26 -49</w:t>
            </w:r>
          </w:p>
        </w:tc>
        <w:tc>
          <w:tcPr>
            <w:tcW w:w="2222" w:type="dxa"/>
          </w:tcPr>
          <w:p w14:paraId="3ACF1328" w14:textId="77777777" w:rsidR="001E0B09" w:rsidRPr="005B4528" w:rsidRDefault="001E0B09" w:rsidP="003B750D">
            <w:pPr>
              <w:spacing w:line="360" w:lineRule="auto"/>
              <w:jc w:val="both"/>
              <w:rPr>
                <w:rFonts w:ascii="Times New Roman" w:hAnsi="Times New Roman" w:cs="Times New Roman"/>
              </w:rPr>
            </w:pPr>
            <w:r w:rsidRPr="005B4528">
              <w:rPr>
                <w:rFonts w:ascii="Times New Roman" w:hAnsi="Times New Roman" w:cs="Times New Roman"/>
              </w:rPr>
              <w:t>-</w:t>
            </w:r>
          </w:p>
        </w:tc>
        <w:tc>
          <w:tcPr>
            <w:tcW w:w="3766" w:type="dxa"/>
          </w:tcPr>
          <w:p w14:paraId="351EB58E" w14:textId="77777777" w:rsidR="001E0B09" w:rsidRPr="005B4528" w:rsidRDefault="001E0B09" w:rsidP="003B750D">
            <w:pPr>
              <w:spacing w:line="360" w:lineRule="auto"/>
              <w:jc w:val="both"/>
              <w:rPr>
                <w:rFonts w:ascii="Times New Roman" w:hAnsi="Times New Roman" w:cs="Times New Roman"/>
              </w:rPr>
            </w:pPr>
            <w:r w:rsidRPr="005B4528">
              <w:rPr>
                <w:rFonts w:ascii="Times New Roman" w:hAnsi="Times New Roman" w:cs="Times New Roman"/>
              </w:rPr>
              <w:t>Good quality</w:t>
            </w:r>
          </w:p>
        </w:tc>
      </w:tr>
      <w:tr w:rsidR="001E0B09" w:rsidRPr="005B4528" w14:paraId="212A5ADD" w14:textId="77777777" w:rsidTr="00FA76DF">
        <w:trPr>
          <w:trHeight w:val="379"/>
        </w:trPr>
        <w:tc>
          <w:tcPr>
            <w:tcW w:w="3454" w:type="dxa"/>
          </w:tcPr>
          <w:p w14:paraId="731AC1C9" w14:textId="77777777" w:rsidR="001E0B09" w:rsidRPr="005B4528" w:rsidRDefault="001E0B09" w:rsidP="003B750D">
            <w:pPr>
              <w:spacing w:line="360" w:lineRule="auto"/>
              <w:jc w:val="both"/>
              <w:rPr>
                <w:rFonts w:ascii="Times New Roman" w:hAnsi="Times New Roman" w:cs="Times New Roman"/>
              </w:rPr>
            </w:pPr>
            <w:r w:rsidRPr="005B4528">
              <w:rPr>
                <w:rFonts w:ascii="Times New Roman" w:hAnsi="Times New Roman" w:cs="Times New Roman"/>
              </w:rPr>
              <w:t>50 – 70</w:t>
            </w:r>
          </w:p>
        </w:tc>
        <w:tc>
          <w:tcPr>
            <w:tcW w:w="2222" w:type="dxa"/>
          </w:tcPr>
          <w:p w14:paraId="6489260B" w14:textId="77777777" w:rsidR="001E0B09" w:rsidRPr="005B4528" w:rsidRDefault="001E0B09" w:rsidP="003B750D">
            <w:pPr>
              <w:spacing w:line="360" w:lineRule="auto"/>
              <w:jc w:val="both"/>
              <w:rPr>
                <w:rFonts w:ascii="Times New Roman" w:hAnsi="Times New Roman" w:cs="Times New Roman"/>
              </w:rPr>
            </w:pPr>
            <w:r w:rsidRPr="005B4528">
              <w:rPr>
                <w:rFonts w:ascii="Times New Roman" w:hAnsi="Times New Roman" w:cs="Times New Roman"/>
              </w:rPr>
              <w:t>-</w:t>
            </w:r>
          </w:p>
        </w:tc>
        <w:tc>
          <w:tcPr>
            <w:tcW w:w="3766" w:type="dxa"/>
          </w:tcPr>
          <w:p w14:paraId="7C854EBB" w14:textId="77777777" w:rsidR="001E0B09" w:rsidRPr="005B4528" w:rsidRDefault="001E0B09" w:rsidP="003B750D">
            <w:pPr>
              <w:spacing w:line="360" w:lineRule="auto"/>
              <w:jc w:val="both"/>
              <w:rPr>
                <w:rFonts w:ascii="Times New Roman" w:hAnsi="Times New Roman" w:cs="Times New Roman"/>
              </w:rPr>
            </w:pPr>
            <w:r w:rsidRPr="005B4528">
              <w:rPr>
                <w:rFonts w:ascii="Times New Roman" w:hAnsi="Times New Roman" w:cs="Times New Roman"/>
              </w:rPr>
              <w:t>Poor</w:t>
            </w:r>
          </w:p>
        </w:tc>
      </w:tr>
      <w:tr w:rsidR="001E0B09" w:rsidRPr="005B4528" w14:paraId="32CBAF26" w14:textId="77777777" w:rsidTr="00FA76DF">
        <w:trPr>
          <w:trHeight w:val="395"/>
        </w:trPr>
        <w:tc>
          <w:tcPr>
            <w:tcW w:w="3454" w:type="dxa"/>
          </w:tcPr>
          <w:p w14:paraId="70EC9EBB" w14:textId="77777777" w:rsidR="001E0B09" w:rsidRPr="005B4528" w:rsidRDefault="001E0B09" w:rsidP="003B750D">
            <w:pPr>
              <w:spacing w:line="360" w:lineRule="auto"/>
              <w:jc w:val="both"/>
              <w:rPr>
                <w:rFonts w:ascii="Times New Roman" w:hAnsi="Times New Roman" w:cs="Times New Roman"/>
              </w:rPr>
            </w:pPr>
            <w:r w:rsidRPr="005B4528">
              <w:rPr>
                <w:rFonts w:ascii="Times New Roman" w:hAnsi="Times New Roman" w:cs="Times New Roman"/>
              </w:rPr>
              <w:t>71 – 89</w:t>
            </w:r>
          </w:p>
        </w:tc>
        <w:tc>
          <w:tcPr>
            <w:tcW w:w="2222" w:type="dxa"/>
          </w:tcPr>
          <w:p w14:paraId="409272F4" w14:textId="77777777" w:rsidR="001E0B09" w:rsidRPr="005B4528" w:rsidRDefault="001E0B09" w:rsidP="003B750D">
            <w:pPr>
              <w:spacing w:line="360" w:lineRule="auto"/>
              <w:jc w:val="both"/>
              <w:rPr>
                <w:rFonts w:ascii="Times New Roman" w:hAnsi="Times New Roman" w:cs="Times New Roman"/>
              </w:rPr>
            </w:pPr>
            <w:r w:rsidRPr="005B4528">
              <w:rPr>
                <w:rFonts w:ascii="Times New Roman" w:hAnsi="Times New Roman" w:cs="Times New Roman"/>
              </w:rPr>
              <w:t>72.247</w:t>
            </w:r>
          </w:p>
        </w:tc>
        <w:tc>
          <w:tcPr>
            <w:tcW w:w="3766" w:type="dxa"/>
          </w:tcPr>
          <w:p w14:paraId="4D50E0C4" w14:textId="77777777" w:rsidR="001E0B09" w:rsidRPr="005B4528" w:rsidRDefault="001E0B09" w:rsidP="003B750D">
            <w:pPr>
              <w:spacing w:line="360" w:lineRule="auto"/>
              <w:jc w:val="both"/>
              <w:rPr>
                <w:rFonts w:ascii="Times New Roman" w:hAnsi="Times New Roman" w:cs="Times New Roman"/>
              </w:rPr>
            </w:pPr>
            <w:r w:rsidRPr="005B4528">
              <w:rPr>
                <w:rFonts w:ascii="Times New Roman" w:hAnsi="Times New Roman" w:cs="Times New Roman"/>
              </w:rPr>
              <w:t>Very poor</w:t>
            </w:r>
          </w:p>
        </w:tc>
      </w:tr>
      <w:tr w:rsidR="001E0B09" w:rsidRPr="005B4528" w14:paraId="5557DB88" w14:textId="77777777" w:rsidTr="00FA76DF">
        <w:trPr>
          <w:trHeight w:val="395"/>
        </w:trPr>
        <w:tc>
          <w:tcPr>
            <w:tcW w:w="3454" w:type="dxa"/>
          </w:tcPr>
          <w:p w14:paraId="4B0B0684" w14:textId="77777777" w:rsidR="001E0B09" w:rsidRPr="005B4528" w:rsidRDefault="001E0B09" w:rsidP="003B750D">
            <w:pPr>
              <w:spacing w:line="360" w:lineRule="auto"/>
              <w:jc w:val="both"/>
              <w:rPr>
                <w:rFonts w:ascii="Times New Roman" w:hAnsi="Times New Roman" w:cs="Times New Roman"/>
              </w:rPr>
            </w:pPr>
            <w:r w:rsidRPr="005B4528">
              <w:rPr>
                <w:rFonts w:ascii="Times New Roman" w:hAnsi="Times New Roman" w:cs="Times New Roman"/>
              </w:rPr>
              <w:t>90 - 100</w:t>
            </w:r>
          </w:p>
        </w:tc>
        <w:tc>
          <w:tcPr>
            <w:tcW w:w="2222" w:type="dxa"/>
          </w:tcPr>
          <w:p w14:paraId="0105DB43" w14:textId="77777777" w:rsidR="001E0B09" w:rsidRPr="005B4528" w:rsidRDefault="001E0B09" w:rsidP="003B750D">
            <w:pPr>
              <w:spacing w:line="360" w:lineRule="auto"/>
              <w:jc w:val="both"/>
              <w:rPr>
                <w:rFonts w:ascii="Times New Roman" w:hAnsi="Times New Roman" w:cs="Times New Roman"/>
              </w:rPr>
            </w:pPr>
            <w:r w:rsidRPr="005B4528">
              <w:rPr>
                <w:rFonts w:ascii="Times New Roman" w:hAnsi="Times New Roman" w:cs="Times New Roman"/>
              </w:rPr>
              <w:t>-</w:t>
            </w:r>
          </w:p>
        </w:tc>
        <w:tc>
          <w:tcPr>
            <w:tcW w:w="3766" w:type="dxa"/>
          </w:tcPr>
          <w:p w14:paraId="58B93CA1" w14:textId="77777777" w:rsidR="001E0B09" w:rsidRPr="005B4528" w:rsidRDefault="001E0B09" w:rsidP="003B750D">
            <w:pPr>
              <w:spacing w:line="360" w:lineRule="auto"/>
              <w:jc w:val="both"/>
              <w:rPr>
                <w:rFonts w:ascii="Times New Roman" w:hAnsi="Times New Roman" w:cs="Times New Roman"/>
              </w:rPr>
            </w:pPr>
            <w:r w:rsidRPr="005B4528">
              <w:rPr>
                <w:rFonts w:ascii="Times New Roman" w:hAnsi="Times New Roman" w:cs="Times New Roman"/>
              </w:rPr>
              <w:t>Unsuitable for drinking</w:t>
            </w:r>
          </w:p>
        </w:tc>
      </w:tr>
    </w:tbl>
    <w:p w14:paraId="268DDD0E" w14:textId="77777777" w:rsidR="007831C7" w:rsidRPr="005B4528" w:rsidRDefault="007831C7" w:rsidP="003B750D">
      <w:pPr>
        <w:spacing w:line="360" w:lineRule="auto"/>
        <w:jc w:val="both"/>
        <w:rPr>
          <w:rFonts w:ascii="Times New Roman" w:hAnsi="Times New Roman" w:cs="Times New Roman"/>
          <w:b/>
          <w:bCs/>
        </w:rPr>
      </w:pPr>
    </w:p>
    <w:p w14:paraId="2B662419" w14:textId="77777777" w:rsidR="003B750D" w:rsidRPr="005B4528" w:rsidRDefault="003B750D" w:rsidP="003B750D">
      <w:pPr>
        <w:spacing w:line="360" w:lineRule="auto"/>
        <w:jc w:val="both"/>
        <w:rPr>
          <w:rFonts w:ascii="Times New Roman" w:hAnsi="Times New Roman" w:cs="Times New Roman"/>
        </w:rPr>
      </w:pPr>
      <w:r w:rsidRPr="005B4528">
        <w:rPr>
          <w:rFonts w:ascii="Times New Roman" w:hAnsi="Times New Roman" w:cs="Times New Roman"/>
        </w:rPr>
        <w:t>The results indicate that the water is significantly contaminated, with several parameters such as alkalinity, calcium content, and total dissolved solids (TDS) exceeding the permissible limits established by the Central Pollution Control Board (CPCB). However, some factors like pH and turbidity remain within acceptable ranges. This suggests that although the water is not suitable for</w:t>
      </w:r>
      <w:r w:rsidR="005B4528">
        <w:rPr>
          <w:rFonts w:ascii="Times New Roman" w:hAnsi="Times New Roman" w:cs="Times New Roman"/>
        </w:rPr>
        <w:t xml:space="preserve"> </w:t>
      </w:r>
      <w:r w:rsidRPr="005B4528">
        <w:rPr>
          <w:rFonts w:ascii="Times New Roman" w:hAnsi="Times New Roman" w:cs="Times New Roman"/>
        </w:rPr>
        <w:t>sensitive uses, it still holds potential for irrigation purposes. With appropriate treatment and management, this water can be safely utilized for agricultural activities, particularly in regions facing water scarcity. Reusing such treated wastewater can help conserve freshwater resources while supporting sustainable farming practices.</w:t>
      </w:r>
    </w:p>
    <w:p w14:paraId="0883ADE6" w14:textId="77777777" w:rsidR="007B6C57" w:rsidRPr="005B4528" w:rsidRDefault="007B6C57" w:rsidP="003B750D">
      <w:pPr>
        <w:spacing w:line="360" w:lineRule="auto"/>
        <w:jc w:val="both"/>
        <w:rPr>
          <w:rFonts w:ascii="Times New Roman" w:hAnsi="Times New Roman" w:cs="Times New Roman"/>
          <w:b/>
          <w:bCs/>
        </w:rPr>
      </w:pPr>
      <w:r w:rsidRPr="005B4528">
        <w:rPr>
          <w:rFonts w:ascii="Times New Roman" w:hAnsi="Times New Roman" w:cs="Times New Roman"/>
          <w:b/>
          <w:bCs/>
        </w:rPr>
        <w:t>CONCLUSION</w:t>
      </w:r>
    </w:p>
    <w:p w14:paraId="3EB309BA" w14:textId="77777777" w:rsidR="007B6C57" w:rsidRDefault="007B69FF" w:rsidP="003B750D">
      <w:pPr>
        <w:spacing w:line="360" w:lineRule="auto"/>
        <w:jc w:val="both"/>
        <w:rPr>
          <w:rFonts w:ascii="Times New Roman" w:hAnsi="Times New Roman" w:cs="Times New Roman"/>
        </w:rPr>
      </w:pPr>
      <w:r w:rsidRPr="005B4528">
        <w:rPr>
          <w:rFonts w:ascii="Times New Roman" w:hAnsi="Times New Roman" w:cs="Times New Roman"/>
        </w:rPr>
        <w:t xml:space="preserve">The assessment of the sewage treatment plant (STP) located in Joginder Nagar, Himachal Pradesh, reveals a mixed performance in terms of treatment efficiency. While several parameters such as total dissolved solids (TDS), chemical oxygen demand (COD), turbidity, and dissolved oxygen (DO) levels improved significantly after treatment, other indicators showed inconsistencies that warrant attention. Notably, the plant demonstrated effectiveness in reducing TDS from an average of 285 mg/L to 237 mg/L, and COD from 279 mg/L to 163 mg/L, both within permissible limits as per Central Pollution Control Board (CPCB) norms. Similarly, DO levels improved post-treatment, indicating effective aeration and microbial </w:t>
      </w:r>
      <w:proofErr w:type="spellStart"/>
      <w:proofErr w:type="gramStart"/>
      <w:r w:rsidRPr="005B4528">
        <w:rPr>
          <w:rFonts w:ascii="Times New Roman" w:hAnsi="Times New Roman" w:cs="Times New Roman"/>
        </w:rPr>
        <w:t>activity.However</w:t>
      </w:r>
      <w:proofErr w:type="spellEnd"/>
      <w:proofErr w:type="gramEnd"/>
      <w:r w:rsidRPr="005B4528">
        <w:rPr>
          <w:rFonts w:ascii="Times New Roman" w:hAnsi="Times New Roman" w:cs="Times New Roman"/>
        </w:rPr>
        <w:t xml:space="preserve">, the consistently foul odor in both inlet and outlet samples throughout the six-month period indicates inadequate removal of volatile organic compounds, undermining public acceptance and reuse </w:t>
      </w:r>
      <w:r w:rsidRPr="005B4528">
        <w:rPr>
          <w:rFonts w:ascii="Times New Roman" w:hAnsi="Times New Roman" w:cs="Times New Roman"/>
        </w:rPr>
        <w:lastRenderedPageBreak/>
        <w:t xml:space="preserve">potential. Furthermore, the biological oxygen demand (BOD) values displayed anomalies, with outlet concentrations occasionally exceeding inlet levels, suggesting possible sampling errors or biological process imbalances. The increase in magnesium concentration post-treatment is also a matter of concern, pointing to the need for enhanced nutrient management </w:t>
      </w:r>
      <w:proofErr w:type="spellStart"/>
      <w:proofErr w:type="gramStart"/>
      <w:r w:rsidRPr="005B4528">
        <w:rPr>
          <w:rFonts w:ascii="Times New Roman" w:hAnsi="Times New Roman" w:cs="Times New Roman"/>
        </w:rPr>
        <w:t>strategies.These</w:t>
      </w:r>
      <w:proofErr w:type="spellEnd"/>
      <w:proofErr w:type="gramEnd"/>
      <w:r w:rsidRPr="005B4528">
        <w:rPr>
          <w:rFonts w:ascii="Times New Roman" w:hAnsi="Times New Roman" w:cs="Times New Roman"/>
        </w:rPr>
        <w:t xml:space="preserve"> findings highlight the partial effectiveness of the STP in achieving its treatment goals. While it meets several physicochemical standards, the inconsistencies in biological parameters and odor control reflect gaps in system optimization. To enhance performance, the plant requires periodic process audits, improved microbial monitoring, and upgrades in odor management and nutrient recovery systems. Strengthening these aspects would not only improve treatment quality but also align the STP more closely with national environmental and public health objectives. Ultimately, this study</w:t>
      </w:r>
      <w:r w:rsidR="005B4528">
        <w:rPr>
          <w:rFonts w:ascii="Times New Roman" w:hAnsi="Times New Roman" w:cs="Times New Roman"/>
        </w:rPr>
        <w:t xml:space="preserve"> </w:t>
      </w:r>
      <w:r w:rsidRPr="005B4528">
        <w:rPr>
          <w:rFonts w:ascii="Times New Roman" w:hAnsi="Times New Roman" w:cs="Times New Roman"/>
        </w:rPr>
        <w:t>emphasizes the importance of continuous evaluation and operational enhancement for sustainable sewage management in small towns like Joginder Nagar.</w:t>
      </w:r>
    </w:p>
    <w:p w14:paraId="58262796" w14:textId="77777777" w:rsidR="007B69FF" w:rsidRPr="005B4528" w:rsidRDefault="007B6C57" w:rsidP="003B750D">
      <w:pPr>
        <w:spacing w:line="360" w:lineRule="auto"/>
        <w:jc w:val="both"/>
        <w:rPr>
          <w:rFonts w:ascii="Times New Roman" w:hAnsi="Times New Roman" w:cs="Times New Roman"/>
          <w:b/>
          <w:bCs/>
        </w:rPr>
      </w:pPr>
      <w:bookmarkStart w:id="1" w:name="_GoBack"/>
      <w:bookmarkEnd w:id="1"/>
      <w:r w:rsidRPr="005B4528">
        <w:rPr>
          <w:rFonts w:ascii="Times New Roman" w:hAnsi="Times New Roman" w:cs="Times New Roman"/>
          <w:b/>
          <w:bCs/>
        </w:rPr>
        <w:t>REFERENCES</w:t>
      </w:r>
    </w:p>
    <w:p w14:paraId="4AC988FF" w14:textId="77777777" w:rsidR="00FE01A8" w:rsidRPr="005B4528" w:rsidRDefault="005B4528" w:rsidP="00FE01A8">
      <w:pPr>
        <w:pStyle w:val="Default"/>
        <w:numPr>
          <w:ilvl w:val="0"/>
          <w:numId w:val="3"/>
        </w:numPr>
        <w:spacing w:before="240" w:line="360" w:lineRule="auto"/>
        <w:jc w:val="both"/>
        <w:rPr>
          <w:rFonts w:ascii="Times New Roman" w:hAnsi="Times New Roman" w:cs="Times New Roman"/>
        </w:rPr>
      </w:pPr>
      <w:r>
        <w:rPr>
          <w:rFonts w:ascii="Times New Roman" w:hAnsi="Times New Roman" w:cs="Times New Roman"/>
        </w:rPr>
        <w:t>APHA</w:t>
      </w:r>
      <w:r w:rsidR="00B9608E" w:rsidRPr="005B4528">
        <w:rPr>
          <w:rFonts w:ascii="Times New Roman" w:hAnsi="Times New Roman" w:cs="Times New Roman"/>
        </w:rPr>
        <w:t xml:space="preserve"> (2012)</w:t>
      </w:r>
      <w:r>
        <w:rPr>
          <w:rFonts w:ascii="Times New Roman" w:hAnsi="Times New Roman" w:cs="Times New Roman"/>
        </w:rPr>
        <w:t>.</w:t>
      </w:r>
      <w:r w:rsidR="00AE1B4D" w:rsidRPr="005B4528">
        <w:rPr>
          <w:rFonts w:ascii="Times New Roman" w:hAnsi="Times New Roman" w:cs="Times New Roman"/>
        </w:rPr>
        <w:t xml:space="preserve"> Standard methods for the examination of water and wastewater (22nd ed.). </w:t>
      </w:r>
      <w:r w:rsidR="00AE1B4D" w:rsidRPr="005B4528">
        <w:rPr>
          <w:rFonts w:ascii="Times New Roman" w:hAnsi="Times New Roman" w:cs="Times New Roman"/>
          <w:i/>
          <w:iCs/>
        </w:rPr>
        <w:t>American Public Health Association</w:t>
      </w:r>
      <w:r w:rsidR="00AE1B4D" w:rsidRPr="005B4528">
        <w:rPr>
          <w:rFonts w:ascii="Times New Roman" w:hAnsi="Times New Roman" w:cs="Times New Roman"/>
        </w:rPr>
        <w:t>.</w:t>
      </w:r>
    </w:p>
    <w:p w14:paraId="309980DE" w14:textId="77777777" w:rsidR="00FE01A8" w:rsidRPr="005B4528" w:rsidRDefault="00B9608E" w:rsidP="00FE01A8">
      <w:pPr>
        <w:pStyle w:val="ListParagraph"/>
        <w:numPr>
          <w:ilvl w:val="0"/>
          <w:numId w:val="3"/>
        </w:numPr>
        <w:spacing w:after="0" w:line="360" w:lineRule="auto"/>
        <w:ind w:left="714" w:hanging="357"/>
        <w:jc w:val="both"/>
        <w:rPr>
          <w:rFonts w:ascii="Times New Roman" w:hAnsi="Times New Roman" w:cs="Times New Roman"/>
        </w:rPr>
      </w:pPr>
      <w:r w:rsidRPr="005B4528">
        <w:rPr>
          <w:rFonts w:ascii="Times New Roman" w:hAnsi="Times New Roman" w:cs="Times New Roman"/>
        </w:rPr>
        <w:t>BIS (2012)</w:t>
      </w:r>
      <w:r w:rsidR="005B4528">
        <w:rPr>
          <w:rFonts w:ascii="Times New Roman" w:hAnsi="Times New Roman" w:cs="Times New Roman"/>
        </w:rPr>
        <w:t>.</w:t>
      </w:r>
      <w:r w:rsidR="00FE01A8" w:rsidRPr="005B4528">
        <w:rPr>
          <w:rFonts w:ascii="Times New Roman" w:hAnsi="Times New Roman" w:cs="Times New Roman"/>
        </w:rPr>
        <w:t xml:space="preserve"> Indian Standard DRINKING WATER — SPECIFICATION (Second Revision). PP16</w:t>
      </w:r>
    </w:p>
    <w:p w14:paraId="0BF1A383" w14:textId="77777777" w:rsidR="00AE1B4D" w:rsidRPr="005B4528" w:rsidRDefault="00B9608E" w:rsidP="00FE01A8">
      <w:pPr>
        <w:pStyle w:val="ListParagraph"/>
        <w:numPr>
          <w:ilvl w:val="0"/>
          <w:numId w:val="3"/>
        </w:numPr>
        <w:spacing w:after="0" w:line="360" w:lineRule="auto"/>
        <w:ind w:left="714" w:hanging="357"/>
        <w:jc w:val="both"/>
        <w:rPr>
          <w:rFonts w:ascii="Times New Roman" w:hAnsi="Times New Roman" w:cs="Times New Roman"/>
        </w:rPr>
      </w:pPr>
      <w:r w:rsidRPr="005B4528">
        <w:rPr>
          <w:rFonts w:ascii="Times New Roman" w:hAnsi="Times New Roman" w:cs="Times New Roman"/>
        </w:rPr>
        <w:t>Brown</w:t>
      </w:r>
      <w:r w:rsidR="005B4528">
        <w:rPr>
          <w:rFonts w:ascii="Times New Roman" w:hAnsi="Times New Roman" w:cs="Times New Roman"/>
        </w:rPr>
        <w:t>,</w:t>
      </w:r>
      <w:r w:rsidRPr="005B4528">
        <w:rPr>
          <w:rFonts w:ascii="Times New Roman" w:hAnsi="Times New Roman" w:cs="Times New Roman"/>
        </w:rPr>
        <w:t xml:space="preserve"> R</w:t>
      </w:r>
      <w:r w:rsidR="005B4528">
        <w:rPr>
          <w:rFonts w:ascii="Times New Roman" w:hAnsi="Times New Roman" w:cs="Times New Roman"/>
        </w:rPr>
        <w:t>.</w:t>
      </w:r>
      <w:r w:rsidRPr="005B4528">
        <w:rPr>
          <w:rFonts w:ascii="Times New Roman" w:hAnsi="Times New Roman" w:cs="Times New Roman"/>
        </w:rPr>
        <w:t>M</w:t>
      </w:r>
      <w:r w:rsidR="005B4528">
        <w:rPr>
          <w:rFonts w:ascii="Times New Roman" w:hAnsi="Times New Roman" w:cs="Times New Roman"/>
        </w:rPr>
        <w:t>.</w:t>
      </w:r>
      <w:r w:rsidRPr="005B4528">
        <w:rPr>
          <w:rFonts w:ascii="Times New Roman" w:hAnsi="Times New Roman" w:cs="Times New Roman"/>
        </w:rPr>
        <w:t>, Mcclell</w:t>
      </w:r>
      <w:r w:rsidR="005B4528">
        <w:rPr>
          <w:rFonts w:ascii="Times New Roman" w:hAnsi="Times New Roman" w:cs="Times New Roman"/>
        </w:rPr>
        <w:t>,</w:t>
      </w:r>
      <w:r w:rsidRPr="005B4528">
        <w:rPr>
          <w:rFonts w:ascii="Times New Roman" w:hAnsi="Times New Roman" w:cs="Times New Roman"/>
        </w:rPr>
        <w:t xml:space="preserve"> N</w:t>
      </w:r>
      <w:r w:rsidR="005B4528">
        <w:rPr>
          <w:rFonts w:ascii="Times New Roman" w:hAnsi="Times New Roman" w:cs="Times New Roman"/>
        </w:rPr>
        <w:t>.</w:t>
      </w:r>
      <w:r w:rsidRPr="005B4528">
        <w:rPr>
          <w:rFonts w:ascii="Times New Roman" w:hAnsi="Times New Roman" w:cs="Times New Roman"/>
        </w:rPr>
        <w:t>I</w:t>
      </w:r>
      <w:r w:rsidR="005B4528">
        <w:rPr>
          <w:rFonts w:ascii="Times New Roman" w:hAnsi="Times New Roman" w:cs="Times New Roman"/>
        </w:rPr>
        <w:t>.</w:t>
      </w:r>
      <w:r w:rsidRPr="005B4528">
        <w:rPr>
          <w:rFonts w:ascii="Times New Roman" w:hAnsi="Times New Roman" w:cs="Times New Roman"/>
        </w:rPr>
        <w:t>, Deininger</w:t>
      </w:r>
      <w:r w:rsidR="005B4528">
        <w:rPr>
          <w:rFonts w:ascii="Times New Roman" w:hAnsi="Times New Roman" w:cs="Times New Roman"/>
        </w:rPr>
        <w:t>,</w:t>
      </w:r>
      <w:r w:rsidRPr="005B4528">
        <w:rPr>
          <w:rFonts w:ascii="Times New Roman" w:hAnsi="Times New Roman" w:cs="Times New Roman"/>
        </w:rPr>
        <w:t xml:space="preserve"> R</w:t>
      </w:r>
      <w:r w:rsidR="005B4528">
        <w:rPr>
          <w:rFonts w:ascii="Times New Roman" w:hAnsi="Times New Roman" w:cs="Times New Roman"/>
        </w:rPr>
        <w:t>.</w:t>
      </w:r>
      <w:r w:rsidRPr="005B4528">
        <w:rPr>
          <w:rFonts w:ascii="Times New Roman" w:hAnsi="Times New Roman" w:cs="Times New Roman"/>
        </w:rPr>
        <w:t>A</w:t>
      </w:r>
      <w:r w:rsidR="005B4528">
        <w:rPr>
          <w:rFonts w:ascii="Times New Roman" w:hAnsi="Times New Roman" w:cs="Times New Roman"/>
        </w:rPr>
        <w:t>. and</w:t>
      </w:r>
      <w:r w:rsidRPr="005B4528">
        <w:rPr>
          <w:rFonts w:ascii="Times New Roman" w:hAnsi="Times New Roman" w:cs="Times New Roman"/>
        </w:rPr>
        <w:t xml:space="preserve"> Tozer</w:t>
      </w:r>
      <w:r w:rsidR="005B4528">
        <w:rPr>
          <w:rFonts w:ascii="Times New Roman" w:hAnsi="Times New Roman" w:cs="Times New Roman"/>
        </w:rPr>
        <w:t>,</w:t>
      </w:r>
      <w:r w:rsidRPr="005B4528">
        <w:rPr>
          <w:rFonts w:ascii="Times New Roman" w:hAnsi="Times New Roman" w:cs="Times New Roman"/>
        </w:rPr>
        <w:t xml:space="preserve"> R</w:t>
      </w:r>
      <w:r w:rsidR="005B4528">
        <w:rPr>
          <w:rFonts w:ascii="Times New Roman" w:hAnsi="Times New Roman" w:cs="Times New Roman"/>
        </w:rPr>
        <w:t>.</w:t>
      </w:r>
      <w:r w:rsidRPr="005B4528">
        <w:rPr>
          <w:rFonts w:ascii="Times New Roman" w:hAnsi="Times New Roman" w:cs="Times New Roman"/>
        </w:rPr>
        <w:t>G</w:t>
      </w:r>
      <w:r w:rsidR="005B4528">
        <w:rPr>
          <w:rFonts w:ascii="Times New Roman" w:hAnsi="Times New Roman" w:cs="Times New Roman"/>
        </w:rPr>
        <w:t>.</w:t>
      </w:r>
      <w:r w:rsidR="00FE01A8" w:rsidRPr="005B4528">
        <w:rPr>
          <w:rFonts w:ascii="Times New Roman" w:hAnsi="Times New Roman" w:cs="Times New Roman"/>
        </w:rPr>
        <w:t xml:space="preserve"> (1972)</w:t>
      </w:r>
      <w:r w:rsidR="005B4528">
        <w:rPr>
          <w:rFonts w:ascii="Times New Roman" w:hAnsi="Times New Roman" w:cs="Times New Roman"/>
        </w:rPr>
        <w:t>.</w:t>
      </w:r>
      <w:r w:rsidR="00FE01A8" w:rsidRPr="005B4528">
        <w:rPr>
          <w:rFonts w:ascii="Times New Roman" w:hAnsi="Times New Roman" w:cs="Times New Roman"/>
        </w:rPr>
        <w:t xml:space="preserve"> A Water Quality Index – Do we dare? Water and Sewage works. 117 (10): 339-343.</w:t>
      </w:r>
    </w:p>
    <w:p w14:paraId="501A8A6B" w14:textId="77777777" w:rsidR="00FE01A8" w:rsidRPr="005B4528" w:rsidRDefault="00B9608E" w:rsidP="00FE01A8">
      <w:pPr>
        <w:pStyle w:val="ListParagraph"/>
        <w:numPr>
          <w:ilvl w:val="0"/>
          <w:numId w:val="3"/>
        </w:numPr>
        <w:spacing w:after="0" w:line="360" w:lineRule="auto"/>
        <w:ind w:left="714" w:hanging="357"/>
        <w:jc w:val="both"/>
        <w:rPr>
          <w:rFonts w:ascii="Times New Roman" w:hAnsi="Times New Roman" w:cs="Times New Roman"/>
        </w:rPr>
      </w:pPr>
      <w:r w:rsidRPr="005B4528">
        <w:rPr>
          <w:rFonts w:ascii="Times New Roman" w:hAnsi="Times New Roman" w:cs="Times New Roman"/>
          <w:color w:val="232323"/>
          <w:shd w:val="clear" w:color="auto" w:fill="FFFFFF"/>
        </w:rPr>
        <w:t>CPCB (2008)</w:t>
      </w:r>
      <w:r w:rsidR="005B4528">
        <w:rPr>
          <w:rFonts w:ascii="Times New Roman" w:hAnsi="Times New Roman" w:cs="Times New Roman"/>
          <w:color w:val="232323"/>
          <w:shd w:val="clear" w:color="auto" w:fill="FFFFFF"/>
        </w:rPr>
        <w:t>.</w:t>
      </w:r>
      <w:r w:rsidR="00FE01A8" w:rsidRPr="005B4528">
        <w:rPr>
          <w:rFonts w:ascii="Times New Roman" w:hAnsi="Times New Roman" w:cs="Times New Roman"/>
          <w:color w:val="232323"/>
          <w:shd w:val="clear" w:color="auto" w:fill="FFFFFF"/>
        </w:rPr>
        <w:t xml:space="preserve"> Guideline for Water Quality Management. Central Pollution Control Board, Delhi</w:t>
      </w:r>
    </w:p>
    <w:p w14:paraId="253CFCB2" w14:textId="77777777" w:rsidR="00FE01A8" w:rsidRPr="005B4528" w:rsidRDefault="00B9608E" w:rsidP="00FE01A8">
      <w:pPr>
        <w:pStyle w:val="ListParagraph"/>
        <w:numPr>
          <w:ilvl w:val="0"/>
          <w:numId w:val="3"/>
        </w:numPr>
        <w:spacing w:after="0" w:line="360" w:lineRule="auto"/>
        <w:ind w:left="714" w:hanging="357"/>
        <w:jc w:val="both"/>
        <w:rPr>
          <w:rFonts w:ascii="Times New Roman" w:hAnsi="Times New Roman" w:cs="Times New Roman"/>
        </w:rPr>
      </w:pPr>
      <w:r w:rsidRPr="005B4528">
        <w:rPr>
          <w:rFonts w:ascii="Times New Roman" w:hAnsi="Times New Roman" w:cs="Times New Roman"/>
        </w:rPr>
        <w:t>Drechsel</w:t>
      </w:r>
      <w:r w:rsidR="005B4528">
        <w:rPr>
          <w:rFonts w:ascii="Times New Roman" w:hAnsi="Times New Roman" w:cs="Times New Roman"/>
        </w:rPr>
        <w:t>,</w:t>
      </w:r>
      <w:r w:rsidRPr="005B4528">
        <w:rPr>
          <w:rFonts w:ascii="Times New Roman" w:hAnsi="Times New Roman" w:cs="Times New Roman"/>
        </w:rPr>
        <w:t xml:space="preserve"> Pay Scott, Christopher</w:t>
      </w:r>
      <w:r w:rsidR="005B4528">
        <w:rPr>
          <w:rFonts w:ascii="Times New Roman" w:hAnsi="Times New Roman" w:cs="Times New Roman"/>
        </w:rPr>
        <w:t>,</w:t>
      </w:r>
      <w:r w:rsidRPr="005B4528">
        <w:rPr>
          <w:rFonts w:ascii="Times New Roman" w:hAnsi="Times New Roman" w:cs="Times New Roman"/>
        </w:rPr>
        <w:t xml:space="preserve"> A</w:t>
      </w:r>
      <w:r w:rsidR="005B4528">
        <w:rPr>
          <w:rFonts w:ascii="Times New Roman" w:hAnsi="Times New Roman" w:cs="Times New Roman"/>
        </w:rPr>
        <w:t>.</w:t>
      </w:r>
      <w:r w:rsidRPr="005B4528">
        <w:rPr>
          <w:rFonts w:ascii="Times New Roman" w:hAnsi="Times New Roman" w:cs="Times New Roman"/>
        </w:rPr>
        <w:t xml:space="preserve">, </w:t>
      </w:r>
      <w:proofErr w:type="spellStart"/>
      <w:r w:rsidRPr="005B4528">
        <w:rPr>
          <w:rFonts w:ascii="Times New Roman" w:hAnsi="Times New Roman" w:cs="Times New Roman"/>
        </w:rPr>
        <w:t>Raschid</w:t>
      </w:r>
      <w:proofErr w:type="spellEnd"/>
      <w:r w:rsidR="005B4528">
        <w:rPr>
          <w:rFonts w:ascii="Times New Roman" w:hAnsi="Times New Roman" w:cs="Times New Roman"/>
        </w:rPr>
        <w:t>,</w:t>
      </w:r>
      <w:r w:rsidRPr="005B4528">
        <w:rPr>
          <w:rFonts w:ascii="Times New Roman" w:hAnsi="Times New Roman" w:cs="Times New Roman"/>
        </w:rPr>
        <w:t xml:space="preserve"> Sally </w:t>
      </w:r>
      <w:proofErr w:type="spellStart"/>
      <w:r w:rsidRPr="005B4528">
        <w:rPr>
          <w:rFonts w:ascii="Times New Roman" w:hAnsi="Times New Roman" w:cs="Times New Roman"/>
        </w:rPr>
        <w:t>Liqa</w:t>
      </w:r>
      <w:proofErr w:type="spellEnd"/>
      <w:r w:rsidRPr="005B4528">
        <w:rPr>
          <w:rFonts w:ascii="Times New Roman" w:hAnsi="Times New Roman" w:cs="Times New Roman"/>
        </w:rPr>
        <w:t>, Redwood</w:t>
      </w:r>
      <w:r w:rsidR="005B4528">
        <w:rPr>
          <w:rFonts w:ascii="Times New Roman" w:hAnsi="Times New Roman" w:cs="Times New Roman"/>
        </w:rPr>
        <w:t xml:space="preserve">. Mark </w:t>
      </w:r>
      <w:proofErr w:type="gramStart"/>
      <w:r w:rsidR="005B4528">
        <w:rPr>
          <w:rFonts w:ascii="Times New Roman" w:hAnsi="Times New Roman" w:cs="Times New Roman"/>
        </w:rPr>
        <w:t>and</w:t>
      </w:r>
      <w:r w:rsidRPr="005B4528">
        <w:rPr>
          <w:rFonts w:ascii="Times New Roman" w:hAnsi="Times New Roman" w:cs="Times New Roman"/>
        </w:rPr>
        <w:t xml:space="preserve">  </w:t>
      </w:r>
      <w:proofErr w:type="spellStart"/>
      <w:r w:rsidRPr="005B4528">
        <w:rPr>
          <w:rFonts w:ascii="Times New Roman" w:hAnsi="Times New Roman" w:cs="Times New Roman"/>
        </w:rPr>
        <w:t>Bahri</w:t>
      </w:r>
      <w:proofErr w:type="spellEnd"/>
      <w:proofErr w:type="gramEnd"/>
      <w:r w:rsidR="005B4528">
        <w:rPr>
          <w:rFonts w:ascii="Times New Roman" w:hAnsi="Times New Roman" w:cs="Times New Roman"/>
        </w:rPr>
        <w:t xml:space="preserve">, </w:t>
      </w:r>
      <w:proofErr w:type="spellStart"/>
      <w:r w:rsidR="005B4528">
        <w:rPr>
          <w:rFonts w:ascii="Times New Roman" w:hAnsi="Times New Roman" w:cs="Times New Roman"/>
        </w:rPr>
        <w:t>Akissa</w:t>
      </w:r>
      <w:proofErr w:type="spellEnd"/>
      <w:r w:rsidRPr="005B4528">
        <w:rPr>
          <w:rFonts w:ascii="Times New Roman" w:hAnsi="Times New Roman" w:cs="Times New Roman"/>
        </w:rPr>
        <w:t xml:space="preserve"> (2010)</w:t>
      </w:r>
      <w:r w:rsidR="005B4528">
        <w:rPr>
          <w:rFonts w:ascii="Times New Roman" w:hAnsi="Times New Roman" w:cs="Times New Roman"/>
        </w:rPr>
        <w:t>.</w:t>
      </w:r>
      <w:r w:rsidR="00AE1B4D" w:rsidRPr="005B4528">
        <w:rPr>
          <w:rFonts w:ascii="Times New Roman" w:hAnsi="Times New Roman" w:cs="Times New Roman"/>
        </w:rPr>
        <w:t xml:space="preserve"> Wastewater reuse in agriculture. </w:t>
      </w:r>
      <w:r w:rsidR="00AE1B4D" w:rsidRPr="005B4528">
        <w:rPr>
          <w:rFonts w:ascii="Times New Roman" w:hAnsi="Times New Roman" w:cs="Times New Roman"/>
          <w:i/>
          <w:iCs/>
        </w:rPr>
        <w:t>Irrigat</w:t>
      </w:r>
      <w:r w:rsidRPr="005B4528">
        <w:rPr>
          <w:rFonts w:ascii="Times New Roman" w:hAnsi="Times New Roman" w:cs="Times New Roman"/>
          <w:i/>
          <w:iCs/>
        </w:rPr>
        <w:t>ion and Drainage</w:t>
      </w:r>
      <w:r w:rsidR="005B4528">
        <w:rPr>
          <w:rFonts w:ascii="Times New Roman" w:hAnsi="Times New Roman" w:cs="Times New Roman"/>
        </w:rPr>
        <w:t>,</w:t>
      </w:r>
      <w:r w:rsidRPr="005B4528">
        <w:rPr>
          <w:rFonts w:ascii="Times New Roman" w:hAnsi="Times New Roman" w:cs="Times New Roman"/>
        </w:rPr>
        <w:t xml:space="preserve"> 59(1):</w:t>
      </w:r>
      <w:r w:rsidR="00FE01A8" w:rsidRPr="005B4528">
        <w:rPr>
          <w:rFonts w:ascii="Times New Roman" w:hAnsi="Times New Roman" w:cs="Times New Roman"/>
        </w:rPr>
        <w:t xml:space="preserve"> 41–53.</w:t>
      </w:r>
    </w:p>
    <w:p w14:paraId="2FB6F9A1" w14:textId="77777777" w:rsidR="00AE1B4D" w:rsidRPr="005B4528" w:rsidRDefault="00B9608E" w:rsidP="00FE01A8">
      <w:pPr>
        <w:pStyle w:val="ListParagraph"/>
        <w:numPr>
          <w:ilvl w:val="0"/>
          <w:numId w:val="3"/>
        </w:numPr>
        <w:spacing w:after="0" w:line="360" w:lineRule="auto"/>
        <w:jc w:val="both"/>
        <w:rPr>
          <w:rFonts w:ascii="Times New Roman" w:hAnsi="Times New Roman" w:cs="Times New Roman"/>
        </w:rPr>
      </w:pPr>
      <w:proofErr w:type="spellStart"/>
      <w:r w:rsidRPr="005B4528">
        <w:rPr>
          <w:rFonts w:ascii="Times New Roman" w:hAnsi="Times New Roman" w:cs="Times New Roman"/>
        </w:rPr>
        <w:t>Gikas</w:t>
      </w:r>
      <w:proofErr w:type="spellEnd"/>
      <w:r w:rsidR="005B4528">
        <w:rPr>
          <w:rFonts w:ascii="Times New Roman" w:hAnsi="Times New Roman" w:cs="Times New Roman"/>
        </w:rPr>
        <w:t xml:space="preserve">, Panagiotis </w:t>
      </w:r>
      <w:proofErr w:type="gramStart"/>
      <w:r w:rsidR="005B4528">
        <w:rPr>
          <w:rFonts w:ascii="Times New Roman" w:hAnsi="Times New Roman" w:cs="Times New Roman"/>
        </w:rPr>
        <w:t>and</w:t>
      </w:r>
      <w:r w:rsidRPr="005B4528">
        <w:rPr>
          <w:rFonts w:ascii="Times New Roman" w:hAnsi="Times New Roman" w:cs="Times New Roman"/>
        </w:rPr>
        <w:t xml:space="preserve">  </w:t>
      </w:r>
      <w:proofErr w:type="spellStart"/>
      <w:r w:rsidRPr="005B4528">
        <w:rPr>
          <w:rFonts w:ascii="Times New Roman" w:hAnsi="Times New Roman" w:cs="Times New Roman"/>
        </w:rPr>
        <w:t>Tchobanoglous</w:t>
      </w:r>
      <w:proofErr w:type="spellEnd"/>
      <w:proofErr w:type="gramEnd"/>
      <w:r w:rsidR="005B4528">
        <w:rPr>
          <w:rFonts w:ascii="Times New Roman" w:hAnsi="Times New Roman" w:cs="Times New Roman"/>
        </w:rPr>
        <w:t>,</w:t>
      </w:r>
      <w:r w:rsidRPr="005B4528">
        <w:rPr>
          <w:rFonts w:ascii="Times New Roman" w:hAnsi="Times New Roman" w:cs="Times New Roman"/>
        </w:rPr>
        <w:t xml:space="preserve"> George (2015)</w:t>
      </w:r>
      <w:r w:rsidR="005B4528">
        <w:rPr>
          <w:rFonts w:ascii="Times New Roman" w:hAnsi="Times New Roman" w:cs="Times New Roman"/>
        </w:rPr>
        <w:t>.</w:t>
      </w:r>
      <w:r w:rsidR="00AE1B4D" w:rsidRPr="005B4528">
        <w:rPr>
          <w:rFonts w:ascii="Times New Roman" w:hAnsi="Times New Roman" w:cs="Times New Roman"/>
        </w:rPr>
        <w:t xml:space="preserve"> Sustainable wastewater management. </w:t>
      </w:r>
      <w:r w:rsidR="00AE1B4D" w:rsidRPr="005B4528">
        <w:rPr>
          <w:rFonts w:ascii="Times New Roman" w:hAnsi="Times New Roman" w:cs="Times New Roman"/>
          <w:i/>
          <w:iCs/>
        </w:rPr>
        <w:t>Journal o</w:t>
      </w:r>
      <w:r w:rsidRPr="005B4528">
        <w:rPr>
          <w:rFonts w:ascii="Times New Roman" w:hAnsi="Times New Roman" w:cs="Times New Roman"/>
          <w:i/>
          <w:iCs/>
        </w:rPr>
        <w:t>f Environmental Management</w:t>
      </w:r>
      <w:r w:rsidRPr="005B4528">
        <w:rPr>
          <w:rFonts w:ascii="Times New Roman" w:hAnsi="Times New Roman" w:cs="Times New Roman"/>
        </w:rPr>
        <w:t>, 157:</w:t>
      </w:r>
      <w:r w:rsidR="00AE1B4D" w:rsidRPr="005B4528">
        <w:rPr>
          <w:rFonts w:ascii="Times New Roman" w:hAnsi="Times New Roman" w:cs="Times New Roman"/>
        </w:rPr>
        <w:t xml:space="preserve"> 92–101. </w:t>
      </w:r>
    </w:p>
    <w:p w14:paraId="19935B79" w14:textId="77777777" w:rsidR="00AE1B4D" w:rsidRPr="005B4528" w:rsidRDefault="00B9608E" w:rsidP="003B750D">
      <w:pPr>
        <w:pStyle w:val="ListParagraph"/>
        <w:numPr>
          <w:ilvl w:val="0"/>
          <w:numId w:val="3"/>
        </w:numPr>
        <w:spacing w:line="360" w:lineRule="auto"/>
        <w:jc w:val="both"/>
        <w:rPr>
          <w:rFonts w:ascii="Times New Roman" w:hAnsi="Times New Roman" w:cs="Times New Roman"/>
        </w:rPr>
      </w:pPr>
      <w:r w:rsidRPr="005B4528">
        <w:rPr>
          <w:rFonts w:ascii="Times New Roman" w:hAnsi="Times New Roman" w:cs="Times New Roman"/>
        </w:rPr>
        <w:t>Gupta</w:t>
      </w:r>
      <w:r w:rsidR="005B4528">
        <w:rPr>
          <w:rFonts w:ascii="Times New Roman" w:hAnsi="Times New Roman" w:cs="Times New Roman"/>
        </w:rPr>
        <w:t>,</w:t>
      </w:r>
      <w:r w:rsidRPr="005B4528">
        <w:rPr>
          <w:rFonts w:ascii="Times New Roman" w:hAnsi="Times New Roman" w:cs="Times New Roman"/>
        </w:rPr>
        <w:t xml:space="preserve"> Pratima, Roy</w:t>
      </w:r>
      <w:r w:rsidR="0050050D">
        <w:rPr>
          <w:rFonts w:ascii="Times New Roman" w:hAnsi="Times New Roman" w:cs="Times New Roman"/>
        </w:rPr>
        <w:t xml:space="preserve">, Surabhi and </w:t>
      </w:r>
      <w:r w:rsidRPr="005B4528">
        <w:rPr>
          <w:rFonts w:ascii="Times New Roman" w:hAnsi="Times New Roman" w:cs="Times New Roman"/>
        </w:rPr>
        <w:t>Mahindrakar</w:t>
      </w:r>
      <w:r w:rsidR="0050050D">
        <w:rPr>
          <w:rFonts w:ascii="Times New Roman" w:hAnsi="Times New Roman" w:cs="Times New Roman"/>
        </w:rPr>
        <w:t>,</w:t>
      </w:r>
      <w:r w:rsidRPr="005B4528">
        <w:rPr>
          <w:rFonts w:ascii="Times New Roman" w:hAnsi="Times New Roman" w:cs="Times New Roman"/>
        </w:rPr>
        <w:t xml:space="preserve"> Anil B</w:t>
      </w:r>
      <w:r w:rsidR="0050050D">
        <w:rPr>
          <w:rFonts w:ascii="Times New Roman" w:hAnsi="Times New Roman" w:cs="Times New Roman"/>
        </w:rPr>
        <w:t>.</w:t>
      </w:r>
      <w:r w:rsidRPr="005B4528">
        <w:rPr>
          <w:rFonts w:ascii="Times New Roman" w:hAnsi="Times New Roman" w:cs="Times New Roman"/>
        </w:rPr>
        <w:t xml:space="preserve"> (2012)</w:t>
      </w:r>
      <w:r w:rsidR="0050050D">
        <w:rPr>
          <w:rFonts w:ascii="Times New Roman" w:hAnsi="Times New Roman" w:cs="Times New Roman"/>
        </w:rPr>
        <w:t>.</w:t>
      </w:r>
      <w:r w:rsidR="00AE1B4D" w:rsidRPr="005B4528">
        <w:rPr>
          <w:rFonts w:ascii="Times New Roman" w:hAnsi="Times New Roman" w:cs="Times New Roman"/>
        </w:rPr>
        <w:t xml:space="preserve"> Treatment of water using aquatic plants</w:t>
      </w:r>
      <w:r w:rsidRPr="005B4528">
        <w:rPr>
          <w:rFonts w:ascii="Times New Roman" w:hAnsi="Times New Roman" w:cs="Times New Roman"/>
        </w:rPr>
        <w:t xml:space="preserve">. </w:t>
      </w:r>
      <w:r w:rsidRPr="0050050D">
        <w:rPr>
          <w:rFonts w:ascii="Times New Roman" w:hAnsi="Times New Roman" w:cs="Times New Roman"/>
          <w:i/>
          <w:iCs/>
        </w:rPr>
        <w:t>Research in Environment</w:t>
      </w:r>
      <w:r w:rsidRPr="005B4528">
        <w:rPr>
          <w:rFonts w:ascii="Times New Roman" w:hAnsi="Times New Roman" w:cs="Times New Roman"/>
        </w:rPr>
        <w:t>, 2(5):</w:t>
      </w:r>
      <w:r w:rsidR="00AE1B4D" w:rsidRPr="005B4528">
        <w:rPr>
          <w:rFonts w:ascii="Times New Roman" w:hAnsi="Times New Roman" w:cs="Times New Roman"/>
        </w:rPr>
        <w:t xml:space="preserve"> 202–215.</w:t>
      </w:r>
    </w:p>
    <w:p w14:paraId="4528FD75" w14:textId="77777777" w:rsidR="00AE1B4D" w:rsidRPr="005B4528" w:rsidRDefault="00B9608E" w:rsidP="003B750D">
      <w:pPr>
        <w:pStyle w:val="ListParagraph"/>
        <w:numPr>
          <w:ilvl w:val="0"/>
          <w:numId w:val="3"/>
        </w:numPr>
        <w:spacing w:line="360" w:lineRule="auto"/>
        <w:jc w:val="both"/>
        <w:rPr>
          <w:rFonts w:ascii="Times New Roman" w:hAnsi="Times New Roman" w:cs="Times New Roman"/>
        </w:rPr>
      </w:pPr>
      <w:r w:rsidRPr="005B4528">
        <w:rPr>
          <w:rFonts w:ascii="Times New Roman" w:hAnsi="Times New Roman" w:cs="Times New Roman"/>
        </w:rPr>
        <w:t>Li</w:t>
      </w:r>
      <w:r w:rsidR="0050050D">
        <w:rPr>
          <w:rFonts w:ascii="Times New Roman" w:hAnsi="Times New Roman" w:cs="Times New Roman"/>
        </w:rPr>
        <w:t>,</w:t>
      </w:r>
      <w:r w:rsidRPr="005B4528">
        <w:rPr>
          <w:rFonts w:ascii="Times New Roman" w:hAnsi="Times New Roman" w:cs="Times New Roman"/>
        </w:rPr>
        <w:t xml:space="preserve"> Fang, Zhang</w:t>
      </w:r>
      <w:r w:rsidR="0050050D">
        <w:rPr>
          <w:rFonts w:ascii="Times New Roman" w:hAnsi="Times New Roman" w:cs="Times New Roman"/>
        </w:rPr>
        <w:t xml:space="preserve">, </w:t>
      </w:r>
      <w:proofErr w:type="spellStart"/>
      <w:r w:rsidR="0050050D">
        <w:rPr>
          <w:rFonts w:ascii="Times New Roman" w:hAnsi="Times New Roman" w:cs="Times New Roman"/>
        </w:rPr>
        <w:t>Xueli</w:t>
      </w:r>
      <w:proofErr w:type="spellEnd"/>
      <w:r w:rsidR="0050050D">
        <w:rPr>
          <w:rFonts w:ascii="Times New Roman" w:hAnsi="Times New Roman" w:cs="Times New Roman"/>
        </w:rPr>
        <w:t xml:space="preserve"> and</w:t>
      </w:r>
      <w:r w:rsidRPr="005B4528">
        <w:rPr>
          <w:rFonts w:ascii="Times New Roman" w:hAnsi="Times New Roman" w:cs="Times New Roman"/>
        </w:rPr>
        <w:t xml:space="preserve"> Chen</w:t>
      </w:r>
      <w:r w:rsidR="0050050D">
        <w:rPr>
          <w:rFonts w:ascii="Times New Roman" w:hAnsi="Times New Roman" w:cs="Times New Roman"/>
        </w:rPr>
        <w:t>,</w:t>
      </w:r>
      <w:r w:rsidRPr="005B4528">
        <w:rPr>
          <w:rFonts w:ascii="Times New Roman" w:hAnsi="Times New Roman" w:cs="Times New Roman"/>
        </w:rPr>
        <w:t xml:space="preserve"> Yan (2017)</w:t>
      </w:r>
      <w:r w:rsidR="0050050D">
        <w:rPr>
          <w:rFonts w:ascii="Times New Roman" w:hAnsi="Times New Roman" w:cs="Times New Roman"/>
        </w:rPr>
        <w:t>.</w:t>
      </w:r>
      <w:r w:rsidR="00AE1B4D" w:rsidRPr="005B4528">
        <w:rPr>
          <w:rFonts w:ascii="Times New Roman" w:hAnsi="Times New Roman" w:cs="Times New Roman"/>
        </w:rPr>
        <w:t xml:space="preserve"> Nutrient recovery from wastewater. </w:t>
      </w:r>
      <w:r w:rsidR="00AE1B4D" w:rsidRPr="0050050D">
        <w:rPr>
          <w:rFonts w:ascii="Times New Roman" w:hAnsi="Times New Roman" w:cs="Times New Roman"/>
          <w:i/>
          <w:iCs/>
        </w:rPr>
        <w:t>Environment</w:t>
      </w:r>
      <w:r w:rsidRPr="0050050D">
        <w:rPr>
          <w:rFonts w:ascii="Times New Roman" w:hAnsi="Times New Roman" w:cs="Times New Roman"/>
          <w:i/>
          <w:iCs/>
        </w:rPr>
        <w:t>al Science &amp; Technology</w:t>
      </w:r>
      <w:r w:rsidRPr="005B4528">
        <w:rPr>
          <w:rFonts w:ascii="Times New Roman" w:hAnsi="Times New Roman" w:cs="Times New Roman"/>
        </w:rPr>
        <w:t>, 51(23):</w:t>
      </w:r>
      <w:r w:rsidR="00AE1B4D" w:rsidRPr="005B4528">
        <w:rPr>
          <w:rFonts w:ascii="Times New Roman" w:hAnsi="Times New Roman" w:cs="Times New Roman"/>
        </w:rPr>
        <w:t xml:space="preserve"> 13432–13444. </w:t>
      </w:r>
    </w:p>
    <w:p w14:paraId="50905CCD" w14:textId="77777777" w:rsidR="00AE1B4D" w:rsidRPr="005B4528" w:rsidRDefault="00AE1B4D" w:rsidP="003B750D">
      <w:pPr>
        <w:pStyle w:val="ListParagraph"/>
        <w:numPr>
          <w:ilvl w:val="0"/>
          <w:numId w:val="3"/>
        </w:numPr>
        <w:spacing w:line="360" w:lineRule="auto"/>
        <w:jc w:val="both"/>
        <w:rPr>
          <w:rFonts w:ascii="Times New Roman" w:hAnsi="Times New Roman" w:cs="Times New Roman"/>
        </w:rPr>
      </w:pPr>
      <w:r w:rsidRPr="005B4528">
        <w:rPr>
          <w:rFonts w:ascii="Times New Roman" w:hAnsi="Times New Roman" w:cs="Times New Roman"/>
        </w:rPr>
        <w:lastRenderedPageBreak/>
        <w:t>Metcal</w:t>
      </w:r>
      <w:r w:rsidR="00B9608E" w:rsidRPr="005B4528">
        <w:rPr>
          <w:rFonts w:ascii="Times New Roman" w:hAnsi="Times New Roman" w:cs="Times New Roman"/>
        </w:rPr>
        <w:t>f</w:t>
      </w:r>
      <w:r w:rsidR="0050050D">
        <w:rPr>
          <w:rFonts w:ascii="Times New Roman" w:hAnsi="Times New Roman" w:cs="Times New Roman"/>
        </w:rPr>
        <w:t xml:space="preserve">, Leonard </w:t>
      </w:r>
      <w:proofErr w:type="gramStart"/>
      <w:r w:rsidR="0050050D">
        <w:rPr>
          <w:rFonts w:ascii="Times New Roman" w:hAnsi="Times New Roman" w:cs="Times New Roman"/>
        </w:rPr>
        <w:t>and</w:t>
      </w:r>
      <w:r w:rsidR="00B9608E" w:rsidRPr="005B4528">
        <w:rPr>
          <w:rFonts w:ascii="Times New Roman" w:hAnsi="Times New Roman" w:cs="Times New Roman"/>
        </w:rPr>
        <w:t xml:space="preserve">  Eddy</w:t>
      </w:r>
      <w:proofErr w:type="gramEnd"/>
      <w:r w:rsidR="0050050D">
        <w:rPr>
          <w:rFonts w:ascii="Times New Roman" w:hAnsi="Times New Roman" w:cs="Times New Roman"/>
        </w:rPr>
        <w:t>,</w:t>
      </w:r>
      <w:r w:rsidR="00B9608E" w:rsidRPr="005B4528">
        <w:rPr>
          <w:rFonts w:ascii="Times New Roman" w:hAnsi="Times New Roman" w:cs="Times New Roman"/>
        </w:rPr>
        <w:t xml:space="preserve"> Harrison P</w:t>
      </w:r>
      <w:r w:rsidR="0050050D">
        <w:rPr>
          <w:rFonts w:ascii="Times New Roman" w:hAnsi="Times New Roman" w:cs="Times New Roman"/>
        </w:rPr>
        <w:t>.</w:t>
      </w:r>
      <w:r w:rsidR="00B9608E" w:rsidRPr="005B4528">
        <w:rPr>
          <w:rFonts w:ascii="Times New Roman" w:hAnsi="Times New Roman" w:cs="Times New Roman"/>
        </w:rPr>
        <w:t xml:space="preserve"> (2014)</w:t>
      </w:r>
      <w:r w:rsidR="0050050D">
        <w:rPr>
          <w:rFonts w:ascii="Times New Roman" w:hAnsi="Times New Roman" w:cs="Times New Roman"/>
        </w:rPr>
        <w:t>.</w:t>
      </w:r>
      <w:r w:rsidRPr="005B4528">
        <w:rPr>
          <w:rFonts w:ascii="Times New Roman" w:hAnsi="Times New Roman" w:cs="Times New Roman"/>
        </w:rPr>
        <w:t xml:space="preserve"> Wastewater engineering: Treatment and resource recovery (5th ed.). McGraw-Hill Education.</w:t>
      </w:r>
    </w:p>
    <w:p w14:paraId="4D450282" w14:textId="77777777" w:rsidR="00AE1B4D" w:rsidRPr="005B4528" w:rsidRDefault="00B9608E" w:rsidP="003B750D">
      <w:pPr>
        <w:pStyle w:val="ListParagraph"/>
        <w:numPr>
          <w:ilvl w:val="0"/>
          <w:numId w:val="3"/>
        </w:numPr>
        <w:spacing w:line="360" w:lineRule="auto"/>
        <w:jc w:val="both"/>
        <w:rPr>
          <w:rFonts w:ascii="Times New Roman" w:hAnsi="Times New Roman" w:cs="Times New Roman"/>
        </w:rPr>
      </w:pPr>
      <w:proofErr w:type="spellStart"/>
      <w:r w:rsidRPr="005B4528">
        <w:rPr>
          <w:rFonts w:ascii="Times New Roman" w:hAnsi="Times New Roman" w:cs="Times New Roman"/>
        </w:rPr>
        <w:t>Nagajyothi</w:t>
      </w:r>
      <w:proofErr w:type="spellEnd"/>
      <w:r w:rsidR="0050050D">
        <w:rPr>
          <w:rFonts w:ascii="Times New Roman" w:hAnsi="Times New Roman" w:cs="Times New Roman"/>
        </w:rPr>
        <w:t>,</w:t>
      </w:r>
      <w:r w:rsidRPr="005B4528">
        <w:rPr>
          <w:rFonts w:ascii="Times New Roman" w:hAnsi="Times New Roman" w:cs="Times New Roman"/>
        </w:rPr>
        <w:t xml:space="preserve"> Padmaja C</w:t>
      </w:r>
      <w:r w:rsidR="0050050D">
        <w:rPr>
          <w:rFonts w:ascii="Times New Roman" w:hAnsi="Times New Roman" w:cs="Times New Roman"/>
        </w:rPr>
        <w:t>.</w:t>
      </w:r>
      <w:r w:rsidRPr="005B4528">
        <w:rPr>
          <w:rFonts w:ascii="Times New Roman" w:hAnsi="Times New Roman" w:cs="Times New Roman"/>
        </w:rPr>
        <w:t>, Lee</w:t>
      </w:r>
      <w:r w:rsidR="0050050D">
        <w:rPr>
          <w:rFonts w:ascii="Times New Roman" w:hAnsi="Times New Roman" w:cs="Times New Roman"/>
        </w:rPr>
        <w:t>,</w:t>
      </w:r>
      <w:r w:rsidRPr="005B4528">
        <w:rPr>
          <w:rFonts w:ascii="Times New Roman" w:hAnsi="Times New Roman" w:cs="Times New Roman"/>
        </w:rPr>
        <w:t xml:space="preserve"> Kee Dae, Sreekanth</w:t>
      </w:r>
      <w:r w:rsidR="0050050D">
        <w:rPr>
          <w:rFonts w:ascii="Times New Roman" w:hAnsi="Times New Roman" w:cs="Times New Roman"/>
        </w:rPr>
        <w:t>,</w:t>
      </w:r>
      <w:r w:rsidRPr="005B4528">
        <w:rPr>
          <w:rFonts w:ascii="Times New Roman" w:hAnsi="Times New Roman" w:cs="Times New Roman"/>
        </w:rPr>
        <w:t xml:space="preserve"> Thummala V</w:t>
      </w:r>
      <w:r w:rsidR="0050050D">
        <w:rPr>
          <w:rFonts w:ascii="Times New Roman" w:hAnsi="Times New Roman" w:cs="Times New Roman"/>
        </w:rPr>
        <w:t>.</w:t>
      </w:r>
      <w:r w:rsidRPr="005B4528">
        <w:rPr>
          <w:rFonts w:ascii="Times New Roman" w:hAnsi="Times New Roman" w:cs="Times New Roman"/>
        </w:rPr>
        <w:t xml:space="preserve"> M</w:t>
      </w:r>
      <w:r w:rsidR="0050050D">
        <w:rPr>
          <w:rFonts w:ascii="Times New Roman" w:hAnsi="Times New Roman" w:cs="Times New Roman"/>
        </w:rPr>
        <w:t>.</w:t>
      </w:r>
      <w:r w:rsidRPr="005B4528">
        <w:rPr>
          <w:rFonts w:ascii="Times New Roman" w:hAnsi="Times New Roman" w:cs="Times New Roman"/>
        </w:rPr>
        <w:t>, Arif</w:t>
      </w:r>
      <w:r w:rsidR="0050050D">
        <w:rPr>
          <w:rFonts w:ascii="Times New Roman" w:hAnsi="Times New Roman" w:cs="Times New Roman"/>
        </w:rPr>
        <w:t xml:space="preserve">, Mohammad, and </w:t>
      </w:r>
      <w:r w:rsidRPr="005B4528">
        <w:rPr>
          <w:rFonts w:ascii="Times New Roman" w:hAnsi="Times New Roman" w:cs="Times New Roman"/>
        </w:rPr>
        <w:t>Prasad</w:t>
      </w:r>
      <w:r w:rsidR="0050050D">
        <w:rPr>
          <w:rFonts w:ascii="Times New Roman" w:hAnsi="Times New Roman" w:cs="Times New Roman"/>
        </w:rPr>
        <w:t>,</w:t>
      </w:r>
      <w:r w:rsidRPr="005B4528">
        <w:rPr>
          <w:rFonts w:ascii="Times New Roman" w:hAnsi="Times New Roman" w:cs="Times New Roman"/>
        </w:rPr>
        <w:t xml:space="preserve"> Thummala N</w:t>
      </w:r>
      <w:r w:rsidR="0050050D">
        <w:rPr>
          <w:rFonts w:ascii="Times New Roman" w:hAnsi="Times New Roman" w:cs="Times New Roman"/>
        </w:rPr>
        <w:t>.</w:t>
      </w:r>
      <w:r w:rsidRPr="005B4528">
        <w:rPr>
          <w:rFonts w:ascii="Times New Roman" w:hAnsi="Times New Roman" w:cs="Times New Roman"/>
        </w:rPr>
        <w:t>V</w:t>
      </w:r>
      <w:r w:rsidR="0050050D">
        <w:rPr>
          <w:rFonts w:ascii="Times New Roman" w:hAnsi="Times New Roman" w:cs="Times New Roman"/>
        </w:rPr>
        <w:t>.</w:t>
      </w:r>
      <w:r w:rsidRPr="005B4528">
        <w:rPr>
          <w:rFonts w:ascii="Times New Roman" w:hAnsi="Times New Roman" w:cs="Times New Roman"/>
        </w:rPr>
        <w:t>K</w:t>
      </w:r>
      <w:r w:rsidR="0050050D">
        <w:rPr>
          <w:rFonts w:ascii="Times New Roman" w:hAnsi="Times New Roman" w:cs="Times New Roman"/>
        </w:rPr>
        <w:t>.</w:t>
      </w:r>
      <w:r w:rsidRPr="005B4528">
        <w:rPr>
          <w:rFonts w:ascii="Times New Roman" w:hAnsi="Times New Roman" w:cs="Times New Roman"/>
        </w:rPr>
        <w:t>V</w:t>
      </w:r>
      <w:r w:rsidR="0050050D">
        <w:rPr>
          <w:rFonts w:ascii="Times New Roman" w:hAnsi="Times New Roman" w:cs="Times New Roman"/>
        </w:rPr>
        <w:t>.</w:t>
      </w:r>
      <w:r w:rsidRPr="005B4528">
        <w:rPr>
          <w:rFonts w:ascii="Times New Roman" w:hAnsi="Times New Roman" w:cs="Times New Roman"/>
        </w:rPr>
        <w:t xml:space="preserve"> (2009)</w:t>
      </w:r>
      <w:r w:rsidR="0050050D">
        <w:rPr>
          <w:rFonts w:ascii="Times New Roman" w:hAnsi="Times New Roman" w:cs="Times New Roman"/>
        </w:rPr>
        <w:t>.</w:t>
      </w:r>
      <w:r w:rsidR="00AE1B4D" w:rsidRPr="005B4528">
        <w:rPr>
          <w:rFonts w:ascii="Times New Roman" w:hAnsi="Times New Roman" w:cs="Times New Roman"/>
        </w:rPr>
        <w:t xml:space="preserve"> Effect of industrial effluents on soil properties and crop yield. </w:t>
      </w:r>
      <w:r w:rsidR="00AE1B4D" w:rsidRPr="0050050D">
        <w:rPr>
          <w:rFonts w:ascii="Times New Roman" w:hAnsi="Times New Roman" w:cs="Times New Roman"/>
          <w:i/>
          <w:iCs/>
        </w:rPr>
        <w:t>Applie</w:t>
      </w:r>
      <w:r w:rsidRPr="0050050D">
        <w:rPr>
          <w:rFonts w:ascii="Times New Roman" w:hAnsi="Times New Roman" w:cs="Times New Roman"/>
          <w:i/>
          <w:iCs/>
        </w:rPr>
        <w:t>d Biological Research</w:t>
      </w:r>
      <w:r w:rsidRPr="005B4528">
        <w:rPr>
          <w:rFonts w:ascii="Times New Roman" w:hAnsi="Times New Roman" w:cs="Times New Roman"/>
        </w:rPr>
        <w:t>, 11(1–2):</w:t>
      </w:r>
      <w:r w:rsidR="00AE1B4D" w:rsidRPr="005B4528">
        <w:rPr>
          <w:rFonts w:ascii="Times New Roman" w:hAnsi="Times New Roman" w:cs="Times New Roman"/>
        </w:rPr>
        <w:t>66–72.</w:t>
      </w:r>
    </w:p>
    <w:p w14:paraId="6B7E0D7D" w14:textId="77777777" w:rsidR="00AE1B4D" w:rsidRPr="005B4528" w:rsidRDefault="00B9608E" w:rsidP="003B750D">
      <w:pPr>
        <w:pStyle w:val="ListParagraph"/>
        <w:numPr>
          <w:ilvl w:val="0"/>
          <w:numId w:val="3"/>
        </w:numPr>
        <w:spacing w:line="360" w:lineRule="auto"/>
        <w:jc w:val="both"/>
        <w:rPr>
          <w:rFonts w:ascii="Times New Roman" w:hAnsi="Times New Roman" w:cs="Times New Roman"/>
        </w:rPr>
      </w:pPr>
      <w:r w:rsidRPr="005B4528">
        <w:rPr>
          <w:rFonts w:ascii="Times New Roman" w:hAnsi="Times New Roman" w:cs="Times New Roman"/>
        </w:rPr>
        <w:t>Nath</w:t>
      </w:r>
      <w:r w:rsidR="0050050D">
        <w:rPr>
          <w:rFonts w:ascii="Times New Roman" w:hAnsi="Times New Roman" w:cs="Times New Roman"/>
        </w:rPr>
        <w:t>,</w:t>
      </w:r>
      <w:r w:rsidRPr="005B4528">
        <w:rPr>
          <w:rFonts w:ascii="Times New Roman" w:hAnsi="Times New Roman" w:cs="Times New Roman"/>
        </w:rPr>
        <w:t xml:space="preserve"> Kamlesh, Singh</w:t>
      </w:r>
      <w:r w:rsidR="0050050D">
        <w:rPr>
          <w:rFonts w:ascii="Times New Roman" w:hAnsi="Times New Roman" w:cs="Times New Roman"/>
        </w:rPr>
        <w:t>,</w:t>
      </w:r>
      <w:r w:rsidRPr="005B4528">
        <w:rPr>
          <w:rFonts w:ascii="Times New Roman" w:hAnsi="Times New Roman" w:cs="Times New Roman"/>
        </w:rPr>
        <w:t xml:space="preserve"> Kuldeep,</w:t>
      </w:r>
      <w:r w:rsidR="0050050D">
        <w:rPr>
          <w:rFonts w:ascii="Times New Roman" w:hAnsi="Times New Roman" w:cs="Times New Roman"/>
        </w:rPr>
        <w:t xml:space="preserve"> and</w:t>
      </w:r>
      <w:r w:rsidRPr="005B4528">
        <w:rPr>
          <w:rFonts w:ascii="Times New Roman" w:hAnsi="Times New Roman" w:cs="Times New Roman"/>
        </w:rPr>
        <w:t xml:space="preserve"> </w:t>
      </w:r>
      <w:proofErr w:type="spellStart"/>
      <w:r w:rsidRPr="005B4528">
        <w:rPr>
          <w:rFonts w:ascii="Times New Roman" w:hAnsi="Times New Roman" w:cs="Times New Roman"/>
        </w:rPr>
        <w:t>Amaraneni</w:t>
      </w:r>
      <w:proofErr w:type="spellEnd"/>
      <w:r w:rsidR="0050050D">
        <w:rPr>
          <w:rFonts w:ascii="Times New Roman" w:hAnsi="Times New Roman" w:cs="Times New Roman"/>
        </w:rPr>
        <w:t>,</w:t>
      </w:r>
      <w:r w:rsidRPr="005B4528">
        <w:rPr>
          <w:rFonts w:ascii="Times New Roman" w:hAnsi="Times New Roman" w:cs="Times New Roman"/>
        </w:rPr>
        <w:t xml:space="preserve"> Srinivas R</w:t>
      </w:r>
      <w:r w:rsidR="0050050D">
        <w:rPr>
          <w:rFonts w:ascii="Times New Roman" w:hAnsi="Times New Roman" w:cs="Times New Roman"/>
        </w:rPr>
        <w:t>.</w:t>
      </w:r>
      <w:r w:rsidRPr="005B4528">
        <w:rPr>
          <w:rFonts w:ascii="Times New Roman" w:hAnsi="Times New Roman" w:cs="Times New Roman"/>
        </w:rPr>
        <w:t xml:space="preserve"> (2009)</w:t>
      </w:r>
      <w:r w:rsidR="0050050D">
        <w:rPr>
          <w:rFonts w:ascii="Times New Roman" w:hAnsi="Times New Roman" w:cs="Times New Roman"/>
        </w:rPr>
        <w:t>.</w:t>
      </w:r>
      <w:r w:rsidR="00AE1B4D" w:rsidRPr="005B4528">
        <w:rPr>
          <w:rFonts w:ascii="Times New Roman" w:hAnsi="Times New Roman" w:cs="Times New Roman"/>
        </w:rPr>
        <w:t xml:space="preserve"> Use of sewage and industrial effluents in agriculture: An environmental concern. </w:t>
      </w:r>
      <w:r w:rsidR="00AE1B4D" w:rsidRPr="0050050D">
        <w:rPr>
          <w:rFonts w:ascii="Times New Roman" w:hAnsi="Times New Roman" w:cs="Times New Roman"/>
          <w:i/>
          <w:iCs/>
        </w:rPr>
        <w:t xml:space="preserve">Journal </w:t>
      </w:r>
      <w:r w:rsidRPr="0050050D">
        <w:rPr>
          <w:rFonts w:ascii="Times New Roman" w:hAnsi="Times New Roman" w:cs="Times New Roman"/>
          <w:i/>
          <w:iCs/>
        </w:rPr>
        <w:t>of Environmental Biology</w:t>
      </w:r>
      <w:r w:rsidRPr="005B4528">
        <w:rPr>
          <w:rFonts w:ascii="Times New Roman" w:hAnsi="Times New Roman" w:cs="Times New Roman"/>
        </w:rPr>
        <w:t>, 30(5):</w:t>
      </w:r>
      <w:r w:rsidR="00AE1B4D" w:rsidRPr="005B4528">
        <w:rPr>
          <w:rFonts w:ascii="Times New Roman" w:hAnsi="Times New Roman" w:cs="Times New Roman"/>
        </w:rPr>
        <w:t xml:space="preserve"> 801–804.</w:t>
      </w:r>
    </w:p>
    <w:p w14:paraId="5DD87390" w14:textId="77777777" w:rsidR="00DF05C4" w:rsidRPr="005B4528" w:rsidRDefault="00B9608E" w:rsidP="00DF05C4">
      <w:pPr>
        <w:pStyle w:val="ListParagraph"/>
        <w:numPr>
          <w:ilvl w:val="0"/>
          <w:numId w:val="3"/>
        </w:numPr>
        <w:spacing w:line="360" w:lineRule="auto"/>
        <w:jc w:val="both"/>
        <w:rPr>
          <w:rFonts w:ascii="Times New Roman" w:hAnsi="Times New Roman" w:cs="Times New Roman"/>
        </w:rPr>
      </w:pPr>
      <w:r w:rsidRPr="005B4528">
        <w:rPr>
          <w:rFonts w:ascii="Times New Roman" w:hAnsi="Times New Roman" w:cs="Times New Roman"/>
        </w:rPr>
        <w:t>Saxena, Mukesh Maheshwari (2001)</w:t>
      </w:r>
      <w:r w:rsidR="0050050D">
        <w:rPr>
          <w:rFonts w:ascii="Times New Roman" w:hAnsi="Times New Roman" w:cs="Times New Roman"/>
        </w:rPr>
        <w:t>.</w:t>
      </w:r>
      <w:r w:rsidR="00AE1B4D" w:rsidRPr="005B4528">
        <w:rPr>
          <w:rFonts w:ascii="Times New Roman" w:hAnsi="Times New Roman" w:cs="Times New Roman"/>
        </w:rPr>
        <w:t xml:space="preserve"> Environmental analysis: Water, soil and air. </w:t>
      </w:r>
      <w:proofErr w:type="spellStart"/>
      <w:r w:rsidR="00AE1B4D" w:rsidRPr="005B4528">
        <w:rPr>
          <w:rFonts w:ascii="Times New Roman" w:hAnsi="Times New Roman" w:cs="Times New Roman"/>
        </w:rPr>
        <w:t>Agrobios</w:t>
      </w:r>
      <w:proofErr w:type="spellEnd"/>
      <w:r w:rsidR="00AE1B4D" w:rsidRPr="005B4528">
        <w:rPr>
          <w:rFonts w:ascii="Times New Roman" w:hAnsi="Times New Roman" w:cs="Times New Roman"/>
        </w:rPr>
        <w:t>.</w:t>
      </w:r>
    </w:p>
    <w:p w14:paraId="53D63E97" w14:textId="77777777" w:rsidR="00DF05C4" w:rsidRPr="005B4528" w:rsidRDefault="00DF05C4" w:rsidP="00DF05C4">
      <w:pPr>
        <w:pStyle w:val="ListParagraph"/>
        <w:numPr>
          <w:ilvl w:val="0"/>
          <w:numId w:val="3"/>
        </w:numPr>
        <w:spacing w:line="360" w:lineRule="auto"/>
        <w:jc w:val="both"/>
        <w:rPr>
          <w:rFonts w:ascii="Times New Roman" w:hAnsi="Times New Roman" w:cs="Times New Roman"/>
        </w:rPr>
      </w:pPr>
      <w:r w:rsidRPr="005B4528">
        <w:rPr>
          <w:rFonts w:ascii="Times New Roman" w:hAnsi="Times New Roman" w:cs="Times New Roman"/>
        </w:rPr>
        <w:t xml:space="preserve"> </w:t>
      </w:r>
      <w:r w:rsidR="00B9608E" w:rsidRPr="005B4528">
        <w:rPr>
          <w:rFonts w:ascii="Times New Roman" w:hAnsi="Times New Roman" w:cs="Times New Roman"/>
        </w:rPr>
        <w:t>Sharma</w:t>
      </w:r>
      <w:r w:rsidR="0050050D">
        <w:rPr>
          <w:rFonts w:ascii="Times New Roman" w:hAnsi="Times New Roman" w:cs="Times New Roman"/>
        </w:rPr>
        <w:t>,</w:t>
      </w:r>
      <w:r w:rsidRPr="005B4528">
        <w:rPr>
          <w:rFonts w:ascii="Times New Roman" w:hAnsi="Times New Roman" w:cs="Times New Roman"/>
        </w:rPr>
        <w:t xml:space="preserve"> Ankush, </w:t>
      </w:r>
      <w:r w:rsidR="00B9608E" w:rsidRPr="005B4528">
        <w:rPr>
          <w:rFonts w:ascii="Times New Roman" w:hAnsi="Times New Roman" w:cs="Times New Roman"/>
        </w:rPr>
        <w:t>Kumar</w:t>
      </w:r>
      <w:r w:rsidRPr="005B4528">
        <w:rPr>
          <w:rFonts w:ascii="Times New Roman" w:hAnsi="Times New Roman" w:cs="Times New Roman"/>
        </w:rPr>
        <w:t xml:space="preserve">, </w:t>
      </w:r>
      <w:r w:rsidR="0050050D">
        <w:rPr>
          <w:rFonts w:ascii="Times New Roman" w:hAnsi="Times New Roman" w:cs="Times New Roman"/>
        </w:rPr>
        <w:t>Rajesh, Devi, Sapna and</w:t>
      </w:r>
      <w:r w:rsidR="00B9608E" w:rsidRPr="005B4528">
        <w:rPr>
          <w:rFonts w:ascii="Times New Roman" w:hAnsi="Times New Roman" w:cs="Times New Roman"/>
        </w:rPr>
        <w:t xml:space="preserve"> Sharma</w:t>
      </w:r>
      <w:r w:rsidR="0050050D">
        <w:rPr>
          <w:rFonts w:ascii="Times New Roman" w:hAnsi="Times New Roman" w:cs="Times New Roman"/>
        </w:rPr>
        <w:t>,</w:t>
      </w:r>
      <w:r w:rsidR="00B9608E" w:rsidRPr="005B4528">
        <w:rPr>
          <w:rFonts w:ascii="Times New Roman" w:hAnsi="Times New Roman" w:cs="Times New Roman"/>
        </w:rPr>
        <w:t xml:space="preserve"> Saryu </w:t>
      </w:r>
      <w:r w:rsidR="0050050D">
        <w:rPr>
          <w:rFonts w:ascii="Times New Roman" w:hAnsi="Times New Roman" w:cs="Times New Roman"/>
        </w:rPr>
        <w:t>(</w:t>
      </w:r>
      <w:r w:rsidR="00B9608E" w:rsidRPr="005B4528">
        <w:rPr>
          <w:rFonts w:ascii="Times New Roman" w:hAnsi="Times New Roman" w:cs="Times New Roman"/>
        </w:rPr>
        <w:t>2025</w:t>
      </w:r>
      <w:r w:rsidR="0050050D">
        <w:rPr>
          <w:rFonts w:ascii="Times New Roman" w:hAnsi="Times New Roman" w:cs="Times New Roman"/>
        </w:rPr>
        <w:t>).</w:t>
      </w:r>
      <w:r w:rsidR="00B9608E" w:rsidRPr="005B4528">
        <w:rPr>
          <w:rFonts w:ascii="Times New Roman" w:hAnsi="Times New Roman" w:cs="Times New Roman"/>
        </w:rPr>
        <w:t xml:space="preserve"> </w:t>
      </w:r>
      <w:r w:rsidRPr="005B4528">
        <w:rPr>
          <w:rFonts w:ascii="Times New Roman" w:hAnsi="Times New Roman" w:cs="Times New Roman"/>
        </w:rPr>
        <w:t>Assessment of Drinking Water Quality and Water Quality Index (WQI) of the Newly Formed Municipal Corporation Town, Pa</w:t>
      </w:r>
      <w:r w:rsidR="00B9608E" w:rsidRPr="005B4528">
        <w:rPr>
          <w:rFonts w:ascii="Times New Roman" w:hAnsi="Times New Roman" w:cs="Times New Roman"/>
        </w:rPr>
        <w:t>lampur, Himachal Pradesh, India</w:t>
      </w:r>
      <w:r w:rsidRPr="005B4528">
        <w:rPr>
          <w:rFonts w:ascii="Times New Roman" w:hAnsi="Times New Roman" w:cs="Times New Roman"/>
        </w:rPr>
        <w:t xml:space="preserve">. </w:t>
      </w:r>
      <w:r w:rsidRPr="0050050D">
        <w:rPr>
          <w:rFonts w:ascii="Times New Roman" w:hAnsi="Times New Roman" w:cs="Times New Roman"/>
          <w:i/>
          <w:iCs/>
        </w:rPr>
        <w:t>Asian Journal of Environment &amp; Ecology</w:t>
      </w:r>
      <w:r w:rsidR="0050050D">
        <w:rPr>
          <w:rFonts w:ascii="Times New Roman" w:hAnsi="Times New Roman" w:cs="Times New Roman"/>
          <w:i/>
          <w:iCs/>
        </w:rPr>
        <w:t>,</w:t>
      </w:r>
      <w:r w:rsidRPr="005B4528">
        <w:rPr>
          <w:rFonts w:ascii="Times New Roman" w:hAnsi="Times New Roman" w:cs="Times New Roman"/>
        </w:rPr>
        <w:t xml:space="preserve"> 24 (6):51-60. </w:t>
      </w:r>
    </w:p>
    <w:p w14:paraId="5D2C1A8B" w14:textId="77777777" w:rsidR="00AE1B4D" w:rsidRPr="005B4528" w:rsidRDefault="00B9608E" w:rsidP="003B750D">
      <w:pPr>
        <w:pStyle w:val="ListParagraph"/>
        <w:numPr>
          <w:ilvl w:val="0"/>
          <w:numId w:val="3"/>
        </w:numPr>
        <w:spacing w:line="360" w:lineRule="auto"/>
        <w:jc w:val="both"/>
        <w:rPr>
          <w:rFonts w:ascii="Times New Roman" w:hAnsi="Times New Roman" w:cs="Times New Roman"/>
        </w:rPr>
      </w:pPr>
      <w:r w:rsidRPr="005B4528">
        <w:rPr>
          <w:rFonts w:ascii="Times New Roman" w:hAnsi="Times New Roman" w:cs="Times New Roman"/>
        </w:rPr>
        <w:t>Singh</w:t>
      </w:r>
      <w:r w:rsidR="0050050D">
        <w:rPr>
          <w:rFonts w:ascii="Times New Roman" w:hAnsi="Times New Roman" w:cs="Times New Roman"/>
        </w:rPr>
        <w:t>,</w:t>
      </w:r>
      <w:r w:rsidRPr="005B4528">
        <w:rPr>
          <w:rFonts w:ascii="Times New Roman" w:hAnsi="Times New Roman" w:cs="Times New Roman"/>
        </w:rPr>
        <w:t xml:space="preserve"> Nidhi, Verma</w:t>
      </w:r>
      <w:r w:rsidR="0050050D">
        <w:rPr>
          <w:rFonts w:ascii="Times New Roman" w:hAnsi="Times New Roman" w:cs="Times New Roman"/>
        </w:rPr>
        <w:t>, Suman and</w:t>
      </w:r>
      <w:r w:rsidRPr="005B4528">
        <w:rPr>
          <w:rFonts w:ascii="Times New Roman" w:hAnsi="Times New Roman" w:cs="Times New Roman"/>
        </w:rPr>
        <w:t xml:space="preserve"> Mehta</w:t>
      </w:r>
      <w:r w:rsidR="0050050D">
        <w:rPr>
          <w:rFonts w:ascii="Times New Roman" w:hAnsi="Times New Roman" w:cs="Times New Roman"/>
        </w:rPr>
        <w:t>,</w:t>
      </w:r>
      <w:r w:rsidRPr="005B4528">
        <w:rPr>
          <w:rFonts w:ascii="Times New Roman" w:hAnsi="Times New Roman" w:cs="Times New Roman"/>
        </w:rPr>
        <w:t xml:space="preserve"> Rakesh (2023)</w:t>
      </w:r>
      <w:r w:rsidR="0050050D">
        <w:rPr>
          <w:rFonts w:ascii="Times New Roman" w:hAnsi="Times New Roman" w:cs="Times New Roman"/>
        </w:rPr>
        <w:t>.</w:t>
      </w:r>
      <w:r w:rsidR="00AE1B4D" w:rsidRPr="005B4528">
        <w:rPr>
          <w:rFonts w:ascii="Times New Roman" w:hAnsi="Times New Roman" w:cs="Times New Roman"/>
        </w:rPr>
        <w:t xml:space="preserve"> Ganga River water quality after STP upgrades. </w:t>
      </w:r>
      <w:r w:rsidR="00AE1B4D" w:rsidRPr="0050050D">
        <w:rPr>
          <w:rFonts w:ascii="Times New Roman" w:hAnsi="Times New Roman" w:cs="Times New Roman"/>
          <w:i/>
          <w:iCs/>
        </w:rPr>
        <w:t>Environmental Mo</w:t>
      </w:r>
      <w:r w:rsidRPr="0050050D">
        <w:rPr>
          <w:rFonts w:ascii="Times New Roman" w:hAnsi="Times New Roman" w:cs="Times New Roman"/>
          <w:i/>
          <w:iCs/>
        </w:rPr>
        <w:t>nitoring and Assessment</w:t>
      </w:r>
      <w:r w:rsidRPr="005B4528">
        <w:rPr>
          <w:rFonts w:ascii="Times New Roman" w:hAnsi="Times New Roman" w:cs="Times New Roman"/>
        </w:rPr>
        <w:t>, 195(2):</w:t>
      </w:r>
      <w:r w:rsidR="00AE1B4D" w:rsidRPr="005B4528">
        <w:rPr>
          <w:rFonts w:ascii="Times New Roman" w:hAnsi="Times New Roman" w:cs="Times New Roman"/>
        </w:rPr>
        <w:t xml:space="preserve"> 58. </w:t>
      </w:r>
    </w:p>
    <w:p w14:paraId="000331B9" w14:textId="77777777" w:rsidR="00AE1B4D" w:rsidRPr="005B4528" w:rsidRDefault="00AE1B4D" w:rsidP="003B750D">
      <w:pPr>
        <w:pStyle w:val="ListParagraph"/>
        <w:numPr>
          <w:ilvl w:val="0"/>
          <w:numId w:val="3"/>
        </w:numPr>
        <w:spacing w:line="360" w:lineRule="auto"/>
        <w:jc w:val="both"/>
        <w:rPr>
          <w:rFonts w:ascii="Times New Roman" w:hAnsi="Times New Roman" w:cs="Times New Roman"/>
        </w:rPr>
      </w:pPr>
      <w:proofErr w:type="spellStart"/>
      <w:r w:rsidRPr="005B4528">
        <w:rPr>
          <w:rFonts w:ascii="Times New Roman" w:hAnsi="Times New Roman" w:cs="Times New Roman"/>
        </w:rPr>
        <w:t>Tchobanoglous</w:t>
      </w:r>
      <w:proofErr w:type="spellEnd"/>
      <w:r w:rsidRPr="005B4528">
        <w:rPr>
          <w:rFonts w:ascii="Times New Roman" w:hAnsi="Times New Roman" w:cs="Times New Roman"/>
        </w:rPr>
        <w:t>, George, Burton, Fran</w:t>
      </w:r>
      <w:r w:rsidR="0050050D">
        <w:rPr>
          <w:rFonts w:ascii="Times New Roman" w:hAnsi="Times New Roman" w:cs="Times New Roman"/>
        </w:rPr>
        <w:t>klin, L. and</w:t>
      </w:r>
      <w:r w:rsidRPr="005B4528">
        <w:rPr>
          <w:rFonts w:ascii="Times New Roman" w:hAnsi="Times New Roman" w:cs="Times New Roman"/>
        </w:rPr>
        <w:t xml:space="preserve"> Stensel, David</w:t>
      </w:r>
      <w:r w:rsidR="0050050D">
        <w:rPr>
          <w:rFonts w:ascii="Times New Roman" w:hAnsi="Times New Roman" w:cs="Times New Roman"/>
        </w:rPr>
        <w:t>,</w:t>
      </w:r>
      <w:r w:rsidRPr="005B4528">
        <w:rPr>
          <w:rFonts w:ascii="Times New Roman" w:hAnsi="Times New Roman" w:cs="Times New Roman"/>
        </w:rPr>
        <w:t xml:space="preserve"> H. (2014). Wastewater engineering: Treatment and reuse (4th ed.). McGraw-Hill Education.</w:t>
      </w:r>
    </w:p>
    <w:p w14:paraId="159736EA" w14:textId="77777777" w:rsidR="00AE1B4D" w:rsidRPr="005B4528" w:rsidRDefault="00AE1B4D" w:rsidP="003B750D">
      <w:pPr>
        <w:pStyle w:val="ListParagraph"/>
        <w:numPr>
          <w:ilvl w:val="0"/>
          <w:numId w:val="3"/>
        </w:numPr>
        <w:spacing w:line="360" w:lineRule="auto"/>
        <w:jc w:val="both"/>
        <w:rPr>
          <w:rFonts w:ascii="Times New Roman" w:hAnsi="Times New Roman" w:cs="Times New Roman"/>
        </w:rPr>
      </w:pPr>
      <w:r w:rsidRPr="005B4528">
        <w:rPr>
          <w:rFonts w:ascii="Times New Roman" w:hAnsi="Times New Roman" w:cs="Times New Roman"/>
        </w:rPr>
        <w:t>U.S. Environmen</w:t>
      </w:r>
      <w:r w:rsidR="00B9608E" w:rsidRPr="005B4528">
        <w:rPr>
          <w:rFonts w:ascii="Times New Roman" w:hAnsi="Times New Roman" w:cs="Times New Roman"/>
        </w:rPr>
        <w:t>tal Protection Agency (2012)</w:t>
      </w:r>
      <w:r w:rsidR="0050050D">
        <w:rPr>
          <w:rFonts w:ascii="Times New Roman" w:hAnsi="Times New Roman" w:cs="Times New Roman"/>
        </w:rPr>
        <w:t>.</w:t>
      </w:r>
      <w:r w:rsidR="00B9608E" w:rsidRPr="005B4528">
        <w:rPr>
          <w:rFonts w:ascii="Times New Roman" w:hAnsi="Times New Roman" w:cs="Times New Roman"/>
        </w:rPr>
        <w:t xml:space="preserve"> </w:t>
      </w:r>
      <w:r w:rsidRPr="005B4528">
        <w:rPr>
          <w:rFonts w:ascii="Times New Roman" w:hAnsi="Times New Roman" w:cs="Times New Roman"/>
        </w:rPr>
        <w:t xml:space="preserve">Guidelines for water reuse (EPA/600/R-12/618). U.S. Environmental Protection Agency. </w:t>
      </w:r>
    </w:p>
    <w:p w14:paraId="65226508" w14:textId="77777777" w:rsidR="00AE1B4D" w:rsidRPr="005B4528" w:rsidRDefault="00AE1B4D" w:rsidP="003B750D">
      <w:pPr>
        <w:pStyle w:val="ListParagraph"/>
        <w:numPr>
          <w:ilvl w:val="0"/>
          <w:numId w:val="3"/>
        </w:numPr>
        <w:spacing w:line="360" w:lineRule="auto"/>
        <w:jc w:val="both"/>
        <w:rPr>
          <w:rFonts w:ascii="Times New Roman" w:hAnsi="Times New Roman" w:cs="Times New Roman"/>
        </w:rPr>
      </w:pPr>
      <w:r w:rsidRPr="005B4528">
        <w:rPr>
          <w:rFonts w:ascii="Times New Roman" w:hAnsi="Times New Roman" w:cs="Times New Roman"/>
        </w:rPr>
        <w:t xml:space="preserve">United States </w:t>
      </w:r>
      <w:r w:rsidR="00B9608E" w:rsidRPr="005B4528">
        <w:rPr>
          <w:rFonts w:ascii="Times New Roman" w:hAnsi="Times New Roman" w:cs="Times New Roman"/>
        </w:rPr>
        <w:t>Environmental Protection Agency (2020)</w:t>
      </w:r>
      <w:r w:rsidR="0050050D">
        <w:rPr>
          <w:rFonts w:ascii="Times New Roman" w:hAnsi="Times New Roman" w:cs="Times New Roman"/>
        </w:rPr>
        <w:t>.</w:t>
      </w:r>
      <w:r w:rsidRPr="005B4528">
        <w:rPr>
          <w:rFonts w:ascii="Times New Roman" w:hAnsi="Times New Roman" w:cs="Times New Roman"/>
        </w:rPr>
        <w:t xml:space="preserve"> Basic information about wastewater. </w:t>
      </w:r>
    </w:p>
    <w:p w14:paraId="738ACA25" w14:textId="77777777" w:rsidR="00AE1B4D" w:rsidRPr="005B4528" w:rsidRDefault="00B9608E" w:rsidP="003B750D">
      <w:pPr>
        <w:pStyle w:val="ListParagraph"/>
        <w:numPr>
          <w:ilvl w:val="0"/>
          <w:numId w:val="3"/>
        </w:numPr>
        <w:spacing w:line="360" w:lineRule="auto"/>
        <w:jc w:val="both"/>
        <w:rPr>
          <w:rFonts w:ascii="Times New Roman" w:hAnsi="Times New Roman" w:cs="Times New Roman"/>
        </w:rPr>
      </w:pPr>
      <w:r w:rsidRPr="005B4528">
        <w:rPr>
          <w:rFonts w:ascii="Times New Roman" w:hAnsi="Times New Roman" w:cs="Times New Roman"/>
        </w:rPr>
        <w:t>World Health Organization (2017)</w:t>
      </w:r>
      <w:r w:rsidR="0050050D">
        <w:rPr>
          <w:rFonts w:ascii="Times New Roman" w:hAnsi="Times New Roman" w:cs="Times New Roman"/>
        </w:rPr>
        <w:t>.</w:t>
      </w:r>
      <w:r w:rsidR="00AE1B4D" w:rsidRPr="005B4528">
        <w:rPr>
          <w:rFonts w:ascii="Times New Roman" w:hAnsi="Times New Roman" w:cs="Times New Roman"/>
        </w:rPr>
        <w:t xml:space="preserve"> Guidelines for drinking-water quality (4th ed.). WHO Press.</w:t>
      </w:r>
    </w:p>
    <w:p w14:paraId="2E79D4B2" w14:textId="77777777" w:rsidR="00C60985" w:rsidRPr="005B4528" w:rsidRDefault="00B9608E" w:rsidP="00C60985">
      <w:pPr>
        <w:pStyle w:val="Default"/>
        <w:numPr>
          <w:ilvl w:val="0"/>
          <w:numId w:val="3"/>
        </w:numPr>
        <w:spacing w:before="240" w:line="360" w:lineRule="auto"/>
        <w:jc w:val="both"/>
        <w:rPr>
          <w:rFonts w:ascii="Times New Roman" w:hAnsi="Times New Roman" w:cs="Times New Roman"/>
        </w:rPr>
      </w:pPr>
      <w:r w:rsidRPr="005B4528">
        <w:rPr>
          <w:rFonts w:ascii="Times New Roman" w:hAnsi="Times New Roman" w:cs="Times New Roman"/>
        </w:rPr>
        <w:t>WHO (2004)</w:t>
      </w:r>
      <w:r w:rsidR="0050050D">
        <w:rPr>
          <w:rFonts w:ascii="Times New Roman" w:hAnsi="Times New Roman" w:cs="Times New Roman"/>
        </w:rPr>
        <w:t>.</w:t>
      </w:r>
      <w:r w:rsidRPr="005B4528">
        <w:rPr>
          <w:rFonts w:ascii="Times New Roman" w:hAnsi="Times New Roman" w:cs="Times New Roman"/>
        </w:rPr>
        <w:t xml:space="preserve"> </w:t>
      </w:r>
      <w:r w:rsidR="00C60985" w:rsidRPr="005B4528">
        <w:rPr>
          <w:rFonts w:ascii="Times New Roman" w:hAnsi="Times New Roman" w:cs="Times New Roman"/>
        </w:rPr>
        <w:t xml:space="preserve">Guidelines for Drinking Water Quality, Third edition, Vol.1, Recommendation, world Health Organization, Geneva. </w:t>
      </w:r>
    </w:p>
    <w:p w14:paraId="12E16FD5" w14:textId="77777777" w:rsidR="00C60985" w:rsidRPr="005B4528" w:rsidRDefault="00C60985" w:rsidP="00C60985">
      <w:pPr>
        <w:spacing w:line="360" w:lineRule="auto"/>
        <w:ind w:left="360"/>
        <w:jc w:val="both"/>
        <w:rPr>
          <w:rFonts w:ascii="Times New Roman" w:hAnsi="Times New Roman" w:cs="Times New Roman"/>
        </w:rPr>
      </w:pPr>
    </w:p>
    <w:sectPr w:rsidR="00C60985" w:rsidRPr="005B4528" w:rsidSect="00CF7AF9">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FA530" w14:textId="77777777" w:rsidR="00320022" w:rsidRDefault="00320022" w:rsidP="009176BB">
      <w:pPr>
        <w:spacing w:after="0" w:line="240" w:lineRule="auto"/>
      </w:pPr>
      <w:r>
        <w:separator/>
      </w:r>
    </w:p>
  </w:endnote>
  <w:endnote w:type="continuationSeparator" w:id="0">
    <w:p w14:paraId="11FB3321" w14:textId="77777777" w:rsidR="00320022" w:rsidRDefault="00320022" w:rsidP="00917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inionPro-Regular">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76A7C" w14:textId="77777777" w:rsidR="00944932" w:rsidRDefault="009449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488829"/>
      <w:docPartObj>
        <w:docPartGallery w:val="Page Numbers (Bottom of Page)"/>
        <w:docPartUnique/>
      </w:docPartObj>
    </w:sdtPr>
    <w:sdtEndPr/>
    <w:sdtContent>
      <w:p w14:paraId="7598A55F" w14:textId="77777777" w:rsidR="00FF7546" w:rsidRDefault="0079535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C0D2CF6" w14:textId="77777777" w:rsidR="00FF7546" w:rsidRDefault="00FF75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3E913" w14:textId="77777777" w:rsidR="00944932" w:rsidRDefault="00944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69DA3" w14:textId="77777777" w:rsidR="00320022" w:rsidRDefault="00320022" w:rsidP="009176BB">
      <w:pPr>
        <w:spacing w:after="0" w:line="240" w:lineRule="auto"/>
      </w:pPr>
      <w:r>
        <w:separator/>
      </w:r>
    </w:p>
  </w:footnote>
  <w:footnote w:type="continuationSeparator" w:id="0">
    <w:p w14:paraId="479AB30C" w14:textId="77777777" w:rsidR="00320022" w:rsidRDefault="00320022" w:rsidP="00917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56072" w14:textId="509CF8F1" w:rsidR="00944932" w:rsidRDefault="00944932">
    <w:pPr>
      <w:pStyle w:val="Header"/>
    </w:pPr>
    <w:r>
      <w:rPr>
        <w:noProof/>
      </w:rPr>
      <w:pict w14:anchorId="665471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914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B82F3" w14:textId="1C1942C0" w:rsidR="00944932" w:rsidRDefault="00944932">
    <w:pPr>
      <w:pStyle w:val="Header"/>
    </w:pPr>
    <w:r>
      <w:rPr>
        <w:noProof/>
      </w:rPr>
      <w:pict w14:anchorId="153E8F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914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FE308" w14:textId="191C5CAB" w:rsidR="00944932" w:rsidRDefault="00944932">
    <w:pPr>
      <w:pStyle w:val="Header"/>
    </w:pPr>
    <w:r>
      <w:rPr>
        <w:noProof/>
      </w:rPr>
      <w:pict w14:anchorId="740258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914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C27497"/>
    <w:multiLevelType w:val="hybridMultilevel"/>
    <w:tmpl w:val="E5F6A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6655C9"/>
    <w:multiLevelType w:val="hybridMultilevel"/>
    <w:tmpl w:val="E6DAC012"/>
    <w:lvl w:ilvl="0" w:tplc="1EEE0A94">
      <w:start w:val="1"/>
      <w:numFmt w:val="decimal"/>
      <w:lvlText w:val="%1."/>
      <w:lvlJc w:val="left"/>
      <w:pPr>
        <w:ind w:left="786"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AC6BE1"/>
    <w:multiLevelType w:val="hybridMultilevel"/>
    <w:tmpl w:val="E6F28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023D19"/>
    <w:multiLevelType w:val="multilevel"/>
    <w:tmpl w:val="35CAFA84"/>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F640AB"/>
    <w:multiLevelType w:val="hybridMultilevel"/>
    <w:tmpl w:val="80EA1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02A1"/>
    <w:rsid w:val="000170D3"/>
    <w:rsid w:val="0002263E"/>
    <w:rsid w:val="000A48B1"/>
    <w:rsid w:val="000F27F3"/>
    <w:rsid w:val="0010117C"/>
    <w:rsid w:val="0010239E"/>
    <w:rsid w:val="00126FBB"/>
    <w:rsid w:val="0016286D"/>
    <w:rsid w:val="0018504F"/>
    <w:rsid w:val="00185A04"/>
    <w:rsid w:val="00197D36"/>
    <w:rsid w:val="001A05A0"/>
    <w:rsid w:val="001A2F9B"/>
    <w:rsid w:val="001C461A"/>
    <w:rsid w:val="001E0B09"/>
    <w:rsid w:val="001E16BF"/>
    <w:rsid w:val="00220F67"/>
    <w:rsid w:val="00232183"/>
    <w:rsid w:val="00232F89"/>
    <w:rsid w:val="00243D3E"/>
    <w:rsid w:val="00244332"/>
    <w:rsid w:val="00245AD9"/>
    <w:rsid w:val="00272BB1"/>
    <w:rsid w:val="00284544"/>
    <w:rsid w:val="002B0E4D"/>
    <w:rsid w:val="002D1F8B"/>
    <w:rsid w:val="002E1417"/>
    <w:rsid w:val="002E5179"/>
    <w:rsid w:val="00320022"/>
    <w:rsid w:val="003B750D"/>
    <w:rsid w:val="003D248B"/>
    <w:rsid w:val="004119FF"/>
    <w:rsid w:val="004453A0"/>
    <w:rsid w:val="004710A3"/>
    <w:rsid w:val="00476E6E"/>
    <w:rsid w:val="004805F4"/>
    <w:rsid w:val="004A1A42"/>
    <w:rsid w:val="004B7551"/>
    <w:rsid w:val="004C6B6A"/>
    <w:rsid w:val="004C6D8B"/>
    <w:rsid w:val="004C6EBE"/>
    <w:rsid w:val="0050050D"/>
    <w:rsid w:val="005231F2"/>
    <w:rsid w:val="00523BE5"/>
    <w:rsid w:val="00592C19"/>
    <w:rsid w:val="005A5D7D"/>
    <w:rsid w:val="005B4528"/>
    <w:rsid w:val="005D3AB1"/>
    <w:rsid w:val="005E4148"/>
    <w:rsid w:val="00607B43"/>
    <w:rsid w:val="0064636E"/>
    <w:rsid w:val="006613B6"/>
    <w:rsid w:val="006C2713"/>
    <w:rsid w:val="007221F7"/>
    <w:rsid w:val="00722A72"/>
    <w:rsid w:val="00771229"/>
    <w:rsid w:val="007831C7"/>
    <w:rsid w:val="00795353"/>
    <w:rsid w:val="00795C41"/>
    <w:rsid w:val="007B14CF"/>
    <w:rsid w:val="007B69FF"/>
    <w:rsid w:val="007B6C57"/>
    <w:rsid w:val="007D65BC"/>
    <w:rsid w:val="007F11E7"/>
    <w:rsid w:val="008A4152"/>
    <w:rsid w:val="008B3631"/>
    <w:rsid w:val="008E6CD0"/>
    <w:rsid w:val="009176BB"/>
    <w:rsid w:val="00925B9C"/>
    <w:rsid w:val="00925D21"/>
    <w:rsid w:val="00944932"/>
    <w:rsid w:val="00950DBE"/>
    <w:rsid w:val="009527DD"/>
    <w:rsid w:val="00996D6E"/>
    <w:rsid w:val="009A0F7C"/>
    <w:rsid w:val="009A2AAB"/>
    <w:rsid w:val="009A5CE0"/>
    <w:rsid w:val="009E290F"/>
    <w:rsid w:val="009F09BE"/>
    <w:rsid w:val="00A00742"/>
    <w:rsid w:val="00A038B8"/>
    <w:rsid w:val="00A0430B"/>
    <w:rsid w:val="00A12F99"/>
    <w:rsid w:val="00A23611"/>
    <w:rsid w:val="00A402AA"/>
    <w:rsid w:val="00A479E6"/>
    <w:rsid w:val="00A6719D"/>
    <w:rsid w:val="00A76F55"/>
    <w:rsid w:val="00A80C63"/>
    <w:rsid w:val="00AA5FC9"/>
    <w:rsid w:val="00AC092C"/>
    <w:rsid w:val="00AC633E"/>
    <w:rsid w:val="00AE02A1"/>
    <w:rsid w:val="00AE1B4D"/>
    <w:rsid w:val="00B07CA7"/>
    <w:rsid w:val="00B20647"/>
    <w:rsid w:val="00B35EC8"/>
    <w:rsid w:val="00B4167B"/>
    <w:rsid w:val="00B71D9F"/>
    <w:rsid w:val="00B823DE"/>
    <w:rsid w:val="00B9608E"/>
    <w:rsid w:val="00BA5D6C"/>
    <w:rsid w:val="00BC58C6"/>
    <w:rsid w:val="00BD0A30"/>
    <w:rsid w:val="00BD0DA9"/>
    <w:rsid w:val="00C00A87"/>
    <w:rsid w:val="00C01094"/>
    <w:rsid w:val="00C03C6F"/>
    <w:rsid w:val="00C14873"/>
    <w:rsid w:val="00C309A4"/>
    <w:rsid w:val="00C52252"/>
    <w:rsid w:val="00C52FBA"/>
    <w:rsid w:val="00C60985"/>
    <w:rsid w:val="00C7096A"/>
    <w:rsid w:val="00C77B29"/>
    <w:rsid w:val="00C86F91"/>
    <w:rsid w:val="00C97EC3"/>
    <w:rsid w:val="00CA4EF1"/>
    <w:rsid w:val="00CA762B"/>
    <w:rsid w:val="00CB3E46"/>
    <w:rsid w:val="00CC1411"/>
    <w:rsid w:val="00CD5B73"/>
    <w:rsid w:val="00CF7AF9"/>
    <w:rsid w:val="00D31F20"/>
    <w:rsid w:val="00D34AF1"/>
    <w:rsid w:val="00D37234"/>
    <w:rsid w:val="00D529B9"/>
    <w:rsid w:val="00D606E5"/>
    <w:rsid w:val="00DD3C65"/>
    <w:rsid w:val="00DD654C"/>
    <w:rsid w:val="00DE2CF3"/>
    <w:rsid w:val="00DE5635"/>
    <w:rsid w:val="00DF05C4"/>
    <w:rsid w:val="00E26851"/>
    <w:rsid w:val="00E50ED9"/>
    <w:rsid w:val="00E739ED"/>
    <w:rsid w:val="00EC0C07"/>
    <w:rsid w:val="00EE316B"/>
    <w:rsid w:val="00F00DF5"/>
    <w:rsid w:val="00F22270"/>
    <w:rsid w:val="00F326E1"/>
    <w:rsid w:val="00FA7571"/>
    <w:rsid w:val="00FA76DF"/>
    <w:rsid w:val="00FE01A8"/>
    <w:rsid w:val="00FF754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6"/>
        <o:r id="V:Rule2" type="connector" idref="#_x0000_s1031"/>
        <o:r id="V:Rule3" type="connector" idref="#_x0000_s1030"/>
        <o:r id="V:Rule4" type="connector" idref="#_x0000_s1027"/>
        <o:r id="V:Rule5" type="connector" idref="#_x0000_s1029"/>
        <o:r id="V:Rule6" type="connector" idref="#_x0000_s1028"/>
      </o:rules>
    </o:shapelayout>
  </w:shapeDefaults>
  <w:decimalSymbol w:val="."/>
  <w:listSeparator w:val=","/>
  <w14:docId w14:val="3EF69C49"/>
  <w15:docId w15:val="{81E1C608-E5B1-4CF4-8147-25B3033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7AF9"/>
  </w:style>
  <w:style w:type="paragraph" w:styleId="Heading1">
    <w:name w:val="heading 1"/>
    <w:basedOn w:val="Normal"/>
    <w:next w:val="Normal"/>
    <w:link w:val="Heading1Char"/>
    <w:uiPriority w:val="9"/>
    <w:qFormat/>
    <w:rsid w:val="00AE02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02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02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02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02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02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2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2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2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2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02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02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02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02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02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2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2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2A1"/>
    <w:rPr>
      <w:rFonts w:eastAsiaTheme="majorEastAsia" w:cstheme="majorBidi"/>
      <w:color w:val="272727" w:themeColor="text1" w:themeTint="D8"/>
    </w:rPr>
  </w:style>
  <w:style w:type="paragraph" w:styleId="Title">
    <w:name w:val="Title"/>
    <w:basedOn w:val="Normal"/>
    <w:next w:val="Normal"/>
    <w:link w:val="TitleChar"/>
    <w:uiPriority w:val="10"/>
    <w:qFormat/>
    <w:rsid w:val="00AE02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2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2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2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2A1"/>
    <w:pPr>
      <w:spacing w:before="160"/>
      <w:jc w:val="center"/>
    </w:pPr>
    <w:rPr>
      <w:i/>
      <w:iCs/>
      <w:color w:val="404040" w:themeColor="text1" w:themeTint="BF"/>
    </w:rPr>
  </w:style>
  <w:style w:type="character" w:customStyle="1" w:styleId="QuoteChar">
    <w:name w:val="Quote Char"/>
    <w:basedOn w:val="DefaultParagraphFont"/>
    <w:link w:val="Quote"/>
    <w:uiPriority w:val="29"/>
    <w:rsid w:val="00AE02A1"/>
    <w:rPr>
      <w:i/>
      <w:iCs/>
      <w:color w:val="404040" w:themeColor="text1" w:themeTint="BF"/>
    </w:rPr>
  </w:style>
  <w:style w:type="paragraph" w:styleId="ListParagraph">
    <w:name w:val="List Paragraph"/>
    <w:basedOn w:val="Normal"/>
    <w:uiPriority w:val="34"/>
    <w:qFormat/>
    <w:rsid w:val="00AE02A1"/>
    <w:pPr>
      <w:ind w:left="720"/>
      <w:contextualSpacing/>
    </w:pPr>
  </w:style>
  <w:style w:type="character" w:styleId="IntenseEmphasis">
    <w:name w:val="Intense Emphasis"/>
    <w:basedOn w:val="DefaultParagraphFont"/>
    <w:uiPriority w:val="21"/>
    <w:qFormat/>
    <w:rsid w:val="00AE02A1"/>
    <w:rPr>
      <w:i/>
      <w:iCs/>
      <w:color w:val="2F5496" w:themeColor="accent1" w:themeShade="BF"/>
    </w:rPr>
  </w:style>
  <w:style w:type="paragraph" w:styleId="IntenseQuote">
    <w:name w:val="Intense Quote"/>
    <w:basedOn w:val="Normal"/>
    <w:next w:val="Normal"/>
    <w:link w:val="IntenseQuoteChar"/>
    <w:uiPriority w:val="30"/>
    <w:qFormat/>
    <w:rsid w:val="00AE02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02A1"/>
    <w:rPr>
      <w:i/>
      <w:iCs/>
      <w:color w:val="2F5496" w:themeColor="accent1" w:themeShade="BF"/>
    </w:rPr>
  </w:style>
  <w:style w:type="character" w:styleId="IntenseReference">
    <w:name w:val="Intense Reference"/>
    <w:basedOn w:val="DefaultParagraphFont"/>
    <w:uiPriority w:val="32"/>
    <w:qFormat/>
    <w:rsid w:val="00AE02A1"/>
    <w:rPr>
      <w:b/>
      <w:bCs/>
      <w:smallCaps/>
      <w:color w:val="2F5496" w:themeColor="accent1" w:themeShade="BF"/>
      <w:spacing w:val="5"/>
    </w:rPr>
  </w:style>
  <w:style w:type="table" w:styleId="TableGrid">
    <w:name w:val="Table Grid"/>
    <w:basedOn w:val="TableNormal"/>
    <w:uiPriority w:val="39"/>
    <w:rsid w:val="00220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7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6BB"/>
  </w:style>
  <w:style w:type="paragraph" w:styleId="Footer">
    <w:name w:val="footer"/>
    <w:basedOn w:val="Normal"/>
    <w:link w:val="FooterChar"/>
    <w:uiPriority w:val="99"/>
    <w:unhideWhenUsed/>
    <w:rsid w:val="00917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6BB"/>
  </w:style>
  <w:style w:type="character" w:styleId="Hyperlink">
    <w:name w:val="Hyperlink"/>
    <w:basedOn w:val="DefaultParagraphFont"/>
    <w:uiPriority w:val="99"/>
    <w:unhideWhenUsed/>
    <w:rsid w:val="00A23611"/>
    <w:rPr>
      <w:color w:val="0563C1" w:themeColor="hyperlink"/>
      <w:u w:val="single"/>
    </w:rPr>
  </w:style>
  <w:style w:type="paragraph" w:styleId="BalloonText">
    <w:name w:val="Balloon Text"/>
    <w:basedOn w:val="Normal"/>
    <w:link w:val="BalloonTextChar"/>
    <w:uiPriority w:val="99"/>
    <w:semiHidden/>
    <w:unhideWhenUsed/>
    <w:rsid w:val="00722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1F7"/>
    <w:rPr>
      <w:rFonts w:ascii="Tahoma" w:hAnsi="Tahoma" w:cs="Tahoma"/>
      <w:sz w:val="16"/>
      <w:szCs w:val="16"/>
    </w:rPr>
  </w:style>
  <w:style w:type="paragraph" w:customStyle="1" w:styleId="Default">
    <w:name w:val="Default"/>
    <w:rsid w:val="00DF05C4"/>
    <w:pPr>
      <w:autoSpaceDE w:val="0"/>
      <w:autoSpaceDN w:val="0"/>
      <w:adjustRightInd w:val="0"/>
      <w:spacing w:after="0" w:line="240" w:lineRule="auto"/>
    </w:pPr>
    <w:rPr>
      <w:rFonts w:ascii="Arial" w:hAnsi="Arial" w:cs="Arial"/>
      <w:color w:val="000000"/>
      <w:kern w:val="0"/>
      <w:lang w:bidi="hi-IN"/>
    </w:rPr>
  </w:style>
  <w:style w:type="paragraph" w:styleId="BodyText">
    <w:name w:val="Body Text"/>
    <w:basedOn w:val="Normal"/>
    <w:link w:val="BodyTextChar"/>
    <w:uiPriority w:val="1"/>
    <w:qFormat/>
    <w:rsid w:val="00A12F99"/>
    <w:pPr>
      <w:widowControl w:val="0"/>
      <w:autoSpaceDE w:val="0"/>
      <w:autoSpaceDN w:val="0"/>
      <w:spacing w:after="0" w:line="240" w:lineRule="auto"/>
    </w:pPr>
    <w:rPr>
      <w:rFonts w:ascii="Cambria" w:eastAsia="Cambria" w:hAnsi="Cambria" w:cs="Cambria"/>
      <w:kern w:val="0"/>
    </w:rPr>
  </w:style>
  <w:style w:type="character" w:customStyle="1" w:styleId="BodyTextChar">
    <w:name w:val="Body Text Char"/>
    <w:basedOn w:val="DefaultParagraphFont"/>
    <w:link w:val="BodyText"/>
    <w:uiPriority w:val="1"/>
    <w:rsid w:val="00A12F99"/>
    <w:rPr>
      <w:rFonts w:ascii="Cambria" w:eastAsia="Cambria" w:hAnsi="Cambria" w:cs="Cambria"/>
      <w:kern w:val="0"/>
    </w:rPr>
  </w:style>
  <w:style w:type="paragraph" w:styleId="NormalWeb">
    <w:name w:val="Normal (Web)"/>
    <w:basedOn w:val="Normal"/>
    <w:uiPriority w:val="99"/>
    <w:semiHidden/>
    <w:unhideWhenUsed/>
    <w:rsid w:val="006C2713"/>
    <w:pPr>
      <w:spacing w:before="100" w:beforeAutospacing="1" w:after="100" w:afterAutospacing="1" w:line="240" w:lineRule="auto"/>
    </w:pPr>
    <w:rPr>
      <w:rFonts w:ascii="Times New Roman" w:eastAsia="Times New Roman" w:hAnsi="Times New Roman" w:cs="Times New Roman"/>
      <w:kern w:val="0"/>
      <w:lang w:bidi="hi-IN"/>
    </w:rPr>
  </w:style>
  <w:style w:type="character" w:styleId="Emphasis">
    <w:name w:val="Emphasis"/>
    <w:basedOn w:val="DefaultParagraphFont"/>
    <w:uiPriority w:val="20"/>
    <w:qFormat/>
    <w:rsid w:val="006C2713"/>
    <w:rPr>
      <w:i/>
      <w:iCs/>
    </w:rPr>
  </w:style>
  <w:style w:type="character" w:styleId="Strong">
    <w:name w:val="Strong"/>
    <w:basedOn w:val="DefaultParagraphFont"/>
    <w:uiPriority w:val="22"/>
    <w:qFormat/>
    <w:rsid w:val="006C2713"/>
    <w:rPr>
      <w:b/>
      <w:bCs/>
    </w:rPr>
  </w:style>
  <w:style w:type="character" w:styleId="UnresolvedMention">
    <w:name w:val="Unresolved Mention"/>
    <w:basedOn w:val="DefaultParagraphFont"/>
    <w:uiPriority w:val="99"/>
    <w:semiHidden/>
    <w:unhideWhenUsed/>
    <w:rsid w:val="00CA76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31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njali%20Thakur\Downloads\Graph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Anjali%20Thakur\Downloads\Graph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Anjali%20Thakur\Downloads\Graph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Anjali%20Thakur\Downloads\Graph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Anjali%20Thakur\Downloads\Graph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Anjali%20Thakur\Downloads\Graph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njali%20Thakur\Downloads\Graph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njali%20Thakur\Downloads\Graph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njali%20Thakur\Downloads\Graph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njali%20Thakur\Downloads\Graph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njali%20Thakur\Downloads\Graph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njali%20Thakur\Downloads\Graph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njali%20Thakur\Downloads\Graph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Anjali%20Thakur\Downloads\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Color</a:t>
            </a:r>
          </a:p>
        </c:rich>
      </c:tx>
      <c:overlay val="0"/>
      <c:spPr>
        <a:noFill/>
        <a:ln>
          <a:noFill/>
        </a:ln>
        <a:effectLst/>
      </c:spPr>
    </c:title>
    <c:autoTitleDeleted val="0"/>
    <c:plotArea>
      <c:layout/>
      <c:barChart>
        <c:barDir val="col"/>
        <c:grouping val="clustered"/>
        <c:varyColors val="0"/>
        <c:ser>
          <c:idx val="0"/>
          <c:order val="0"/>
          <c:tx>
            <c:strRef>
              <c:f>Sheet1!$A$38</c:f>
              <c:strCache>
                <c:ptCount val="1"/>
                <c:pt idx="0">
                  <c:v>Color (Inlet) </c:v>
                </c:pt>
              </c:strCache>
            </c:strRef>
          </c:tx>
          <c:spPr>
            <a:solidFill>
              <a:schemeClr val="accent6"/>
            </a:solidFill>
            <a:ln>
              <a:noFill/>
            </a:ln>
            <a:effectLst/>
          </c:spPr>
          <c:invertIfNegative val="0"/>
          <c:cat>
            <c:strRef>
              <c:f>Sheet1!$B$37:$G$37</c:f>
              <c:strCache>
                <c:ptCount val="6"/>
                <c:pt idx="0">
                  <c:v>January</c:v>
                </c:pt>
                <c:pt idx="1">
                  <c:v>February</c:v>
                </c:pt>
                <c:pt idx="2">
                  <c:v>March</c:v>
                </c:pt>
                <c:pt idx="3">
                  <c:v>April</c:v>
                </c:pt>
                <c:pt idx="4">
                  <c:v>May</c:v>
                </c:pt>
                <c:pt idx="5">
                  <c:v>June</c:v>
                </c:pt>
              </c:strCache>
            </c:strRef>
          </c:cat>
          <c:val>
            <c:numRef>
              <c:f>Sheet1!$B$38:$G$38</c:f>
              <c:numCache>
                <c:formatCode>General</c:formatCode>
                <c:ptCount val="6"/>
                <c:pt idx="0">
                  <c:v>25</c:v>
                </c:pt>
                <c:pt idx="1">
                  <c:v>30</c:v>
                </c:pt>
                <c:pt idx="2">
                  <c:v>35</c:v>
                </c:pt>
                <c:pt idx="3">
                  <c:v>25</c:v>
                </c:pt>
                <c:pt idx="4">
                  <c:v>25</c:v>
                </c:pt>
                <c:pt idx="5">
                  <c:v>30</c:v>
                </c:pt>
              </c:numCache>
            </c:numRef>
          </c:val>
          <c:extLst>
            <c:ext xmlns:c16="http://schemas.microsoft.com/office/drawing/2014/chart" uri="{C3380CC4-5D6E-409C-BE32-E72D297353CC}">
              <c16:uniqueId val="{00000000-C9B8-4B50-BAB4-2AFC60DBDAC3}"/>
            </c:ext>
          </c:extLst>
        </c:ser>
        <c:ser>
          <c:idx val="1"/>
          <c:order val="1"/>
          <c:tx>
            <c:strRef>
              <c:f>Sheet1!$A$39</c:f>
              <c:strCache>
                <c:ptCount val="1"/>
                <c:pt idx="0">
                  <c:v>Color(Outlet)</c:v>
                </c:pt>
              </c:strCache>
            </c:strRef>
          </c:tx>
          <c:spPr>
            <a:solidFill>
              <a:schemeClr val="accent5"/>
            </a:solidFill>
            <a:ln>
              <a:noFill/>
            </a:ln>
            <a:effectLst/>
          </c:spPr>
          <c:invertIfNegative val="0"/>
          <c:cat>
            <c:strRef>
              <c:f>Sheet1!$B$37:$G$37</c:f>
              <c:strCache>
                <c:ptCount val="6"/>
                <c:pt idx="0">
                  <c:v>January</c:v>
                </c:pt>
                <c:pt idx="1">
                  <c:v>February</c:v>
                </c:pt>
                <c:pt idx="2">
                  <c:v>March</c:v>
                </c:pt>
                <c:pt idx="3">
                  <c:v>April</c:v>
                </c:pt>
                <c:pt idx="4">
                  <c:v>May</c:v>
                </c:pt>
                <c:pt idx="5">
                  <c:v>June</c:v>
                </c:pt>
              </c:strCache>
            </c:strRef>
          </c:cat>
          <c:val>
            <c:numRef>
              <c:f>Sheet1!$B$39:$G$39</c:f>
              <c:numCache>
                <c:formatCode>General</c:formatCode>
                <c:ptCount val="6"/>
                <c:pt idx="0">
                  <c:v>10</c:v>
                </c:pt>
                <c:pt idx="1">
                  <c:v>10</c:v>
                </c:pt>
                <c:pt idx="2">
                  <c:v>15</c:v>
                </c:pt>
                <c:pt idx="3">
                  <c:v>10</c:v>
                </c:pt>
                <c:pt idx="4">
                  <c:v>10</c:v>
                </c:pt>
                <c:pt idx="5">
                  <c:v>15</c:v>
                </c:pt>
              </c:numCache>
            </c:numRef>
          </c:val>
          <c:extLst>
            <c:ext xmlns:c16="http://schemas.microsoft.com/office/drawing/2014/chart" uri="{C3380CC4-5D6E-409C-BE32-E72D297353CC}">
              <c16:uniqueId val="{00000001-C9B8-4B50-BAB4-2AFC60DBDAC3}"/>
            </c:ext>
          </c:extLst>
        </c:ser>
        <c:dLbls>
          <c:showLegendKey val="0"/>
          <c:showVal val="0"/>
          <c:showCatName val="0"/>
          <c:showSerName val="0"/>
          <c:showPercent val="0"/>
          <c:showBubbleSize val="0"/>
        </c:dLbls>
        <c:gapWidth val="219"/>
        <c:overlap val="-27"/>
        <c:axId val="93523968"/>
        <c:axId val="93525888"/>
      </c:barChart>
      <c:catAx>
        <c:axId val="93523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93525888"/>
        <c:crosses val="autoZero"/>
        <c:auto val="1"/>
        <c:lblAlgn val="ctr"/>
        <c:lblOffset val="100"/>
        <c:noMultiLvlLbl val="0"/>
      </c:catAx>
      <c:valAx>
        <c:axId val="9352588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93523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t>Calcium</a:t>
            </a:r>
            <a:r>
              <a:rPr lang="en-US" sz="1200" b="1" baseline="0"/>
              <a:t> mg/l</a:t>
            </a:r>
            <a:endParaRPr lang="en-US" sz="1200" b="1"/>
          </a:p>
        </c:rich>
      </c:tx>
      <c:overlay val="0"/>
      <c:spPr>
        <a:noFill/>
        <a:ln>
          <a:noFill/>
        </a:ln>
        <a:effectLst/>
      </c:spPr>
    </c:title>
    <c:autoTitleDeleted val="0"/>
    <c:plotArea>
      <c:layout/>
      <c:barChart>
        <c:barDir val="col"/>
        <c:grouping val="clustered"/>
        <c:varyColors val="0"/>
        <c:ser>
          <c:idx val="0"/>
          <c:order val="0"/>
          <c:tx>
            <c:strRef>
              <c:f>Sheet1!$A$42</c:f>
              <c:strCache>
                <c:ptCount val="1"/>
                <c:pt idx="0">
                  <c:v>Calcium (Inlet)</c:v>
                </c:pt>
              </c:strCache>
            </c:strRef>
          </c:tx>
          <c:spPr>
            <a:solidFill>
              <a:schemeClr val="accent6"/>
            </a:solidFill>
            <a:ln>
              <a:noFill/>
            </a:ln>
            <a:effectLst/>
          </c:spPr>
          <c:invertIfNegative val="0"/>
          <c:cat>
            <c:strRef>
              <c:f>Sheet1!$B$41:$G$41</c:f>
              <c:strCache>
                <c:ptCount val="6"/>
                <c:pt idx="0">
                  <c:v>January</c:v>
                </c:pt>
                <c:pt idx="1">
                  <c:v>February</c:v>
                </c:pt>
                <c:pt idx="2">
                  <c:v>March</c:v>
                </c:pt>
                <c:pt idx="3">
                  <c:v>April</c:v>
                </c:pt>
                <c:pt idx="4">
                  <c:v>May</c:v>
                </c:pt>
                <c:pt idx="5">
                  <c:v>June</c:v>
                </c:pt>
              </c:strCache>
            </c:strRef>
          </c:cat>
          <c:val>
            <c:numRef>
              <c:f>Sheet1!$B$42:$G$42</c:f>
              <c:numCache>
                <c:formatCode>General</c:formatCode>
                <c:ptCount val="6"/>
                <c:pt idx="0">
                  <c:v>126</c:v>
                </c:pt>
                <c:pt idx="1">
                  <c:v>63</c:v>
                </c:pt>
                <c:pt idx="2">
                  <c:v>56</c:v>
                </c:pt>
                <c:pt idx="3">
                  <c:v>67</c:v>
                </c:pt>
                <c:pt idx="4">
                  <c:v>68</c:v>
                </c:pt>
                <c:pt idx="5">
                  <c:v>50</c:v>
                </c:pt>
              </c:numCache>
            </c:numRef>
          </c:val>
          <c:extLst>
            <c:ext xmlns:c16="http://schemas.microsoft.com/office/drawing/2014/chart" uri="{C3380CC4-5D6E-409C-BE32-E72D297353CC}">
              <c16:uniqueId val="{00000000-06EE-4FDD-B881-39741BF18BDE}"/>
            </c:ext>
          </c:extLst>
        </c:ser>
        <c:ser>
          <c:idx val="1"/>
          <c:order val="1"/>
          <c:tx>
            <c:strRef>
              <c:f>Sheet1!$A$43</c:f>
              <c:strCache>
                <c:ptCount val="1"/>
                <c:pt idx="0">
                  <c:v>Calcium (Outlet)</c:v>
                </c:pt>
              </c:strCache>
            </c:strRef>
          </c:tx>
          <c:spPr>
            <a:solidFill>
              <a:schemeClr val="accent5"/>
            </a:solidFill>
            <a:ln>
              <a:noFill/>
            </a:ln>
            <a:effectLst/>
          </c:spPr>
          <c:invertIfNegative val="0"/>
          <c:cat>
            <c:strRef>
              <c:f>Sheet1!$B$41:$G$41</c:f>
              <c:strCache>
                <c:ptCount val="6"/>
                <c:pt idx="0">
                  <c:v>January</c:v>
                </c:pt>
                <c:pt idx="1">
                  <c:v>February</c:v>
                </c:pt>
                <c:pt idx="2">
                  <c:v>March</c:v>
                </c:pt>
                <c:pt idx="3">
                  <c:v>April</c:v>
                </c:pt>
                <c:pt idx="4">
                  <c:v>May</c:v>
                </c:pt>
                <c:pt idx="5">
                  <c:v>June</c:v>
                </c:pt>
              </c:strCache>
            </c:strRef>
          </c:cat>
          <c:val>
            <c:numRef>
              <c:f>Sheet1!$B$43:$G$43</c:f>
              <c:numCache>
                <c:formatCode>General</c:formatCode>
                <c:ptCount val="6"/>
                <c:pt idx="0">
                  <c:v>42</c:v>
                </c:pt>
                <c:pt idx="1">
                  <c:v>42</c:v>
                </c:pt>
                <c:pt idx="2">
                  <c:v>42.2</c:v>
                </c:pt>
                <c:pt idx="3">
                  <c:v>43</c:v>
                </c:pt>
                <c:pt idx="4">
                  <c:v>42</c:v>
                </c:pt>
                <c:pt idx="5">
                  <c:v>41</c:v>
                </c:pt>
              </c:numCache>
            </c:numRef>
          </c:val>
          <c:extLst>
            <c:ext xmlns:c16="http://schemas.microsoft.com/office/drawing/2014/chart" uri="{C3380CC4-5D6E-409C-BE32-E72D297353CC}">
              <c16:uniqueId val="{00000001-06EE-4FDD-B881-39741BF18BDE}"/>
            </c:ext>
          </c:extLst>
        </c:ser>
        <c:dLbls>
          <c:showLegendKey val="0"/>
          <c:showVal val="0"/>
          <c:showCatName val="0"/>
          <c:showSerName val="0"/>
          <c:showPercent val="0"/>
          <c:showBubbleSize val="0"/>
        </c:dLbls>
        <c:gapWidth val="219"/>
        <c:overlap val="-27"/>
        <c:axId val="91127808"/>
        <c:axId val="91129344"/>
      </c:barChart>
      <c:catAx>
        <c:axId val="91127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91129344"/>
        <c:crosses val="autoZero"/>
        <c:auto val="1"/>
        <c:lblAlgn val="ctr"/>
        <c:lblOffset val="100"/>
        <c:noMultiLvlLbl val="0"/>
      </c:catAx>
      <c:valAx>
        <c:axId val="9112934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91127808"/>
        <c:crosses val="autoZero"/>
        <c:crossBetween val="between"/>
      </c:valAx>
      <c:spPr>
        <a:noFill/>
        <a:ln>
          <a:noFill/>
        </a:ln>
        <a:effectLst/>
      </c:spPr>
    </c:plotArea>
    <c:legend>
      <c:legendPos val="b"/>
      <c:layout>
        <c:manualLayout>
          <c:xMode val="edge"/>
          <c:yMode val="edge"/>
          <c:x val="0.16745711708353866"/>
          <c:y val="0.8966329954349922"/>
          <c:w val="0.65346967755065311"/>
          <c:h val="7.6254487619684688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t>Magnesium mg/l</a:t>
            </a:r>
            <a:r>
              <a:rPr lang="en-US" sz="1200" b="1" baseline="0"/>
              <a:t> </a:t>
            </a:r>
            <a:endParaRPr lang="en-US" sz="1200" b="1"/>
          </a:p>
        </c:rich>
      </c:tx>
      <c:overlay val="0"/>
      <c:spPr>
        <a:noFill/>
        <a:ln>
          <a:noFill/>
        </a:ln>
        <a:effectLst/>
      </c:spPr>
    </c:title>
    <c:autoTitleDeleted val="0"/>
    <c:plotArea>
      <c:layout/>
      <c:barChart>
        <c:barDir val="col"/>
        <c:grouping val="clustered"/>
        <c:varyColors val="0"/>
        <c:ser>
          <c:idx val="0"/>
          <c:order val="0"/>
          <c:tx>
            <c:strRef>
              <c:f>Sheet1!$I$29</c:f>
              <c:strCache>
                <c:ptCount val="1"/>
                <c:pt idx="0">
                  <c:v>Magnesium (Inlet)</c:v>
                </c:pt>
              </c:strCache>
            </c:strRef>
          </c:tx>
          <c:spPr>
            <a:solidFill>
              <a:schemeClr val="accent6"/>
            </a:solidFill>
            <a:ln>
              <a:noFill/>
            </a:ln>
            <a:effectLst/>
          </c:spPr>
          <c:invertIfNegative val="0"/>
          <c:cat>
            <c:strRef>
              <c:f>Sheet1!$J$28:$O$28</c:f>
              <c:strCache>
                <c:ptCount val="6"/>
                <c:pt idx="0">
                  <c:v>January</c:v>
                </c:pt>
                <c:pt idx="1">
                  <c:v>February</c:v>
                </c:pt>
                <c:pt idx="2">
                  <c:v>March</c:v>
                </c:pt>
                <c:pt idx="3">
                  <c:v>April</c:v>
                </c:pt>
                <c:pt idx="4">
                  <c:v>May</c:v>
                </c:pt>
                <c:pt idx="5">
                  <c:v>June</c:v>
                </c:pt>
              </c:strCache>
            </c:strRef>
          </c:cat>
          <c:val>
            <c:numRef>
              <c:f>Sheet1!$J$29:$O$29</c:f>
              <c:numCache>
                <c:formatCode>General</c:formatCode>
                <c:ptCount val="6"/>
                <c:pt idx="0">
                  <c:v>34</c:v>
                </c:pt>
                <c:pt idx="1">
                  <c:v>15</c:v>
                </c:pt>
                <c:pt idx="2">
                  <c:v>12</c:v>
                </c:pt>
                <c:pt idx="3">
                  <c:v>21</c:v>
                </c:pt>
                <c:pt idx="4">
                  <c:v>25</c:v>
                </c:pt>
                <c:pt idx="5">
                  <c:v>18</c:v>
                </c:pt>
              </c:numCache>
            </c:numRef>
          </c:val>
          <c:extLst>
            <c:ext xmlns:c16="http://schemas.microsoft.com/office/drawing/2014/chart" uri="{C3380CC4-5D6E-409C-BE32-E72D297353CC}">
              <c16:uniqueId val="{00000000-F698-4151-A35C-4E9582770F39}"/>
            </c:ext>
          </c:extLst>
        </c:ser>
        <c:ser>
          <c:idx val="1"/>
          <c:order val="1"/>
          <c:tx>
            <c:strRef>
              <c:f>Sheet1!$I$30</c:f>
              <c:strCache>
                <c:ptCount val="1"/>
                <c:pt idx="0">
                  <c:v>Magnesium (outlet)</c:v>
                </c:pt>
              </c:strCache>
            </c:strRef>
          </c:tx>
          <c:spPr>
            <a:solidFill>
              <a:schemeClr val="accent5"/>
            </a:solidFill>
            <a:ln>
              <a:noFill/>
            </a:ln>
            <a:effectLst/>
          </c:spPr>
          <c:invertIfNegative val="0"/>
          <c:cat>
            <c:strRef>
              <c:f>Sheet1!$J$28:$O$28</c:f>
              <c:strCache>
                <c:ptCount val="6"/>
                <c:pt idx="0">
                  <c:v>January</c:v>
                </c:pt>
                <c:pt idx="1">
                  <c:v>February</c:v>
                </c:pt>
                <c:pt idx="2">
                  <c:v>March</c:v>
                </c:pt>
                <c:pt idx="3">
                  <c:v>April</c:v>
                </c:pt>
                <c:pt idx="4">
                  <c:v>May</c:v>
                </c:pt>
                <c:pt idx="5">
                  <c:v>June</c:v>
                </c:pt>
              </c:strCache>
            </c:strRef>
          </c:cat>
          <c:val>
            <c:numRef>
              <c:f>Sheet1!$J$30:$O$30</c:f>
              <c:numCache>
                <c:formatCode>General</c:formatCode>
                <c:ptCount val="6"/>
                <c:pt idx="0">
                  <c:v>8</c:v>
                </c:pt>
                <c:pt idx="1">
                  <c:v>28</c:v>
                </c:pt>
                <c:pt idx="2">
                  <c:v>27.8</c:v>
                </c:pt>
                <c:pt idx="3">
                  <c:v>19</c:v>
                </c:pt>
                <c:pt idx="4">
                  <c:v>23</c:v>
                </c:pt>
                <c:pt idx="5">
                  <c:v>30</c:v>
                </c:pt>
              </c:numCache>
            </c:numRef>
          </c:val>
          <c:extLst>
            <c:ext xmlns:c16="http://schemas.microsoft.com/office/drawing/2014/chart" uri="{C3380CC4-5D6E-409C-BE32-E72D297353CC}">
              <c16:uniqueId val="{00000001-F698-4151-A35C-4E9582770F39}"/>
            </c:ext>
          </c:extLst>
        </c:ser>
        <c:dLbls>
          <c:showLegendKey val="0"/>
          <c:showVal val="0"/>
          <c:showCatName val="0"/>
          <c:showSerName val="0"/>
          <c:showPercent val="0"/>
          <c:showBubbleSize val="0"/>
        </c:dLbls>
        <c:gapWidth val="219"/>
        <c:overlap val="-27"/>
        <c:axId val="91301760"/>
        <c:axId val="91303296"/>
      </c:barChart>
      <c:catAx>
        <c:axId val="91301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91303296"/>
        <c:crosses val="autoZero"/>
        <c:auto val="1"/>
        <c:lblAlgn val="ctr"/>
        <c:lblOffset val="100"/>
        <c:noMultiLvlLbl val="0"/>
      </c:catAx>
      <c:valAx>
        <c:axId val="9130329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91301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US" sz="1200" b="1"/>
              <a:t>BOD</a:t>
            </a:r>
            <a:r>
              <a:rPr lang="en-US" sz="1200" b="1" baseline="0"/>
              <a:t> mg/l</a:t>
            </a:r>
            <a:endParaRPr lang="en-US" sz="1200" b="1"/>
          </a:p>
        </c:rich>
      </c:tx>
      <c:overlay val="0"/>
      <c:spPr>
        <a:noFill/>
        <a:ln>
          <a:noFill/>
        </a:ln>
        <a:effectLst/>
      </c:spPr>
    </c:title>
    <c:autoTitleDeleted val="0"/>
    <c:plotArea>
      <c:layout>
        <c:manualLayout>
          <c:layoutTarget val="inner"/>
          <c:xMode val="edge"/>
          <c:yMode val="edge"/>
          <c:x val="9.3482602214073229E-2"/>
          <c:y val="0.16723826714801443"/>
          <c:w val="0.88131487912161943"/>
          <c:h val="0.57890325194007863"/>
        </c:manualLayout>
      </c:layout>
      <c:barChart>
        <c:barDir val="col"/>
        <c:grouping val="clustered"/>
        <c:varyColors val="0"/>
        <c:ser>
          <c:idx val="0"/>
          <c:order val="0"/>
          <c:tx>
            <c:strRef>
              <c:f>Sheet1!$I$33</c:f>
              <c:strCache>
                <c:ptCount val="1"/>
                <c:pt idx="0">
                  <c:v>Biological Oxygen Demand (Inlet)</c:v>
                </c:pt>
              </c:strCache>
            </c:strRef>
          </c:tx>
          <c:spPr>
            <a:solidFill>
              <a:schemeClr val="accent6"/>
            </a:solidFill>
            <a:ln>
              <a:noFill/>
            </a:ln>
            <a:effectLst/>
          </c:spPr>
          <c:invertIfNegative val="0"/>
          <c:cat>
            <c:strRef>
              <c:f>Sheet1!$J$32:$O$32</c:f>
              <c:strCache>
                <c:ptCount val="6"/>
                <c:pt idx="0">
                  <c:v>January</c:v>
                </c:pt>
                <c:pt idx="1">
                  <c:v>February</c:v>
                </c:pt>
                <c:pt idx="2">
                  <c:v>March</c:v>
                </c:pt>
                <c:pt idx="3">
                  <c:v>April</c:v>
                </c:pt>
                <c:pt idx="4">
                  <c:v>May</c:v>
                </c:pt>
                <c:pt idx="5">
                  <c:v>June</c:v>
                </c:pt>
              </c:strCache>
            </c:strRef>
          </c:cat>
          <c:val>
            <c:numRef>
              <c:f>Sheet1!$J$33:$O$33</c:f>
              <c:numCache>
                <c:formatCode>General</c:formatCode>
                <c:ptCount val="6"/>
                <c:pt idx="0">
                  <c:v>0.4</c:v>
                </c:pt>
                <c:pt idx="1">
                  <c:v>3.8</c:v>
                </c:pt>
                <c:pt idx="2">
                  <c:v>2.4</c:v>
                </c:pt>
                <c:pt idx="3">
                  <c:v>3.6</c:v>
                </c:pt>
                <c:pt idx="4">
                  <c:v>4.5</c:v>
                </c:pt>
                <c:pt idx="5">
                  <c:v>2.5</c:v>
                </c:pt>
              </c:numCache>
            </c:numRef>
          </c:val>
          <c:extLst>
            <c:ext xmlns:c16="http://schemas.microsoft.com/office/drawing/2014/chart" uri="{C3380CC4-5D6E-409C-BE32-E72D297353CC}">
              <c16:uniqueId val="{00000000-F545-42E2-B0BD-A73C59E0F584}"/>
            </c:ext>
          </c:extLst>
        </c:ser>
        <c:ser>
          <c:idx val="1"/>
          <c:order val="1"/>
          <c:tx>
            <c:strRef>
              <c:f>Sheet1!$I$34</c:f>
              <c:strCache>
                <c:ptCount val="1"/>
                <c:pt idx="0">
                  <c:v>Biological Oxygen Demand (outlet)</c:v>
                </c:pt>
              </c:strCache>
            </c:strRef>
          </c:tx>
          <c:spPr>
            <a:solidFill>
              <a:schemeClr val="accent5"/>
            </a:solidFill>
            <a:ln>
              <a:noFill/>
            </a:ln>
            <a:effectLst/>
          </c:spPr>
          <c:invertIfNegative val="0"/>
          <c:cat>
            <c:strRef>
              <c:f>Sheet1!$J$32:$O$32</c:f>
              <c:strCache>
                <c:ptCount val="6"/>
                <c:pt idx="0">
                  <c:v>January</c:v>
                </c:pt>
                <c:pt idx="1">
                  <c:v>February</c:v>
                </c:pt>
                <c:pt idx="2">
                  <c:v>March</c:v>
                </c:pt>
                <c:pt idx="3">
                  <c:v>April</c:v>
                </c:pt>
                <c:pt idx="4">
                  <c:v>May</c:v>
                </c:pt>
                <c:pt idx="5">
                  <c:v>June</c:v>
                </c:pt>
              </c:strCache>
            </c:strRef>
          </c:cat>
          <c:val>
            <c:numRef>
              <c:f>Sheet1!$J$34:$O$34</c:f>
              <c:numCache>
                <c:formatCode>General</c:formatCode>
                <c:ptCount val="6"/>
                <c:pt idx="0">
                  <c:v>12.5</c:v>
                </c:pt>
                <c:pt idx="1">
                  <c:v>4.2</c:v>
                </c:pt>
                <c:pt idx="2">
                  <c:v>4.0999999999999996</c:v>
                </c:pt>
                <c:pt idx="3">
                  <c:v>4.8</c:v>
                </c:pt>
                <c:pt idx="4">
                  <c:v>6.8</c:v>
                </c:pt>
                <c:pt idx="5">
                  <c:v>3.6</c:v>
                </c:pt>
              </c:numCache>
            </c:numRef>
          </c:val>
          <c:extLst>
            <c:ext xmlns:c16="http://schemas.microsoft.com/office/drawing/2014/chart" uri="{C3380CC4-5D6E-409C-BE32-E72D297353CC}">
              <c16:uniqueId val="{00000001-F545-42E2-B0BD-A73C59E0F584}"/>
            </c:ext>
          </c:extLst>
        </c:ser>
        <c:dLbls>
          <c:showLegendKey val="0"/>
          <c:showVal val="0"/>
          <c:showCatName val="0"/>
          <c:showSerName val="0"/>
          <c:showPercent val="0"/>
          <c:showBubbleSize val="0"/>
        </c:dLbls>
        <c:gapWidth val="219"/>
        <c:overlap val="-27"/>
        <c:axId val="91348992"/>
        <c:axId val="91350528"/>
      </c:barChart>
      <c:catAx>
        <c:axId val="91348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91350528"/>
        <c:crosses val="autoZero"/>
        <c:auto val="1"/>
        <c:lblAlgn val="ctr"/>
        <c:lblOffset val="100"/>
        <c:noMultiLvlLbl val="0"/>
      </c:catAx>
      <c:valAx>
        <c:axId val="913505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91348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COD</a:t>
            </a:r>
            <a:r>
              <a:rPr lang="en-US" b="1" baseline="0"/>
              <a:t> mg/l</a:t>
            </a:r>
            <a:endParaRPr lang="en-US" b="1"/>
          </a:p>
        </c:rich>
      </c:tx>
      <c:overlay val="0"/>
      <c:spPr>
        <a:noFill/>
        <a:ln>
          <a:noFill/>
        </a:ln>
        <a:effectLst/>
      </c:spPr>
    </c:title>
    <c:autoTitleDeleted val="0"/>
    <c:plotArea>
      <c:layout/>
      <c:barChart>
        <c:barDir val="col"/>
        <c:grouping val="clustered"/>
        <c:varyColors val="0"/>
        <c:ser>
          <c:idx val="0"/>
          <c:order val="0"/>
          <c:tx>
            <c:strRef>
              <c:f>Sheet1!$B$52</c:f>
              <c:strCache>
                <c:ptCount val="1"/>
                <c:pt idx="0">
                  <c:v>Chemical Oxygen Demand (inlet)</c:v>
                </c:pt>
              </c:strCache>
            </c:strRef>
          </c:tx>
          <c:spPr>
            <a:solidFill>
              <a:schemeClr val="accent6"/>
            </a:solidFill>
            <a:ln>
              <a:noFill/>
            </a:ln>
            <a:effectLst/>
          </c:spPr>
          <c:invertIfNegative val="0"/>
          <c:cat>
            <c:strRef>
              <c:f>Sheet1!$C$51:$H$51</c:f>
              <c:strCache>
                <c:ptCount val="6"/>
                <c:pt idx="0">
                  <c:v>January</c:v>
                </c:pt>
                <c:pt idx="1">
                  <c:v>February</c:v>
                </c:pt>
                <c:pt idx="2">
                  <c:v>March</c:v>
                </c:pt>
                <c:pt idx="3">
                  <c:v>April</c:v>
                </c:pt>
                <c:pt idx="4">
                  <c:v>May</c:v>
                </c:pt>
                <c:pt idx="5">
                  <c:v>June</c:v>
                </c:pt>
              </c:strCache>
            </c:strRef>
          </c:cat>
          <c:val>
            <c:numRef>
              <c:f>Sheet1!$C$52:$H$52</c:f>
              <c:numCache>
                <c:formatCode>General</c:formatCode>
                <c:ptCount val="6"/>
                <c:pt idx="0">
                  <c:v>272</c:v>
                </c:pt>
                <c:pt idx="1">
                  <c:v>268</c:v>
                </c:pt>
                <c:pt idx="2">
                  <c:v>268</c:v>
                </c:pt>
                <c:pt idx="3">
                  <c:v>292</c:v>
                </c:pt>
                <c:pt idx="4">
                  <c:v>296</c:v>
                </c:pt>
                <c:pt idx="5">
                  <c:v>172</c:v>
                </c:pt>
              </c:numCache>
            </c:numRef>
          </c:val>
          <c:extLst>
            <c:ext xmlns:c16="http://schemas.microsoft.com/office/drawing/2014/chart" uri="{C3380CC4-5D6E-409C-BE32-E72D297353CC}">
              <c16:uniqueId val="{00000000-87AA-4A31-B55D-C2AD6C1D44D5}"/>
            </c:ext>
          </c:extLst>
        </c:ser>
        <c:ser>
          <c:idx val="1"/>
          <c:order val="1"/>
          <c:tx>
            <c:strRef>
              <c:f>Sheet1!$B$53</c:f>
              <c:strCache>
                <c:ptCount val="1"/>
                <c:pt idx="0">
                  <c:v>Chemical Oxygen Demand(outlet)</c:v>
                </c:pt>
              </c:strCache>
            </c:strRef>
          </c:tx>
          <c:spPr>
            <a:solidFill>
              <a:schemeClr val="accent5"/>
            </a:solidFill>
            <a:ln>
              <a:noFill/>
            </a:ln>
            <a:effectLst/>
          </c:spPr>
          <c:invertIfNegative val="0"/>
          <c:cat>
            <c:strRef>
              <c:f>Sheet1!$C$51:$H$51</c:f>
              <c:strCache>
                <c:ptCount val="6"/>
                <c:pt idx="0">
                  <c:v>January</c:v>
                </c:pt>
                <c:pt idx="1">
                  <c:v>February</c:v>
                </c:pt>
                <c:pt idx="2">
                  <c:v>March</c:v>
                </c:pt>
                <c:pt idx="3">
                  <c:v>April</c:v>
                </c:pt>
                <c:pt idx="4">
                  <c:v>May</c:v>
                </c:pt>
                <c:pt idx="5">
                  <c:v>June</c:v>
                </c:pt>
              </c:strCache>
            </c:strRef>
          </c:cat>
          <c:val>
            <c:numRef>
              <c:f>Sheet1!$C$53:$H$53</c:f>
              <c:numCache>
                <c:formatCode>General</c:formatCode>
                <c:ptCount val="6"/>
                <c:pt idx="0">
                  <c:v>144</c:v>
                </c:pt>
                <c:pt idx="1">
                  <c:v>176</c:v>
                </c:pt>
                <c:pt idx="2">
                  <c:v>160</c:v>
                </c:pt>
                <c:pt idx="3">
                  <c:v>168</c:v>
                </c:pt>
                <c:pt idx="4">
                  <c:v>172</c:v>
                </c:pt>
                <c:pt idx="5">
                  <c:v>159</c:v>
                </c:pt>
              </c:numCache>
            </c:numRef>
          </c:val>
          <c:extLst>
            <c:ext xmlns:c16="http://schemas.microsoft.com/office/drawing/2014/chart" uri="{C3380CC4-5D6E-409C-BE32-E72D297353CC}">
              <c16:uniqueId val="{00000001-87AA-4A31-B55D-C2AD6C1D44D5}"/>
            </c:ext>
          </c:extLst>
        </c:ser>
        <c:dLbls>
          <c:showLegendKey val="0"/>
          <c:showVal val="0"/>
          <c:showCatName val="0"/>
          <c:showSerName val="0"/>
          <c:showPercent val="0"/>
          <c:showBubbleSize val="0"/>
        </c:dLbls>
        <c:gapWidth val="219"/>
        <c:overlap val="-27"/>
        <c:axId val="91420544"/>
        <c:axId val="91422080"/>
      </c:barChart>
      <c:catAx>
        <c:axId val="91420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crossAx val="91422080"/>
        <c:crosses val="autoZero"/>
        <c:auto val="1"/>
        <c:lblAlgn val="ctr"/>
        <c:lblOffset val="100"/>
        <c:noMultiLvlLbl val="0"/>
      </c:catAx>
      <c:valAx>
        <c:axId val="9142208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crossAx val="91420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DO</a:t>
            </a:r>
            <a:r>
              <a:rPr lang="en-US" baseline="0"/>
              <a:t> mg/l</a:t>
            </a:r>
            <a:endParaRPr lang="en-US"/>
          </a:p>
        </c:rich>
      </c:tx>
      <c:overlay val="0"/>
      <c:spPr>
        <a:noFill/>
        <a:ln>
          <a:noFill/>
        </a:ln>
        <a:effectLst/>
      </c:spPr>
    </c:title>
    <c:autoTitleDeleted val="0"/>
    <c:plotArea>
      <c:layout/>
      <c:barChart>
        <c:barDir val="col"/>
        <c:grouping val="clustered"/>
        <c:varyColors val="0"/>
        <c:ser>
          <c:idx val="0"/>
          <c:order val="0"/>
          <c:tx>
            <c:strRef>
              <c:f>Sheet1!$J$42</c:f>
              <c:strCache>
                <c:ptCount val="1"/>
                <c:pt idx="0">
                  <c:v>Dissolved Oxygen (inlet)</c:v>
                </c:pt>
              </c:strCache>
            </c:strRef>
          </c:tx>
          <c:spPr>
            <a:solidFill>
              <a:schemeClr val="accent6"/>
            </a:solidFill>
            <a:ln>
              <a:noFill/>
            </a:ln>
            <a:effectLst/>
          </c:spPr>
          <c:invertIfNegative val="0"/>
          <c:cat>
            <c:strRef>
              <c:f>Sheet1!$K$41:$P$41</c:f>
              <c:strCache>
                <c:ptCount val="6"/>
                <c:pt idx="0">
                  <c:v>January</c:v>
                </c:pt>
                <c:pt idx="1">
                  <c:v>February</c:v>
                </c:pt>
                <c:pt idx="2">
                  <c:v>March</c:v>
                </c:pt>
                <c:pt idx="3">
                  <c:v>April</c:v>
                </c:pt>
                <c:pt idx="4">
                  <c:v>May</c:v>
                </c:pt>
                <c:pt idx="5">
                  <c:v>June</c:v>
                </c:pt>
              </c:strCache>
            </c:strRef>
          </c:cat>
          <c:val>
            <c:numRef>
              <c:f>Sheet1!$K$42:$P$42</c:f>
              <c:numCache>
                <c:formatCode>General</c:formatCode>
                <c:ptCount val="6"/>
                <c:pt idx="0">
                  <c:v>5.8</c:v>
                </c:pt>
                <c:pt idx="1">
                  <c:v>5.8</c:v>
                </c:pt>
                <c:pt idx="2">
                  <c:v>8.7000000000000011</c:v>
                </c:pt>
                <c:pt idx="3">
                  <c:v>8.3000000000000007</c:v>
                </c:pt>
                <c:pt idx="4">
                  <c:v>8.1</c:v>
                </c:pt>
                <c:pt idx="5">
                  <c:v>6.8</c:v>
                </c:pt>
              </c:numCache>
            </c:numRef>
          </c:val>
          <c:extLst>
            <c:ext xmlns:c16="http://schemas.microsoft.com/office/drawing/2014/chart" uri="{C3380CC4-5D6E-409C-BE32-E72D297353CC}">
              <c16:uniqueId val="{00000000-9372-4F89-86CC-097C70C13656}"/>
            </c:ext>
          </c:extLst>
        </c:ser>
        <c:ser>
          <c:idx val="1"/>
          <c:order val="1"/>
          <c:tx>
            <c:strRef>
              <c:f>Sheet1!$J$43</c:f>
              <c:strCache>
                <c:ptCount val="1"/>
                <c:pt idx="0">
                  <c:v>Dissolved Oxygen (outlet)</c:v>
                </c:pt>
              </c:strCache>
            </c:strRef>
          </c:tx>
          <c:spPr>
            <a:solidFill>
              <a:schemeClr val="accent5"/>
            </a:solidFill>
            <a:ln>
              <a:noFill/>
            </a:ln>
            <a:effectLst/>
          </c:spPr>
          <c:invertIfNegative val="0"/>
          <c:cat>
            <c:strRef>
              <c:f>Sheet1!$K$41:$P$41</c:f>
              <c:strCache>
                <c:ptCount val="6"/>
                <c:pt idx="0">
                  <c:v>January</c:v>
                </c:pt>
                <c:pt idx="1">
                  <c:v>February</c:v>
                </c:pt>
                <c:pt idx="2">
                  <c:v>March</c:v>
                </c:pt>
                <c:pt idx="3">
                  <c:v>April</c:v>
                </c:pt>
                <c:pt idx="4">
                  <c:v>May</c:v>
                </c:pt>
                <c:pt idx="5">
                  <c:v>June</c:v>
                </c:pt>
              </c:strCache>
            </c:strRef>
          </c:cat>
          <c:val>
            <c:numRef>
              <c:f>Sheet1!$K$43:$P$43</c:f>
              <c:numCache>
                <c:formatCode>General</c:formatCode>
                <c:ptCount val="6"/>
                <c:pt idx="0">
                  <c:v>6.2</c:v>
                </c:pt>
                <c:pt idx="1">
                  <c:v>5.4</c:v>
                </c:pt>
                <c:pt idx="2">
                  <c:v>9.1</c:v>
                </c:pt>
                <c:pt idx="3">
                  <c:v>10.4</c:v>
                </c:pt>
                <c:pt idx="4">
                  <c:v>9.5</c:v>
                </c:pt>
                <c:pt idx="5">
                  <c:v>5.2</c:v>
                </c:pt>
              </c:numCache>
            </c:numRef>
          </c:val>
          <c:extLst>
            <c:ext xmlns:c16="http://schemas.microsoft.com/office/drawing/2014/chart" uri="{C3380CC4-5D6E-409C-BE32-E72D297353CC}">
              <c16:uniqueId val="{00000001-9372-4F89-86CC-097C70C13656}"/>
            </c:ext>
          </c:extLst>
        </c:ser>
        <c:dLbls>
          <c:showLegendKey val="0"/>
          <c:showVal val="0"/>
          <c:showCatName val="0"/>
          <c:showSerName val="0"/>
          <c:showPercent val="0"/>
          <c:showBubbleSize val="0"/>
        </c:dLbls>
        <c:gapWidth val="219"/>
        <c:overlap val="-27"/>
        <c:axId val="93499392"/>
        <c:axId val="93500928"/>
      </c:barChart>
      <c:catAx>
        <c:axId val="93499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500928"/>
        <c:crosses val="autoZero"/>
        <c:auto val="1"/>
        <c:lblAlgn val="ctr"/>
        <c:lblOffset val="100"/>
        <c:noMultiLvlLbl val="0"/>
      </c:catAx>
      <c:valAx>
        <c:axId val="935009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499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t>Temperature </a:t>
            </a:r>
            <a:r>
              <a:rPr lang="en-US" sz="1200" b="1" baseline="30000"/>
              <a:t>0</a:t>
            </a:r>
            <a:r>
              <a:rPr lang="en-US" sz="1200" b="1" baseline="0"/>
              <a:t>C</a:t>
            </a:r>
            <a:endParaRPr lang="en-US" sz="1200" b="1"/>
          </a:p>
        </c:rich>
      </c:tx>
      <c:layout>
        <c:manualLayout>
          <c:xMode val="edge"/>
          <c:yMode val="edge"/>
          <c:x val="0.38930277946026209"/>
          <c:y val="1.8861993083935869E-2"/>
        </c:manualLayout>
      </c:layout>
      <c:overlay val="0"/>
      <c:spPr>
        <a:noFill/>
        <a:ln>
          <a:noFill/>
        </a:ln>
        <a:effectLst/>
      </c:spPr>
    </c:title>
    <c:autoTitleDeleted val="0"/>
    <c:plotArea>
      <c:layout/>
      <c:barChart>
        <c:barDir val="col"/>
        <c:grouping val="clustered"/>
        <c:varyColors val="0"/>
        <c:ser>
          <c:idx val="0"/>
          <c:order val="0"/>
          <c:tx>
            <c:strRef>
              <c:f>Sheet1!$A$2</c:f>
              <c:strCache>
                <c:ptCount val="1"/>
                <c:pt idx="0">
                  <c:v>Temperature(inlet)</c:v>
                </c:pt>
              </c:strCache>
            </c:strRef>
          </c:tx>
          <c:spPr>
            <a:solidFill>
              <a:schemeClr val="accent6"/>
            </a:solidFill>
            <a:ln>
              <a:noFill/>
            </a:ln>
            <a:effectLst/>
          </c:spPr>
          <c:invertIfNegative val="0"/>
          <c:cat>
            <c:strRef>
              <c:f>Sheet1!$B$1:$G$1</c:f>
              <c:strCache>
                <c:ptCount val="6"/>
                <c:pt idx="0">
                  <c:v>January</c:v>
                </c:pt>
                <c:pt idx="1">
                  <c:v>February</c:v>
                </c:pt>
                <c:pt idx="2">
                  <c:v>March</c:v>
                </c:pt>
                <c:pt idx="3">
                  <c:v>April</c:v>
                </c:pt>
                <c:pt idx="4">
                  <c:v>May</c:v>
                </c:pt>
                <c:pt idx="5">
                  <c:v>June</c:v>
                </c:pt>
              </c:strCache>
            </c:strRef>
          </c:cat>
          <c:val>
            <c:numRef>
              <c:f>Sheet1!$B$2:$G$2</c:f>
              <c:numCache>
                <c:formatCode>General</c:formatCode>
                <c:ptCount val="6"/>
                <c:pt idx="0">
                  <c:v>14.8</c:v>
                </c:pt>
                <c:pt idx="1">
                  <c:v>20.3</c:v>
                </c:pt>
                <c:pt idx="2">
                  <c:v>18.2</c:v>
                </c:pt>
                <c:pt idx="3">
                  <c:v>23.8</c:v>
                </c:pt>
                <c:pt idx="4">
                  <c:v>22.9</c:v>
                </c:pt>
                <c:pt idx="5">
                  <c:v>23.4</c:v>
                </c:pt>
              </c:numCache>
            </c:numRef>
          </c:val>
          <c:extLst>
            <c:ext xmlns:c16="http://schemas.microsoft.com/office/drawing/2014/chart" uri="{C3380CC4-5D6E-409C-BE32-E72D297353CC}">
              <c16:uniqueId val="{00000000-3FE6-4D86-A5DC-C3970C9B52AB}"/>
            </c:ext>
          </c:extLst>
        </c:ser>
        <c:ser>
          <c:idx val="1"/>
          <c:order val="1"/>
          <c:tx>
            <c:strRef>
              <c:f>Sheet1!$A$3</c:f>
              <c:strCache>
                <c:ptCount val="1"/>
                <c:pt idx="0">
                  <c:v>Temperature (outlet)</c:v>
                </c:pt>
              </c:strCache>
            </c:strRef>
          </c:tx>
          <c:spPr>
            <a:solidFill>
              <a:schemeClr val="accent5"/>
            </a:solidFill>
            <a:ln>
              <a:noFill/>
            </a:ln>
            <a:effectLst/>
          </c:spPr>
          <c:invertIfNegative val="0"/>
          <c:cat>
            <c:strRef>
              <c:f>Sheet1!$B$1:$G$1</c:f>
              <c:strCache>
                <c:ptCount val="6"/>
                <c:pt idx="0">
                  <c:v>January</c:v>
                </c:pt>
                <c:pt idx="1">
                  <c:v>February</c:v>
                </c:pt>
                <c:pt idx="2">
                  <c:v>March</c:v>
                </c:pt>
                <c:pt idx="3">
                  <c:v>April</c:v>
                </c:pt>
                <c:pt idx="4">
                  <c:v>May</c:v>
                </c:pt>
                <c:pt idx="5">
                  <c:v>June</c:v>
                </c:pt>
              </c:strCache>
            </c:strRef>
          </c:cat>
          <c:val>
            <c:numRef>
              <c:f>Sheet1!$B$3:$G$3</c:f>
              <c:numCache>
                <c:formatCode>General</c:formatCode>
                <c:ptCount val="6"/>
                <c:pt idx="0">
                  <c:v>15.3</c:v>
                </c:pt>
                <c:pt idx="1">
                  <c:v>21.9</c:v>
                </c:pt>
                <c:pt idx="2">
                  <c:v>18.899999999999999</c:v>
                </c:pt>
                <c:pt idx="3">
                  <c:v>23.3</c:v>
                </c:pt>
                <c:pt idx="4">
                  <c:v>23.1</c:v>
                </c:pt>
                <c:pt idx="5">
                  <c:v>24</c:v>
                </c:pt>
              </c:numCache>
            </c:numRef>
          </c:val>
          <c:extLst>
            <c:ext xmlns:c16="http://schemas.microsoft.com/office/drawing/2014/chart" uri="{C3380CC4-5D6E-409C-BE32-E72D297353CC}">
              <c16:uniqueId val="{00000001-3FE6-4D86-A5DC-C3970C9B52AB}"/>
            </c:ext>
          </c:extLst>
        </c:ser>
        <c:dLbls>
          <c:showLegendKey val="0"/>
          <c:showVal val="0"/>
          <c:showCatName val="0"/>
          <c:showSerName val="0"/>
          <c:showPercent val="0"/>
          <c:showBubbleSize val="0"/>
        </c:dLbls>
        <c:gapWidth val="219"/>
        <c:overlap val="-27"/>
        <c:axId val="163547776"/>
        <c:axId val="163999104"/>
      </c:barChart>
      <c:catAx>
        <c:axId val="163547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163999104"/>
        <c:crosses val="autoZero"/>
        <c:auto val="1"/>
        <c:lblAlgn val="ctr"/>
        <c:lblOffset val="100"/>
        <c:noMultiLvlLbl val="0"/>
      </c:catAx>
      <c:valAx>
        <c:axId val="16399910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163547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pH</a:t>
            </a:r>
          </a:p>
        </c:rich>
      </c:tx>
      <c:overlay val="0"/>
      <c:spPr>
        <a:noFill/>
        <a:ln>
          <a:noFill/>
        </a:ln>
        <a:effectLst/>
      </c:spPr>
    </c:title>
    <c:autoTitleDeleted val="0"/>
    <c:plotArea>
      <c:layout/>
      <c:barChart>
        <c:barDir val="col"/>
        <c:grouping val="clustered"/>
        <c:varyColors val="0"/>
        <c:ser>
          <c:idx val="0"/>
          <c:order val="0"/>
          <c:tx>
            <c:strRef>
              <c:f>Sheet1!$B$48</c:f>
              <c:strCache>
                <c:ptCount val="1"/>
                <c:pt idx="0">
                  <c:v>pH (inlet)</c:v>
                </c:pt>
              </c:strCache>
            </c:strRef>
          </c:tx>
          <c:spPr>
            <a:solidFill>
              <a:schemeClr val="accent6"/>
            </a:solidFill>
            <a:ln>
              <a:noFill/>
            </a:ln>
            <a:effectLst/>
          </c:spPr>
          <c:invertIfNegative val="0"/>
          <c:cat>
            <c:strRef>
              <c:f>Sheet1!$C$47:$H$47</c:f>
              <c:strCache>
                <c:ptCount val="6"/>
                <c:pt idx="0">
                  <c:v>January</c:v>
                </c:pt>
                <c:pt idx="1">
                  <c:v>February</c:v>
                </c:pt>
                <c:pt idx="2">
                  <c:v>March</c:v>
                </c:pt>
                <c:pt idx="3">
                  <c:v>April</c:v>
                </c:pt>
                <c:pt idx="4">
                  <c:v>May</c:v>
                </c:pt>
                <c:pt idx="5">
                  <c:v>June</c:v>
                </c:pt>
              </c:strCache>
            </c:strRef>
          </c:cat>
          <c:val>
            <c:numRef>
              <c:f>Sheet1!$C$48:$H$48</c:f>
              <c:numCache>
                <c:formatCode>General</c:formatCode>
                <c:ptCount val="6"/>
                <c:pt idx="0">
                  <c:v>6.4</c:v>
                </c:pt>
                <c:pt idx="1">
                  <c:v>6.9</c:v>
                </c:pt>
                <c:pt idx="2">
                  <c:v>6.5</c:v>
                </c:pt>
                <c:pt idx="3">
                  <c:v>6.6</c:v>
                </c:pt>
                <c:pt idx="4">
                  <c:v>6.8</c:v>
                </c:pt>
                <c:pt idx="5">
                  <c:v>6.3</c:v>
                </c:pt>
              </c:numCache>
            </c:numRef>
          </c:val>
          <c:extLst>
            <c:ext xmlns:c16="http://schemas.microsoft.com/office/drawing/2014/chart" uri="{C3380CC4-5D6E-409C-BE32-E72D297353CC}">
              <c16:uniqueId val="{00000000-32B1-4037-BDD1-76F97EFE1F36}"/>
            </c:ext>
          </c:extLst>
        </c:ser>
        <c:ser>
          <c:idx val="1"/>
          <c:order val="1"/>
          <c:tx>
            <c:strRef>
              <c:f>Sheet1!$B$49</c:f>
              <c:strCache>
                <c:ptCount val="1"/>
                <c:pt idx="0">
                  <c:v>pH (outlet)</c:v>
                </c:pt>
              </c:strCache>
            </c:strRef>
          </c:tx>
          <c:spPr>
            <a:solidFill>
              <a:schemeClr val="accent5"/>
            </a:solidFill>
            <a:ln>
              <a:noFill/>
            </a:ln>
            <a:effectLst/>
          </c:spPr>
          <c:invertIfNegative val="0"/>
          <c:cat>
            <c:strRef>
              <c:f>Sheet1!$C$47:$H$47</c:f>
              <c:strCache>
                <c:ptCount val="6"/>
                <c:pt idx="0">
                  <c:v>January</c:v>
                </c:pt>
                <c:pt idx="1">
                  <c:v>February</c:v>
                </c:pt>
                <c:pt idx="2">
                  <c:v>March</c:v>
                </c:pt>
                <c:pt idx="3">
                  <c:v>April</c:v>
                </c:pt>
                <c:pt idx="4">
                  <c:v>May</c:v>
                </c:pt>
                <c:pt idx="5">
                  <c:v>June</c:v>
                </c:pt>
              </c:strCache>
            </c:strRef>
          </c:cat>
          <c:val>
            <c:numRef>
              <c:f>Sheet1!$C$49:$H$49</c:f>
              <c:numCache>
                <c:formatCode>General</c:formatCode>
                <c:ptCount val="6"/>
                <c:pt idx="0">
                  <c:v>7.1</c:v>
                </c:pt>
                <c:pt idx="1">
                  <c:v>7.8</c:v>
                </c:pt>
                <c:pt idx="2">
                  <c:v>7.2</c:v>
                </c:pt>
                <c:pt idx="3">
                  <c:v>7.4</c:v>
                </c:pt>
                <c:pt idx="4">
                  <c:v>7.1</c:v>
                </c:pt>
                <c:pt idx="5">
                  <c:v>6.9</c:v>
                </c:pt>
              </c:numCache>
            </c:numRef>
          </c:val>
          <c:extLst>
            <c:ext xmlns:c16="http://schemas.microsoft.com/office/drawing/2014/chart" uri="{C3380CC4-5D6E-409C-BE32-E72D297353CC}">
              <c16:uniqueId val="{00000001-32B1-4037-BDD1-76F97EFE1F36}"/>
            </c:ext>
          </c:extLst>
        </c:ser>
        <c:dLbls>
          <c:showLegendKey val="0"/>
          <c:showVal val="0"/>
          <c:showCatName val="0"/>
          <c:showSerName val="0"/>
          <c:showPercent val="0"/>
          <c:showBubbleSize val="0"/>
        </c:dLbls>
        <c:gapWidth val="219"/>
        <c:overlap val="-27"/>
        <c:axId val="89375488"/>
        <c:axId val="89377024"/>
      </c:barChart>
      <c:catAx>
        <c:axId val="89375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89377024"/>
        <c:crosses val="autoZero"/>
        <c:auto val="1"/>
        <c:lblAlgn val="ctr"/>
        <c:lblOffset val="100"/>
        <c:noMultiLvlLbl val="0"/>
      </c:catAx>
      <c:valAx>
        <c:axId val="8937702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89375488"/>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t>Free</a:t>
            </a:r>
            <a:r>
              <a:rPr lang="en-US" sz="1200" b="1" baseline="0"/>
              <a:t> CO</a:t>
            </a:r>
            <a:r>
              <a:rPr lang="en-US" sz="1200" b="1" baseline="-25000"/>
              <a:t>2 </a:t>
            </a:r>
            <a:r>
              <a:rPr lang="en-US" sz="1200" b="1" baseline="0"/>
              <a:t> (Mg/l)</a:t>
            </a:r>
            <a:endParaRPr lang="en-US" sz="1200" b="1"/>
          </a:p>
        </c:rich>
      </c:tx>
      <c:overlay val="0"/>
      <c:spPr>
        <a:noFill/>
        <a:ln>
          <a:noFill/>
        </a:ln>
        <a:effectLst/>
      </c:spPr>
    </c:title>
    <c:autoTitleDeleted val="0"/>
    <c:plotArea>
      <c:layout/>
      <c:barChart>
        <c:barDir val="col"/>
        <c:grouping val="clustered"/>
        <c:varyColors val="0"/>
        <c:ser>
          <c:idx val="0"/>
          <c:order val="0"/>
          <c:tx>
            <c:strRef>
              <c:f>Sheet1!$A$6</c:f>
              <c:strCache>
                <c:ptCount val="1"/>
                <c:pt idx="0">
                  <c:v>Free CO2( inlet)</c:v>
                </c:pt>
              </c:strCache>
            </c:strRef>
          </c:tx>
          <c:spPr>
            <a:solidFill>
              <a:schemeClr val="accent6"/>
            </a:solidFill>
            <a:ln>
              <a:noFill/>
            </a:ln>
            <a:effectLst/>
          </c:spPr>
          <c:invertIfNegative val="0"/>
          <c:cat>
            <c:strRef>
              <c:f>Sheet1!$B$5:$G$5</c:f>
              <c:strCache>
                <c:ptCount val="6"/>
                <c:pt idx="0">
                  <c:v>January</c:v>
                </c:pt>
                <c:pt idx="1">
                  <c:v>February</c:v>
                </c:pt>
                <c:pt idx="2">
                  <c:v>March</c:v>
                </c:pt>
                <c:pt idx="3">
                  <c:v>April</c:v>
                </c:pt>
                <c:pt idx="4">
                  <c:v>May</c:v>
                </c:pt>
                <c:pt idx="5">
                  <c:v>June</c:v>
                </c:pt>
              </c:strCache>
            </c:strRef>
          </c:cat>
          <c:val>
            <c:numRef>
              <c:f>Sheet1!$B$6:$G$6</c:f>
              <c:numCache>
                <c:formatCode>General</c:formatCode>
                <c:ptCount val="6"/>
                <c:pt idx="0">
                  <c:v>29</c:v>
                </c:pt>
                <c:pt idx="1">
                  <c:v>25</c:v>
                </c:pt>
                <c:pt idx="2">
                  <c:v>36</c:v>
                </c:pt>
                <c:pt idx="3">
                  <c:v>34</c:v>
                </c:pt>
                <c:pt idx="4">
                  <c:v>32</c:v>
                </c:pt>
                <c:pt idx="5">
                  <c:v>30</c:v>
                </c:pt>
              </c:numCache>
            </c:numRef>
          </c:val>
          <c:extLst>
            <c:ext xmlns:c16="http://schemas.microsoft.com/office/drawing/2014/chart" uri="{C3380CC4-5D6E-409C-BE32-E72D297353CC}">
              <c16:uniqueId val="{00000000-5B14-4D24-AD3A-D1AF4A26405D}"/>
            </c:ext>
          </c:extLst>
        </c:ser>
        <c:ser>
          <c:idx val="1"/>
          <c:order val="1"/>
          <c:tx>
            <c:strRef>
              <c:f>Sheet1!$A$7</c:f>
              <c:strCache>
                <c:ptCount val="1"/>
                <c:pt idx="0">
                  <c:v>Free CO2 (outlet)</c:v>
                </c:pt>
              </c:strCache>
            </c:strRef>
          </c:tx>
          <c:spPr>
            <a:solidFill>
              <a:schemeClr val="accent5"/>
            </a:solidFill>
            <a:ln>
              <a:noFill/>
            </a:ln>
            <a:effectLst/>
          </c:spPr>
          <c:invertIfNegative val="0"/>
          <c:cat>
            <c:strRef>
              <c:f>Sheet1!$B$5:$G$5</c:f>
              <c:strCache>
                <c:ptCount val="6"/>
                <c:pt idx="0">
                  <c:v>January</c:v>
                </c:pt>
                <c:pt idx="1">
                  <c:v>February</c:v>
                </c:pt>
                <c:pt idx="2">
                  <c:v>March</c:v>
                </c:pt>
                <c:pt idx="3">
                  <c:v>April</c:v>
                </c:pt>
                <c:pt idx="4">
                  <c:v>May</c:v>
                </c:pt>
                <c:pt idx="5">
                  <c:v>June</c:v>
                </c:pt>
              </c:strCache>
            </c:strRef>
          </c:cat>
          <c:val>
            <c:numRef>
              <c:f>Sheet1!$B$7:$G$7</c:f>
              <c:numCache>
                <c:formatCode>General</c:formatCode>
                <c:ptCount val="6"/>
                <c:pt idx="0">
                  <c:v>35</c:v>
                </c:pt>
                <c:pt idx="1">
                  <c:v>32</c:v>
                </c:pt>
                <c:pt idx="2">
                  <c:v>42</c:v>
                </c:pt>
                <c:pt idx="3">
                  <c:v>42</c:v>
                </c:pt>
                <c:pt idx="4">
                  <c:v>49</c:v>
                </c:pt>
                <c:pt idx="5">
                  <c:v>46</c:v>
                </c:pt>
              </c:numCache>
            </c:numRef>
          </c:val>
          <c:extLst>
            <c:ext xmlns:c16="http://schemas.microsoft.com/office/drawing/2014/chart" uri="{C3380CC4-5D6E-409C-BE32-E72D297353CC}">
              <c16:uniqueId val="{00000001-5B14-4D24-AD3A-D1AF4A26405D}"/>
            </c:ext>
          </c:extLst>
        </c:ser>
        <c:ser>
          <c:idx val="2"/>
          <c:order val="2"/>
          <c:tx>
            <c:strRef>
              <c:f>Sheet1!$A$8</c:f>
              <c:strCache>
                <c:ptCount val="1"/>
              </c:strCache>
            </c:strRef>
          </c:tx>
          <c:spPr>
            <a:solidFill>
              <a:schemeClr val="accent4"/>
            </a:solidFill>
            <a:ln>
              <a:noFill/>
            </a:ln>
            <a:effectLst/>
          </c:spPr>
          <c:invertIfNegative val="0"/>
          <c:cat>
            <c:strRef>
              <c:f>Sheet1!$B$5:$G$5</c:f>
              <c:strCache>
                <c:ptCount val="6"/>
                <c:pt idx="0">
                  <c:v>January</c:v>
                </c:pt>
                <c:pt idx="1">
                  <c:v>February</c:v>
                </c:pt>
                <c:pt idx="2">
                  <c:v>March</c:v>
                </c:pt>
                <c:pt idx="3">
                  <c:v>April</c:v>
                </c:pt>
                <c:pt idx="4">
                  <c:v>May</c:v>
                </c:pt>
                <c:pt idx="5">
                  <c:v>June</c:v>
                </c:pt>
              </c:strCache>
            </c:strRef>
          </c:cat>
          <c:val>
            <c:numRef>
              <c:f>Sheet1!$B$8:$G$8</c:f>
              <c:numCache>
                <c:formatCode>General</c:formatCode>
                <c:ptCount val="6"/>
              </c:numCache>
            </c:numRef>
          </c:val>
          <c:extLst>
            <c:ext xmlns:c16="http://schemas.microsoft.com/office/drawing/2014/chart" uri="{C3380CC4-5D6E-409C-BE32-E72D297353CC}">
              <c16:uniqueId val="{00000002-5B14-4D24-AD3A-D1AF4A26405D}"/>
            </c:ext>
          </c:extLst>
        </c:ser>
        <c:dLbls>
          <c:showLegendKey val="0"/>
          <c:showVal val="0"/>
          <c:showCatName val="0"/>
          <c:showSerName val="0"/>
          <c:showPercent val="0"/>
          <c:showBubbleSize val="0"/>
        </c:dLbls>
        <c:gapWidth val="219"/>
        <c:overlap val="-27"/>
        <c:axId val="90946944"/>
        <c:axId val="90952832"/>
      </c:barChart>
      <c:catAx>
        <c:axId val="90946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90952832"/>
        <c:crosses val="autoZero"/>
        <c:auto val="1"/>
        <c:lblAlgn val="ctr"/>
        <c:lblOffset val="100"/>
        <c:noMultiLvlLbl val="0"/>
      </c:catAx>
      <c:valAx>
        <c:axId val="9095283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90946944"/>
        <c:crosses val="autoZero"/>
        <c:crossBetween val="between"/>
      </c:valAx>
      <c:spPr>
        <a:noFill/>
        <a:ln w="25400">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t>Alkalinity</a:t>
            </a:r>
            <a:r>
              <a:rPr lang="en-US" sz="1200" b="1" baseline="0"/>
              <a:t> mg/l</a:t>
            </a:r>
            <a:endParaRPr lang="en-US" sz="1200" b="1"/>
          </a:p>
        </c:rich>
      </c:tx>
      <c:overlay val="0"/>
      <c:spPr>
        <a:noFill/>
        <a:ln>
          <a:noFill/>
        </a:ln>
        <a:effectLst/>
      </c:spPr>
    </c:title>
    <c:autoTitleDeleted val="0"/>
    <c:plotArea>
      <c:layout/>
      <c:barChart>
        <c:barDir val="col"/>
        <c:grouping val="clustered"/>
        <c:varyColors val="0"/>
        <c:ser>
          <c:idx val="0"/>
          <c:order val="0"/>
          <c:tx>
            <c:strRef>
              <c:f>Sheet1!$A$10</c:f>
              <c:strCache>
                <c:ptCount val="1"/>
                <c:pt idx="0">
                  <c:v>Alkalinity(inlet)</c:v>
                </c:pt>
              </c:strCache>
            </c:strRef>
          </c:tx>
          <c:spPr>
            <a:solidFill>
              <a:schemeClr val="accent6"/>
            </a:solidFill>
            <a:ln>
              <a:noFill/>
            </a:ln>
            <a:effectLst/>
          </c:spPr>
          <c:invertIfNegative val="0"/>
          <c:cat>
            <c:strRef>
              <c:f>Sheet1!$B$9:$G$9</c:f>
              <c:strCache>
                <c:ptCount val="6"/>
                <c:pt idx="0">
                  <c:v>January</c:v>
                </c:pt>
                <c:pt idx="1">
                  <c:v>February</c:v>
                </c:pt>
                <c:pt idx="2">
                  <c:v>March</c:v>
                </c:pt>
                <c:pt idx="3">
                  <c:v>April</c:v>
                </c:pt>
                <c:pt idx="4">
                  <c:v>May</c:v>
                </c:pt>
                <c:pt idx="5">
                  <c:v>June</c:v>
                </c:pt>
              </c:strCache>
            </c:strRef>
          </c:cat>
          <c:val>
            <c:numRef>
              <c:f>Sheet1!$B$10:$G$10</c:f>
              <c:numCache>
                <c:formatCode>General</c:formatCode>
                <c:ptCount val="6"/>
                <c:pt idx="0">
                  <c:v>174</c:v>
                </c:pt>
                <c:pt idx="1">
                  <c:v>210</c:v>
                </c:pt>
                <c:pt idx="2">
                  <c:v>152</c:v>
                </c:pt>
                <c:pt idx="3">
                  <c:v>260</c:v>
                </c:pt>
                <c:pt idx="4">
                  <c:v>159</c:v>
                </c:pt>
                <c:pt idx="5">
                  <c:v>180</c:v>
                </c:pt>
              </c:numCache>
            </c:numRef>
          </c:val>
          <c:extLst>
            <c:ext xmlns:c16="http://schemas.microsoft.com/office/drawing/2014/chart" uri="{C3380CC4-5D6E-409C-BE32-E72D297353CC}">
              <c16:uniqueId val="{00000000-F386-42E9-BCC0-2B90D2521DF1}"/>
            </c:ext>
          </c:extLst>
        </c:ser>
        <c:ser>
          <c:idx val="1"/>
          <c:order val="1"/>
          <c:tx>
            <c:strRef>
              <c:f>Sheet1!$A$11</c:f>
              <c:strCache>
                <c:ptCount val="1"/>
                <c:pt idx="0">
                  <c:v>Alkalinity(outlet)</c:v>
                </c:pt>
              </c:strCache>
            </c:strRef>
          </c:tx>
          <c:spPr>
            <a:solidFill>
              <a:schemeClr val="accent5"/>
            </a:solidFill>
            <a:ln>
              <a:noFill/>
            </a:ln>
            <a:effectLst/>
          </c:spPr>
          <c:invertIfNegative val="0"/>
          <c:cat>
            <c:strRef>
              <c:f>Sheet1!$B$9:$G$9</c:f>
              <c:strCache>
                <c:ptCount val="6"/>
                <c:pt idx="0">
                  <c:v>January</c:v>
                </c:pt>
                <c:pt idx="1">
                  <c:v>February</c:v>
                </c:pt>
                <c:pt idx="2">
                  <c:v>March</c:v>
                </c:pt>
                <c:pt idx="3">
                  <c:v>April</c:v>
                </c:pt>
                <c:pt idx="4">
                  <c:v>May</c:v>
                </c:pt>
                <c:pt idx="5">
                  <c:v>June</c:v>
                </c:pt>
              </c:strCache>
            </c:strRef>
          </c:cat>
          <c:val>
            <c:numRef>
              <c:f>Sheet1!$B$11:$G$11</c:f>
              <c:numCache>
                <c:formatCode>General</c:formatCode>
                <c:ptCount val="6"/>
                <c:pt idx="0">
                  <c:v>126</c:v>
                </c:pt>
                <c:pt idx="1">
                  <c:v>170</c:v>
                </c:pt>
                <c:pt idx="2">
                  <c:v>120</c:v>
                </c:pt>
                <c:pt idx="3">
                  <c:v>140</c:v>
                </c:pt>
                <c:pt idx="4">
                  <c:v>109</c:v>
                </c:pt>
                <c:pt idx="5">
                  <c:v>110</c:v>
                </c:pt>
              </c:numCache>
            </c:numRef>
          </c:val>
          <c:extLst>
            <c:ext xmlns:c16="http://schemas.microsoft.com/office/drawing/2014/chart" uri="{C3380CC4-5D6E-409C-BE32-E72D297353CC}">
              <c16:uniqueId val="{00000001-F386-42E9-BCC0-2B90D2521DF1}"/>
            </c:ext>
          </c:extLst>
        </c:ser>
        <c:dLbls>
          <c:showLegendKey val="0"/>
          <c:showVal val="0"/>
          <c:showCatName val="0"/>
          <c:showSerName val="0"/>
          <c:showPercent val="0"/>
          <c:showBubbleSize val="0"/>
        </c:dLbls>
        <c:gapWidth val="219"/>
        <c:overlap val="-27"/>
        <c:axId val="90965888"/>
        <c:axId val="90967424"/>
      </c:barChart>
      <c:catAx>
        <c:axId val="90965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90967424"/>
        <c:crosses val="autoZero"/>
        <c:auto val="1"/>
        <c:lblAlgn val="ctr"/>
        <c:lblOffset val="100"/>
        <c:noMultiLvlLbl val="0"/>
      </c:catAx>
      <c:valAx>
        <c:axId val="9096742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90965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t>TDS</a:t>
            </a:r>
            <a:r>
              <a:rPr lang="en-US" sz="1200" b="1" baseline="0"/>
              <a:t> mg/l</a:t>
            </a:r>
            <a:endParaRPr lang="en-US" sz="1200" b="1"/>
          </a:p>
        </c:rich>
      </c:tx>
      <c:overlay val="0"/>
      <c:spPr>
        <a:noFill/>
        <a:ln>
          <a:noFill/>
        </a:ln>
        <a:effectLst/>
      </c:spPr>
    </c:title>
    <c:autoTitleDeleted val="0"/>
    <c:plotArea>
      <c:layout/>
      <c:barChart>
        <c:barDir val="col"/>
        <c:grouping val="clustered"/>
        <c:varyColors val="0"/>
        <c:ser>
          <c:idx val="0"/>
          <c:order val="0"/>
          <c:tx>
            <c:strRef>
              <c:f>Sheet1!$A$16</c:f>
              <c:strCache>
                <c:ptCount val="1"/>
                <c:pt idx="0">
                  <c:v>Total Dissolved Solids (inlet)</c:v>
                </c:pt>
              </c:strCache>
            </c:strRef>
          </c:tx>
          <c:spPr>
            <a:solidFill>
              <a:schemeClr val="accent6"/>
            </a:solidFill>
            <a:ln>
              <a:noFill/>
            </a:ln>
            <a:effectLst/>
          </c:spPr>
          <c:invertIfNegative val="0"/>
          <c:cat>
            <c:strRef>
              <c:f>Sheet1!$B$15:$G$15</c:f>
              <c:strCache>
                <c:ptCount val="6"/>
                <c:pt idx="0">
                  <c:v>January</c:v>
                </c:pt>
                <c:pt idx="1">
                  <c:v>February</c:v>
                </c:pt>
                <c:pt idx="2">
                  <c:v>March</c:v>
                </c:pt>
                <c:pt idx="3">
                  <c:v>April</c:v>
                </c:pt>
                <c:pt idx="4">
                  <c:v>May</c:v>
                </c:pt>
                <c:pt idx="5">
                  <c:v>June</c:v>
                </c:pt>
              </c:strCache>
            </c:strRef>
          </c:cat>
          <c:val>
            <c:numRef>
              <c:f>Sheet1!$B$16:$G$16</c:f>
              <c:numCache>
                <c:formatCode>General</c:formatCode>
                <c:ptCount val="6"/>
                <c:pt idx="0">
                  <c:v>307</c:v>
                </c:pt>
                <c:pt idx="1">
                  <c:v>320</c:v>
                </c:pt>
                <c:pt idx="2">
                  <c:v>280</c:v>
                </c:pt>
                <c:pt idx="3">
                  <c:v>270</c:v>
                </c:pt>
                <c:pt idx="4">
                  <c:v>310</c:v>
                </c:pt>
                <c:pt idx="5">
                  <c:v>280</c:v>
                </c:pt>
              </c:numCache>
            </c:numRef>
          </c:val>
          <c:extLst>
            <c:ext xmlns:c16="http://schemas.microsoft.com/office/drawing/2014/chart" uri="{C3380CC4-5D6E-409C-BE32-E72D297353CC}">
              <c16:uniqueId val="{00000000-8F60-42D7-ABBA-0357E1CE7884}"/>
            </c:ext>
          </c:extLst>
        </c:ser>
        <c:ser>
          <c:idx val="1"/>
          <c:order val="1"/>
          <c:tx>
            <c:strRef>
              <c:f>Sheet1!$A$17</c:f>
              <c:strCache>
                <c:ptCount val="1"/>
                <c:pt idx="0">
                  <c:v>Total Dissolved Solids (inlet)</c:v>
                </c:pt>
              </c:strCache>
            </c:strRef>
          </c:tx>
          <c:spPr>
            <a:solidFill>
              <a:schemeClr val="accent5"/>
            </a:solidFill>
            <a:ln>
              <a:noFill/>
            </a:ln>
            <a:effectLst/>
          </c:spPr>
          <c:invertIfNegative val="0"/>
          <c:cat>
            <c:strRef>
              <c:f>Sheet1!$B$15:$G$15</c:f>
              <c:strCache>
                <c:ptCount val="6"/>
                <c:pt idx="0">
                  <c:v>January</c:v>
                </c:pt>
                <c:pt idx="1">
                  <c:v>February</c:v>
                </c:pt>
                <c:pt idx="2">
                  <c:v>March</c:v>
                </c:pt>
                <c:pt idx="3">
                  <c:v>April</c:v>
                </c:pt>
                <c:pt idx="4">
                  <c:v>May</c:v>
                </c:pt>
                <c:pt idx="5">
                  <c:v>June</c:v>
                </c:pt>
              </c:strCache>
            </c:strRef>
          </c:cat>
          <c:val>
            <c:numRef>
              <c:f>Sheet1!$B$17:$G$17</c:f>
              <c:numCache>
                <c:formatCode>General</c:formatCode>
                <c:ptCount val="6"/>
                <c:pt idx="0">
                  <c:v>185</c:v>
                </c:pt>
                <c:pt idx="1">
                  <c:v>268</c:v>
                </c:pt>
                <c:pt idx="2">
                  <c:v>261</c:v>
                </c:pt>
                <c:pt idx="3">
                  <c:v>171</c:v>
                </c:pt>
                <c:pt idx="4">
                  <c:v>250</c:v>
                </c:pt>
                <c:pt idx="5">
                  <c:v>250</c:v>
                </c:pt>
              </c:numCache>
            </c:numRef>
          </c:val>
          <c:extLst>
            <c:ext xmlns:c16="http://schemas.microsoft.com/office/drawing/2014/chart" uri="{C3380CC4-5D6E-409C-BE32-E72D297353CC}">
              <c16:uniqueId val="{00000001-8F60-42D7-ABBA-0357E1CE7884}"/>
            </c:ext>
          </c:extLst>
        </c:ser>
        <c:dLbls>
          <c:showLegendKey val="0"/>
          <c:showVal val="0"/>
          <c:showCatName val="0"/>
          <c:showSerName val="0"/>
          <c:showPercent val="0"/>
          <c:showBubbleSize val="0"/>
        </c:dLbls>
        <c:gapWidth val="219"/>
        <c:overlap val="-27"/>
        <c:axId val="90996736"/>
        <c:axId val="90998272"/>
      </c:barChart>
      <c:catAx>
        <c:axId val="90996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90998272"/>
        <c:crosses val="autoZero"/>
        <c:auto val="1"/>
        <c:lblAlgn val="ctr"/>
        <c:lblOffset val="100"/>
        <c:noMultiLvlLbl val="0"/>
      </c:catAx>
      <c:valAx>
        <c:axId val="9099827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90996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t>Conductivity</a:t>
            </a:r>
            <a:r>
              <a:rPr lang="en-US" sz="1200" b="1" baseline="0"/>
              <a:t> S/m</a:t>
            </a:r>
            <a:endParaRPr lang="en-US" sz="1200" b="1"/>
          </a:p>
        </c:rich>
      </c:tx>
      <c:overlay val="0"/>
      <c:spPr>
        <a:noFill/>
        <a:ln>
          <a:noFill/>
        </a:ln>
        <a:effectLst/>
      </c:spPr>
    </c:title>
    <c:autoTitleDeleted val="0"/>
    <c:plotArea>
      <c:layout/>
      <c:barChart>
        <c:barDir val="col"/>
        <c:grouping val="clustered"/>
        <c:varyColors val="0"/>
        <c:ser>
          <c:idx val="0"/>
          <c:order val="0"/>
          <c:tx>
            <c:strRef>
              <c:f>Sheet1!$A$21</c:f>
              <c:strCache>
                <c:ptCount val="1"/>
                <c:pt idx="0">
                  <c:v>Conductivity (inlet)</c:v>
                </c:pt>
              </c:strCache>
            </c:strRef>
          </c:tx>
          <c:spPr>
            <a:solidFill>
              <a:schemeClr val="accent6"/>
            </a:solidFill>
            <a:ln>
              <a:noFill/>
            </a:ln>
            <a:effectLst/>
          </c:spPr>
          <c:invertIfNegative val="0"/>
          <c:cat>
            <c:strRef>
              <c:f>Sheet1!$B$20:$G$20</c:f>
              <c:strCache>
                <c:ptCount val="6"/>
                <c:pt idx="0">
                  <c:v>January</c:v>
                </c:pt>
                <c:pt idx="1">
                  <c:v>February</c:v>
                </c:pt>
                <c:pt idx="2">
                  <c:v>March</c:v>
                </c:pt>
                <c:pt idx="3">
                  <c:v>April</c:v>
                </c:pt>
                <c:pt idx="4">
                  <c:v>May</c:v>
                </c:pt>
                <c:pt idx="5">
                  <c:v>June</c:v>
                </c:pt>
              </c:strCache>
            </c:strRef>
          </c:cat>
          <c:val>
            <c:numRef>
              <c:f>Sheet1!$B$21:$G$21</c:f>
              <c:numCache>
                <c:formatCode>General</c:formatCode>
                <c:ptCount val="6"/>
                <c:pt idx="0">
                  <c:v>3</c:v>
                </c:pt>
                <c:pt idx="1">
                  <c:v>3</c:v>
                </c:pt>
                <c:pt idx="2">
                  <c:v>2</c:v>
                </c:pt>
                <c:pt idx="3">
                  <c:v>3</c:v>
                </c:pt>
                <c:pt idx="4">
                  <c:v>2</c:v>
                </c:pt>
                <c:pt idx="5">
                  <c:v>3</c:v>
                </c:pt>
              </c:numCache>
            </c:numRef>
          </c:val>
          <c:extLst>
            <c:ext xmlns:c16="http://schemas.microsoft.com/office/drawing/2014/chart" uri="{C3380CC4-5D6E-409C-BE32-E72D297353CC}">
              <c16:uniqueId val="{00000000-6A93-4F23-804C-ED61849B7390}"/>
            </c:ext>
          </c:extLst>
        </c:ser>
        <c:ser>
          <c:idx val="1"/>
          <c:order val="1"/>
          <c:tx>
            <c:strRef>
              <c:f>Sheet1!$A$22</c:f>
              <c:strCache>
                <c:ptCount val="1"/>
                <c:pt idx="0">
                  <c:v>Conductivity (outlet)</c:v>
                </c:pt>
              </c:strCache>
            </c:strRef>
          </c:tx>
          <c:spPr>
            <a:solidFill>
              <a:schemeClr val="accent5"/>
            </a:solidFill>
            <a:ln>
              <a:noFill/>
            </a:ln>
            <a:effectLst/>
          </c:spPr>
          <c:invertIfNegative val="0"/>
          <c:cat>
            <c:strRef>
              <c:f>Sheet1!$B$20:$G$20</c:f>
              <c:strCache>
                <c:ptCount val="6"/>
                <c:pt idx="0">
                  <c:v>January</c:v>
                </c:pt>
                <c:pt idx="1">
                  <c:v>February</c:v>
                </c:pt>
                <c:pt idx="2">
                  <c:v>March</c:v>
                </c:pt>
                <c:pt idx="3">
                  <c:v>April</c:v>
                </c:pt>
                <c:pt idx="4">
                  <c:v>May</c:v>
                </c:pt>
                <c:pt idx="5">
                  <c:v>June</c:v>
                </c:pt>
              </c:strCache>
            </c:strRef>
          </c:cat>
          <c:val>
            <c:numRef>
              <c:f>Sheet1!$B$22:$G$22</c:f>
              <c:numCache>
                <c:formatCode>General</c:formatCode>
                <c:ptCount val="6"/>
                <c:pt idx="0">
                  <c:v>2</c:v>
                </c:pt>
                <c:pt idx="1">
                  <c:v>2</c:v>
                </c:pt>
                <c:pt idx="2">
                  <c:v>2</c:v>
                </c:pt>
                <c:pt idx="3">
                  <c:v>2</c:v>
                </c:pt>
                <c:pt idx="4">
                  <c:v>2</c:v>
                </c:pt>
                <c:pt idx="5">
                  <c:v>2</c:v>
                </c:pt>
              </c:numCache>
            </c:numRef>
          </c:val>
          <c:extLst>
            <c:ext xmlns:c16="http://schemas.microsoft.com/office/drawing/2014/chart" uri="{C3380CC4-5D6E-409C-BE32-E72D297353CC}">
              <c16:uniqueId val="{00000001-6A93-4F23-804C-ED61849B7390}"/>
            </c:ext>
          </c:extLst>
        </c:ser>
        <c:dLbls>
          <c:showLegendKey val="0"/>
          <c:showVal val="0"/>
          <c:showCatName val="0"/>
          <c:showSerName val="0"/>
          <c:showPercent val="0"/>
          <c:showBubbleSize val="0"/>
        </c:dLbls>
        <c:gapWidth val="219"/>
        <c:overlap val="-27"/>
        <c:axId val="91039616"/>
        <c:axId val="91041152"/>
      </c:barChart>
      <c:catAx>
        <c:axId val="91039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91041152"/>
        <c:crosses val="autoZero"/>
        <c:auto val="1"/>
        <c:lblAlgn val="ctr"/>
        <c:lblOffset val="100"/>
        <c:noMultiLvlLbl val="0"/>
      </c:catAx>
      <c:valAx>
        <c:axId val="9104115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91039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t>Turbidity</a:t>
            </a:r>
            <a:r>
              <a:rPr lang="en-US" sz="1200" b="1" baseline="0"/>
              <a:t> NTU</a:t>
            </a:r>
            <a:endParaRPr lang="en-US" sz="1200" b="1"/>
          </a:p>
        </c:rich>
      </c:tx>
      <c:overlay val="0"/>
      <c:spPr>
        <a:noFill/>
        <a:ln>
          <a:noFill/>
        </a:ln>
        <a:effectLst/>
      </c:spPr>
    </c:title>
    <c:autoTitleDeleted val="0"/>
    <c:plotArea>
      <c:layout/>
      <c:barChart>
        <c:barDir val="col"/>
        <c:grouping val="clustered"/>
        <c:varyColors val="0"/>
        <c:ser>
          <c:idx val="0"/>
          <c:order val="0"/>
          <c:tx>
            <c:strRef>
              <c:f>Sheet1!$A$27</c:f>
              <c:strCache>
                <c:ptCount val="1"/>
                <c:pt idx="0">
                  <c:v>Turbidity (inlet)</c:v>
                </c:pt>
              </c:strCache>
            </c:strRef>
          </c:tx>
          <c:spPr>
            <a:solidFill>
              <a:schemeClr val="accent6"/>
            </a:solidFill>
            <a:ln>
              <a:noFill/>
            </a:ln>
            <a:effectLst/>
          </c:spPr>
          <c:invertIfNegative val="0"/>
          <c:cat>
            <c:strRef>
              <c:f>Sheet1!$B$26:$G$26</c:f>
              <c:strCache>
                <c:ptCount val="6"/>
                <c:pt idx="0">
                  <c:v>January</c:v>
                </c:pt>
                <c:pt idx="1">
                  <c:v>February</c:v>
                </c:pt>
                <c:pt idx="2">
                  <c:v>March</c:v>
                </c:pt>
                <c:pt idx="3">
                  <c:v>April</c:v>
                </c:pt>
                <c:pt idx="4">
                  <c:v>May</c:v>
                </c:pt>
                <c:pt idx="5">
                  <c:v>June</c:v>
                </c:pt>
              </c:strCache>
            </c:strRef>
          </c:cat>
          <c:val>
            <c:numRef>
              <c:f>Sheet1!$B$27:$G$27</c:f>
              <c:numCache>
                <c:formatCode>General</c:formatCode>
                <c:ptCount val="6"/>
                <c:pt idx="0">
                  <c:v>435</c:v>
                </c:pt>
                <c:pt idx="1">
                  <c:v>233</c:v>
                </c:pt>
                <c:pt idx="2">
                  <c:v>104</c:v>
                </c:pt>
                <c:pt idx="3">
                  <c:v>182</c:v>
                </c:pt>
                <c:pt idx="4">
                  <c:v>205</c:v>
                </c:pt>
                <c:pt idx="5">
                  <c:v>250</c:v>
                </c:pt>
              </c:numCache>
            </c:numRef>
          </c:val>
          <c:extLst>
            <c:ext xmlns:c16="http://schemas.microsoft.com/office/drawing/2014/chart" uri="{C3380CC4-5D6E-409C-BE32-E72D297353CC}">
              <c16:uniqueId val="{00000000-24A6-4042-9BA6-7245796067DA}"/>
            </c:ext>
          </c:extLst>
        </c:ser>
        <c:ser>
          <c:idx val="1"/>
          <c:order val="1"/>
          <c:tx>
            <c:strRef>
              <c:f>Sheet1!$A$28</c:f>
              <c:strCache>
                <c:ptCount val="1"/>
                <c:pt idx="0">
                  <c:v>Turbidity (outlet)</c:v>
                </c:pt>
              </c:strCache>
            </c:strRef>
          </c:tx>
          <c:spPr>
            <a:solidFill>
              <a:schemeClr val="accent5"/>
            </a:solidFill>
            <a:ln>
              <a:noFill/>
            </a:ln>
            <a:effectLst/>
          </c:spPr>
          <c:invertIfNegative val="0"/>
          <c:cat>
            <c:strRef>
              <c:f>Sheet1!$B$26:$G$26</c:f>
              <c:strCache>
                <c:ptCount val="6"/>
                <c:pt idx="0">
                  <c:v>January</c:v>
                </c:pt>
                <c:pt idx="1">
                  <c:v>February</c:v>
                </c:pt>
                <c:pt idx="2">
                  <c:v>March</c:v>
                </c:pt>
                <c:pt idx="3">
                  <c:v>April</c:v>
                </c:pt>
                <c:pt idx="4">
                  <c:v>May</c:v>
                </c:pt>
                <c:pt idx="5">
                  <c:v>June</c:v>
                </c:pt>
              </c:strCache>
            </c:strRef>
          </c:cat>
          <c:val>
            <c:numRef>
              <c:f>Sheet1!$B$28:$G$28</c:f>
              <c:numCache>
                <c:formatCode>General</c:formatCode>
                <c:ptCount val="6"/>
                <c:pt idx="0">
                  <c:v>80.400000000000006</c:v>
                </c:pt>
                <c:pt idx="1">
                  <c:v>80.2</c:v>
                </c:pt>
                <c:pt idx="2">
                  <c:v>54.1</c:v>
                </c:pt>
                <c:pt idx="3">
                  <c:v>46.9</c:v>
                </c:pt>
                <c:pt idx="4">
                  <c:v>60.5</c:v>
                </c:pt>
                <c:pt idx="5">
                  <c:v>51.8</c:v>
                </c:pt>
              </c:numCache>
            </c:numRef>
          </c:val>
          <c:extLst>
            <c:ext xmlns:c16="http://schemas.microsoft.com/office/drawing/2014/chart" uri="{C3380CC4-5D6E-409C-BE32-E72D297353CC}">
              <c16:uniqueId val="{00000001-24A6-4042-9BA6-7245796067DA}"/>
            </c:ext>
          </c:extLst>
        </c:ser>
        <c:dLbls>
          <c:showLegendKey val="0"/>
          <c:showVal val="0"/>
          <c:showCatName val="0"/>
          <c:showSerName val="0"/>
          <c:showPercent val="0"/>
          <c:showBubbleSize val="0"/>
        </c:dLbls>
        <c:gapWidth val="219"/>
        <c:overlap val="-27"/>
        <c:axId val="91066368"/>
        <c:axId val="91067904"/>
      </c:barChart>
      <c:catAx>
        <c:axId val="91066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91067904"/>
        <c:crosses val="autoZero"/>
        <c:auto val="1"/>
        <c:lblAlgn val="ctr"/>
        <c:lblOffset val="100"/>
        <c:noMultiLvlLbl val="0"/>
      </c:catAx>
      <c:valAx>
        <c:axId val="9106790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91066368"/>
        <c:crosses val="autoZero"/>
        <c:crossBetween val="between"/>
      </c:valAx>
      <c:spPr>
        <a:noFill/>
        <a:ln>
          <a:noFill/>
        </a:ln>
        <a:effectLst/>
      </c:spPr>
    </c:plotArea>
    <c:legend>
      <c:legendPos val="b"/>
      <c:layout>
        <c:manualLayout>
          <c:xMode val="edge"/>
          <c:yMode val="edge"/>
          <c:x val="0.12467361682882423"/>
          <c:y val="0.89590389938459225"/>
          <c:w val="0.71530643721081388"/>
          <c:h val="7.6792346349197821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t>Total</a:t>
            </a:r>
            <a:r>
              <a:rPr lang="en-US" sz="1200" b="1" baseline="0"/>
              <a:t> Hardness mg/l</a:t>
            </a:r>
            <a:endParaRPr lang="en-US" sz="1200" b="1"/>
          </a:p>
        </c:rich>
      </c:tx>
      <c:overlay val="0"/>
      <c:spPr>
        <a:noFill/>
        <a:ln>
          <a:noFill/>
        </a:ln>
        <a:effectLst/>
      </c:spPr>
    </c:title>
    <c:autoTitleDeleted val="0"/>
    <c:plotArea>
      <c:layout/>
      <c:barChart>
        <c:barDir val="col"/>
        <c:grouping val="clustered"/>
        <c:varyColors val="0"/>
        <c:ser>
          <c:idx val="0"/>
          <c:order val="0"/>
          <c:tx>
            <c:strRef>
              <c:f>Sheet1!$A$33</c:f>
              <c:strCache>
                <c:ptCount val="1"/>
                <c:pt idx="0">
                  <c:v>Total Hardness (inlet)</c:v>
                </c:pt>
              </c:strCache>
            </c:strRef>
          </c:tx>
          <c:spPr>
            <a:solidFill>
              <a:schemeClr val="accent6"/>
            </a:solidFill>
            <a:ln>
              <a:noFill/>
            </a:ln>
            <a:effectLst/>
          </c:spPr>
          <c:invertIfNegative val="0"/>
          <c:cat>
            <c:strRef>
              <c:f>Sheet1!$B$32:$G$32</c:f>
              <c:strCache>
                <c:ptCount val="6"/>
                <c:pt idx="0">
                  <c:v>January</c:v>
                </c:pt>
                <c:pt idx="1">
                  <c:v>February</c:v>
                </c:pt>
                <c:pt idx="2">
                  <c:v>March</c:v>
                </c:pt>
                <c:pt idx="3">
                  <c:v>April</c:v>
                </c:pt>
                <c:pt idx="4">
                  <c:v>May</c:v>
                </c:pt>
                <c:pt idx="5">
                  <c:v>June</c:v>
                </c:pt>
              </c:strCache>
            </c:strRef>
          </c:cat>
          <c:val>
            <c:numRef>
              <c:f>Sheet1!$B$33:$G$33</c:f>
              <c:numCache>
                <c:formatCode>General</c:formatCode>
                <c:ptCount val="6"/>
                <c:pt idx="0">
                  <c:v>90</c:v>
                </c:pt>
                <c:pt idx="1">
                  <c:v>78</c:v>
                </c:pt>
                <c:pt idx="2">
                  <c:v>68</c:v>
                </c:pt>
                <c:pt idx="3">
                  <c:v>88</c:v>
                </c:pt>
                <c:pt idx="4">
                  <c:v>86</c:v>
                </c:pt>
                <c:pt idx="5">
                  <c:v>68</c:v>
                </c:pt>
              </c:numCache>
            </c:numRef>
          </c:val>
          <c:extLst>
            <c:ext xmlns:c16="http://schemas.microsoft.com/office/drawing/2014/chart" uri="{C3380CC4-5D6E-409C-BE32-E72D297353CC}">
              <c16:uniqueId val="{00000000-95D8-49E2-8C24-11BD1EA08CE5}"/>
            </c:ext>
          </c:extLst>
        </c:ser>
        <c:ser>
          <c:idx val="1"/>
          <c:order val="1"/>
          <c:tx>
            <c:strRef>
              <c:f>Sheet1!$A$34</c:f>
              <c:strCache>
                <c:ptCount val="1"/>
                <c:pt idx="0">
                  <c:v>Total Hardness (outlet)</c:v>
                </c:pt>
              </c:strCache>
            </c:strRef>
          </c:tx>
          <c:spPr>
            <a:solidFill>
              <a:schemeClr val="accent5"/>
            </a:solidFill>
            <a:ln>
              <a:noFill/>
            </a:ln>
            <a:effectLst/>
          </c:spPr>
          <c:invertIfNegative val="0"/>
          <c:cat>
            <c:strRef>
              <c:f>Sheet1!$B$32:$G$32</c:f>
              <c:strCache>
                <c:ptCount val="6"/>
                <c:pt idx="0">
                  <c:v>January</c:v>
                </c:pt>
                <c:pt idx="1">
                  <c:v>February</c:v>
                </c:pt>
                <c:pt idx="2">
                  <c:v>March</c:v>
                </c:pt>
                <c:pt idx="3">
                  <c:v>April</c:v>
                </c:pt>
                <c:pt idx="4">
                  <c:v>May</c:v>
                </c:pt>
                <c:pt idx="5">
                  <c:v>June</c:v>
                </c:pt>
              </c:strCache>
            </c:strRef>
          </c:cat>
          <c:val>
            <c:numRef>
              <c:f>Sheet1!$B$34:$G$34</c:f>
              <c:numCache>
                <c:formatCode>General</c:formatCode>
                <c:ptCount val="6"/>
                <c:pt idx="0">
                  <c:v>50</c:v>
                </c:pt>
                <c:pt idx="1">
                  <c:v>76</c:v>
                </c:pt>
                <c:pt idx="2">
                  <c:v>70</c:v>
                </c:pt>
                <c:pt idx="3">
                  <c:v>62</c:v>
                </c:pt>
                <c:pt idx="4">
                  <c:v>65</c:v>
                </c:pt>
                <c:pt idx="5">
                  <c:v>71</c:v>
                </c:pt>
              </c:numCache>
            </c:numRef>
          </c:val>
          <c:extLst>
            <c:ext xmlns:c16="http://schemas.microsoft.com/office/drawing/2014/chart" uri="{C3380CC4-5D6E-409C-BE32-E72D297353CC}">
              <c16:uniqueId val="{00000001-95D8-49E2-8C24-11BD1EA08CE5}"/>
            </c:ext>
          </c:extLst>
        </c:ser>
        <c:dLbls>
          <c:showLegendKey val="0"/>
          <c:showVal val="0"/>
          <c:showCatName val="0"/>
          <c:showSerName val="0"/>
          <c:showPercent val="0"/>
          <c:showBubbleSize val="0"/>
        </c:dLbls>
        <c:gapWidth val="219"/>
        <c:overlap val="-27"/>
        <c:axId val="91084672"/>
        <c:axId val="91086208"/>
      </c:barChart>
      <c:catAx>
        <c:axId val="91084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91086208"/>
        <c:crosses val="autoZero"/>
        <c:auto val="1"/>
        <c:lblAlgn val="ctr"/>
        <c:lblOffset val="100"/>
        <c:noMultiLvlLbl val="0"/>
      </c:catAx>
      <c:valAx>
        <c:axId val="9108620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91084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38010-DD3D-41D8-917F-F2007777E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21</Pages>
  <Words>4472</Words>
  <Characters>25497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Anjali Thakur</dc:creator>
  <cp:keywords/>
  <dc:description/>
  <cp:lastModifiedBy>SDI 1180</cp:lastModifiedBy>
  <cp:revision>23</cp:revision>
  <dcterms:created xsi:type="dcterms:W3CDTF">2025-08-01T15:01:00Z</dcterms:created>
  <dcterms:modified xsi:type="dcterms:W3CDTF">2025-09-13T12:59:00Z</dcterms:modified>
</cp:coreProperties>
</file>