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EA55" w14:textId="77777777" w:rsidR="00C63D4E" w:rsidRDefault="00C63D4E" w:rsidP="00DF7430">
      <w:pPr>
        <w:spacing w:after="0" w:line="360" w:lineRule="auto"/>
        <w:rPr>
          <w:rFonts w:ascii="Times New Roman" w:eastAsia="Times New Roman" w:hAnsi="Times New Roman" w:cs="Times New Roman"/>
          <w:b/>
          <w:bCs/>
          <w:sz w:val="24"/>
          <w:szCs w:val="24"/>
        </w:rPr>
      </w:pPr>
      <w:r w:rsidRPr="00DF7430">
        <w:rPr>
          <w:rFonts w:ascii="Times New Roman" w:eastAsia="Times New Roman" w:hAnsi="Times New Roman" w:cs="Times New Roman"/>
          <w:b/>
          <w:bCs/>
          <w:sz w:val="24"/>
          <w:szCs w:val="24"/>
        </w:rPr>
        <w:t>Non-Timber Forest Products (NTFPs): Sustainable Harvesting and Utilization Practices</w:t>
      </w:r>
    </w:p>
    <w:p w14:paraId="5731BFDF" w14:textId="77777777" w:rsidR="00E27BFA" w:rsidRPr="00DF7430" w:rsidRDefault="00E27BFA" w:rsidP="00DF7430">
      <w:pPr>
        <w:spacing w:after="0" w:line="360" w:lineRule="auto"/>
        <w:rPr>
          <w:rFonts w:ascii="Times New Roman" w:eastAsia="Times New Roman" w:hAnsi="Times New Roman" w:cs="Times New Roman"/>
          <w:sz w:val="24"/>
          <w:szCs w:val="24"/>
        </w:rPr>
      </w:pPr>
    </w:p>
    <w:p w14:paraId="0D179E46" w14:textId="77777777" w:rsidR="00A434DC" w:rsidRDefault="00A434DC" w:rsidP="00904679">
      <w:pPr>
        <w:spacing w:after="0" w:line="360" w:lineRule="auto"/>
        <w:jc w:val="both"/>
        <w:rPr>
          <w:rFonts w:ascii="Times New Roman" w:eastAsia="Times New Roman" w:hAnsi="Times New Roman" w:cs="Times New Roman"/>
          <w:b/>
          <w:color w:val="000000"/>
          <w:sz w:val="24"/>
          <w:szCs w:val="24"/>
        </w:rPr>
      </w:pPr>
      <w:bookmarkStart w:id="0" w:name="_GoBack"/>
      <w:bookmarkEnd w:id="0"/>
    </w:p>
    <w:p w14:paraId="40D72FD1" w14:textId="77777777" w:rsidR="00183A85" w:rsidRPr="00183A85" w:rsidRDefault="000305B5" w:rsidP="00904679">
      <w:pPr>
        <w:spacing w:after="0" w:line="360" w:lineRule="auto"/>
        <w:jc w:val="both"/>
        <w:rPr>
          <w:rFonts w:ascii="Times New Roman" w:eastAsia="Times New Roman" w:hAnsi="Times New Roman" w:cs="Times New Roman"/>
          <w:b/>
          <w:color w:val="000000"/>
          <w:sz w:val="24"/>
          <w:szCs w:val="24"/>
        </w:rPr>
      </w:pPr>
      <w:r w:rsidRPr="00904679">
        <w:rPr>
          <w:rFonts w:ascii="Times New Roman" w:eastAsia="Times New Roman" w:hAnsi="Times New Roman" w:cs="Times New Roman"/>
          <w:b/>
          <w:color w:val="000000"/>
          <w:sz w:val="24"/>
          <w:szCs w:val="24"/>
        </w:rPr>
        <w:t>ABSTRACT</w:t>
      </w:r>
    </w:p>
    <w:p w14:paraId="1A524CA1" w14:textId="77777777" w:rsidR="00370632" w:rsidRPr="00370632" w:rsidRDefault="00370632" w:rsidP="00904679">
      <w:pPr>
        <w:spacing w:after="0" w:line="360" w:lineRule="auto"/>
        <w:jc w:val="both"/>
        <w:rPr>
          <w:rFonts w:ascii="Times New Roman" w:hAnsi="Times New Roman" w:cs="Times New Roman"/>
          <w:color w:val="020817"/>
          <w:spacing w:val="1"/>
          <w:sz w:val="24"/>
          <w:szCs w:val="24"/>
          <w:shd w:val="clear" w:color="auto" w:fill="FFFFFF"/>
        </w:rPr>
      </w:pPr>
      <w:r w:rsidRPr="00370632">
        <w:rPr>
          <w:rFonts w:ascii="Times New Roman" w:hAnsi="Times New Roman" w:cs="Times New Roman"/>
          <w:color w:val="020817"/>
          <w:spacing w:val="1"/>
          <w:sz w:val="24"/>
          <w:szCs w:val="24"/>
          <w:shd w:val="clear" w:color="auto" w:fill="FFFFFF"/>
        </w:rPr>
        <w:t>Non-Timber Forest Products (NTFPs) play a crucial role in sustainable forestry, providing numerous ecological, social, and economic advantages. In India, NTFPs serve as an essential safety net for rural communities, enhancing food security, health, and income. However, practices such as unsustainable harvesting, climate change, and neglect in policy have jeopardized the long-term availability of these resources. This paper emphasizes the importance of NTFPs in sustainable forestry, highlighting their ability to decrease dependence on timber extraction, support biodiversity conservation, and improve rural livelihoods. It also examines the challenges and opportunities in managing NTFPs, including sustainable harvesting methods, community-based management approaches, and market development. Additionally, the paper stresses the necessity for policy reforms, research, and capacity building to tackle the ecological, social, and economic issues impacting NTFP management. By prioritizing NTFPs within sustainable forestry practices, we can ensure the long-term health of forest ecosystems, enhance rural livelihoods, and promote ecological integrity.</w:t>
      </w:r>
    </w:p>
    <w:p w14:paraId="62527EF3" w14:textId="77777777" w:rsidR="00904679" w:rsidRPr="00183A85" w:rsidRDefault="00904679" w:rsidP="00904679">
      <w:pPr>
        <w:spacing w:after="0" w:line="360" w:lineRule="auto"/>
        <w:jc w:val="both"/>
        <w:rPr>
          <w:rFonts w:ascii="Times New Roman" w:eastAsia="Times New Roman" w:hAnsi="Times New Roman" w:cs="Times New Roman"/>
          <w:b/>
          <w:color w:val="000000"/>
          <w:sz w:val="24"/>
          <w:szCs w:val="24"/>
        </w:rPr>
      </w:pPr>
      <w:r w:rsidRPr="00904679">
        <w:rPr>
          <w:rFonts w:ascii="Times New Roman" w:eastAsia="Times New Roman" w:hAnsi="Times New Roman" w:cs="Times New Roman"/>
          <w:b/>
          <w:color w:val="000000"/>
          <w:sz w:val="24"/>
          <w:szCs w:val="24"/>
        </w:rPr>
        <w:t>Key words:</w:t>
      </w:r>
      <w:r w:rsidRPr="00904679">
        <w:rPr>
          <w:rFonts w:ascii="Times New Roman" w:eastAsia="Times New Roman" w:hAnsi="Times New Roman" w:cs="Times New Roman"/>
          <w:color w:val="000000"/>
          <w:sz w:val="24"/>
          <w:szCs w:val="24"/>
        </w:rPr>
        <w:t>NTFP, forest, sustainability, tribal, environment.</w:t>
      </w:r>
    </w:p>
    <w:p w14:paraId="11DD0E8A" w14:textId="77777777" w:rsidR="00DF7430"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INTRODUCTION</w:t>
      </w:r>
    </w:p>
    <w:p w14:paraId="68838AF0" w14:textId="77777777" w:rsidR="00370632" w:rsidRPr="00370632" w:rsidRDefault="00370632" w:rsidP="00AA747C">
      <w:pPr>
        <w:shd w:val="clear" w:color="auto" w:fill="FFFFFF"/>
        <w:spacing w:after="0" w:line="360" w:lineRule="auto"/>
        <w:jc w:val="both"/>
        <w:outlineLvl w:val="1"/>
        <w:rPr>
          <w:rFonts w:ascii="Times New Roman" w:hAnsi="Times New Roman" w:cs="Times New Roman"/>
          <w:color w:val="020817"/>
          <w:spacing w:val="1"/>
          <w:sz w:val="24"/>
          <w:szCs w:val="24"/>
          <w:shd w:val="clear" w:color="auto" w:fill="FFFFFF"/>
        </w:rPr>
      </w:pPr>
      <w:r w:rsidRPr="00370632">
        <w:rPr>
          <w:rFonts w:ascii="Times New Roman" w:hAnsi="Times New Roman" w:cs="Times New Roman"/>
          <w:color w:val="020817"/>
          <w:spacing w:val="1"/>
          <w:sz w:val="24"/>
          <w:szCs w:val="24"/>
          <w:shd w:val="clear" w:color="auto" w:fill="FFFFFF"/>
        </w:rPr>
        <w:t>A healthy forest offers numerous benefits to people beyond just timber, which is the most commonly recognized forest product. In India, the collection of non-timber forest products (NTFPs) from the wild was relatively low until 1990. However, increasing market demand has led to excessive resource extraction. Initially, foresters were optimistic about the natural replenishment of these resources, but in reality, sustainable harvesting of NTFPs requires careful, step-by-step management, controlled harvesting, and ongoing monitoring to ensure resource sustainability</w:t>
      </w:r>
      <w:r w:rsidR="000F41AA">
        <w:rPr>
          <w:rFonts w:ascii="Times New Roman" w:hAnsi="Times New Roman" w:cs="Times New Roman"/>
          <w:color w:val="020817"/>
          <w:spacing w:val="1"/>
          <w:sz w:val="24"/>
          <w:szCs w:val="24"/>
          <w:shd w:val="clear" w:color="auto" w:fill="FFFFFF"/>
        </w:rPr>
        <w:t xml:space="preserve"> (FAO 2000)</w:t>
      </w:r>
      <w:r w:rsidR="00226141">
        <w:rPr>
          <w:rFonts w:ascii="Times New Roman" w:hAnsi="Times New Roman" w:cs="Times New Roman"/>
          <w:color w:val="020817"/>
          <w:spacing w:val="1"/>
          <w:sz w:val="24"/>
          <w:szCs w:val="24"/>
          <w:shd w:val="clear" w:color="auto" w:fill="FFFFFF"/>
        </w:rPr>
        <w:t>.</w:t>
      </w:r>
      <w:r w:rsidR="000F41AA">
        <w:rPr>
          <w:rFonts w:ascii="Times New Roman" w:hAnsi="Times New Roman" w:cs="Times New Roman"/>
          <w:color w:val="020817"/>
          <w:spacing w:val="1"/>
          <w:sz w:val="24"/>
          <w:szCs w:val="24"/>
          <w:shd w:val="clear" w:color="auto" w:fill="FFFFFF"/>
        </w:rPr>
        <w:t xml:space="preserve"> The </w:t>
      </w:r>
      <w:r w:rsidRPr="00370632">
        <w:rPr>
          <w:rFonts w:ascii="Times New Roman" w:hAnsi="Times New Roman" w:cs="Times New Roman"/>
          <w:color w:val="020817"/>
          <w:spacing w:val="1"/>
          <w:sz w:val="24"/>
          <w:szCs w:val="24"/>
          <w:shd w:val="clear" w:color="auto" w:fill="FFFFFF"/>
        </w:rPr>
        <w:t>regulated exploitation of NTFPs has significant potential for balancing resource use and conservation. Although there are over 800 types of NTFPs harvested in India, reliable data on their harvest is only available for a few, often those that have been nationalized by state governments. As a result, the collection of many NTFPs by local communities often goes unrecorded in government databases (Forest Sector Report India 2010).</w:t>
      </w:r>
    </w:p>
    <w:p w14:paraId="19760BFB" w14:textId="77777777" w:rsidR="00370632" w:rsidRPr="00370632" w:rsidRDefault="00370632" w:rsidP="00A12B72">
      <w:pPr>
        <w:shd w:val="clear" w:color="auto" w:fill="FFFFFF"/>
        <w:spacing w:after="0" w:line="360" w:lineRule="auto"/>
        <w:ind w:firstLine="720"/>
        <w:jc w:val="both"/>
        <w:outlineLvl w:val="1"/>
        <w:rPr>
          <w:rFonts w:ascii="Times New Roman" w:hAnsi="Times New Roman" w:cs="Times New Roman"/>
          <w:color w:val="020817"/>
          <w:spacing w:val="1"/>
          <w:sz w:val="24"/>
          <w:szCs w:val="24"/>
          <w:shd w:val="clear" w:color="auto" w:fill="FFFFFF"/>
        </w:rPr>
      </w:pPr>
      <w:r w:rsidRPr="00370632">
        <w:rPr>
          <w:rFonts w:ascii="Times New Roman" w:hAnsi="Times New Roman" w:cs="Times New Roman"/>
          <w:color w:val="020817"/>
          <w:spacing w:val="1"/>
          <w:sz w:val="24"/>
          <w:szCs w:val="24"/>
          <w:shd w:val="clear" w:color="auto" w:fill="FFFFFF"/>
        </w:rPr>
        <w:t xml:space="preserve">Non-Timber Forest Products (NTFPs) serve as essential safety nets for impoverished individuals who depend on forests for their livelihoods. They contribute to food security, </w:t>
      </w:r>
      <w:r w:rsidRPr="00370632">
        <w:rPr>
          <w:rFonts w:ascii="Times New Roman" w:hAnsi="Times New Roman" w:cs="Times New Roman"/>
          <w:color w:val="020817"/>
          <w:spacing w:val="1"/>
          <w:sz w:val="24"/>
          <w:szCs w:val="24"/>
          <w:shd w:val="clear" w:color="auto" w:fill="FFFFFF"/>
        </w:rPr>
        <w:lastRenderedPageBreak/>
        <w:t xml:space="preserve">health coverage, cash income, and provide reliable wage </w:t>
      </w:r>
      <w:proofErr w:type="spellStart"/>
      <w:r w:rsidRPr="00370632">
        <w:rPr>
          <w:rFonts w:ascii="Times New Roman" w:hAnsi="Times New Roman" w:cs="Times New Roman"/>
          <w:color w:val="020817"/>
          <w:spacing w:val="1"/>
          <w:sz w:val="24"/>
          <w:szCs w:val="24"/>
          <w:shd w:val="clear" w:color="auto" w:fill="FFFFFF"/>
        </w:rPr>
        <w:t>labor</w:t>
      </w:r>
      <w:proofErr w:type="spellEnd"/>
      <w:r w:rsidRPr="00370632">
        <w:rPr>
          <w:rFonts w:ascii="Times New Roman" w:hAnsi="Times New Roman" w:cs="Times New Roman"/>
          <w:color w:val="020817"/>
          <w:spacing w:val="1"/>
          <w:sz w:val="24"/>
          <w:szCs w:val="24"/>
          <w:shd w:val="clear" w:color="auto" w:fill="FFFFFF"/>
        </w:rPr>
        <w:t xml:space="preserve"> for local communities in remote areas where job opportunities are scarce. In rural regions of India, marginalized, landless, and extremely poor populations meet 35-80% of their livelihood needs through NTFPs, depending on various factors (Bahuguna, 2000; Gadgil, 2003; Bhattacharya and </w:t>
      </w:r>
      <w:proofErr w:type="spellStart"/>
      <w:r w:rsidRPr="00370632">
        <w:rPr>
          <w:rFonts w:ascii="Times New Roman" w:hAnsi="Times New Roman" w:cs="Times New Roman"/>
          <w:color w:val="020817"/>
          <w:spacing w:val="1"/>
          <w:sz w:val="24"/>
          <w:szCs w:val="24"/>
          <w:shd w:val="clear" w:color="auto" w:fill="FFFFFF"/>
        </w:rPr>
        <w:t>Hyat</w:t>
      </w:r>
      <w:proofErr w:type="spellEnd"/>
      <w:r w:rsidRPr="00370632">
        <w:rPr>
          <w:rFonts w:ascii="Times New Roman" w:hAnsi="Times New Roman" w:cs="Times New Roman"/>
          <w:color w:val="020817"/>
          <w:spacing w:val="1"/>
          <w:sz w:val="24"/>
          <w:szCs w:val="24"/>
          <w:shd w:val="clear" w:color="auto" w:fill="FFFFFF"/>
        </w:rPr>
        <w:t>, 2004). Women, in particular, rely heavily on NTFPs due to the nature of their production, collection methods, processing, and local sales</w:t>
      </w:r>
      <w:r w:rsidR="00226141">
        <w:rPr>
          <w:rFonts w:ascii="Times New Roman" w:hAnsi="Times New Roman" w:cs="Times New Roman"/>
          <w:color w:val="020817"/>
          <w:spacing w:val="1"/>
          <w:sz w:val="24"/>
          <w:szCs w:val="24"/>
          <w:shd w:val="clear" w:color="auto" w:fill="FFFFFF"/>
        </w:rPr>
        <w:t xml:space="preserve"> (ICFRE 2010)</w:t>
      </w:r>
      <w:r w:rsidRPr="00370632">
        <w:rPr>
          <w:rFonts w:ascii="Times New Roman" w:hAnsi="Times New Roman" w:cs="Times New Roman"/>
          <w:color w:val="020817"/>
          <w:spacing w:val="1"/>
          <w:sz w:val="24"/>
          <w:szCs w:val="24"/>
          <w:shd w:val="clear" w:color="auto" w:fill="FFFFFF"/>
        </w:rPr>
        <w:t>. They often use these products for their own consumption and possess extensive knowledge about the available resources. Research indicates that in South India, particularly in Kerala, Karnataka, and Tamil Nadu, women incorporate 62 different NTFP items into their diets as vegetables and traditional medicines. Similarly, in the northeastern states of Tripura, Arunachal Pradesh, and Meghalaya, women frequently visit forests and wetlands to gather leafy vegetables, with a list of 85 uncultivated items</w:t>
      </w:r>
      <w:r w:rsidR="00226141">
        <w:rPr>
          <w:rFonts w:ascii="Times New Roman" w:hAnsi="Times New Roman" w:cs="Times New Roman"/>
          <w:color w:val="020817"/>
          <w:spacing w:val="1"/>
          <w:sz w:val="24"/>
          <w:szCs w:val="24"/>
          <w:shd w:val="clear" w:color="auto" w:fill="FFFFFF"/>
        </w:rPr>
        <w:t xml:space="preserve"> (Agrawal and Dixit</w:t>
      </w:r>
      <w:r w:rsidR="00DA1038">
        <w:rPr>
          <w:rFonts w:ascii="Times New Roman" w:hAnsi="Times New Roman" w:cs="Times New Roman"/>
          <w:color w:val="020817"/>
          <w:spacing w:val="1"/>
          <w:sz w:val="24"/>
          <w:szCs w:val="24"/>
          <w:shd w:val="clear" w:color="auto" w:fill="FFFFFF"/>
        </w:rPr>
        <w:t xml:space="preserve"> </w:t>
      </w:r>
      <w:r w:rsidR="00226141">
        <w:rPr>
          <w:rFonts w:ascii="Times New Roman" w:hAnsi="Times New Roman" w:cs="Times New Roman"/>
          <w:color w:val="020817"/>
          <w:spacing w:val="1"/>
          <w:sz w:val="24"/>
          <w:szCs w:val="24"/>
          <w:shd w:val="clear" w:color="auto" w:fill="FFFFFF"/>
        </w:rPr>
        <w:t>2015)</w:t>
      </w:r>
      <w:r w:rsidRPr="00370632">
        <w:rPr>
          <w:rFonts w:ascii="Times New Roman" w:hAnsi="Times New Roman" w:cs="Times New Roman"/>
          <w:color w:val="020817"/>
          <w:spacing w:val="1"/>
          <w:sz w:val="24"/>
          <w:szCs w:val="24"/>
          <w:shd w:val="clear" w:color="auto" w:fill="FFFFFF"/>
        </w:rPr>
        <w:t>. Many indigenous tribes in India also derive a significant portion of their nutrition from various NTFPs found in different forest types. Most NTFPs are seasonal, and numerous cultural rituals within these communities are linked to the availability of these products, including fruits, leaves, flowers, twigs, roots, rhizomes, and various animal-derived NTFPs</w:t>
      </w:r>
      <w:r w:rsidR="00226141">
        <w:rPr>
          <w:rFonts w:ascii="Times New Roman" w:hAnsi="Times New Roman" w:cs="Times New Roman"/>
          <w:color w:val="020817"/>
          <w:spacing w:val="1"/>
          <w:sz w:val="24"/>
          <w:szCs w:val="24"/>
          <w:shd w:val="clear" w:color="auto" w:fill="FFFFFF"/>
        </w:rPr>
        <w:t xml:space="preserve"> (Galetti and Aleixo)</w:t>
      </w:r>
      <w:r w:rsidRPr="00370632">
        <w:rPr>
          <w:rFonts w:ascii="Times New Roman" w:hAnsi="Times New Roman" w:cs="Times New Roman"/>
          <w:color w:val="020817"/>
          <w:spacing w:val="1"/>
          <w:sz w:val="24"/>
          <w:szCs w:val="24"/>
          <w:shd w:val="clear" w:color="auto" w:fill="FFFFFF"/>
        </w:rPr>
        <w:t>.</w:t>
      </w:r>
    </w:p>
    <w:p w14:paraId="60B65A26" w14:textId="77777777" w:rsidR="00370632" w:rsidRPr="00370632" w:rsidRDefault="00370632" w:rsidP="00370632">
      <w:pPr>
        <w:shd w:val="clear" w:color="auto" w:fill="FFFFFF"/>
        <w:spacing w:after="0" w:line="360" w:lineRule="auto"/>
        <w:ind w:firstLine="720"/>
        <w:jc w:val="both"/>
        <w:outlineLvl w:val="1"/>
        <w:rPr>
          <w:rFonts w:ascii="Times New Roman" w:hAnsi="Times New Roman" w:cs="Times New Roman"/>
          <w:color w:val="020817"/>
          <w:spacing w:val="1"/>
          <w:sz w:val="24"/>
          <w:szCs w:val="24"/>
          <w:shd w:val="clear" w:color="auto" w:fill="FFFFFF"/>
        </w:rPr>
      </w:pPr>
      <w:r w:rsidRPr="00370632">
        <w:rPr>
          <w:rFonts w:ascii="Times New Roman" w:hAnsi="Times New Roman" w:cs="Times New Roman"/>
          <w:color w:val="020817"/>
          <w:spacing w:val="1"/>
          <w:sz w:val="24"/>
          <w:szCs w:val="24"/>
          <w:shd w:val="clear" w:color="auto" w:fill="FFFFFF"/>
        </w:rPr>
        <w:t>Historically, the non-timber forest products (NTFP) sector has been overlooked in mainstream forestry for many decades, often regarded as 'minor' despite its significant importance. While the commercial potential of NTFPs is substantial, they have traditionally played a vital role in various regions of India. NTFPs and their products account for 68% of the total exports from the forestry sector. Additionally, raw materials for herbal products sourced from NTFPs make up 90% of the supply for the industry, primarily obtained from natural forests. In India, approximately 7,000 plant species are utilized in traditional medicine, with 960 of these items documented in trade. Out of these, 178 are traded in large volumes, exceeding 100 metric tons per year</w:t>
      </w:r>
      <w:r w:rsidR="00226141">
        <w:rPr>
          <w:rFonts w:ascii="Times New Roman" w:hAnsi="Times New Roman" w:cs="Times New Roman"/>
          <w:color w:val="020817"/>
          <w:spacing w:val="1"/>
          <w:sz w:val="24"/>
          <w:szCs w:val="24"/>
          <w:shd w:val="clear" w:color="auto" w:fill="FFFFFF"/>
        </w:rPr>
        <w:t xml:space="preserve"> (</w:t>
      </w:r>
      <w:r w:rsidR="00536180" w:rsidRPr="005B2CE6">
        <w:rPr>
          <w:rFonts w:ascii="Times New Roman" w:hAnsi="Times New Roman" w:cs="Times New Roman"/>
          <w:sz w:val="24"/>
          <w:szCs w:val="24"/>
        </w:rPr>
        <w:t>Ruiz</w:t>
      </w:r>
      <w:r w:rsidR="00226141">
        <w:rPr>
          <w:rFonts w:ascii="Times New Roman" w:hAnsi="Times New Roman" w:cs="Times New Roman"/>
          <w:color w:val="020817"/>
          <w:spacing w:val="1"/>
          <w:sz w:val="24"/>
          <w:szCs w:val="24"/>
          <w:shd w:val="clear" w:color="auto" w:fill="FFFFFF"/>
        </w:rPr>
        <w:t xml:space="preserve"> 1995)</w:t>
      </w:r>
      <w:r w:rsidRPr="00370632">
        <w:rPr>
          <w:rFonts w:ascii="Times New Roman" w:hAnsi="Times New Roman" w:cs="Times New Roman"/>
          <w:color w:val="020817"/>
          <w:spacing w:val="1"/>
          <w:sz w:val="24"/>
          <w:szCs w:val="24"/>
          <w:shd w:val="clear" w:color="auto" w:fill="FFFFFF"/>
        </w:rPr>
        <w:t>. A study estimated the total annual demand for botanical raw drugs in India for the year 2005-06 at 319,500 metric tons, with a corresponding trade value of 1,069 crores. Another study indicates that India's share of the global medicinal plants trade is growing at an annual rate of 23%. In 2009, India was the third-largest exporter of medicinal plants, following China and Canada (NMPB, 2011). However, several factors, including overharvesting, premature collection, and climate change (such as extreme droughts and floods), have led to a decline in the production of various NTFPs</w:t>
      </w:r>
      <w:r w:rsidR="00226141">
        <w:rPr>
          <w:rFonts w:ascii="Times New Roman" w:hAnsi="Times New Roman" w:cs="Times New Roman"/>
          <w:color w:val="020817"/>
          <w:spacing w:val="1"/>
          <w:sz w:val="24"/>
          <w:szCs w:val="24"/>
          <w:shd w:val="clear" w:color="auto" w:fill="FFFFFF"/>
        </w:rPr>
        <w:t xml:space="preserve"> (Tekam </w:t>
      </w:r>
      <w:r w:rsidR="00226141" w:rsidRPr="007E1FB1">
        <w:rPr>
          <w:rFonts w:ascii="Times New Roman" w:hAnsi="Times New Roman" w:cs="Times New Roman"/>
          <w:i/>
          <w:iCs/>
          <w:color w:val="020817"/>
          <w:spacing w:val="1"/>
          <w:sz w:val="24"/>
          <w:szCs w:val="24"/>
          <w:shd w:val="clear" w:color="auto" w:fill="FFFFFF"/>
        </w:rPr>
        <w:t>et al</w:t>
      </w:r>
      <w:r w:rsidR="007E1FB1">
        <w:rPr>
          <w:rFonts w:ascii="Times New Roman" w:hAnsi="Times New Roman" w:cs="Times New Roman"/>
          <w:i/>
          <w:iCs/>
          <w:color w:val="020817"/>
          <w:spacing w:val="1"/>
          <w:sz w:val="24"/>
          <w:szCs w:val="24"/>
          <w:shd w:val="clear" w:color="auto" w:fill="FFFFFF"/>
        </w:rPr>
        <w:t>.,</w:t>
      </w:r>
      <w:r w:rsidR="00226141">
        <w:rPr>
          <w:rFonts w:ascii="Times New Roman" w:hAnsi="Times New Roman" w:cs="Times New Roman"/>
          <w:color w:val="020817"/>
          <w:spacing w:val="1"/>
          <w:sz w:val="24"/>
          <w:szCs w:val="24"/>
          <w:shd w:val="clear" w:color="auto" w:fill="FFFFFF"/>
        </w:rPr>
        <w:t xml:space="preserve"> 2025)</w:t>
      </w:r>
      <w:r w:rsidRPr="00370632">
        <w:rPr>
          <w:rFonts w:ascii="Times New Roman" w:hAnsi="Times New Roman" w:cs="Times New Roman"/>
          <w:color w:val="020817"/>
          <w:spacing w:val="1"/>
          <w:sz w:val="24"/>
          <w:szCs w:val="24"/>
          <w:shd w:val="clear" w:color="auto" w:fill="FFFFFF"/>
        </w:rPr>
        <w:t xml:space="preserve">. The high demand from herbal industries has pressured local villagers to collect products prematurely from different forest areas. Traders and suppliers often engage local people for the collection of specific products. Unfortunately, </w:t>
      </w:r>
      <w:r w:rsidRPr="00370632">
        <w:rPr>
          <w:rFonts w:ascii="Times New Roman" w:hAnsi="Times New Roman" w:cs="Times New Roman"/>
          <w:color w:val="020817"/>
          <w:spacing w:val="1"/>
          <w:sz w:val="24"/>
          <w:szCs w:val="24"/>
          <w:shd w:val="clear" w:color="auto" w:fill="FFFFFF"/>
        </w:rPr>
        <w:lastRenderedPageBreak/>
        <w:t>destructive collection practices have hindered the regeneration of these plants, putting them at risk. Field surveys indicate a significant reduction in production from various forest divisions, with declines ranging from 30% to 85% over the past 30 years</w:t>
      </w:r>
      <w:r w:rsidR="00226141">
        <w:rPr>
          <w:rFonts w:ascii="Times New Roman" w:hAnsi="Times New Roman" w:cs="Times New Roman"/>
          <w:color w:val="020817"/>
          <w:spacing w:val="1"/>
          <w:sz w:val="24"/>
          <w:szCs w:val="24"/>
          <w:shd w:val="clear" w:color="auto" w:fill="FFFFFF"/>
        </w:rPr>
        <w:t xml:space="preserve"> (CGMFPCF 2006)</w:t>
      </w:r>
      <w:r w:rsidRPr="00370632">
        <w:rPr>
          <w:rFonts w:ascii="Times New Roman" w:hAnsi="Times New Roman" w:cs="Times New Roman"/>
          <w:color w:val="020817"/>
          <w:spacing w:val="1"/>
          <w:sz w:val="24"/>
          <w:szCs w:val="24"/>
          <w:shd w:val="clear" w:color="auto" w:fill="FFFFFF"/>
        </w:rPr>
        <w:t>. Biodiversity experts have noted a rapid decrease in the population sizes of certain tree species, as well as a decline in associated animal species, such as honeybees and birds. This decline has negatively impacted the reproductive biology of several NTFP tree species (Bhattacharya, 2013).</w:t>
      </w:r>
    </w:p>
    <w:p w14:paraId="4EAD45F6" w14:textId="77777777" w:rsidR="00C63D4E" w:rsidRPr="00C63D4E"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sidRPr="00C63D4E">
        <w:rPr>
          <w:rFonts w:ascii="Times New Roman" w:eastAsia="Times New Roman" w:hAnsi="Times New Roman" w:cs="Times New Roman"/>
          <w:b/>
          <w:spacing w:val="1"/>
          <w:sz w:val="24"/>
          <w:szCs w:val="24"/>
        </w:rPr>
        <w:t>IMPORTANCE OF NTFP</w:t>
      </w:r>
      <w:r>
        <w:rPr>
          <w:rFonts w:ascii="Times New Roman" w:eastAsia="Times New Roman" w:hAnsi="Times New Roman" w:cs="Times New Roman"/>
          <w:b/>
          <w:spacing w:val="1"/>
          <w:sz w:val="24"/>
          <w:szCs w:val="24"/>
        </w:rPr>
        <w:t>s</w:t>
      </w:r>
      <w:r w:rsidRPr="00C63D4E">
        <w:rPr>
          <w:rFonts w:ascii="Times New Roman" w:eastAsia="Times New Roman" w:hAnsi="Times New Roman" w:cs="Times New Roman"/>
          <w:b/>
          <w:spacing w:val="1"/>
          <w:sz w:val="24"/>
          <w:szCs w:val="24"/>
        </w:rPr>
        <w:t xml:space="preserve"> IN SUSTAINABLE FORESTRY</w:t>
      </w:r>
    </w:p>
    <w:p w14:paraId="6861C642" w14:textId="77777777" w:rsidR="007044F7" w:rsidRPr="007044F7" w:rsidRDefault="007044F7" w:rsidP="00AA747C">
      <w:pPr>
        <w:pStyle w:val="NormalWeb"/>
        <w:shd w:val="clear" w:color="auto" w:fill="FFFFFF"/>
        <w:spacing w:before="0" w:beforeAutospacing="0" w:after="0" w:afterAutospacing="0" w:line="360" w:lineRule="auto"/>
        <w:jc w:val="both"/>
        <w:rPr>
          <w:color w:val="020817"/>
          <w:spacing w:val="1"/>
          <w:shd w:val="clear" w:color="auto" w:fill="FFFFFF"/>
        </w:rPr>
      </w:pPr>
      <w:r w:rsidRPr="007044F7">
        <w:rPr>
          <w:color w:val="020817"/>
          <w:spacing w:val="1"/>
          <w:shd w:val="clear" w:color="auto" w:fill="FFFFFF"/>
        </w:rPr>
        <w:t xml:space="preserve">Non-Timber Forest Products (NTFPs) include a variety of items sourced from forests that do not require cutting down trees. These products range from fruits and nuts to medicinal plants, resins, and </w:t>
      </w:r>
      <w:proofErr w:type="spellStart"/>
      <w:r w:rsidRPr="007044F7">
        <w:rPr>
          <w:color w:val="020817"/>
          <w:spacing w:val="1"/>
          <w:shd w:val="clear" w:color="auto" w:fill="FFFFFF"/>
        </w:rPr>
        <w:t>fibers</w:t>
      </w:r>
      <w:proofErr w:type="spellEnd"/>
      <w:r w:rsidR="00527556">
        <w:rPr>
          <w:color w:val="020817"/>
          <w:spacing w:val="1"/>
          <w:shd w:val="clear" w:color="auto" w:fill="FFFFFF"/>
        </w:rPr>
        <w:t xml:space="preserve"> (</w:t>
      </w:r>
      <w:r w:rsidR="00CC60CC">
        <w:rPr>
          <w:color w:val="020817"/>
          <w:spacing w:val="1"/>
          <w:shd w:val="clear" w:color="auto" w:fill="FFFFFF"/>
        </w:rPr>
        <w:t>P</w:t>
      </w:r>
      <w:r w:rsidR="00527556">
        <w:rPr>
          <w:color w:val="020817"/>
          <w:spacing w:val="1"/>
          <w:shd w:val="clear" w:color="auto" w:fill="FFFFFF"/>
        </w:rPr>
        <w:t>eters</w:t>
      </w:r>
      <w:r w:rsidR="00422745">
        <w:rPr>
          <w:color w:val="020817"/>
          <w:spacing w:val="1"/>
          <w:shd w:val="clear" w:color="auto" w:fill="FFFFFF"/>
        </w:rPr>
        <w:t xml:space="preserve"> </w:t>
      </w:r>
      <w:r w:rsidR="00527556">
        <w:rPr>
          <w:color w:val="020817"/>
          <w:spacing w:val="1"/>
          <w:shd w:val="clear" w:color="auto" w:fill="FFFFFF"/>
        </w:rPr>
        <w:t>1996)</w:t>
      </w:r>
      <w:r w:rsidRPr="007044F7">
        <w:rPr>
          <w:color w:val="020817"/>
          <w:spacing w:val="1"/>
          <w:shd w:val="clear" w:color="auto" w:fill="FFFFFF"/>
        </w:rPr>
        <w:t>. NTFPs are important because they provide economic, social, and environmental advantages, illustrating the complex connection between human activities and forest ecosystems</w:t>
      </w:r>
      <w:r w:rsidR="00CC60CC">
        <w:rPr>
          <w:color w:val="020817"/>
          <w:spacing w:val="1"/>
          <w:shd w:val="clear" w:color="auto" w:fill="FFFFFF"/>
        </w:rPr>
        <w:t xml:space="preserve"> (Prasad </w:t>
      </w:r>
      <w:r w:rsidR="00422745">
        <w:rPr>
          <w:i/>
          <w:iCs/>
          <w:color w:val="020817"/>
          <w:spacing w:val="1"/>
          <w:shd w:val="clear" w:color="auto" w:fill="FFFFFF"/>
        </w:rPr>
        <w:t>et al.,</w:t>
      </w:r>
      <w:r w:rsidR="00CC60CC">
        <w:rPr>
          <w:color w:val="020817"/>
          <w:spacing w:val="1"/>
          <w:shd w:val="clear" w:color="auto" w:fill="FFFFFF"/>
        </w:rPr>
        <w:t xml:space="preserve"> 1999)</w:t>
      </w:r>
      <w:r w:rsidRPr="007044F7">
        <w:rPr>
          <w:color w:val="020817"/>
          <w:spacing w:val="1"/>
          <w:shd w:val="clear" w:color="auto" w:fill="FFFFFF"/>
        </w:rPr>
        <w:t>. Economically, NTFPs serve as an alternative income source for local communities, especially in areas where timber harvesting is limited or not sustainable. By offering diverse income options, NTFPs help reduce dependence on logging, which in turn lessens the strain on forest resources</w:t>
      </w:r>
      <w:r w:rsidR="00CC60CC">
        <w:rPr>
          <w:color w:val="020817"/>
          <w:spacing w:val="1"/>
          <w:shd w:val="clear" w:color="auto" w:fill="FFFFFF"/>
        </w:rPr>
        <w:t xml:space="preserve"> (Tiwari </w:t>
      </w:r>
      <w:r w:rsidR="00422745">
        <w:rPr>
          <w:i/>
          <w:iCs/>
          <w:color w:val="020817"/>
          <w:spacing w:val="1"/>
          <w:shd w:val="clear" w:color="auto" w:fill="FFFFFF"/>
        </w:rPr>
        <w:t>et al.,</w:t>
      </w:r>
      <w:r w:rsidR="00CC60CC">
        <w:rPr>
          <w:color w:val="020817"/>
          <w:spacing w:val="1"/>
          <w:shd w:val="clear" w:color="auto" w:fill="FFFFFF"/>
        </w:rPr>
        <w:t xml:space="preserve"> 2024)</w:t>
      </w:r>
      <w:r w:rsidRPr="007044F7">
        <w:rPr>
          <w:color w:val="020817"/>
          <w:spacing w:val="1"/>
          <w:shd w:val="clear" w:color="auto" w:fill="FFFFFF"/>
        </w:rPr>
        <w:t>. This economic sustainability is vital for rural households, many of which rely on forests for their everyday needs. Additionally, sustainable harvesting of NTFPs can generate jobs and support local businesses, ultimately enhancing regional economies and increasing resilience to market changes</w:t>
      </w:r>
      <w:r w:rsidR="00DA1038">
        <w:rPr>
          <w:color w:val="020817"/>
          <w:spacing w:val="1"/>
          <w:shd w:val="clear" w:color="auto" w:fill="FFFFFF"/>
        </w:rPr>
        <w:t xml:space="preserve"> </w:t>
      </w:r>
      <w:r w:rsidR="00356FF8">
        <w:rPr>
          <w:color w:val="020817"/>
          <w:spacing w:val="1"/>
          <w:shd w:val="clear" w:color="auto" w:fill="FFFFFF"/>
        </w:rPr>
        <w:t>(</w:t>
      </w:r>
      <w:proofErr w:type="spellStart"/>
      <w:r w:rsidR="00CC60CC">
        <w:rPr>
          <w:color w:val="020817"/>
          <w:spacing w:val="1"/>
          <w:shd w:val="clear" w:color="auto" w:fill="FFFFFF"/>
        </w:rPr>
        <w:t>Bharatdwaj</w:t>
      </w:r>
      <w:proofErr w:type="spellEnd"/>
      <w:r w:rsidR="00CC60CC">
        <w:rPr>
          <w:color w:val="020817"/>
          <w:spacing w:val="1"/>
          <w:shd w:val="clear" w:color="auto" w:fill="FFFFFF"/>
        </w:rPr>
        <w:t xml:space="preserve"> </w:t>
      </w:r>
      <w:r w:rsidR="00356FF8" w:rsidRPr="007E1FB1">
        <w:rPr>
          <w:i/>
          <w:iCs/>
          <w:color w:val="020817"/>
          <w:spacing w:val="1"/>
          <w:shd w:val="clear" w:color="auto" w:fill="FFFFFF"/>
        </w:rPr>
        <w:t>et</w:t>
      </w:r>
      <w:r w:rsidR="00DA1038">
        <w:rPr>
          <w:i/>
          <w:iCs/>
          <w:color w:val="020817"/>
          <w:spacing w:val="1"/>
          <w:shd w:val="clear" w:color="auto" w:fill="FFFFFF"/>
        </w:rPr>
        <w:t xml:space="preserve"> </w:t>
      </w:r>
      <w:r w:rsidR="00356FF8" w:rsidRPr="007E1FB1">
        <w:rPr>
          <w:i/>
          <w:iCs/>
          <w:color w:val="020817"/>
          <w:spacing w:val="1"/>
          <w:shd w:val="clear" w:color="auto" w:fill="FFFFFF"/>
        </w:rPr>
        <w:t>a</w:t>
      </w:r>
      <w:r w:rsidR="00CC60CC" w:rsidRPr="007E1FB1">
        <w:rPr>
          <w:i/>
          <w:iCs/>
          <w:color w:val="020817"/>
          <w:spacing w:val="1"/>
          <w:shd w:val="clear" w:color="auto" w:fill="FFFFFF"/>
        </w:rPr>
        <w:t>l</w:t>
      </w:r>
      <w:r w:rsidR="007E1FB1">
        <w:rPr>
          <w:color w:val="020817"/>
          <w:spacing w:val="1"/>
          <w:shd w:val="clear" w:color="auto" w:fill="FFFFFF"/>
        </w:rPr>
        <w:t>.,</w:t>
      </w:r>
      <w:r w:rsidR="00DA1038">
        <w:rPr>
          <w:color w:val="020817"/>
          <w:spacing w:val="1"/>
          <w:shd w:val="clear" w:color="auto" w:fill="FFFFFF"/>
        </w:rPr>
        <w:t xml:space="preserve"> </w:t>
      </w:r>
      <w:r w:rsidR="00356FF8">
        <w:rPr>
          <w:color w:val="020817"/>
          <w:spacing w:val="1"/>
          <w:shd w:val="clear" w:color="auto" w:fill="FFFFFF"/>
        </w:rPr>
        <w:t>2024)</w:t>
      </w:r>
      <w:r w:rsidRPr="007044F7">
        <w:rPr>
          <w:color w:val="020817"/>
          <w:spacing w:val="1"/>
          <w:shd w:val="clear" w:color="auto" w:fill="FFFFFF"/>
        </w:rPr>
        <w:t>.</w:t>
      </w:r>
    </w:p>
    <w:p w14:paraId="09FFAE4B" w14:textId="77777777" w:rsidR="007044F7" w:rsidRPr="007044F7" w:rsidRDefault="007044F7" w:rsidP="007044F7">
      <w:pPr>
        <w:shd w:val="clear" w:color="auto" w:fill="FFFFFF"/>
        <w:spacing w:after="0" w:line="360" w:lineRule="auto"/>
        <w:ind w:firstLine="720"/>
        <w:jc w:val="both"/>
        <w:outlineLvl w:val="1"/>
        <w:rPr>
          <w:rFonts w:ascii="Times New Roman" w:hAnsi="Times New Roman" w:cs="Times New Roman"/>
          <w:color w:val="000000"/>
          <w:sz w:val="24"/>
          <w:szCs w:val="24"/>
          <w:shd w:val="clear" w:color="auto" w:fill="F4F5F6"/>
        </w:rPr>
      </w:pPr>
      <w:r w:rsidRPr="007044F7">
        <w:rPr>
          <w:rFonts w:ascii="Times New Roman" w:hAnsi="Times New Roman" w:cs="Times New Roman"/>
          <w:color w:val="000000"/>
          <w:sz w:val="24"/>
          <w:szCs w:val="24"/>
        </w:rPr>
        <w:t>Socially, NTFPs contribute to community welfare by enhancing food security and supplying culturally important resources. Numerous NTFPs, including wild fruits and nuts, play a crucial role in ensuring nutrition and dietary diversity for indigenous and rural communities. Additionally, the traditional knowledge related to the collection and utilization of NTFPs strengthens cultural identity and social unity within these communities</w:t>
      </w:r>
      <w:r w:rsidR="00356FF8">
        <w:rPr>
          <w:rFonts w:ascii="Times New Roman" w:hAnsi="Times New Roman" w:cs="Times New Roman"/>
          <w:color w:val="000000"/>
          <w:sz w:val="24"/>
          <w:szCs w:val="24"/>
        </w:rPr>
        <w:t xml:space="preserve"> (Gargd 2000)</w:t>
      </w:r>
      <w:r w:rsidRPr="007044F7">
        <w:rPr>
          <w:rFonts w:ascii="Times New Roman" w:hAnsi="Times New Roman" w:cs="Times New Roman"/>
          <w:color w:val="000000"/>
          <w:sz w:val="24"/>
          <w:szCs w:val="24"/>
        </w:rPr>
        <w:t>. The sustainable management of these resources not only benefits current generations but also safeguards cultural practices and knowledge for future generations, thus preserving the inherent value of biodiversity. From anenvironmental perspective, NTFPs significantly aid in the conservation of forest ecosystems</w:t>
      </w:r>
      <w:r w:rsidR="00730A91">
        <w:rPr>
          <w:rFonts w:ascii="Times New Roman" w:hAnsi="Times New Roman" w:cs="Times New Roman"/>
          <w:color w:val="000000"/>
          <w:sz w:val="24"/>
          <w:szCs w:val="24"/>
        </w:rPr>
        <w:t xml:space="preserve"> (Peters 1994)</w:t>
      </w:r>
      <w:r w:rsidRPr="007044F7">
        <w:rPr>
          <w:rFonts w:ascii="Times New Roman" w:hAnsi="Times New Roman" w:cs="Times New Roman"/>
          <w:color w:val="000000"/>
          <w:sz w:val="24"/>
          <w:szCs w:val="24"/>
        </w:rPr>
        <w:t>. The sustainable harvesting of NTFPs often promotes the preservation of forest cover, as communities are motivated to protect their natural resources instead of converting forests into agricultural land. Furthermore, healthy forests that are rich in biodiversity exhibit greater resilience to climate change and ecological disturbances</w:t>
      </w:r>
      <w:r w:rsidR="00730A91">
        <w:rPr>
          <w:rFonts w:ascii="Times New Roman" w:hAnsi="Times New Roman" w:cs="Times New Roman"/>
          <w:color w:val="000000"/>
          <w:sz w:val="24"/>
          <w:szCs w:val="24"/>
        </w:rPr>
        <w:t xml:space="preserve"> (Bhatacharya and prasad</w:t>
      </w:r>
      <w:r w:rsidR="007E1FB1">
        <w:rPr>
          <w:rFonts w:ascii="Times New Roman" w:hAnsi="Times New Roman" w:cs="Times New Roman"/>
          <w:color w:val="000000"/>
          <w:sz w:val="24"/>
          <w:szCs w:val="24"/>
        </w:rPr>
        <w:t>,</w:t>
      </w:r>
      <w:r w:rsidR="00730A91">
        <w:rPr>
          <w:rFonts w:ascii="Times New Roman" w:hAnsi="Times New Roman" w:cs="Times New Roman"/>
          <w:color w:val="000000"/>
          <w:sz w:val="24"/>
          <w:szCs w:val="24"/>
        </w:rPr>
        <w:t xml:space="preserve"> 2001)</w:t>
      </w:r>
      <w:r w:rsidRPr="007044F7">
        <w:rPr>
          <w:rFonts w:ascii="Times New Roman" w:hAnsi="Times New Roman" w:cs="Times New Roman"/>
          <w:color w:val="000000"/>
          <w:sz w:val="24"/>
          <w:szCs w:val="24"/>
        </w:rPr>
        <w:t xml:space="preserve">. By prioritizing NTFPs in sustainable forestry practices, we can improve ecosystem services such as carbon </w:t>
      </w:r>
      <w:r w:rsidRPr="007044F7">
        <w:rPr>
          <w:rFonts w:ascii="Times New Roman" w:hAnsi="Times New Roman" w:cs="Times New Roman"/>
          <w:color w:val="000000"/>
          <w:sz w:val="24"/>
          <w:szCs w:val="24"/>
        </w:rPr>
        <w:lastRenderedPageBreak/>
        <w:t>sequestration and soil protection</w:t>
      </w:r>
      <w:r w:rsidR="00730A91">
        <w:rPr>
          <w:rFonts w:ascii="Times New Roman" w:hAnsi="Times New Roman" w:cs="Times New Roman"/>
          <w:color w:val="000000"/>
          <w:sz w:val="24"/>
          <w:szCs w:val="24"/>
        </w:rPr>
        <w:t xml:space="preserve"> (Chandra </w:t>
      </w:r>
      <w:r w:rsidR="00730A91"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730A91">
        <w:rPr>
          <w:rFonts w:ascii="Times New Roman" w:hAnsi="Times New Roman" w:cs="Times New Roman"/>
          <w:color w:val="000000"/>
          <w:sz w:val="24"/>
          <w:szCs w:val="24"/>
        </w:rPr>
        <w:t xml:space="preserve"> 2021)</w:t>
      </w:r>
      <w:r w:rsidRPr="007044F7">
        <w:rPr>
          <w:rFonts w:ascii="Times New Roman" w:hAnsi="Times New Roman" w:cs="Times New Roman"/>
          <w:color w:val="000000"/>
          <w:sz w:val="24"/>
          <w:szCs w:val="24"/>
        </w:rPr>
        <w:t>. Therefore, advocating for the sustainable use of NTFPs represents an effective approach to achieving both economic and ecological sustainability, highlighting their significance in the wider conversation on sustainable forestry</w:t>
      </w:r>
      <w:r w:rsidR="00356FF8">
        <w:rPr>
          <w:rFonts w:ascii="Times New Roman" w:hAnsi="Times New Roman" w:cs="Times New Roman"/>
          <w:color w:val="000000"/>
          <w:sz w:val="24"/>
          <w:szCs w:val="24"/>
        </w:rPr>
        <w:t xml:space="preserve"> (Soni </w:t>
      </w:r>
      <w:r w:rsidR="00356FF8"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422745">
        <w:rPr>
          <w:rFonts w:ascii="Times New Roman" w:hAnsi="Times New Roman" w:cs="Times New Roman"/>
          <w:color w:val="000000"/>
          <w:sz w:val="24"/>
          <w:szCs w:val="24"/>
        </w:rPr>
        <w:t xml:space="preserve"> </w:t>
      </w:r>
      <w:r w:rsidR="00356FF8">
        <w:rPr>
          <w:rFonts w:ascii="Times New Roman" w:hAnsi="Times New Roman" w:cs="Times New Roman"/>
          <w:color w:val="000000"/>
          <w:sz w:val="24"/>
          <w:szCs w:val="24"/>
        </w:rPr>
        <w:t>2025)</w:t>
      </w:r>
      <w:r w:rsidRPr="007044F7">
        <w:rPr>
          <w:rFonts w:ascii="Times New Roman" w:hAnsi="Times New Roman" w:cs="Times New Roman"/>
          <w:color w:val="000000"/>
          <w:sz w:val="24"/>
          <w:szCs w:val="24"/>
        </w:rPr>
        <w:t>.</w:t>
      </w:r>
    </w:p>
    <w:p w14:paraId="30CE1E55" w14:textId="77777777" w:rsidR="00DF7430"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sidRPr="00C63D4E">
        <w:rPr>
          <w:rFonts w:ascii="Times New Roman" w:eastAsia="Times New Roman" w:hAnsi="Times New Roman" w:cs="Times New Roman"/>
          <w:b/>
          <w:spacing w:val="1"/>
          <w:sz w:val="24"/>
          <w:szCs w:val="24"/>
        </w:rPr>
        <w:t>SUSTAINABLE HARVESTING TECHNIQUES FOR NTFP</w:t>
      </w:r>
      <w:r>
        <w:rPr>
          <w:rFonts w:ascii="Times New Roman" w:eastAsia="Times New Roman" w:hAnsi="Times New Roman" w:cs="Times New Roman"/>
          <w:b/>
          <w:spacing w:val="1"/>
          <w:sz w:val="24"/>
          <w:szCs w:val="24"/>
        </w:rPr>
        <w:t>s</w:t>
      </w:r>
    </w:p>
    <w:p w14:paraId="6E6E675C" w14:textId="77777777" w:rsidR="007044F7" w:rsidRPr="007044F7" w:rsidRDefault="007044F7" w:rsidP="00A01630">
      <w:pPr>
        <w:pStyle w:val="NormalWeb"/>
        <w:shd w:val="clear" w:color="auto" w:fill="FFFFFF"/>
        <w:spacing w:before="0" w:beforeAutospacing="0" w:after="0" w:afterAutospacing="0" w:line="360" w:lineRule="auto"/>
        <w:jc w:val="both"/>
        <w:rPr>
          <w:color w:val="000000"/>
          <w:shd w:val="clear" w:color="auto" w:fill="F4F5F6"/>
        </w:rPr>
      </w:pPr>
      <w:r w:rsidRPr="007044F7">
        <w:rPr>
          <w:color w:val="000000"/>
        </w:rPr>
        <w:t>One essential strategy for the sustainable harvesting of non-timber forest products (NTFPs) is selective harvesting, which focuses on the careful choice of products that can be extracted from a forest without exhausting the resource</w:t>
      </w:r>
      <w:r w:rsidR="00356FF8">
        <w:rPr>
          <w:color w:val="000000"/>
        </w:rPr>
        <w:t xml:space="preserve"> (Shukla </w:t>
      </w:r>
      <w:r w:rsidR="00356FF8" w:rsidRPr="007E1FB1">
        <w:rPr>
          <w:i/>
          <w:iCs/>
          <w:color w:val="000000"/>
        </w:rPr>
        <w:t>et al</w:t>
      </w:r>
      <w:r w:rsidR="007E1FB1">
        <w:rPr>
          <w:color w:val="000000"/>
        </w:rPr>
        <w:t>.,</w:t>
      </w:r>
      <w:r w:rsidR="00DA1038">
        <w:rPr>
          <w:color w:val="000000"/>
        </w:rPr>
        <w:t xml:space="preserve"> </w:t>
      </w:r>
      <w:r w:rsidR="00356FF8">
        <w:rPr>
          <w:color w:val="000000"/>
        </w:rPr>
        <w:t>2025a)</w:t>
      </w:r>
      <w:r w:rsidRPr="007044F7">
        <w:rPr>
          <w:color w:val="000000"/>
        </w:rPr>
        <w:t>. This approach reduces the risk of over-exploitation by allowing the remaining plants or trees to continue their growth and reproduction. For instance, regarding the Harvester's Palm, which provides sap for sugar, a sustainable method would involvemoderate sap collection, ensuring that sufficient sap is retained for the tree’s vitality. Moreover, practitioners can improve reproductive success by controlling the timing and methods of harvesting, thus promoting regeneration while still fulfilling economic demands. Another sustainable method includes the establishment of community-based management systems</w:t>
      </w:r>
      <w:r w:rsidR="00001AE6">
        <w:rPr>
          <w:color w:val="000000"/>
        </w:rPr>
        <w:t xml:space="preserve"> (</w:t>
      </w:r>
      <w:r w:rsidR="00356FF8">
        <w:rPr>
          <w:color w:val="000000"/>
        </w:rPr>
        <w:t>Singh</w:t>
      </w:r>
      <w:r w:rsidR="00422745">
        <w:rPr>
          <w:color w:val="000000"/>
        </w:rPr>
        <w:t xml:space="preserve"> </w:t>
      </w:r>
      <w:r w:rsidR="00001AE6" w:rsidRPr="007E1FB1">
        <w:rPr>
          <w:i/>
          <w:iCs/>
          <w:color w:val="000000"/>
        </w:rPr>
        <w:t>et al</w:t>
      </w:r>
      <w:r w:rsidR="007E1FB1">
        <w:rPr>
          <w:color w:val="000000"/>
        </w:rPr>
        <w:t>.,</w:t>
      </w:r>
      <w:r w:rsidR="00001AE6">
        <w:rPr>
          <w:color w:val="000000"/>
        </w:rPr>
        <w:t xml:space="preserve"> 2022)</w:t>
      </w:r>
      <w:r w:rsidRPr="007044F7">
        <w:rPr>
          <w:color w:val="000000"/>
        </w:rPr>
        <w:t>. When local communities are given the authority to manage their resources, they are more inclined to adopt practices that encourage sustainability</w:t>
      </w:r>
      <w:r w:rsidR="00001AE6">
        <w:rPr>
          <w:color w:val="000000"/>
        </w:rPr>
        <w:t xml:space="preserve"> (Kumar </w:t>
      </w:r>
      <w:r w:rsidR="00001AE6" w:rsidRPr="007E1FB1">
        <w:rPr>
          <w:i/>
          <w:iCs/>
          <w:color w:val="000000"/>
        </w:rPr>
        <w:t>et al</w:t>
      </w:r>
      <w:r w:rsidR="007E1FB1">
        <w:rPr>
          <w:color w:val="000000"/>
        </w:rPr>
        <w:t>.,</w:t>
      </w:r>
      <w:r w:rsidR="00001AE6">
        <w:rPr>
          <w:color w:val="000000"/>
        </w:rPr>
        <w:t xml:space="preserve"> 2024)</w:t>
      </w:r>
      <w:r w:rsidRPr="007044F7">
        <w:rPr>
          <w:color w:val="000000"/>
        </w:rPr>
        <w:t>. This encompasses developing a thorough understanding of ecological dynamics and the life cycles of different NTFPs. Training and educational programs that impart knowledge about the sustainable utilization of NTFPs can be integrated into community initiatives, highlighting the socio-economic advantages of preserving healthy forest ecosystems</w:t>
      </w:r>
      <w:r w:rsidR="00001AE6">
        <w:rPr>
          <w:color w:val="000000"/>
        </w:rPr>
        <w:t xml:space="preserve"> (</w:t>
      </w:r>
      <w:proofErr w:type="spellStart"/>
      <w:r w:rsidR="00001AE6">
        <w:rPr>
          <w:color w:val="000000"/>
        </w:rPr>
        <w:t>Bargah</w:t>
      </w:r>
      <w:proofErr w:type="spellEnd"/>
      <w:r w:rsidR="00001AE6">
        <w:rPr>
          <w:color w:val="000000"/>
        </w:rPr>
        <w:t xml:space="preserve"> </w:t>
      </w:r>
      <w:r w:rsidR="00001AE6" w:rsidRPr="007E1FB1">
        <w:rPr>
          <w:i/>
          <w:iCs/>
          <w:color w:val="000000"/>
        </w:rPr>
        <w:t>et al</w:t>
      </w:r>
      <w:r w:rsidR="007E1FB1">
        <w:rPr>
          <w:color w:val="000000"/>
        </w:rPr>
        <w:t>.,</w:t>
      </w:r>
      <w:r w:rsidR="00422745">
        <w:rPr>
          <w:color w:val="000000"/>
        </w:rPr>
        <w:t xml:space="preserve"> </w:t>
      </w:r>
      <w:r w:rsidR="00001AE6">
        <w:rPr>
          <w:color w:val="000000"/>
        </w:rPr>
        <w:t>2025)</w:t>
      </w:r>
      <w:r w:rsidRPr="007044F7">
        <w:rPr>
          <w:color w:val="000000"/>
        </w:rPr>
        <w:t>. Collaborative strategies frequently result in the creation of local regulations and norms that synchronize harvesting practices with ecological capacities, thereby promoting a long-term equilibrium between utilization and conservation</w:t>
      </w:r>
      <w:r w:rsidR="00001AE6">
        <w:rPr>
          <w:color w:val="000000"/>
        </w:rPr>
        <w:t xml:space="preserve"> (Darro </w:t>
      </w:r>
      <w:r w:rsidR="00001AE6" w:rsidRPr="007E1FB1">
        <w:rPr>
          <w:i/>
          <w:iCs/>
          <w:color w:val="000000"/>
        </w:rPr>
        <w:t>et al</w:t>
      </w:r>
      <w:r w:rsidR="007E1FB1">
        <w:rPr>
          <w:i/>
          <w:iCs/>
          <w:color w:val="000000"/>
        </w:rPr>
        <w:t>.,</w:t>
      </w:r>
      <w:r w:rsidR="00001AE6">
        <w:rPr>
          <w:color w:val="000000"/>
        </w:rPr>
        <w:t xml:space="preserve"> 2022)</w:t>
      </w:r>
      <w:r w:rsidR="00422745">
        <w:rPr>
          <w:color w:val="000000"/>
        </w:rPr>
        <w:t>.</w:t>
      </w:r>
    </w:p>
    <w:p w14:paraId="1C803560" w14:textId="77777777" w:rsidR="007044F7" w:rsidRDefault="007044F7" w:rsidP="007044F7">
      <w:pPr>
        <w:shd w:val="clear" w:color="auto" w:fill="FFFFFF"/>
        <w:spacing w:after="0" w:line="360" w:lineRule="auto"/>
        <w:ind w:firstLine="720"/>
        <w:jc w:val="both"/>
        <w:outlineLvl w:val="1"/>
        <w:rPr>
          <w:rFonts w:ascii="Arial" w:hAnsi="Arial" w:cs="Arial"/>
          <w:color w:val="000000"/>
          <w:sz w:val="27"/>
          <w:szCs w:val="27"/>
          <w:shd w:val="clear" w:color="auto" w:fill="F4F5F6"/>
        </w:rPr>
      </w:pPr>
      <w:r w:rsidRPr="007044F7">
        <w:rPr>
          <w:rFonts w:ascii="Times New Roman" w:hAnsi="Times New Roman" w:cs="Times New Roman"/>
          <w:color w:val="000000"/>
          <w:sz w:val="24"/>
          <w:szCs w:val="24"/>
        </w:rPr>
        <w:t>Agroforestry practices provide a sustainable approach for the collection of Non-Timber Forest Products (NTFPs), integrating them within agricultural frameworks. For example, growing medicinal plants alongside conventional crops not only boosts biodiversity but also offers farmers supplementary income sources. This intercropping method reduces land degradation, preserves soil health, and simultaneously addresses the dual goals of food security and resource sustainability</w:t>
      </w:r>
      <w:r w:rsidR="00001AE6">
        <w:rPr>
          <w:rFonts w:ascii="Times New Roman" w:hAnsi="Times New Roman" w:cs="Times New Roman"/>
          <w:color w:val="000000"/>
          <w:sz w:val="24"/>
          <w:szCs w:val="24"/>
        </w:rPr>
        <w:t xml:space="preserve"> (</w:t>
      </w:r>
      <w:proofErr w:type="spellStart"/>
      <w:r w:rsidR="000B7EF5">
        <w:rPr>
          <w:rFonts w:ascii="Times New Roman" w:hAnsi="Times New Roman" w:cs="Times New Roman"/>
          <w:color w:val="000000"/>
          <w:sz w:val="24"/>
          <w:szCs w:val="24"/>
        </w:rPr>
        <w:t>Rashami</w:t>
      </w:r>
      <w:proofErr w:type="spellEnd"/>
      <w:r w:rsidR="00DA1038">
        <w:rPr>
          <w:rFonts w:ascii="Times New Roman" w:hAnsi="Times New Roman" w:cs="Times New Roman"/>
          <w:color w:val="000000"/>
          <w:sz w:val="24"/>
          <w:szCs w:val="24"/>
        </w:rPr>
        <w:t xml:space="preserve"> </w:t>
      </w:r>
      <w:r w:rsidR="00001AE6" w:rsidRPr="007E1FB1">
        <w:rPr>
          <w:rFonts w:ascii="Times New Roman" w:hAnsi="Times New Roman" w:cs="Times New Roman"/>
          <w:i/>
          <w:iCs/>
          <w:color w:val="000000"/>
          <w:sz w:val="24"/>
          <w:szCs w:val="24"/>
        </w:rPr>
        <w:t>et al</w:t>
      </w:r>
      <w:r w:rsidR="007E1FB1">
        <w:rPr>
          <w:rFonts w:ascii="Times New Roman" w:hAnsi="Times New Roman" w:cs="Times New Roman"/>
          <w:i/>
          <w:iCs/>
          <w:color w:val="000000"/>
          <w:sz w:val="24"/>
          <w:szCs w:val="24"/>
        </w:rPr>
        <w:t>.,</w:t>
      </w:r>
      <w:r w:rsidR="00001AE6">
        <w:rPr>
          <w:rFonts w:ascii="Times New Roman" w:hAnsi="Times New Roman" w:cs="Times New Roman"/>
          <w:color w:val="000000"/>
          <w:sz w:val="24"/>
          <w:szCs w:val="24"/>
        </w:rPr>
        <w:t xml:space="preserve"> 2022)</w:t>
      </w:r>
      <w:r w:rsidRPr="007044F7">
        <w:rPr>
          <w:rFonts w:ascii="Times New Roman" w:hAnsi="Times New Roman" w:cs="Times New Roman"/>
          <w:color w:val="000000"/>
          <w:sz w:val="24"/>
          <w:szCs w:val="24"/>
        </w:rPr>
        <w:t xml:space="preserve">. Additionally, agroforestry can establish microclimates that </w:t>
      </w:r>
      <w:proofErr w:type="spellStart"/>
      <w:r w:rsidRPr="007044F7">
        <w:rPr>
          <w:rFonts w:ascii="Times New Roman" w:hAnsi="Times New Roman" w:cs="Times New Roman"/>
          <w:color w:val="000000"/>
          <w:sz w:val="24"/>
          <w:szCs w:val="24"/>
        </w:rPr>
        <w:t>favor</w:t>
      </w:r>
      <w:proofErr w:type="spellEnd"/>
      <w:r w:rsidRPr="007044F7">
        <w:rPr>
          <w:rFonts w:ascii="Times New Roman" w:hAnsi="Times New Roman" w:cs="Times New Roman"/>
          <w:color w:val="000000"/>
          <w:sz w:val="24"/>
          <w:szCs w:val="24"/>
        </w:rPr>
        <w:t xml:space="preserve"> the growth of particular NTFPs, thus improvingyields while fostering environmental resilience in the face of climate change. Lastly, technology can significantly enhance sustainable harvesting methods</w:t>
      </w:r>
      <w:r w:rsidR="00CE43FA">
        <w:rPr>
          <w:rFonts w:ascii="Times New Roman" w:hAnsi="Times New Roman" w:cs="Times New Roman"/>
          <w:color w:val="000000"/>
          <w:sz w:val="24"/>
          <w:szCs w:val="24"/>
        </w:rPr>
        <w:t xml:space="preserve">(Kumar </w:t>
      </w:r>
      <w:r w:rsidR="00CE43FA"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CE43FA">
        <w:rPr>
          <w:rFonts w:ascii="Times New Roman" w:hAnsi="Times New Roman" w:cs="Times New Roman"/>
          <w:color w:val="000000"/>
          <w:sz w:val="24"/>
          <w:szCs w:val="24"/>
        </w:rPr>
        <w:t xml:space="preserve"> 2023)</w:t>
      </w:r>
      <w:r w:rsidRPr="007044F7">
        <w:rPr>
          <w:rFonts w:ascii="Times New Roman" w:hAnsi="Times New Roman" w:cs="Times New Roman"/>
          <w:color w:val="000000"/>
          <w:sz w:val="24"/>
          <w:szCs w:val="24"/>
        </w:rPr>
        <w:t xml:space="preserve">. Sophisticated data collection techniques, such as Remote Sensing and Geographic Information Systems (GIS), </w:t>
      </w:r>
      <w:r w:rsidRPr="007044F7">
        <w:rPr>
          <w:rFonts w:ascii="Times New Roman" w:hAnsi="Times New Roman" w:cs="Times New Roman"/>
          <w:color w:val="000000"/>
          <w:sz w:val="24"/>
          <w:szCs w:val="24"/>
        </w:rPr>
        <w:lastRenderedPageBreak/>
        <w:t xml:space="preserve">facilitate better monitoring of NTFP ecosystems. By employing accurate mapping and monitoring, communities can determine the best times and locations for harvesting, resulting in more informed resource management </w:t>
      </w:r>
      <w:proofErr w:type="spellStart"/>
      <w:r w:rsidRPr="007044F7">
        <w:rPr>
          <w:rFonts w:ascii="Times New Roman" w:hAnsi="Times New Roman" w:cs="Times New Roman"/>
          <w:color w:val="000000"/>
          <w:sz w:val="24"/>
          <w:szCs w:val="24"/>
        </w:rPr>
        <w:t>decisions</w:t>
      </w:r>
      <w:r w:rsidR="00001AE6">
        <w:rPr>
          <w:rFonts w:ascii="Times New Roman" w:hAnsi="Times New Roman" w:cs="Times New Roman"/>
          <w:color w:val="000000"/>
          <w:sz w:val="24"/>
          <w:szCs w:val="24"/>
        </w:rPr>
        <w:t>alige</w:t>
      </w:r>
      <w:proofErr w:type="spellEnd"/>
      <w:r w:rsidRPr="007044F7">
        <w:rPr>
          <w:rFonts w:ascii="Times New Roman" w:hAnsi="Times New Roman" w:cs="Times New Roman"/>
          <w:color w:val="000000"/>
          <w:sz w:val="24"/>
          <w:szCs w:val="24"/>
        </w:rPr>
        <w:t>. Moreover, sustainable certification programs can increase the market value of responsibly sourced NTFPs, encouraging sustainable practices among harvesters and ensuring that consumers support ethical and ecologically sound production</w:t>
      </w:r>
      <w:r w:rsidR="00730A91">
        <w:rPr>
          <w:rFonts w:ascii="Times New Roman" w:hAnsi="Times New Roman" w:cs="Times New Roman"/>
          <w:color w:val="000000"/>
          <w:sz w:val="24"/>
          <w:szCs w:val="24"/>
        </w:rPr>
        <w:t xml:space="preserve"> (</w:t>
      </w:r>
      <w:proofErr w:type="spellStart"/>
      <w:r w:rsidR="00730A91">
        <w:rPr>
          <w:rFonts w:ascii="Times New Roman" w:hAnsi="Times New Roman" w:cs="Times New Roman"/>
          <w:color w:val="000000"/>
          <w:sz w:val="24"/>
          <w:szCs w:val="24"/>
        </w:rPr>
        <w:t>Mandwa</w:t>
      </w:r>
      <w:proofErr w:type="spellEnd"/>
      <w:r w:rsidR="00730A91">
        <w:rPr>
          <w:rFonts w:ascii="Times New Roman" w:hAnsi="Times New Roman" w:cs="Times New Roman"/>
          <w:color w:val="000000"/>
          <w:sz w:val="24"/>
          <w:szCs w:val="24"/>
        </w:rPr>
        <w:t xml:space="preserve"> </w:t>
      </w:r>
      <w:r w:rsidR="00730A91"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DA1038">
        <w:rPr>
          <w:rFonts w:ascii="Times New Roman" w:hAnsi="Times New Roman" w:cs="Times New Roman"/>
          <w:color w:val="000000"/>
          <w:sz w:val="24"/>
          <w:szCs w:val="24"/>
        </w:rPr>
        <w:t xml:space="preserve"> </w:t>
      </w:r>
      <w:r w:rsidR="00730A91">
        <w:rPr>
          <w:rFonts w:ascii="Times New Roman" w:hAnsi="Times New Roman" w:cs="Times New Roman"/>
          <w:color w:val="000000"/>
          <w:sz w:val="24"/>
          <w:szCs w:val="24"/>
        </w:rPr>
        <w:t>2024)</w:t>
      </w:r>
      <w:r w:rsidRPr="007044F7">
        <w:rPr>
          <w:rFonts w:ascii="Times New Roman" w:hAnsi="Times New Roman" w:cs="Times New Roman"/>
          <w:color w:val="000000"/>
          <w:sz w:val="24"/>
          <w:szCs w:val="24"/>
        </w:rPr>
        <w:t xml:space="preserve"> (Fig.1).</w:t>
      </w:r>
    </w:p>
    <w:p w14:paraId="7D8C6E93" w14:textId="77777777" w:rsidR="00AA29CD" w:rsidRDefault="002D2CC2"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Pr>
          <w:rFonts w:ascii="Times New Roman" w:eastAsia="Times New Roman" w:hAnsi="Times New Roman" w:cs="Times New Roman"/>
          <w:b/>
          <w:noProof/>
          <w:spacing w:val="1"/>
          <w:sz w:val="24"/>
          <w:szCs w:val="24"/>
        </w:rPr>
        <w:drawing>
          <wp:inline distT="0" distB="0" distL="0" distR="0" wp14:anchorId="04FC63D7" wp14:editId="618EF1B7">
            <wp:extent cx="5486400" cy="3171825"/>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F7B0148" w14:textId="77777777" w:rsidR="00484099" w:rsidRDefault="00484099" w:rsidP="00484099">
      <w:pPr>
        <w:shd w:val="clear" w:color="auto" w:fill="FFFFFF"/>
        <w:spacing w:after="0" w:line="360" w:lineRule="auto"/>
        <w:jc w:val="both"/>
        <w:outlineLvl w:val="1"/>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 xml:space="preserve">                                   Fig. 1 Factors responsible for NTFP harvesting. </w:t>
      </w:r>
    </w:p>
    <w:p w14:paraId="7CECCEA4" w14:textId="77777777" w:rsidR="00C63D4E" w:rsidRPr="00C63D4E"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sidRPr="00C63D4E">
        <w:rPr>
          <w:rFonts w:ascii="Times New Roman" w:eastAsia="Times New Roman" w:hAnsi="Times New Roman" w:cs="Times New Roman"/>
          <w:b/>
          <w:spacing w:val="1"/>
          <w:sz w:val="24"/>
          <w:szCs w:val="24"/>
        </w:rPr>
        <w:t>ECONOMIC BENEFITS OF NTFP</w:t>
      </w:r>
      <w:r>
        <w:rPr>
          <w:rFonts w:ascii="Times New Roman" w:eastAsia="Times New Roman" w:hAnsi="Times New Roman" w:cs="Times New Roman"/>
          <w:b/>
          <w:spacing w:val="1"/>
          <w:sz w:val="24"/>
          <w:szCs w:val="24"/>
        </w:rPr>
        <w:t>s</w:t>
      </w:r>
      <w:r w:rsidRPr="00C63D4E">
        <w:rPr>
          <w:rFonts w:ascii="Times New Roman" w:eastAsia="Times New Roman" w:hAnsi="Times New Roman" w:cs="Times New Roman"/>
          <w:b/>
          <w:spacing w:val="1"/>
          <w:sz w:val="24"/>
          <w:szCs w:val="24"/>
        </w:rPr>
        <w:t xml:space="preserve"> FOR LOCAL COMMUNITIES</w:t>
      </w:r>
    </w:p>
    <w:p w14:paraId="23C05F38" w14:textId="77777777" w:rsidR="007044F7" w:rsidRPr="007044F7" w:rsidRDefault="007044F7" w:rsidP="007044F7">
      <w:pPr>
        <w:pStyle w:val="NormalWeb"/>
        <w:shd w:val="clear" w:color="auto" w:fill="FFFFFF"/>
        <w:spacing w:before="0" w:beforeAutospacing="0" w:after="0" w:afterAutospacing="0" w:line="360" w:lineRule="auto"/>
        <w:jc w:val="both"/>
        <w:rPr>
          <w:color w:val="000000"/>
          <w:shd w:val="clear" w:color="auto" w:fill="F4F5F6"/>
        </w:rPr>
      </w:pPr>
      <w:r w:rsidRPr="007044F7">
        <w:rPr>
          <w:color w:val="000000"/>
        </w:rPr>
        <w:t>Non-Timber Forest Products (NTFPs) are essential for generating income within local communities. By offering alternative income sources that do not depend on timber extraction, NTFPs contribute to the diversification of household economies (see Table 1). For numerous rural families, the revenue from NTFPs, including wild fruits, herbal medicines, and traditional crafts, can represent a substantial part of their yearly income</w:t>
      </w:r>
      <w:r w:rsidR="00730A91">
        <w:rPr>
          <w:color w:val="000000"/>
        </w:rPr>
        <w:t xml:space="preserve"> (</w:t>
      </w:r>
      <w:proofErr w:type="spellStart"/>
      <w:r w:rsidR="00730A91">
        <w:rPr>
          <w:color w:val="000000"/>
        </w:rPr>
        <w:t>Bargah</w:t>
      </w:r>
      <w:proofErr w:type="spellEnd"/>
      <w:r w:rsidR="00730A91">
        <w:rPr>
          <w:color w:val="000000"/>
        </w:rPr>
        <w:t xml:space="preserve"> </w:t>
      </w:r>
      <w:r w:rsidR="00730A91" w:rsidRPr="007E1FB1">
        <w:rPr>
          <w:i/>
          <w:iCs/>
          <w:color w:val="000000"/>
        </w:rPr>
        <w:t>et al</w:t>
      </w:r>
      <w:r w:rsidR="007E1FB1">
        <w:rPr>
          <w:color w:val="000000"/>
        </w:rPr>
        <w:t>.,</w:t>
      </w:r>
      <w:r w:rsidR="00DA1038">
        <w:rPr>
          <w:color w:val="000000"/>
        </w:rPr>
        <w:t xml:space="preserve"> </w:t>
      </w:r>
      <w:r w:rsidR="00730A91">
        <w:rPr>
          <w:color w:val="000000"/>
        </w:rPr>
        <w:t>2024)</w:t>
      </w:r>
      <w:r w:rsidRPr="007044F7">
        <w:rPr>
          <w:color w:val="000000"/>
        </w:rPr>
        <w:t>. The ease of access to these products encourages engagement in both local and international markets, enabling communities to take advantage of their distinct regional biodiversity</w:t>
      </w:r>
      <w:r w:rsidR="00CE43FA">
        <w:rPr>
          <w:color w:val="000000"/>
        </w:rPr>
        <w:t xml:space="preserve"> (</w:t>
      </w:r>
      <w:proofErr w:type="spellStart"/>
      <w:r w:rsidR="00CE43FA">
        <w:rPr>
          <w:color w:val="000000"/>
        </w:rPr>
        <w:t>Bharatdwaj</w:t>
      </w:r>
      <w:proofErr w:type="spellEnd"/>
      <w:r w:rsidR="00CE43FA">
        <w:rPr>
          <w:color w:val="000000"/>
        </w:rPr>
        <w:t xml:space="preserve"> </w:t>
      </w:r>
      <w:r w:rsidR="00CE43FA" w:rsidRPr="007E1FB1">
        <w:rPr>
          <w:i/>
          <w:iCs/>
          <w:color w:val="000000"/>
        </w:rPr>
        <w:t>et</w:t>
      </w:r>
      <w:r w:rsidR="00DA1038">
        <w:rPr>
          <w:i/>
          <w:iCs/>
          <w:color w:val="000000"/>
        </w:rPr>
        <w:t xml:space="preserve"> </w:t>
      </w:r>
      <w:r w:rsidR="00CE43FA" w:rsidRPr="007E1FB1">
        <w:rPr>
          <w:i/>
          <w:iCs/>
          <w:color w:val="000000"/>
        </w:rPr>
        <w:t>al</w:t>
      </w:r>
      <w:r w:rsidR="007E1FB1">
        <w:rPr>
          <w:i/>
          <w:iCs/>
          <w:color w:val="000000"/>
        </w:rPr>
        <w:t>.,</w:t>
      </w:r>
      <w:r w:rsidR="00DA1038">
        <w:rPr>
          <w:i/>
          <w:iCs/>
          <w:color w:val="000000"/>
        </w:rPr>
        <w:t xml:space="preserve"> </w:t>
      </w:r>
      <w:r w:rsidR="00CE43FA">
        <w:rPr>
          <w:color w:val="000000"/>
        </w:rPr>
        <w:t>2023)</w:t>
      </w:r>
      <w:r w:rsidRPr="007044F7">
        <w:rPr>
          <w:color w:val="000000"/>
        </w:rPr>
        <w:t>. As a result, NTFPs serve as a safeguard against economic disturbances, providing financial stability to households that depend on agriculture or timber, which are frequently vulnerable to market volatility. Beyond income generation, NTFPs play a significant role in enhancing food security within local communities</w:t>
      </w:r>
      <w:r w:rsidR="00CE43FA">
        <w:rPr>
          <w:color w:val="000000"/>
        </w:rPr>
        <w:t xml:space="preserve"> (Kumar </w:t>
      </w:r>
      <w:r w:rsidR="00CE43FA" w:rsidRPr="007E1FB1">
        <w:rPr>
          <w:i/>
          <w:iCs/>
          <w:color w:val="000000"/>
        </w:rPr>
        <w:t>et al</w:t>
      </w:r>
      <w:r w:rsidR="007E1FB1">
        <w:rPr>
          <w:color w:val="000000"/>
        </w:rPr>
        <w:t>.,</w:t>
      </w:r>
      <w:r w:rsidR="00CE43FA">
        <w:rPr>
          <w:color w:val="000000"/>
        </w:rPr>
        <w:t xml:space="preserve"> 2022</w:t>
      </w:r>
      <w:r w:rsidR="00716153">
        <w:rPr>
          <w:color w:val="000000"/>
        </w:rPr>
        <w:t xml:space="preserve">; Netam </w:t>
      </w:r>
      <w:r w:rsidR="00716153" w:rsidRPr="00716153">
        <w:rPr>
          <w:i/>
          <w:color w:val="000000"/>
        </w:rPr>
        <w:t>et al.,</w:t>
      </w:r>
      <w:r w:rsidR="00716153">
        <w:rPr>
          <w:color w:val="000000"/>
        </w:rPr>
        <w:t xml:space="preserve"> 2025</w:t>
      </w:r>
      <w:r w:rsidR="00CE43FA">
        <w:rPr>
          <w:color w:val="000000"/>
        </w:rPr>
        <w:t>)</w:t>
      </w:r>
      <w:r w:rsidRPr="007044F7">
        <w:rPr>
          <w:color w:val="000000"/>
        </w:rPr>
        <w:t xml:space="preserve">. VariousNTFPs, such as wild greens, mushrooms, and edible nuts, are crucial food sources that supplement the diets of community members, especially in regions </w:t>
      </w:r>
      <w:r w:rsidRPr="007044F7">
        <w:rPr>
          <w:color w:val="000000"/>
        </w:rPr>
        <w:lastRenderedPageBreak/>
        <w:t>where agricultural output may be inadequate. For indigenous and marginalized populations, NTFPs frequently offer vital nutritional supplements, thus improving overall health and well-being</w:t>
      </w:r>
      <w:r w:rsidR="00716153">
        <w:rPr>
          <w:color w:val="000000"/>
        </w:rPr>
        <w:t xml:space="preserve"> (Chaudhary </w:t>
      </w:r>
      <w:r w:rsidR="00716153" w:rsidRPr="00716153">
        <w:rPr>
          <w:i/>
          <w:color w:val="000000"/>
        </w:rPr>
        <w:t>et al.,</w:t>
      </w:r>
      <w:r w:rsidR="00716153">
        <w:rPr>
          <w:color w:val="000000"/>
        </w:rPr>
        <w:t xml:space="preserve"> 2025)</w:t>
      </w:r>
      <w:r w:rsidRPr="007044F7">
        <w:rPr>
          <w:color w:val="000000"/>
        </w:rPr>
        <w:t>. Additionally, the presence of these resources can reduce the strain on cultivated crops, enabling local farmers to manage their agricultural production more effectively. By sustaining a diverse array of food sources, NTFPs promote resilience against seasonal food shortages and economic challenges</w:t>
      </w:r>
      <w:r w:rsidR="00CE43FA">
        <w:rPr>
          <w:color w:val="000000"/>
        </w:rPr>
        <w:t xml:space="preserve"> (Chandra </w:t>
      </w:r>
      <w:r w:rsidR="00CE43FA" w:rsidRPr="007E1FB1">
        <w:rPr>
          <w:i/>
          <w:iCs/>
          <w:color w:val="000000"/>
        </w:rPr>
        <w:t>et al</w:t>
      </w:r>
      <w:r w:rsidR="007E1FB1">
        <w:rPr>
          <w:color w:val="000000"/>
        </w:rPr>
        <w:t>.,</w:t>
      </w:r>
      <w:r w:rsidR="00DA1038">
        <w:rPr>
          <w:color w:val="000000"/>
        </w:rPr>
        <w:t xml:space="preserve"> </w:t>
      </w:r>
      <w:r w:rsidR="00CE43FA">
        <w:rPr>
          <w:color w:val="000000"/>
        </w:rPr>
        <w:t>2024)</w:t>
      </w:r>
      <w:r w:rsidRPr="007044F7">
        <w:rPr>
          <w:color w:val="000000"/>
        </w:rPr>
        <w:t>.</w:t>
      </w:r>
    </w:p>
    <w:p w14:paraId="2611A1B7" w14:textId="77777777" w:rsidR="007044F7" w:rsidRPr="007044F7" w:rsidRDefault="007044F7" w:rsidP="007044F7">
      <w:pPr>
        <w:pStyle w:val="NormalWeb"/>
        <w:shd w:val="clear" w:color="auto" w:fill="FFFFFF"/>
        <w:spacing w:before="0" w:beforeAutospacing="0" w:after="0" w:afterAutospacing="0" w:line="360" w:lineRule="auto"/>
        <w:ind w:firstLine="720"/>
        <w:jc w:val="both"/>
        <w:rPr>
          <w:color w:val="000000"/>
          <w:shd w:val="clear" w:color="auto" w:fill="F4F5F6"/>
        </w:rPr>
      </w:pPr>
      <w:r w:rsidRPr="007044F7">
        <w:rPr>
          <w:color w:val="000000"/>
        </w:rPr>
        <w:t>Furthermore, the sustainable harvesting of non-timber forest products (NTFPs) can promote environmental conservation, which subsequently benefits local economies. When communities participate in the sustainable collection of NTFPs, they are motivated to protect and sustain the foreststhat supply these resources</w:t>
      </w:r>
      <w:r w:rsidR="00CE43FA">
        <w:rPr>
          <w:color w:val="000000"/>
        </w:rPr>
        <w:t xml:space="preserve"> (Galleti </w:t>
      </w:r>
      <w:r w:rsidR="00CE43FA" w:rsidRPr="007E1FB1">
        <w:rPr>
          <w:i/>
          <w:iCs/>
          <w:color w:val="000000"/>
        </w:rPr>
        <w:t>et al</w:t>
      </w:r>
      <w:r w:rsidR="007E1FB1">
        <w:rPr>
          <w:color w:val="000000"/>
        </w:rPr>
        <w:t>.,</w:t>
      </w:r>
      <w:r w:rsidR="00CE43FA">
        <w:rPr>
          <w:color w:val="000000"/>
        </w:rPr>
        <w:t>1993)</w:t>
      </w:r>
      <w:r w:rsidRPr="007044F7">
        <w:rPr>
          <w:color w:val="000000"/>
        </w:rPr>
        <w:t xml:space="preserve"> This connection encourages practices that avert deforestation, preserve biodiversity, and enhance ecosystem health. Such conservation initiatives can draw ecotourism, generating additional revenue sources for local communities</w:t>
      </w:r>
      <w:r w:rsidR="00CE43FA">
        <w:rPr>
          <w:color w:val="000000"/>
        </w:rPr>
        <w:t xml:space="preserve"> (Vaishnav </w:t>
      </w:r>
      <w:r w:rsidR="00CE43FA" w:rsidRPr="007E1FB1">
        <w:rPr>
          <w:i/>
          <w:iCs/>
          <w:color w:val="000000"/>
        </w:rPr>
        <w:t>et al</w:t>
      </w:r>
      <w:r w:rsidR="007E1FB1">
        <w:rPr>
          <w:color w:val="000000"/>
        </w:rPr>
        <w:t>.,</w:t>
      </w:r>
      <w:r w:rsidR="00422745">
        <w:rPr>
          <w:color w:val="000000"/>
        </w:rPr>
        <w:t xml:space="preserve"> </w:t>
      </w:r>
      <w:r w:rsidR="00CE43FA">
        <w:rPr>
          <w:color w:val="000000"/>
        </w:rPr>
        <w:t>2025)</w:t>
      </w:r>
      <w:r w:rsidRPr="007044F7">
        <w:rPr>
          <w:color w:val="000000"/>
        </w:rPr>
        <w:t xml:space="preserve">. By establishing co-management strategies, where local individuals play a crucial role in forest stewardship, the sustainability of NTFPs can be guaranteed, fostering a sustainable equilibrium between economic growth and environmental integrity. Finally, the cultivation and processing of NTFPs can invigorate local economies by generating job opportunities and encouraging entrepreneurship. Small businesses </w:t>
      </w:r>
      <w:proofErr w:type="spellStart"/>
      <w:r w:rsidRPr="007044F7">
        <w:rPr>
          <w:color w:val="000000"/>
        </w:rPr>
        <w:t>centered</w:t>
      </w:r>
      <w:proofErr w:type="spellEnd"/>
      <w:r w:rsidRPr="007044F7">
        <w:rPr>
          <w:color w:val="000000"/>
        </w:rPr>
        <w:t xml:space="preserve"> on the collection, processing, and distribution of NTFPs can stimulate job creation within communities, especially for women and youth. Empowering these groups not only fosters inclusive growth but also advances social equity. Moreover, training programs that emphasize the sustainable management and marketing of NTFPs enhance the skill sets of local residents, preparing them to better respond to market demands and strengthen community autonomy</w:t>
      </w:r>
      <w:r w:rsidR="002D2372">
        <w:rPr>
          <w:color w:val="000000"/>
        </w:rPr>
        <w:t xml:space="preserve"> (</w:t>
      </w:r>
      <w:proofErr w:type="spellStart"/>
      <w:r w:rsidR="002D2372">
        <w:rPr>
          <w:color w:val="000000"/>
        </w:rPr>
        <w:t>Bargah</w:t>
      </w:r>
      <w:proofErr w:type="spellEnd"/>
      <w:r w:rsidR="002D2372">
        <w:rPr>
          <w:color w:val="000000"/>
        </w:rPr>
        <w:t xml:space="preserve"> </w:t>
      </w:r>
      <w:r w:rsidR="002D2372" w:rsidRPr="007E1FB1">
        <w:rPr>
          <w:i/>
          <w:iCs/>
          <w:color w:val="000000"/>
        </w:rPr>
        <w:t>et al</w:t>
      </w:r>
      <w:r w:rsidR="007E1FB1">
        <w:rPr>
          <w:color w:val="000000"/>
        </w:rPr>
        <w:t>.,</w:t>
      </w:r>
      <w:r w:rsidR="00DA1038">
        <w:rPr>
          <w:color w:val="000000"/>
        </w:rPr>
        <w:t xml:space="preserve"> </w:t>
      </w:r>
      <w:r w:rsidR="002D2372">
        <w:rPr>
          <w:color w:val="000000"/>
        </w:rPr>
        <w:t>2024)</w:t>
      </w:r>
      <w:r w:rsidRPr="007044F7">
        <w:rPr>
          <w:color w:val="000000"/>
        </w:rPr>
        <w:t>.</w:t>
      </w:r>
    </w:p>
    <w:p w14:paraId="0D75B011" w14:textId="77777777" w:rsidR="00C7213B" w:rsidRPr="00C7213B" w:rsidRDefault="00C7213B" w:rsidP="00C7213B">
      <w:pPr>
        <w:pStyle w:val="NormalWeb"/>
        <w:shd w:val="clear" w:color="auto" w:fill="FFFFFF"/>
        <w:spacing w:before="0" w:beforeAutospacing="0" w:after="0" w:afterAutospacing="0" w:line="360" w:lineRule="auto"/>
        <w:jc w:val="both"/>
        <w:rPr>
          <w:b/>
          <w:spacing w:val="1"/>
        </w:rPr>
      </w:pPr>
      <w:r w:rsidRPr="00C7213B">
        <w:rPr>
          <w:b/>
          <w:spacing w:val="1"/>
        </w:rPr>
        <w:t>Table</w:t>
      </w:r>
      <w:r w:rsidR="001D5034">
        <w:rPr>
          <w:b/>
          <w:spacing w:val="1"/>
        </w:rPr>
        <w:t xml:space="preserve"> 1.</w:t>
      </w:r>
      <w:r w:rsidRPr="00C7213B">
        <w:rPr>
          <w:b/>
        </w:rPr>
        <w:t xml:space="preserve"> Economic Benefits of NTFPs for Local Communities</w:t>
      </w:r>
      <w:r>
        <w:rPr>
          <w:b/>
        </w:rPr>
        <w:t>.</w:t>
      </w:r>
    </w:p>
    <w:tbl>
      <w:tblPr>
        <w:tblStyle w:val="TableGrid"/>
        <w:tblW w:w="0" w:type="auto"/>
        <w:tblLook w:val="04A0" w:firstRow="1" w:lastRow="0" w:firstColumn="1" w:lastColumn="0" w:noHBand="0" w:noVBand="1"/>
      </w:tblPr>
      <w:tblGrid>
        <w:gridCol w:w="817"/>
        <w:gridCol w:w="2835"/>
        <w:gridCol w:w="2835"/>
        <w:gridCol w:w="2755"/>
      </w:tblGrid>
      <w:tr w:rsidR="00C7213B" w14:paraId="33E7B4D6" w14:textId="77777777" w:rsidTr="00C7213B">
        <w:tc>
          <w:tcPr>
            <w:tcW w:w="817" w:type="dxa"/>
          </w:tcPr>
          <w:p w14:paraId="76F033B2" w14:textId="77777777" w:rsidR="00C7213B" w:rsidRPr="00C7213B" w:rsidRDefault="00C7213B" w:rsidP="00C7213B">
            <w:pPr>
              <w:pStyle w:val="NormalWeb"/>
              <w:spacing w:before="0" w:beforeAutospacing="0" w:after="0" w:afterAutospacing="0" w:line="360" w:lineRule="auto"/>
              <w:jc w:val="both"/>
              <w:rPr>
                <w:b/>
                <w:spacing w:val="1"/>
              </w:rPr>
            </w:pPr>
            <w:proofErr w:type="spellStart"/>
            <w:r w:rsidRPr="00C7213B">
              <w:rPr>
                <w:b/>
                <w:spacing w:val="1"/>
              </w:rPr>
              <w:t>S.No</w:t>
            </w:r>
            <w:proofErr w:type="spellEnd"/>
          </w:p>
        </w:tc>
        <w:tc>
          <w:tcPr>
            <w:tcW w:w="2835" w:type="dxa"/>
            <w:vAlign w:val="center"/>
          </w:tcPr>
          <w:p w14:paraId="77FC245A" w14:textId="77777777" w:rsidR="00C7213B" w:rsidRPr="00C7213B" w:rsidRDefault="00C7213B" w:rsidP="00C7213B">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Benefit Area</w:t>
            </w:r>
          </w:p>
        </w:tc>
        <w:tc>
          <w:tcPr>
            <w:tcW w:w="2835" w:type="dxa"/>
            <w:vAlign w:val="center"/>
          </w:tcPr>
          <w:p w14:paraId="1F0B9818" w14:textId="77777777" w:rsidR="00C7213B" w:rsidRPr="00C7213B" w:rsidRDefault="00C7213B" w:rsidP="00C7213B">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Description</w:t>
            </w:r>
          </w:p>
        </w:tc>
        <w:tc>
          <w:tcPr>
            <w:tcW w:w="2755" w:type="dxa"/>
            <w:vAlign w:val="center"/>
          </w:tcPr>
          <w:p w14:paraId="1AD68CE4" w14:textId="77777777" w:rsidR="00C7213B" w:rsidRPr="00C7213B" w:rsidRDefault="00C7213B" w:rsidP="00C7213B">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Examples</w:t>
            </w:r>
          </w:p>
        </w:tc>
      </w:tr>
      <w:tr w:rsidR="00C7213B" w14:paraId="618FA30B" w14:textId="77777777" w:rsidTr="00C7213B">
        <w:tc>
          <w:tcPr>
            <w:tcW w:w="817" w:type="dxa"/>
          </w:tcPr>
          <w:p w14:paraId="5B113D72" w14:textId="77777777" w:rsidR="00C7213B" w:rsidRDefault="00C7213B" w:rsidP="00C7213B">
            <w:pPr>
              <w:pStyle w:val="NormalWeb"/>
              <w:spacing w:before="0" w:beforeAutospacing="0" w:after="0" w:afterAutospacing="0" w:line="360" w:lineRule="auto"/>
              <w:jc w:val="center"/>
              <w:rPr>
                <w:spacing w:val="1"/>
              </w:rPr>
            </w:pPr>
            <w:r>
              <w:rPr>
                <w:spacing w:val="1"/>
              </w:rPr>
              <w:t>1.</w:t>
            </w:r>
          </w:p>
        </w:tc>
        <w:tc>
          <w:tcPr>
            <w:tcW w:w="2835" w:type="dxa"/>
          </w:tcPr>
          <w:p w14:paraId="3F6F3819"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Income Generation</w:t>
            </w:r>
          </w:p>
        </w:tc>
        <w:tc>
          <w:tcPr>
            <w:tcW w:w="2835" w:type="dxa"/>
          </w:tcPr>
          <w:p w14:paraId="28C7F053"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Direct cash income from selling NTFPs in local, regional, or national markets.</w:t>
            </w:r>
          </w:p>
        </w:tc>
        <w:tc>
          <w:tcPr>
            <w:tcW w:w="2755" w:type="dxa"/>
          </w:tcPr>
          <w:p w14:paraId="195B6072"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Sale of honey, medicinal herbs, mushrooms, wild fruits, bamboo products.</w:t>
            </w:r>
          </w:p>
        </w:tc>
      </w:tr>
      <w:tr w:rsidR="00C7213B" w14:paraId="4F325D61" w14:textId="77777777" w:rsidTr="00C7213B">
        <w:tc>
          <w:tcPr>
            <w:tcW w:w="817" w:type="dxa"/>
          </w:tcPr>
          <w:p w14:paraId="5E6ECE96" w14:textId="77777777" w:rsidR="00C7213B" w:rsidRDefault="00C7213B" w:rsidP="00C7213B">
            <w:pPr>
              <w:pStyle w:val="NormalWeb"/>
              <w:spacing w:before="0" w:beforeAutospacing="0" w:after="0" w:afterAutospacing="0" w:line="360" w:lineRule="auto"/>
              <w:jc w:val="center"/>
              <w:rPr>
                <w:spacing w:val="1"/>
              </w:rPr>
            </w:pPr>
            <w:r>
              <w:rPr>
                <w:spacing w:val="1"/>
              </w:rPr>
              <w:t>2.</w:t>
            </w:r>
          </w:p>
        </w:tc>
        <w:tc>
          <w:tcPr>
            <w:tcW w:w="2835" w:type="dxa"/>
          </w:tcPr>
          <w:p w14:paraId="5BF8386B"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Livelihood Diversification</w:t>
            </w:r>
          </w:p>
        </w:tc>
        <w:tc>
          <w:tcPr>
            <w:tcW w:w="2835" w:type="dxa"/>
          </w:tcPr>
          <w:p w14:paraId="5C99383C"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 xml:space="preserve">Adds alternative sources of income, reducing reliance on farming or wage </w:t>
            </w:r>
            <w:proofErr w:type="spellStart"/>
            <w:r w:rsidRPr="00C7213B">
              <w:rPr>
                <w:rFonts w:ascii="Times New Roman" w:eastAsia="Times New Roman" w:hAnsi="Times New Roman" w:cs="Times New Roman"/>
                <w:sz w:val="24"/>
                <w:szCs w:val="24"/>
              </w:rPr>
              <w:t>labor</w:t>
            </w:r>
            <w:proofErr w:type="spellEnd"/>
            <w:r w:rsidRPr="00C7213B">
              <w:rPr>
                <w:rFonts w:ascii="Times New Roman" w:eastAsia="Times New Roman" w:hAnsi="Times New Roman" w:cs="Times New Roman"/>
                <w:sz w:val="24"/>
                <w:szCs w:val="24"/>
              </w:rPr>
              <w:t>.</w:t>
            </w:r>
          </w:p>
        </w:tc>
        <w:tc>
          <w:tcPr>
            <w:tcW w:w="2755" w:type="dxa"/>
          </w:tcPr>
          <w:p w14:paraId="7D0F4E0E"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Harvesting nuts during off-season; combining fishing with resin collection.</w:t>
            </w:r>
          </w:p>
        </w:tc>
      </w:tr>
      <w:tr w:rsidR="00C7213B" w14:paraId="0F9ADDE0" w14:textId="77777777" w:rsidTr="00C7213B">
        <w:tc>
          <w:tcPr>
            <w:tcW w:w="817" w:type="dxa"/>
          </w:tcPr>
          <w:p w14:paraId="5A353A76" w14:textId="77777777" w:rsidR="00C7213B" w:rsidRDefault="00C7213B" w:rsidP="00C7213B">
            <w:pPr>
              <w:pStyle w:val="NormalWeb"/>
              <w:spacing w:before="0" w:beforeAutospacing="0" w:after="0" w:afterAutospacing="0" w:line="360" w:lineRule="auto"/>
              <w:jc w:val="center"/>
              <w:rPr>
                <w:spacing w:val="1"/>
              </w:rPr>
            </w:pPr>
            <w:r>
              <w:rPr>
                <w:spacing w:val="1"/>
              </w:rPr>
              <w:lastRenderedPageBreak/>
              <w:t>3.</w:t>
            </w:r>
          </w:p>
        </w:tc>
        <w:tc>
          <w:tcPr>
            <w:tcW w:w="2835" w:type="dxa"/>
          </w:tcPr>
          <w:p w14:paraId="4710B41B"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Value Addition &amp; Enterprises</w:t>
            </w:r>
          </w:p>
        </w:tc>
        <w:tc>
          <w:tcPr>
            <w:tcW w:w="2835" w:type="dxa"/>
          </w:tcPr>
          <w:p w14:paraId="66DA5795"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Enhancing product value through processing or small-scale business development.</w:t>
            </w:r>
          </w:p>
        </w:tc>
        <w:tc>
          <w:tcPr>
            <w:tcW w:w="2755" w:type="dxa"/>
          </w:tcPr>
          <w:p w14:paraId="615EDEEC"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Making essential oils, handmade baskets, dried herbs, jams, herbal soaps.</w:t>
            </w:r>
          </w:p>
        </w:tc>
      </w:tr>
      <w:tr w:rsidR="00C7213B" w14:paraId="18F615B9" w14:textId="77777777" w:rsidTr="00C7213B">
        <w:tc>
          <w:tcPr>
            <w:tcW w:w="817" w:type="dxa"/>
          </w:tcPr>
          <w:p w14:paraId="433EA18F" w14:textId="77777777" w:rsidR="00C7213B" w:rsidRDefault="00C7213B" w:rsidP="00C7213B">
            <w:pPr>
              <w:pStyle w:val="NormalWeb"/>
              <w:spacing w:before="0" w:beforeAutospacing="0" w:after="0" w:afterAutospacing="0" w:line="360" w:lineRule="auto"/>
              <w:jc w:val="center"/>
              <w:rPr>
                <w:spacing w:val="1"/>
              </w:rPr>
            </w:pPr>
            <w:r>
              <w:rPr>
                <w:spacing w:val="1"/>
              </w:rPr>
              <w:t>4.</w:t>
            </w:r>
          </w:p>
        </w:tc>
        <w:tc>
          <w:tcPr>
            <w:tcW w:w="2835" w:type="dxa"/>
          </w:tcPr>
          <w:p w14:paraId="54C8B3DA"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Cultural &amp; Traditional Uses</w:t>
            </w:r>
          </w:p>
        </w:tc>
        <w:tc>
          <w:tcPr>
            <w:tcW w:w="2835" w:type="dxa"/>
          </w:tcPr>
          <w:p w14:paraId="32A8A849"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Economic benefits from maintaining traditional practices or knowledge.</w:t>
            </w:r>
          </w:p>
        </w:tc>
        <w:tc>
          <w:tcPr>
            <w:tcW w:w="2755" w:type="dxa"/>
          </w:tcPr>
          <w:p w14:paraId="0B4CB630"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Traditional medicine, handicrafts sold to tourists, ceremonial items.</w:t>
            </w:r>
          </w:p>
        </w:tc>
      </w:tr>
      <w:tr w:rsidR="00C7213B" w14:paraId="0492F907" w14:textId="77777777" w:rsidTr="00C7213B">
        <w:tc>
          <w:tcPr>
            <w:tcW w:w="817" w:type="dxa"/>
          </w:tcPr>
          <w:p w14:paraId="33AC1C38" w14:textId="77777777" w:rsidR="00C7213B" w:rsidRDefault="00C7213B" w:rsidP="00C7213B">
            <w:pPr>
              <w:pStyle w:val="NormalWeb"/>
              <w:spacing w:before="0" w:beforeAutospacing="0" w:after="0" w:afterAutospacing="0" w:line="360" w:lineRule="auto"/>
              <w:jc w:val="center"/>
              <w:rPr>
                <w:spacing w:val="1"/>
              </w:rPr>
            </w:pPr>
            <w:r>
              <w:rPr>
                <w:spacing w:val="1"/>
              </w:rPr>
              <w:t>5.</w:t>
            </w:r>
          </w:p>
        </w:tc>
        <w:tc>
          <w:tcPr>
            <w:tcW w:w="2835" w:type="dxa"/>
          </w:tcPr>
          <w:p w14:paraId="6CC36B28"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Cost Savings/Subsistence Use</w:t>
            </w:r>
          </w:p>
        </w:tc>
        <w:tc>
          <w:tcPr>
            <w:tcW w:w="2835" w:type="dxa"/>
          </w:tcPr>
          <w:p w14:paraId="1FF2BD11"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Household use of NTFPs reduces need for purchasing goods.</w:t>
            </w:r>
          </w:p>
        </w:tc>
        <w:tc>
          <w:tcPr>
            <w:tcW w:w="2755" w:type="dxa"/>
          </w:tcPr>
          <w:p w14:paraId="3E4BFF6E"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Firewood, wild vegetables, building materials, natural dyes.</w:t>
            </w:r>
          </w:p>
        </w:tc>
      </w:tr>
      <w:tr w:rsidR="00C7213B" w14:paraId="09AB9FAA" w14:textId="77777777" w:rsidTr="00C7213B">
        <w:tc>
          <w:tcPr>
            <w:tcW w:w="817" w:type="dxa"/>
          </w:tcPr>
          <w:p w14:paraId="156841C2" w14:textId="77777777" w:rsidR="00C7213B" w:rsidRDefault="00C7213B" w:rsidP="00C7213B">
            <w:pPr>
              <w:pStyle w:val="NormalWeb"/>
              <w:spacing w:before="0" w:beforeAutospacing="0" w:after="0" w:afterAutospacing="0" w:line="360" w:lineRule="auto"/>
              <w:jc w:val="center"/>
              <w:rPr>
                <w:spacing w:val="1"/>
              </w:rPr>
            </w:pPr>
            <w:r>
              <w:rPr>
                <w:spacing w:val="1"/>
              </w:rPr>
              <w:t>6.</w:t>
            </w:r>
          </w:p>
        </w:tc>
        <w:tc>
          <w:tcPr>
            <w:tcW w:w="2835" w:type="dxa"/>
          </w:tcPr>
          <w:p w14:paraId="5BAF7C80"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Empowerment &amp; Inclusion</w:t>
            </w:r>
          </w:p>
        </w:tc>
        <w:tc>
          <w:tcPr>
            <w:tcW w:w="2835" w:type="dxa"/>
          </w:tcPr>
          <w:p w14:paraId="76483036"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Provides income and agency to marginalized groups.</w:t>
            </w:r>
          </w:p>
        </w:tc>
        <w:tc>
          <w:tcPr>
            <w:tcW w:w="2755" w:type="dxa"/>
          </w:tcPr>
          <w:p w14:paraId="4A6E6F2B" w14:textId="77777777" w:rsidR="00C7213B" w:rsidRPr="00C7213B" w:rsidRDefault="00C7213B" w:rsidP="00C7213B">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Women's cooperatives producing NTFPs; Indigenous community forest initiatives.</w:t>
            </w:r>
          </w:p>
        </w:tc>
      </w:tr>
    </w:tbl>
    <w:p w14:paraId="1818E479" w14:textId="77777777" w:rsidR="00C7213B" w:rsidRDefault="00C7213B" w:rsidP="00C7213B">
      <w:pPr>
        <w:pStyle w:val="NormalWeb"/>
        <w:shd w:val="clear" w:color="auto" w:fill="FFFFFF"/>
        <w:spacing w:before="0" w:beforeAutospacing="0" w:after="0" w:afterAutospacing="0" w:line="360" w:lineRule="auto"/>
        <w:jc w:val="both"/>
        <w:rPr>
          <w:spacing w:val="1"/>
        </w:rPr>
      </w:pPr>
    </w:p>
    <w:p w14:paraId="0E01B3C7" w14:textId="77777777" w:rsidR="00C63D4E" w:rsidRPr="00C63D4E" w:rsidRDefault="000305B5" w:rsidP="00DF7430">
      <w:pPr>
        <w:shd w:val="clear" w:color="auto" w:fill="FFFFFF"/>
        <w:spacing w:after="0" w:line="360" w:lineRule="auto"/>
        <w:jc w:val="both"/>
        <w:outlineLvl w:val="1"/>
        <w:rPr>
          <w:rFonts w:ascii="Times New Roman" w:eastAsia="Times New Roman" w:hAnsi="Times New Roman" w:cs="Times New Roman"/>
          <w:b/>
          <w:spacing w:val="1"/>
          <w:sz w:val="24"/>
          <w:szCs w:val="24"/>
        </w:rPr>
      </w:pPr>
      <w:r w:rsidRPr="00C63D4E">
        <w:rPr>
          <w:rFonts w:ascii="Times New Roman" w:eastAsia="Times New Roman" w:hAnsi="Times New Roman" w:cs="Times New Roman"/>
          <w:b/>
          <w:spacing w:val="1"/>
          <w:sz w:val="24"/>
          <w:szCs w:val="24"/>
        </w:rPr>
        <w:t>ENVIRONMENTAL IMPACT AND CONSERVATION OF FOREST ECOSYSTEMS</w:t>
      </w:r>
    </w:p>
    <w:p w14:paraId="725A8725" w14:textId="77777777" w:rsidR="00C81FBE" w:rsidRPr="00C81FBE" w:rsidRDefault="00C81FBE" w:rsidP="00B942E2">
      <w:pPr>
        <w:pStyle w:val="NormalWeb"/>
        <w:spacing w:before="0" w:beforeAutospacing="0" w:after="0" w:afterAutospacing="0" w:line="360" w:lineRule="auto"/>
        <w:jc w:val="both"/>
        <w:rPr>
          <w:color w:val="000000"/>
          <w:shd w:val="clear" w:color="auto" w:fill="F4F5F6"/>
        </w:rPr>
      </w:pPr>
      <w:r w:rsidRPr="00C81FBE">
        <w:rPr>
          <w:color w:val="000000"/>
        </w:rPr>
        <w:t xml:space="preserve">The environmental consequences of deforestation and habitat degradation are significant, presenting in various ways, including biodiversity loss, carbon emissions, and the disruption of the water cycle. Forests host around 80% of the planet's terrestrial biodiversity; their destruction results in the extinction of numerous species and thedestabilization of ecological networks. Additionally, the trees that make up these forests function as carbon sinks, absorbing substantial quantities of carbon dioxide. The depletion of forests intensifies climate change, accounting for approximately 10-15% of global greenhouse gas emissions. Furthermore, deforestation interferes with the hydrological cycle, as forests are vital in maintaining moisture levels and regulating water flow, which is crucial for the health of watersheds and the provision of clean water for human populations. In light of these effects, various conservation strategies have been developed, underscoring the significance of sustainable forest management and restoration efforts. Sustainable forest management seeks to harmonize ecological, social, and economic interests by ensuring that forest resources are utilized in a way that preserves their ecological integrity. Methods such as selective logging, agroforestry, and reforestationassist in alleviating negative impacts while delivering economic advantages to local communities. Moreover, programs like Reduced Emissions from Deforestation and Forest Degradation (REDD+) provide financial incentives for </w:t>
      </w:r>
      <w:r w:rsidRPr="00C81FBE">
        <w:rPr>
          <w:color w:val="000000"/>
        </w:rPr>
        <w:lastRenderedPageBreak/>
        <w:t>developing nations to protect their forests, thus addressing both climate change and poverty reduction</w:t>
      </w:r>
      <w:r w:rsidR="000942F2">
        <w:rPr>
          <w:color w:val="000000"/>
        </w:rPr>
        <w:t xml:space="preserve"> (Singh </w:t>
      </w:r>
      <w:r w:rsidR="000942F2" w:rsidRPr="007E1FB1">
        <w:rPr>
          <w:i/>
          <w:iCs/>
          <w:color w:val="000000"/>
        </w:rPr>
        <w:t>et al</w:t>
      </w:r>
      <w:r w:rsidR="007E1FB1">
        <w:rPr>
          <w:color w:val="000000"/>
        </w:rPr>
        <w:t>.,</w:t>
      </w:r>
      <w:r w:rsidR="00DA1038">
        <w:rPr>
          <w:color w:val="000000"/>
        </w:rPr>
        <w:t xml:space="preserve"> </w:t>
      </w:r>
      <w:r w:rsidR="000942F2">
        <w:rPr>
          <w:color w:val="000000"/>
        </w:rPr>
        <w:t>2024).</w:t>
      </w:r>
    </w:p>
    <w:p w14:paraId="15FF9CF1" w14:textId="77777777" w:rsidR="00C81FBE" w:rsidRPr="00C81FBE" w:rsidRDefault="00C81FBE" w:rsidP="00C81FBE">
      <w:pPr>
        <w:spacing w:after="0" w:line="360" w:lineRule="auto"/>
        <w:ind w:firstLine="720"/>
        <w:jc w:val="both"/>
        <w:rPr>
          <w:rFonts w:ascii="Times New Roman" w:hAnsi="Times New Roman" w:cs="Times New Roman"/>
          <w:color w:val="000000"/>
          <w:sz w:val="24"/>
          <w:szCs w:val="24"/>
          <w:shd w:val="clear" w:color="auto" w:fill="F4F5F6"/>
        </w:rPr>
      </w:pPr>
      <w:r w:rsidRPr="00C81FBE">
        <w:rPr>
          <w:rFonts w:ascii="Times New Roman" w:hAnsi="Times New Roman" w:cs="Times New Roman"/>
          <w:color w:val="000000"/>
          <w:sz w:val="24"/>
          <w:szCs w:val="24"/>
        </w:rPr>
        <w:t xml:space="preserve">Community engagement and indigenous wisdom are increasingly acknowledged as essential elements of successful forest conservation. Indigenous communities frequently have profound ties to their ancestral territories and possess extensive ecological insights that can guide sustainable practices. Joint conservation initiatives that involve local populations enhance stewardship and encourage sustainable methods that </w:t>
      </w:r>
      <w:proofErr w:type="spellStart"/>
      <w:r w:rsidRPr="00C81FBE">
        <w:rPr>
          <w:rFonts w:ascii="Times New Roman" w:hAnsi="Times New Roman" w:cs="Times New Roman"/>
          <w:color w:val="000000"/>
          <w:sz w:val="24"/>
          <w:szCs w:val="24"/>
        </w:rPr>
        <w:t>honor</w:t>
      </w:r>
      <w:proofErr w:type="spellEnd"/>
      <w:r w:rsidRPr="00C81FBE">
        <w:rPr>
          <w:rFonts w:ascii="Times New Roman" w:hAnsi="Times New Roman" w:cs="Times New Roman"/>
          <w:color w:val="000000"/>
          <w:sz w:val="24"/>
          <w:szCs w:val="24"/>
        </w:rPr>
        <w:t xml:space="preserve"> cultural traditions and historical land-use practices</w:t>
      </w:r>
      <w:r w:rsidR="000942F2">
        <w:rPr>
          <w:rFonts w:ascii="Times New Roman" w:hAnsi="Times New Roman" w:cs="Times New Roman"/>
          <w:color w:val="000000"/>
          <w:sz w:val="24"/>
          <w:szCs w:val="24"/>
        </w:rPr>
        <w:t xml:space="preserve"> (Kumar </w:t>
      </w:r>
      <w:r w:rsidR="000942F2"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422745">
        <w:rPr>
          <w:rFonts w:ascii="Times New Roman" w:hAnsi="Times New Roman" w:cs="Times New Roman"/>
          <w:color w:val="000000"/>
          <w:sz w:val="24"/>
          <w:szCs w:val="24"/>
        </w:rPr>
        <w:t xml:space="preserve"> </w:t>
      </w:r>
      <w:r w:rsidR="000942F2">
        <w:rPr>
          <w:rFonts w:ascii="Times New Roman" w:hAnsi="Times New Roman" w:cs="Times New Roman"/>
          <w:color w:val="000000"/>
          <w:sz w:val="24"/>
          <w:szCs w:val="24"/>
        </w:rPr>
        <w:t>2018)</w:t>
      </w:r>
      <w:r w:rsidRPr="00C81FBE">
        <w:rPr>
          <w:rFonts w:ascii="Times New Roman" w:hAnsi="Times New Roman" w:cs="Times New Roman"/>
          <w:color w:val="000000"/>
          <w:sz w:val="24"/>
          <w:szCs w:val="24"/>
        </w:rPr>
        <w:t xml:space="preserve">. Empowering local stakeholders guarantees that conservation approaches are relevant to their specific contexts and have a higher likelihood of success, as these communities often serve as the first line of </w:t>
      </w:r>
      <w:proofErr w:type="spellStart"/>
      <w:r w:rsidRPr="00C81FBE">
        <w:rPr>
          <w:rFonts w:ascii="Times New Roman" w:hAnsi="Times New Roman" w:cs="Times New Roman"/>
          <w:color w:val="000000"/>
          <w:sz w:val="24"/>
          <w:szCs w:val="24"/>
        </w:rPr>
        <w:t>defense</w:t>
      </w:r>
      <w:proofErr w:type="spellEnd"/>
      <w:r w:rsidRPr="00C81FBE">
        <w:rPr>
          <w:rFonts w:ascii="Times New Roman" w:hAnsi="Times New Roman" w:cs="Times New Roman"/>
          <w:color w:val="000000"/>
          <w:sz w:val="24"/>
          <w:szCs w:val="24"/>
        </w:rPr>
        <w:t xml:space="preserve"> against environmental harm. Ultimately, conserving forest ecosystems is not merely an ecological necessity but also a moral obligation that demonstrates our dedication to future generations. The intricate relationship between forests, climate, biodiversity, and human well-being highlights the pressing </w:t>
      </w:r>
      <w:r>
        <w:rPr>
          <w:rFonts w:ascii="Times New Roman" w:hAnsi="Times New Roman" w:cs="Times New Roman"/>
          <w:color w:val="000000"/>
          <w:sz w:val="24"/>
          <w:szCs w:val="24"/>
        </w:rPr>
        <w:t xml:space="preserve">need for a shift in perspective </w:t>
      </w:r>
      <w:r w:rsidRPr="00C81FBE">
        <w:rPr>
          <w:rFonts w:ascii="Times New Roman" w:hAnsi="Times New Roman" w:cs="Times New Roman"/>
          <w:color w:val="000000"/>
          <w:sz w:val="24"/>
          <w:szCs w:val="24"/>
        </w:rPr>
        <w:t>transitioning from exploitation to stewardship. By cultivating a conservation culture that prioritizes ecological integrity and promotes sustainable livelihoods, we can establish resilient forest ecosystems that flourish alongside human progress. It is crucial to address environmental impacts through comprehensive conservation strategies to safeguard the invaluable benefits that forest ecosystems offer</w:t>
      </w:r>
      <w:r w:rsidR="006A2FA2">
        <w:rPr>
          <w:rFonts w:ascii="Times New Roman" w:hAnsi="Times New Roman" w:cs="Times New Roman"/>
          <w:color w:val="000000"/>
          <w:sz w:val="24"/>
          <w:szCs w:val="24"/>
        </w:rPr>
        <w:t xml:space="preserve"> (Panday </w:t>
      </w:r>
      <w:r w:rsidR="006A2FA2"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422745">
        <w:rPr>
          <w:rFonts w:ascii="Times New Roman" w:hAnsi="Times New Roman" w:cs="Times New Roman"/>
          <w:color w:val="000000"/>
          <w:sz w:val="24"/>
          <w:szCs w:val="24"/>
        </w:rPr>
        <w:t xml:space="preserve"> </w:t>
      </w:r>
      <w:r w:rsidR="006A2FA2">
        <w:rPr>
          <w:rFonts w:ascii="Times New Roman" w:hAnsi="Times New Roman" w:cs="Times New Roman"/>
          <w:color w:val="000000"/>
          <w:sz w:val="24"/>
          <w:szCs w:val="24"/>
        </w:rPr>
        <w:t>2018)</w:t>
      </w:r>
      <w:r w:rsidRPr="00C81FBE">
        <w:rPr>
          <w:rFonts w:ascii="Times New Roman" w:hAnsi="Times New Roman" w:cs="Times New Roman"/>
          <w:color w:val="000000"/>
          <w:sz w:val="24"/>
          <w:szCs w:val="24"/>
        </w:rPr>
        <w:t>.</w:t>
      </w:r>
    </w:p>
    <w:p w14:paraId="0A347ED4" w14:textId="77777777" w:rsidR="00C63D4E" w:rsidRPr="00C63D4E" w:rsidRDefault="000305B5" w:rsidP="00DF7430">
      <w:pPr>
        <w:spacing w:after="0" w:line="360" w:lineRule="auto"/>
        <w:jc w:val="both"/>
        <w:rPr>
          <w:rFonts w:ascii="Times New Roman" w:eastAsia="Times New Roman" w:hAnsi="Times New Roman" w:cs="Times New Roman"/>
          <w:sz w:val="24"/>
          <w:szCs w:val="24"/>
        </w:rPr>
      </w:pPr>
      <w:r w:rsidRPr="00C63D4E">
        <w:rPr>
          <w:rFonts w:ascii="Times New Roman" w:eastAsia="Times New Roman" w:hAnsi="Times New Roman" w:cs="Times New Roman"/>
          <w:b/>
          <w:spacing w:val="1"/>
          <w:sz w:val="24"/>
          <w:szCs w:val="24"/>
        </w:rPr>
        <w:t>CHALLENGES IN NTFP</w:t>
      </w:r>
      <w:r>
        <w:rPr>
          <w:rFonts w:ascii="Times New Roman" w:eastAsia="Times New Roman" w:hAnsi="Times New Roman" w:cs="Times New Roman"/>
          <w:b/>
          <w:spacing w:val="1"/>
          <w:sz w:val="24"/>
          <w:szCs w:val="24"/>
        </w:rPr>
        <w:t>s</w:t>
      </w:r>
      <w:r w:rsidRPr="00C63D4E">
        <w:rPr>
          <w:rFonts w:ascii="Times New Roman" w:eastAsia="Times New Roman" w:hAnsi="Times New Roman" w:cs="Times New Roman"/>
          <w:b/>
          <w:spacing w:val="1"/>
          <w:sz w:val="24"/>
          <w:szCs w:val="24"/>
        </w:rPr>
        <w:t xml:space="preserve"> MANAGEMENT AND UTILIZATION</w:t>
      </w:r>
    </w:p>
    <w:p w14:paraId="1AF2441D" w14:textId="77777777" w:rsidR="007E1FB1" w:rsidRDefault="00C81FBE" w:rsidP="00FC1387">
      <w:pPr>
        <w:pStyle w:val="NormalWeb"/>
        <w:shd w:val="clear" w:color="auto" w:fill="FFFFFF"/>
        <w:spacing w:before="0" w:beforeAutospacing="0" w:after="0" w:afterAutospacing="0" w:line="360" w:lineRule="auto"/>
        <w:jc w:val="both"/>
        <w:rPr>
          <w:color w:val="000000"/>
        </w:rPr>
      </w:pPr>
      <w:r w:rsidRPr="00FC1387">
        <w:rPr>
          <w:color w:val="000000"/>
        </w:rPr>
        <w:t>Non-Timber Forest Products (NTFPs) serve as a vital resource for numerous communities across the globe, offering food, medicine, and income. Nevertheless, their management and use present a distinct array of challenges. These challenges can be categorized into ecological, social, economic, and policy-related issues (Table 2). Grasping these challenges is essential for implementing sustainable management practices that guarantee these precious resources persist in supporting local populations and biodiversity. A significant ecological challenge in the management of NTFPs is ensuring the sustainability of harvesting methods. Overexploitation can result in the depletion of important species, thus threatening the ecological equilibrium of forest ecosystems</w:t>
      </w:r>
      <w:r w:rsidR="006A2FA2">
        <w:rPr>
          <w:color w:val="000000"/>
        </w:rPr>
        <w:t xml:space="preserve"> (Kumar </w:t>
      </w:r>
      <w:r w:rsidR="006A2FA2" w:rsidRPr="007E1FB1">
        <w:rPr>
          <w:i/>
          <w:iCs/>
          <w:color w:val="000000"/>
        </w:rPr>
        <w:t>et al</w:t>
      </w:r>
      <w:r w:rsidR="007E1FB1">
        <w:rPr>
          <w:i/>
          <w:iCs/>
          <w:color w:val="000000"/>
        </w:rPr>
        <w:t>.,</w:t>
      </w:r>
      <w:r w:rsidR="00422745">
        <w:rPr>
          <w:i/>
          <w:iCs/>
          <w:color w:val="000000"/>
        </w:rPr>
        <w:t xml:space="preserve"> </w:t>
      </w:r>
      <w:r w:rsidR="006A2FA2">
        <w:rPr>
          <w:color w:val="000000"/>
        </w:rPr>
        <w:t>2022a)</w:t>
      </w:r>
      <w:r w:rsidRPr="00FC1387">
        <w:rPr>
          <w:color w:val="000000"/>
        </w:rPr>
        <w:t>. Many NTFPs</w:t>
      </w:r>
      <w:r w:rsidR="00422745">
        <w:rPr>
          <w:color w:val="000000"/>
        </w:rPr>
        <w:t xml:space="preserve"> </w:t>
      </w:r>
      <w:r w:rsidRPr="00FC1387">
        <w:rPr>
          <w:color w:val="000000"/>
        </w:rPr>
        <w:t>are collected without sufficient understanding of their growth rates and regeneration potential, which can lead to severe declines in their populations. Additionally, habitat destruction caused by logging, agriculture,and urban development represents a considerable risk to NTFPs. It is imperative to develop and apply sustainable harvesting practices to ensure that these resources can continue to flourish while meeting the needs of local communities</w:t>
      </w:r>
      <w:r w:rsidR="006A2FA2">
        <w:rPr>
          <w:color w:val="000000"/>
        </w:rPr>
        <w:t xml:space="preserve"> (Verma </w:t>
      </w:r>
      <w:r w:rsidR="006A2FA2" w:rsidRPr="007E1FB1">
        <w:rPr>
          <w:i/>
          <w:iCs/>
          <w:color w:val="000000"/>
        </w:rPr>
        <w:t>et al</w:t>
      </w:r>
    </w:p>
    <w:p w14:paraId="5B2BCFBF" w14:textId="77777777" w:rsidR="00C81FBE" w:rsidRPr="00FC1387" w:rsidRDefault="007E1FB1" w:rsidP="00FC1387">
      <w:pPr>
        <w:pStyle w:val="NormalWeb"/>
        <w:shd w:val="clear" w:color="auto" w:fill="FFFFFF"/>
        <w:spacing w:before="0" w:beforeAutospacing="0" w:after="0" w:afterAutospacing="0" w:line="360" w:lineRule="auto"/>
        <w:jc w:val="both"/>
        <w:rPr>
          <w:color w:val="000000"/>
          <w:shd w:val="clear" w:color="auto" w:fill="F4F5F6"/>
        </w:rPr>
      </w:pPr>
      <w:r>
        <w:rPr>
          <w:color w:val="000000"/>
        </w:rPr>
        <w:lastRenderedPageBreak/>
        <w:t>.,</w:t>
      </w:r>
      <w:r w:rsidR="00422745">
        <w:rPr>
          <w:color w:val="000000"/>
        </w:rPr>
        <w:t xml:space="preserve"> </w:t>
      </w:r>
      <w:r w:rsidR="006A2FA2">
        <w:rPr>
          <w:color w:val="000000"/>
        </w:rPr>
        <w:t>2025)</w:t>
      </w:r>
      <w:r w:rsidR="00C81FBE" w:rsidRPr="00FC1387">
        <w:rPr>
          <w:color w:val="000000"/>
        </w:rPr>
        <w:t>.</w:t>
      </w:r>
    </w:p>
    <w:p w14:paraId="3ACDA99B" w14:textId="77777777" w:rsidR="00FC1387" w:rsidRPr="00FC1387" w:rsidRDefault="00FC1387" w:rsidP="00FC1387">
      <w:pPr>
        <w:spacing w:after="0" w:line="360" w:lineRule="auto"/>
        <w:ind w:firstLine="720"/>
        <w:jc w:val="both"/>
        <w:outlineLvl w:val="2"/>
        <w:rPr>
          <w:rFonts w:ascii="Times New Roman" w:hAnsi="Times New Roman" w:cs="Times New Roman"/>
          <w:color w:val="000000"/>
          <w:sz w:val="24"/>
          <w:szCs w:val="24"/>
          <w:shd w:val="clear" w:color="auto" w:fill="F4F5F6"/>
        </w:rPr>
      </w:pPr>
      <w:r w:rsidRPr="00FC1387">
        <w:rPr>
          <w:rFonts w:ascii="Times New Roman" w:hAnsi="Times New Roman" w:cs="Times New Roman"/>
          <w:color w:val="000000"/>
          <w:sz w:val="24"/>
          <w:szCs w:val="24"/>
        </w:rPr>
        <w:t>In addition to ecological issues, social challenges significantly influence the effective management of Non-Timber Forest Products (NTFPs). Frequently, indigenous and local communities rely on these products for their livelihoods; however, they may not possess formal rights to the land and resources from which they obtain these benefits. This absence of legal recognition can result in conflicts with commercial interests and hinder communities from engaging in decision-making regarding the management of their resources. Furthermore, social inequality can obstruct fair access to NTFPs, with marginalized groups often unable to compete in the market due to socioeconomic obstacles. Initiatives aimed at empowering local communities and ensuring equitable access to resources are vital toaddress these challenges</w:t>
      </w:r>
      <w:r w:rsidR="00BD37FE">
        <w:rPr>
          <w:rFonts w:ascii="Times New Roman" w:hAnsi="Times New Roman" w:cs="Times New Roman"/>
          <w:color w:val="000000"/>
          <w:sz w:val="24"/>
          <w:szCs w:val="24"/>
        </w:rPr>
        <w:t xml:space="preserve"> (Murali </w:t>
      </w:r>
      <w:r w:rsidR="00BD37FE"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DA1038">
        <w:rPr>
          <w:rFonts w:ascii="Times New Roman" w:hAnsi="Times New Roman" w:cs="Times New Roman"/>
          <w:color w:val="000000"/>
          <w:sz w:val="24"/>
          <w:szCs w:val="24"/>
        </w:rPr>
        <w:t xml:space="preserve"> </w:t>
      </w:r>
      <w:r w:rsidR="00BD37FE">
        <w:rPr>
          <w:rFonts w:ascii="Times New Roman" w:hAnsi="Times New Roman" w:cs="Times New Roman"/>
          <w:color w:val="000000"/>
          <w:sz w:val="24"/>
          <w:szCs w:val="24"/>
        </w:rPr>
        <w:t>1996)</w:t>
      </w:r>
      <w:r w:rsidRPr="00FC1387">
        <w:rPr>
          <w:rFonts w:ascii="Times New Roman" w:hAnsi="Times New Roman" w:cs="Times New Roman"/>
          <w:color w:val="000000"/>
          <w:sz w:val="24"/>
          <w:szCs w:val="24"/>
        </w:rPr>
        <w:t>. The economic dimensions of NTFP utilization introduce their own set of difficulties. Although NTFPs can provide a source of income, market fluctuations and demand volatility may cause economic instability for those reliant on these resources. Moreover, many NTFPs are exchanged in informal markets, which lack regulation and pricing transparency. This situation can lead to the exploitation of gatherers, especially when they possess limited negotiating power. Implementing fair trade practices and establishing formal markets for NTFPs can enhance the economic conditions for these communities, increasing their income and promoting responsible resource utilization. Finally, policy-related challenges have a considerable impact on NTFP management and utilization</w:t>
      </w:r>
      <w:r w:rsidR="00BD37FE">
        <w:rPr>
          <w:rFonts w:ascii="Times New Roman" w:hAnsi="Times New Roman" w:cs="Times New Roman"/>
          <w:color w:val="000000"/>
          <w:sz w:val="24"/>
          <w:szCs w:val="24"/>
        </w:rPr>
        <w:t xml:space="preserve"> (Ticktin and John 2002)</w:t>
      </w:r>
      <w:r w:rsidRPr="00FC1387">
        <w:rPr>
          <w:rFonts w:ascii="Times New Roman" w:hAnsi="Times New Roman" w:cs="Times New Roman"/>
          <w:color w:val="000000"/>
          <w:sz w:val="24"/>
          <w:szCs w:val="24"/>
        </w:rPr>
        <w:t>. In numerous regions, current policies fail to adequatelyacknowledge NTFPs or facilitate their sustainable management. This neglect can lead to the marginalization of NTFPs in land use planning and forest management strategies. Additionally, conflicting policies concerning logging and land use can exacerbate the situation, resulting in a lack of coherence in governance</w:t>
      </w:r>
      <w:r w:rsidR="00BD37FE">
        <w:rPr>
          <w:rFonts w:ascii="Times New Roman" w:hAnsi="Times New Roman" w:cs="Times New Roman"/>
          <w:color w:val="000000"/>
          <w:sz w:val="24"/>
          <w:szCs w:val="24"/>
        </w:rPr>
        <w:t xml:space="preserve"> (Kumar </w:t>
      </w:r>
      <w:r w:rsidR="00BD37FE" w:rsidRPr="007E1FB1">
        <w:rPr>
          <w:rFonts w:ascii="Times New Roman" w:hAnsi="Times New Roman" w:cs="Times New Roman"/>
          <w:i/>
          <w:iCs/>
          <w:color w:val="000000"/>
          <w:sz w:val="24"/>
          <w:szCs w:val="24"/>
        </w:rPr>
        <w:t>et al</w:t>
      </w:r>
      <w:r w:rsidR="007E1FB1">
        <w:rPr>
          <w:rFonts w:ascii="Times New Roman" w:hAnsi="Times New Roman" w:cs="Times New Roman"/>
          <w:i/>
          <w:iCs/>
          <w:color w:val="000000"/>
          <w:sz w:val="24"/>
          <w:szCs w:val="24"/>
        </w:rPr>
        <w:t>.,</w:t>
      </w:r>
      <w:r w:rsidR="00DA1038">
        <w:rPr>
          <w:rFonts w:ascii="Times New Roman" w:hAnsi="Times New Roman" w:cs="Times New Roman"/>
          <w:i/>
          <w:iCs/>
          <w:color w:val="000000"/>
          <w:sz w:val="24"/>
          <w:szCs w:val="24"/>
        </w:rPr>
        <w:t xml:space="preserve"> </w:t>
      </w:r>
      <w:r w:rsidR="00BD37FE">
        <w:rPr>
          <w:rFonts w:ascii="Times New Roman" w:hAnsi="Times New Roman" w:cs="Times New Roman"/>
          <w:color w:val="000000"/>
          <w:sz w:val="24"/>
          <w:szCs w:val="24"/>
        </w:rPr>
        <w:t>2022)</w:t>
      </w:r>
      <w:r w:rsidRPr="00FC1387">
        <w:rPr>
          <w:rFonts w:ascii="Times New Roman" w:hAnsi="Times New Roman" w:cs="Times New Roman"/>
          <w:color w:val="000000"/>
          <w:sz w:val="24"/>
          <w:szCs w:val="24"/>
        </w:rPr>
        <w:t>. Effective policy frameworks that are specifically designed to address the unique aspects of NTFP management are crucial for supporting conservation efforts and encouraging sustainable practices</w:t>
      </w:r>
      <w:r w:rsidR="00BD37FE">
        <w:rPr>
          <w:rFonts w:ascii="Times New Roman" w:hAnsi="Times New Roman" w:cs="Times New Roman"/>
          <w:color w:val="000000"/>
          <w:sz w:val="24"/>
          <w:szCs w:val="24"/>
        </w:rPr>
        <w:t xml:space="preserve"> (Kumar </w:t>
      </w:r>
      <w:r w:rsidR="00BD37FE" w:rsidRPr="007E1FB1">
        <w:rPr>
          <w:rFonts w:ascii="Times New Roman" w:hAnsi="Times New Roman" w:cs="Times New Roman"/>
          <w:i/>
          <w:iCs/>
          <w:color w:val="000000"/>
          <w:sz w:val="24"/>
          <w:szCs w:val="24"/>
        </w:rPr>
        <w:t>et al</w:t>
      </w:r>
      <w:r w:rsidR="007E1FB1">
        <w:rPr>
          <w:rFonts w:ascii="Times New Roman" w:hAnsi="Times New Roman" w:cs="Times New Roman"/>
          <w:color w:val="000000"/>
          <w:sz w:val="24"/>
          <w:szCs w:val="24"/>
        </w:rPr>
        <w:t>.,</w:t>
      </w:r>
      <w:r w:rsidR="00DA1038">
        <w:rPr>
          <w:rFonts w:ascii="Times New Roman" w:hAnsi="Times New Roman" w:cs="Times New Roman"/>
          <w:color w:val="000000"/>
          <w:sz w:val="24"/>
          <w:szCs w:val="24"/>
        </w:rPr>
        <w:t xml:space="preserve"> </w:t>
      </w:r>
      <w:r w:rsidR="00BD37FE">
        <w:rPr>
          <w:rFonts w:ascii="Times New Roman" w:hAnsi="Times New Roman" w:cs="Times New Roman"/>
          <w:color w:val="000000"/>
          <w:sz w:val="24"/>
          <w:szCs w:val="24"/>
        </w:rPr>
        <w:t>2024)</w:t>
      </w:r>
      <w:r w:rsidRPr="00FC1387">
        <w:rPr>
          <w:rFonts w:ascii="Times New Roman" w:hAnsi="Times New Roman" w:cs="Times New Roman"/>
          <w:color w:val="000000"/>
          <w:sz w:val="24"/>
          <w:szCs w:val="24"/>
        </w:rPr>
        <w:t>.</w:t>
      </w:r>
    </w:p>
    <w:p w14:paraId="7EF06344" w14:textId="77777777" w:rsidR="00C7213B" w:rsidRPr="005D3C2F" w:rsidRDefault="00C7213B" w:rsidP="005D3C2F">
      <w:pPr>
        <w:spacing w:after="0" w:line="360" w:lineRule="auto"/>
        <w:outlineLvl w:val="2"/>
        <w:rPr>
          <w:rFonts w:ascii="Times New Roman" w:eastAsia="Times New Roman" w:hAnsi="Times New Roman" w:cs="Times New Roman"/>
          <w:b/>
          <w:bCs/>
          <w:sz w:val="24"/>
          <w:szCs w:val="24"/>
        </w:rPr>
      </w:pPr>
      <w:r w:rsidRPr="005D3C2F">
        <w:rPr>
          <w:rFonts w:ascii="Times New Roman" w:eastAsia="Times New Roman" w:hAnsi="Times New Roman" w:cs="Times New Roman"/>
          <w:b/>
          <w:bCs/>
          <w:sz w:val="24"/>
          <w:szCs w:val="24"/>
        </w:rPr>
        <w:t>Table</w:t>
      </w:r>
      <w:r w:rsidR="005D3C2F" w:rsidRPr="005D3C2F">
        <w:rPr>
          <w:rFonts w:ascii="Times New Roman" w:eastAsia="Times New Roman" w:hAnsi="Times New Roman" w:cs="Times New Roman"/>
          <w:b/>
          <w:bCs/>
          <w:sz w:val="24"/>
          <w:szCs w:val="24"/>
        </w:rPr>
        <w:t xml:space="preserve"> 2.</w:t>
      </w:r>
      <w:r w:rsidRPr="005D3C2F">
        <w:rPr>
          <w:rFonts w:ascii="Times New Roman" w:eastAsia="Times New Roman" w:hAnsi="Times New Roman" w:cs="Times New Roman"/>
          <w:b/>
          <w:bCs/>
          <w:sz w:val="24"/>
          <w:szCs w:val="24"/>
        </w:rPr>
        <w:t xml:space="preserve"> Challenges in NTFP Management and Utilization</w:t>
      </w:r>
      <w:r w:rsidR="005D3C2F" w:rsidRPr="005D3C2F">
        <w:rPr>
          <w:rFonts w:ascii="Times New Roman" w:eastAsia="Times New Roman" w:hAnsi="Times New Roman" w:cs="Times New Roman"/>
          <w:b/>
          <w:bCs/>
          <w:sz w:val="24"/>
          <w:szCs w:val="24"/>
        </w:rPr>
        <w:t>.</w:t>
      </w:r>
    </w:p>
    <w:tbl>
      <w:tblPr>
        <w:tblStyle w:val="TableGrid"/>
        <w:tblW w:w="0" w:type="auto"/>
        <w:tblLayout w:type="fixed"/>
        <w:tblLook w:val="04A0" w:firstRow="1" w:lastRow="0" w:firstColumn="1" w:lastColumn="0" w:noHBand="0" w:noVBand="1"/>
      </w:tblPr>
      <w:tblGrid>
        <w:gridCol w:w="817"/>
        <w:gridCol w:w="2552"/>
        <w:gridCol w:w="2976"/>
        <w:gridCol w:w="2897"/>
      </w:tblGrid>
      <w:tr w:rsidR="00C7213B" w14:paraId="6ABC54E8" w14:textId="77777777" w:rsidTr="005D3C2F">
        <w:tc>
          <w:tcPr>
            <w:tcW w:w="817" w:type="dxa"/>
          </w:tcPr>
          <w:p w14:paraId="671D1E3D" w14:textId="77777777" w:rsidR="00C7213B" w:rsidRPr="00C7213B" w:rsidRDefault="00C7213B" w:rsidP="005D3C2F">
            <w:pPr>
              <w:pStyle w:val="NormalWeb"/>
              <w:spacing w:before="0" w:beforeAutospacing="0" w:after="0" w:afterAutospacing="0" w:line="360" w:lineRule="auto"/>
              <w:jc w:val="both"/>
              <w:rPr>
                <w:b/>
                <w:spacing w:val="1"/>
              </w:rPr>
            </w:pPr>
            <w:proofErr w:type="spellStart"/>
            <w:r w:rsidRPr="00C7213B">
              <w:rPr>
                <w:b/>
                <w:spacing w:val="1"/>
              </w:rPr>
              <w:t>S.No</w:t>
            </w:r>
            <w:proofErr w:type="spellEnd"/>
            <w:r w:rsidRPr="00C7213B">
              <w:rPr>
                <w:b/>
                <w:spacing w:val="1"/>
              </w:rPr>
              <w:t>.</w:t>
            </w:r>
          </w:p>
        </w:tc>
        <w:tc>
          <w:tcPr>
            <w:tcW w:w="2552" w:type="dxa"/>
            <w:vAlign w:val="center"/>
          </w:tcPr>
          <w:p w14:paraId="631DF1C9" w14:textId="77777777" w:rsidR="00C7213B" w:rsidRPr="00C7213B" w:rsidRDefault="00C7213B" w:rsidP="005D3C2F">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Challenge Area</w:t>
            </w:r>
          </w:p>
        </w:tc>
        <w:tc>
          <w:tcPr>
            <w:tcW w:w="2976" w:type="dxa"/>
            <w:vAlign w:val="center"/>
          </w:tcPr>
          <w:p w14:paraId="0ED18DE1" w14:textId="77777777" w:rsidR="00C7213B" w:rsidRPr="00C7213B" w:rsidRDefault="00C7213B" w:rsidP="005D3C2F">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Description</w:t>
            </w:r>
          </w:p>
        </w:tc>
        <w:tc>
          <w:tcPr>
            <w:tcW w:w="2897" w:type="dxa"/>
            <w:vAlign w:val="center"/>
          </w:tcPr>
          <w:p w14:paraId="183CACC2" w14:textId="77777777" w:rsidR="00C7213B" w:rsidRPr="00C7213B" w:rsidRDefault="00C7213B" w:rsidP="005D3C2F">
            <w:pPr>
              <w:spacing w:line="360" w:lineRule="auto"/>
              <w:jc w:val="center"/>
              <w:rPr>
                <w:rFonts w:ascii="Times New Roman" w:eastAsia="Times New Roman" w:hAnsi="Times New Roman" w:cs="Times New Roman"/>
                <w:b/>
                <w:bCs/>
                <w:sz w:val="24"/>
                <w:szCs w:val="24"/>
              </w:rPr>
            </w:pPr>
            <w:r w:rsidRPr="00C7213B">
              <w:rPr>
                <w:rFonts w:ascii="Times New Roman" w:eastAsia="Times New Roman" w:hAnsi="Times New Roman" w:cs="Times New Roman"/>
                <w:b/>
                <w:bCs/>
                <w:sz w:val="24"/>
                <w:szCs w:val="24"/>
              </w:rPr>
              <w:t>Examples / Impacts</w:t>
            </w:r>
          </w:p>
        </w:tc>
      </w:tr>
      <w:tr w:rsidR="00C7213B" w14:paraId="42FC533A" w14:textId="77777777" w:rsidTr="005D3C2F">
        <w:tc>
          <w:tcPr>
            <w:tcW w:w="817" w:type="dxa"/>
          </w:tcPr>
          <w:p w14:paraId="56123E98" w14:textId="77777777" w:rsidR="00C7213B" w:rsidRDefault="005D3C2F" w:rsidP="005D3C2F">
            <w:pPr>
              <w:pStyle w:val="NormalWeb"/>
              <w:spacing w:before="0" w:beforeAutospacing="0" w:after="0" w:afterAutospacing="0" w:line="360" w:lineRule="auto"/>
              <w:jc w:val="center"/>
              <w:rPr>
                <w:spacing w:val="1"/>
              </w:rPr>
            </w:pPr>
            <w:r>
              <w:rPr>
                <w:spacing w:val="1"/>
              </w:rPr>
              <w:t>1.</w:t>
            </w:r>
          </w:p>
        </w:tc>
        <w:tc>
          <w:tcPr>
            <w:tcW w:w="2552" w:type="dxa"/>
          </w:tcPr>
          <w:p w14:paraId="14F81FCB"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Overharvesting &amp; Resource Depletion</w:t>
            </w:r>
          </w:p>
        </w:tc>
        <w:tc>
          <w:tcPr>
            <w:tcW w:w="2976" w:type="dxa"/>
          </w:tcPr>
          <w:p w14:paraId="0DE868AB"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Unsustainable harvesting practices lead to depletion of key species.</w:t>
            </w:r>
          </w:p>
        </w:tc>
        <w:tc>
          <w:tcPr>
            <w:tcW w:w="2897" w:type="dxa"/>
          </w:tcPr>
          <w:p w14:paraId="28042B42"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Over-collection of medicinal plants; extinction of slow-growing species.</w:t>
            </w:r>
          </w:p>
        </w:tc>
      </w:tr>
      <w:tr w:rsidR="00C7213B" w14:paraId="2913EA8C" w14:textId="77777777" w:rsidTr="005D3C2F">
        <w:tc>
          <w:tcPr>
            <w:tcW w:w="817" w:type="dxa"/>
          </w:tcPr>
          <w:p w14:paraId="6511A026" w14:textId="77777777" w:rsidR="00C7213B" w:rsidRDefault="005D3C2F" w:rsidP="005D3C2F">
            <w:pPr>
              <w:pStyle w:val="NormalWeb"/>
              <w:spacing w:before="0" w:beforeAutospacing="0" w:after="0" w:afterAutospacing="0" w:line="360" w:lineRule="auto"/>
              <w:jc w:val="center"/>
              <w:rPr>
                <w:spacing w:val="1"/>
              </w:rPr>
            </w:pPr>
            <w:r>
              <w:rPr>
                <w:spacing w:val="1"/>
              </w:rPr>
              <w:t>2.</w:t>
            </w:r>
          </w:p>
        </w:tc>
        <w:tc>
          <w:tcPr>
            <w:tcW w:w="2552" w:type="dxa"/>
          </w:tcPr>
          <w:p w14:paraId="7039C7F7"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Lack of Market Access</w:t>
            </w:r>
          </w:p>
        </w:tc>
        <w:tc>
          <w:tcPr>
            <w:tcW w:w="2976" w:type="dxa"/>
          </w:tcPr>
          <w:p w14:paraId="73B939BA"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 xml:space="preserve">Limited connectivity to </w:t>
            </w:r>
            <w:r w:rsidRPr="00C7213B">
              <w:rPr>
                <w:rFonts w:ascii="Times New Roman" w:eastAsia="Times New Roman" w:hAnsi="Times New Roman" w:cs="Times New Roman"/>
                <w:sz w:val="24"/>
                <w:szCs w:val="24"/>
              </w:rPr>
              <w:lastRenderedPageBreak/>
              <w:t>profitable markets reduces economic returns.</w:t>
            </w:r>
          </w:p>
        </w:tc>
        <w:tc>
          <w:tcPr>
            <w:tcW w:w="2897" w:type="dxa"/>
          </w:tcPr>
          <w:p w14:paraId="23E87D19"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lastRenderedPageBreak/>
              <w:t xml:space="preserve">Remote communities </w:t>
            </w:r>
            <w:r w:rsidRPr="00C7213B">
              <w:rPr>
                <w:rFonts w:ascii="Times New Roman" w:eastAsia="Times New Roman" w:hAnsi="Times New Roman" w:cs="Times New Roman"/>
                <w:sz w:val="24"/>
                <w:szCs w:val="24"/>
              </w:rPr>
              <w:lastRenderedPageBreak/>
              <w:t>unable to sell honey or resins at fair prices.</w:t>
            </w:r>
          </w:p>
        </w:tc>
      </w:tr>
      <w:tr w:rsidR="00C7213B" w14:paraId="0257F70A" w14:textId="77777777" w:rsidTr="005D3C2F">
        <w:tc>
          <w:tcPr>
            <w:tcW w:w="817" w:type="dxa"/>
          </w:tcPr>
          <w:p w14:paraId="7C19B4C1" w14:textId="77777777" w:rsidR="00C7213B" w:rsidRDefault="005D3C2F" w:rsidP="005D3C2F">
            <w:pPr>
              <w:pStyle w:val="NormalWeb"/>
              <w:spacing w:before="0" w:beforeAutospacing="0" w:after="0" w:afterAutospacing="0" w:line="360" w:lineRule="auto"/>
              <w:jc w:val="center"/>
              <w:rPr>
                <w:spacing w:val="1"/>
              </w:rPr>
            </w:pPr>
            <w:r>
              <w:rPr>
                <w:spacing w:val="1"/>
              </w:rPr>
              <w:lastRenderedPageBreak/>
              <w:t>3.</w:t>
            </w:r>
          </w:p>
        </w:tc>
        <w:tc>
          <w:tcPr>
            <w:tcW w:w="2552" w:type="dxa"/>
          </w:tcPr>
          <w:p w14:paraId="01383D4A"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Weak Policy &amp; Regulatory Frameworks</w:t>
            </w:r>
          </w:p>
        </w:tc>
        <w:tc>
          <w:tcPr>
            <w:tcW w:w="2976" w:type="dxa"/>
          </w:tcPr>
          <w:p w14:paraId="6593E605"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Inadequate or unclear policies hinder sustainable use and trade.</w:t>
            </w:r>
          </w:p>
        </w:tc>
        <w:tc>
          <w:tcPr>
            <w:tcW w:w="2897" w:type="dxa"/>
          </w:tcPr>
          <w:p w14:paraId="75EC391D"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Conflicting forest rights; unclear benefit-sharing rules.</w:t>
            </w:r>
          </w:p>
        </w:tc>
      </w:tr>
      <w:tr w:rsidR="00C7213B" w14:paraId="060CD38C" w14:textId="77777777" w:rsidTr="005D3C2F">
        <w:tc>
          <w:tcPr>
            <w:tcW w:w="817" w:type="dxa"/>
          </w:tcPr>
          <w:p w14:paraId="03ACE486" w14:textId="77777777" w:rsidR="00C7213B" w:rsidRDefault="005D3C2F" w:rsidP="005D3C2F">
            <w:pPr>
              <w:pStyle w:val="NormalWeb"/>
              <w:spacing w:before="0" w:beforeAutospacing="0" w:after="0" w:afterAutospacing="0" w:line="360" w:lineRule="auto"/>
              <w:jc w:val="center"/>
              <w:rPr>
                <w:spacing w:val="1"/>
              </w:rPr>
            </w:pPr>
            <w:r>
              <w:rPr>
                <w:spacing w:val="1"/>
              </w:rPr>
              <w:t>4.</w:t>
            </w:r>
          </w:p>
        </w:tc>
        <w:tc>
          <w:tcPr>
            <w:tcW w:w="2552" w:type="dxa"/>
          </w:tcPr>
          <w:p w14:paraId="1AC78A67"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Limited Value Addition Capacity</w:t>
            </w:r>
          </w:p>
        </w:tc>
        <w:tc>
          <w:tcPr>
            <w:tcW w:w="2976" w:type="dxa"/>
          </w:tcPr>
          <w:p w14:paraId="741551D8"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Lack of skills, tools, or facilities for processing and packaging.</w:t>
            </w:r>
          </w:p>
        </w:tc>
        <w:tc>
          <w:tcPr>
            <w:tcW w:w="2897" w:type="dxa"/>
          </w:tcPr>
          <w:p w14:paraId="70F1C483"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Raw materials sold cheaply instead of processed products fetching higher value.</w:t>
            </w:r>
          </w:p>
        </w:tc>
      </w:tr>
      <w:tr w:rsidR="00C7213B" w14:paraId="49DDF61D" w14:textId="77777777" w:rsidTr="005D3C2F">
        <w:tc>
          <w:tcPr>
            <w:tcW w:w="817" w:type="dxa"/>
          </w:tcPr>
          <w:p w14:paraId="351C6260" w14:textId="77777777" w:rsidR="00C7213B" w:rsidRDefault="005D3C2F" w:rsidP="005D3C2F">
            <w:pPr>
              <w:pStyle w:val="NormalWeb"/>
              <w:spacing w:before="0" w:beforeAutospacing="0" w:after="0" w:afterAutospacing="0" w:line="360" w:lineRule="auto"/>
              <w:jc w:val="center"/>
              <w:rPr>
                <w:spacing w:val="1"/>
              </w:rPr>
            </w:pPr>
            <w:r>
              <w:rPr>
                <w:spacing w:val="1"/>
              </w:rPr>
              <w:t>5.</w:t>
            </w:r>
          </w:p>
        </w:tc>
        <w:tc>
          <w:tcPr>
            <w:tcW w:w="2552" w:type="dxa"/>
          </w:tcPr>
          <w:p w14:paraId="1CF6BF6A"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Knowledge Gaps &amp; Poor Documentation</w:t>
            </w:r>
          </w:p>
        </w:tc>
        <w:tc>
          <w:tcPr>
            <w:tcW w:w="2976" w:type="dxa"/>
          </w:tcPr>
          <w:p w14:paraId="411A045F"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Insufficient data on sustainable harvesting, yields, and species.</w:t>
            </w:r>
          </w:p>
        </w:tc>
        <w:tc>
          <w:tcPr>
            <w:tcW w:w="2897" w:type="dxa"/>
          </w:tcPr>
          <w:p w14:paraId="1E269990"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Lack of scientific or traditional knowledge integration.</w:t>
            </w:r>
          </w:p>
        </w:tc>
      </w:tr>
      <w:tr w:rsidR="00C7213B" w14:paraId="20360A64" w14:textId="77777777" w:rsidTr="005D3C2F">
        <w:tc>
          <w:tcPr>
            <w:tcW w:w="817" w:type="dxa"/>
          </w:tcPr>
          <w:p w14:paraId="63379757" w14:textId="77777777" w:rsidR="00C7213B" w:rsidRDefault="005D3C2F" w:rsidP="005D3C2F">
            <w:pPr>
              <w:pStyle w:val="NormalWeb"/>
              <w:spacing w:before="0" w:beforeAutospacing="0" w:after="0" w:afterAutospacing="0" w:line="360" w:lineRule="auto"/>
              <w:jc w:val="center"/>
              <w:rPr>
                <w:spacing w:val="1"/>
              </w:rPr>
            </w:pPr>
            <w:r>
              <w:rPr>
                <w:spacing w:val="1"/>
              </w:rPr>
              <w:t>6.</w:t>
            </w:r>
          </w:p>
        </w:tc>
        <w:tc>
          <w:tcPr>
            <w:tcW w:w="2552" w:type="dxa"/>
          </w:tcPr>
          <w:p w14:paraId="66B5D884"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Climate Change &amp; Environmental Stress</w:t>
            </w:r>
          </w:p>
        </w:tc>
        <w:tc>
          <w:tcPr>
            <w:tcW w:w="2976" w:type="dxa"/>
          </w:tcPr>
          <w:p w14:paraId="69404014"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Altered habitats and seasonality impact NTFP availability and quality.</w:t>
            </w:r>
          </w:p>
        </w:tc>
        <w:tc>
          <w:tcPr>
            <w:tcW w:w="2897" w:type="dxa"/>
          </w:tcPr>
          <w:p w14:paraId="60E73055"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Reduced flowering, unpredictable harvest times.</w:t>
            </w:r>
          </w:p>
        </w:tc>
      </w:tr>
      <w:tr w:rsidR="00C7213B" w14:paraId="00F21BC5" w14:textId="77777777" w:rsidTr="005D3C2F">
        <w:tc>
          <w:tcPr>
            <w:tcW w:w="817" w:type="dxa"/>
          </w:tcPr>
          <w:p w14:paraId="54396C2D" w14:textId="77777777" w:rsidR="00C7213B" w:rsidRDefault="005D3C2F" w:rsidP="005D3C2F">
            <w:pPr>
              <w:pStyle w:val="NormalWeb"/>
              <w:spacing w:before="0" w:beforeAutospacing="0" w:after="0" w:afterAutospacing="0" w:line="360" w:lineRule="auto"/>
              <w:jc w:val="center"/>
              <w:rPr>
                <w:spacing w:val="1"/>
              </w:rPr>
            </w:pPr>
            <w:r>
              <w:rPr>
                <w:spacing w:val="1"/>
              </w:rPr>
              <w:t>7.</w:t>
            </w:r>
          </w:p>
        </w:tc>
        <w:tc>
          <w:tcPr>
            <w:tcW w:w="2552" w:type="dxa"/>
          </w:tcPr>
          <w:p w14:paraId="39F7EFFC"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Inadequate Community Participation</w:t>
            </w:r>
          </w:p>
        </w:tc>
        <w:tc>
          <w:tcPr>
            <w:tcW w:w="2976" w:type="dxa"/>
          </w:tcPr>
          <w:p w14:paraId="77BE7720"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Limited involvement of local stakeholders in management and decision-making.</w:t>
            </w:r>
          </w:p>
        </w:tc>
        <w:tc>
          <w:tcPr>
            <w:tcW w:w="2897" w:type="dxa"/>
          </w:tcPr>
          <w:p w14:paraId="60ED0BFF"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Top-down forest policies excluding Indigenous knowledge or needs.</w:t>
            </w:r>
          </w:p>
        </w:tc>
      </w:tr>
      <w:tr w:rsidR="00C7213B" w14:paraId="495606E1" w14:textId="77777777" w:rsidTr="005D3C2F">
        <w:tc>
          <w:tcPr>
            <w:tcW w:w="817" w:type="dxa"/>
          </w:tcPr>
          <w:p w14:paraId="631FF7C8" w14:textId="77777777" w:rsidR="00C7213B" w:rsidRDefault="005D3C2F" w:rsidP="005D3C2F">
            <w:pPr>
              <w:pStyle w:val="NormalWeb"/>
              <w:spacing w:before="0" w:beforeAutospacing="0" w:after="0" w:afterAutospacing="0" w:line="360" w:lineRule="auto"/>
              <w:jc w:val="center"/>
              <w:rPr>
                <w:spacing w:val="1"/>
              </w:rPr>
            </w:pPr>
            <w:r>
              <w:rPr>
                <w:spacing w:val="1"/>
              </w:rPr>
              <w:t>8.</w:t>
            </w:r>
          </w:p>
        </w:tc>
        <w:tc>
          <w:tcPr>
            <w:tcW w:w="2552" w:type="dxa"/>
          </w:tcPr>
          <w:p w14:paraId="5C719BBB"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bCs/>
                <w:sz w:val="24"/>
                <w:szCs w:val="24"/>
              </w:rPr>
              <w:t>Middlemen &amp; Low Producer Prices</w:t>
            </w:r>
          </w:p>
        </w:tc>
        <w:tc>
          <w:tcPr>
            <w:tcW w:w="2976" w:type="dxa"/>
          </w:tcPr>
          <w:p w14:paraId="0D7045B4"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Producers receive a small share of final product value.</w:t>
            </w:r>
          </w:p>
        </w:tc>
        <w:tc>
          <w:tcPr>
            <w:tcW w:w="2897" w:type="dxa"/>
          </w:tcPr>
          <w:p w14:paraId="272ECC08" w14:textId="77777777" w:rsidR="00C7213B" w:rsidRPr="00C7213B" w:rsidRDefault="00C7213B" w:rsidP="005D3C2F">
            <w:pPr>
              <w:spacing w:line="360" w:lineRule="auto"/>
              <w:rPr>
                <w:rFonts w:ascii="Times New Roman" w:eastAsia="Times New Roman" w:hAnsi="Times New Roman" w:cs="Times New Roman"/>
                <w:sz w:val="24"/>
                <w:szCs w:val="24"/>
              </w:rPr>
            </w:pPr>
            <w:r w:rsidRPr="00C7213B">
              <w:rPr>
                <w:rFonts w:ascii="Times New Roman" w:eastAsia="Times New Roman" w:hAnsi="Times New Roman" w:cs="Times New Roman"/>
                <w:sz w:val="24"/>
                <w:szCs w:val="24"/>
              </w:rPr>
              <w:t>Intermediaries take majority of profit; lack of cooperatives or fair trade.</w:t>
            </w:r>
          </w:p>
        </w:tc>
      </w:tr>
    </w:tbl>
    <w:p w14:paraId="0452B385" w14:textId="77777777" w:rsidR="00C7213B" w:rsidRDefault="00C7213B" w:rsidP="00DF7430">
      <w:pPr>
        <w:pStyle w:val="NormalWeb"/>
        <w:shd w:val="clear" w:color="auto" w:fill="FFFFFF"/>
        <w:spacing w:before="0" w:beforeAutospacing="0" w:after="0" w:afterAutospacing="0" w:line="360" w:lineRule="auto"/>
        <w:ind w:firstLine="720"/>
        <w:jc w:val="both"/>
        <w:rPr>
          <w:spacing w:val="1"/>
        </w:rPr>
      </w:pPr>
    </w:p>
    <w:p w14:paraId="73BD9742" w14:textId="77777777" w:rsidR="00C63D4E" w:rsidRPr="00AA747C" w:rsidRDefault="000305B5" w:rsidP="00DF7430">
      <w:pPr>
        <w:spacing w:after="0" w:line="360" w:lineRule="auto"/>
        <w:rPr>
          <w:rFonts w:ascii="Times New Roman" w:eastAsia="Times New Roman" w:hAnsi="Times New Roman" w:cs="Times New Roman"/>
          <w:sz w:val="24"/>
          <w:szCs w:val="24"/>
        </w:rPr>
      </w:pPr>
      <w:r w:rsidRPr="00AA747C">
        <w:rPr>
          <w:rFonts w:ascii="Times New Roman" w:eastAsia="Times New Roman" w:hAnsi="Times New Roman" w:cs="Times New Roman"/>
          <w:b/>
          <w:spacing w:val="1"/>
          <w:sz w:val="24"/>
          <w:szCs w:val="24"/>
        </w:rPr>
        <w:t>FUTURE DIRECTIONS FOR NTFP</w:t>
      </w:r>
      <w:r>
        <w:rPr>
          <w:rFonts w:ascii="Times New Roman" w:eastAsia="Times New Roman" w:hAnsi="Times New Roman" w:cs="Times New Roman"/>
          <w:b/>
          <w:spacing w:val="1"/>
          <w:sz w:val="24"/>
          <w:szCs w:val="24"/>
        </w:rPr>
        <w:t>s</w:t>
      </w:r>
      <w:r w:rsidRPr="00AA747C">
        <w:rPr>
          <w:rFonts w:ascii="Times New Roman" w:eastAsia="Times New Roman" w:hAnsi="Times New Roman" w:cs="Times New Roman"/>
          <w:b/>
          <w:spacing w:val="1"/>
          <w:sz w:val="24"/>
          <w:szCs w:val="24"/>
        </w:rPr>
        <w:t xml:space="preserve"> RESEARCH AND POLICY DEVELOPMENT</w:t>
      </w:r>
    </w:p>
    <w:p w14:paraId="4B60A3AE" w14:textId="77777777" w:rsidR="00FC1387" w:rsidRPr="00422745" w:rsidRDefault="00FC1387" w:rsidP="00AA747C">
      <w:pPr>
        <w:pStyle w:val="NormalWeb"/>
        <w:shd w:val="clear" w:color="auto" w:fill="FFFFFF"/>
        <w:spacing w:before="0" w:beforeAutospacing="0" w:after="0" w:afterAutospacing="0" w:line="360" w:lineRule="auto"/>
        <w:jc w:val="both"/>
        <w:rPr>
          <w:color w:val="000000"/>
        </w:rPr>
      </w:pPr>
      <w:r w:rsidRPr="00AA747C">
        <w:rPr>
          <w:color w:val="000000"/>
        </w:rPr>
        <w:t>One key focus for upcoming NTFP research is the establishment of sustainable harvesting methods that harmonize ecological integrity with economic feasibility. Existing practices have frequently resulted in overharvesting, endangering both biodiversity and the livelihoods of individuals reliant on these resources. Research should explore optimal strategies for the sustainable management of NTFPs, integrating techniques such as agroforestry, which facilitates the simultaneous cultivation of trees and other crops. The long-term sustainability of NTFP resources can also be improved through the use of technology like remote sensing, which can assess forest health and guide harvest timings</w:t>
      </w:r>
      <w:r w:rsidR="00DA1038">
        <w:rPr>
          <w:color w:val="000000"/>
        </w:rPr>
        <w:t xml:space="preserve"> </w:t>
      </w:r>
      <w:r w:rsidR="00AC0D62">
        <w:rPr>
          <w:color w:val="000000"/>
        </w:rPr>
        <w:t>(</w:t>
      </w:r>
      <w:proofErr w:type="spellStart"/>
      <w:r w:rsidR="00BD37FE">
        <w:rPr>
          <w:color w:val="000000"/>
        </w:rPr>
        <w:t>Limanpur</w:t>
      </w:r>
      <w:proofErr w:type="spellEnd"/>
      <w:r w:rsidR="00AC0D62">
        <w:rPr>
          <w:color w:val="000000"/>
        </w:rPr>
        <w:t xml:space="preserve"> and Kumar 2018)</w:t>
      </w:r>
      <w:r w:rsidRPr="00AA747C">
        <w:rPr>
          <w:color w:val="000000"/>
        </w:rPr>
        <w:t xml:space="preserve">. This type of interdisciplinary research can guarantee that NTFP harvesting remains a viable </w:t>
      </w:r>
      <w:r w:rsidRPr="00AA747C">
        <w:rPr>
          <w:color w:val="000000"/>
        </w:rPr>
        <w:lastRenderedPageBreak/>
        <w:t xml:space="preserve">economic pursuit without compromising the resources themselves. Incorporating local and indigenous knowledge into NTFP management represents another vital area for future research and policy formulation. Indigenous communities have traditionally managed forest resources sustainably and hold significant insights into ecological practices. Policies that recognize this knowledge and advocate for community-based forest management can empower local populations while protecting biodiversity. Establishing formal partnerships between researchers and local communities can foster co-learning opportunities, where traditional ecological knowledge is </w:t>
      </w:r>
      <w:proofErr w:type="spellStart"/>
      <w:r w:rsidRPr="00AA747C">
        <w:rPr>
          <w:color w:val="000000"/>
        </w:rPr>
        <w:t>honored</w:t>
      </w:r>
      <w:proofErr w:type="spellEnd"/>
      <w:r w:rsidRPr="00AA747C">
        <w:rPr>
          <w:color w:val="000000"/>
        </w:rPr>
        <w:t xml:space="preserve"> alongside scientific exploration. Future research efforts should prioritize documenting these local practices and facilitating their integration into wider forest management policies, thereby creating a framework that appreciates both scientific and indigenous perspectives</w:t>
      </w:r>
      <w:r w:rsidR="00AC0D62">
        <w:rPr>
          <w:color w:val="000000"/>
        </w:rPr>
        <w:t xml:space="preserve"> (Khandekar </w:t>
      </w:r>
      <w:r w:rsidR="00AC0D62" w:rsidRPr="007E1FB1">
        <w:rPr>
          <w:i/>
          <w:iCs/>
          <w:color w:val="000000"/>
        </w:rPr>
        <w:t>et al</w:t>
      </w:r>
      <w:r w:rsidR="007E1FB1">
        <w:rPr>
          <w:color w:val="000000"/>
        </w:rPr>
        <w:t>.,</w:t>
      </w:r>
      <w:r w:rsidR="00422745">
        <w:rPr>
          <w:color w:val="000000"/>
        </w:rPr>
        <w:t xml:space="preserve"> </w:t>
      </w:r>
      <w:r w:rsidR="00AC0D62">
        <w:rPr>
          <w:color w:val="000000"/>
        </w:rPr>
        <w:t>2024)</w:t>
      </w:r>
      <w:r w:rsidRPr="00AA747C">
        <w:rPr>
          <w:color w:val="000000"/>
        </w:rPr>
        <w:t>.</w:t>
      </w:r>
    </w:p>
    <w:p w14:paraId="557428D8" w14:textId="77777777" w:rsidR="00604681" w:rsidRPr="00DF7430" w:rsidRDefault="00604681" w:rsidP="00DF7430">
      <w:pPr>
        <w:pStyle w:val="NormalWeb"/>
        <w:shd w:val="clear" w:color="auto" w:fill="FFFFFF"/>
        <w:spacing w:before="0" w:beforeAutospacing="0" w:after="0" w:afterAutospacing="0" w:line="360" w:lineRule="auto"/>
        <w:ind w:firstLine="720"/>
        <w:jc w:val="both"/>
        <w:rPr>
          <w:spacing w:val="1"/>
        </w:rPr>
      </w:pPr>
      <w:r w:rsidRPr="00DF7430">
        <w:rPr>
          <w:spacing w:val="1"/>
        </w:rPr>
        <w:t>Another essential focus for NTFP policy development should be the exploration of market dynamics. Understanding consumer preferences and market trends related to NTFPs can offer critical insights into how these products can be marketed sustainably. Research on market access, especially for marginalized communities, can inform policies that provide equitable opportunities for selling NTFPs, allowing local producers to retain a larger share of the profits</w:t>
      </w:r>
      <w:r w:rsidR="00AC0D62">
        <w:rPr>
          <w:spacing w:val="1"/>
        </w:rPr>
        <w:t xml:space="preserve"> (Shukla </w:t>
      </w:r>
      <w:r w:rsidR="00AC0D62" w:rsidRPr="007E1FB1">
        <w:rPr>
          <w:i/>
          <w:iCs/>
          <w:spacing w:val="1"/>
        </w:rPr>
        <w:t>et al</w:t>
      </w:r>
      <w:r w:rsidR="007E1FB1">
        <w:rPr>
          <w:spacing w:val="1"/>
        </w:rPr>
        <w:t>.,</w:t>
      </w:r>
      <w:r w:rsidR="00AC0D62">
        <w:rPr>
          <w:spacing w:val="1"/>
        </w:rPr>
        <w:t xml:space="preserve"> 2025b)</w:t>
      </w:r>
      <w:r w:rsidRPr="00DF7430">
        <w:rPr>
          <w:spacing w:val="1"/>
        </w:rPr>
        <w:t>. Moreover, increasing awareness and consumer demand for sustainable products can foster markets that prioritize responsible sourcing and conservation efforts. Collaborating with businesses on eco-</w:t>
      </w:r>
      <w:proofErr w:type="spellStart"/>
      <w:r w:rsidRPr="00DF7430">
        <w:rPr>
          <w:spacing w:val="1"/>
        </w:rPr>
        <w:t>labeling</w:t>
      </w:r>
      <w:proofErr w:type="spellEnd"/>
      <w:r w:rsidRPr="00DF7430">
        <w:rPr>
          <w:spacing w:val="1"/>
        </w:rPr>
        <w:t xml:space="preserve"> and certification schemes can also create incentives for sustainable production methods, reinforcing positive relationships between consumer </w:t>
      </w:r>
      <w:proofErr w:type="spellStart"/>
      <w:r w:rsidRPr="00DF7430">
        <w:rPr>
          <w:spacing w:val="1"/>
        </w:rPr>
        <w:t>behavior</w:t>
      </w:r>
      <w:proofErr w:type="spellEnd"/>
      <w:r w:rsidRPr="00DF7430">
        <w:rPr>
          <w:spacing w:val="1"/>
        </w:rPr>
        <w:t xml:space="preserve"> and environmental stewardship</w:t>
      </w:r>
      <w:r w:rsidR="00AC0D62">
        <w:rPr>
          <w:spacing w:val="1"/>
        </w:rPr>
        <w:t xml:space="preserve"> (Bargah </w:t>
      </w:r>
      <w:r w:rsidR="00AC0D62" w:rsidRPr="007E1FB1">
        <w:rPr>
          <w:i/>
          <w:iCs/>
          <w:spacing w:val="1"/>
        </w:rPr>
        <w:t>et al</w:t>
      </w:r>
      <w:r w:rsidR="007E1FB1">
        <w:rPr>
          <w:spacing w:val="1"/>
        </w:rPr>
        <w:t>.,</w:t>
      </w:r>
      <w:r w:rsidR="00AC0D62">
        <w:rPr>
          <w:spacing w:val="1"/>
        </w:rPr>
        <w:t xml:space="preserve"> 2025)</w:t>
      </w:r>
      <w:r w:rsidRPr="00DF7430">
        <w:rPr>
          <w:spacing w:val="1"/>
        </w:rPr>
        <w:t>.</w:t>
      </w:r>
    </w:p>
    <w:p w14:paraId="644FD01E" w14:textId="77777777" w:rsidR="00604681" w:rsidRPr="00DF7430" w:rsidRDefault="00604681" w:rsidP="00DF7430">
      <w:pPr>
        <w:pStyle w:val="NormalWeb"/>
        <w:shd w:val="clear" w:color="auto" w:fill="FFFFFF"/>
        <w:spacing w:before="0" w:beforeAutospacing="0" w:after="0" w:afterAutospacing="0" w:line="360" w:lineRule="auto"/>
        <w:ind w:firstLine="720"/>
        <w:jc w:val="both"/>
        <w:rPr>
          <w:spacing w:val="1"/>
        </w:rPr>
      </w:pPr>
      <w:r w:rsidRPr="00DF7430">
        <w:rPr>
          <w:spacing w:val="1"/>
        </w:rPr>
        <w:t>Lastly, future directions for NTFP research and policy must prioritize the intersection of climate change, biodiversity, and socio-economic resilience. As climate change impacts alter forest ecosystems, understanding how these changes will affect NTFP availability and sustainability is crucial. Policymakers should advocate for adaptive management practices that reflect ongoing ecological changes, while supporting research on the resilience of NTFP-producing communities. This can involve creating adaptive management plans that account for shifting climatic conditions, ensuring that both biodiversity and local livelihoods remain intact in the face of environmental uncertainties</w:t>
      </w:r>
      <w:r w:rsidR="00AC0D62">
        <w:rPr>
          <w:spacing w:val="1"/>
        </w:rPr>
        <w:t xml:space="preserve"> (Dixit and Ekka 2023)</w:t>
      </w:r>
      <w:r w:rsidRPr="00DF7430">
        <w:rPr>
          <w:spacing w:val="1"/>
        </w:rPr>
        <w:t>.</w:t>
      </w:r>
    </w:p>
    <w:p w14:paraId="64EFED15" w14:textId="77777777" w:rsidR="00F87CF7" w:rsidRDefault="000305B5" w:rsidP="00DF7430">
      <w:pPr>
        <w:spacing w:after="0" w:line="360" w:lineRule="auto"/>
        <w:rPr>
          <w:rFonts w:ascii="Times New Roman" w:hAnsi="Times New Roman" w:cs="Times New Roman"/>
          <w:b/>
          <w:sz w:val="24"/>
          <w:szCs w:val="24"/>
        </w:rPr>
      </w:pPr>
      <w:r w:rsidRPr="00DF7430">
        <w:rPr>
          <w:rFonts w:ascii="Times New Roman" w:hAnsi="Times New Roman" w:cs="Times New Roman"/>
          <w:b/>
          <w:sz w:val="24"/>
          <w:szCs w:val="24"/>
        </w:rPr>
        <w:t>CONCLUSION</w:t>
      </w:r>
    </w:p>
    <w:p w14:paraId="636724D4" w14:textId="77777777" w:rsidR="00AA29CD" w:rsidRPr="000305B5" w:rsidRDefault="00AA29CD" w:rsidP="000305B5">
      <w:pPr>
        <w:spacing w:after="0" w:line="360" w:lineRule="auto"/>
        <w:jc w:val="both"/>
        <w:rPr>
          <w:rStyle w:val="font-weight-medium"/>
          <w:rFonts w:ascii="Satoshi" w:hAnsi="Satoshi"/>
          <w:spacing w:val="4"/>
          <w:sz w:val="24"/>
          <w:szCs w:val="24"/>
          <w:shd w:val="clear" w:color="auto" w:fill="FFFFFF"/>
        </w:rPr>
      </w:pPr>
      <w:r w:rsidRPr="000305B5">
        <w:rPr>
          <w:rStyle w:val="font-weight-medium"/>
          <w:rFonts w:ascii="Satoshi" w:hAnsi="Satoshi"/>
          <w:spacing w:val="4"/>
          <w:sz w:val="24"/>
          <w:szCs w:val="24"/>
          <w:shd w:val="clear" w:color="auto" w:fill="FFFFFF"/>
        </w:rPr>
        <w:t xml:space="preserve">Non-Timber Forest Products (NTFPs) play a crucial role in sustainable forestry, offering economic, social, and environmental benefits. NTFPs provide alternative income sources, promote food security, and preserve cultural practices, benefiting local </w:t>
      </w:r>
      <w:r w:rsidRPr="000305B5">
        <w:rPr>
          <w:rStyle w:val="font-weight-medium"/>
          <w:rFonts w:ascii="Satoshi" w:hAnsi="Satoshi"/>
          <w:spacing w:val="4"/>
          <w:sz w:val="24"/>
          <w:szCs w:val="24"/>
          <w:shd w:val="clear" w:color="auto" w:fill="FFFFFF"/>
        </w:rPr>
        <w:lastRenderedPageBreak/>
        <w:t>communities. Sustainable harvesting techniques, community-based management systems, and market development are essential for ensuring the long-term availability of NTFPs. Policy reforms, research, and capacity building are needed to address the challenges affecting NTFP management, including overexploitation, social inequality, and inadequate policy recognition. Future research should focus on sustainable harvesting practices, integration of indigenous knowledge, and market dynamics, while considering the intersection of climate change, biodiversity, and socio-economic resilience. By prioritizing NTFPs in sustainable forestry, we can enhance ecosystem services, support local economies, and preserve biodiversity for future generations.</w:t>
      </w:r>
    </w:p>
    <w:p w14:paraId="06FCCFEE" w14:textId="77777777" w:rsidR="000305B5" w:rsidRDefault="000305B5" w:rsidP="00DA1038">
      <w:pPr>
        <w:spacing w:after="0" w:line="360" w:lineRule="auto"/>
        <w:rPr>
          <w:rFonts w:ascii="Times New Roman" w:hAnsi="Times New Roman" w:cs="Times New Roman"/>
          <w:b/>
          <w:sz w:val="24"/>
          <w:szCs w:val="24"/>
        </w:rPr>
      </w:pPr>
      <w:r w:rsidRPr="00DF7430">
        <w:rPr>
          <w:rFonts w:ascii="Times New Roman" w:hAnsi="Times New Roman" w:cs="Times New Roman"/>
          <w:b/>
          <w:sz w:val="24"/>
          <w:szCs w:val="24"/>
        </w:rPr>
        <w:t>REFERENCE</w:t>
      </w:r>
    </w:p>
    <w:p w14:paraId="2BC19B0E" w14:textId="77777777" w:rsidR="00716153" w:rsidRDefault="00716153" w:rsidP="00DA1038">
      <w:pPr>
        <w:spacing w:after="0" w:line="360" w:lineRule="auto"/>
        <w:ind w:left="567" w:hanging="567"/>
        <w:jc w:val="both"/>
        <w:rPr>
          <w:rFonts w:ascii="Times New Roman" w:hAnsi="Times New Roman" w:cs="Times New Roman"/>
          <w:sz w:val="24"/>
          <w:szCs w:val="24"/>
        </w:rPr>
      </w:pPr>
      <w:r w:rsidRPr="000710DE">
        <w:rPr>
          <w:rFonts w:ascii="Times New Roman" w:hAnsi="Times New Roman" w:cs="Times New Roman"/>
          <w:sz w:val="24"/>
          <w:szCs w:val="24"/>
        </w:rPr>
        <w:t>Alig, R., Adams, D., Joyce, L., &amp;</w:t>
      </w:r>
      <w:proofErr w:type="spellStart"/>
      <w:r w:rsidRPr="000710DE">
        <w:rPr>
          <w:rFonts w:ascii="Times New Roman" w:hAnsi="Times New Roman" w:cs="Times New Roman"/>
          <w:sz w:val="24"/>
          <w:szCs w:val="24"/>
        </w:rPr>
        <w:t>Sohngen</w:t>
      </w:r>
      <w:proofErr w:type="spellEnd"/>
      <w:r w:rsidRPr="000710DE">
        <w:rPr>
          <w:rFonts w:ascii="Times New Roman" w:hAnsi="Times New Roman" w:cs="Times New Roman"/>
          <w:sz w:val="24"/>
          <w:szCs w:val="24"/>
        </w:rPr>
        <w:t>, B. (2004). Climate change impacts and adaptation in forestry: responses by trees and markets. </w:t>
      </w:r>
      <w:r w:rsidRPr="000710DE">
        <w:rPr>
          <w:rFonts w:ascii="Times New Roman" w:hAnsi="Times New Roman" w:cs="Times New Roman"/>
          <w:i/>
          <w:iCs/>
          <w:sz w:val="24"/>
          <w:szCs w:val="24"/>
        </w:rPr>
        <w:t>Choices</w:t>
      </w:r>
      <w:r w:rsidRPr="000710DE">
        <w:rPr>
          <w:rFonts w:ascii="Times New Roman" w:hAnsi="Times New Roman" w:cs="Times New Roman"/>
          <w:sz w:val="24"/>
          <w:szCs w:val="24"/>
        </w:rPr>
        <w:t>, </w:t>
      </w:r>
      <w:r w:rsidRPr="000710DE">
        <w:rPr>
          <w:rFonts w:ascii="Times New Roman" w:hAnsi="Times New Roman" w:cs="Times New Roman"/>
          <w:i/>
          <w:iCs/>
          <w:sz w:val="24"/>
          <w:szCs w:val="24"/>
        </w:rPr>
        <w:t>19</w:t>
      </w:r>
      <w:r w:rsidRPr="000710DE">
        <w:rPr>
          <w:rFonts w:ascii="Times New Roman" w:hAnsi="Times New Roman" w:cs="Times New Roman"/>
          <w:sz w:val="24"/>
          <w:szCs w:val="24"/>
        </w:rPr>
        <w:t>(3), 7-11.</w:t>
      </w:r>
    </w:p>
    <w:p w14:paraId="3D662767" w14:textId="77777777" w:rsidR="00716153" w:rsidRDefault="00716153" w:rsidP="00DA1038">
      <w:pPr>
        <w:spacing w:after="0" w:line="360" w:lineRule="auto"/>
        <w:ind w:left="720" w:hanging="720"/>
        <w:jc w:val="both"/>
        <w:rPr>
          <w:rFonts w:ascii="Times New Roman" w:hAnsi="Times New Roman" w:cs="Times New Roman"/>
          <w:sz w:val="24"/>
          <w:szCs w:val="24"/>
        </w:rPr>
      </w:pPr>
      <w:r w:rsidRPr="000710DE">
        <w:rPr>
          <w:rFonts w:ascii="Times New Roman" w:hAnsi="Times New Roman" w:cs="Times New Roman"/>
          <w:sz w:val="24"/>
          <w:szCs w:val="24"/>
        </w:rPr>
        <w:t>Bahuguna, V. K. (2000). Forests in the economy of the rural poor: an estimation of the dependency level. </w:t>
      </w:r>
      <w:r w:rsidRPr="000710DE">
        <w:rPr>
          <w:rFonts w:ascii="Times New Roman" w:hAnsi="Times New Roman" w:cs="Times New Roman"/>
          <w:i/>
          <w:iCs/>
          <w:sz w:val="24"/>
          <w:szCs w:val="24"/>
        </w:rPr>
        <w:t>AMBIO: A Journal of the Human Environment</w:t>
      </w:r>
      <w:r w:rsidRPr="000710DE">
        <w:rPr>
          <w:rFonts w:ascii="Times New Roman" w:hAnsi="Times New Roman" w:cs="Times New Roman"/>
          <w:sz w:val="24"/>
          <w:szCs w:val="24"/>
        </w:rPr>
        <w:t>, </w:t>
      </w:r>
      <w:r w:rsidRPr="000710DE">
        <w:rPr>
          <w:rFonts w:ascii="Times New Roman" w:hAnsi="Times New Roman" w:cs="Times New Roman"/>
          <w:i/>
          <w:iCs/>
          <w:sz w:val="24"/>
          <w:szCs w:val="24"/>
        </w:rPr>
        <w:t>29</w:t>
      </w:r>
      <w:r w:rsidRPr="000710DE">
        <w:rPr>
          <w:rFonts w:ascii="Times New Roman" w:hAnsi="Times New Roman" w:cs="Times New Roman"/>
          <w:sz w:val="24"/>
          <w:szCs w:val="24"/>
        </w:rPr>
        <w:t>(3), 126-129.</w:t>
      </w:r>
    </w:p>
    <w:p w14:paraId="1302608E"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C0D23">
        <w:rPr>
          <w:rFonts w:ascii="Times New Roman" w:hAnsi="Times New Roman" w:cs="Times New Roman"/>
          <w:sz w:val="24"/>
          <w:szCs w:val="24"/>
        </w:rPr>
        <w:t>Bargah</w:t>
      </w:r>
      <w:proofErr w:type="spellEnd"/>
      <w:r w:rsidRPr="003C0D23">
        <w:rPr>
          <w:rFonts w:ascii="Times New Roman" w:hAnsi="Times New Roman" w:cs="Times New Roman"/>
          <w:sz w:val="24"/>
          <w:szCs w:val="24"/>
        </w:rPr>
        <w:t>, A. S., Sharma, D., Kumar, R., Nag, R., &amp; Pradhan, R. (2025). Enhancing Germination of Forest Tree Seeds in Chhattisgarh through PGR-Based Treatments: A Review. </w:t>
      </w:r>
      <w:r w:rsidRPr="003C0D23">
        <w:rPr>
          <w:rFonts w:ascii="Times New Roman" w:hAnsi="Times New Roman" w:cs="Times New Roman"/>
          <w:i/>
          <w:iCs/>
          <w:sz w:val="24"/>
          <w:szCs w:val="24"/>
        </w:rPr>
        <w:t>Journal of Advances in Biology &amp; Biotechnology</w:t>
      </w:r>
      <w:r w:rsidRPr="003C0D23">
        <w:rPr>
          <w:rFonts w:ascii="Times New Roman" w:hAnsi="Times New Roman" w:cs="Times New Roman"/>
          <w:sz w:val="24"/>
          <w:szCs w:val="24"/>
        </w:rPr>
        <w:t>, </w:t>
      </w:r>
      <w:r w:rsidRPr="003C0D23">
        <w:rPr>
          <w:rFonts w:ascii="Times New Roman" w:hAnsi="Times New Roman" w:cs="Times New Roman"/>
          <w:i/>
          <w:iCs/>
          <w:sz w:val="24"/>
          <w:szCs w:val="24"/>
        </w:rPr>
        <w:t>28</w:t>
      </w:r>
      <w:r w:rsidRPr="003C0D23">
        <w:rPr>
          <w:rFonts w:ascii="Times New Roman" w:hAnsi="Times New Roman" w:cs="Times New Roman"/>
          <w:sz w:val="24"/>
          <w:szCs w:val="24"/>
        </w:rPr>
        <w:t>(7), 851-863.</w:t>
      </w:r>
    </w:p>
    <w:p w14:paraId="5D3EDBA9"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B2CE6">
        <w:rPr>
          <w:rFonts w:ascii="Times New Roman" w:hAnsi="Times New Roman" w:cs="Times New Roman"/>
          <w:sz w:val="24"/>
          <w:szCs w:val="24"/>
          <w:shd w:val="clear" w:color="auto" w:fill="FFFFFF"/>
        </w:rPr>
        <w:t>Bargah</w:t>
      </w:r>
      <w:proofErr w:type="spellEnd"/>
      <w:r w:rsidRPr="005B2CE6">
        <w:rPr>
          <w:rFonts w:ascii="Times New Roman" w:hAnsi="Times New Roman" w:cs="Times New Roman"/>
          <w:sz w:val="24"/>
          <w:szCs w:val="24"/>
          <w:shd w:val="clear" w:color="auto" w:fill="FFFFFF"/>
        </w:rPr>
        <w:t xml:space="preserve">, A.S., Kumar, R., Khandekar, H., </w:t>
      </w:r>
      <w:proofErr w:type="spellStart"/>
      <w:r w:rsidRPr="005B2CE6">
        <w:rPr>
          <w:rFonts w:ascii="Times New Roman" w:hAnsi="Times New Roman" w:cs="Times New Roman"/>
          <w:sz w:val="24"/>
          <w:szCs w:val="24"/>
          <w:shd w:val="clear" w:color="auto" w:fill="FFFFFF"/>
        </w:rPr>
        <w:t>Vaishnaw</w:t>
      </w:r>
      <w:proofErr w:type="spellEnd"/>
      <w:r w:rsidRPr="005B2CE6">
        <w:rPr>
          <w:rFonts w:ascii="Times New Roman" w:hAnsi="Times New Roman" w:cs="Times New Roman"/>
          <w:sz w:val="24"/>
          <w:szCs w:val="24"/>
          <w:shd w:val="clear" w:color="auto" w:fill="FFFFFF"/>
        </w:rPr>
        <w:t xml:space="preserve">, A.K. (2024). A Status of Different </w:t>
      </w:r>
      <w:proofErr w:type="gramStart"/>
      <w:r w:rsidRPr="005B2CE6">
        <w:rPr>
          <w:rFonts w:ascii="Times New Roman" w:hAnsi="Times New Roman" w:cs="Times New Roman"/>
          <w:sz w:val="24"/>
          <w:szCs w:val="24"/>
          <w:shd w:val="clear" w:color="auto" w:fill="FFFFFF"/>
        </w:rPr>
        <w:t>Non Wood</w:t>
      </w:r>
      <w:proofErr w:type="gramEnd"/>
      <w:r w:rsidRPr="005B2CE6">
        <w:rPr>
          <w:rFonts w:ascii="Times New Roman" w:hAnsi="Times New Roman" w:cs="Times New Roman"/>
          <w:sz w:val="24"/>
          <w:szCs w:val="24"/>
          <w:shd w:val="clear" w:color="auto" w:fill="FFFFFF"/>
        </w:rPr>
        <w:t xml:space="preserve"> Forest Products in Chhattisgarh, India. </w:t>
      </w:r>
      <w:r w:rsidRPr="005B2CE6">
        <w:rPr>
          <w:rFonts w:ascii="Times New Roman" w:hAnsi="Times New Roman" w:cs="Times New Roman"/>
          <w:i/>
          <w:iCs/>
          <w:sz w:val="24"/>
          <w:szCs w:val="24"/>
          <w:shd w:val="clear" w:color="auto" w:fill="FFFFFF"/>
        </w:rPr>
        <w:t>International Journal of Plant &amp; Soil Science</w:t>
      </w:r>
      <w:r w:rsidRPr="005B2CE6">
        <w:rPr>
          <w:rFonts w:ascii="Times New Roman" w:hAnsi="Times New Roman" w:cs="Times New Roman"/>
          <w:sz w:val="24"/>
          <w:szCs w:val="24"/>
          <w:shd w:val="clear" w:color="auto" w:fill="FFFFFF"/>
        </w:rPr>
        <w:t xml:space="preserve"> 36 (11):23-40. </w:t>
      </w:r>
      <w:hyperlink r:id="rId12" w:history="1">
        <w:r w:rsidRPr="005B2CE6">
          <w:rPr>
            <w:rStyle w:val="Hyperlink"/>
            <w:rFonts w:ascii="Times New Roman" w:hAnsi="Times New Roman" w:cs="Times New Roman"/>
            <w:color w:val="auto"/>
            <w:sz w:val="24"/>
            <w:szCs w:val="24"/>
            <w:u w:val="none"/>
            <w:shd w:val="clear" w:color="auto" w:fill="FFFFFF"/>
          </w:rPr>
          <w:t>https://doi.org/10.9734/ijpss/2024/v36i115118</w:t>
        </w:r>
      </w:hyperlink>
      <w:r w:rsidRPr="005B2CE6">
        <w:rPr>
          <w:rFonts w:ascii="Times New Roman" w:hAnsi="Times New Roman" w:cs="Times New Roman"/>
          <w:sz w:val="24"/>
          <w:szCs w:val="24"/>
          <w:shd w:val="clear" w:color="auto" w:fill="FFFFFF"/>
        </w:rPr>
        <w:t>.</w:t>
      </w:r>
    </w:p>
    <w:p w14:paraId="4F7DC573"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B2CE6">
        <w:rPr>
          <w:rFonts w:ascii="Times New Roman" w:hAnsi="Times New Roman" w:cs="Times New Roman"/>
          <w:sz w:val="24"/>
          <w:szCs w:val="24"/>
        </w:rPr>
        <w:t>Bargah</w:t>
      </w:r>
      <w:proofErr w:type="spellEnd"/>
      <w:r w:rsidRPr="005B2CE6">
        <w:rPr>
          <w:rFonts w:ascii="Times New Roman" w:hAnsi="Times New Roman" w:cs="Times New Roman"/>
          <w:sz w:val="24"/>
          <w:szCs w:val="24"/>
        </w:rPr>
        <w:t>, A.S., Sharma, D., Kumar, D., Pradhan, R. (2025).</w:t>
      </w:r>
      <w:hyperlink r:id="rId13" w:history="1">
        <w:r w:rsidRPr="005B2CE6">
          <w:rPr>
            <w:rStyle w:val="Hyperlink"/>
            <w:rFonts w:ascii="Times New Roman" w:hAnsi="Times New Roman" w:cs="Times New Roman"/>
            <w:color w:val="auto"/>
            <w:sz w:val="24"/>
            <w:szCs w:val="24"/>
            <w:u w:val="none"/>
            <w:shd w:val="clear" w:color="auto" w:fill="FFFFFF"/>
          </w:rPr>
          <w:t>Enhancing Germination of Forest Tree Seeds in Chhattisgarh through PGR-Based Treatments: A Review</w:t>
        </w:r>
      </w:hyperlink>
      <w:r w:rsidRPr="005B2CE6">
        <w:rPr>
          <w:rFonts w:ascii="Times New Roman" w:hAnsi="Times New Roman" w:cs="Times New Roman"/>
          <w:sz w:val="24"/>
          <w:szCs w:val="24"/>
        </w:rPr>
        <w:t xml:space="preserve">. </w:t>
      </w:r>
      <w:r w:rsidRPr="005B2CE6">
        <w:rPr>
          <w:rFonts w:ascii="Times New Roman" w:hAnsi="Times New Roman" w:cs="Times New Roman"/>
          <w:i/>
          <w:sz w:val="24"/>
          <w:szCs w:val="24"/>
        </w:rPr>
        <w:t>Journal of Advances in Biology &amp; Biotechnology</w:t>
      </w:r>
      <w:r w:rsidRPr="005B2CE6">
        <w:rPr>
          <w:rFonts w:ascii="Times New Roman" w:hAnsi="Times New Roman" w:cs="Times New Roman"/>
          <w:sz w:val="24"/>
          <w:szCs w:val="24"/>
        </w:rPr>
        <w:t>, 28 (7):851-863</w:t>
      </w:r>
    </w:p>
    <w:p w14:paraId="270CAB90"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601C43">
        <w:rPr>
          <w:rFonts w:ascii="Times New Roman" w:hAnsi="Times New Roman" w:cs="Times New Roman"/>
          <w:sz w:val="24"/>
          <w:szCs w:val="24"/>
          <w:shd w:val="clear" w:color="auto" w:fill="FFFFFF"/>
        </w:rPr>
        <w:t>Bawara</w:t>
      </w:r>
      <w:proofErr w:type="spellEnd"/>
      <w:r w:rsidRPr="00601C43">
        <w:rPr>
          <w:rFonts w:ascii="Times New Roman" w:hAnsi="Times New Roman" w:cs="Times New Roman"/>
          <w:sz w:val="24"/>
          <w:szCs w:val="24"/>
          <w:shd w:val="clear" w:color="auto" w:fill="FFFFFF"/>
        </w:rPr>
        <w:t xml:space="preserve">, B., Dixit, M., Chauhan, N. S., Dixit, V. K., &amp; Saraf, D. K. (2010). Phyto-pharmacology of Momordica </w:t>
      </w:r>
      <w:proofErr w:type="spellStart"/>
      <w:r w:rsidRPr="00601C43">
        <w:rPr>
          <w:rFonts w:ascii="Times New Roman" w:hAnsi="Times New Roman" w:cs="Times New Roman"/>
          <w:sz w:val="24"/>
          <w:szCs w:val="24"/>
          <w:shd w:val="clear" w:color="auto" w:fill="FFFFFF"/>
        </w:rPr>
        <w:t>dioica</w:t>
      </w:r>
      <w:proofErr w:type="spellEnd"/>
      <w:r w:rsidRPr="00601C43">
        <w:rPr>
          <w:rFonts w:ascii="Times New Roman" w:hAnsi="Times New Roman" w:cs="Times New Roman"/>
          <w:sz w:val="24"/>
          <w:szCs w:val="24"/>
          <w:shd w:val="clear" w:color="auto" w:fill="FFFFFF"/>
        </w:rPr>
        <w:t xml:space="preserve"> </w:t>
      </w:r>
      <w:proofErr w:type="spellStart"/>
      <w:r w:rsidRPr="00601C43">
        <w:rPr>
          <w:rFonts w:ascii="Times New Roman" w:hAnsi="Times New Roman" w:cs="Times New Roman"/>
          <w:sz w:val="24"/>
          <w:szCs w:val="24"/>
          <w:shd w:val="clear" w:color="auto" w:fill="FFFFFF"/>
        </w:rPr>
        <w:t>Roxb</w:t>
      </w:r>
      <w:proofErr w:type="spellEnd"/>
      <w:r w:rsidRPr="00601C43">
        <w:rPr>
          <w:rFonts w:ascii="Times New Roman" w:hAnsi="Times New Roman" w:cs="Times New Roman"/>
          <w:sz w:val="24"/>
          <w:szCs w:val="24"/>
          <w:shd w:val="clear" w:color="auto" w:fill="FFFFFF"/>
        </w:rPr>
        <w:t>. ex. Willd: a review. </w:t>
      </w:r>
      <w:r w:rsidRPr="00601C43">
        <w:rPr>
          <w:rFonts w:ascii="Times New Roman" w:hAnsi="Times New Roman" w:cs="Times New Roman"/>
          <w:i/>
          <w:iCs/>
          <w:sz w:val="24"/>
          <w:szCs w:val="24"/>
          <w:shd w:val="clear" w:color="auto" w:fill="FFFFFF"/>
        </w:rPr>
        <w:t>International Journal of Phytomedicine</w:t>
      </w:r>
      <w:r w:rsidRPr="00601C43">
        <w:rPr>
          <w:rFonts w:ascii="Times New Roman" w:hAnsi="Times New Roman" w:cs="Times New Roman"/>
          <w:sz w:val="24"/>
          <w:szCs w:val="24"/>
          <w:shd w:val="clear" w:color="auto" w:fill="FFFFFF"/>
        </w:rPr>
        <w:t>, </w:t>
      </w:r>
      <w:r w:rsidRPr="00601C43">
        <w:rPr>
          <w:rFonts w:ascii="Times New Roman" w:hAnsi="Times New Roman" w:cs="Times New Roman"/>
          <w:i/>
          <w:iCs/>
          <w:sz w:val="24"/>
          <w:szCs w:val="24"/>
          <w:shd w:val="clear" w:color="auto" w:fill="FFFFFF"/>
        </w:rPr>
        <w:t>2</w:t>
      </w:r>
      <w:r w:rsidRPr="00601C43">
        <w:rPr>
          <w:rFonts w:ascii="Times New Roman" w:hAnsi="Times New Roman" w:cs="Times New Roman"/>
          <w:sz w:val="24"/>
          <w:szCs w:val="24"/>
          <w:shd w:val="clear" w:color="auto" w:fill="FFFFFF"/>
        </w:rPr>
        <w:t>(1).</w:t>
      </w:r>
    </w:p>
    <w:p w14:paraId="2C1E8489"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Bhardwaj A.K., Chandra K.K. and Kumar R. (2023). Mycorrhizal inoculation under water stress conditions and its influence on the benefit of host microbe symbiosis of </w:t>
      </w:r>
      <w:r w:rsidRPr="005B2CE6">
        <w:rPr>
          <w:rFonts w:ascii="Times New Roman" w:hAnsi="Times New Roman" w:cs="Times New Roman"/>
          <w:i/>
          <w:iCs/>
          <w:sz w:val="24"/>
          <w:szCs w:val="24"/>
        </w:rPr>
        <w:t xml:space="preserve">Terminalia arjuna </w:t>
      </w:r>
      <w:r w:rsidRPr="005B2CE6">
        <w:rPr>
          <w:rFonts w:ascii="Times New Roman" w:hAnsi="Times New Roman" w:cs="Times New Roman"/>
          <w:sz w:val="24"/>
          <w:szCs w:val="24"/>
        </w:rPr>
        <w:t xml:space="preserve">species. </w:t>
      </w:r>
      <w:r w:rsidRPr="005B2CE6">
        <w:rPr>
          <w:rFonts w:ascii="Times New Roman" w:hAnsi="Times New Roman" w:cs="Times New Roman"/>
          <w:i/>
          <w:iCs/>
          <w:sz w:val="24"/>
          <w:szCs w:val="24"/>
        </w:rPr>
        <w:t xml:space="preserve">Bulletin of the National Research Centre </w:t>
      </w:r>
      <w:r w:rsidRPr="005B2CE6">
        <w:rPr>
          <w:rFonts w:ascii="Times New Roman" w:hAnsi="Times New Roman" w:cs="Times New Roman"/>
          <w:iCs/>
          <w:sz w:val="24"/>
          <w:szCs w:val="24"/>
        </w:rPr>
        <w:t>47(89):1-13.</w:t>
      </w:r>
      <w:hyperlink r:id="rId14" w:history="1">
        <w:r w:rsidRPr="005B2CE6">
          <w:rPr>
            <w:rStyle w:val="Hyperlink"/>
            <w:rFonts w:ascii="Times New Roman" w:hAnsi="Times New Roman" w:cs="Times New Roman"/>
            <w:color w:val="auto"/>
            <w:sz w:val="24"/>
            <w:szCs w:val="24"/>
            <w:u w:val="none"/>
          </w:rPr>
          <w:t>https://doi.org/10.1186/s42269-023-01048-3</w:t>
        </w:r>
      </w:hyperlink>
    </w:p>
    <w:p w14:paraId="29CF51B7"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601C43">
        <w:rPr>
          <w:rFonts w:ascii="Times New Roman" w:hAnsi="Times New Roman" w:cs="Times New Roman"/>
          <w:sz w:val="24"/>
          <w:szCs w:val="24"/>
        </w:rPr>
        <w:t xml:space="preserve">Bhardwaj, A. K., Chandra, K. K., &amp; Kumar, R. (2024). Inoculants of Arbuscular Mycorrhizal Fungi Influence Growth and Biomass of Terminalia arjuna under Amendment and </w:t>
      </w:r>
      <w:proofErr w:type="spellStart"/>
      <w:r w:rsidRPr="00601C43">
        <w:rPr>
          <w:rFonts w:ascii="Times New Roman" w:hAnsi="Times New Roman" w:cs="Times New Roman"/>
          <w:sz w:val="24"/>
          <w:szCs w:val="24"/>
        </w:rPr>
        <w:t>AnamendmentEntisol</w:t>
      </w:r>
      <w:proofErr w:type="spellEnd"/>
      <w:r w:rsidRPr="00601C43">
        <w:rPr>
          <w:rFonts w:ascii="Times New Roman" w:hAnsi="Times New Roman" w:cs="Times New Roman"/>
          <w:sz w:val="24"/>
          <w:szCs w:val="24"/>
        </w:rPr>
        <w:t>. </w:t>
      </w:r>
      <w:proofErr w:type="spellStart"/>
      <w:r w:rsidRPr="00601C43">
        <w:rPr>
          <w:rFonts w:ascii="Times New Roman" w:hAnsi="Times New Roman" w:cs="Times New Roman"/>
          <w:i/>
          <w:iCs/>
          <w:sz w:val="24"/>
          <w:szCs w:val="24"/>
        </w:rPr>
        <w:t>Mycobiology</w:t>
      </w:r>
      <w:proofErr w:type="spellEnd"/>
      <w:r w:rsidRPr="00601C43">
        <w:rPr>
          <w:rFonts w:ascii="Times New Roman" w:hAnsi="Times New Roman" w:cs="Times New Roman"/>
          <w:sz w:val="24"/>
          <w:szCs w:val="24"/>
        </w:rPr>
        <w:t>, </w:t>
      </w:r>
      <w:r w:rsidRPr="00601C43">
        <w:rPr>
          <w:rFonts w:ascii="Times New Roman" w:hAnsi="Times New Roman" w:cs="Times New Roman"/>
          <w:i/>
          <w:iCs/>
          <w:sz w:val="24"/>
          <w:szCs w:val="24"/>
        </w:rPr>
        <w:t>52</w:t>
      </w:r>
      <w:r w:rsidRPr="00601C43">
        <w:rPr>
          <w:rFonts w:ascii="Times New Roman" w:hAnsi="Times New Roman" w:cs="Times New Roman"/>
          <w:sz w:val="24"/>
          <w:szCs w:val="24"/>
        </w:rPr>
        <w:t>(3), 183-190.</w:t>
      </w:r>
    </w:p>
    <w:p w14:paraId="117E9A12"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lastRenderedPageBreak/>
        <w:t xml:space="preserve">Bhattacharya </w:t>
      </w:r>
      <w:proofErr w:type="spellStart"/>
      <w:r w:rsidRPr="005B2CE6">
        <w:rPr>
          <w:rFonts w:ascii="Times New Roman" w:hAnsi="Times New Roman" w:cs="Times New Roman"/>
          <w:sz w:val="24"/>
          <w:szCs w:val="24"/>
        </w:rPr>
        <w:t>Prodyut</w:t>
      </w:r>
      <w:proofErr w:type="spellEnd"/>
      <w:r w:rsidRPr="005B2CE6">
        <w:rPr>
          <w:rFonts w:ascii="Times New Roman" w:hAnsi="Times New Roman" w:cs="Times New Roman"/>
          <w:sz w:val="24"/>
          <w:szCs w:val="24"/>
        </w:rPr>
        <w:t xml:space="preserve"> (2013) Prescriptions for Sustainable NTFP Management in Forest Working Plan: Addressing New Market Demand. </w:t>
      </w:r>
      <w:r w:rsidRPr="006060A2">
        <w:rPr>
          <w:rFonts w:ascii="Times New Roman" w:hAnsi="Times New Roman" w:cs="Times New Roman"/>
          <w:i/>
          <w:sz w:val="24"/>
          <w:szCs w:val="24"/>
        </w:rPr>
        <w:t xml:space="preserve">International J. of </w:t>
      </w:r>
      <w:proofErr w:type="spellStart"/>
      <w:r w:rsidRPr="006060A2">
        <w:rPr>
          <w:rFonts w:ascii="Times New Roman" w:hAnsi="Times New Roman" w:cs="Times New Roman"/>
          <w:i/>
          <w:sz w:val="24"/>
          <w:szCs w:val="24"/>
        </w:rPr>
        <w:t>Usuf</w:t>
      </w:r>
      <w:proofErr w:type="spellEnd"/>
      <w:r w:rsidRPr="006060A2">
        <w:rPr>
          <w:rFonts w:ascii="Times New Roman" w:hAnsi="Times New Roman" w:cs="Times New Roman"/>
          <w:i/>
          <w:sz w:val="24"/>
          <w:szCs w:val="24"/>
        </w:rPr>
        <w:t>. Mngt.</w:t>
      </w:r>
      <w:r>
        <w:rPr>
          <w:rFonts w:ascii="Times New Roman" w:hAnsi="Times New Roman" w:cs="Times New Roman"/>
          <w:sz w:val="24"/>
          <w:szCs w:val="24"/>
        </w:rPr>
        <w:t xml:space="preserve">, </w:t>
      </w:r>
      <w:r w:rsidRPr="005B2CE6">
        <w:rPr>
          <w:rFonts w:ascii="Times New Roman" w:hAnsi="Times New Roman" w:cs="Times New Roman"/>
          <w:sz w:val="24"/>
          <w:szCs w:val="24"/>
        </w:rPr>
        <w:t xml:space="preserve">14(2):31-50. </w:t>
      </w:r>
    </w:p>
    <w:p w14:paraId="40E96E0B" w14:textId="77777777" w:rsidR="00716153" w:rsidRPr="005B2CE6" w:rsidRDefault="00716153" w:rsidP="00DA1038">
      <w:pPr>
        <w:spacing w:after="0" w:line="360" w:lineRule="auto"/>
        <w:ind w:left="720" w:hanging="720"/>
        <w:jc w:val="both"/>
        <w:rPr>
          <w:rFonts w:ascii="Times New Roman" w:hAnsi="Times New Roman" w:cs="Times New Roman"/>
          <w:sz w:val="24"/>
          <w:szCs w:val="24"/>
        </w:rPr>
      </w:pPr>
      <w:r w:rsidRPr="000710DE">
        <w:rPr>
          <w:rFonts w:ascii="Times New Roman" w:hAnsi="Times New Roman" w:cs="Times New Roman"/>
          <w:sz w:val="24"/>
          <w:szCs w:val="24"/>
        </w:rPr>
        <w:t>Bhattacharya, P., &amp; Hayat, S. F. (2004). Sustainable NTFP management for rural development: a case from Madhya Pradesh, India. </w:t>
      </w:r>
      <w:r w:rsidRPr="000710DE">
        <w:rPr>
          <w:rFonts w:ascii="Times New Roman" w:hAnsi="Times New Roman" w:cs="Times New Roman"/>
          <w:i/>
          <w:iCs/>
          <w:sz w:val="24"/>
          <w:szCs w:val="24"/>
        </w:rPr>
        <w:t>International Forestry Review</w:t>
      </w:r>
      <w:r w:rsidRPr="000710DE">
        <w:rPr>
          <w:rFonts w:ascii="Times New Roman" w:hAnsi="Times New Roman" w:cs="Times New Roman"/>
          <w:sz w:val="24"/>
          <w:szCs w:val="24"/>
        </w:rPr>
        <w:t>, </w:t>
      </w:r>
      <w:r w:rsidRPr="000710DE">
        <w:rPr>
          <w:rFonts w:ascii="Times New Roman" w:hAnsi="Times New Roman" w:cs="Times New Roman"/>
          <w:i/>
          <w:iCs/>
          <w:sz w:val="24"/>
          <w:szCs w:val="24"/>
        </w:rPr>
        <w:t>6</w:t>
      </w:r>
      <w:r w:rsidRPr="000710DE">
        <w:rPr>
          <w:rFonts w:ascii="Times New Roman" w:hAnsi="Times New Roman" w:cs="Times New Roman"/>
          <w:sz w:val="24"/>
          <w:szCs w:val="24"/>
        </w:rPr>
        <w:t>(2), 161-168.</w:t>
      </w:r>
    </w:p>
    <w:p w14:paraId="562F7D1A" w14:textId="77777777" w:rsidR="00716153" w:rsidRDefault="00716153" w:rsidP="00DA1038">
      <w:pPr>
        <w:spacing w:after="0" w:line="360" w:lineRule="auto"/>
        <w:ind w:left="567" w:hanging="567"/>
        <w:jc w:val="both"/>
        <w:rPr>
          <w:rFonts w:ascii="Times New Roman" w:hAnsi="Times New Roman" w:cs="Times New Roman"/>
          <w:sz w:val="24"/>
          <w:szCs w:val="24"/>
        </w:rPr>
      </w:pPr>
      <w:r w:rsidRPr="00324227">
        <w:rPr>
          <w:rFonts w:ascii="Times New Roman" w:hAnsi="Times New Roman" w:cs="Times New Roman"/>
          <w:sz w:val="24"/>
          <w:szCs w:val="24"/>
        </w:rPr>
        <w:t>Bhattacharya, P., &amp; Prasad, R. (2001). Integrated options for forest management in India. </w:t>
      </w:r>
      <w:r w:rsidRPr="00324227">
        <w:rPr>
          <w:rFonts w:ascii="Times New Roman" w:hAnsi="Times New Roman" w:cs="Times New Roman"/>
          <w:i/>
          <w:iCs/>
          <w:sz w:val="24"/>
          <w:szCs w:val="24"/>
        </w:rPr>
        <w:t>Victor, M. and Barash, A</w:t>
      </w:r>
      <w:r w:rsidRPr="00324227">
        <w:rPr>
          <w:rFonts w:ascii="Times New Roman" w:hAnsi="Times New Roman" w:cs="Times New Roman"/>
          <w:sz w:val="24"/>
          <w:szCs w:val="24"/>
        </w:rPr>
        <w:t>, 49-57.</w:t>
      </w:r>
    </w:p>
    <w:p w14:paraId="76DF37DE" w14:textId="77777777" w:rsidR="00716153" w:rsidRDefault="00716153" w:rsidP="00DA1038">
      <w:pPr>
        <w:spacing w:after="0" w:line="360" w:lineRule="auto"/>
        <w:ind w:left="720" w:hanging="720"/>
        <w:jc w:val="both"/>
        <w:rPr>
          <w:rFonts w:ascii="Times New Roman" w:hAnsi="Times New Roman" w:cs="Times New Roman"/>
          <w:sz w:val="24"/>
          <w:szCs w:val="24"/>
        </w:rPr>
      </w:pPr>
      <w:r w:rsidRPr="00324227">
        <w:rPr>
          <w:rFonts w:ascii="Times New Roman" w:hAnsi="Times New Roman" w:cs="Times New Roman"/>
          <w:sz w:val="24"/>
          <w:szCs w:val="24"/>
        </w:rPr>
        <w:t>Bhattacharya, P., Prasad, R., Bhattacharyya, R., &amp; Asokan, A. (2008). Towards certification of wild medicinal and aromatic plants in four Indian states. </w:t>
      </w:r>
      <w:proofErr w:type="spellStart"/>
      <w:r w:rsidRPr="00324227">
        <w:rPr>
          <w:rFonts w:ascii="Times New Roman" w:hAnsi="Times New Roman" w:cs="Times New Roman"/>
          <w:i/>
          <w:iCs/>
          <w:sz w:val="24"/>
          <w:szCs w:val="24"/>
        </w:rPr>
        <w:t>Unasylva</w:t>
      </w:r>
      <w:proofErr w:type="spellEnd"/>
      <w:r w:rsidRPr="00324227">
        <w:rPr>
          <w:rFonts w:ascii="Times New Roman" w:hAnsi="Times New Roman" w:cs="Times New Roman"/>
          <w:sz w:val="24"/>
          <w:szCs w:val="24"/>
        </w:rPr>
        <w:t>, </w:t>
      </w:r>
      <w:r w:rsidRPr="00324227">
        <w:rPr>
          <w:rFonts w:ascii="Times New Roman" w:hAnsi="Times New Roman" w:cs="Times New Roman"/>
          <w:i/>
          <w:iCs/>
          <w:sz w:val="24"/>
          <w:szCs w:val="24"/>
        </w:rPr>
        <w:t>59</w:t>
      </w:r>
      <w:r w:rsidRPr="00324227">
        <w:rPr>
          <w:rFonts w:ascii="Times New Roman" w:hAnsi="Times New Roman" w:cs="Times New Roman"/>
          <w:sz w:val="24"/>
          <w:szCs w:val="24"/>
        </w:rPr>
        <w:t>(230), 35-44.</w:t>
      </w:r>
    </w:p>
    <w:p w14:paraId="6C6F2F4A"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CGMFPCF 2006. Chhattisgarh Rajya </w:t>
      </w:r>
      <w:proofErr w:type="spellStart"/>
      <w:r w:rsidRPr="005B2CE6">
        <w:rPr>
          <w:rFonts w:ascii="Times New Roman" w:hAnsi="Times New Roman" w:cs="Times New Roman"/>
          <w:sz w:val="24"/>
          <w:szCs w:val="24"/>
        </w:rPr>
        <w:t>LaghooVanopaj</w:t>
      </w:r>
      <w:proofErr w:type="spellEnd"/>
      <w:r w:rsidRPr="005B2CE6">
        <w:rPr>
          <w:rFonts w:ascii="Times New Roman" w:hAnsi="Times New Roman" w:cs="Times New Roman"/>
          <w:sz w:val="24"/>
          <w:szCs w:val="24"/>
        </w:rPr>
        <w:t xml:space="preserve">, Bazar </w:t>
      </w:r>
      <w:proofErr w:type="spellStart"/>
      <w:r w:rsidRPr="005B2CE6">
        <w:rPr>
          <w:rFonts w:ascii="Times New Roman" w:hAnsi="Times New Roman" w:cs="Times New Roman"/>
          <w:sz w:val="24"/>
          <w:szCs w:val="24"/>
        </w:rPr>
        <w:t>SarvekshanaPrativedan</w:t>
      </w:r>
      <w:proofErr w:type="spellEnd"/>
      <w:r w:rsidRPr="005B2CE6">
        <w:rPr>
          <w:rFonts w:ascii="Times New Roman" w:hAnsi="Times New Roman" w:cs="Times New Roman"/>
          <w:sz w:val="24"/>
          <w:szCs w:val="24"/>
        </w:rPr>
        <w:t xml:space="preserve">, Chhattisgarh Minor Forest Produce Co-operative Federation, Raipur, India. </w:t>
      </w:r>
    </w:p>
    <w:p w14:paraId="00761C9A" w14:textId="77777777" w:rsidR="00716153" w:rsidRDefault="00716153" w:rsidP="00DA1038">
      <w:pPr>
        <w:autoSpaceDE w:val="0"/>
        <w:autoSpaceDN w:val="0"/>
        <w:adjustRightInd w:val="0"/>
        <w:spacing w:after="0" w:line="360" w:lineRule="auto"/>
        <w:ind w:left="709" w:hanging="709"/>
        <w:jc w:val="both"/>
        <w:rPr>
          <w:rFonts w:ascii="Times New Roman" w:eastAsiaTheme="minorHAnsi" w:hAnsi="Times New Roman" w:cs="Times New Roman"/>
          <w:sz w:val="24"/>
          <w:szCs w:val="24"/>
        </w:rPr>
      </w:pPr>
      <w:r w:rsidRPr="005B2CE6">
        <w:rPr>
          <w:rFonts w:ascii="Times New Roman" w:eastAsiaTheme="minorHAnsi" w:hAnsi="Times New Roman" w:cs="Times New Roman"/>
          <w:bCs/>
          <w:sz w:val="24"/>
          <w:szCs w:val="24"/>
        </w:rPr>
        <w:t xml:space="preserve">Chandra K.K., Kumar R. and </w:t>
      </w:r>
      <w:proofErr w:type="spellStart"/>
      <w:r w:rsidRPr="005B2CE6">
        <w:rPr>
          <w:rFonts w:ascii="Times New Roman" w:eastAsiaTheme="minorHAnsi" w:hAnsi="Times New Roman" w:cs="Times New Roman"/>
          <w:bCs/>
          <w:sz w:val="24"/>
          <w:szCs w:val="24"/>
        </w:rPr>
        <w:t>Baretha</w:t>
      </w:r>
      <w:proofErr w:type="spellEnd"/>
      <w:r w:rsidRPr="005B2CE6">
        <w:rPr>
          <w:rFonts w:ascii="Times New Roman" w:eastAsiaTheme="minorHAnsi" w:hAnsi="Times New Roman" w:cs="Times New Roman"/>
          <w:bCs/>
          <w:sz w:val="24"/>
          <w:szCs w:val="24"/>
        </w:rPr>
        <w:t xml:space="preserve"> G. (2021). Vandalism: A Review for Potential Solutions. Tree Benefits in Urban Environment and Incidences of Tree. (Eds. </w:t>
      </w:r>
      <w:proofErr w:type="spellStart"/>
      <w:r w:rsidRPr="005B2CE6">
        <w:rPr>
          <w:rFonts w:ascii="Times New Roman" w:eastAsiaTheme="minorHAnsi" w:hAnsi="Times New Roman" w:cs="Times New Roman"/>
          <w:bCs/>
          <w:sz w:val="24"/>
          <w:szCs w:val="24"/>
        </w:rPr>
        <w:t>Bhadouria</w:t>
      </w:r>
      <w:proofErr w:type="spellEnd"/>
      <w:r w:rsidRPr="005B2CE6">
        <w:rPr>
          <w:rFonts w:ascii="Times New Roman" w:eastAsiaTheme="minorHAnsi" w:hAnsi="Times New Roman" w:cs="Times New Roman"/>
          <w:bCs/>
          <w:sz w:val="24"/>
          <w:szCs w:val="24"/>
        </w:rPr>
        <w:t xml:space="preserve"> R., Singh P., Upadhyay S., Tripathi S.), </w:t>
      </w:r>
      <w:r w:rsidRPr="005B2CE6">
        <w:rPr>
          <w:rFonts w:ascii="Times New Roman" w:eastAsiaTheme="minorHAnsi" w:hAnsi="Times New Roman" w:cs="Times New Roman"/>
          <w:sz w:val="24"/>
          <w:szCs w:val="24"/>
        </w:rPr>
        <w:t>John Wiley &amp; Sons, Inc., Hoboken, NJ, USA.ISBN: 9781119807186.</w:t>
      </w:r>
    </w:p>
    <w:p w14:paraId="4E33F704" w14:textId="77777777" w:rsidR="00716153" w:rsidRDefault="00716153" w:rsidP="00DA1038">
      <w:pPr>
        <w:autoSpaceDE w:val="0"/>
        <w:autoSpaceDN w:val="0"/>
        <w:adjustRightInd w:val="0"/>
        <w:spacing w:after="0" w:line="360" w:lineRule="auto"/>
        <w:ind w:left="709" w:hanging="709"/>
        <w:jc w:val="both"/>
        <w:rPr>
          <w:rFonts w:ascii="Times New Roman" w:eastAsiaTheme="minorHAnsi" w:hAnsi="Times New Roman" w:cs="Times New Roman"/>
          <w:sz w:val="24"/>
          <w:szCs w:val="24"/>
        </w:rPr>
      </w:pPr>
      <w:r w:rsidRPr="00AF6268">
        <w:rPr>
          <w:rFonts w:ascii="Times New Roman" w:eastAsiaTheme="minorHAnsi" w:hAnsi="Times New Roman" w:cs="Times New Roman"/>
          <w:sz w:val="24"/>
          <w:szCs w:val="24"/>
        </w:rPr>
        <w:t>Chandra, K. K., Kumar, R., &amp;</w:t>
      </w:r>
      <w:proofErr w:type="spellStart"/>
      <w:r w:rsidRPr="00AF6268">
        <w:rPr>
          <w:rFonts w:ascii="Times New Roman" w:eastAsiaTheme="minorHAnsi" w:hAnsi="Times New Roman" w:cs="Times New Roman"/>
          <w:sz w:val="24"/>
          <w:szCs w:val="24"/>
        </w:rPr>
        <w:t>Baretha</w:t>
      </w:r>
      <w:proofErr w:type="spellEnd"/>
      <w:r w:rsidRPr="00AF6268">
        <w:rPr>
          <w:rFonts w:ascii="Times New Roman" w:eastAsiaTheme="minorHAnsi" w:hAnsi="Times New Roman" w:cs="Times New Roman"/>
          <w:sz w:val="24"/>
          <w:szCs w:val="24"/>
        </w:rPr>
        <w:t>, G. (2022). Tree benefits in urban environment and incidences of tree vandalism: A review for potential solutions. </w:t>
      </w:r>
      <w:r w:rsidRPr="00AF6268">
        <w:rPr>
          <w:rFonts w:ascii="Times New Roman" w:eastAsiaTheme="minorHAnsi" w:hAnsi="Times New Roman" w:cs="Times New Roman"/>
          <w:i/>
          <w:iCs/>
          <w:sz w:val="24"/>
          <w:szCs w:val="24"/>
        </w:rPr>
        <w:t>Urban Ecology and Global Climate Change</w:t>
      </w:r>
      <w:r w:rsidRPr="00AF6268">
        <w:rPr>
          <w:rFonts w:ascii="Times New Roman" w:eastAsiaTheme="minorHAnsi" w:hAnsi="Times New Roman" w:cs="Times New Roman"/>
          <w:sz w:val="24"/>
          <w:szCs w:val="24"/>
        </w:rPr>
        <w:t>, 163-181.</w:t>
      </w:r>
    </w:p>
    <w:p w14:paraId="3A9841B3"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601C43">
        <w:rPr>
          <w:rFonts w:ascii="Times New Roman" w:hAnsi="Times New Roman" w:cs="Times New Roman"/>
          <w:sz w:val="24"/>
          <w:szCs w:val="24"/>
        </w:rPr>
        <w:t>Chandra, K., Kumar, R., Dixit, B., Nayak, P. P., Bhardwaj, A. K., Pandey, S., ... &amp; Singh, A. (2024). Analyzing the Contribution of Moringa oleifera (Lam.) to the CO</w:t>
      </w:r>
      <w:proofErr w:type="gramStart"/>
      <w:r w:rsidRPr="00601C43">
        <w:rPr>
          <w:rFonts w:ascii="Times New Roman" w:hAnsi="Times New Roman" w:cs="Times New Roman"/>
          <w:sz w:val="24"/>
          <w:szCs w:val="24"/>
        </w:rPr>
        <w:t>\(</w:t>
      </w:r>
      <w:proofErr w:type="gramEnd"/>
      <w:r w:rsidRPr="00601C43">
        <w:rPr>
          <w:rFonts w:ascii="Times New Roman" w:hAnsi="Times New Roman" w:cs="Times New Roman"/>
          <w:sz w:val="24"/>
          <w:szCs w:val="24"/>
        </w:rPr>
        <w:t>_2\) Stock and Other Advantages for Urban Residents. </w:t>
      </w:r>
      <w:r w:rsidRPr="00601C43">
        <w:rPr>
          <w:rFonts w:ascii="Times New Roman" w:hAnsi="Times New Roman" w:cs="Times New Roman"/>
          <w:i/>
          <w:iCs/>
          <w:sz w:val="24"/>
          <w:szCs w:val="24"/>
        </w:rPr>
        <w:t>International Journal of Plant &amp; Soil Science</w:t>
      </w:r>
      <w:r w:rsidRPr="00601C43">
        <w:rPr>
          <w:rFonts w:ascii="Times New Roman" w:hAnsi="Times New Roman" w:cs="Times New Roman"/>
          <w:sz w:val="24"/>
          <w:szCs w:val="24"/>
        </w:rPr>
        <w:t>, </w:t>
      </w:r>
      <w:r w:rsidRPr="00601C43">
        <w:rPr>
          <w:rFonts w:ascii="Times New Roman" w:hAnsi="Times New Roman" w:cs="Times New Roman"/>
          <w:i/>
          <w:iCs/>
          <w:sz w:val="24"/>
          <w:szCs w:val="24"/>
        </w:rPr>
        <w:t>36</w:t>
      </w:r>
      <w:r w:rsidRPr="00601C43">
        <w:rPr>
          <w:rFonts w:ascii="Times New Roman" w:hAnsi="Times New Roman" w:cs="Times New Roman"/>
          <w:sz w:val="24"/>
          <w:szCs w:val="24"/>
        </w:rPr>
        <w:t>(10), 305-317.</w:t>
      </w:r>
    </w:p>
    <w:p w14:paraId="7E1D4EE2" w14:textId="77777777" w:rsidR="00716153" w:rsidRPr="00716153" w:rsidRDefault="00716153" w:rsidP="00716153">
      <w:pPr>
        <w:autoSpaceDE w:val="0"/>
        <w:autoSpaceDN w:val="0"/>
        <w:adjustRightInd w:val="0"/>
        <w:spacing w:after="0" w:line="360" w:lineRule="auto"/>
        <w:ind w:left="709" w:hanging="709"/>
        <w:jc w:val="both"/>
        <w:rPr>
          <w:rFonts w:ascii="Times New Roman" w:hAnsi="Times New Roman" w:cs="Times New Roman"/>
          <w:sz w:val="24"/>
          <w:szCs w:val="24"/>
        </w:rPr>
      </w:pPr>
      <w:r w:rsidRPr="00716153">
        <w:rPr>
          <w:rFonts w:ascii="Times New Roman" w:hAnsi="Times New Roman" w:cs="Times New Roman"/>
          <w:sz w:val="24"/>
          <w:szCs w:val="24"/>
        </w:rPr>
        <w:t xml:space="preserve">Chaudhary, R., Kumar, R., Singh, B., Sahu, C. (2025). </w:t>
      </w:r>
      <w:r w:rsidRPr="00E85B3D">
        <w:rPr>
          <w:rFonts w:ascii="Times New Roman" w:hAnsi="Times New Roman" w:cs="Times New Roman"/>
          <w:sz w:val="24"/>
          <w:szCs w:val="24"/>
        </w:rPr>
        <w:t xml:space="preserve"> </w:t>
      </w:r>
      <w:r w:rsidRPr="00716153">
        <w:rPr>
          <w:rFonts w:ascii="Times New Roman" w:hAnsi="Times New Roman" w:cs="Times New Roman"/>
          <w:bCs/>
          <w:sz w:val="24"/>
          <w:szCs w:val="24"/>
        </w:rPr>
        <w:t>Advances in Forest Product Utilization: Sustainable Approaches and Emerging Technologies.</w:t>
      </w:r>
      <w:r w:rsidRPr="00716153">
        <w:rPr>
          <w:rFonts w:ascii="Times New Roman" w:hAnsi="Times New Roman" w:cs="Times New Roman"/>
          <w:b/>
          <w:bCs/>
          <w:sz w:val="24"/>
          <w:szCs w:val="24"/>
        </w:rPr>
        <w:t xml:space="preserve"> </w:t>
      </w:r>
      <w:r w:rsidRPr="00716153">
        <w:rPr>
          <w:rFonts w:ascii="Times New Roman" w:hAnsi="Times New Roman" w:cs="Times New Roman"/>
          <w:i/>
          <w:iCs/>
          <w:sz w:val="24"/>
          <w:szCs w:val="24"/>
        </w:rPr>
        <w:t>Indian Journal of Natural Sciences 16</w:t>
      </w:r>
      <w:r w:rsidRPr="00716153">
        <w:rPr>
          <w:rFonts w:ascii="Times New Roman" w:hAnsi="Times New Roman" w:cs="Times New Roman"/>
          <w:iCs/>
          <w:sz w:val="24"/>
          <w:szCs w:val="24"/>
        </w:rPr>
        <w:t>(91):1-8.</w:t>
      </w:r>
    </w:p>
    <w:p w14:paraId="456832A8"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iCs/>
          <w:sz w:val="24"/>
          <w:szCs w:val="24"/>
        </w:rPr>
      </w:pPr>
      <w:r w:rsidRPr="005B2CE6">
        <w:rPr>
          <w:rFonts w:ascii="Times New Roman" w:hAnsi="Times New Roman" w:cs="Times New Roman"/>
          <w:bCs/>
          <w:sz w:val="24"/>
          <w:szCs w:val="24"/>
        </w:rPr>
        <w:t xml:space="preserve">Darro H., Swamy S. L., Kumar R. and Bhardwaj A. K. (2022). Comparison of Physico-chemical Properties of Soils under different forest types in dry tropical Forest </w:t>
      </w:r>
      <w:proofErr w:type="spellStart"/>
      <w:r w:rsidRPr="005B2CE6">
        <w:rPr>
          <w:rFonts w:ascii="Times New Roman" w:hAnsi="Times New Roman" w:cs="Times New Roman"/>
          <w:bCs/>
          <w:sz w:val="24"/>
          <w:szCs w:val="24"/>
        </w:rPr>
        <w:t>rcosystem</w:t>
      </w:r>
      <w:proofErr w:type="spellEnd"/>
      <w:r w:rsidRPr="005B2CE6">
        <w:rPr>
          <w:rFonts w:ascii="Times New Roman" w:hAnsi="Times New Roman" w:cs="Times New Roman"/>
          <w:bCs/>
          <w:sz w:val="24"/>
          <w:szCs w:val="24"/>
        </w:rPr>
        <w:t xml:space="preserve"> in </w:t>
      </w:r>
      <w:proofErr w:type="spellStart"/>
      <w:r w:rsidRPr="005B2CE6">
        <w:rPr>
          <w:rFonts w:ascii="Times New Roman" w:hAnsi="Times New Roman" w:cs="Times New Roman"/>
          <w:bCs/>
          <w:sz w:val="24"/>
          <w:szCs w:val="24"/>
        </w:rPr>
        <w:t>Achanakmar-Amarkantak</w:t>
      </w:r>
      <w:proofErr w:type="spellEnd"/>
      <w:r w:rsidRPr="005B2CE6">
        <w:rPr>
          <w:rFonts w:ascii="Times New Roman" w:hAnsi="Times New Roman" w:cs="Times New Roman"/>
          <w:bCs/>
          <w:sz w:val="24"/>
          <w:szCs w:val="24"/>
        </w:rPr>
        <w:t xml:space="preserve"> Biosphere Reserve, India.</w:t>
      </w:r>
      <w:r w:rsidRPr="005B2CE6">
        <w:rPr>
          <w:rFonts w:ascii="Times New Roman" w:hAnsi="Times New Roman" w:cs="Times New Roman"/>
          <w:i/>
          <w:iCs/>
          <w:sz w:val="24"/>
          <w:szCs w:val="24"/>
        </w:rPr>
        <w:t xml:space="preserve"> Eco. Env. &amp; Cons. </w:t>
      </w:r>
      <w:proofErr w:type="gramStart"/>
      <w:r w:rsidRPr="005B2CE6">
        <w:rPr>
          <w:rFonts w:ascii="Times New Roman" w:hAnsi="Times New Roman" w:cs="Times New Roman"/>
          <w:iCs/>
          <w:sz w:val="24"/>
          <w:szCs w:val="24"/>
        </w:rPr>
        <w:t>28 :S</w:t>
      </w:r>
      <w:proofErr w:type="gramEnd"/>
      <w:r w:rsidRPr="005B2CE6">
        <w:rPr>
          <w:rFonts w:ascii="Times New Roman" w:hAnsi="Times New Roman" w:cs="Times New Roman"/>
          <w:iCs/>
          <w:sz w:val="24"/>
          <w:szCs w:val="24"/>
        </w:rPr>
        <w:t>163-S169</w:t>
      </w:r>
      <w:r>
        <w:rPr>
          <w:rFonts w:ascii="Times New Roman" w:hAnsi="Times New Roman" w:cs="Times New Roman"/>
          <w:iCs/>
          <w:sz w:val="24"/>
          <w:szCs w:val="24"/>
        </w:rPr>
        <w:t>.</w:t>
      </w:r>
    </w:p>
    <w:p w14:paraId="496C28ED"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601C43">
        <w:rPr>
          <w:rFonts w:ascii="Times New Roman" w:hAnsi="Times New Roman" w:cs="Times New Roman"/>
          <w:sz w:val="24"/>
          <w:szCs w:val="24"/>
          <w:shd w:val="clear" w:color="auto" w:fill="FFFFFF"/>
        </w:rPr>
        <w:t xml:space="preserve">Dixit, B., &amp; Ekka, R. (2023). Mushroom diversity conservation through tribal women in </w:t>
      </w:r>
      <w:proofErr w:type="spellStart"/>
      <w:r w:rsidRPr="00601C43">
        <w:rPr>
          <w:rFonts w:ascii="Times New Roman" w:hAnsi="Times New Roman" w:cs="Times New Roman"/>
          <w:sz w:val="24"/>
          <w:szCs w:val="24"/>
          <w:shd w:val="clear" w:color="auto" w:fill="FFFFFF"/>
        </w:rPr>
        <w:t>Achanakmar-Amarkantak</w:t>
      </w:r>
      <w:proofErr w:type="spellEnd"/>
      <w:r w:rsidRPr="00601C43">
        <w:rPr>
          <w:rFonts w:ascii="Times New Roman" w:hAnsi="Times New Roman" w:cs="Times New Roman"/>
          <w:sz w:val="24"/>
          <w:szCs w:val="24"/>
          <w:shd w:val="clear" w:color="auto" w:fill="FFFFFF"/>
        </w:rPr>
        <w:t xml:space="preserve"> Biosphere Reserve. </w:t>
      </w:r>
      <w:r w:rsidRPr="00601C43">
        <w:rPr>
          <w:rFonts w:ascii="Times New Roman" w:hAnsi="Times New Roman" w:cs="Times New Roman"/>
          <w:i/>
          <w:iCs/>
          <w:sz w:val="24"/>
          <w:szCs w:val="24"/>
          <w:shd w:val="clear" w:color="auto" w:fill="FFFFFF"/>
        </w:rPr>
        <w:t>Indian Journal of Traditional Knowledge (IJTK)</w:t>
      </w:r>
      <w:r w:rsidRPr="00601C43">
        <w:rPr>
          <w:rFonts w:ascii="Times New Roman" w:hAnsi="Times New Roman" w:cs="Times New Roman"/>
          <w:sz w:val="24"/>
          <w:szCs w:val="24"/>
          <w:shd w:val="clear" w:color="auto" w:fill="FFFFFF"/>
        </w:rPr>
        <w:t>, </w:t>
      </w:r>
      <w:r w:rsidRPr="00601C43">
        <w:rPr>
          <w:rFonts w:ascii="Times New Roman" w:hAnsi="Times New Roman" w:cs="Times New Roman"/>
          <w:i/>
          <w:iCs/>
          <w:sz w:val="24"/>
          <w:szCs w:val="24"/>
          <w:shd w:val="clear" w:color="auto" w:fill="FFFFFF"/>
        </w:rPr>
        <w:t>22</w:t>
      </w:r>
      <w:r w:rsidRPr="00601C43">
        <w:rPr>
          <w:rFonts w:ascii="Times New Roman" w:hAnsi="Times New Roman" w:cs="Times New Roman"/>
          <w:sz w:val="24"/>
          <w:szCs w:val="24"/>
          <w:shd w:val="clear" w:color="auto" w:fill="FFFFFF"/>
        </w:rPr>
        <w:t>(2), 444-449.</w:t>
      </w:r>
    </w:p>
    <w:p w14:paraId="556AFA64"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3C0D23">
        <w:rPr>
          <w:rFonts w:ascii="Times New Roman" w:hAnsi="Times New Roman" w:cs="Times New Roman"/>
          <w:sz w:val="24"/>
          <w:szCs w:val="24"/>
          <w:shd w:val="clear" w:color="auto" w:fill="FFFFFF"/>
        </w:rPr>
        <w:lastRenderedPageBreak/>
        <w:t>Dixit, B., Agrawal, R., &amp; Ojha, B. M. (2005). Conservation of medicinal plants through joint forest management. </w:t>
      </w:r>
      <w:r w:rsidRPr="003C0D23">
        <w:rPr>
          <w:rFonts w:ascii="Times New Roman" w:hAnsi="Times New Roman" w:cs="Times New Roman"/>
          <w:i/>
          <w:iCs/>
          <w:sz w:val="24"/>
          <w:szCs w:val="24"/>
          <w:shd w:val="clear" w:color="auto" w:fill="FFFFFF"/>
        </w:rPr>
        <w:t>Ecology environment and conservation</w:t>
      </w:r>
      <w:r w:rsidRPr="003C0D23">
        <w:rPr>
          <w:rFonts w:ascii="Times New Roman" w:hAnsi="Times New Roman" w:cs="Times New Roman"/>
          <w:sz w:val="24"/>
          <w:szCs w:val="24"/>
          <w:shd w:val="clear" w:color="auto" w:fill="FFFFFF"/>
        </w:rPr>
        <w:t>, </w:t>
      </w:r>
      <w:r w:rsidRPr="003C0D23">
        <w:rPr>
          <w:rFonts w:ascii="Times New Roman" w:hAnsi="Times New Roman" w:cs="Times New Roman"/>
          <w:i/>
          <w:iCs/>
          <w:sz w:val="24"/>
          <w:szCs w:val="24"/>
          <w:shd w:val="clear" w:color="auto" w:fill="FFFFFF"/>
        </w:rPr>
        <w:t>11</w:t>
      </w:r>
      <w:r w:rsidRPr="003C0D23">
        <w:rPr>
          <w:rFonts w:ascii="Times New Roman" w:hAnsi="Times New Roman" w:cs="Times New Roman"/>
          <w:sz w:val="24"/>
          <w:szCs w:val="24"/>
          <w:shd w:val="clear" w:color="auto" w:fill="FFFFFF"/>
        </w:rPr>
        <w:t>(2), 241.</w:t>
      </w:r>
    </w:p>
    <w:p w14:paraId="0414B68F"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FAO 2000. Report of workshop on developing needs-based inventory methods for non-timber forest products. Food and Agriculture Organization, Rome, Italy. </w:t>
      </w:r>
    </w:p>
    <w:p w14:paraId="29AC3277" w14:textId="77777777" w:rsidR="00716153" w:rsidRDefault="00716153" w:rsidP="00DA1038">
      <w:pPr>
        <w:spacing w:after="0" w:line="360" w:lineRule="auto"/>
        <w:ind w:left="567" w:hanging="567"/>
        <w:jc w:val="both"/>
        <w:rPr>
          <w:rFonts w:ascii="Times New Roman" w:hAnsi="Times New Roman" w:cs="Times New Roman"/>
          <w:sz w:val="24"/>
          <w:szCs w:val="24"/>
        </w:rPr>
      </w:pPr>
      <w:r w:rsidRPr="00324227">
        <w:rPr>
          <w:rFonts w:ascii="Times New Roman" w:hAnsi="Times New Roman" w:cs="Times New Roman"/>
          <w:sz w:val="24"/>
          <w:szCs w:val="24"/>
        </w:rPr>
        <w:t xml:space="preserve">Gadgil, M. (2003). India's Biological Diversity Act 2002: An act for the new </w:t>
      </w:r>
      <w:proofErr w:type="spellStart"/>
      <w:r w:rsidRPr="00324227">
        <w:rPr>
          <w:rFonts w:ascii="Times New Roman" w:hAnsi="Times New Roman" w:cs="Times New Roman"/>
          <w:sz w:val="24"/>
          <w:szCs w:val="24"/>
        </w:rPr>
        <w:t>millenium</w:t>
      </w:r>
      <w:proofErr w:type="spellEnd"/>
      <w:r w:rsidRPr="00324227">
        <w:rPr>
          <w:rFonts w:ascii="Times New Roman" w:hAnsi="Times New Roman" w:cs="Times New Roman"/>
          <w:sz w:val="24"/>
          <w:szCs w:val="24"/>
        </w:rPr>
        <w:t>. </w:t>
      </w:r>
      <w:r w:rsidRPr="00324227">
        <w:rPr>
          <w:rFonts w:ascii="Times New Roman" w:hAnsi="Times New Roman" w:cs="Times New Roman"/>
          <w:i/>
          <w:iCs/>
          <w:sz w:val="24"/>
          <w:szCs w:val="24"/>
        </w:rPr>
        <w:t>Journal of Biosciences</w:t>
      </w:r>
      <w:r w:rsidRPr="00324227">
        <w:rPr>
          <w:rFonts w:ascii="Times New Roman" w:hAnsi="Times New Roman" w:cs="Times New Roman"/>
          <w:sz w:val="24"/>
          <w:szCs w:val="24"/>
        </w:rPr>
        <w:t>, </w:t>
      </w:r>
      <w:r w:rsidRPr="00324227">
        <w:rPr>
          <w:rFonts w:ascii="Times New Roman" w:hAnsi="Times New Roman" w:cs="Times New Roman"/>
          <w:i/>
          <w:iCs/>
          <w:sz w:val="24"/>
          <w:szCs w:val="24"/>
        </w:rPr>
        <w:t>28</w:t>
      </w:r>
      <w:r w:rsidRPr="00324227">
        <w:rPr>
          <w:rFonts w:ascii="Times New Roman" w:hAnsi="Times New Roman" w:cs="Times New Roman"/>
          <w:sz w:val="24"/>
          <w:szCs w:val="24"/>
        </w:rPr>
        <w:t>(2), 145-147.</w:t>
      </w:r>
    </w:p>
    <w:p w14:paraId="4E18C0A4" w14:textId="77777777" w:rsidR="00716153" w:rsidRDefault="00716153" w:rsidP="00DA1038">
      <w:pPr>
        <w:spacing w:after="0" w:line="360" w:lineRule="auto"/>
        <w:ind w:left="567" w:hanging="567"/>
        <w:jc w:val="both"/>
        <w:rPr>
          <w:rFonts w:ascii="Times New Roman" w:hAnsi="Times New Roman" w:cs="Times New Roman"/>
          <w:sz w:val="24"/>
          <w:szCs w:val="24"/>
        </w:rPr>
      </w:pPr>
      <w:r w:rsidRPr="00A41D99">
        <w:rPr>
          <w:rFonts w:ascii="Times New Roman" w:hAnsi="Times New Roman" w:cs="Times New Roman"/>
          <w:sz w:val="24"/>
          <w:szCs w:val="24"/>
        </w:rPr>
        <w:t>Gadgil, M., Berkes, F., &amp; Folke, C. (1993). Indigenous knowledge for biodiversity conservation. </w:t>
      </w:r>
      <w:proofErr w:type="spellStart"/>
      <w:r w:rsidRPr="00A41D99">
        <w:rPr>
          <w:rFonts w:ascii="Times New Roman" w:hAnsi="Times New Roman" w:cs="Times New Roman"/>
          <w:i/>
          <w:iCs/>
          <w:sz w:val="24"/>
          <w:szCs w:val="24"/>
        </w:rPr>
        <w:t>Ambio</w:t>
      </w:r>
      <w:proofErr w:type="spellEnd"/>
      <w:r w:rsidRPr="00A41D99">
        <w:rPr>
          <w:rFonts w:ascii="Times New Roman" w:hAnsi="Times New Roman" w:cs="Times New Roman"/>
          <w:i/>
          <w:iCs/>
          <w:sz w:val="24"/>
          <w:szCs w:val="24"/>
        </w:rPr>
        <w:t>-Stockholm-</w:t>
      </w:r>
      <w:r w:rsidRPr="00A41D99">
        <w:rPr>
          <w:rFonts w:ascii="Times New Roman" w:hAnsi="Times New Roman" w:cs="Times New Roman"/>
          <w:sz w:val="24"/>
          <w:szCs w:val="24"/>
        </w:rPr>
        <w:t>, </w:t>
      </w:r>
      <w:r w:rsidRPr="00A41D99">
        <w:rPr>
          <w:rFonts w:ascii="Times New Roman" w:hAnsi="Times New Roman" w:cs="Times New Roman"/>
          <w:i/>
          <w:iCs/>
          <w:sz w:val="24"/>
          <w:szCs w:val="24"/>
        </w:rPr>
        <w:t>22</w:t>
      </w:r>
      <w:r w:rsidRPr="00A41D99">
        <w:rPr>
          <w:rFonts w:ascii="Times New Roman" w:hAnsi="Times New Roman" w:cs="Times New Roman"/>
          <w:sz w:val="24"/>
          <w:szCs w:val="24"/>
        </w:rPr>
        <w:t>, 151-151.</w:t>
      </w:r>
    </w:p>
    <w:p w14:paraId="26A3435F" w14:textId="77777777" w:rsidR="00716153" w:rsidRDefault="00716153" w:rsidP="00DA1038">
      <w:pPr>
        <w:spacing w:after="0" w:line="360" w:lineRule="auto"/>
        <w:ind w:left="720" w:hanging="720"/>
        <w:jc w:val="both"/>
        <w:rPr>
          <w:rFonts w:ascii="Times New Roman" w:hAnsi="Times New Roman" w:cs="Times New Roman"/>
          <w:sz w:val="24"/>
          <w:szCs w:val="24"/>
        </w:rPr>
      </w:pPr>
      <w:r w:rsidRPr="00A41D99">
        <w:rPr>
          <w:rFonts w:ascii="Times New Roman" w:hAnsi="Times New Roman" w:cs="Times New Roman"/>
          <w:sz w:val="24"/>
          <w:szCs w:val="24"/>
        </w:rPr>
        <w:t>Galetti, M., &amp; Aleixo, A. (1998). Effects of palm heart harvesting on avian frugivores in the Atlantic rain forest of Brazil. </w:t>
      </w:r>
      <w:r w:rsidRPr="00A41D99">
        <w:rPr>
          <w:rFonts w:ascii="Times New Roman" w:hAnsi="Times New Roman" w:cs="Times New Roman"/>
          <w:i/>
          <w:iCs/>
          <w:sz w:val="24"/>
          <w:szCs w:val="24"/>
        </w:rPr>
        <w:t>Journal of applied ecology</w:t>
      </w:r>
      <w:r w:rsidRPr="00A41D99">
        <w:rPr>
          <w:rFonts w:ascii="Times New Roman" w:hAnsi="Times New Roman" w:cs="Times New Roman"/>
          <w:sz w:val="24"/>
          <w:szCs w:val="24"/>
        </w:rPr>
        <w:t>, </w:t>
      </w:r>
      <w:r w:rsidRPr="00A41D99">
        <w:rPr>
          <w:rFonts w:ascii="Times New Roman" w:hAnsi="Times New Roman" w:cs="Times New Roman"/>
          <w:i/>
          <w:iCs/>
          <w:sz w:val="24"/>
          <w:szCs w:val="24"/>
        </w:rPr>
        <w:t>35</w:t>
      </w:r>
      <w:r w:rsidRPr="00A41D99">
        <w:rPr>
          <w:rFonts w:ascii="Times New Roman" w:hAnsi="Times New Roman" w:cs="Times New Roman"/>
          <w:sz w:val="24"/>
          <w:szCs w:val="24"/>
        </w:rPr>
        <w:t>(2), 286-293.</w:t>
      </w:r>
    </w:p>
    <w:p w14:paraId="605C6DA6"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Ganz, D. (2000) Barefoot silviculture in </w:t>
      </w:r>
      <w:proofErr w:type="spellStart"/>
      <w:r w:rsidRPr="005B2CE6">
        <w:rPr>
          <w:rFonts w:ascii="Times New Roman" w:hAnsi="Times New Roman" w:cs="Times New Roman"/>
          <w:sz w:val="24"/>
          <w:szCs w:val="24"/>
        </w:rPr>
        <w:t>Oaxa</w:t>
      </w:r>
      <w:proofErr w:type="spellEnd"/>
      <w:r w:rsidRPr="005B2CE6">
        <w:rPr>
          <w:rFonts w:ascii="Times New Roman" w:hAnsi="Times New Roman" w:cs="Times New Roman"/>
          <w:sz w:val="24"/>
          <w:szCs w:val="24"/>
        </w:rPr>
        <w:t xml:space="preserve">, </w:t>
      </w:r>
      <w:proofErr w:type="spellStart"/>
      <w:r w:rsidRPr="005B2CE6">
        <w:rPr>
          <w:rFonts w:ascii="Times New Roman" w:hAnsi="Times New Roman" w:cs="Times New Roman"/>
          <w:sz w:val="24"/>
          <w:szCs w:val="24"/>
        </w:rPr>
        <w:t>Maxico</w:t>
      </w:r>
      <w:proofErr w:type="spellEnd"/>
      <w:r w:rsidRPr="005B2CE6">
        <w:rPr>
          <w:rFonts w:ascii="Times New Roman" w:hAnsi="Times New Roman" w:cs="Times New Roman"/>
          <w:sz w:val="24"/>
          <w:szCs w:val="24"/>
        </w:rPr>
        <w:t xml:space="preserve">: The adaptation of standard Silvicultural system for NTFP and the integration of Indigenous knowledge. Paper presented in Seminar on “Harvesting of </w:t>
      </w:r>
      <w:proofErr w:type="spellStart"/>
      <w:r w:rsidRPr="005B2CE6">
        <w:rPr>
          <w:rFonts w:ascii="Times New Roman" w:hAnsi="Times New Roman" w:cs="Times New Roman"/>
          <w:sz w:val="24"/>
          <w:szCs w:val="24"/>
        </w:rPr>
        <w:t>Nonwood</w:t>
      </w:r>
      <w:proofErr w:type="spellEnd"/>
      <w:r w:rsidRPr="005B2CE6">
        <w:rPr>
          <w:rFonts w:ascii="Times New Roman" w:hAnsi="Times New Roman" w:cs="Times New Roman"/>
          <w:sz w:val="24"/>
          <w:szCs w:val="24"/>
        </w:rPr>
        <w:t xml:space="preserve"> Forest Products” </w:t>
      </w:r>
      <w:proofErr w:type="spellStart"/>
      <w:r w:rsidRPr="005B2CE6">
        <w:rPr>
          <w:rFonts w:ascii="Times New Roman" w:hAnsi="Times New Roman" w:cs="Times New Roman"/>
          <w:sz w:val="24"/>
          <w:szCs w:val="24"/>
        </w:rPr>
        <w:t>Menemem</w:t>
      </w:r>
      <w:proofErr w:type="spellEnd"/>
      <w:r w:rsidRPr="005B2CE6">
        <w:rPr>
          <w:rFonts w:ascii="Times New Roman" w:hAnsi="Times New Roman" w:cs="Times New Roman"/>
          <w:sz w:val="24"/>
          <w:szCs w:val="24"/>
        </w:rPr>
        <w:t>-Izmir(Turkey),2-8 October 2000.</w:t>
      </w:r>
    </w:p>
    <w:p w14:paraId="54E766D9" w14:textId="77777777" w:rsidR="00716153" w:rsidRDefault="00716153" w:rsidP="00DA1038">
      <w:pPr>
        <w:spacing w:after="0" w:line="360" w:lineRule="auto"/>
        <w:ind w:left="567" w:hanging="567"/>
        <w:jc w:val="both"/>
        <w:rPr>
          <w:rFonts w:ascii="Times New Roman" w:hAnsi="Times New Roman" w:cs="Times New Roman"/>
          <w:sz w:val="24"/>
          <w:szCs w:val="24"/>
        </w:rPr>
      </w:pPr>
      <w:r w:rsidRPr="00A41D99">
        <w:rPr>
          <w:rFonts w:ascii="Times New Roman" w:hAnsi="Times New Roman" w:cs="Times New Roman"/>
          <w:sz w:val="24"/>
          <w:szCs w:val="24"/>
        </w:rPr>
        <w:t>Gautam, K. H., &amp; Watanabe, T. (2002). Silviculture for non-timber forest product management: challenges and opportunities for sustainable forest management. </w:t>
      </w:r>
      <w:r w:rsidRPr="00A41D99">
        <w:rPr>
          <w:rFonts w:ascii="Times New Roman" w:hAnsi="Times New Roman" w:cs="Times New Roman"/>
          <w:i/>
          <w:iCs/>
          <w:sz w:val="24"/>
          <w:szCs w:val="24"/>
        </w:rPr>
        <w:t>The Forestry Chronicle</w:t>
      </w:r>
      <w:r w:rsidRPr="00A41D99">
        <w:rPr>
          <w:rFonts w:ascii="Times New Roman" w:hAnsi="Times New Roman" w:cs="Times New Roman"/>
          <w:sz w:val="24"/>
          <w:szCs w:val="24"/>
        </w:rPr>
        <w:t>, </w:t>
      </w:r>
      <w:r w:rsidRPr="00A41D99">
        <w:rPr>
          <w:rFonts w:ascii="Times New Roman" w:hAnsi="Times New Roman" w:cs="Times New Roman"/>
          <w:i/>
          <w:iCs/>
          <w:sz w:val="24"/>
          <w:szCs w:val="24"/>
        </w:rPr>
        <w:t>78</w:t>
      </w:r>
      <w:r w:rsidRPr="00A41D99">
        <w:rPr>
          <w:rFonts w:ascii="Times New Roman" w:hAnsi="Times New Roman" w:cs="Times New Roman"/>
          <w:sz w:val="24"/>
          <w:szCs w:val="24"/>
        </w:rPr>
        <w:t>(6), 830-832.</w:t>
      </w:r>
    </w:p>
    <w:p w14:paraId="4C61821A" w14:textId="77777777" w:rsidR="00716153" w:rsidRPr="005B2CE6"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ICFRE (2010) Forest Sector Report India 2010.ICFRE, Govt. of India. Kinnaird, M.F. (1992) Competition for a forest palm: use of Phoenix </w:t>
      </w:r>
      <w:proofErr w:type="spellStart"/>
      <w:r w:rsidRPr="005B2CE6">
        <w:rPr>
          <w:rFonts w:ascii="Times New Roman" w:hAnsi="Times New Roman" w:cs="Times New Roman"/>
          <w:sz w:val="24"/>
          <w:szCs w:val="24"/>
        </w:rPr>
        <w:t>reclinata</w:t>
      </w:r>
      <w:proofErr w:type="spellEnd"/>
      <w:r w:rsidRPr="005B2CE6">
        <w:rPr>
          <w:rFonts w:ascii="Times New Roman" w:hAnsi="Times New Roman" w:cs="Times New Roman"/>
          <w:sz w:val="24"/>
          <w:szCs w:val="24"/>
        </w:rPr>
        <w:t xml:space="preserve"> by human and nonhuman primates. Conservation Biology, 6, 101–107. </w:t>
      </w:r>
    </w:p>
    <w:p w14:paraId="53C8EF2B" w14:textId="77777777" w:rsidR="00716153" w:rsidRDefault="00716153" w:rsidP="00DA1038">
      <w:pPr>
        <w:autoSpaceDE w:val="0"/>
        <w:autoSpaceDN w:val="0"/>
        <w:adjustRightInd w:val="0"/>
        <w:spacing w:after="0" w:line="360" w:lineRule="auto"/>
        <w:ind w:left="720" w:hanging="720"/>
        <w:jc w:val="both"/>
      </w:pPr>
      <w:r w:rsidRPr="005B2CE6">
        <w:rPr>
          <w:rFonts w:ascii="Times New Roman" w:hAnsi="Times New Roman" w:cs="Times New Roman"/>
          <w:sz w:val="24"/>
          <w:szCs w:val="24"/>
          <w:shd w:val="clear" w:color="auto" w:fill="FFFFFF"/>
        </w:rPr>
        <w:t xml:space="preserve">Khandekar, H., Kumar, R., Vaishnav, A.K. and </w:t>
      </w:r>
      <w:proofErr w:type="spellStart"/>
      <w:r w:rsidRPr="005B2CE6">
        <w:rPr>
          <w:rFonts w:ascii="Times New Roman" w:hAnsi="Times New Roman" w:cs="Times New Roman"/>
          <w:sz w:val="24"/>
          <w:szCs w:val="24"/>
          <w:shd w:val="clear" w:color="auto" w:fill="FFFFFF"/>
        </w:rPr>
        <w:t>Bargah</w:t>
      </w:r>
      <w:proofErr w:type="spellEnd"/>
      <w:r w:rsidRPr="005B2CE6">
        <w:rPr>
          <w:rFonts w:ascii="Times New Roman" w:hAnsi="Times New Roman" w:cs="Times New Roman"/>
          <w:sz w:val="24"/>
          <w:szCs w:val="24"/>
          <w:shd w:val="clear" w:color="auto" w:fill="FFFFFF"/>
        </w:rPr>
        <w:t>, A.S., 2024. Non-Timber Forest Products-based initiatives for sustainable rural livelihood in Chhattisgarh, India. </w:t>
      </w:r>
      <w:r w:rsidRPr="005B2CE6">
        <w:rPr>
          <w:rStyle w:val="Emphasis"/>
          <w:rFonts w:ascii="Times New Roman" w:hAnsi="Times New Roman" w:cs="Times New Roman"/>
          <w:sz w:val="24"/>
          <w:szCs w:val="24"/>
          <w:shd w:val="clear" w:color="auto" w:fill="FFFFFF"/>
        </w:rPr>
        <w:t>Journal of Non-Timber Forest Products,</w:t>
      </w:r>
      <w:r w:rsidRPr="005B2CE6">
        <w:rPr>
          <w:rFonts w:ascii="Times New Roman" w:hAnsi="Times New Roman" w:cs="Times New Roman"/>
          <w:sz w:val="24"/>
          <w:szCs w:val="24"/>
          <w:shd w:val="clear" w:color="auto" w:fill="FFFFFF"/>
        </w:rPr>
        <w:t> 31(3), pp.242-249. </w:t>
      </w:r>
    </w:p>
    <w:p w14:paraId="5E8C28A6" w14:textId="77777777" w:rsidR="00716153" w:rsidRDefault="00716153" w:rsidP="00DA1038">
      <w:pPr>
        <w:spacing w:after="0" w:line="360" w:lineRule="auto"/>
        <w:ind w:left="567" w:hanging="567"/>
        <w:jc w:val="both"/>
        <w:rPr>
          <w:rFonts w:ascii="Times New Roman" w:hAnsi="Times New Roman" w:cs="Times New Roman"/>
          <w:sz w:val="24"/>
          <w:szCs w:val="24"/>
        </w:rPr>
      </w:pPr>
      <w:r w:rsidRPr="005B2CE6">
        <w:rPr>
          <w:rFonts w:ascii="Times New Roman" w:hAnsi="Times New Roman" w:cs="Times New Roman"/>
          <w:sz w:val="24"/>
          <w:szCs w:val="24"/>
        </w:rPr>
        <w:t xml:space="preserve">Krishna H Gautam, </w:t>
      </w:r>
      <w:proofErr w:type="spellStart"/>
      <w:r w:rsidRPr="005B2CE6">
        <w:rPr>
          <w:rFonts w:ascii="Times New Roman" w:hAnsi="Times New Roman" w:cs="Times New Roman"/>
          <w:sz w:val="24"/>
          <w:szCs w:val="24"/>
        </w:rPr>
        <w:t>Teiji</w:t>
      </w:r>
      <w:proofErr w:type="spellEnd"/>
      <w:r w:rsidRPr="005B2CE6">
        <w:rPr>
          <w:rFonts w:ascii="Times New Roman" w:hAnsi="Times New Roman" w:cs="Times New Roman"/>
          <w:sz w:val="24"/>
          <w:szCs w:val="24"/>
        </w:rPr>
        <w:t xml:space="preserve"> Watanabe 2002 Silviculture for non-timber forest product management: challenges and opportunities for sustainable forest </w:t>
      </w:r>
      <w:proofErr w:type="spellStart"/>
      <w:r w:rsidRPr="005B2CE6">
        <w:rPr>
          <w:rFonts w:ascii="Times New Roman" w:hAnsi="Times New Roman" w:cs="Times New Roman"/>
          <w:sz w:val="24"/>
          <w:szCs w:val="24"/>
        </w:rPr>
        <w:t>management.The</w:t>
      </w:r>
      <w:proofErr w:type="spellEnd"/>
      <w:r w:rsidRPr="005B2CE6">
        <w:rPr>
          <w:rFonts w:ascii="Times New Roman" w:hAnsi="Times New Roman" w:cs="Times New Roman"/>
          <w:sz w:val="24"/>
          <w:szCs w:val="24"/>
        </w:rPr>
        <w:t xml:space="preserve"> Forestry Chronicle, 2002, 78(6): 830-832. </w:t>
      </w:r>
    </w:p>
    <w:p w14:paraId="420054F3" w14:textId="77777777" w:rsidR="00716153" w:rsidRPr="005B2CE6" w:rsidRDefault="00716153" w:rsidP="00DA1038">
      <w:pPr>
        <w:autoSpaceDE w:val="0"/>
        <w:autoSpaceDN w:val="0"/>
        <w:adjustRightInd w:val="0"/>
        <w:spacing w:after="0" w:line="360" w:lineRule="auto"/>
        <w:ind w:left="709" w:hanging="709"/>
        <w:jc w:val="both"/>
        <w:rPr>
          <w:rFonts w:ascii="Times New Roman" w:eastAsiaTheme="minorHAnsi" w:hAnsi="Times New Roman" w:cs="Times New Roman"/>
          <w:iCs/>
          <w:sz w:val="24"/>
          <w:szCs w:val="24"/>
        </w:rPr>
      </w:pPr>
      <w:r w:rsidRPr="005B2CE6">
        <w:rPr>
          <w:rFonts w:ascii="Times New Roman" w:eastAsiaTheme="minorHAnsi" w:hAnsi="Times New Roman" w:cs="Times New Roman"/>
          <w:bCs/>
          <w:sz w:val="24"/>
          <w:szCs w:val="24"/>
        </w:rPr>
        <w:t>Kumar R. and Ramchandra (2018). Effect of Nitrogen Levels on Growth and Yield of Onion Varieties Under Poplar Based Agroforestry System.</w:t>
      </w:r>
      <w:r w:rsidRPr="005B2CE6">
        <w:rPr>
          <w:rFonts w:ascii="Times New Roman" w:eastAsiaTheme="minorHAnsi" w:hAnsi="Times New Roman" w:cs="Times New Roman"/>
          <w:i/>
          <w:iCs/>
          <w:sz w:val="24"/>
          <w:szCs w:val="24"/>
        </w:rPr>
        <w:t xml:space="preserve"> Trends in Biosciences, </w:t>
      </w:r>
      <w:r w:rsidRPr="005B2CE6">
        <w:rPr>
          <w:rFonts w:ascii="Times New Roman" w:eastAsiaTheme="minorHAnsi" w:hAnsi="Times New Roman" w:cs="Times New Roman"/>
          <w:iCs/>
          <w:sz w:val="24"/>
          <w:szCs w:val="24"/>
        </w:rPr>
        <w:t>11(3):283-286.</w:t>
      </w:r>
    </w:p>
    <w:p w14:paraId="21C7D6A8"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Kumar R., Bhardwaj A. K. and Chandra K. K. (2023). E</w:t>
      </w:r>
      <w:r w:rsidRPr="005B2CE6">
        <w:rPr>
          <w:rFonts w:ascii="Times New Roman" w:eastAsia="MingLiU_HKSCS" w:hAnsi="Times New Roman" w:cs="Times New Roman"/>
          <w:sz w:val="24"/>
          <w:szCs w:val="24"/>
        </w:rPr>
        <w:t>ff</w:t>
      </w:r>
      <w:r w:rsidRPr="005B2CE6">
        <w:rPr>
          <w:rFonts w:ascii="Times New Roman" w:hAnsi="Times New Roman" w:cs="Times New Roman"/>
          <w:sz w:val="24"/>
          <w:szCs w:val="24"/>
        </w:rPr>
        <w:t xml:space="preserve">ects of arbuscular mycorrhizal fungi on the germination of </w:t>
      </w:r>
      <w:r w:rsidRPr="005B2CE6">
        <w:rPr>
          <w:rFonts w:ascii="Times New Roman" w:hAnsi="Times New Roman" w:cs="Times New Roman"/>
          <w:i/>
          <w:sz w:val="24"/>
          <w:szCs w:val="24"/>
        </w:rPr>
        <w:t>Terminalia arjuna</w:t>
      </w:r>
      <w:r w:rsidRPr="005B2CE6">
        <w:rPr>
          <w:rFonts w:ascii="Times New Roman" w:hAnsi="Times New Roman" w:cs="Times New Roman"/>
          <w:sz w:val="24"/>
          <w:szCs w:val="24"/>
        </w:rPr>
        <w:t xml:space="preserve"> plants grown in </w:t>
      </w:r>
      <w:r w:rsidRPr="005B2CE6">
        <w:rPr>
          <w:rFonts w:ascii="Times New Roman" w:eastAsia="MingLiU_HKSCS" w:hAnsi="Times New Roman" w:cs="Times New Roman"/>
          <w:sz w:val="24"/>
          <w:szCs w:val="24"/>
        </w:rPr>
        <w:t>fl</w:t>
      </w:r>
      <w:r w:rsidRPr="005B2CE6">
        <w:rPr>
          <w:rFonts w:ascii="Times New Roman" w:hAnsi="Times New Roman" w:cs="Times New Roman"/>
          <w:sz w:val="24"/>
          <w:szCs w:val="24"/>
        </w:rPr>
        <w:t xml:space="preserve">y ash under nursery conditions. </w:t>
      </w:r>
      <w:r w:rsidRPr="005B2CE6">
        <w:rPr>
          <w:rFonts w:ascii="Times New Roman" w:hAnsi="Times New Roman" w:cs="Times New Roman"/>
          <w:i/>
          <w:sz w:val="24"/>
          <w:szCs w:val="24"/>
        </w:rPr>
        <w:t>Forestist,</w:t>
      </w:r>
      <w:r w:rsidRPr="005B2CE6">
        <w:rPr>
          <w:rFonts w:ascii="Times New Roman" w:hAnsi="Times New Roman" w:cs="Times New Roman"/>
          <w:sz w:val="24"/>
          <w:szCs w:val="24"/>
          <w:shd w:val="clear" w:color="auto" w:fill="FFFFFF"/>
        </w:rPr>
        <w:t>74: 142-146</w:t>
      </w:r>
      <w:r w:rsidRPr="005B2CE6">
        <w:rPr>
          <w:rFonts w:ascii="Times New Roman" w:hAnsi="Times New Roman" w:cs="Times New Roman"/>
          <w:sz w:val="24"/>
          <w:szCs w:val="24"/>
        </w:rPr>
        <w:t>. DOI:10.5152/forestist.2023.23015</w:t>
      </w:r>
    </w:p>
    <w:p w14:paraId="0A829F7C"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bCs/>
          <w:sz w:val="24"/>
          <w:szCs w:val="24"/>
        </w:rPr>
        <w:lastRenderedPageBreak/>
        <w:t xml:space="preserve">Kumar R., Bhardwaj A. K., Chandra, K. K. and Singh A. K. (2022c). Mycorrhizae: An Historical Journey of Plant Association. </w:t>
      </w:r>
      <w:r w:rsidRPr="005B2CE6">
        <w:rPr>
          <w:rFonts w:ascii="Times New Roman" w:hAnsi="Times New Roman" w:cs="Times New Roman"/>
          <w:bCs/>
          <w:i/>
          <w:sz w:val="24"/>
          <w:szCs w:val="24"/>
        </w:rPr>
        <w:t>Chhattisgarh Journal of Science and Technology</w:t>
      </w:r>
      <w:r w:rsidRPr="005B2CE6">
        <w:rPr>
          <w:rFonts w:ascii="Times New Roman" w:hAnsi="Times New Roman" w:cs="Times New Roman"/>
          <w:bCs/>
          <w:sz w:val="24"/>
          <w:szCs w:val="24"/>
        </w:rPr>
        <w:t xml:space="preserve">, </w:t>
      </w:r>
      <w:r w:rsidRPr="005B2CE6">
        <w:rPr>
          <w:rFonts w:ascii="Times New Roman" w:hAnsi="Times New Roman" w:cs="Times New Roman"/>
          <w:sz w:val="24"/>
          <w:szCs w:val="24"/>
        </w:rPr>
        <w:t>19(4):437-447.</w:t>
      </w:r>
    </w:p>
    <w:p w14:paraId="502D1137"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 xml:space="preserve">Kumar R., Bhardwaj A. K., Chandra, K. K., Dixit B. and Singh A.K. (2024). </w:t>
      </w:r>
      <w:r w:rsidRPr="005B2CE6">
        <w:rPr>
          <w:rFonts w:ascii="Times New Roman" w:hAnsi="Times New Roman" w:cs="Times New Roman"/>
          <w:bCs/>
          <w:sz w:val="24"/>
          <w:szCs w:val="24"/>
        </w:rPr>
        <w:t>Diverse role of mycorrhiza in plant growth and development: Review.</w:t>
      </w:r>
      <w:r w:rsidRPr="005B2CE6">
        <w:rPr>
          <w:rFonts w:ascii="Times New Roman" w:hAnsi="Times New Roman" w:cs="Times New Roman"/>
          <w:i/>
          <w:sz w:val="24"/>
          <w:szCs w:val="24"/>
        </w:rPr>
        <w:t>Solovyov Studies ISPU</w:t>
      </w:r>
      <w:r w:rsidRPr="005B2CE6">
        <w:rPr>
          <w:rFonts w:ascii="Times New Roman" w:hAnsi="Times New Roman" w:cs="Times New Roman"/>
          <w:bCs/>
          <w:sz w:val="24"/>
          <w:szCs w:val="24"/>
        </w:rPr>
        <w:t xml:space="preserve"> 72(2):37-61.</w:t>
      </w:r>
    </w:p>
    <w:p w14:paraId="6BFA5B85"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 xml:space="preserve">Kumar R., Bhardwaj A. K., Chandra, K. K., Dixit B. and Singh A.K. (2024). </w:t>
      </w:r>
      <w:r w:rsidRPr="005B2CE6">
        <w:rPr>
          <w:rFonts w:ascii="Times New Roman" w:hAnsi="Times New Roman" w:cs="Times New Roman"/>
          <w:bCs/>
          <w:sz w:val="24"/>
          <w:szCs w:val="24"/>
        </w:rPr>
        <w:t>Diverse role of mycorrhiza in plant growth and development: Review.</w:t>
      </w:r>
      <w:r w:rsidRPr="005B2CE6">
        <w:rPr>
          <w:rFonts w:ascii="Times New Roman" w:hAnsi="Times New Roman" w:cs="Times New Roman"/>
          <w:i/>
          <w:sz w:val="24"/>
          <w:szCs w:val="24"/>
        </w:rPr>
        <w:t>Solovyov Studies ISPU</w:t>
      </w:r>
      <w:r w:rsidRPr="005B2CE6">
        <w:rPr>
          <w:rFonts w:ascii="Times New Roman" w:hAnsi="Times New Roman" w:cs="Times New Roman"/>
          <w:bCs/>
          <w:sz w:val="24"/>
          <w:szCs w:val="24"/>
        </w:rPr>
        <w:t xml:space="preserve"> 72(2):37-61.</w:t>
      </w:r>
    </w:p>
    <w:p w14:paraId="7E95F6C6"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eastAsiaTheme="minorHAnsi" w:hAnsi="Times New Roman" w:cs="Times New Roman"/>
          <w:bCs/>
          <w:sz w:val="24"/>
          <w:szCs w:val="24"/>
        </w:rPr>
        <w:t>Kumar R., Bhardwaj A.K. and Chandra K.K. (2022a).</w:t>
      </w:r>
      <w:r w:rsidRPr="005B2CE6">
        <w:rPr>
          <w:rFonts w:ascii="Times New Roman" w:hAnsi="Times New Roman" w:cs="Times New Roman"/>
          <w:bCs/>
          <w:sz w:val="24"/>
          <w:szCs w:val="24"/>
        </w:rPr>
        <w:t xml:space="preserve"> A Review on Agroforestry Practices for Improving Socioeconomic and Environmental Status.</w:t>
      </w:r>
      <w:r w:rsidRPr="005B2CE6">
        <w:rPr>
          <w:rFonts w:ascii="Times New Roman" w:hAnsi="Times New Roman" w:cs="Times New Roman"/>
          <w:i/>
          <w:iCs/>
          <w:sz w:val="24"/>
          <w:szCs w:val="24"/>
        </w:rPr>
        <w:t xml:space="preserve"> Indian Forester, </w:t>
      </w:r>
      <w:r w:rsidRPr="005B2CE6">
        <w:rPr>
          <w:rFonts w:ascii="Times New Roman" w:hAnsi="Times New Roman" w:cs="Times New Roman"/>
          <w:bCs/>
          <w:sz w:val="24"/>
          <w:szCs w:val="24"/>
        </w:rPr>
        <w:t>148</w:t>
      </w:r>
      <w:r w:rsidRPr="005B2CE6">
        <w:rPr>
          <w:rFonts w:ascii="Times New Roman" w:hAnsi="Times New Roman" w:cs="Times New Roman"/>
          <w:sz w:val="24"/>
          <w:szCs w:val="24"/>
        </w:rPr>
        <w:t>(5): 474-478.</w:t>
      </w:r>
    </w:p>
    <w:p w14:paraId="5A28F4B4"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bCs/>
          <w:sz w:val="24"/>
          <w:szCs w:val="24"/>
        </w:rPr>
        <w:t>Kumar R., Darro H., Bhardwaj A. K. and Chandra K. K.  (2022a). Forest Fire and its Influence on Environmental conditions: A Review.</w:t>
      </w:r>
      <w:r w:rsidRPr="005B2CE6">
        <w:rPr>
          <w:rFonts w:ascii="Times New Roman" w:hAnsi="Times New Roman" w:cs="Times New Roman"/>
          <w:i/>
          <w:sz w:val="24"/>
          <w:szCs w:val="24"/>
        </w:rPr>
        <w:t xml:space="preserve">Bull. Env. </w:t>
      </w:r>
      <w:proofErr w:type="spellStart"/>
      <w:r w:rsidRPr="005B2CE6">
        <w:rPr>
          <w:rFonts w:ascii="Times New Roman" w:hAnsi="Times New Roman" w:cs="Times New Roman"/>
          <w:i/>
          <w:sz w:val="24"/>
          <w:szCs w:val="24"/>
        </w:rPr>
        <w:t>Pharmacol</w:t>
      </w:r>
      <w:proofErr w:type="spellEnd"/>
      <w:r w:rsidRPr="005B2CE6">
        <w:rPr>
          <w:rFonts w:ascii="Times New Roman" w:hAnsi="Times New Roman" w:cs="Times New Roman"/>
          <w:i/>
          <w:sz w:val="24"/>
          <w:szCs w:val="24"/>
        </w:rPr>
        <w:t>. Life Sci</w:t>
      </w:r>
      <w:r w:rsidRPr="005B2CE6">
        <w:rPr>
          <w:rFonts w:ascii="Times New Roman" w:hAnsi="Times New Roman" w:cs="Times New Roman"/>
          <w:sz w:val="24"/>
          <w:szCs w:val="24"/>
        </w:rPr>
        <w:t>., 10 (12):258-267.</w:t>
      </w:r>
    </w:p>
    <w:p w14:paraId="70407115"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 xml:space="preserve">Kumar, R., Ramchandra, Bhardwaj, A.K., Chandra, K.K. (2022b). </w:t>
      </w:r>
      <w:hyperlink r:id="rId15" w:history="1">
        <w:r w:rsidRPr="005B2CE6">
          <w:rPr>
            <w:rStyle w:val="Hyperlink"/>
            <w:rFonts w:ascii="Times New Roman" w:hAnsi="Times New Roman" w:cs="Times New Roman"/>
            <w:color w:val="auto"/>
            <w:sz w:val="24"/>
            <w:szCs w:val="24"/>
            <w:u w:val="none"/>
          </w:rPr>
          <w:t>Impacts of varying nitrogen levels on leaf length of onion varieties under poplarbased agroforestry system.</w:t>
        </w:r>
      </w:hyperlink>
      <w:r w:rsidRPr="005B2CE6">
        <w:rPr>
          <w:rFonts w:ascii="Times New Roman" w:hAnsi="Times New Roman" w:cs="Times New Roman"/>
          <w:sz w:val="24"/>
          <w:szCs w:val="24"/>
        </w:rPr>
        <w:t xml:space="preserve"> The Indian </w:t>
      </w:r>
      <w:proofErr w:type="spellStart"/>
      <w:r w:rsidRPr="005B2CE6">
        <w:rPr>
          <w:rFonts w:ascii="Times New Roman" w:hAnsi="Times New Roman" w:cs="Times New Roman"/>
          <w:sz w:val="24"/>
          <w:szCs w:val="24"/>
        </w:rPr>
        <w:t>Forestor</w:t>
      </w:r>
      <w:proofErr w:type="spellEnd"/>
      <w:r w:rsidRPr="005B2CE6">
        <w:rPr>
          <w:rFonts w:ascii="Times New Roman" w:hAnsi="Times New Roman" w:cs="Times New Roman"/>
          <w:sz w:val="24"/>
          <w:szCs w:val="24"/>
        </w:rPr>
        <w:t>, 148(12):1241-1244.</w:t>
      </w:r>
    </w:p>
    <w:p w14:paraId="733F2EB5"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B2CE6">
        <w:rPr>
          <w:rFonts w:ascii="Times New Roman" w:eastAsiaTheme="minorHAnsi" w:hAnsi="Times New Roman" w:cs="Times New Roman"/>
          <w:sz w:val="24"/>
          <w:szCs w:val="24"/>
        </w:rPr>
        <w:t>Limanpure</w:t>
      </w:r>
      <w:proofErr w:type="spellEnd"/>
      <w:r w:rsidRPr="005B2CE6">
        <w:rPr>
          <w:rFonts w:ascii="Times New Roman" w:eastAsiaTheme="minorHAnsi" w:hAnsi="Times New Roman" w:cs="Times New Roman"/>
          <w:sz w:val="24"/>
          <w:szCs w:val="24"/>
        </w:rPr>
        <w:t xml:space="preserve"> Y. and Kumar R. (2018).</w:t>
      </w:r>
      <w:r w:rsidRPr="005B2CE6">
        <w:rPr>
          <w:rFonts w:ascii="Times New Roman" w:eastAsiaTheme="minorHAnsi" w:hAnsi="Times New Roman" w:cs="Times New Roman"/>
          <w:bCs/>
          <w:sz w:val="24"/>
          <w:szCs w:val="24"/>
        </w:rPr>
        <w:t xml:space="preserve"> Effect of Different Levels of Inorganic Fertilizers on the Growth and Yield of Barley (</w:t>
      </w:r>
      <w:proofErr w:type="spellStart"/>
      <w:proofErr w:type="gramStart"/>
      <w:r w:rsidRPr="005B2CE6">
        <w:rPr>
          <w:rFonts w:ascii="Times New Roman" w:eastAsiaTheme="minorHAnsi" w:hAnsi="Times New Roman" w:cs="Times New Roman"/>
          <w:bCs/>
          <w:i/>
          <w:iCs/>
          <w:sz w:val="24"/>
          <w:szCs w:val="24"/>
        </w:rPr>
        <w:t>Hordeumvulgare</w:t>
      </w:r>
      <w:proofErr w:type="spellEnd"/>
      <w:r w:rsidRPr="005B2CE6">
        <w:rPr>
          <w:rFonts w:ascii="Times New Roman" w:eastAsiaTheme="minorHAnsi" w:hAnsi="Times New Roman" w:cs="Times New Roman"/>
          <w:bCs/>
          <w:i/>
          <w:iCs/>
          <w:sz w:val="24"/>
          <w:szCs w:val="24"/>
        </w:rPr>
        <w:t xml:space="preserve"> .L</w:t>
      </w:r>
      <w:proofErr w:type="gramEnd"/>
      <w:r w:rsidRPr="005B2CE6">
        <w:rPr>
          <w:rFonts w:ascii="Times New Roman" w:eastAsiaTheme="minorHAnsi" w:hAnsi="Times New Roman" w:cs="Times New Roman"/>
          <w:bCs/>
          <w:i/>
          <w:iCs/>
          <w:sz w:val="24"/>
          <w:szCs w:val="24"/>
        </w:rPr>
        <w:t xml:space="preserve">) </w:t>
      </w:r>
      <w:r w:rsidRPr="005B2CE6">
        <w:rPr>
          <w:rFonts w:ascii="Times New Roman" w:eastAsiaTheme="minorHAnsi" w:hAnsi="Times New Roman" w:cs="Times New Roman"/>
          <w:bCs/>
          <w:sz w:val="24"/>
          <w:szCs w:val="24"/>
        </w:rPr>
        <w:t>Under Teak (</w:t>
      </w:r>
      <w:proofErr w:type="spellStart"/>
      <w:r w:rsidRPr="005B2CE6">
        <w:rPr>
          <w:rFonts w:ascii="Times New Roman" w:eastAsiaTheme="minorHAnsi" w:hAnsi="Times New Roman" w:cs="Times New Roman"/>
          <w:bCs/>
          <w:i/>
          <w:iCs/>
          <w:sz w:val="24"/>
          <w:szCs w:val="24"/>
        </w:rPr>
        <w:t>Tectona</w:t>
      </w:r>
      <w:proofErr w:type="spellEnd"/>
      <w:r w:rsidRPr="005B2CE6">
        <w:rPr>
          <w:rFonts w:ascii="Times New Roman" w:eastAsiaTheme="minorHAnsi" w:hAnsi="Times New Roman" w:cs="Times New Roman"/>
          <w:bCs/>
          <w:i/>
          <w:iCs/>
          <w:sz w:val="24"/>
          <w:szCs w:val="24"/>
        </w:rPr>
        <w:t xml:space="preserve"> </w:t>
      </w:r>
      <w:proofErr w:type="spellStart"/>
      <w:r w:rsidRPr="005B2CE6">
        <w:rPr>
          <w:rFonts w:ascii="Times New Roman" w:eastAsiaTheme="minorHAnsi" w:hAnsi="Times New Roman" w:cs="Times New Roman"/>
          <w:bCs/>
          <w:i/>
          <w:iCs/>
          <w:sz w:val="24"/>
          <w:szCs w:val="24"/>
        </w:rPr>
        <w:t>grandis</w:t>
      </w:r>
      <w:proofErr w:type="spellEnd"/>
      <w:r w:rsidRPr="005B2CE6">
        <w:rPr>
          <w:rFonts w:ascii="Times New Roman" w:eastAsiaTheme="minorHAnsi" w:hAnsi="Times New Roman" w:cs="Times New Roman"/>
          <w:bCs/>
          <w:sz w:val="24"/>
          <w:szCs w:val="24"/>
        </w:rPr>
        <w:t xml:space="preserve">) Based </w:t>
      </w:r>
      <w:proofErr w:type="spellStart"/>
      <w:r w:rsidRPr="005B2CE6">
        <w:rPr>
          <w:rFonts w:ascii="Times New Roman" w:eastAsiaTheme="minorHAnsi" w:hAnsi="Times New Roman" w:cs="Times New Roman"/>
          <w:bCs/>
          <w:sz w:val="24"/>
          <w:szCs w:val="24"/>
        </w:rPr>
        <w:t>Agrisilviculture</w:t>
      </w:r>
      <w:proofErr w:type="spellEnd"/>
      <w:r w:rsidRPr="005B2CE6">
        <w:rPr>
          <w:rFonts w:ascii="Times New Roman" w:eastAsiaTheme="minorHAnsi" w:hAnsi="Times New Roman" w:cs="Times New Roman"/>
          <w:bCs/>
          <w:sz w:val="24"/>
          <w:szCs w:val="24"/>
        </w:rPr>
        <w:t xml:space="preserve"> System.</w:t>
      </w:r>
      <w:r w:rsidRPr="005B2CE6">
        <w:rPr>
          <w:rFonts w:ascii="Times New Roman" w:eastAsiaTheme="minorHAnsi" w:hAnsi="Times New Roman" w:cs="Times New Roman"/>
          <w:i/>
          <w:iCs/>
          <w:sz w:val="24"/>
          <w:szCs w:val="24"/>
        </w:rPr>
        <w:t xml:space="preserve"> Trends in Biosciences, </w:t>
      </w:r>
      <w:r w:rsidRPr="005B2CE6">
        <w:rPr>
          <w:rFonts w:ascii="Times New Roman" w:eastAsiaTheme="minorHAnsi" w:hAnsi="Times New Roman" w:cs="Times New Roman"/>
          <w:iCs/>
          <w:sz w:val="24"/>
          <w:szCs w:val="24"/>
        </w:rPr>
        <w:t>11(6):881-886.</w:t>
      </w:r>
    </w:p>
    <w:p w14:paraId="59EFCE2A"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77911">
        <w:rPr>
          <w:rFonts w:ascii="Times New Roman" w:hAnsi="Times New Roman" w:cs="Times New Roman"/>
          <w:sz w:val="24"/>
          <w:szCs w:val="24"/>
        </w:rPr>
        <w:t>Mandwa</w:t>
      </w:r>
      <w:proofErr w:type="spellEnd"/>
      <w:r w:rsidRPr="00377911">
        <w:rPr>
          <w:rFonts w:ascii="Times New Roman" w:hAnsi="Times New Roman" w:cs="Times New Roman"/>
          <w:sz w:val="24"/>
          <w:szCs w:val="24"/>
        </w:rPr>
        <w:t>, A. K., Bhardwaj, A. K., Kumar, R., Chandra, K. K., Kumari, C., &amp;</w:t>
      </w:r>
      <w:proofErr w:type="spellStart"/>
      <w:r w:rsidRPr="00377911">
        <w:rPr>
          <w:rFonts w:ascii="Times New Roman" w:hAnsi="Times New Roman" w:cs="Times New Roman"/>
          <w:sz w:val="24"/>
          <w:szCs w:val="24"/>
        </w:rPr>
        <w:t>Padey</w:t>
      </w:r>
      <w:proofErr w:type="spellEnd"/>
      <w:r w:rsidRPr="00377911">
        <w:rPr>
          <w:rFonts w:ascii="Times New Roman" w:hAnsi="Times New Roman" w:cs="Times New Roman"/>
          <w:sz w:val="24"/>
          <w:szCs w:val="24"/>
        </w:rPr>
        <w:t>, S. K. (2024). Impact of Urban Xenobiotics on Mycorrhizal Associations in Urban Plants. </w:t>
      </w:r>
      <w:r w:rsidRPr="00377911">
        <w:rPr>
          <w:rFonts w:ascii="Times New Roman" w:hAnsi="Times New Roman" w:cs="Times New Roman"/>
          <w:i/>
          <w:iCs/>
          <w:sz w:val="24"/>
          <w:szCs w:val="24"/>
        </w:rPr>
        <w:t>Nature Environment &amp; Pollution Technology</w:t>
      </w:r>
      <w:r w:rsidRPr="00377911">
        <w:rPr>
          <w:rFonts w:ascii="Times New Roman" w:hAnsi="Times New Roman" w:cs="Times New Roman"/>
          <w:sz w:val="24"/>
          <w:szCs w:val="24"/>
        </w:rPr>
        <w:t>, </w:t>
      </w:r>
      <w:r w:rsidRPr="00377911">
        <w:rPr>
          <w:rFonts w:ascii="Times New Roman" w:hAnsi="Times New Roman" w:cs="Times New Roman"/>
          <w:i/>
          <w:iCs/>
          <w:sz w:val="24"/>
          <w:szCs w:val="24"/>
        </w:rPr>
        <w:t>23</w:t>
      </w:r>
      <w:r w:rsidRPr="00377911">
        <w:rPr>
          <w:rFonts w:ascii="Times New Roman" w:hAnsi="Times New Roman" w:cs="Times New Roman"/>
          <w:sz w:val="24"/>
          <w:szCs w:val="24"/>
        </w:rPr>
        <w:t>(4).</w:t>
      </w:r>
    </w:p>
    <w:p w14:paraId="5FC4F733" w14:textId="77777777" w:rsidR="00716153" w:rsidRDefault="00716153" w:rsidP="00DA1038">
      <w:pPr>
        <w:spacing w:after="0" w:line="360" w:lineRule="auto"/>
        <w:ind w:left="720" w:hanging="720"/>
        <w:jc w:val="both"/>
        <w:rPr>
          <w:rFonts w:ascii="Times New Roman" w:hAnsi="Times New Roman" w:cs="Times New Roman"/>
          <w:sz w:val="24"/>
          <w:szCs w:val="24"/>
        </w:rPr>
      </w:pPr>
      <w:r w:rsidRPr="00A41D99">
        <w:rPr>
          <w:rFonts w:ascii="Times New Roman" w:hAnsi="Times New Roman" w:cs="Times New Roman"/>
          <w:sz w:val="24"/>
          <w:szCs w:val="24"/>
        </w:rPr>
        <w:t xml:space="preserve">Murali, K. S., Shankar, U., </w:t>
      </w:r>
      <w:proofErr w:type="spellStart"/>
      <w:r w:rsidRPr="00A41D99">
        <w:rPr>
          <w:rFonts w:ascii="Times New Roman" w:hAnsi="Times New Roman" w:cs="Times New Roman"/>
          <w:sz w:val="24"/>
          <w:szCs w:val="24"/>
        </w:rPr>
        <w:t>Shaanker</w:t>
      </w:r>
      <w:proofErr w:type="spellEnd"/>
      <w:r w:rsidRPr="00A41D99">
        <w:rPr>
          <w:rFonts w:ascii="Times New Roman" w:hAnsi="Times New Roman" w:cs="Times New Roman"/>
          <w:sz w:val="24"/>
          <w:szCs w:val="24"/>
        </w:rPr>
        <w:t xml:space="preserve">, R. U., </w:t>
      </w:r>
      <w:proofErr w:type="spellStart"/>
      <w:r w:rsidRPr="00A41D99">
        <w:rPr>
          <w:rFonts w:ascii="Times New Roman" w:hAnsi="Times New Roman" w:cs="Times New Roman"/>
          <w:sz w:val="24"/>
          <w:szCs w:val="24"/>
        </w:rPr>
        <w:t>Ganeshaiah</w:t>
      </w:r>
      <w:proofErr w:type="spellEnd"/>
      <w:r w:rsidRPr="00A41D99">
        <w:rPr>
          <w:rFonts w:ascii="Times New Roman" w:hAnsi="Times New Roman" w:cs="Times New Roman"/>
          <w:sz w:val="24"/>
          <w:szCs w:val="24"/>
        </w:rPr>
        <w:t xml:space="preserve">, K. N., &amp; Bawa, K. S. (1996). Extraction of non-timber forest products in the forests of </w:t>
      </w:r>
      <w:proofErr w:type="spellStart"/>
      <w:r w:rsidRPr="00A41D99">
        <w:rPr>
          <w:rFonts w:ascii="Times New Roman" w:hAnsi="Times New Roman" w:cs="Times New Roman"/>
          <w:sz w:val="24"/>
          <w:szCs w:val="24"/>
        </w:rPr>
        <w:t>Biligiri</w:t>
      </w:r>
      <w:proofErr w:type="spellEnd"/>
      <w:r w:rsidRPr="00A41D99">
        <w:rPr>
          <w:rFonts w:ascii="Times New Roman" w:hAnsi="Times New Roman" w:cs="Times New Roman"/>
          <w:sz w:val="24"/>
          <w:szCs w:val="24"/>
        </w:rPr>
        <w:t xml:space="preserve"> </w:t>
      </w:r>
      <w:proofErr w:type="spellStart"/>
      <w:r w:rsidRPr="00A41D99">
        <w:rPr>
          <w:rFonts w:ascii="Times New Roman" w:hAnsi="Times New Roman" w:cs="Times New Roman"/>
          <w:sz w:val="24"/>
          <w:szCs w:val="24"/>
        </w:rPr>
        <w:t>Rangan</w:t>
      </w:r>
      <w:proofErr w:type="spellEnd"/>
      <w:r w:rsidRPr="00A41D99">
        <w:rPr>
          <w:rFonts w:ascii="Times New Roman" w:hAnsi="Times New Roman" w:cs="Times New Roman"/>
          <w:sz w:val="24"/>
          <w:szCs w:val="24"/>
        </w:rPr>
        <w:t xml:space="preserve"> Hills, India. 2. Impact of NTFP extraction on regeneration, population structure, and species composition. </w:t>
      </w:r>
      <w:r w:rsidRPr="00A41D99">
        <w:rPr>
          <w:rFonts w:ascii="Times New Roman" w:hAnsi="Times New Roman" w:cs="Times New Roman"/>
          <w:i/>
          <w:iCs/>
          <w:sz w:val="24"/>
          <w:szCs w:val="24"/>
        </w:rPr>
        <w:t>Economic botany</w:t>
      </w:r>
      <w:r w:rsidRPr="00A41D99">
        <w:rPr>
          <w:rFonts w:ascii="Times New Roman" w:hAnsi="Times New Roman" w:cs="Times New Roman"/>
          <w:sz w:val="24"/>
          <w:szCs w:val="24"/>
        </w:rPr>
        <w:t>, </w:t>
      </w:r>
      <w:r w:rsidRPr="00A41D99">
        <w:rPr>
          <w:rFonts w:ascii="Times New Roman" w:hAnsi="Times New Roman" w:cs="Times New Roman"/>
          <w:i/>
          <w:iCs/>
          <w:sz w:val="24"/>
          <w:szCs w:val="24"/>
        </w:rPr>
        <w:t>50</w:t>
      </w:r>
      <w:r w:rsidRPr="00A41D99">
        <w:rPr>
          <w:rFonts w:ascii="Times New Roman" w:hAnsi="Times New Roman" w:cs="Times New Roman"/>
          <w:sz w:val="24"/>
          <w:szCs w:val="24"/>
        </w:rPr>
        <w:t>(3), 252-269.</w:t>
      </w:r>
    </w:p>
    <w:p w14:paraId="224C467B" w14:textId="77777777" w:rsidR="00716153" w:rsidRPr="00716153" w:rsidRDefault="00716153" w:rsidP="00716153">
      <w:pPr>
        <w:autoSpaceDE w:val="0"/>
        <w:autoSpaceDN w:val="0"/>
        <w:adjustRightInd w:val="0"/>
        <w:spacing w:after="0" w:line="360" w:lineRule="auto"/>
        <w:ind w:left="709" w:hanging="709"/>
        <w:jc w:val="both"/>
        <w:rPr>
          <w:rFonts w:ascii="Times New Roman" w:hAnsi="Times New Roman" w:cs="Times New Roman"/>
          <w:bCs/>
          <w:iCs/>
          <w:sz w:val="24"/>
          <w:szCs w:val="24"/>
        </w:rPr>
      </w:pPr>
      <w:r w:rsidRPr="00716153">
        <w:rPr>
          <w:rFonts w:ascii="Times New Roman" w:hAnsi="Times New Roman" w:cs="Times New Roman"/>
          <w:sz w:val="24"/>
          <w:szCs w:val="24"/>
        </w:rPr>
        <w:t xml:space="preserve">Netam, G., Kumar, R., Singh, B., Sahu, C., Soni, P., Chetan, S., Mohale, P., Choudhary, R., Verma, S., Khandekar, H., </w:t>
      </w:r>
      <w:proofErr w:type="spellStart"/>
      <w:r w:rsidRPr="00716153">
        <w:rPr>
          <w:rFonts w:ascii="Times New Roman" w:hAnsi="Times New Roman" w:cs="Times New Roman"/>
          <w:sz w:val="24"/>
          <w:szCs w:val="24"/>
        </w:rPr>
        <w:t>Bargah</w:t>
      </w:r>
      <w:proofErr w:type="spellEnd"/>
      <w:r w:rsidRPr="00716153">
        <w:rPr>
          <w:rFonts w:ascii="Times New Roman" w:hAnsi="Times New Roman" w:cs="Times New Roman"/>
          <w:sz w:val="24"/>
          <w:szCs w:val="24"/>
        </w:rPr>
        <w:t xml:space="preserve">, A.K., Vaishnav, A.K. (2025). </w:t>
      </w:r>
      <w:r w:rsidRPr="00E85B3D">
        <w:rPr>
          <w:rFonts w:ascii="Times New Roman" w:hAnsi="Times New Roman" w:cs="Times New Roman"/>
          <w:sz w:val="24"/>
          <w:szCs w:val="24"/>
        </w:rPr>
        <w:t xml:space="preserve"> </w:t>
      </w:r>
      <w:r w:rsidRPr="00E85B3D">
        <w:rPr>
          <w:rFonts w:ascii="Times New Roman" w:hAnsi="Times New Roman" w:cs="Times New Roman"/>
          <w:bCs/>
          <w:sz w:val="24"/>
          <w:szCs w:val="24"/>
        </w:rPr>
        <w:t xml:space="preserve">Minor Forest Produce Livelihoods and Gendered Challenges in </w:t>
      </w:r>
      <w:proofErr w:type="spellStart"/>
      <w:r w:rsidRPr="00E85B3D">
        <w:rPr>
          <w:rFonts w:ascii="Times New Roman" w:hAnsi="Times New Roman" w:cs="Times New Roman"/>
          <w:bCs/>
          <w:sz w:val="24"/>
          <w:szCs w:val="24"/>
        </w:rPr>
        <w:t>Keshkal</w:t>
      </w:r>
      <w:proofErr w:type="spellEnd"/>
      <w:r w:rsidRPr="00E85B3D">
        <w:rPr>
          <w:rFonts w:ascii="Times New Roman" w:hAnsi="Times New Roman" w:cs="Times New Roman"/>
          <w:bCs/>
          <w:sz w:val="24"/>
          <w:szCs w:val="24"/>
        </w:rPr>
        <w:t xml:space="preserve"> Forest Division, Chhattisgarh: </w:t>
      </w:r>
      <w:r w:rsidRPr="00716153">
        <w:rPr>
          <w:rFonts w:ascii="Times New Roman" w:hAnsi="Times New Roman" w:cs="Times New Roman"/>
          <w:bCs/>
          <w:sz w:val="24"/>
          <w:szCs w:val="24"/>
        </w:rPr>
        <w:t xml:space="preserve">A Review. </w:t>
      </w:r>
      <w:r w:rsidRPr="00716153">
        <w:rPr>
          <w:rFonts w:ascii="Times New Roman" w:hAnsi="Times New Roman" w:cs="Times New Roman"/>
          <w:bCs/>
          <w:i/>
          <w:iCs/>
          <w:sz w:val="24"/>
          <w:szCs w:val="24"/>
        </w:rPr>
        <w:t xml:space="preserve">Advances in Research, </w:t>
      </w:r>
      <w:r w:rsidRPr="00716153">
        <w:rPr>
          <w:rFonts w:ascii="Times New Roman" w:hAnsi="Times New Roman" w:cs="Times New Roman"/>
          <w:bCs/>
          <w:iCs/>
          <w:sz w:val="24"/>
          <w:szCs w:val="24"/>
        </w:rPr>
        <w:t>26 (4):522-532.</w:t>
      </w:r>
    </w:p>
    <w:p w14:paraId="6338A630"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B2CE6">
        <w:rPr>
          <w:rFonts w:ascii="Times New Roman" w:hAnsi="Times New Roman" w:cs="Times New Roman"/>
          <w:sz w:val="24"/>
          <w:szCs w:val="24"/>
        </w:rPr>
        <w:lastRenderedPageBreak/>
        <w:t>Pandey,J.N</w:t>
      </w:r>
      <w:proofErr w:type="spellEnd"/>
      <w:r w:rsidRPr="005B2CE6">
        <w:rPr>
          <w:rFonts w:ascii="Times New Roman" w:hAnsi="Times New Roman" w:cs="Times New Roman"/>
          <w:sz w:val="24"/>
          <w:szCs w:val="24"/>
        </w:rPr>
        <w:t xml:space="preserve">., Larkin, A., Kumar, R., </w:t>
      </w:r>
      <w:proofErr w:type="spellStart"/>
      <w:r w:rsidRPr="005B2CE6">
        <w:rPr>
          <w:rFonts w:ascii="Times New Roman" w:hAnsi="Times New Roman" w:cs="Times New Roman"/>
          <w:sz w:val="24"/>
          <w:szCs w:val="24"/>
        </w:rPr>
        <w:t>Sonwani</w:t>
      </w:r>
      <w:proofErr w:type="spellEnd"/>
      <w:r w:rsidRPr="005B2CE6">
        <w:rPr>
          <w:rFonts w:ascii="Times New Roman" w:hAnsi="Times New Roman" w:cs="Times New Roman"/>
          <w:sz w:val="24"/>
          <w:szCs w:val="24"/>
        </w:rPr>
        <w:t xml:space="preserve">, D.K. (2018)  </w:t>
      </w:r>
      <w:hyperlink r:id="rId16" w:history="1">
        <w:r w:rsidRPr="005B2CE6">
          <w:rPr>
            <w:rStyle w:val="Hyperlink"/>
            <w:rFonts w:ascii="Times New Roman" w:hAnsi="Times New Roman" w:cs="Times New Roman"/>
            <w:color w:val="auto"/>
            <w:sz w:val="24"/>
            <w:szCs w:val="24"/>
            <w:u w:val="none"/>
            <w:shd w:val="clear" w:color="auto" w:fill="FFFFFF"/>
          </w:rPr>
          <w:t>An economic analysis of tomato (Lycopersicon esculentum L.) under jatropha based alley cropping system</w:t>
        </w:r>
      </w:hyperlink>
      <w:r w:rsidRPr="005B2CE6">
        <w:rPr>
          <w:rFonts w:ascii="Times New Roman" w:hAnsi="Times New Roman" w:cs="Times New Roman"/>
          <w:sz w:val="24"/>
          <w:szCs w:val="24"/>
        </w:rPr>
        <w:t xml:space="preserve">. </w:t>
      </w:r>
      <w:r w:rsidRPr="005B2CE6">
        <w:rPr>
          <w:rFonts w:ascii="Times New Roman" w:hAnsi="Times New Roman" w:cs="Times New Roman"/>
          <w:i/>
          <w:sz w:val="24"/>
          <w:szCs w:val="24"/>
        </w:rPr>
        <w:t>Journal of Pharmacognosy and Phytochemistry</w:t>
      </w:r>
      <w:r w:rsidRPr="005B2CE6">
        <w:rPr>
          <w:rFonts w:ascii="Times New Roman" w:hAnsi="Times New Roman" w:cs="Times New Roman"/>
          <w:sz w:val="24"/>
          <w:szCs w:val="24"/>
        </w:rPr>
        <w:t xml:space="preserve"> 7 (3), 3729-3731</w:t>
      </w:r>
    </w:p>
    <w:p w14:paraId="0F4C608C" w14:textId="77777777" w:rsidR="00716153" w:rsidRDefault="00716153" w:rsidP="00DA1038">
      <w:pPr>
        <w:spacing w:after="0" w:line="360" w:lineRule="auto"/>
        <w:ind w:left="720" w:hanging="720"/>
        <w:jc w:val="both"/>
        <w:rPr>
          <w:rFonts w:ascii="Times New Roman" w:hAnsi="Times New Roman" w:cs="Times New Roman"/>
          <w:sz w:val="24"/>
          <w:szCs w:val="24"/>
        </w:rPr>
      </w:pPr>
      <w:r w:rsidRPr="00A41D99">
        <w:rPr>
          <w:rFonts w:ascii="Times New Roman" w:hAnsi="Times New Roman" w:cs="Times New Roman"/>
          <w:sz w:val="24"/>
          <w:szCs w:val="24"/>
        </w:rPr>
        <w:t>Parrotta, J. (2002, November). Conservation and sustainable use of medicinal plant resources–an international perspective. In </w:t>
      </w:r>
      <w:r w:rsidRPr="00A41D99">
        <w:rPr>
          <w:rFonts w:ascii="Times New Roman" w:hAnsi="Times New Roman" w:cs="Times New Roman"/>
          <w:i/>
          <w:iCs/>
          <w:sz w:val="24"/>
          <w:szCs w:val="24"/>
        </w:rPr>
        <w:t>Invited Papers Presented at the World Ayurveda Congress, Kochi, Kerala</w:t>
      </w:r>
      <w:r w:rsidRPr="00A41D99">
        <w:rPr>
          <w:rFonts w:ascii="Times New Roman" w:hAnsi="Times New Roman" w:cs="Times New Roman"/>
          <w:sz w:val="24"/>
          <w:szCs w:val="24"/>
        </w:rPr>
        <w:t> (pp. 52-63).</w:t>
      </w:r>
    </w:p>
    <w:p w14:paraId="00209DED"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Peters, C. M. (1994). Sustainable harvest of non-timber plant resources in tropical moist forest: an ecological primer. Biodiversity Support Program, World Wildlife Fund, </w:t>
      </w:r>
      <w:proofErr w:type="spellStart"/>
      <w:r w:rsidRPr="005B2CE6">
        <w:rPr>
          <w:rFonts w:ascii="Times New Roman" w:hAnsi="Times New Roman" w:cs="Times New Roman"/>
          <w:sz w:val="24"/>
          <w:szCs w:val="24"/>
        </w:rPr>
        <w:t>Washigton</w:t>
      </w:r>
      <w:proofErr w:type="spellEnd"/>
      <w:r w:rsidRPr="005B2CE6">
        <w:rPr>
          <w:rFonts w:ascii="Times New Roman" w:hAnsi="Times New Roman" w:cs="Times New Roman"/>
          <w:sz w:val="24"/>
          <w:szCs w:val="24"/>
        </w:rPr>
        <w:t xml:space="preserve"> DC pp 45. </w:t>
      </w:r>
    </w:p>
    <w:p w14:paraId="7E573003" w14:textId="77777777" w:rsidR="00716153"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Peters, C.M. (1996). The ecology and management of non-timber forest resources. World Bank Technical Paper No. 322, World Bank, Washington, D.C., USA. </w:t>
      </w:r>
    </w:p>
    <w:p w14:paraId="71D9D5A7" w14:textId="77777777" w:rsidR="00716153" w:rsidRDefault="00716153" w:rsidP="00DA1038">
      <w:pPr>
        <w:spacing w:after="0" w:line="360" w:lineRule="auto"/>
        <w:ind w:left="720" w:hanging="720"/>
        <w:jc w:val="both"/>
        <w:rPr>
          <w:rFonts w:ascii="Times New Roman" w:hAnsi="Times New Roman" w:cs="Times New Roman"/>
          <w:sz w:val="24"/>
          <w:szCs w:val="24"/>
        </w:rPr>
      </w:pPr>
      <w:r w:rsidRPr="00023412">
        <w:rPr>
          <w:rFonts w:ascii="Times New Roman" w:hAnsi="Times New Roman" w:cs="Times New Roman"/>
          <w:sz w:val="24"/>
          <w:szCs w:val="24"/>
        </w:rPr>
        <w:t xml:space="preserve">Prasad, R., Kotwal, P. C., &amp; Mishra, M. (2001). Impact of harvesting of </w:t>
      </w:r>
      <w:proofErr w:type="spellStart"/>
      <w:r w:rsidRPr="00023412">
        <w:rPr>
          <w:rFonts w:ascii="Times New Roman" w:hAnsi="Times New Roman" w:cs="Times New Roman"/>
          <w:sz w:val="24"/>
          <w:szCs w:val="24"/>
        </w:rPr>
        <w:t>Emblica</w:t>
      </w:r>
      <w:proofErr w:type="spellEnd"/>
      <w:r w:rsidRPr="00023412">
        <w:rPr>
          <w:rFonts w:ascii="Times New Roman" w:hAnsi="Times New Roman" w:cs="Times New Roman"/>
          <w:sz w:val="24"/>
          <w:szCs w:val="24"/>
        </w:rPr>
        <w:t xml:space="preserve"> officinalis (</w:t>
      </w:r>
      <w:proofErr w:type="spellStart"/>
      <w:r w:rsidRPr="00023412">
        <w:rPr>
          <w:rFonts w:ascii="Times New Roman" w:hAnsi="Times New Roman" w:cs="Times New Roman"/>
          <w:sz w:val="24"/>
          <w:szCs w:val="24"/>
        </w:rPr>
        <w:t>Aonla</w:t>
      </w:r>
      <w:proofErr w:type="spellEnd"/>
      <w:r w:rsidRPr="00023412">
        <w:rPr>
          <w:rFonts w:ascii="Times New Roman" w:hAnsi="Times New Roman" w:cs="Times New Roman"/>
          <w:sz w:val="24"/>
          <w:szCs w:val="24"/>
        </w:rPr>
        <w:t>) on its natural regeneration in central Indian forests. </w:t>
      </w:r>
      <w:r w:rsidRPr="00023412">
        <w:rPr>
          <w:rFonts w:ascii="Times New Roman" w:hAnsi="Times New Roman" w:cs="Times New Roman"/>
          <w:i/>
          <w:iCs/>
          <w:sz w:val="24"/>
          <w:szCs w:val="24"/>
        </w:rPr>
        <w:t>Journal of sustainable forestry</w:t>
      </w:r>
      <w:r w:rsidRPr="00023412">
        <w:rPr>
          <w:rFonts w:ascii="Times New Roman" w:hAnsi="Times New Roman" w:cs="Times New Roman"/>
          <w:sz w:val="24"/>
          <w:szCs w:val="24"/>
        </w:rPr>
        <w:t>, </w:t>
      </w:r>
      <w:r w:rsidRPr="00023412">
        <w:rPr>
          <w:rFonts w:ascii="Times New Roman" w:hAnsi="Times New Roman" w:cs="Times New Roman"/>
          <w:i/>
          <w:iCs/>
          <w:sz w:val="24"/>
          <w:szCs w:val="24"/>
        </w:rPr>
        <w:t>14</w:t>
      </w:r>
      <w:r w:rsidRPr="00023412">
        <w:rPr>
          <w:rFonts w:ascii="Times New Roman" w:hAnsi="Times New Roman" w:cs="Times New Roman"/>
          <w:sz w:val="24"/>
          <w:szCs w:val="24"/>
        </w:rPr>
        <w:t>(4), 1-12.</w:t>
      </w:r>
    </w:p>
    <w:p w14:paraId="4CE66BEA"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3C0D23">
        <w:rPr>
          <w:rFonts w:ascii="Times New Roman" w:hAnsi="Times New Roman" w:cs="Times New Roman"/>
          <w:sz w:val="24"/>
          <w:szCs w:val="24"/>
          <w:shd w:val="clear" w:color="auto" w:fill="FFFFFF"/>
        </w:rPr>
        <w:t>Rashmi, A., &amp; Dixit, B. (2015). Role of VA mycorrhiza in the development of agroforestry model and other floristic vegetation in the Degraded land. </w:t>
      </w:r>
      <w:r w:rsidRPr="003C0D23">
        <w:rPr>
          <w:rFonts w:ascii="Times New Roman" w:hAnsi="Times New Roman" w:cs="Times New Roman"/>
          <w:i/>
          <w:iCs/>
          <w:sz w:val="24"/>
          <w:szCs w:val="24"/>
          <w:shd w:val="clear" w:color="auto" w:fill="FFFFFF"/>
        </w:rPr>
        <w:t>Journal of Biodiversity and Environmental Sciences</w:t>
      </w:r>
      <w:r w:rsidRPr="003C0D23">
        <w:rPr>
          <w:rFonts w:ascii="Times New Roman" w:hAnsi="Times New Roman" w:cs="Times New Roman"/>
          <w:sz w:val="24"/>
          <w:szCs w:val="24"/>
          <w:shd w:val="clear" w:color="auto" w:fill="FFFFFF"/>
        </w:rPr>
        <w:t>, </w:t>
      </w:r>
      <w:r w:rsidRPr="003C0D23">
        <w:rPr>
          <w:rFonts w:ascii="Times New Roman" w:hAnsi="Times New Roman" w:cs="Times New Roman"/>
          <w:i/>
          <w:iCs/>
          <w:sz w:val="24"/>
          <w:szCs w:val="24"/>
          <w:shd w:val="clear" w:color="auto" w:fill="FFFFFF"/>
        </w:rPr>
        <w:t>7</w:t>
      </w:r>
      <w:r w:rsidRPr="003C0D23">
        <w:rPr>
          <w:rFonts w:ascii="Times New Roman" w:hAnsi="Times New Roman" w:cs="Times New Roman"/>
          <w:sz w:val="24"/>
          <w:szCs w:val="24"/>
          <w:shd w:val="clear" w:color="auto" w:fill="FFFFFF"/>
        </w:rPr>
        <w:t>, 1-8.</w:t>
      </w:r>
    </w:p>
    <w:p w14:paraId="3EC6E0C6" w14:textId="77777777" w:rsidR="00716153" w:rsidRDefault="00716153" w:rsidP="00DA1038">
      <w:pPr>
        <w:spacing w:after="0" w:line="360" w:lineRule="auto"/>
        <w:ind w:left="567" w:hanging="567"/>
        <w:jc w:val="both"/>
        <w:rPr>
          <w:rFonts w:ascii="Times New Roman" w:hAnsi="Times New Roman" w:cs="Times New Roman"/>
          <w:sz w:val="24"/>
          <w:szCs w:val="24"/>
        </w:rPr>
      </w:pPr>
      <w:r w:rsidRPr="005B2CE6">
        <w:rPr>
          <w:rFonts w:ascii="Times New Roman" w:hAnsi="Times New Roman" w:cs="Times New Roman"/>
          <w:sz w:val="24"/>
          <w:szCs w:val="24"/>
        </w:rPr>
        <w:t xml:space="preserve">Ruiz, M.R. (1995). A conceptual framework for CIFOR’s research on non-wood forest products. CIFOR Working Paper No. 6, </w:t>
      </w:r>
      <w:proofErr w:type="spellStart"/>
      <w:r w:rsidRPr="005B2CE6">
        <w:rPr>
          <w:rFonts w:ascii="Times New Roman" w:hAnsi="Times New Roman" w:cs="Times New Roman"/>
          <w:sz w:val="24"/>
          <w:szCs w:val="24"/>
        </w:rPr>
        <w:t>Center</w:t>
      </w:r>
      <w:proofErr w:type="spellEnd"/>
      <w:r w:rsidRPr="005B2CE6">
        <w:rPr>
          <w:rFonts w:ascii="Times New Roman" w:hAnsi="Times New Roman" w:cs="Times New Roman"/>
          <w:sz w:val="24"/>
          <w:szCs w:val="24"/>
        </w:rPr>
        <w:t xml:space="preserve"> for International Forest Research, Bogor, Indonesia. </w:t>
      </w:r>
    </w:p>
    <w:p w14:paraId="6EA9F3ED"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5B2CE6">
        <w:rPr>
          <w:rFonts w:ascii="Times New Roman" w:hAnsi="Times New Roman" w:cs="Times New Roman"/>
          <w:sz w:val="24"/>
          <w:szCs w:val="24"/>
        </w:rPr>
        <w:t>Shukla, A.K., Chandra, K.K., Kumar, R., Bhardwaj, A.K. (2025a).</w:t>
      </w:r>
      <w:hyperlink r:id="rId17" w:history="1">
        <w:r w:rsidRPr="005B2CE6">
          <w:rPr>
            <w:rStyle w:val="Hyperlink"/>
            <w:rFonts w:ascii="Times New Roman" w:hAnsi="Times New Roman" w:cs="Times New Roman"/>
            <w:color w:val="auto"/>
            <w:sz w:val="24"/>
            <w:szCs w:val="24"/>
            <w:u w:val="none"/>
            <w:shd w:val="clear" w:color="auto" w:fill="FFFFFF"/>
          </w:rPr>
          <w:t xml:space="preserve">Riverine agroforestry systems: Tree diversity and species structure along </w:t>
        </w:r>
        <w:proofErr w:type="spellStart"/>
        <w:r w:rsidRPr="005B2CE6">
          <w:rPr>
            <w:rStyle w:val="Hyperlink"/>
            <w:rFonts w:ascii="Times New Roman" w:hAnsi="Times New Roman" w:cs="Times New Roman"/>
            <w:color w:val="auto"/>
            <w:sz w:val="24"/>
            <w:szCs w:val="24"/>
            <w:u w:val="none"/>
            <w:shd w:val="clear" w:color="auto" w:fill="FFFFFF"/>
          </w:rPr>
          <w:t>Lilagar</w:t>
        </w:r>
        <w:proofErr w:type="spellEnd"/>
        <w:r w:rsidRPr="005B2CE6">
          <w:rPr>
            <w:rStyle w:val="Hyperlink"/>
            <w:rFonts w:ascii="Times New Roman" w:hAnsi="Times New Roman" w:cs="Times New Roman"/>
            <w:color w:val="auto"/>
            <w:sz w:val="24"/>
            <w:szCs w:val="24"/>
            <w:u w:val="none"/>
            <w:shd w:val="clear" w:color="auto" w:fill="FFFFFF"/>
          </w:rPr>
          <w:t xml:space="preserve"> river catchment in Chhattisgarh, India</w:t>
        </w:r>
      </w:hyperlink>
      <w:r w:rsidRPr="005B2CE6">
        <w:rPr>
          <w:rFonts w:ascii="Times New Roman" w:hAnsi="Times New Roman" w:cs="Times New Roman"/>
          <w:sz w:val="24"/>
          <w:szCs w:val="24"/>
        </w:rPr>
        <w:t xml:space="preserve">. </w:t>
      </w:r>
      <w:r w:rsidRPr="005B2CE6">
        <w:rPr>
          <w:rFonts w:ascii="Times New Roman" w:hAnsi="Times New Roman" w:cs="Times New Roman"/>
          <w:i/>
          <w:sz w:val="24"/>
          <w:szCs w:val="24"/>
        </w:rPr>
        <w:t>Green Technologies and Sustainability</w:t>
      </w:r>
      <w:r w:rsidRPr="005B2CE6">
        <w:rPr>
          <w:rFonts w:ascii="Times New Roman" w:hAnsi="Times New Roman" w:cs="Times New Roman"/>
          <w:sz w:val="24"/>
          <w:szCs w:val="24"/>
        </w:rPr>
        <w:t xml:space="preserve"> 3 (3): 100211</w:t>
      </w:r>
    </w:p>
    <w:p w14:paraId="08FFCFCD"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Shukla, A.K., Chandra, K.K., Kumar, R., Bhardwaj, A.K. (2025b). </w:t>
      </w:r>
      <w:hyperlink r:id="rId18" w:history="1">
        <w:r w:rsidRPr="005B2CE6">
          <w:rPr>
            <w:rStyle w:val="Hyperlink"/>
            <w:rFonts w:ascii="Times New Roman" w:hAnsi="Times New Roman" w:cs="Times New Roman"/>
            <w:color w:val="auto"/>
            <w:sz w:val="24"/>
            <w:szCs w:val="24"/>
            <w:u w:val="none"/>
            <w:shd w:val="clear" w:color="auto" w:fill="FFFFFF"/>
          </w:rPr>
          <w:t xml:space="preserve">Riverine agroforestry for high carbon sequestration and river ecosystem rejuvenation: A case of </w:t>
        </w:r>
        <w:proofErr w:type="spellStart"/>
        <w:r w:rsidRPr="005B2CE6">
          <w:rPr>
            <w:rStyle w:val="Hyperlink"/>
            <w:rFonts w:ascii="Times New Roman" w:hAnsi="Times New Roman" w:cs="Times New Roman"/>
            <w:color w:val="auto"/>
            <w:sz w:val="24"/>
            <w:szCs w:val="24"/>
            <w:u w:val="none"/>
            <w:shd w:val="clear" w:color="auto" w:fill="FFFFFF"/>
          </w:rPr>
          <w:t>Lilagar</w:t>
        </w:r>
        <w:proofErr w:type="spellEnd"/>
        <w:r w:rsidRPr="005B2CE6">
          <w:rPr>
            <w:rStyle w:val="Hyperlink"/>
            <w:rFonts w:ascii="Times New Roman" w:hAnsi="Times New Roman" w:cs="Times New Roman"/>
            <w:color w:val="auto"/>
            <w:sz w:val="24"/>
            <w:szCs w:val="24"/>
            <w:u w:val="none"/>
            <w:shd w:val="clear" w:color="auto" w:fill="FFFFFF"/>
          </w:rPr>
          <w:t xml:space="preserve"> River, Bilaspur, Chhattisgarh, India</w:t>
        </w:r>
      </w:hyperlink>
      <w:r w:rsidRPr="005B2CE6">
        <w:rPr>
          <w:rFonts w:ascii="Times New Roman" w:hAnsi="Times New Roman" w:cs="Times New Roman"/>
          <w:sz w:val="24"/>
          <w:szCs w:val="24"/>
        </w:rPr>
        <w:t xml:space="preserve">. </w:t>
      </w:r>
      <w:r w:rsidRPr="005B2CE6">
        <w:rPr>
          <w:rFonts w:ascii="Times New Roman" w:hAnsi="Times New Roman" w:cs="Times New Roman"/>
          <w:i/>
          <w:sz w:val="24"/>
          <w:szCs w:val="24"/>
        </w:rPr>
        <w:t>Sustainable Environment</w:t>
      </w:r>
      <w:r w:rsidRPr="005B2CE6">
        <w:rPr>
          <w:rFonts w:ascii="Times New Roman" w:hAnsi="Times New Roman" w:cs="Times New Roman"/>
          <w:sz w:val="24"/>
          <w:szCs w:val="24"/>
        </w:rPr>
        <w:t xml:space="preserve"> 11 (1): 2522504</w:t>
      </w:r>
    </w:p>
    <w:p w14:paraId="58D392F5"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r w:rsidRPr="003C0D23">
        <w:rPr>
          <w:rFonts w:ascii="Times New Roman" w:hAnsi="Times New Roman" w:cs="Times New Roman"/>
          <w:sz w:val="24"/>
          <w:szCs w:val="24"/>
        </w:rPr>
        <w:t xml:space="preserve">Singh, A. K., Chandra, K. K., Kumar, R., &amp; Bhardwaj, A. K. (2022). Phytochemical Analysis and Medicinal Properties of </w:t>
      </w:r>
      <w:proofErr w:type="spellStart"/>
      <w:r w:rsidRPr="003C0D23">
        <w:rPr>
          <w:rFonts w:ascii="Times New Roman" w:hAnsi="Times New Roman" w:cs="Times New Roman"/>
          <w:sz w:val="24"/>
          <w:szCs w:val="24"/>
        </w:rPr>
        <w:t>Soymidafebrifuga</w:t>
      </w:r>
      <w:proofErr w:type="spellEnd"/>
      <w:r w:rsidRPr="003C0D23">
        <w:rPr>
          <w:rFonts w:ascii="Times New Roman" w:hAnsi="Times New Roman" w:cs="Times New Roman"/>
          <w:sz w:val="24"/>
          <w:szCs w:val="24"/>
        </w:rPr>
        <w:t xml:space="preserve"> (</w:t>
      </w:r>
      <w:proofErr w:type="spellStart"/>
      <w:r w:rsidRPr="003C0D23">
        <w:rPr>
          <w:rFonts w:ascii="Times New Roman" w:hAnsi="Times New Roman" w:cs="Times New Roman"/>
          <w:sz w:val="24"/>
          <w:szCs w:val="24"/>
        </w:rPr>
        <w:t>Roxb</w:t>
      </w:r>
      <w:proofErr w:type="spellEnd"/>
      <w:r w:rsidRPr="003C0D23">
        <w:rPr>
          <w:rFonts w:ascii="Times New Roman" w:hAnsi="Times New Roman" w:cs="Times New Roman"/>
          <w:sz w:val="24"/>
          <w:szCs w:val="24"/>
        </w:rPr>
        <w:t>.) A. Juss: a Review. </w:t>
      </w:r>
      <w:r w:rsidRPr="003C0D23">
        <w:rPr>
          <w:rFonts w:ascii="Times New Roman" w:hAnsi="Times New Roman" w:cs="Times New Roman"/>
          <w:i/>
          <w:iCs/>
          <w:sz w:val="24"/>
          <w:szCs w:val="24"/>
        </w:rPr>
        <w:t>Advances in Bioresearch</w:t>
      </w:r>
      <w:r w:rsidRPr="003C0D23">
        <w:rPr>
          <w:rFonts w:ascii="Times New Roman" w:hAnsi="Times New Roman" w:cs="Times New Roman"/>
          <w:sz w:val="24"/>
          <w:szCs w:val="24"/>
        </w:rPr>
        <w:t>, </w:t>
      </w:r>
      <w:r w:rsidRPr="003C0D23">
        <w:rPr>
          <w:rFonts w:ascii="Times New Roman" w:hAnsi="Times New Roman" w:cs="Times New Roman"/>
          <w:i/>
          <w:iCs/>
          <w:sz w:val="24"/>
          <w:szCs w:val="24"/>
        </w:rPr>
        <w:t>13</w:t>
      </w:r>
      <w:r w:rsidRPr="003C0D23">
        <w:rPr>
          <w:rFonts w:ascii="Times New Roman" w:hAnsi="Times New Roman" w:cs="Times New Roman"/>
          <w:sz w:val="24"/>
          <w:szCs w:val="24"/>
        </w:rPr>
        <w:t>(6), 37-43.</w:t>
      </w:r>
    </w:p>
    <w:p w14:paraId="47B9B6A4"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3C0D23">
        <w:rPr>
          <w:rFonts w:ascii="Times New Roman" w:hAnsi="Times New Roman" w:cs="Times New Roman"/>
          <w:sz w:val="24"/>
          <w:szCs w:val="24"/>
          <w:shd w:val="clear" w:color="auto" w:fill="FFFFFF"/>
        </w:rPr>
        <w:t xml:space="preserve">Singh, S., Dixit, B., Prajapati, L., </w:t>
      </w:r>
      <w:proofErr w:type="spellStart"/>
      <w:r w:rsidRPr="003C0D23">
        <w:rPr>
          <w:rFonts w:ascii="Times New Roman" w:hAnsi="Times New Roman" w:cs="Times New Roman"/>
          <w:sz w:val="24"/>
          <w:szCs w:val="24"/>
          <w:shd w:val="clear" w:color="auto" w:fill="FFFFFF"/>
        </w:rPr>
        <w:t>Chandrakar</w:t>
      </w:r>
      <w:proofErr w:type="spellEnd"/>
      <w:r w:rsidRPr="003C0D23">
        <w:rPr>
          <w:rFonts w:ascii="Times New Roman" w:hAnsi="Times New Roman" w:cs="Times New Roman"/>
          <w:sz w:val="24"/>
          <w:szCs w:val="24"/>
          <w:shd w:val="clear" w:color="auto" w:fill="FFFFFF"/>
        </w:rPr>
        <w:t xml:space="preserve">, S., &amp; Tamrakar, A. (2024). Characterization of species structure and regeneration patterns under different density gradients in a tropical </w:t>
      </w:r>
      <w:proofErr w:type="spellStart"/>
      <w:r w:rsidRPr="003C0D23">
        <w:rPr>
          <w:rFonts w:ascii="Times New Roman" w:hAnsi="Times New Roman" w:cs="Times New Roman"/>
          <w:sz w:val="24"/>
          <w:szCs w:val="24"/>
          <w:shd w:val="clear" w:color="auto" w:fill="FFFFFF"/>
        </w:rPr>
        <w:t>Salforest</w:t>
      </w:r>
      <w:proofErr w:type="spellEnd"/>
      <w:r w:rsidRPr="003C0D23">
        <w:rPr>
          <w:rFonts w:ascii="Times New Roman" w:hAnsi="Times New Roman" w:cs="Times New Roman"/>
          <w:sz w:val="24"/>
          <w:szCs w:val="24"/>
          <w:shd w:val="clear" w:color="auto" w:fill="FFFFFF"/>
        </w:rPr>
        <w:t xml:space="preserve"> of </w:t>
      </w:r>
      <w:proofErr w:type="spellStart"/>
      <w:r w:rsidRPr="003C0D23">
        <w:rPr>
          <w:rFonts w:ascii="Times New Roman" w:hAnsi="Times New Roman" w:cs="Times New Roman"/>
          <w:sz w:val="24"/>
          <w:szCs w:val="24"/>
          <w:shd w:val="clear" w:color="auto" w:fill="FFFFFF"/>
        </w:rPr>
        <w:t>Achanakmar-Amarkantak</w:t>
      </w:r>
      <w:proofErr w:type="spellEnd"/>
      <w:r w:rsidRPr="003C0D23">
        <w:rPr>
          <w:rFonts w:ascii="Times New Roman" w:hAnsi="Times New Roman" w:cs="Times New Roman"/>
          <w:sz w:val="24"/>
          <w:szCs w:val="24"/>
          <w:shd w:val="clear" w:color="auto" w:fill="FFFFFF"/>
        </w:rPr>
        <w:t xml:space="preserve"> biosphere reserve in Central India. </w:t>
      </w:r>
      <w:r w:rsidRPr="003C0D23">
        <w:rPr>
          <w:rFonts w:ascii="Times New Roman" w:hAnsi="Times New Roman" w:cs="Times New Roman"/>
          <w:i/>
          <w:iCs/>
          <w:sz w:val="24"/>
          <w:szCs w:val="24"/>
          <w:shd w:val="clear" w:color="auto" w:fill="FFFFFF"/>
        </w:rPr>
        <w:t>Environment Conservation Journal</w:t>
      </w:r>
      <w:r w:rsidRPr="003C0D23">
        <w:rPr>
          <w:rFonts w:ascii="Times New Roman" w:hAnsi="Times New Roman" w:cs="Times New Roman"/>
          <w:sz w:val="24"/>
          <w:szCs w:val="24"/>
          <w:shd w:val="clear" w:color="auto" w:fill="FFFFFF"/>
        </w:rPr>
        <w:t>, </w:t>
      </w:r>
      <w:r w:rsidRPr="003C0D23">
        <w:rPr>
          <w:rFonts w:ascii="Times New Roman" w:hAnsi="Times New Roman" w:cs="Times New Roman"/>
          <w:i/>
          <w:iCs/>
          <w:sz w:val="24"/>
          <w:szCs w:val="24"/>
          <w:shd w:val="clear" w:color="auto" w:fill="FFFFFF"/>
        </w:rPr>
        <w:t>25</w:t>
      </w:r>
      <w:r w:rsidRPr="003C0D23">
        <w:rPr>
          <w:rFonts w:ascii="Times New Roman" w:hAnsi="Times New Roman" w:cs="Times New Roman"/>
          <w:sz w:val="24"/>
          <w:szCs w:val="24"/>
          <w:shd w:val="clear" w:color="auto" w:fill="FFFFFF"/>
        </w:rPr>
        <w:t>(3), 824-835.</w:t>
      </w:r>
    </w:p>
    <w:p w14:paraId="3AA09229" w14:textId="77777777" w:rsidR="00716153" w:rsidRDefault="00716153" w:rsidP="00DA1038">
      <w:pPr>
        <w:autoSpaceDE w:val="0"/>
        <w:autoSpaceDN w:val="0"/>
        <w:adjustRightInd w:val="0"/>
        <w:spacing w:after="0" w:line="360" w:lineRule="auto"/>
        <w:ind w:left="709" w:hanging="709"/>
        <w:jc w:val="both"/>
        <w:rPr>
          <w:rFonts w:ascii="Times New Roman" w:hAnsi="Times New Roman" w:cs="Times New Roman"/>
          <w:iCs/>
          <w:sz w:val="24"/>
          <w:szCs w:val="24"/>
        </w:rPr>
      </w:pPr>
      <w:r w:rsidRPr="00601C43">
        <w:rPr>
          <w:rFonts w:ascii="Times New Roman" w:hAnsi="Times New Roman" w:cs="Times New Roman"/>
          <w:iCs/>
          <w:sz w:val="24"/>
          <w:szCs w:val="24"/>
        </w:rPr>
        <w:lastRenderedPageBreak/>
        <w:t>Soni, P., Kumar, R., Singh, B., Sahu, C., Netam, G., Chetan, S., ... &amp; Vaishnav, A. K. (2025). Exploring Certification Pathways for Non-wood Forest Products: A Study of Opportunities and Challenges. </w:t>
      </w:r>
      <w:r w:rsidRPr="00601C43">
        <w:rPr>
          <w:rFonts w:ascii="Times New Roman" w:hAnsi="Times New Roman" w:cs="Times New Roman"/>
          <w:i/>
          <w:iCs/>
          <w:sz w:val="24"/>
          <w:szCs w:val="24"/>
        </w:rPr>
        <w:t>Journal of Scientific Research and Reports</w:t>
      </w:r>
      <w:r w:rsidRPr="00601C43">
        <w:rPr>
          <w:rFonts w:ascii="Times New Roman" w:hAnsi="Times New Roman" w:cs="Times New Roman"/>
          <w:iCs/>
          <w:sz w:val="24"/>
          <w:szCs w:val="24"/>
        </w:rPr>
        <w:t>, </w:t>
      </w:r>
      <w:r w:rsidRPr="00601C43">
        <w:rPr>
          <w:rFonts w:ascii="Times New Roman" w:hAnsi="Times New Roman" w:cs="Times New Roman"/>
          <w:i/>
          <w:iCs/>
          <w:sz w:val="24"/>
          <w:szCs w:val="24"/>
        </w:rPr>
        <w:t>31</w:t>
      </w:r>
      <w:r w:rsidRPr="00601C43">
        <w:rPr>
          <w:rFonts w:ascii="Times New Roman" w:hAnsi="Times New Roman" w:cs="Times New Roman"/>
          <w:iCs/>
          <w:sz w:val="24"/>
          <w:szCs w:val="24"/>
        </w:rPr>
        <w:t>(7), 103-111.</w:t>
      </w:r>
    </w:p>
    <w:p w14:paraId="3D140DE7" w14:textId="77777777" w:rsidR="00716153" w:rsidRPr="005B2CE6" w:rsidRDefault="00716153" w:rsidP="00DA103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B2CE6">
        <w:rPr>
          <w:rFonts w:ascii="Times New Roman" w:hAnsi="Times New Roman" w:cs="Times New Roman"/>
          <w:sz w:val="24"/>
          <w:szCs w:val="24"/>
        </w:rPr>
        <w:t>Tekam</w:t>
      </w:r>
      <w:proofErr w:type="spellEnd"/>
      <w:r w:rsidRPr="005B2CE6">
        <w:rPr>
          <w:rFonts w:ascii="Times New Roman" w:hAnsi="Times New Roman" w:cs="Times New Roman"/>
          <w:sz w:val="24"/>
          <w:szCs w:val="24"/>
        </w:rPr>
        <w:t xml:space="preserve">, K.K., Kumar, R., </w:t>
      </w:r>
      <w:proofErr w:type="spellStart"/>
      <w:r w:rsidRPr="005B2CE6">
        <w:rPr>
          <w:rFonts w:ascii="Times New Roman" w:hAnsi="Times New Roman" w:cs="Times New Roman"/>
          <w:sz w:val="24"/>
          <w:szCs w:val="24"/>
        </w:rPr>
        <w:t>Bargah</w:t>
      </w:r>
      <w:proofErr w:type="spellEnd"/>
      <w:r w:rsidRPr="005B2CE6">
        <w:rPr>
          <w:rFonts w:ascii="Times New Roman" w:hAnsi="Times New Roman" w:cs="Times New Roman"/>
          <w:sz w:val="24"/>
          <w:szCs w:val="24"/>
        </w:rPr>
        <w:t xml:space="preserve">, A.S., </w:t>
      </w:r>
      <w:proofErr w:type="spellStart"/>
      <w:r w:rsidRPr="005B2CE6">
        <w:rPr>
          <w:rFonts w:ascii="Times New Roman" w:hAnsi="Times New Roman" w:cs="Times New Roman"/>
          <w:sz w:val="24"/>
          <w:szCs w:val="24"/>
        </w:rPr>
        <w:t>Tirkey</w:t>
      </w:r>
      <w:proofErr w:type="spellEnd"/>
      <w:r w:rsidRPr="005B2CE6">
        <w:rPr>
          <w:rFonts w:ascii="Times New Roman" w:hAnsi="Times New Roman" w:cs="Times New Roman"/>
          <w:sz w:val="24"/>
          <w:szCs w:val="24"/>
        </w:rPr>
        <w:t xml:space="preserve">, S., Netam, P., </w:t>
      </w:r>
      <w:proofErr w:type="spellStart"/>
      <w:r w:rsidRPr="005B2CE6">
        <w:rPr>
          <w:rFonts w:ascii="Times New Roman" w:hAnsi="Times New Roman" w:cs="Times New Roman"/>
          <w:sz w:val="24"/>
          <w:szCs w:val="24"/>
        </w:rPr>
        <w:t>Pemeshwari</w:t>
      </w:r>
      <w:proofErr w:type="spellEnd"/>
      <w:r w:rsidRPr="005B2CE6">
        <w:rPr>
          <w:rFonts w:ascii="Times New Roman" w:hAnsi="Times New Roman" w:cs="Times New Roman"/>
          <w:sz w:val="24"/>
          <w:szCs w:val="24"/>
        </w:rPr>
        <w:t xml:space="preserve">, Verma, S., Nirwan, V., Bhagat, V. (2025). Linking forests to livelihoods: Tendu leaves and tribal income in Chhattisgarh, India. </w:t>
      </w:r>
      <w:r w:rsidRPr="005B2CE6">
        <w:rPr>
          <w:rFonts w:ascii="Times New Roman" w:hAnsi="Times New Roman" w:cs="Times New Roman"/>
          <w:i/>
          <w:sz w:val="24"/>
          <w:szCs w:val="24"/>
        </w:rPr>
        <w:t>Archives of Current Research International</w:t>
      </w:r>
      <w:r w:rsidRPr="005B2CE6">
        <w:rPr>
          <w:rFonts w:ascii="Times New Roman" w:hAnsi="Times New Roman" w:cs="Times New Roman"/>
          <w:sz w:val="24"/>
          <w:szCs w:val="24"/>
        </w:rPr>
        <w:t>, 25(8):112-122.</w:t>
      </w:r>
    </w:p>
    <w:p w14:paraId="45663D0C" w14:textId="77777777" w:rsidR="00716153" w:rsidRDefault="00716153" w:rsidP="00DA1038">
      <w:pPr>
        <w:spacing w:after="0" w:line="360" w:lineRule="auto"/>
        <w:ind w:left="720" w:hanging="720"/>
        <w:jc w:val="both"/>
        <w:rPr>
          <w:rFonts w:ascii="Times New Roman" w:hAnsi="Times New Roman" w:cs="Times New Roman"/>
          <w:sz w:val="24"/>
          <w:szCs w:val="24"/>
        </w:rPr>
      </w:pPr>
      <w:proofErr w:type="spellStart"/>
      <w:r w:rsidRPr="00023412">
        <w:rPr>
          <w:rFonts w:ascii="Times New Roman" w:hAnsi="Times New Roman" w:cs="Times New Roman"/>
          <w:sz w:val="24"/>
          <w:szCs w:val="24"/>
        </w:rPr>
        <w:t>Ticktin</w:t>
      </w:r>
      <w:proofErr w:type="spellEnd"/>
      <w:r w:rsidRPr="00023412">
        <w:rPr>
          <w:rFonts w:ascii="Times New Roman" w:hAnsi="Times New Roman" w:cs="Times New Roman"/>
          <w:sz w:val="24"/>
          <w:szCs w:val="24"/>
        </w:rPr>
        <w:t xml:space="preserve">, T., &amp; Johns, T. (2002). </w:t>
      </w:r>
      <w:proofErr w:type="spellStart"/>
      <w:r w:rsidRPr="00023412">
        <w:rPr>
          <w:rFonts w:ascii="Times New Roman" w:hAnsi="Times New Roman" w:cs="Times New Roman"/>
          <w:sz w:val="24"/>
          <w:szCs w:val="24"/>
        </w:rPr>
        <w:t>Chinanteco</w:t>
      </w:r>
      <w:proofErr w:type="spellEnd"/>
      <w:r w:rsidRPr="00023412">
        <w:rPr>
          <w:rFonts w:ascii="Times New Roman" w:hAnsi="Times New Roman" w:cs="Times New Roman"/>
          <w:sz w:val="24"/>
          <w:szCs w:val="24"/>
        </w:rPr>
        <w:t xml:space="preserve"> management </w:t>
      </w:r>
      <w:proofErr w:type="spellStart"/>
      <w:r w:rsidRPr="00023412">
        <w:rPr>
          <w:rFonts w:ascii="Times New Roman" w:hAnsi="Times New Roman" w:cs="Times New Roman"/>
          <w:sz w:val="24"/>
          <w:szCs w:val="24"/>
        </w:rPr>
        <w:t>ofAechmeaMagdalenae</w:t>
      </w:r>
      <w:proofErr w:type="spellEnd"/>
      <w:r w:rsidRPr="00023412">
        <w:rPr>
          <w:rFonts w:ascii="Times New Roman" w:hAnsi="Times New Roman" w:cs="Times New Roman"/>
          <w:sz w:val="24"/>
          <w:szCs w:val="24"/>
        </w:rPr>
        <w:t>: Implications for the use of TEK and TRM in management plans. </w:t>
      </w:r>
      <w:r w:rsidRPr="00023412">
        <w:rPr>
          <w:rFonts w:ascii="Times New Roman" w:hAnsi="Times New Roman" w:cs="Times New Roman"/>
          <w:i/>
          <w:iCs/>
          <w:sz w:val="24"/>
          <w:szCs w:val="24"/>
        </w:rPr>
        <w:t>Economic botany</w:t>
      </w:r>
      <w:r w:rsidRPr="00023412">
        <w:rPr>
          <w:rFonts w:ascii="Times New Roman" w:hAnsi="Times New Roman" w:cs="Times New Roman"/>
          <w:sz w:val="24"/>
          <w:szCs w:val="24"/>
        </w:rPr>
        <w:t>, </w:t>
      </w:r>
      <w:r w:rsidRPr="00023412">
        <w:rPr>
          <w:rFonts w:ascii="Times New Roman" w:hAnsi="Times New Roman" w:cs="Times New Roman"/>
          <w:i/>
          <w:iCs/>
          <w:sz w:val="24"/>
          <w:szCs w:val="24"/>
        </w:rPr>
        <w:t>56</w:t>
      </w:r>
      <w:r w:rsidRPr="00023412">
        <w:rPr>
          <w:rFonts w:ascii="Times New Roman" w:hAnsi="Times New Roman" w:cs="Times New Roman"/>
          <w:sz w:val="24"/>
          <w:szCs w:val="24"/>
        </w:rPr>
        <w:t>(2), 177-191.</w:t>
      </w:r>
    </w:p>
    <w:p w14:paraId="7E40BEEF" w14:textId="77777777" w:rsidR="00716153"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601C43">
        <w:rPr>
          <w:rFonts w:ascii="Times New Roman" w:hAnsi="Times New Roman" w:cs="Times New Roman"/>
          <w:sz w:val="24"/>
          <w:szCs w:val="24"/>
        </w:rPr>
        <w:t>Tiwari, R. K. S., Chandra, K. K., Kumar, R., Bhardwaj, A. K., Pandey, S. K., &amp; Dixit, B. (2024). Microbial Biopesticides: An Ecofriendly Plant Protection Measures. </w:t>
      </w:r>
      <w:r w:rsidRPr="00601C43">
        <w:rPr>
          <w:rFonts w:ascii="Times New Roman" w:hAnsi="Times New Roman" w:cs="Times New Roman"/>
          <w:i/>
          <w:iCs/>
          <w:sz w:val="24"/>
          <w:szCs w:val="24"/>
        </w:rPr>
        <w:t>Environment and Ecology</w:t>
      </w:r>
      <w:r w:rsidRPr="00601C43">
        <w:rPr>
          <w:rFonts w:ascii="Times New Roman" w:hAnsi="Times New Roman" w:cs="Times New Roman"/>
          <w:sz w:val="24"/>
          <w:szCs w:val="24"/>
        </w:rPr>
        <w:t>, </w:t>
      </w:r>
      <w:r w:rsidRPr="00601C43">
        <w:rPr>
          <w:rFonts w:ascii="Times New Roman" w:hAnsi="Times New Roman" w:cs="Times New Roman"/>
          <w:i/>
          <w:iCs/>
          <w:sz w:val="24"/>
          <w:szCs w:val="24"/>
        </w:rPr>
        <w:t>42</w:t>
      </w:r>
      <w:r w:rsidRPr="00601C43">
        <w:rPr>
          <w:rFonts w:ascii="Times New Roman" w:hAnsi="Times New Roman" w:cs="Times New Roman"/>
          <w:sz w:val="24"/>
          <w:szCs w:val="24"/>
        </w:rPr>
        <w:t>(4), 1590-1598.</w:t>
      </w:r>
    </w:p>
    <w:p w14:paraId="14E9E544" w14:textId="77777777" w:rsidR="00716153" w:rsidRPr="005B2CE6" w:rsidRDefault="00716153" w:rsidP="00DA1038">
      <w:pPr>
        <w:autoSpaceDE w:val="0"/>
        <w:autoSpaceDN w:val="0"/>
        <w:adjustRightInd w:val="0"/>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shd w:val="clear" w:color="auto" w:fill="FFFFFF"/>
        </w:rPr>
        <w:t xml:space="preserve">Vaishnav, A.K., Kumar, R., Khandekar, H., </w:t>
      </w:r>
      <w:proofErr w:type="spellStart"/>
      <w:r w:rsidRPr="005B2CE6">
        <w:rPr>
          <w:rFonts w:ascii="Times New Roman" w:hAnsi="Times New Roman" w:cs="Times New Roman"/>
          <w:sz w:val="24"/>
          <w:szCs w:val="24"/>
          <w:shd w:val="clear" w:color="auto" w:fill="FFFFFF"/>
        </w:rPr>
        <w:t>Bargah</w:t>
      </w:r>
      <w:proofErr w:type="spellEnd"/>
      <w:r w:rsidRPr="005B2CE6">
        <w:rPr>
          <w:rFonts w:ascii="Times New Roman" w:hAnsi="Times New Roman" w:cs="Times New Roman"/>
          <w:sz w:val="24"/>
          <w:szCs w:val="24"/>
          <w:shd w:val="clear" w:color="auto" w:fill="FFFFFF"/>
        </w:rPr>
        <w:t xml:space="preserve">, A.S. (2025).Sericulture: A Dynamic Contribution of the Indian Nation. </w:t>
      </w:r>
      <w:r w:rsidRPr="005B2CE6">
        <w:rPr>
          <w:rFonts w:ascii="Times New Roman" w:hAnsi="Times New Roman" w:cs="Times New Roman"/>
          <w:i/>
          <w:sz w:val="24"/>
          <w:szCs w:val="24"/>
          <w:shd w:val="clear" w:color="auto" w:fill="FFFFFF"/>
        </w:rPr>
        <w:t>International Journal of Agriculture Sciences</w:t>
      </w:r>
      <w:r w:rsidRPr="005B2CE6">
        <w:rPr>
          <w:rFonts w:ascii="Times New Roman" w:hAnsi="Times New Roman" w:cs="Times New Roman"/>
          <w:sz w:val="24"/>
          <w:szCs w:val="24"/>
          <w:shd w:val="clear" w:color="auto" w:fill="FFFFFF"/>
        </w:rPr>
        <w:t>, 17(1):13317-13321</w:t>
      </w:r>
    </w:p>
    <w:p w14:paraId="6C0D20B7" w14:textId="77777777" w:rsidR="00716153" w:rsidRPr="008F293A" w:rsidRDefault="00716153" w:rsidP="00DA1038">
      <w:pPr>
        <w:spacing w:after="0" w:line="360" w:lineRule="auto"/>
        <w:ind w:left="720" w:hanging="720"/>
        <w:jc w:val="both"/>
        <w:rPr>
          <w:rFonts w:ascii="Times New Roman" w:hAnsi="Times New Roman" w:cs="Times New Roman"/>
          <w:sz w:val="24"/>
          <w:szCs w:val="24"/>
        </w:rPr>
      </w:pPr>
      <w:r w:rsidRPr="005B2CE6">
        <w:rPr>
          <w:rFonts w:ascii="Times New Roman" w:hAnsi="Times New Roman" w:cs="Times New Roman"/>
          <w:sz w:val="24"/>
          <w:szCs w:val="24"/>
        </w:rPr>
        <w:t xml:space="preserve">Verma, S., Kumar, R., Singh, B., Sahu, C., Soni, P., Chetan, S., Mohale, P., Choudhary, R., Netam, </w:t>
      </w:r>
      <w:proofErr w:type="gramStart"/>
      <w:r w:rsidRPr="005B2CE6">
        <w:rPr>
          <w:rFonts w:ascii="Times New Roman" w:hAnsi="Times New Roman" w:cs="Times New Roman"/>
          <w:sz w:val="24"/>
          <w:szCs w:val="24"/>
        </w:rPr>
        <w:t>G.,Khandekar</w:t>
      </w:r>
      <w:proofErr w:type="gramEnd"/>
      <w:r w:rsidRPr="005B2CE6">
        <w:rPr>
          <w:rFonts w:ascii="Times New Roman" w:hAnsi="Times New Roman" w:cs="Times New Roman"/>
          <w:sz w:val="24"/>
          <w:szCs w:val="24"/>
        </w:rPr>
        <w:t xml:space="preserve">, H., </w:t>
      </w:r>
      <w:proofErr w:type="spellStart"/>
      <w:r w:rsidRPr="005B2CE6">
        <w:rPr>
          <w:rFonts w:ascii="Times New Roman" w:hAnsi="Times New Roman" w:cs="Times New Roman"/>
          <w:sz w:val="24"/>
          <w:szCs w:val="24"/>
        </w:rPr>
        <w:t>Bargah</w:t>
      </w:r>
      <w:proofErr w:type="spellEnd"/>
      <w:r w:rsidRPr="005B2CE6">
        <w:rPr>
          <w:rFonts w:ascii="Times New Roman" w:hAnsi="Times New Roman" w:cs="Times New Roman"/>
          <w:sz w:val="24"/>
          <w:szCs w:val="24"/>
        </w:rPr>
        <w:t xml:space="preserve">, A.K., Vaishnav, A.K. (2025). </w:t>
      </w:r>
      <w:r w:rsidRPr="005B2CE6">
        <w:rPr>
          <w:rFonts w:ascii="Times New Roman" w:hAnsi="Times New Roman" w:cs="Times New Roman"/>
          <w:i/>
          <w:sz w:val="24"/>
          <w:szCs w:val="24"/>
        </w:rPr>
        <w:t>Archives of Current Research International</w:t>
      </w:r>
      <w:r w:rsidRPr="005B2CE6">
        <w:rPr>
          <w:rFonts w:ascii="Times New Roman" w:hAnsi="Times New Roman" w:cs="Times New Roman"/>
          <w:sz w:val="24"/>
          <w:szCs w:val="24"/>
        </w:rPr>
        <w:t>, 25(7):889-898</w:t>
      </w:r>
    </w:p>
    <w:p w14:paraId="4EAD0377" w14:textId="77777777" w:rsidR="00716153" w:rsidRDefault="00716153" w:rsidP="00DA1038">
      <w:pPr>
        <w:spacing w:after="0" w:line="360" w:lineRule="auto"/>
        <w:ind w:left="720" w:hanging="720"/>
        <w:jc w:val="both"/>
        <w:rPr>
          <w:rFonts w:ascii="Times New Roman" w:hAnsi="Times New Roman" w:cs="Times New Roman"/>
          <w:sz w:val="24"/>
          <w:szCs w:val="24"/>
        </w:rPr>
      </w:pPr>
      <w:r w:rsidRPr="00023412">
        <w:rPr>
          <w:rFonts w:ascii="Times New Roman" w:hAnsi="Times New Roman" w:cs="Times New Roman"/>
          <w:sz w:val="24"/>
          <w:szCs w:val="24"/>
        </w:rPr>
        <w:t>Wiersum, K. F. (1999). Understanding diversity in NTFP management: a neglected issue in NTFP research. </w:t>
      </w:r>
      <w:r w:rsidRPr="00023412">
        <w:rPr>
          <w:rFonts w:ascii="Times New Roman" w:hAnsi="Times New Roman" w:cs="Times New Roman"/>
          <w:i/>
          <w:iCs/>
          <w:sz w:val="24"/>
          <w:szCs w:val="24"/>
        </w:rPr>
        <w:t xml:space="preserve">NTFP research in the </w:t>
      </w:r>
      <w:proofErr w:type="spellStart"/>
      <w:r w:rsidRPr="00023412">
        <w:rPr>
          <w:rFonts w:ascii="Times New Roman" w:hAnsi="Times New Roman" w:cs="Times New Roman"/>
          <w:i/>
          <w:iCs/>
          <w:sz w:val="24"/>
          <w:szCs w:val="24"/>
        </w:rPr>
        <w:t>Tropenbos</w:t>
      </w:r>
      <w:proofErr w:type="spellEnd"/>
      <w:r w:rsidRPr="00023412">
        <w:rPr>
          <w:rFonts w:ascii="Times New Roman" w:hAnsi="Times New Roman" w:cs="Times New Roman"/>
          <w:i/>
          <w:iCs/>
          <w:sz w:val="24"/>
          <w:szCs w:val="24"/>
        </w:rPr>
        <w:t xml:space="preserve"> programme: Results and perspectives. </w:t>
      </w:r>
      <w:proofErr w:type="spellStart"/>
      <w:r w:rsidRPr="00023412">
        <w:rPr>
          <w:rFonts w:ascii="Times New Roman" w:hAnsi="Times New Roman" w:cs="Times New Roman"/>
          <w:i/>
          <w:iCs/>
          <w:sz w:val="24"/>
          <w:szCs w:val="24"/>
        </w:rPr>
        <w:t>Tropenbos</w:t>
      </w:r>
      <w:proofErr w:type="spellEnd"/>
      <w:r w:rsidRPr="00023412">
        <w:rPr>
          <w:rFonts w:ascii="Times New Roman" w:hAnsi="Times New Roman" w:cs="Times New Roman"/>
          <w:i/>
          <w:iCs/>
          <w:sz w:val="24"/>
          <w:szCs w:val="24"/>
        </w:rPr>
        <w:t xml:space="preserve"> Foundation, Wageningen, the Netherlands</w:t>
      </w:r>
      <w:r w:rsidRPr="00023412">
        <w:rPr>
          <w:rFonts w:ascii="Times New Roman" w:hAnsi="Times New Roman" w:cs="Times New Roman"/>
          <w:sz w:val="24"/>
          <w:szCs w:val="24"/>
        </w:rPr>
        <w:t>.</w:t>
      </w:r>
    </w:p>
    <w:p w14:paraId="5E6AD727" w14:textId="77777777" w:rsidR="00716153" w:rsidRDefault="00716153" w:rsidP="00DA1038">
      <w:pPr>
        <w:spacing w:after="0" w:line="360" w:lineRule="auto"/>
        <w:ind w:left="720" w:hanging="720"/>
        <w:jc w:val="both"/>
        <w:rPr>
          <w:rFonts w:ascii="Times New Roman" w:hAnsi="Times New Roman" w:cs="Times New Roman"/>
          <w:sz w:val="24"/>
          <w:szCs w:val="24"/>
        </w:rPr>
      </w:pPr>
    </w:p>
    <w:p w14:paraId="43CCD4BA" w14:textId="77777777" w:rsidR="00EC3687" w:rsidRDefault="00EC3687" w:rsidP="00DA1038">
      <w:pPr>
        <w:spacing w:after="0" w:line="360" w:lineRule="auto"/>
        <w:ind w:left="720" w:hanging="720"/>
        <w:jc w:val="both"/>
        <w:rPr>
          <w:rFonts w:ascii="Times New Roman" w:hAnsi="Times New Roman" w:cs="Times New Roman"/>
          <w:sz w:val="24"/>
          <w:szCs w:val="24"/>
        </w:rPr>
      </w:pPr>
    </w:p>
    <w:p w14:paraId="2409AA14" w14:textId="77777777" w:rsidR="000305B5" w:rsidRDefault="000305B5" w:rsidP="00DF7430">
      <w:pPr>
        <w:spacing w:after="0" w:line="360" w:lineRule="auto"/>
        <w:rPr>
          <w:rFonts w:ascii="Times New Roman" w:hAnsi="Times New Roman" w:cs="Times New Roman"/>
          <w:b/>
          <w:sz w:val="24"/>
          <w:szCs w:val="24"/>
        </w:rPr>
      </w:pPr>
    </w:p>
    <w:p w14:paraId="21CE982F" w14:textId="77777777" w:rsidR="000305B5" w:rsidRDefault="000305B5" w:rsidP="00DF7430">
      <w:pPr>
        <w:spacing w:after="0" w:line="360" w:lineRule="auto"/>
        <w:rPr>
          <w:rFonts w:ascii="Times New Roman" w:hAnsi="Times New Roman" w:cs="Times New Roman"/>
          <w:b/>
          <w:sz w:val="24"/>
          <w:szCs w:val="24"/>
        </w:rPr>
      </w:pPr>
    </w:p>
    <w:p w14:paraId="0DB11187" w14:textId="77777777" w:rsidR="000305B5" w:rsidRDefault="000305B5" w:rsidP="00DF7430">
      <w:pPr>
        <w:spacing w:after="0" w:line="360" w:lineRule="auto"/>
        <w:rPr>
          <w:rFonts w:ascii="Times New Roman" w:hAnsi="Times New Roman" w:cs="Times New Roman"/>
          <w:b/>
          <w:sz w:val="24"/>
          <w:szCs w:val="24"/>
        </w:rPr>
      </w:pPr>
    </w:p>
    <w:p w14:paraId="5CFA2256" w14:textId="77777777" w:rsidR="000305B5" w:rsidRDefault="000305B5" w:rsidP="00DF7430">
      <w:pPr>
        <w:spacing w:after="0" w:line="360" w:lineRule="auto"/>
        <w:rPr>
          <w:rFonts w:ascii="Times New Roman" w:hAnsi="Times New Roman" w:cs="Times New Roman"/>
          <w:b/>
          <w:sz w:val="24"/>
          <w:szCs w:val="24"/>
        </w:rPr>
      </w:pPr>
    </w:p>
    <w:p w14:paraId="03042339" w14:textId="77777777" w:rsidR="000305B5" w:rsidRDefault="000305B5" w:rsidP="00DF7430">
      <w:pPr>
        <w:spacing w:after="0" w:line="360" w:lineRule="auto"/>
        <w:rPr>
          <w:rFonts w:ascii="Times New Roman" w:hAnsi="Times New Roman" w:cs="Times New Roman"/>
          <w:b/>
          <w:sz w:val="24"/>
          <w:szCs w:val="24"/>
        </w:rPr>
      </w:pPr>
    </w:p>
    <w:p w14:paraId="50C7FD59" w14:textId="77777777" w:rsidR="000305B5" w:rsidRDefault="000305B5" w:rsidP="00DF7430">
      <w:pPr>
        <w:spacing w:after="0" w:line="360" w:lineRule="auto"/>
        <w:rPr>
          <w:rFonts w:ascii="Times New Roman" w:hAnsi="Times New Roman" w:cs="Times New Roman"/>
          <w:b/>
          <w:sz w:val="24"/>
          <w:szCs w:val="24"/>
        </w:rPr>
      </w:pPr>
    </w:p>
    <w:p w14:paraId="234F2FA7" w14:textId="77777777" w:rsidR="000305B5" w:rsidRDefault="000305B5" w:rsidP="00DF7430">
      <w:pPr>
        <w:spacing w:after="0" w:line="360" w:lineRule="auto"/>
        <w:rPr>
          <w:rFonts w:ascii="Times New Roman" w:hAnsi="Times New Roman" w:cs="Times New Roman"/>
          <w:b/>
          <w:sz w:val="24"/>
          <w:szCs w:val="24"/>
        </w:rPr>
      </w:pPr>
    </w:p>
    <w:p w14:paraId="2FE3EEDD" w14:textId="77777777" w:rsidR="000305B5" w:rsidRDefault="000305B5" w:rsidP="00DF7430">
      <w:pPr>
        <w:spacing w:after="0" w:line="360" w:lineRule="auto"/>
        <w:rPr>
          <w:rFonts w:ascii="Times New Roman" w:hAnsi="Times New Roman" w:cs="Times New Roman"/>
          <w:b/>
          <w:sz w:val="24"/>
          <w:szCs w:val="24"/>
        </w:rPr>
      </w:pPr>
    </w:p>
    <w:p w14:paraId="564F5BEA" w14:textId="77777777" w:rsidR="000305B5" w:rsidRDefault="000305B5" w:rsidP="00DF7430">
      <w:pPr>
        <w:spacing w:after="0" w:line="360" w:lineRule="auto"/>
        <w:rPr>
          <w:rFonts w:ascii="Times New Roman" w:hAnsi="Times New Roman" w:cs="Times New Roman"/>
          <w:b/>
          <w:sz w:val="24"/>
          <w:szCs w:val="24"/>
        </w:rPr>
      </w:pPr>
    </w:p>
    <w:p w14:paraId="3D8612B9" w14:textId="77777777" w:rsidR="000305B5" w:rsidRDefault="000305B5" w:rsidP="00DF7430">
      <w:pPr>
        <w:spacing w:after="0" w:line="360" w:lineRule="auto"/>
        <w:rPr>
          <w:rFonts w:ascii="Times New Roman" w:hAnsi="Times New Roman" w:cs="Times New Roman"/>
          <w:b/>
          <w:sz w:val="24"/>
          <w:szCs w:val="24"/>
        </w:rPr>
      </w:pPr>
    </w:p>
    <w:p w14:paraId="5B892091" w14:textId="77777777" w:rsidR="000305B5" w:rsidRDefault="000305B5" w:rsidP="00DF7430">
      <w:pPr>
        <w:spacing w:after="0" w:line="360" w:lineRule="auto"/>
        <w:rPr>
          <w:rFonts w:ascii="Times New Roman" w:hAnsi="Times New Roman" w:cs="Times New Roman"/>
          <w:b/>
          <w:sz w:val="24"/>
          <w:szCs w:val="24"/>
        </w:rPr>
      </w:pPr>
    </w:p>
    <w:p w14:paraId="36B340F4" w14:textId="77777777" w:rsidR="000305B5" w:rsidRDefault="000305B5" w:rsidP="00DF7430">
      <w:pPr>
        <w:spacing w:after="0" w:line="360" w:lineRule="auto"/>
        <w:rPr>
          <w:rFonts w:ascii="Times New Roman" w:hAnsi="Times New Roman" w:cs="Times New Roman"/>
          <w:b/>
          <w:sz w:val="24"/>
          <w:szCs w:val="24"/>
        </w:rPr>
      </w:pPr>
    </w:p>
    <w:p w14:paraId="15CFA829" w14:textId="77777777" w:rsidR="000305B5" w:rsidRDefault="000305B5" w:rsidP="00DF7430">
      <w:pPr>
        <w:spacing w:after="0" w:line="360" w:lineRule="auto"/>
        <w:rPr>
          <w:rFonts w:ascii="Times New Roman" w:hAnsi="Times New Roman" w:cs="Times New Roman"/>
          <w:b/>
          <w:sz w:val="24"/>
          <w:szCs w:val="24"/>
        </w:rPr>
      </w:pPr>
    </w:p>
    <w:p w14:paraId="5A72E65D" w14:textId="77777777" w:rsidR="005B2CE6" w:rsidRPr="00E92F41" w:rsidRDefault="005B2CE6" w:rsidP="009F502E">
      <w:pPr>
        <w:autoSpaceDE w:val="0"/>
        <w:autoSpaceDN w:val="0"/>
        <w:adjustRightInd w:val="0"/>
        <w:spacing w:after="0" w:line="480" w:lineRule="auto"/>
        <w:ind w:left="709" w:hanging="709"/>
        <w:jc w:val="both"/>
        <w:rPr>
          <w:rFonts w:ascii="Times New Roman" w:hAnsi="Times New Roman" w:cs="Times New Roman"/>
          <w:sz w:val="24"/>
          <w:szCs w:val="24"/>
        </w:rPr>
      </w:pPr>
    </w:p>
    <w:sectPr w:rsidR="005B2CE6" w:rsidRPr="00E92F41" w:rsidSect="00F87CF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C4E1" w14:textId="77777777" w:rsidR="00F30388" w:rsidRDefault="00F30388" w:rsidP="00C703CD">
      <w:pPr>
        <w:spacing w:after="0" w:line="240" w:lineRule="auto"/>
      </w:pPr>
      <w:r>
        <w:separator/>
      </w:r>
    </w:p>
  </w:endnote>
  <w:endnote w:type="continuationSeparator" w:id="0">
    <w:p w14:paraId="7B8D6004" w14:textId="77777777" w:rsidR="00F30388" w:rsidRDefault="00F30388" w:rsidP="00C7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toshi">
    <w:altName w:val="Times New Roman"/>
    <w:panose1 w:val="00000000000000000000"/>
    <w:charset w:val="00"/>
    <w:family w:val="roman"/>
    <w:notTrueType/>
    <w:pitch w:val="default"/>
  </w:font>
  <w:font w:name="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4FE2" w14:textId="77777777" w:rsidR="00C703CD" w:rsidRDefault="00C70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4BEC" w14:textId="77777777" w:rsidR="00C703CD" w:rsidRDefault="00C70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A948" w14:textId="77777777" w:rsidR="00C703CD" w:rsidRDefault="00C70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F68EF" w14:textId="77777777" w:rsidR="00F30388" w:rsidRDefault="00F30388" w:rsidP="00C703CD">
      <w:pPr>
        <w:spacing w:after="0" w:line="240" w:lineRule="auto"/>
      </w:pPr>
      <w:r>
        <w:separator/>
      </w:r>
    </w:p>
  </w:footnote>
  <w:footnote w:type="continuationSeparator" w:id="0">
    <w:p w14:paraId="484A4DCD" w14:textId="77777777" w:rsidR="00F30388" w:rsidRDefault="00F30388" w:rsidP="00C70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8FD5" w14:textId="30453A8A" w:rsidR="00C703CD" w:rsidRDefault="00C703CD">
    <w:pPr>
      <w:pStyle w:val="Header"/>
    </w:pPr>
    <w:r>
      <w:rPr>
        <w:noProof/>
      </w:rPr>
      <w:pict w14:anchorId="66003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337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5279" w14:textId="6D54A566" w:rsidR="00C703CD" w:rsidRDefault="00C703CD">
    <w:pPr>
      <w:pStyle w:val="Header"/>
    </w:pPr>
    <w:r>
      <w:rPr>
        <w:noProof/>
      </w:rPr>
      <w:pict w14:anchorId="74E76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337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729F" w14:textId="6C45C704" w:rsidR="00C703CD" w:rsidRDefault="00C703CD">
    <w:pPr>
      <w:pStyle w:val="Header"/>
    </w:pPr>
    <w:r>
      <w:rPr>
        <w:noProof/>
      </w:rPr>
      <w:pict w14:anchorId="19B26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337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3D4E"/>
    <w:rsid w:val="00001AE6"/>
    <w:rsid w:val="0002070D"/>
    <w:rsid w:val="000305B5"/>
    <w:rsid w:val="000942F2"/>
    <w:rsid w:val="000A7908"/>
    <w:rsid w:val="000B7EF5"/>
    <w:rsid w:val="000F41AA"/>
    <w:rsid w:val="00131C44"/>
    <w:rsid w:val="00183A85"/>
    <w:rsid w:val="001D5034"/>
    <w:rsid w:val="00226141"/>
    <w:rsid w:val="002D2372"/>
    <w:rsid w:val="002D2CC2"/>
    <w:rsid w:val="002F49C8"/>
    <w:rsid w:val="00356FF8"/>
    <w:rsid w:val="00370632"/>
    <w:rsid w:val="00422745"/>
    <w:rsid w:val="00484099"/>
    <w:rsid w:val="00527556"/>
    <w:rsid w:val="00536180"/>
    <w:rsid w:val="005A1375"/>
    <w:rsid w:val="005B2CE6"/>
    <w:rsid w:val="005D3C2F"/>
    <w:rsid w:val="005F155E"/>
    <w:rsid w:val="00604681"/>
    <w:rsid w:val="006060A2"/>
    <w:rsid w:val="006A2FA2"/>
    <w:rsid w:val="006C74A3"/>
    <w:rsid w:val="007044F7"/>
    <w:rsid w:val="00716153"/>
    <w:rsid w:val="00727D26"/>
    <w:rsid w:val="00730A91"/>
    <w:rsid w:val="007E1FB1"/>
    <w:rsid w:val="008F293A"/>
    <w:rsid w:val="00904679"/>
    <w:rsid w:val="009F502E"/>
    <w:rsid w:val="00A01630"/>
    <w:rsid w:val="00A12B72"/>
    <w:rsid w:val="00A434DC"/>
    <w:rsid w:val="00AA29CD"/>
    <w:rsid w:val="00AA747C"/>
    <w:rsid w:val="00AC0D62"/>
    <w:rsid w:val="00B942E2"/>
    <w:rsid w:val="00BD37FE"/>
    <w:rsid w:val="00C63D4E"/>
    <w:rsid w:val="00C703CD"/>
    <w:rsid w:val="00C7213B"/>
    <w:rsid w:val="00C7452C"/>
    <w:rsid w:val="00C81FBE"/>
    <w:rsid w:val="00CC60CC"/>
    <w:rsid w:val="00CE43FA"/>
    <w:rsid w:val="00CE6F63"/>
    <w:rsid w:val="00DA1038"/>
    <w:rsid w:val="00DF7430"/>
    <w:rsid w:val="00E27BFA"/>
    <w:rsid w:val="00E41F09"/>
    <w:rsid w:val="00E92F41"/>
    <w:rsid w:val="00EC3687"/>
    <w:rsid w:val="00F30388"/>
    <w:rsid w:val="00F51C05"/>
    <w:rsid w:val="00F87CF7"/>
    <w:rsid w:val="00FC138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0ED1D"/>
  <w15:docId w15:val="{F85E2792-ED65-451B-9554-86764068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CF7"/>
  </w:style>
  <w:style w:type="paragraph" w:styleId="Heading2">
    <w:name w:val="heading 2"/>
    <w:basedOn w:val="Normal"/>
    <w:link w:val="Heading2Char"/>
    <w:uiPriority w:val="9"/>
    <w:qFormat/>
    <w:rsid w:val="00C63D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3D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D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3D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3D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7430"/>
    <w:rPr>
      <w:color w:val="0000FF"/>
      <w:u w:val="single"/>
    </w:rPr>
  </w:style>
  <w:style w:type="character" w:customStyle="1" w:styleId="font-weight-medium">
    <w:name w:val="font-weight-medium"/>
    <w:basedOn w:val="DefaultParagraphFont"/>
    <w:rsid w:val="00AA29CD"/>
  </w:style>
  <w:style w:type="paragraph" w:styleId="BalloonText">
    <w:name w:val="Balloon Text"/>
    <w:basedOn w:val="Normal"/>
    <w:link w:val="BalloonTextChar"/>
    <w:uiPriority w:val="99"/>
    <w:semiHidden/>
    <w:unhideWhenUsed/>
    <w:rsid w:val="00AA2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9CD"/>
    <w:rPr>
      <w:rFonts w:ascii="Tahoma" w:hAnsi="Tahoma" w:cs="Tahoma"/>
      <w:sz w:val="16"/>
      <w:szCs w:val="16"/>
    </w:rPr>
  </w:style>
  <w:style w:type="character" w:styleId="Strong">
    <w:name w:val="Strong"/>
    <w:basedOn w:val="DefaultParagraphFont"/>
    <w:uiPriority w:val="22"/>
    <w:qFormat/>
    <w:rsid w:val="00C7213B"/>
    <w:rPr>
      <w:b/>
      <w:bCs/>
    </w:rPr>
  </w:style>
  <w:style w:type="table" w:styleId="TableGrid">
    <w:name w:val="Table Grid"/>
    <w:basedOn w:val="TableNormal"/>
    <w:uiPriority w:val="59"/>
    <w:rsid w:val="00C721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5B2CE6"/>
    <w:rPr>
      <w:i/>
      <w:iCs/>
    </w:rPr>
  </w:style>
  <w:style w:type="character" w:styleId="UnresolvedMention">
    <w:name w:val="Unresolved Mention"/>
    <w:basedOn w:val="DefaultParagraphFont"/>
    <w:uiPriority w:val="99"/>
    <w:semiHidden/>
    <w:unhideWhenUsed/>
    <w:rsid w:val="00E27BFA"/>
    <w:rPr>
      <w:color w:val="605E5C"/>
      <w:shd w:val="clear" w:color="auto" w:fill="E1DFDD"/>
    </w:rPr>
  </w:style>
  <w:style w:type="paragraph" w:styleId="Header">
    <w:name w:val="header"/>
    <w:basedOn w:val="Normal"/>
    <w:link w:val="HeaderChar"/>
    <w:uiPriority w:val="99"/>
    <w:unhideWhenUsed/>
    <w:rsid w:val="00C7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3CD"/>
  </w:style>
  <w:style w:type="paragraph" w:styleId="Footer">
    <w:name w:val="footer"/>
    <w:basedOn w:val="Normal"/>
    <w:link w:val="FooterChar"/>
    <w:uiPriority w:val="99"/>
    <w:unhideWhenUsed/>
    <w:rsid w:val="00C7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334">
      <w:bodyDiv w:val="1"/>
      <w:marLeft w:val="0"/>
      <w:marRight w:val="0"/>
      <w:marTop w:val="0"/>
      <w:marBottom w:val="0"/>
      <w:divBdr>
        <w:top w:val="none" w:sz="0" w:space="0" w:color="auto"/>
        <w:left w:val="none" w:sz="0" w:space="0" w:color="auto"/>
        <w:bottom w:val="none" w:sz="0" w:space="0" w:color="auto"/>
        <w:right w:val="none" w:sz="0" w:space="0" w:color="auto"/>
      </w:divBdr>
    </w:div>
    <w:div w:id="232661310">
      <w:bodyDiv w:val="1"/>
      <w:marLeft w:val="0"/>
      <w:marRight w:val="0"/>
      <w:marTop w:val="0"/>
      <w:marBottom w:val="0"/>
      <w:divBdr>
        <w:top w:val="none" w:sz="0" w:space="0" w:color="auto"/>
        <w:left w:val="none" w:sz="0" w:space="0" w:color="auto"/>
        <w:bottom w:val="none" w:sz="0" w:space="0" w:color="auto"/>
        <w:right w:val="none" w:sz="0" w:space="0" w:color="auto"/>
      </w:divBdr>
    </w:div>
    <w:div w:id="292910059">
      <w:bodyDiv w:val="1"/>
      <w:marLeft w:val="0"/>
      <w:marRight w:val="0"/>
      <w:marTop w:val="0"/>
      <w:marBottom w:val="0"/>
      <w:divBdr>
        <w:top w:val="none" w:sz="0" w:space="0" w:color="auto"/>
        <w:left w:val="none" w:sz="0" w:space="0" w:color="auto"/>
        <w:bottom w:val="none" w:sz="0" w:space="0" w:color="auto"/>
        <w:right w:val="none" w:sz="0" w:space="0" w:color="auto"/>
      </w:divBdr>
    </w:div>
    <w:div w:id="413355198">
      <w:bodyDiv w:val="1"/>
      <w:marLeft w:val="0"/>
      <w:marRight w:val="0"/>
      <w:marTop w:val="0"/>
      <w:marBottom w:val="0"/>
      <w:divBdr>
        <w:top w:val="none" w:sz="0" w:space="0" w:color="auto"/>
        <w:left w:val="none" w:sz="0" w:space="0" w:color="auto"/>
        <w:bottom w:val="none" w:sz="0" w:space="0" w:color="auto"/>
        <w:right w:val="none" w:sz="0" w:space="0" w:color="auto"/>
      </w:divBdr>
    </w:div>
    <w:div w:id="1194153250">
      <w:bodyDiv w:val="1"/>
      <w:marLeft w:val="0"/>
      <w:marRight w:val="0"/>
      <w:marTop w:val="0"/>
      <w:marBottom w:val="0"/>
      <w:divBdr>
        <w:top w:val="none" w:sz="0" w:space="0" w:color="auto"/>
        <w:left w:val="none" w:sz="0" w:space="0" w:color="auto"/>
        <w:bottom w:val="none" w:sz="0" w:space="0" w:color="auto"/>
        <w:right w:val="none" w:sz="0" w:space="0" w:color="auto"/>
      </w:divBdr>
    </w:div>
    <w:div w:id="1194264550">
      <w:bodyDiv w:val="1"/>
      <w:marLeft w:val="0"/>
      <w:marRight w:val="0"/>
      <w:marTop w:val="0"/>
      <w:marBottom w:val="0"/>
      <w:divBdr>
        <w:top w:val="none" w:sz="0" w:space="0" w:color="auto"/>
        <w:left w:val="none" w:sz="0" w:space="0" w:color="auto"/>
        <w:bottom w:val="none" w:sz="0" w:space="0" w:color="auto"/>
        <w:right w:val="none" w:sz="0" w:space="0" w:color="auto"/>
      </w:divBdr>
    </w:div>
    <w:div w:id="1262758997">
      <w:bodyDiv w:val="1"/>
      <w:marLeft w:val="0"/>
      <w:marRight w:val="0"/>
      <w:marTop w:val="0"/>
      <w:marBottom w:val="0"/>
      <w:divBdr>
        <w:top w:val="none" w:sz="0" w:space="0" w:color="auto"/>
        <w:left w:val="none" w:sz="0" w:space="0" w:color="auto"/>
        <w:bottom w:val="none" w:sz="0" w:space="0" w:color="auto"/>
        <w:right w:val="none" w:sz="0" w:space="0" w:color="auto"/>
      </w:divBdr>
    </w:div>
    <w:div w:id="1715959617">
      <w:bodyDiv w:val="1"/>
      <w:marLeft w:val="0"/>
      <w:marRight w:val="0"/>
      <w:marTop w:val="0"/>
      <w:marBottom w:val="0"/>
      <w:divBdr>
        <w:top w:val="none" w:sz="0" w:space="0" w:color="auto"/>
        <w:left w:val="none" w:sz="0" w:space="0" w:color="auto"/>
        <w:bottom w:val="none" w:sz="0" w:space="0" w:color="auto"/>
        <w:right w:val="none" w:sz="0" w:space="0" w:color="auto"/>
      </w:divBdr>
    </w:div>
    <w:div w:id="1792703875">
      <w:bodyDiv w:val="1"/>
      <w:marLeft w:val="0"/>
      <w:marRight w:val="0"/>
      <w:marTop w:val="0"/>
      <w:marBottom w:val="0"/>
      <w:divBdr>
        <w:top w:val="none" w:sz="0" w:space="0" w:color="auto"/>
        <w:left w:val="none" w:sz="0" w:space="0" w:color="auto"/>
        <w:bottom w:val="none" w:sz="0" w:space="0" w:color="auto"/>
        <w:right w:val="none" w:sz="0" w:space="0" w:color="auto"/>
      </w:divBdr>
      <w:divsChild>
        <w:div w:id="1139036352">
          <w:marLeft w:val="0"/>
          <w:marRight w:val="0"/>
          <w:marTop w:val="0"/>
          <w:marBottom w:val="0"/>
          <w:divBdr>
            <w:top w:val="none" w:sz="0" w:space="0" w:color="auto"/>
            <w:left w:val="none" w:sz="0" w:space="0" w:color="auto"/>
            <w:bottom w:val="none" w:sz="0" w:space="0" w:color="auto"/>
            <w:right w:val="none" w:sz="0" w:space="0" w:color="auto"/>
          </w:divBdr>
          <w:divsChild>
            <w:div w:id="10200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scholar.google.com/citations?view_op=view_citation&amp;hl=en&amp;user=olEbSokAAAAJ&amp;pagesize=80&amp;citation_for_view=olEbSokAAAAJ:iH-uZ7U-co4C" TargetMode="External"/><Relationship Id="rId18" Type="http://schemas.openxmlformats.org/officeDocument/2006/relationships/hyperlink" Target="https://scholar.google.com/citations?view_op=view_citation&amp;hl=en&amp;user=olEbSokAAAAJ&amp;pagesize=80&amp;citation_for_view=olEbSokAAAAJ:j3f4tGmQtD8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hyperlink" Target="https://doi.org/10.9734/ijpss/2024/v36i115118" TargetMode="External"/><Relationship Id="rId17" Type="http://schemas.openxmlformats.org/officeDocument/2006/relationships/hyperlink" Target="https://scholar.google.com/citations?view_op=view_citation&amp;hl=en&amp;user=olEbSokAAAAJ&amp;pagesize=80&amp;citation_for_view=olEbSokAAAAJ:4JMBOYKVnBM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citations?view_op=view_citation&amp;hl=en&amp;user=olEbSokAAAAJ&amp;citation_for_view=olEbSokAAAAJ:2osOgNQ5qME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abidigitallibrary.org/doi/full/10.5555/20230228563" TargetMode="External"/><Relationship Id="rId23" Type="http://schemas.openxmlformats.org/officeDocument/2006/relationships/header" Target="header3.xml"/><Relationship Id="rId10" Type="http://schemas.openxmlformats.org/officeDocument/2006/relationships/diagramColors" Target="diagrams/colors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186/s42269-023-01048-3" TargetMode="Externa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54BEF3-E4C8-40B1-99AD-13AA54B044D4}"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IN"/>
        </a:p>
      </dgm:t>
    </dgm:pt>
    <dgm:pt modelId="{16379575-C30B-4265-A18F-0351BD0013C7}">
      <dgm:prSet phldrT="[Text]" custT="1"/>
      <dgm:spPr/>
      <dgm:t>
        <a:bodyPr/>
        <a:lstStyle/>
        <a:p>
          <a:r>
            <a:rPr lang="en-IN" sz="1200">
              <a:latin typeface="Times New Roman" pitchFamily="18" charset="0"/>
              <a:cs typeface="Times New Roman" pitchFamily="18" charset="0"/>
            </a:rPr>
            <a:t>Factors</a:t>
          </a:r>
        </a:p>
      </dgm:t>
    </dgm:pt>
    <dgm:pt modelId="{877A8C61-8EDB-4D38-AAC3-6CB54DE071CB}" type="parTrans" cxnId="{BF99B812-1DCD-405D-A226-CB2E364FDD88}">
      <dgm:prSet/>
      <dgm:spPr/>
      <dgm:t>
        <a:bodyPr/>
        <a:lstStyle/>
        <a:p>
          <a:endParaRPr lang="en-IN" sz="1200">
            <a:latin typeface="Times New Roman" pitchFamily="18" charset="0"/>
            <a:cs typeface="Times New Roman" pitchFamily="18" charset="0"/>
          </a:endParaRPr>
        </a:p>
      </dgm:t>
    </dgm:pt>
    <dgm:pt modelId="{7658A72F-5A87-4659-88ED-06085A9F9481}" type="sibTrans" cxnId="{BF99B812-1DCD-405D-A226-CB2E364FDD88}">
      <dgm:prSet/>
      <dgm:spPr/>
      <dgm:t>
        <a:bodyPr/>
        <a:lstStyle/>
        <a:p>
          <a:endParaRPr lang="en-IN" sz="1200">
            <a:latin typeface="Times New Roman" pitchFamily="18" charset="0"/>
            <a:cs typeface="Times New Roman" pitchFamily="18" charset="0"/>
          </a:endParaRPr>
        </a:p>
      </dgm:t>
    </dgm:pt>
    <dgm:pt modelId="{F182A97F-CB66-4602-B7D5-2D6B145B3167}">
      <dgm:prSet phldrT="[Text]" custT="1"/>
      <dgm:spPr/>
      <dgm:t>
        <a:bodyPr/>
        <a:lstStyle/>
        <a:p>
          <a:pPr algn="just"/>
          <a:r>
            <a:rPr lang="en-IN" sz="1200">
              <a:latin typeface="Times New Roman" pitchFamily="18" charset="0"/>
              <a:cs typeface="Times New Roman" pitchFamily="18" charset="0"/>
            </a:rPr>
            <a:t>Ecological Factors</a:t>
          </a:r>
        </a:p>
      </dgm:t>
    </dgm:pt>
    <dgm:pt modelId="{9FF0B723-1225-4959-B136-46DE5AF5ED79}" type="parTrans" cxnId="{2901AFFD-49DE-4612-8122-CFA337DDB58E}">
      <dgm:prSet/>
      <dgm:spPr/>
      <dgm:t>
        <a:bodyPr/>
        <a:lstStyle/>
        <a:p>
          <a:endParaRPr lang="en-IN" sz="1200">
            <a:latin typeface="Times New Roman" pitchFamily="18" charset="0"/>
            <a:cs typeface="Times New Roman" pitchFamily="18" charset="0"/>
          </a:endParaRPr>
        </a:p>
      </dgm:t>
    </dgm:pt>
    <dgm:pt modelId="{AFC17F53-C8E0-4ED0-A166-FEDBF44C4D26}" type="sibTrans" cxnId="{2901AFFD-49DE-4612-8122-CFA337DDB58E}">
      <dgm:prSet/>
      <dgm:spPr/>
      <dgm:t>
        <a:bodyPr/>
        <a:lstStyle/>
        <a:p>
          <a:endParaRPr lang="en-IN" sz="1200">
            <a:latin typeface="Times New Roman" pitchFamily="18" charset="0"/>
            <a:cs typeface="Times New Roman" pitchFamily="18" charset="0"/>
          </a:endParaRPr>
        </a:p>
      </dgm:t>
    </dgm:pt>
    <dgm:pt modelId="{D871A5F3-1FBD-42FB-ADDF-B76CD8A912B6}">
      <dgm:prSet phldrT="[Text]" custT="1"/>
      <dgm:spPr/>
      <dgm:t>
        <a:bodyPr/>
        <a:lstStyle/>
        <a:p>
          <a:r>
            <a:rPr lang="en-IN" sz="1200">
              <a:latin typeface="Times New Roman" pitchFamily="18" charset="0"/>
              <a:cs typeface="Times New Roman" pitchFamily="18" charset="0"/>
            </a:rPr>
            <a:t>Economic Factors</a:t>
          </a:r>
        </a:p>
      </dgm:t>
    </dgm:pt>
    <dgm:pt modelId="{0FFE6BA9-6E0B-4F1E-B08C-563A0234DCC9}" type="parTrans" cxnId="{AAC3CE89-F730-431A-BA43-2EFD42CFC7CA}">
      <dgm:prSet/>
      <dgm:spPr/>
      <dgm:t>
        <a:bodyPr/>
        <a:lstStyle/>
        <a:p>
          <a:endParaRPr lang="en-IN" sz="1200">
            <a:latin typeface="Times New Roman" pitchFamily="18" charset="0"/>
            <a:cs typeface="Times New Roman" pitchFamily="18" charset="0"/>
          </a:endParaRPr>
        </a:p>
      </dgm:t>
    </dgm:pt>
    <dgm:pt modelId="{9A2F1532-F6BB-4BC4-850A-951DDE562E95}" type="sibTrans" cxnId="{AAC3CE89-F730-431A-BA43-2EFD42CFC7CA}">
      <dgm:prSet/>
      <dgm:spPr/>
      <dgm:t>
        <a:bodyPr/>
        <a:lstStyle/>
        <a:p>
          <a:endParaRPr lang="en-IN" sz="1200">
            <a:latin typeface="Times New Roman" pitchFamily="18" charset="0"/>
            <a:cs typeface="Times New Roman" pitchFamily="18" charset="0"/>
          </a:endParaRPr>
        </a:p>
      </dgm:t>
    </dgm:pt>
    <dgm:pt modelId="{62E04797-2FA5-4CDF-8377-7C8E5C10C9A4}">
      <dgm:prSet phldrT="[Text]" custT="1"/>
      <dgm:spPr/>
      <dgm:t>
        <a:bodyPr/>
        <a:lstStyle/>
        <a:p>
          <a:r>
            <a:rPr lang="en-IN" sz="1200">
              <a:latin typeface="Times New Roman" pitchFamily="18" charset="0"/>
              <a:cs typeface="Times New Roman" pitchFamily="18" charset="0"/>
            </a:rPr>
            <a:t>Ligal Fcators</a:t>
          </a:r>
        </a:p>
      </dgm:t>
    </dgm:pt>
    <dgm:pt modelId="{B7577E6D-C300-46C2-AD48-D4C844D1973F}" type="parTrans" cxnId="{69F5C3DF-57D4-42AD-A6C0-992C6B8E2080}">
      <dgm:prSet/>
      <dgm:spPr/>
      <dgm:t>
        <a:bodyPr/>
        <a:lstStyle/>
        <a:p>
          <a:endParaRPr lang="en-IN" sz="1200">
            <a:latin typeface="Times New Roman" pitchFamily="18" charset="0"/>
            <a:cs typeface="Times New Roman" pitchFamily="18" charset="0"/>
          </a:endParaRPr>
        </a:p>
      </dgm:t>
    </dgm:pt>
    <dgm:pt modelId="{1BC1FD70-8221-4235-86D5-696E33DAB397}" type="sibTrans" cxnId="{69F5C3DF-57D4-42AD-A6C0-992C6B8E2080}">
      <dgm:prSet/>
      <dgm:spPr/>
      <dgm:t>
        <a:bodyPr/>
        <a:lstStyle/>
        <a:p>
          <a:endParaRPr lang="en-IN" sz="1200">
            <a:latin typeface="Times New Roman" pitchFamily="18" charset="0"/>
            <a:cs typeface="Times New Roman" pitchFamily="18" charset="0"/>
          </a:endParaRPr>
        </a:p>
      </dgm:t>
    </dgm:pt>
    <dgm:pt modelId="{EA0C9082-A50E-43D2-B95D-16EC08C29F7C}">
      <dgm:prSet custT="1"/>
      <dgm:spPr/>
      <dgm:t>
        <a:bodyPr/>
        <a:lstStyle/>
        <a:p>
          <a:r>
            <a:rPr lang="en-IN" sz="1200">
              <a:latin typeface="Times New Roman" pitchFamily="18" charset="0"/>
              <a:cs typeface="Times New Roman" pitchFamily="18" charset="0"/>
            </a:rPr>
            <a:t>Social/Cultural Factors</a:t>
          </a:r>
        </a:p>
      </dgm:t>
    </dgm:pt>
    <dgm:pt modelId="{6B189E1D-696E-465E-977D-C9872BD68B18}" type="parTrans" cxnId="{CDC96840-0FAC-4604-B295-FD7ED68092D7}">
      <dgm:prSet/>
      <dgm:spPr/>
      <dgm:t>
        <a:bodyPr/>
        <a:lstStyle/>
        <a:p>
          <a:endParaRPr lang="en-IN" sz="1200">
            <a:latin typeface="Times New Roman" pitchFamily="18" charset="0"/>
            <a:cs typeface="Times New Roman" pitchFamily="18" charset="0"/>
          </a:endParaRPr>
        </a:p>
      </dgm:t>
    </dgm:pt>
    <dgm:pt modelId="{A64C1320-7E35-4BB2-8661-1020C6E9C089}" type="sibTrans" cxnId="{CDC96840-0FAC-4604-B295-FD7ED68092D7}">
      <dgm:prSet/>
      <dgm:spPr/>
      <dgm:t>
        <a:bodyPr/>
        <a:lstStyle/>
        <a:p>
          <a:endParaRPr lang="en-IN" sz="1200">
            <a:latin typeface="Times New Roman" pitchFamily="18" charset="0"/>
            <a:cs typeface="Times New Roman" pitchFamily="18" charset="0"/>
          </a:endParaRPr>
        </a:p>
      </dgm:t>
    </dgm:pt>
    <dgm:pt modelId="{6528894F-0123-4452-B900-D8ACDB717673}">
      <dgm:prSet custT="1"/>
      <dgm:spPr/>
      <dgm:t>
        <a:bodyPr/>
        <a:lstStyle/>
        <a:p>
          <a:pPr algn="l"/>
          <a:r>
            <a:rPr lang="en-IN" sz="1200">
              <a:latin typeface="Times New Roman" pitchFamily="18" charset="0"/>
              <a:cs typeface="Times New Roman" pitchFamily="18" charset="0"/>
            </a:rPr>
            <a:t> Forest area/Type</a:t>
          </a:r>
        </a:p>
        <a:p>
          <a:pPr algn="l"/>
          <a:r>
            <a:rPr lang="en-IN" sz="1200">
              <a:latin typeface="Times New Roman" pitchFamily="18" charset="0"/>
              <a:cs typeface="Times New Roman" pitchFamily="18" charset="0"/>
            </a:rPr>
            <a:t> Harvesting   </a:t>
          </a:r>
        </a:p>
        <a:p>
          <a:pPr algn="l"/>
          <a:r>
            <a:rPr lang="en-IN" sz="1200">
              <a:latin typeface="Times New Roman" pitchFamily="18" charset="0"/>
              <a:cs typeface="Times New Roman" pitchFamily="18" charset="0"/>
            </a:rPr>
            <a:t> Method</a:t>
          </a:r>
        </a:p>
        <a:p>
          <a:pPr algn="l"/>
          <a:r>
            <a:rPr lang="en-IN" sz="1200">
              <a:latin typeface="Times New Roman" pitchFamily="18" charset="0"/>
              <a:cs typeface="Times New Roman" pitchFamily="18" charset="0"/>
            </a:rPr>
            <a:t> Harvesting Time</a:t>
          </a:r>
        </a:p>
      </dgm:t>
    </dgm:pt>
    <dgm:pt modelId="{4C7C2692-A6DE-492E-A726-697F4FC4E010}" type="parTrans" cxnId="{479AE13F-1064-420B-B9C4-24466B6213BC}">
      <dgm:prSet/>
      <dgm:spPr/>
      <dgm:t>
        <a:bodyPr/>
        <a:lstStyle/>
        <a:p>
          <a:endParaRPr lang="en-IN" sz="1200">
            <a:latin typeface="Times New Roman" pitchFamily="18" charset="0"/>
            <a:cs typeface="Times New Roman" pitchFamily="18" charset="0"/>
          </a:endParaRPr>
        </a:p>
      </dgm:t>
    </dgm:pt>
    <dgm:pt modelId="{A83967C8-C63D-41F0-A1AE-DB6A1B1ED671}" type="sibTrans" cxnId="{479AE13F-1064-420B-B9C4-24466B6213BC}">
      <dgm:prSet/>
      <dgm:spPr/>
      <dgm:t>
        <a:bodyPr/>
        <a:lstStyle/>
        <a:p>
          <a:endParaRPr lang="en-IN" sz="1200">
            <a:latin typeface="Times New Roman" pitchFamily="18" charset="0"/>
            <a:cs typeface="Times New Roman" pitchFamily="18" charset="0"/>
          </a:endParaRPr>
        </a:p>
      </dgm:t>
    </dgm:pt>
    <dgm:pt modelId="{E6225B32-A227-4905-A191-89368E5A30C1}">
      <dgm:prSet custT="1"/>
      <dgm:spPr/>
      <dgm:t>
        <a:bodyPr/>
        <a:lstStyle/>
        <a:p>
          <a:pPr algn="l"/>
          <a:r>
            <a:rPr lang="en-IN" sz="1200">
              <a:latin typeface="Times New Roman" pitchFamily="18" charset="0"/>
              <a:cs typeface="Times New Roman" pitchFamily="18" charset="0"/>
            </a:rPr>
            <a:t> Availability</a:t>
          </a:r>
        </a:p>
        <a:p>
          <a:pPr algn="l"/>
          <a:r>
            <a:rPr lang="en-IN" sz="1200">
              <a:latin typeface="Times New Roman" pitchFamily="18" charset="0"/>
              <a:cs typeface="Times New Roman" pitchFamily="18" charset="0"/>
            </a:rPr>
            <a:t> Accessibility</a:t>
          </a:r>
        </a:p>
        <a:p>
          <a:pPr algn="l"/>
          <a:r>
            <a:rPr lang="en-IN" sz="1200">
              <a:latin typeface="Times New Roman" pitchFamily="18" charset="0"/>
              <a:cs typeface="Times New Roman" pitchFamily="18" charset="0"/>
            </a:rPr>
            <a:t> Access to  </a:t>
          </a:r>
        </a:p>
        <a:p>
          <a:pPr algn="l"/>
          <a:r>
            <a:rPr lang="en-IN" sz="1200">
              <a:latin typeface="Times New Roman" pitchFamily="18" charset="0"/>
              <a:cs typeface="Times New Roman" pitchFamily="18" charset="0"/>
            </a:rPr>
            <a:t> market</a:t>
          </a:r>
        </a:p>
        <a:p>
          <a:pPr algn="l"/>
          <a:r>
            <a:rPr lang="en-IN" sz="1200">
              <a:latin typeface="Times New Roman" pitchFamily="18" charset="0"/>
              <a:cs typeface="Times New Roman" pitchFamily="18" charset="0"/>
            </a:rPr>
            <a:t> Competitiveness</a:t>
          </a:r>
        </a:p>
      </dgm:t>
    </dgm:pt>
    <dgm:pt modelId="{D504CAFB-1477-4AC2-AAF4-0370BF169390}" type="parTrans" cxnId="{304FD1AA-5000-4BE7-B8F3-C1665649DF5B}">
      <dgm:prSet/>
      <dgm:spPr/>
      <dgm:t>
        <a:bodyPr/>
        <a:lstStyle/>
        <a:p>
          <a:endParaRPr lang="en-IN" sz="1200">
            <a:latin typeface="Times New Roman" pitchFamily="18" charset="0"/>
            <a:cs typeface="Times New Roman" pitchFamily="18" charset="0"/>
          </a:endParaRPr>
        </a:p>
      </dgm:t>
    </dgm:pt>
    <dgm:pt modelId="{4687DB2E-F312-450D-A294-3BE60F45DD13}" type="sibTrans" cxnId="{304FD1AA-5000-4BE7-B8F3-C1665649DF5B}">
      <dgm:prSet/>
      <dgm:spPr/>
      <dgm:t>
        <a:bodyPr/>
        <a:lstStyle/>
        <a:p>
          <a:endParaRPr lang="en-IN" sz="1200">
            <a:latin typeface="Times New Roman" pitchFamily="18" charset="0"/>
            <a:cs typeface="Times New Roman" pitchFamily="18" charset="0"/>
          </a:endParaRPr>
        </a:p>
      </dgm:t>
    </dgm:pt>
    <dgm:pt modelId="{7BE26CD7-6CD8-4531-9ACE-9C6BEB6E48CC}">
      <dgm:prSet custT="1"/>
      <dgm:spPr/>
      <dgm:t>
        <a:bodyPr/>
        <a:lstStyle/>
        <a:p>
          <a:pPr algn="l"/>
          <a:r>
            <a:rPr lang="en-IN" sz="1200">
              <a:latin typeface="Times New Roman" pitchFamily="18" charset="0"/>
              <a:cs typeface="Times New Roman" pitchFamily="18" charset="0"/>
            </a:rPr>
            <a:t> Forest law and  </a:t>
          </a:r>
        </a:p>
        <a:p>
          <a:pPr algn="l"/>
          <a:r>
            <a:rPr lang="en-IN" sz="1200">
              <a:latin typeface="Times New Roman" pitchFamily="18" charset="0"/>
              <a:cs typeface="Times New Roman" pitchFamily="18" charset="0"/>
            </a:rPr>
            <a:t> Regulation</a:t>
          </a:r>
        </a:p>
      </dgm:t>
    </dgm:pt>
    <dgm:pt modelId="{2263A306-3615-4BC5-A44D-775F34E8788D}" type="parTrans" cxnId="{FC975BFD-DFD6-4758-93F6-321D801DA2F6}">
      <dgm:prSet/>
      <dgm:spPr/>
      <dgm:t>
        <a:bodyPr/>
        <a:lstStyle/>
        <a:p>
          <a:endParaRPr lang="en-IN" sz="1200">
            <a:latin typeface="Times New Roman" pitchFamily="18" charset="0"/>
            <a:cs typeface="Times New Roman" pitchFamily="18" charset="0"/>
          </a:endParaRPr>
        </a:p>
      </dgm:t>
    </dgm:pt>
    <dgm:pt modelId="{D1D905B5-4277-42A2-9018-EC02B48E0500}" type="sibTrans" cxnId="{FC975BFD-DFD6-4758-93F6-321D801DA2F6}">
      <dgm:prSet/>
      <dgm:spPr/>
      <dgm:t>
        <a:bodyPr/>
        <a:lstStyle/>
        <a:p>
          <a:endParaRPr lang="en-IN" sz="1200">
            <a:latin typeface="Times New Roman" pitchFamily="18" charset="0"/>
            <a:cs typeface="Times New Roman" pitchFamily="18" charset="0"/>
          </a:endParaRPr>
        </a:p>
      </dgm:t>
    </dgm:pt>
    <dgm:pt modelId="{C95385A3-B67C-4B24-926D-4B646397E9E1}">
      <dgm:prSet custT="1"/>
      <dgm:spPr/>
      <dgm:t>
        <a:bodyPr/>
        <a:lstStyle/>
        <a:p>
          <a:pPr algn="l"/>
          <a:r>
            <a:rPr lang="en-IN" sz="1200">
              <a:latin typeface="Times New Roman" pitchFamily="18" charset="0"/>
              <a:cs typeface="Times New Roman" pitchFamily="18" charset="0"/>
            </a:rPr>
            <a:t> Socio-Cultural  </a:t>
          </a:r>
        </a:p>
        <a:p>
          <a:pPr algn="l"/>
          <a:r>
            <a:rPr lang="en-IN" sz="1200">
              <a:latin typeface="Times New Roman" pitchFamily="18" charset="0"/>
              <a:cs typeface="Times New Roman" pitchFamily="18" charset="0"/>
            </a:rPr>
            <a:t>  tradition</a:t>
          </a:r>
        </a:p>
        <a:p>
          <a:pPr algn="l"/>
          <a:r>
            <a:rPr lang="en-IN" sz="1200">
              <a:latin typeface="Times New Roman" pitchFamily="18" charset="0"/>
              <a:cs typeface="Times New Roman" pitchFamily="18" charset="0"/>
            </a:rPr>
            <a:t> Traditional    </a:t>
          </a:r>
        </a:p>
        <a:p>
          <a:pPr algn="l"/>
          <a:r>
            <a:rPr lang="en-IN" sz="1200">
              <a:latin typeface="Times New Roman" pitchFamily="18" charset="0"/>
              <a:cs typeface="Times New Roman" pitchFamily="18" charset="0"/>
            </a:rPr>
            <a:t>  rights</a:t>
          </a:r>
        </a:p>
        <a:p>
          <a:pPr algn="l"/>
          <a:r>
            <a:rPr lang="en-IN" sz="1200">
              <a:latin typeface="Times New Roman" pitchFamily="18" charset="0"/>
              <a:cs typeface="Times New Roman" pitchFamily="18" charset="0"/>
            </a:rPr>
            <a:t> Participatory  </a:t>
          </a:r>
        </a:p>
        <a:p>
          <a:pPr algn="l"/>
          <a:r>
            <a:rPr lang="en-IN" sz="1200">
              <a:latin typeface="Times New Roman" pitchFamily="18" charset="0"/>
              <a:cs typeface="Times New Roman" pitchFamily="18" charset="0"/>
            </a:rPr>
            <a:t>  approach</a:t>
          </a:r>
        </a:p>
      </dgm:t>
    </dgm:pt>
    <dgm:pt modelId="{9B8BFB4D-3C30-4554-B0BC-55AB43BC49E4}" type="parTrans" cxnId="{A644F97D-CC14-455C-A210-4A9D773C01A7}">
      <dgm:prSet/>
      <dgm:spPr/>
      <dgm:t>
        <a:bodyPr/>
        <a:lstStyle/>
        <a:p>
          <a:endParaRPr lang="en-IN" sz="1200">
            <a:latin typeface="Times New Roman" pitchFamily="18" charset="0"/>
            <a:cs typeface="Times New Roman" pitchFamily="18" charset="0"/>
          </a:endParaRPr>
        </a:p>
      </dgm:t>
    </dgm:pt>
    <dgm:pt modelId="{1E18EC8E-C4AB-4989-8A31-1A009AEB114C}" type="sibTrans" cxnId="{A644F97D-CC14-455C-A210-4A9D773C01A7}">
      <dgm:prSet/>
      <dgm:spPr/>
      <dgm:t>
        <a:bodyPr/>
        <a:lstStyle/>
        <a:p>
          <a:endParaRPr lang="en-IN" sz="1200">
            <a:latin typeface="Times New Roman" pitchFamily="18" charset="0"/>
            <a:cs typeface="Times New Roman" pitchFamily="18" charset="0"/>
          </a:endParaRPr>
        </a:p>
      </dgm:t>
    </dgm:pt>
    <dgm:pt modelId="{3FDA8264-2986-452B-A344-8569F6D1F251}" type="pres">
      <dgm:prSet presAssocID="{0954BEF3-E4C8-40B1-99AD-13AA54B044D4}" presName="hierChild1" presStyleCnt="0">
        <dgm:presLayoutVars>
          <dgm:orgChart val="1"/>
          <dgm:chPref val="1"/>
          <dgm:dir/>
          <dgm:animOne val="branch"/>
          <dgm:animLvl val="lvl"/>
          <dgm:resizeHandles/>
        </dgm:presLayoutVars>
      </dgm:prSet>
      <dgm:spPr/>
    </dgm:pt>
    <dgm:pt modelId="{B98FB2DC-C2AB-4A4A-AE8A-06E4292D07A5}" type="pres">
      <dgm:prSet presAssocID="{16379575-C30B-4265-A18F-0351BD0013C7}" presName="hierRoot1" presStyleCnt="0">
        <dgm:presLayoutVars>
          <dgm:hierBranch val="init"/>
        </dgm:presLayoutVars>
      </dgm:prSet>
      <dgm:spPr/>
    </dgm:pt>
    <dgm:pt modelId="{F061AC49-7420-42C5-B0FD-0AB3AA90E306}" type="pres">
      <dgm:prSet presAssocID="{16379575-C30B-4265-A18F-0351BD0013C7}" presName="rootComposite1" presStyleCnt="0"/>
      <dgm:spPr/>
    </dgm:pt>
    <dgm:pt modelId="{C47FFB95-C176-4B4A-AA7F-B301A44FABC1}" type="pres">
      <dgm:prSet presAssocID="{16379575-C30B-4265-A18F-0351BD0013C7}" presName="rootText1" presStyleLbl="node0" presStyleIdx="0" presStyleCnt="1" custScaleY="55098">
        <dgm:presLayoutVars>
          <dgm:chPref val="3"/>
        </dgm:presLayoutVars>
      </dgm:prSet>
      <dgm:spPr/>
    </dgm:pt>
    <dgm:pt modelId="{B8F18868-7FF1-41BE-BBF1-A658AA531EC6}" type="pres">
      <dgm:prSet presAssocID="{16379575-C30B-4265-A18F-0351BD0013C7}" presName="rootConnector1" presStyleLbl="node1" presStyleIdx="0" presStyleCnt="0"/>
      <dgm:spPr/>
    </dgm:pt>
    <dgm:pt modelId="{4F841C15-C193-4873-BE35-DCE3F179734B}" type="pres">
      <dgm:prSet presAssocID="{16379575-C30B-4265-A18F-0351BD0013C7}" presName="hierChild2" presStyleCnt="0"/>
      <dgm:spPr/>
    </dgm:pt>
    <dgm:pt modelId="{C5299351-C939-48C4-BBEF-211716847979}" type="pres">
      <dgm:prSet presAssocID="{9FF0B723-1225-4959-B136-46DE5AF5ED79}" presName="Name37" presStyleLbl="parChTrans1D2" presStyleIdx="0" presStyleCnt="4"/>
      <dgm:spPr/>
    </dgm:pt>
    <dgm:pt modelId="{B24B0FCA-F915-4B88-8D60-1CA3ADD0A404}" type="pres">
      <dgm:prSet presAssocID="{F182A97F-CB66-4602-B7D5-2D6B145B3167}" presName="hierRoot2" presStyleCnt="0">
        <dgm:presLayoutVars>
          <dgm:hierBranch val="init"/>
        </dgm:presLayoutVars>
      </dgm:prSet>
      <dgm:spPr/>
    </dgm:pt>
    <dgm:pt modelId="{A1E282E4-8DE1-4F88-B11A-0F599043ADCC}" type="pres">
      <dgm:prSet presAssocID="{F182A97F-CB66-4602-B7D5-2D6B145B3167}" presName="rootComposite" presStyleCnt="0"/>
      <dgm:spPr/>
    </dgm:pt>
    <dgm:pt modelId="{6857B662-C3DE-4FC2-A2FA-897345336953}" type="pres">
      <dgm:prSet presAssocID="{F182A97F-CB66-4602-B7D5-2D6B145B3167}" presName="rootText" presStyleLbl="node2" presStyleIdx="0" presStyleCnt="4" custScaleX="115001">
        <dgm:presLayoutVars>
          <dgm:chPref val="3"/>
        </dgm:presLayoutVars>
      </dgm:prSet>
      <dgm:spPr/>
    </dgm:pt>
    <dgm:pt modelId="{CD7D521B-FC11-499B-9777-23746FF74A66}" type="pres">
      <dgm:prSet presAssocID="{F182A97F-CB66-4602-B7D5-2D6B145B3167}" presName="rootConnector" presStyleLbl="node2" presStyleIdx="0" presStyleCnt="4"/>
      <dgm:spPr/>
    </dgm:pt>
    <dgm:pt modelId="{323E7883-8F85-41C2-A7A6-5CAB07DBC2B9}" type="pres">
      <dgm:prSet presAssocID="{F182A97F-CB66-4602-B7D5-2D6B145B3167}" presName="hierChild4" presStyleCnt="0"/>
      <dgm:spPr/>
    </dgm:pt>
    <dgm:pt modelId="{A670DCF6-D1B0-4806-96AA-4EB3C7E0DA2E}" type="pres">
      <dgm:prSet presAssocID="{4C7C2692-A6DE-492E-A726-697F4FC4E010}" presName="Name37" presStyleLbl="parChTrans1D3" presStyleIdx="0" presStyleCnt="4"/>
      <dgm:spPr/>
    </dgm:pt>
    <dgm:pt modelId="{B98FEB6B-291A-4994-BAED-14A9C4974622}" type="pres">
      <dgm:prSet presAssocID="{6528894F-0123-4452-B900-D8ACDB717673}" presName="hierRoot2" presStyleCnt="0">
        <dgm:presLayoutVars>
          <dgm:hierBranch val="init"/>
        </dgm:presLayoutVars>
      </dgm:prSet>
      <dgm:spPr/>
    </dgm:pt>
    <dgm:pt modelId="{5430A735-4E32-4224-B597-A693D83E34A8}" type="pres">
      <dgm:prSet presAssocID="{6528894F-0123-4452-B900-D8ACDB717673}" presName="rootComposite" presStyleCnt="0"/>
      <dgm:spPr/>
    </dgm:pt>
    <dgm:pt modelId="{63CC3BB2-154F-4A6D-87D2-590FA0B24C65}" type="pres">
      <dgm:prSet presAssocID="{6528894F-0123-4452-B900-D8ACDB717673}" presName="rootText" presStyleLbl="node3" presStyleIdx="0" presStyleCnt="4" custScaleY="182108">
        <dgm:presLayoutVars>
          <dgm:chPref val="3"/>
        </dgm:presLayoutVars>
      </dgm:prSet>
      <dgm:spPr/>
    </dgm:pt>
    <dgm:pt modelId="{821A38F2-94B1-4E15-95D1-ED509DE5AE2E}" type="pres">
      <dgm:prSet presAssocID="{6528894F-0123-4452-B900-D8ACDB717673}" presName="rootConnector" presStyleLbl="node3" presStyleIdx="0" presStyleCnt="4"/>
      <dgm:spPr/>
    </dgm:pt>
    <dgm:pt modelId="{270D8C72-3066-420A-BD8A-68A16A4436E2}" type="pres">
      <dgm:prSet presAssocID="{6528894F-0123-4452-B900-D8ACDB717673}" presName="hierChild4" presStyleCnt="0"/>
      <dgm:spPr/>
    </dgm:pt>
    <dgm:pt modelId="{7BD953BA-C217-4A35-9FCD-F754D5EF0178}" type="pres">
      <dgm:prSet presAssocID="{6528894F-0123-4452-B900-D8ACDB717673}" presName="hierChild5" presStyleCnt="0"/>
      <dgm:spPr/>
    </dgm:pt>
    <dgm:pt modelId="{C75F5CAC-A212-4184-9796-56F2D2EB9474}" type="pres">
      <dgm:prSet presAssocID="{F182A97F-CB66-4602-B7D5-2D6B145B3167}" presName="hierChild5" presStyleCnt="0"/>
      <dgm:spPr/>
    </dgm:pt>
    <dgm:pt modelId="{92E5CA84-AECE-495E-A58F-4C0756899E9C}" type="pres">
      <dgm:prSet presAssocID="{0FFE6BA9-6E0B-4F1E-B08C-563A0234DCC9}" presName="Name37" presStyleLbl="parChTrans1D2" presStyleIdx="1" presStyleCnt="4"/>
      <dgm:spPr/>
    </dgm:pt>
    <dgm:pt modelId="{2D061E06-B90F-4809-A903-43646E7FE674}" type="pres">
      <dgm:prSet presAssocID="{D871A5F3-1FBD-42FB-ADDF-B76CD8A912B6}" presName="hierRoot2" presStyleCnt="0">
        <dgm:presLayoutVars>
          <dgm:hierBranch val="init"/>
        </dgm:presLayoutVars>
      </dgm:prSet>
      <dgm:spPr/>
    </dgm:pt>
    <dgm:pt modelId="{4D67334A-E485-4E96-97C8-BD53D50A9EBD}" type="pres">
      <dgm:prSet presAssocID="{D871A5F3-1FBD-42FB-ADDF-B76CD8A912B6}" presName="rootComposite" presStyleCnt="0"/>
      <dgm:spPr/>
    </dgm:pt>
    <dgm:pt modelId="{5C2041FB-F0B3-4298-8D82-12C39E4CDB45}" type="pres">
      <dgm:prSet presAssocID="{D871A5F3-1FBD-42FB-ADDF-B76CD8A912B6}" presName="rootText" presStyleLbl="node2" presStyleIdx="1" presStyleCnt="4">
        <dgm:presLayoutVars>
          <dgm:chPref val="3"/>
        </dgm:presLayoutVars>
      </dgm:prSet>
      <dgm:spPr/>
    </dgm:pt>
    <dgm:pt modelId="{4240E119-F45A-4C2F-AD00-890852C427FB}" type="pres">
      <dgm:prSet presAssocID="{D871A5F3-1FBD-42FB-ADDF-B76CD8A912B6}" presName="rootConnector" presStyleLbl="node2" presStyleIdx="1" presStyleCnt="4"/>
      <dgm:spPr/>
    </dgm:pt>
    <dgm:pt modelId="{B504045D-7D34-41AC-9415-DA4484F44233}" type="pres">
      <dgm:prSet presAssocID="{D871A5F3-1FBD-42FB-ADDF-B76CD8A912B6}" presName="hierChild4" presStyleCnt="0"/>
      <dgm:spPr/>
    </dgm:pt>
    <dgm:pt modelId="{A4E8B731-6B5C-4F20-9979-27A40A0745FD}" type="pres">
      <dgm:prSet presAssocID="{D504CAFB-1477-4AC2-AAF4-0370BF169390}" presName="Name37" presStyleLbl="parChTrans1D3" presStyleIdx="1" presStyleCnt="4"/>
      <dgm:spPr/>
    </dgm:pt>
    <dgm:pt modelId="{42F59C64-5B83-4547-BF84-548FEE03D1BE}" type="pres">
      <dgm:prSet presAssocID="{E6225B32-A227-4905-A191-89368E5A30C1}" presName="hierRoot2" presStyleCnt="0">
        <dgm:presLayoutVars>
          <dgm:hierBranch val="init"/>
        </dgm:presLayoutVars>
      </dgm:prSet>
      <dgm:spPr/>
    </dgm:pt>
    <dgm:pt modelId="{FA3EA047-3C19-4463-85C3-A5AE7E6AB784}" type="pres">
      <dgm:prSet presAssocID="{E6225B32-A227-4905-A191-89368E5A30C1}" presName="rootComposite" presStyleCnt="0"/>
      <dgm:spPr/>
    </dgm:pt>
    <dgm:pt modelId="{E639F660-185C-45FD-82DB-2E90D3E3F7E2}" type="pres">
      <dgm:prSet presAssocID="{E6225B32-A227-4905-A191-89368E5A30C1}" presName="rootText" presStyleLbl="node3" presStyleIdx="1" presStyleCnt="4" custScaleY="208287">
        <dgm:presLayoutVars>
          <dgm:chPref val="3"/>
        </dgm:presLayoutVars>
      </dgm:prSet>
      <dgm:spPr/>
    </dgm:pt>
    <dgm:pt modelId="{DBA99025-FAFE-4B5D-B608-CAB11CD6580E}" type="pres">
      <dgm:prSet presAssocID="{E6225B32-A227-4905-A191-89368E5A30C1}" presName="rootConnector" presStyleLbl="node3" presStyleIdx="1" presStyleCnt="4"/>
      <dgm:spPr/>
    </dgm:pt>
    <dgm:pt modelId="{2972348B-8A6B-45BE-8E28-C97A4DC775E0}" type="pres">
      <dgm:prSet presAssocID="{E6225B32-A227-4905-A191-89368E5A30C1}" presName="hierChild4" presStyleCnt="0"/>
      <dgm:spPr/>
    </dgm:pt>
    <dgm:pt modelId="{F67BDF2A-CE6F-43D1-B61E-E057D5DCDB28}" type="pres">
      <dgm:prSet presAssocID="{E6225B32-A227-4905-A191-89368E5A30C1}" presName="hierChild5" presStyleCnt="0"/>
      <dgm:spPr/>
    </dgm:pt>
    <dgm:pt modelId="{2517681A-A63A-4093-A57F-25F6A8D1519A}" type="pres">
      <dgm:prSet presAssocID="{D871A5F3-1FBD-42FB-ADDF-B76CD8A912B6}" presName="hierChild5" presStyleCnt="0"/>
      <dgm:spPr/>
    </dgm:pt>
    <dgm:pt modelId="{2654E9A0-3C3B-4ED2-9FC8-D35D15CA9FD4}" type="pres">
      <dgm:prSet presAssocID="{B7577E6D-C300-46C2-AD48-D4C844D1973F}" presName="Name37" presStyleLbl="parChTrans1D2" presStyleIdx="2" presStyleCnt="4"/>
      <dgm:spPr/>
    </dgm:pt>
    <dgm:pt modelId="{FE40D59B-C8D9-4E7E-85D5-9F2F2907292F}" type="pres">
      <dgm:prSet presAssocID="{62E04797-2FA5-4CDF-8377-7C8E5C10C9A4}" presName="hierRoot2" presStyleCnt="0">
        <dgm:presLayoutVars>
          <dgm:hierBranch val="init"/>
        </dgm:presLayoutVars>
      </dgm:prSet>
      <dgm:spPr/>
    </dgm:pt>
    <dgm:pt modelId="{05A32B5D-7492-4019-83F1-044BCA024FDF}" type="pres">
      <dgm:prSet presAssocID="{62E04797-2FA5-4CDF-8377-7C8E5C10C9A4}" presName="rootComposite" presStyleCnt="0"/>
      <dgm:spPr/>
    </dgm:pt>
    <dgm:pt modelId="{74AD165D-0CF7-4751-926D-1802EC413643}" type="pres">
      <dgm:prSet presAssocID="{62E04797-2FA5-4CDF-8377-7C8E5C10C9A4}" presName="rootText" presStyleLbl="node2" presStyleIdx="2" presStyleCnt="4">
        <dgm:presLayoutVars>
          <dgm:chPref val="3"/>
        </dgm:presLayoutVars>
      </dgm:prSet>
      <dgm:spPr/>
    </dgm:pt>
    <dgm:pt modelId="{98A067DE-1914-457F-93E1-1D14B0FA5F77}" type="pres">
      <dgm:prSet presAssocID="{62E04797-2FA5-4CDF-8377-7C8E5C10C9A4}" presName="rootConnector" presStyleLbl="node2" presStyleIdx="2" presStyleCnt="4"/>
      <dgm:spPr/>
    </dgm:pt>
    <dgm:pt modelId="{6228BAA0-A633-4676-B934-B8E1A43607BB}" type="pres">
      <dgm:prSet presAssocID="{62E04797-2FA5-4CDF-8377-7C8E5C10C9A4}" presName="hierChild4" presStyleCnt="0"/>
      <dgm:spPr/>
    </dgm:pt>
    <dgm:pt modelId="{EE992453-780B-44E8-BAD0-824A6813B63A}" type="pres">
      <dgm:prSet presAssocID="{2263A306-3615-4BC5-A44D-775F34E8788D}" presName="Name37" presStyleLbl="parChTrans1D3" presStyleIdx="2" presStyleCnt="4"/>
      <dgm:spPr/>
    </dgm:pt>
    <dgm:pt modelId="{C83031E5-555D-41D0-B277-6A3496273E1E}" type="pres">
      <dgm:prSet presAssocID="{7BE26CD7-6CD8-4531-9ACE-9C6BEB6E48CC}" presName="hierRoot2" presStyleCnt="0">
        <dgm:presLayoutVars>
          <dgm:hierBranch val="init"/>
        </dgm:presLayoutVars>
      </dgm:prSet>
      <dgm:spPr/>
    </dgm:pt>
    <dgm:pt modelId="{9144F306-03F8-416E-9118-CD6ADA806E8C}" type="pres">
      <dgm:prSet presAssocID="{7BE26CD7-6CD8-4531-9ACE-9C6BEB6E48CC}" presName="rootComposite" presStyleCnt="0"/>
      <dgm:spPr/>
    </dgm:pt>
    <dgm:pt modelId="{41976C2E-C68D-468F-8393-A178EF9A4B4A}" type="pres">
      <dgm:prSet presAssocID="{7BE26CD7-6CD8-4531-9ACE-9C6BEB6E48CC}" presName="rootText" presStyleLbl="node3" presStyleIdx="2" presStyleCnt="4">
        <dgm:presLayoutVars>
          <dgm:chPref val="3"/>
        </dgm:presLayoutVars>
      </dgm:prSet>
      <dgm:spPr/>
    </dgm:pt>
    <dgm:pt modelId="{1FFFD065-D5F2-4A4D-BB6F-87F6C6D1A308}" type="pres">
      <dgm:prSet presAssocID="{7BE26CD7-6CD8-4531-9ACE-9C6BEB6E48CC}" presName="rootConnector" presStyleLbl="node3" presStyleIdx="2" presStyleCnt="4"/>
      <dgm:spPr/>
    </dgm:pt>
    <dgm:pt modelId="{D811E1F1-C47F-498E-970B-E6AD9430191B}" type="pres">
      <dgm:prSet presAssocID="{7BE26CD7-6CD8-4531-9ACE-9C6BEB6E48CC}" presName="hierChild4" presStyleCnt="0"/>
      <dgm:spPr/>
    </dgm:pt>
    <dgm:pt modelId="{F3ADB050-F94D-4347-B663-7EBAA097E509}" type="pres">
      <dgm:prSet presAssocID="{7BE26CD7-6CD8-4531-9ACE-9C6BEB6E48CC}" presName="hierChild5" presStyleCnt="0"/>
      <dgm:spPr/>
    </dgm:pt>
    <dgm:pt modelId="{6725BCAE-E539-41CB-B468-C59962FCBA66}" type="pres">
      <dgm:prSet presAssocID="{62E04797-2FA5-4CDF-8377-7C8E5C10C9A4}" presName="hierChild5" presStyleCnt="0"/>
      <dgm:spPr/>
    </dgm:pt>
    <dgm:pt modelId="{B8EA7527-65A1-4EFC-94E2-416CE5C63C43}" type="pres">
      <dgm:prSet presAssocID="{6B189E1D-696E-465E-977D-C9872BD68B18}" presName="Name37" presStyleLbl="parChTrans1D2" presStyleIdx="3" presStyleCnt="4"/>
      <dgm:spPr/>
    </dgm:pt>
    <dgm:pt modelId="{4753FC27-4D52-4A36-B243-EB339162C677}" type="pres">
      <dgm:prSet presAssocID="{EA0C9082-A50E-43D2-B95D-16EC08C29F7C}" presName="hierRoot2" presStyleCnt="0">
        <dgm:presLayoutVars>
          <dgm:hierBranch val="init"/>
        </dgm:presLayoutVars>
      </dgm:prSet>
      <dgm:spPr/>
    </dgm:pt>
    <dgm:pt modelId="{96E97D4A-1F39-4EDD-B648-E1C756ABD783}" type="pres">
      <dgm:prSet presAssocID="{EA0C9082-A50E-43D2-B95D-16EC08C29F7C}" presName="rootComposite" presStyleCnt="0"/>
      <dgm:spPr/>
    </dgm:pt>
    <dgm:pt modelId="{6606468E-49D0-4829-AE36-BFB81E11B47C}" type="pres">
      <dgm:prSet presAssocID="{EA0C9082-A50E-43D2-B95D-16EC08C29F7C}" presName="rootText" presStyleLbl="node2" presStyleIdx="3" presStyleCnt="4">
        <dgm:presLayoutVars>
          <dgm:chPref val="3"/>
        </dgm:presLayoutVars>
      </dgm:prSet>
      <dgm:spPr/>
    </dgm:pt>
    <dgm:pt modelId="{1CF05917-5FF8-498D-AAF4-96CCE0DECEB4}" type="pres">
      <dgm:prSet presAssocID="{EA0C9082-A50E-43D2-B95D-16EC08C29F7C}" presName="rootConnector" presStyleLbl="node2" presStyleIdx="3" presStyleCnt="4"/>
      <dgm:spPr/>
    </dgm:pt>
    <dgm:pt modelId="{E259E3A7-89FC-449B-A2BF-25CBBD4EB22C}" type="pres">
      <dgm:prSet presAssocID="{EA0C9082-A50E-43D2-B95D-16EC08C29F7C}" presName="hierChild4" presStyleCnt="0"/>
      <dgm:spPr/>
    </dgm:pt>
    <dgm:pt modelId="{7480D906-A5DF-4257-8E3A-C92EE6E5B597}" type="pres">
      <dgm:prSet presAssocID="{9B8BFB4D-3C30-4554-B0BC-55AB43BC49E4}" presName="Name37" presStyleLbl="parChTrans1D3" presStyleIdx="3" presStyleCnt="4"/>
      <dgm:spPr/>
    </dgm:pt>
    <dgm:pt modelId="{7094E434-3DCD-4469-BCFE-BD69C1A770AB}" type="pres">
      <dgm:prSet presAssocID="{C95385A3-B67C-4B24-926D-4B646397E9E1}" presName="hierRoot2" presStyleCnt="0">
        <dgm:presLayoutVars>
          <dgm:hierBranch val="init"/>
        </dgm:presLayoutVars>
      </dgm:prSet>
      <dgm:spPr/>
    </dgm:pt>
    <dgm:pt modelId="{BBEA28A8-C523-43E2-8F9B-92716D43C9B3}" type="pres">
      <dgm:prSet presAssocID="{C95385A3-B67C-4B24-926D-4B646397E9E1}" presName="rootComposite" presStyleCnt="0"/>
      <dgm:spPr/>
    </dgm:pt>
    <dgm:pt modelId="{97E194FD-5384-4CAE-A7CE-1801856AFF55}" type="pres">
      <dgm:prSet presAssocID="{C95385A3-B67C-4B24-926D-4B646397E9E1}" presName="rootText" presStyleLbl="node3" presStyleIdx="3" presStyleCnt="4" custScaleY="262503">
        <dgm:presLayoutVars>
          <dgm:chPref val="3"/>
        </dgm:presLayoutVars>
      </dgm:prSet>
      <dgm:spPr/>
    </dgm:pt>
    <dgm:pt modelId="{BC33BC5A-EF5C-4639-B305-16E178B6DD76}" type="pres">
      <dgm:prSet presAssocID="{C95385A3-B67C-4B24-926D-4B646397E9E1}" presName="rootConnector" presStyleLbl="node3" presStyleIdx="3" presStyleCnt="4"/>
      <dgm:spPr/>
    </dgm:pt>
    <dgm:pt modelId="{12A425CC-9E71-4D72-A33A-AA0B9ACCE608}" type="pres">
      <dgm:prSet presAssocID="{C95385A3-B67C-4B24-926D-4B646397E9E1}" presName="hierChild4" presStyleCnt="0"/>
      <dgm:spPr/>
    </dgm:pt>
    <dgm:pt modelId="{B4F38B9C-AE17-43B1-B500-D1D5DB69C769}" type="pres">
      <dgm:prSet presAssocID="{C95385A3-B67C-4B24-926D-4B646397E9E1}" presName="hierChild5" presStyleCnt="0"/>
      <dgm:spPr/>
    </dgm:pt>
    <dgm:pt modelId="{3CB0DD72-1A3F-4CA9-8636-91CF0DCDA28F}" type="pres">
      <dgm:prSet presAssocID="{EA0C9082-A50E-43D2-B95D-16EC08C29F7C}" presName="hierChild5" presStyleCnt="0"/>
      <dgm:spPr/>
    </dgm:pt>
    <dgm:pt modelId="{726F38E7-6247-444E-8F25-29F6271A65C7}" type="pres">
      <dgm:prSet presAssocID="{16379575-C30B-4265-A18F-0351BD0013C7}" presName="hierChild3" presStyleCnt="0"/>
      <dgm:spPr/>
    </dgm:pt>
  </dgm:ptLst>
  <dgm:cxnLst>
    <dgm:cxn modelId="{01195D00-63BA-4D7D-B16C-83D48A377E18}" type="presOf" srcId="{4C7C2692-A6DE-492E-A726-697F4FC4E010}" destId="{A670DCF6-D1B0-4806-96AA-4EB3C7E0DA2E}" srcOrd="0" destOrd="0" presId="urn:microsoft.com/office/officeart/2005/8/layout/orgChart1"/>
    <dgm:cxn modelId="{08368801-9201-4521-A578-A02D16104137}" type="presOf" srcId="{7BE26CD7-6CD8-4531-9ACE-9C6BEB6E48CC}" destId="{1FFFD065-D5F2-4A4D-BB6F-87F6C6D1A308}" srcOrd="1" destOrd="0" presId="urn:microsoft.com/office/officeart/2005/8/layout/orgChart1"/>
    <dgm:cxn modelId="{23F3F50C-C0E1-4A2A-94B4-F1CF1C3F3B7A}" type="presOf" srcId="{F182A97F-CB66-4602-B7D5-2D6B145B3167}" destId="{6857B662-C3DE-4FC2-A2FA-897345336953}" srcOrd="0" destOrd="0" presId="urn:microsoft.com/office/officeart/2005/8/layout/orgChart1"/>
    <dgm:cxn modelId="{BF99B812-1DCD-405D-A226-CB2E364FDD88}" srcId="{0954BEF3-E4C8-40B1-99AD-13AA54B044D4}" destId="{16379575-C30B-4265-A18F-0351BD0013C7}" srcOrd="0" destOrd="0" parTransId="{877A8C61-8EDB-4D38-AAC3-6CB54DE071CB}" sibTransId="{7658A72F-5A87-4659-88ED-06085A9F9481}"/>
    <dgm:cxn modelId="{DDAD542E-961A-4A9E-866A-DB4DD9E30E3E}" type="presOf" srcId="{E6225B32-A227-4905-A191-89368E5A30C1}" destId="{E639F660-185C-45FD-82DB-2E90D3E3F7E2}" srcOrd="0" destOrd="0" presId="urn:microsoft.com/office/officeart/2005/8/layout/orgChart1"/>
    <dgm:cxn modelId="{479AE13F-1064-420B-B9C4-24466B6213BC}" srcId="{F182A97F-CB66-4602-B7D5-2D6B145B3167}" destId="{6528894F-0123-4452-B900-D8ACDB717673}" srcOrd="0" destOrd="0" parTransId="{4C7C2692-A6DE-492E-A726-697F4FC4E010}" sibTransId="{A83967C8-C63D-41F0-A1AE-DB6A1B1ED671}"/>
    <dgm:cxn modelId="{CDC96840-0FAC-4604-B295-FD7ED68092D7}" srcId="{16379575-C30B-4265-A18F-0351BD0013C7}" destId="{EA0C9082-A50E-43D2-B95D-16EC08C29F7C}" srcOrd="3" destOrd="0" parTransId="{6B189E1D-696E-465E-977D-C9872BD68B18}" sibTransId="{A64C1320-7E35-4BB2-8661-1020C6E9C089}"/>
    <dgm:cxn modelId="{6571F445-A5C5-4803-98B0-85EE2B0712A9}" type="presOf" srcId="{D871A5F3-1FBD-42FB-ADDF-B76CD8A912B6}" destId="{4240E119-F45A-4C2F-AD00-890852C427FB}" srcOrd="1" destOrd="0" presId="urn:microsoft.com/office/officeart/2005/8/layout/orgChart1"/>
    <dgm:cxn modelId="{039B9E67-1B23-49F0-8F9A-C0E5DB5D82ED}" type="presOf" srcId="{C95385A3-B67C-4B24-926D-4B646397E9E1}" destId="{97E194FD-5384-4CAE-A7CE-1801856AFF55}" srcOrd="0" destOrd="0" presId="urn:microsoft.com/office/officeart/2005/8/layout/orgChart1"/>
    <dgm:cxn modelId="{89479848-E28F-4DC7-B0BF-245D7EFAA950}" type="presOf" srcId="{6528894F-0123-4452-B900-D8ACDB717673}" destId="{821A38F2-94B1-4E15-95D1-ED509DE5AE2E}" srcOrd="1" destOrd="0" presId="urn:microsoft.com/office/officeart/2005/8/layout/orgChart1"/>
    <dgm:cxn modelId="{D1BDF368-9759-4552-998C-FF0B7410D378}" type="presOf" srcId="{6B189E1D-696E-465E-977D-C9872BD68B18}" destId="{B8EA7527-65A1-4EFC-94E2-416CE5C63C43}" srcOrd="0" destOrd="0" presId="urn:microsoft.com/office/officeart/2005/8/layout/orgChart1"/>
    <dgm:cxn modelId="{7EB7C26A-DE35-463C-B848-5872EE855BB3}" type="presOf" srcId="{F182A97F-CB66-4602-B7D5-2D6B145B3167}" destId="{CD7D521B-FC11-499B-9777-23746FF74A66}" srcOrd="1" destOrd="0" presId="urn:microsoft.com/office/officeart/2005/8/layout/orgChart1"/>
    <dgm:cxn modelId="{93AB8374-4B62-4E4C-972B-EC5416927255}" type="presOf" srcId="{16379575-C30B-4265-A18F-0351BD0013C7}" destId="{C47FFB95-C176-4B4A-AA7F-B301A44FABC1}" srcOrd="0" destOrd="0" presId="urn:microsoft.com/office/officeart/2005/8/layout/orgChart1"/>
    <dgm:cxn modelId="{83281057-2AAB-4225-A369-9401A571CFC5}" type="presOf" srcId="{2263A306-3615-4BC5-A44D-775F34E8788D}" destId="{EE992453-780B-44E8-BAD0-824A6813B63A}" srcOrd="0" destOrd="0" presId="urn:microsoft.com/office/officeart/2005/8/layout/orgChart1"/>
    <dgm:cxn modelId="{AD9E615A-516E-4154-B191-424A9FA065EC}" type="presOf" srcId="{9FF0B723-1225-4959-B136-46DE5AF5ED79}" destId="{C5299351-C939-48C4-BBEF-211716847979}" srcOrd="0" destOrd="0" presId="urn:microsoft.com/office/officeart/2005/8/layout/orgChart1"/>
    <dgm:cxn modelId="{A644F97D-CC14-455C-A210-4A9D773C01A7}" srcId="{EA0C9082-A50E-43D2-B95D-16EC08C29F7C}" destId="{C95385A3-B67C-4B24-926D-4B646397E9E1}" srcOrd="0" destOrd="0" parTransId="{9B8BFB4D-3C30-4554-B0BC-55AB43BC49E4}" sibTransId="{1E18EC8E-C4AB-4989-8A31-1A009AEB114C}"/>
    <dgm:cxn modelId="{AAC3CE89-F730-431A-BA43-2EFD42CFC7CA}" srcId="{16379575-C30B-4265-A18F-0351BD0013C7}" destId="{D871A5F3-1FBD-42FB-ADDF-B76CD8A912B6}" srcOrd="1" destOrd="0" parTransId="{0FFE6BA9-6E0B-4F1E-B08C-563A0234DCC9}" sibTransId="{9A2F1532-F6BB-4BC4-850A-951DDE562E95}"/>
    <dgm:cxn modelId="{48C3F08D-7E06-4823-8FA2-4365DCF4C90D}" type="presOf" srcId="{7BE26CD7-6CD8-4531-9ACE-9C6BEB6E48CC}" destId="{41976C2E-C68D-468F-8393-A178EF9A4B4A}" srcOrd="0" destOrd="0" presId="urn:microsoft.com/office/officeart/2005/8/layout/orgChart1"/>
    <dgm:cxn modelId="{A874608F-CF8A-4AB8-A5F6-D153A893EF81}" type="presOf" srcId="{EA0C9082-A50E-43D2-B95D-16EC08C29F7C}" destId="{1CF05917-5FF8-498D-AAF4-96CCE0DECEB4}" srcOrd="1" destOrd="0" presId="urn:microsoft.com/office/officeart/2005/8/layout/orgChart1"/>
    <dgm:cxn modelId="{A0EF3994-66A6-4DB1-94EF-60BA489BEB2E}" type="presOf" srcId="{B7577E6D-C300-46C2-AD48-D4C844D1973F}" destId="{2654E9A0-3C3B-4ED2-9FC8-D35D15CA9FD4}" srcOrd="0" destOrd="0" presId="urn:microsoft.com/office/officeart/2005/8/layout/orgChart1"/>
    <dgm:cxn modelId="{41DCFE97-B5CD-4B06-A245-D3E286C83382}" type="presOf" srcId="{0FFE6BA9-6E0B-4F1E-B08C-563A0234DCC9}" destId="{92E5CA84-AECE-495E-A58F-4C0756899E9C}" srcOrd="0" destOrd="0" presId="urn:microsoft.com/office/officeart/2005/8/layout/orgChart1"/>
    <dgm:cxn modelId="{304FD1AA-5000-4BE7-B8F3-C1665649DF5B}" srcId="{D871A5F3-1FBD-42FB-ADDF-B76CD8A912B6}" destId="{E6225B32-A227-4905-A191-89368E5A30C1}" srcOrd="0" destOrd="0" parTransId="{D504CAFB-1477-4AC2-AAF4-0370BF169390}" sibTransId="{4687DB2E-F312-450D-A294-3BE60F45DD13}"/>
    <dgm:cxn modelId="{9F1FC8B9-E87A-4D3B-8859-BFFC38C7973F}" type="presOf" srcId="{EA0C9082-A50E-43D2-B95D-16EC08C29F7C}" destId="{6606468E-49D0-4829-AE36-BFB81E11B47C}" srcOrd="0" destOrd="0" presId="urn:microsoft.com/office/officeart/2005/8/layout/orgChart1"/>
    <dgm:cxn modelId="{1E851CCE-7327-4939-A943-B7103F7EAAA0}" type="presOf" srcId="{6528894F-0123-4452-B900-D8ACDB717673}" destId="{63CC3BB2-154F-4A6D-87D2-590FA0B24C65}" srcOrd="0" destOrd="0" presId="urn:microsoft.com/office/officeart/2005/8/layout/orgChart1"/>
    <dgm:cxn modelId="{928C1CCE-861B-46C6-8DBA-11EEFB635097}" type="presOf" srcId="{0954BEF3-E4C8-40B1-99AD-13AA54B044D4}" destId="{3FDA8264-2986-452B-A344-8569F6D1F251}" srcOrd="0" destOrd="0" presId="urn:microsoft.com/office/officeart/2005/8/layout/orgChart1"/>
    <dgm:cxn modelId="{F86173CF-22E2-4235-933C-09188E0E50AB}" type="presOf" srcId="{D871A5F3-1FBD-42FB-ADDF-B76CD8A912B6}" destId="{5C2041FB-F0B3-4298-8D82-12C39E4CDB45}" srcOrd="0" destOrd="0" presId="urn:microsoft.com/office/officeart/2005/8/layout/orgChart1"/>
    <dgm:cxn modelId="{3D9E26D3-34D5-48C8-8491-52EE30CEAC0F}" type="presOf" srcId="{9B8BFB4D-3C30-4554-B0BC-55AB43BC49E4}" destId="{7480D906-A5DF-4257-8E3A-C92EE6E5B597}" srcOrd="0" destOrd="0" presId="urn:microsoft.com/office/officeart/2005/8/layout/orgChart1"/>
    <dgm:cxn modelId="{62DA5EDA-B20B-483A-8CCA-CF84AEF4168D}" type="presOf" srcId="{C95385A3-B67C-4B24-926D-4B646397E9E1}" destId="{BC33BC5A-EF5C-4639-B305-16E178B6DD76}" srcOrd="1" destOrd="0" presId="urn:microsoft.com/office/officeart/2005/8/layout/orgChart1"/>
    <dgm:cxn modelId="{DC6A2DDC-9128-472B-9A05-4E823859B80A}" type="presOf" srcId="{D504CAFB-1477-4AC2-AAF4-0370BF169390}" destId="{A4E8B731-6B5C-4F20-9979-27A40A0745FD}" srcOrd="0" destOrd="0" presId="urn:microsoft.com/office/officeart/2005/8/layout/orgChart1"/>
    <dgm:cxn modelId="{C9EA0BDF-6007-4A66-86E3-CF94D2DC892B}" type="presOf" srcId="{62E04797-2FA5-4CDF-8377-7C8E5C10C9A4}" destId="{74AD165D-0CF7-4751-926D-1802EC413643}" srcOrd="0" destOrd="0" presId="urn:microsoft.com/office/officeart/2005/8/layout/orgChart1"/>
    <dgm:cxn modelId="{69F5C3DF-57D4-42AD-A6C0-992C6B8E2080}" srcId="{16379575-C30B-4265-A18F-0351BD0013C7}" destId="{62E04797-2FA5-4CDF-8377-7C8E5C10C9A4}" srcOrd="2" destOrd="0" parTransId="{B7577E6D-C300-46C2-AD48-D4C844D1973F}" sibTransId="{1BC1FD70-8221-4235-86D5-696E33DAB397}"/>
    <dgm:cxn modelId="{32D3A4F2-B95B-4CE1-9C0E-7E571F573E71}" type="presOf" srcId="{62E04797-2FA5-4CDF-8377-7C8E5C10C9A4}" destId="{98A067DE-1914-457F-93E1-1D14B0FA5F77}" srcOrd="1" destOrd="0" presId="urn:microsoft.com/office/officeart/2005/8/layout/orgChart1"/>
    <dgm:cxn modelId="{FC975BFD-DFD6-4758-93F6-321D801DA2F6}" srcId="{62E04797-2FA5-4CDF-8377-7C8E5C10C9A4}" destId="{7BE26CD7-6CD8-4531-9ACE-9C6BEB6E48CC}" srcOrd="0" destOrd="0" parTransId="{2263A306-3615-4BC5-A44D-775F34E8788D}" sibTransId="{D1D905B5-4277-42A2-9018-EC02B48E0500}"/>
    <dgm:cxn modelId="{2901AFFD-49DE-4612-8122-CFA337DDB58E}" srcId="{16379575-C30B-4265-A18F-0351BD0013C7}" destId="{F182A97F-CB66-4602-B7D5-2D6B145B3167}" srcOrd="0" destOrd="0" parTransId="{9FF0B723-1225-4959-B136-46DE5AF5ED79}" sibTransId="{AFC17F53-C8E0-4ED0-A166-FEDBF44C4D26}"/>
    <dgm:cxn modelId="{4533CEFD-2D4B-40B1-B0EC-F53A82A72267}" type="presOf" srcId="{E6225B32-A227-4905-A191-89368E5A30C1}" destId="{DBA99025-FAFE-4B5D-B608-CAB11CD6580E}" srcOrd="1" destOrd="0" presId="urn:microsoft.com/office/officeart/2005/8/layout/orgChart1"/>
    <dgm:cxn modelId="{176AFDFD-5721-45F3-80E4-86451CE23FCA}" type="presOf" srcId="{16379575-C30B-4265-A18F-0351BD0013C7}" destId="{B8F18868-7FF1-41BE-BBF1-A658AA531EC6}" srcOrd="1" destOrd="0" presId="urn:microsoft.com/office/officeart/2005/8/layout/orgChart1"/>
    <dgm:cxn modelId="{F3ABA255-8BD6-4604-BDE2-98287BAA7CCE}" type="presParOf" srcId="{3FDA8264-2986-452B-A344-8569F6D1F251}" destId="{B98FB2DC-C2AB-4A4A-AE8A-06E4292D07A5}" srcOrd="0" destOrd="0" presId="urn:microsoft.com/office/officeart/2005/8/layout/orgChart1"/>
    <dgm:cxn modelId="{C4886D0B-C54A-441C-A0B0-5FDF05FD0498}" type="presParOf" srcId="{B98FB2DC-C2AB-4A4A-AE8A-06E4292D07A5}" destId="{F061AC49-7420-42C5-B0FD-0AB3AA90E306}" srcOrd="0" destOrd="0" presId="urn:microsoft.com/office/officeart/2005/8/layout/orgChart1"/>
    <dgm:cxn modelId="{0CD43556-C8A6-494F-9CCE-35E1C96EB873}" type="presParOf" srcId="{F061AC49-7420-42C5-B0FD-0AB3AA90E306}" destId="{C47FFB95-C176-4B4A-AA7F-B301A44FABC1}" srcOrd="0" destOrd="0" presId="urn:microsoft.com/office/officeart/2005/8/layout/orgChart1"/>
    <dgm:cxn modelId="{43CE80AB-5732-458A-B711-1D9FBCB4B7AD}" type="presParOf" srcId="{F061AC49-7420-42C5-B0FD-0AB3AA90E306}" destId="{B8F18868-7FF1-41BE-BBF1-A658AA531EC6}" srcOrd="1" destOrd="0" presId="urn:microsoft.com/office/officeart/2005/8/layout/orgChart1"/>
    <dgm:cxn modelId="{C27FB4EA-2DF1-437F-B454-69997458E92D}" type="presParOf" srcId="{B98FB2DC-C2AB-4A4A-AE8A-06E4292D07A5}" destId="{4F841C15-C193-4873-BE35-DCE3F179734B}" srcOrd="1" destOrd="0" presId="urn:microsoft.com/office/officeart/2005/8/layout/orgChart1"/>
    <dgm:cxn modelId="{2362B22A-B5DD-43CC-9E13-84C6AE62BB74}" type="presParOf" srcId="{4F841C15-C193-4873-BE35-DCE3F179734B}" destId="{C5299351-C939-48C4-BBEF-211716847979}" srcOrd="0" destOrd="0" presId="urn:microsoft.com/office/officeart/2005/8/layout/orgChart1"/>
    <dgm:cxn modelId="{3C4A944E-DD6E-4678-805E-46375DC6AF60}" type="presParOf" srcId="{4F841C15-C193-4873-BE35-DCE3F179734B}" destId="{B24B0FCA-F915-4B88-8D60-1CA3ADD0A404}" srcOrd="1" destOrd="0" presId="urn:microsoft.com/office/officeart/2005/8/layout/orgChart1"/>
    <dgm:cxn modelId="{FCE3DAB0-0C8A-4BB9-AED5-6EBA19872D78}" type="presParOf" srcId="{B24B0FCA-F915-4B88-8D60-1CA3ADD0A404}" destId="{A1E282E4-8DE1-4F88-B11A-0F599043ADCC}" srcOrd="0" destOrd="0" presId="urn:microsoft.com/office/officeart/2005/8/layout/orgChart1"/>
    <dgm:cxn modelId="{698843EC-85E1-41EF-8FC6-2C2900DB9A9D}" type="presParOf" srcId="{A1E282E4-8DE1-4F88-B11A-0F599043ADCC}" destId="{6857B662-C3DE-4FC2-A2FA-897345336953}" srcOrd="0" destOrd="0" presId="urn:microsoft.com/office/officeart/2005/8/layout/orgChart1"/>
    <dgm:cxn modelId="{DA9ACB82-ACBC-4B58-BAAC-33FC14DBE755}" type="presParOf" srcId="{A1E282E4-8DE1-4F88-B11A-0F599043ADCC}" destId="{CD7D521B-FC11-499B-9777-23746FF74A66}" srcOrd="1" destOrd="0" presId="urn:microsoft.com/office/officeart/2005/8/layout/orgChart1"/>
    <dgm:cxn modelId="{DE4FB904-E510-4EF7-A54A-4CEBC16FCAED}" type="presParOf" srcId="{B24B0FCA-F915-4B88-8D60-1CA3ADD0A404}" destId="{323E7883-8F85-41C2-A7A6-5CAB07DBC2B9}" srcOrd="1" destOrd="0" presId="urn:microsoft.com/office/officeart/2005/8/layout/orgChart1"/>
    <dgm:cxn modelId="{0701AB7B-3EC0-42D4-8AFB-056528B4BEE0}" type="presParOf" srcId="{323E7883-8F85-41C2-A7A6-5CAB07DBC2B9}" destId="{A670DCF6-D1B0-4806-96AA-4EB3C7E0DA2E}" srcOrd="0" destOrd="0" presId="urn:microsoft.com/office/officeart/2005/8/layout/orgChart1"/>
    <dgm:cxn modelId="{49DE5AFB-9600-4A40-9B04-A327C7F23E55}" type="presParOf" srcId="{323E7883-8F85-41C2-A7A6-5CAB07DBC2B9}" destId="{B98FEB6B-291A-4994-BAED-14A9C4974622}" srcOrd="1" destOrd="0" presId="urn:microsoft.com/office/officeart/2005/8/layout/orgChart1"/>
    <dgm:cxn modelId="{EA1B4805-807F-45A0-84AE-0F2887062374}" type="presParOf" srcId="{B98FEB6B-291A-4994-BAED-14A9C4974622}" destId="{5430A735-4E32-4224-B597-A693D83E34A8}" srcOrd="0" destOrd="0" presId="urn:microsoft.com/office/officeart/2005/8/layout/orgChart1"/>
    <dgm:cxn modelId="{E9F404E0-5CC5-44D4-A71D-A6E821BF2621}" type="presParOf" srcId="{5430A735-4E32-4224-B597-A693D83E34A8}" destId="{63CC3BB2-154F-4A6D-87D2-590FA0B24C65}" srcOrd="0" destOrd="0" presId="urn:microsoft.com/office/officeart/2005/8/layout/orgChart1"/>
    <dgm:cxn modelId="{2E67B9EF-6854-4B3E-8619-CD6A75CFD9C2}" type="presParOf" srcId="{5430A735-4E32-4224-B597-A693D83E34A8}" destId="{821A38F2-94B1-4E15-95D1-ED509DE5AE2E}" srcOrd="1" destOrd="0" presId="urn:microsoft.com/office/officeart/2005/8/layout/orgChart1"/>
    <dgm:cxn modelId="{4997687A-78AA-4792-B89D-404DD92B564A}" type="presParOf" srcId="{B98FEB6B-291A-4994-BAED-14A9C4974622}" destId="{270D8C72-3066-420A-BD8A-68A16A4436E2}" srcOrd="1" destOrd="0" presId="urn:microsoft.com/office/officeart/2005/8/layout/orgChart1"/>
    <dgm:cxn modelId="{541E598E-5132-453D-ABBA-6551FEAB343B}" type="presParOf" srcId="{B98FEB6B-291A-4994-BAED-14A9C4974622}" destId="{7BD953BA-C217-4A35-9FCD-F754D5EF0178}" srcOrd="2" destOrd="0" presId="urn:microsoft.com/office/officeart/2005/8/layout/orgChart1"/>
    <dgm:cxn modelId="{6CE0EF88-7A42-4D27-8FC5-EA5B4FFCF41C}" type="presParOf" srcId="{B24B0FCA-F915-4B88-8D60-1CA3ADD0A404}" destId="{C75F5CAC-A212-4184-9796-56F2D2EB9474}" srcOrd="2" destOrd="0" presId="urn:microsoft.com/office/officeart/2005/8/layout/orgChart1"/>
    <dgm:cxn modelId="{52CE4AE4-42D1-4540-96E6-0BDDB28C0677}" type="presParOf" srcId="{4F841C15-C193-4873-BE35-DCE3F179734B}" destId="{92E5CA84-AECE-495E-A58F-4C0756899E9C}" srcOrd="2" destOrd="0" presId="urn:microsoft.com/office/officeart/2005/8/layout/orgChart1"/>
    <dgm:cxn modelId="{A30E90B6-9EC6-4351-B915-C1F975BCCDBA}" type="presParOf" srcId="{4F841C15-C193-4873-BE35-DCE3F179734B}" destId="{2D061E06-B90F-4809-A903-43646E7FE674}" srcOrd="3" destOrd="0" presId="urn:microsoft.com/office/officeart/2005/8/layout/orgChart1"/>
    <dgm:cxn modelId="{230CB8E7-8648-4AF7-8C59-356644D45623}" type="presParOf" srcId="{2D061E06-B90F-4809-A903-43646E7FE674}" destId="{4D67334A-E485-4E96-97C8-BD53D50A9EBD}" srcOrd="0" destOrd="0" presId="urn:microsoft.com/office/officeart/2005/8/layout/orgChart1"/>
    <dgm:cxn modelId="{C0E5C706-88A1-4812-B1CD-FC05538B6F61}" type="presParOf" srcId="{4D67334A-E485-4E96-97C8-BD53D50A9EBD}" destId="{5C2041FB-F0B3-4298-8D82-12C39E4CDB45}" srcOrd="0" destOrd="0" presId="urn:microsoft.com/office/officeart/2005/8/layout/orgChart1"/>
    <dgm:cxn modelId="{7CA0C889-7624-48F8-A5AE-EA937EEE8BE4}" type="presParOf" srcId="{4D67334A-E485-4E96-97C8-BD53D50A9EBD}" destId="{4240E119-F45A-4C2F-AD00-890852C427FB}" srcOrd="1" destOrd="0" presId="urn:microsoft.com/office/officeart/2005/8/layout/orgChart1"/>
    <dgm:cxn modelId="{0AE16C27-A6FF-4874-A12D-13EF289BF459}" type="presParOf" srcId="{2D061E06-B90F-4809-A903-43646E7FE674}" destId="{B504045D-7D34-41AC-9415-DA4484F44233}" srcOrd="1" destOrd="0" presId="urn:microsoft.com/office/officeart/2005/8/layout/orgChart1"/>
    <dgm:cxn modelId="{4364449E-5BE5-43A7-B596-A55440112AF1}" type="presParOf" srcId="{B504045D-7D34-41AC-9415-DA4484F44233}" destId="{A4E8B731-6B5C-4F20-9979-27A40A0745FD}" srcOrd="0" destOrd="0" presId="urn:microsoft.com/office/officeart/2005/8/layout/orgChart1"/>
    <dgm:cxn modelId="{CBF005FB-8420-45D7-BFA7-C7AFB869439B}" type="presParOf" srcId="{B504045D-7D34-41AC-9415-DA4484F44233}" destId="{42F59C64-5B83-4547-BF84-548FEE03D1BE}" srcOrd="1" destOrd="0" presId="urn:microsoft.com/office/officeart/2005/8/layout/orgChart1"/>
    <dgm:cxn modelId="{4AA70197-C4C2-4631-8BB0-5EB1827506D7}" type="presParOf" srcId="{42F59C64-5B83-4547-BF84-548FEE03D1BE}" destId="{FA3EA047-3C19-4463-85C3-A5AE7E6AB784}" srcOrd="0" destOrd="0" presId="urn:microsoft.com/office/officeart/2005/8/layout/orgChart1"/>
    <dgm:cxn modelId="{3CBC96C9-68E7-424E-ADE4-A30749E059B8}" type="presParOf" srcId="{FA3EA047-3C19-4463-85C3-A5AE7E6AB784}" destId="{E639F660-185C-45FD-82DB-2E90D3E3F7E2}" srcOrd="0" destOrd="0" presId="urn:microsoft.com/office/officeart/2005/8/layout/orgChart1"/>
    <dgm:cxn modelId="{9A78EC85-989B-45C1-9A8E-112A3BF04E7C}" type="presParOf" srcId="{FA3EA047-3C19-4463-85C3-A5AE7E6AB784}" destId="{DBA99025-FAFE-4B5D-B608-CAB11CD6580E}" srcOrd="1" destOrd="0" presId="urn:microsoft.com/office/officeart/2005/8/layout/orgChart1"/>
    <dgm:cxn modelId="{0CA86366-3D02-4088-B240-DC3FDA636365}" type="presParOf" srcId="{42F59C64-5B83-4547-BF84-548FEE03D1BE}" destId="{2972348B-8A6B-45BE-8E28-C97A4DC775E0}" srcOrd="1" destOrd="0" presId="urn:microsoft.com/office/officeart/2005/8/layout/orgChart1"/>
    <dgm:cxn modelId="{87BE5A20-64E0-41EE-8E04-BCB8F94A3720}" type="presParOf" srcId="{42F59C64-5B83-4547-BF84-548FEE03D1BE}" destId="{F67BDF2A-CE6F-43D1-B61E-E057D5DCDB28}" srcOrd="2" destOrd="0" presId="urn:microsoft.com/office/officeart/2005/8/layout/orgChart1"/>
    <dgm:cxn modelId="{5C270F59-D253-43B7-A69A-010FD6461714}" type="presParOf" srcId="{2D061E06-B90F-4809-A903-43646E7FE674}" destId="{2517681A-A63A-4093-A57F-25F6A8D1519A}" srcOrd="2" destOrd="0" presId="urn:microsoft.com/office/officeart/2005/8/layout/orgChart1"/>
    <dgm:cxn modelId="{17003951-10C3-45B9-8BC7-FA8ACF70B4BB}" type="presParOf" srcId="{4F841C15-C193-4873-BE35-DCE3F179734B}" destId="{2654E9A0-3C3B-4ED2-9FC8-D35D15CA9FD4}" srcOrd="4" destOrd="0" presId="urn:microsoft.com/office/officeart/2005/8/layout/orgChart1"/>
    <dgm:cxn modelId="{1F00CB49-C55A-4006-9A93-C46AFD4808EB}" type="presParOf" srcId="{4F841C15-C193-4873-BE35-DCE3F179734B}" destId="{FE40D59B-C8D9-4E7E-85D5-9F2F2907292F}" srcOrd="5" destOrd="0" presId="urn:microsoft.com/office/officeart/2005/8/layout/orgChart1"/>
    <dgm:cxn modelId="{FF80D486-DCE8-4093-AD85-1A3A880B72A0}" type="presParOf" srcId="{FE40D59B-C8D9-4E7E-85D5-9F2F2907292F}" destId="{05A32B5D-7492-4019-83F1-044BCA024FDF}" srcOrd="0" destOrd="0" presId="urn:microsoft.com/office/officeart/2005/8/layout/orgChart1"/>
    <dgm:cxn modelId="{5219E009-7747-4A18-98B9-8E9580A3D089}" type="presParOf" srcId="{05A32B5D-7492-4019-83F1-044BCA024FDF}" destId="{74AD165D-0CF7-4751-926D-1802EC413643}" srcOrd="0" destOrd="0" presId="urn:microsoft.com/office/officeart/2005/8/layout/orgChart1"/>
    <dgm:cxn modelId="{617CD5D6-6842-4B86-B682-2A8720600AEF}" type="presParOf" srcId="{05A32B5D-7492-4019-83F1-044BCA024FDF}" destId="{98A067DE-1914-457F-93E1-1D14B0FA5F77}" srcOrd="1" destOrd="0" presId="urn:microsoft.com/office/officeart/2005/8/layout/orgChart1"/>
    <dgm:cxn modelId="{79AB90D6-3919-4F19-A9B5-1A412B915A32}" type="presParOf" srcId="{FE40D59B-C8D9-4E7E-85D5-9F2F2907292F}" destId="{6228BAA0-A633-4676-B934-B8E1A43607BB}" srcOrd="1" destOrd="0" presId="urn:microsoft.com/office/officeart/2005/8/layout/orgChart1"/>
    <dgm:cxn modelId="{94210820-857F-4508-A76B-A8E77609D892}" type="presParOf" srcId="{6228BAA0-A633-4676-B934-B8E1A43607BB}" destId="{EE992453-780B-44E8-BAD0-824A6813B63A}" srcOrd="0" destOrd="0" presId="urn:microsoft.com/office/officeart/2005/8/layout/orgChart1"/>
    <dgm:cxn modelId="{5B55D288-A087-4AE3-AD8E-289D951F35DA}" type="presParOf" srcId="{6228BAA0-A633-4676-B934-B8E1A43607BB}" destId="{C83031E5-555D-41D0-B277-6A3496273E1E}" srcOrd="1" destOrd="0" presId="urn:microsoft.com/office/officeart/2005/8/layout/orgChart1"/>
    <dgm:cxn modelId="{7D51C968-25B1-4C06-80B2-2B06B097471D}" type="presParOf" srcId="{C83031E5-555D-41D0-B277-6A3496273E1E}" destId="{9144F306-03F8-416E-9118-CD6ADA806E8C}" srcOrd="0" destOrd="0" presId="urn:microsoft.com/office/officeart/2005/8/layout/orgChart1"/>
    <dgm:cxn modelId="{66757DDC-F353-4A25-9C28-3DBB5658F3ED}" type="presParOf" srcId="{9144F306-03F8-416E-9118-CD6ADA806E8C}" destId="{41976C2E-C68D-468F-8393-A178EF9A4B4A}" srcOrd="0" destOrd="0" presId="urn:microsoft.com/office/officeart/2005/8/layout/orgChart1"/>
    <dgm:cxn modelId="{B2C77A60-68FB-4E76-89E4-055BCB11A9C2}" type="presParOf" srcId="{9144F306-03F8-416E-9118-CD6ADA806E8C}" destId="{1FFFD065-D5F2-4A4D-BB6F-87F6C6D1A308}" srcOrd="1" destOrd="0" presId="urn:microsoft.com/office/officeart/2005/8/layout/orgChart1"/>
    <dgm:cxn modelId="{FF8B5661-B2EE-4DB9-9CCD-AA79A92F3517}" type="presParOf" srcId="{C83031E5-555D-41D0-B277-6A3496273E1E}" destId="{D811E1F1-C47F-498E-970B-E6AD9430191B}" srcOrd="1" destOrd="0" presId="urn:microsoft.com/office/officeart/2005/8/layout/orgChart1"/>
    <dgm:cxn modelId="{DFEA9802-CA62-42F4-AAE6-8CDA26F1BFE8}" type="presParOf" srcId="{C83031E5-555D-41D0-B277-6A3496273E1E}" destId="{F3ADB050-F94D-4347-B663-7EBAA097E509}" srcOrd="2" destOrd="0" presId="urn:microsoft.com/office/officeart/2005/8/layout/orgChart1"/>
    <dgm:cxn modelId="{774FB9E1-68EE-4227-902D-F63CCD97D12A}" type="presParOf" srcId="{FE40D59B-C8D9-4E7E-85D5-9F2F2907292F}" destId="{6725BCAE-E539-41CB-B468-C59962FCBA66}" srcOrd="2" destOrd="0" presId="urn:microsoft.com/office/officeart/2005/8/layout/orgChart1"/>
    <dgm:cxn modelId="{4937EBF7-E242-4E67-8366-1802B67FDBB7}" type="presParOf" srcId="{4F841C15-C193-4873-BE35-DCE3F179734B}" destId="{B8EA7527-65A1-4EFC-94E2-416CE5C63C43}" srcOrd="6" destOrd="0" presId="urn:microsoft.com/office/officeart/2005/8/layout/orgChart1"/>
    <dgm:cxn modelId="{8A796A3C-6D7F-4FDB-A414-50D7F34404BF}" type="presParOf" srcId="{4F841C15-C193-4873-BE35-DCE3F179734B}" destId="{4753FC27-4D52-4A36-B243-EB339162C677}" srcOrd="7" destOrd="0" presId="urn:microsoft.com/office/officeart/2005/8/layout/orgChart1"/>
    <dgm:cxn modelId="{6A385029-54C4-4007-B713-B4BAE355D1B2}" type="presParOf" srcId="{4753FC27-4D52-4A36-B243-EB339162C677}" destId="{96E97D4A-1F39-4EDD-B648-E1C756ABD783}" srcOrd="0" destOrd="0" presId="urn:microsoft.com/office/officeart/2005/8/layout/orgChart1"/>
    <dgm:cxn modelId="{8026346F-FCC4-4039-AD08-5B83DAF8392D}" type="presParOf" srcId="{96E97D4A-1F39-4EDD-B648-E1C756ABD783}" destId="{6606468E-49D0-4829-AE36-BFB81E11B47C}" srcOrd="0" destOrd="0" presId="urn:microsoft.com/office/officeart/2005/8/layout/orgChart1"/>
    <dgm:cxn modelId="{CFAD33D8-AC8F-47C9-821E-6D4D03982B17}" type="presParOf" srcId="{96E97D4A-1F39-4EDD-B648-E1C756ABD783}" destId="{1CF05917-5FF8-498D-AAF4-96CCE0DECEB4}" srcOrd="1" destOrd="0" presId="urn:microsoft.com/office/officeart/2005/8/layout/orgChart1"/>
    <dgm:cxn modelId="{855DAA8D-5021-437B-BA8E-65725C9C2B44}" type="presParOf" srcId="{4753FC27-4D52-4A36-B243-EB339162C677}" destId="{E259E3A7-89FC-449B-A2BF-25CBBD4EB22C}" srcOrd="1" destOrd="0" presId="urn:microsoft.com/office/officeart/2005/8/layout/orgChart1"/>
    <dgm:cxn modelId="{C9EF7301-B95A-42B9-9FE4-244A18D582FD}" type="presParOf" srcId="{E259E3A7-89FC-449B-A2BF-25CBBD4EB22C}" destId="{7480D906-A5DF-4257-8E3A-C92EE6E5B597}" srcOrd="0" destOrd="0" presId="urn:microsoft.com/office/officeart/2005/8/layout/orgChart1"/>
    <dgm:cxn modelId="{A9B468B5-6577-4351-8D52-92D0FE63A4E7}" type="presParOf" srcId="{E259E3A7-89FC-449B-A2BF-25CBBD4EB22C}" destId="{7094E434-3DCD-4469-BCFE-BD69C1A770AB}" srcOrd="1" destOrd="0" presId="urn:microsoft.com/office/officeart/2005/8/layout/orgChart1"/>
    <dgm:cxn modelId="{39FE8B0D-1954-44FD-99F2-61985BAEC347}" type="presParOf" srcId="{7094E434-3DCD-4469-BCFE-BD69C1A770AB}" destId="{BBEA28A8-C523-43E2-8F9B-92716D43C9B3}" srcOrd="0" destOrd="0" presId="urn:microsoft.com/office/officeart/2005/8/layout/orgChart1"/>
    <dgm:cxn modelId="{202B2FF0-4339-4EF7-9309-F99D563DE327}" type="presParOf" srcId="{BBEA28A8-C523-43E2-8F9B-92716D43C9B3}" destId="{97E194FD-5384-4CAE-A7CE-1801856AFF55}" srcOrd="0" destOrd="0" presId="urn:microsoft.com/office/officeart/2005/8/layout/orgChart1"/>
    <dgm:cxn modelId="{96910E19-365C-4573-9FC0-43698333FD2B}" type="presParOf" srcId="{BBEA28A8-C523-43E2-8F9B-92716D43C9B3}" destId="{BC33BC5A-EF5C-4639-B305-16E178B6DD76}" srcOrd="1" destOrd="0" presId="urn:microsoft.com/office/officeart/2005/8/layout/orgChart1"/>
    <dgm:cxn modelId="{D2404F96-7E34-4C07-B5B9-96DADA8B7913}" type="presParOf" srcId="{7094E434-3DCD-4469-BCFE-BD69C1A770AB}" destId="{12A425CC-9E71-4D72-A33A-AA0B9ACCE608}" srcOrd="1" destOrd="0" presId="urn:microsoft.com/office/officeart/2005/8/layout/orgChart1"/>
    <dgm:cxn modelId="{A68C9CE7-4DE8-4A6E-9AC7-EA33AFD45394}" type="presParOf" srcId="{7094E434-3DCD-4469-BCFE-BD69C1A770AB}" destId="{B4F38B9C-AE17-43B1-B500-D1D5DB69C769}" srcOrd="2" destOrd="0" presId="urn:microsoft.com/office/officeart/2005/8/layout/orgChart1"/>
    <dgm:cxn modelId="{0FA58F4E-82EA-4015-8A36-078723D03221}" type="presParOf" srcId="{4753FC27-4D52-4A36-B243-EB339162C677}" destId="{3CB0DD72-1A3F-4CA9-8636-91CF0DCDA28F}" srcOrd="2" destOrd="0" presId="urn:microsoft.com/office/officeart/2005/8/layout/orgChart1"/>
    <dgm:cxn modelId="{FE096A18-DD5E-49E3-A19E-AB7E68346739}" type="presParOf" srcId="{B98FB2DC-C2AB-4A4A-AE8A-06E4292D07A5}" destId="{726F38E7-6247-444E-8F25-29F6271A65C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80D906-A5DF-4257-8E3A-C92EE6E5B597}">
      <dsp:nvSpPr>
        <dsp:cNvPr id="0" name=""/>
        <dsp:cNvSpPr/>
      </dsp:nvSpPr>
      <dsp:spPr>
        <a:xfrm>
          <a:off x="4231028" y="1293239"/>
          <a:ext cx="163496" cy="944203"/>
        </a:xfrm>
        <a:custGeom>
          <a:avLst/>
          <a:gdLst/>
          <a:ahLst/>
          <a:cxnLst/>
          <a:rect l="0" t="0" r="0" b="0"/>
          <a:pathLst>
            <a:path>
              <a:moveTo>
                <a:pt x="0" y="0"/>
              </a:moveTo>
              <a:lnTo>
                <a:pt x="0" y="944203"/>
              </a:lnTo>
              <a:lnTo>
                <a:pt x="163496" y="9442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EA7527-65A1-4EFC-94E2-416CE5C63C43}">
      <dsp:nvSpPr>
        <dsp:cNvPr id="0" name=""/>
        <dsp:cNvSpPr/>
      </dsp:nvSpPr>
      <dsp:spPr>
        <a:xfrm>
          <a:off x="2606952" y="519353"/>
          <a:ext cx="2060067" cy="228895"/>
        </a:xfrm>
        <a:custGeom>
          <a:avLst/>
          <a:gdLst/>
          <a:ahLst/>
          <a:cxnLst/>
          <a:rect l="0" t="0" r="0" b="0"/>
          <a:pathLst>
            <a:path>
              <a:moveTo>
                <a:pt x="0" y="0"/>
              </a:moveTo>
              <a:lnTo>
                <a:pt x="0" y="114447"/>
              </a:lnTo>
              <a:lnTo>
                <a:pt x="2060067" y="114447"/>
              </a:lnTo>
              <a:lnTo>
                <a:pt x="2060067" y="228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92453-780B-44E8-BAD0-824A6813B63A}">
      <dsp:nvSpPr>
        <dsp:cNvPr id="0" name=""/>
        <dsp:cNvSpPr/>
      </dsp:nvSpPr>
      <dsp:spPr>
        <a:xfrm>
          <a:off x="2912152" y="1293239"/>
          <a:ext cx="163496" cy="501390"/>
        </a:xfrm>
        <a:custGeom>
          <a:avLst/>
          <a:gdLst/>
          <a:ahLst/>
          <a:cxnLst/>
          <a:rect l="0" t="0" r="0" b="0"/>
          <a:pathLst>
            <a:path>
              <a:moveTo>
                <a:pt x="0" y="0"/>
              </a:moveTo>
              <a:lnTo>
                <a:pt x="0" y="501390"/>
              </a:lnTo>
              <a:lnTo>
                <a:pt x="163496" y="501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4E9A0-3C3B-4ED2-9FC8-D35D15CA9FD4}">
      <dsp:nvSpPr>
        <dsp:cNvPr id="0" name=""/>
        <dsp:cNvSpPr/>
      </dsp:nvSpPr>
      <dsp:spPr>
        <a:xfrm>
          <a:off x="2606952" y="519353"/>
          <a:ext cx="741191" cy="228895"/>
        </a:xfrm>
        <a:custGeom>
          <a:avLst/>
          <a:gdLst/>
          <a:ahLst/>
          <a:cxnLst/>
          <a:rect l="0" t="0" r="0" b="0"/>
          <a:pathLst>
            <a:path>
              <a:moveTo>
                <a:pt x="0" y="0"/>
              </a:moveTo>
              <a:lnTo>
                <a:pt x="0" y="114447"/>
              </a:lnTo>
              <a:lnTo>
                <a:pt x="741191" y="114447"/>
              </a:lnTo>
              <a:lnTo>
                <a:pt x="741191" y="228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E8B731-6B5C-4F20-9979-27A40A0745FD}">
      <dsp:nvSpPr>
        <dsp:cNvPr id="0" name=""/>
        <dsp:cNvSpPr/>
      </dsp:nvSpPr>
      <dsp:spPr>
        <a:xfrm>
          <a:off x="1593276" y="1293239"/>
          <a:ext cx="163496" cy="796467"/>
        </a:xfrm>
        <a:custGeom>
          <a:avLst/>
          <a:gdLst/>
          <a:ahLst/>
          <a:cxnLst/>
          <a:rect l="0" t="0" r="0" b="0"/>
          <a:pathLst>
            <a:path>
              <a:moveTo>
                <a:pt x="0" y="0"/>
              </a:moveTo>
              <a:lnTo>
                <a:pt x="0" y="796467"/>
              </a:lnTo>
              <a:lnTo>
                <a:pt x="163496" y="796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E5CA84-AECE-495E-A58F-4C0756899E9C}">
      <dsp:nvSpPr>
        <dsp:cNvPr id="0" name=""/>
        <dsp:cNvSpPr/>
      </dsp:nvSpPr>
      <dsp:spPr>
        <a:xfrm>
          <a:off x="2029268" y="519353"/>
          <a:ext cx="577683" cy="228895"/>
        </a:xfrm>
        <a:custGeom>
          <a:avLst/>
          <a:gdLst/>
          <a:ahLst/>
          <a:cxnLst/>
          <a:rect l="0" t="0" r="0" b="0"/>
          <a:pathLst>
            <a:path>
              <a:moveTo>
                <a:pt x="577683" y="0"/>
              </a:moveTo>
              <a:lnTo>
                <a:pt x="577683" y="114447"/>
              </a:lnTo>
              <a:lnTo>
                <a:pt x="0" y="114447"/>
              </a:lnTo>
              <a:lnTo>
                <a:pt x="0" y="228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70DCF6-D1B0-4806-96AA-4EB3C7E0DA2E}">
      <dsp:nvSpPr>
        <dsp:cNvPr id="0" name=""/>
        <dsp:cNvSpPr/>
      </dsp:nvSpPr>
      <dsp:spPr>
        <a:xfrm>
          <a:off x="127243" y="1293239"/>
          <a:ext cx="188023" cy="725130"/>
        </a:xfrm>
        <a:custGeom>
          <a:avLst/>
          <a:gdLst/>
          <a:ahLst/>
          <a:cxnLst/>
          <a:rect l="0" t="0" r="0" b="0"/>
          <a:pathLst>
            <a:path>
              <a:moveTo>
                <a:pt x="0" y="0"/>
              </a:moveTo>
              <a:lnTo>
                <a:pt x="0" y="725130"/>
              </a:lnTo>
              <a:lnTo>
                <a:pt x="188023" y="7251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299351-C939-48C4-BBEF-211716847979}">
      <dsp:nvSpPr>
        <dsp:cNvPr id="0" name=""/>
        <dsp:cNvSpPr/>
      </dsp:nvSpPr>
      <dsp:spPr>
        <a:xfrm>
          <a:off x="628638" y="519353"/>
          <a:ext cx="1978313" cy="228895"/>
        </a:xfrm>
        <a:custGeom>
          <a:avLst/>
          <a:gdLst/>
          <a:ahLst/>
          <a:cxnLst/>
          <a:rect l="0" t="0" r="0" b="0"/>
          <a:pathLst>
            <a:path>
              <a:moveTo>
                <a:pt x="1978313" y="0"/>
              </a:moveTo>
              <a:lnTo>
                <a:pt x="1978313" y="114447"/>
              </a:lnTo>
              <a:lnTo>
                <a:pt x="0" y="114447"/>
              </a:lnTo>
              <a:lnTo>
                <a:pt x="0" y="228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7FFB95-C176-4B4A-AA7F-B301A44FABC1}">
      <dsp:nvSpPr>
        <dsp:cNvPr id="0" name=""/>
        <dsp:cNvSpPr/>
      </dsp:nvSpPr>
      <dsp:spPr>
        <a:xfrm>
          <a:off x="2061962" y="219074"/>
          <a:ext cx="1089979" cy="30027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Factors</a:t>
          </a:r>
        </a:p>
      </dsp:txBody>
      <dsp:txXfrm>
        <a:off x="2061962" y="219074"/>
        <a:ext cx="1089979" cy="300278"/>
      </dsp:txXfrm>
    </dsp:sp>
    <dsp:sp modelId="{6857B662-C3DE-4FC2-A2FA-897345336953}">
      <dsp:nvSpPr>
        <dsp:cNvPr id="0" name=""/>
        <dsp:cNvSpPr/>
      </dsp:nvSpPr>
      <dsp:spPr>
        <a:xfrm>
          <a:off x="1894" y="748249"/>
          <a:ext cx="1253487"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just" defTabSz="533400">
            <a:lnSpc>
              <a:spcPct val="90000"/>
            </a:lnSpc>
            <a:spcBef>
              <a:spcPct val="0"/>
            </a:spcBef>
            <a:spcAft>
              <a:spcPct val="35000"/>
            </a:spcAft>
            <a:buNone/>
          </a:pPr>
          <a:r>
            <a:rPr lang="en-IN" sz="1200" kern="1200">
              <a:latin typeface="Times New Roman" pitchFamily="18" charset="0"/>
              <a:cs typeface="Times New Roman" pitchFamily="18" charset="0"/>
            </a:rPr>
            <a:t>Ecological Factors</a:t>
          </a:r>
        </a:p>
      </dsp:txBody>
      <dsp:txXfrm>
        <a:off x="1894" y="748249"/>
        <a:ext cx="1253487" cy="544989"/>
      </dsp:txXfrm>
    </dsp:sp>
    <dsp:sp modelId="{63CC3BB2-154F-4A6D-87D2-590FA0B24C65}">
      <dsp:nvSpPr>
        <dsp:cNvPr id="0" name=""/>
        <dsp:cNvSpPr/>
      </dsp:nvSpPr>
      <dsp:spPr>
        <a:xfrm>
          <a:off x="315266" y="1522135"/>
          <a:ext cx="1089979" cy="99247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Forest area/Type</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Harvesting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Method</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Harvesting Time</a:t>
          </a:r>
        </a:p>
      </dsp:txBody>
      <dsp:txXfrm>
        <a:off x="315266" y="1522135"/>
        <a:ext cx="1089979" cy="992470"/>
      </dsp:txXfrm>
    </dsp:sp>
    <dsp:sp modelId="{5C2041FB-F0B3-4298-8D82-12C39E4CDB45}">
      <dsp:nvSpPr>
        <dsp:cNvPr id="0" name=""/>
        <dsp:cNvSpPr/>
      </dsp:nvSpPr>
      <dsp:spPr>
        <a:xfrm>
          <a:off x="1484278" y="748249"/>
          <a:ext cx="1089979"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Economic Factors</a:t>
          </a:r>
        </a:p>
      </dsp:txBody>
      <dsp:txXfrm>
        <a:off x="1484278" y="748249"/>
        <a:ext cx="1089979" cy="544989"/>
      </dsp:txXfrm>
    </dsp:sp>
    <dsp:sp modelId="{E639F660-185C-45FD-82DB-2E90D3E3F7E2}">
      <dsp:nvSpPr>
        <dsp:cNvPr id="0" name=""/>
        <dsp:cNvSpPr/>
      </dsp:nvSpPr>
      <dsp:spPr>
        <a:xfrm>
          <a:off x="1756773" y="1522135"/>
          <a:ext cx="1089979" cy="113514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Availability</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Accessibility</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Access to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market</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Competitiveness</a:t>
          </a:r>
        </a:p>
      </dsp:txBody>
      <dsp:txXfrm>
        <a:off x="1756773" y="1522135"/>
        <a:ext cx="1089979" cy="1135143"/>
      </dsp:txXfrm>
    </dsp:sp>
    <dsp:sp modelId="{74AD165D-0CF7-4751-926D-1802EC413643}">
      <dsp:nvSpPr>
        <dsp:cNvPr id="0" name=""/>
        <dsp:cNvSpPr/>
      </dsp:nvSpPr>
      <dsp:spPr>
        <a:xfrm>
          <a:off x="2803154" y="748249"/>
          <a:ext cx="1089979"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Ligal Fcators</a:t>
          </a:r>
        </a:p>
      </dsp:txBody>
      <dsp:txXfrm>
        <a:off x="2803154" y="748249"/>
        <a:ext cx="1089979" cy="544989"/>
      </dsp:txXfrm>
    </dsp:sp>
    <dsp:sp modelId="{41976C2E-C68D-468F-8393-A178EF9A4B4A}">
      <dsp:nvSpPr>
        <dsp:cNvPr id="0" name=""/>
        <dsp:cNvSpPr/>
      </dsp:nvSpPr>
      <dsp:spPr>
        <a:xfrm>
          <a:off x="3075649" y="1522135"/>
          <a:ext cx="1089979"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Forest law and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Regulation</a:t>
          </a:r>
        </a:p>
      </dsp:txBody>
      <dsp:txXfrm>
        <a:off x="3075649" y="1522135"/>
        <a:ext cx="1089979" cy="544989"/>
      </dsp:txXfrm>
    </dsp:sp>
    <dsp:sp modelId="{6606468E-49D0-4829-AE36-BFB81E11B47C}">
      <dsp:nvSpPr>
        <dsp:cNvPr id="0" name=""/>
        <dsp:cNvSpPr/>
      </dsp:nvSpPr>
      <dsp:spPr>
        <a:xfrm>
          <a:off x="4122030" y="748249"/>
          <a:ext cx="1089979" cy="54498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Social/Cultural Factors</a:t>
          </a:r>
        </a:p>
      </dsp:txBody>
      <dsp:txXfrm>
        <a:off x="4122030" y="748249"/>
        <a:ext cx="1089979" cy="544989"/>
      </dsp:txXfrm>
    </dsp:sp>
    <dsp:sp modelId="{97E194FD-5384-4CAE-A7CE-1801856AFF55}">
      <dsp:nvSpPr>
        <dsp:cNvPr id="0" name=""/>
        <dsp:cNvSpPr/>
      </dsp:nvSpPr>
      <dsp:spPr>
        <a:xfrm>
          <a:off x="4394525" y="1522135"/>
          <a:ext cx="1089979" cy="1430615"/>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Socio-Cultural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tradition</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Traditional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rights</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Participatory  </a:t>
          </a:r>
        </a:p>
        <a:p>
          <a:pPr marL="0" lvl="0" indent="0" algn="l" defTabSz="533400">
            <a:lnSpc>
              <a:spcPct val="90000"/>
            </a:lnSpc>
            <a:spcBef>
              <a:spcPct val="0"/>
            </a:spcBef>
            <a:spcAft>
              <a:spcPct val="35000"/>
            </a:spcAft>
            <a:buNone/>
          </a:pPr>
          <a:r>
            <a:rPr lang="en-IN" sz="1200" kern="1200">
              <a:latin typeface="Times New Roman" pitchFamily="18" charset="0"/>
              <a:cs typeface="Times New Roman" pitchFamily="18" charset="0"/>
            </a:rPr>
            <a:t>  approach</a:t>
          </a:r>
        </a:p>
      </dsp:txBody>
      <dsp:txXfrm>
        <a:off x="4394525" y="1522135"/>
        <a:ext cx="1089979" cy="14306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88CF-CC76-4D24-9BDC-2F166B4D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18</Pages>
  <Words>6268</Words>
  <Characters>35729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56</cp:revision>
  <dcterms:created xsi:type="dcterms:W3CDTF">2025-07-22T10:29:00Z</dcterms:created>
  <dcterms:modified xsi:type="dcterms:W3CDTF">2025-09-04T11:55:00Z</dcterms:modified>
</cp:coreProperties>
</file>