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E16E2" w14:textId="77777777" w:rsidR="00D504A8" w:rsidRPr="00D504A8" w:rsidRDefault="00D504A8" w:rsidP="00D504A8">
      <w:pPr>
        <w:pStyle w:val="Title"/>
        <w:jc w:val="both"/>
        <w:rPr>
          <w:rFonts w:ascii="Arial" w:hAnsi="Arial" w:cs="Arial"/>
          <w:bCs/>
          <w:i/>
          <w:iCs/>
          <w:u w:val="single"/>
        </w:rPr>
      </w:pPr>
      <w:r w:rsidRPr="00D504A8">
        <w:rPr>
          <w:rFonts w:ascii="Arial" w:hAnsi="Arial" w:cs="Arial"/>
          <w:bCs/>
          <w:i/>
          <w:iCs/>
          <w:u w:val="single"/>
        </w:rPr>
        <w:t>Review Article</w:t>
      </w:r>
    </w:p>
    <w:p w14:paraId="31B32D77" w14:textId="77777777" w:rsidR="00754C9A" w:rsidRDefault="00754C9A" w:rsidP="00441B6F">
      <w:pPr>
        <w:pStyle w:val="Title"/>
        <w:spacing w:after="0"/>
        <w:jc w:val="both"/>
        <w:rPr>
          <w:rFonts w:ascii="Arial" w:hAnsi="Arial" w:cs="Arial"/>
        </w:rPr>
      </w:pPr>
    </w:p>
    <w:p w14:paraId="607BB5B9" w14:textId="31332830" w:rsidR="00A258C3" w:rsidRPr="00790ADA" w:rsidRDefault="00297761" w:rsidP="00297761">
      <w:pPr>
        <w:pStyle w:val="Author"/>
        <w:spacing w:line="240" w:lineRule="auto"/>
        <w:rPr>
          <w:rFonts w:ascii="Arial" w:hAnsi="Arial" w:cs="Arial"/>
          <w:sz w:val="36"/>
        </w:rPr>
      </w:pPr>
      <w:r w:rsidRPr="00297761">
        <w:rPr>
          <w:rFonts w:ascii="Arial" w:hAnsi="Arial" w:cs="Arial"/>
          <w:bCs/>
          <w:iCs/>
          <w:kern w:val="28"/>
          <w:sz w:val="36"/>
        </w:rPr>
        <w:t>Good Clinical Practice in Clinical Trials: A Review</w:t>
      </w:r>
    </w:p>
    <w:p w14:paraId="3508E2A5" w14:textId="5446D5BA" w:rsidR="002C57D2" w:rsidRDefault="002C57D2" w:rsidP="00441B6F">
      <w:pPr>
        <w:pStyle w:val="Affiliation"/>
        <w:spacing w:after="0" w:line="240" w:lineRule="auto"/>
        <w:jc w:val="both"/>
        <w:rPr>
          <w:rFonts w:ascii="Arial" w:hAnsi="Arial" w:cs="Arial"/>
        </w:rPr>
      </w:pPr>
    </w:p>
    <w:p w14:paraId="3C822E91" w14:textId="77777777" w:rsidR="007958AB" w:rsidRPr="00FB3A86" w:rsidRDefault="007958AB" w:rsidP="00441B6F">
      <w:pPr>
        <w:pStyle w:val="Affiliation"/>
        <w:spacing w:after="0" w:line="240" w:lineRule="auto"/>
        <w:jc w:val="both"/>
        <w:rPr>
          <w:rFonts w:ascii="Arial" w:hAnsi="Arial" w:cs="Arial"/>
        </w:rPr>
      </w:pPr>
    </w:p>
    <w:p w14:paraId="30EB9102" w14:textId="706A3566" w:rsidR="00B01FCD" w:rsidRPr="00FB3A86" w:rsidRDefault="00073BAE" w:rsidP="00441B6F">
      <w:pPr>
        <w:pStyle w:val="Copyright"/>
        <w:spacing w:after="0" w:line="240" w:lineRule="auto"/>
        <w:jc w:val="both"/>
        <w:rPr>
          <w:rFonts w:ascii="Arial" w:hAnsi="Arial" w:cs="Arial"/>
        </w:rPr>
        <w:sectPr w:rsidR="00B01FCD" w:rsidRPr="00FB3A86" w:rsidSect="007958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73FCB0" wp14:editId="1CCFF156">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DE89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826D4FD" w14:textId="26DCDAF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C5D0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D04457" w14:textId="77777777" w:rsidTr="001E44FE">
        <w:tc>
          <w:tcPr>
            <w:tcW w:w="9576" w:type="dxa"/>
            <w:shd w:val="clear" w:color="auto" w:fill="F2F2F2"/>
          </w:tcPr>
          <w:p w14:paraId="73A1F426" w14:textId="77777777" w:rsidR="00754C76" w:rsidRPr="00263033" w:rsidRDefault="00754C76" w:rsidP="00754C76">
            <w:pPr>
              <w:pStyle w:val="Body"/>
              <w:spacing w:after="0"/>
              <w:jc w:val="right"/>
              <w:rPr>
                <w:rFonts w:ascii="Arial" w:eastAsia="Calibri" w:hAnsi="Arial" w:cs="Arial"/>
                <w:sz w:val="22"/>
                <w:szCs w:val="22"/>
                <w:lang w:val="en-IN"/>
              </w:rPr>
            </w:pPr>
            <w:r w:rsidRPr="00263033">
              <w:rPr>
                <w:rFonts w:ascii="Arial" w:eastAsia="Calibri" w:hAnsi="Arial" w:cs="Arial"/>
                <w:sz w:val="22"/>
                <w:szCs w:val="22"/>
                <w:lang w:val="en-IN"/>
              </w:rPr>
              <w:t>Good Clinical Practice (GCP) constitutes the internationally accepted ethical and scientific framework governing the design, conduct, monitoring, and reporting of clinical trials involving human participants. It provides safeguards for the rights, safety, and welfare of research participants while ensuring the integrity and credibility of the data generated. The development of GCP has been shaped by historical milestones, ethical deliberations, and regulatory harmonisation across jurisdictions. This review traces the historical evolution of GCP, delineates the principal international and national guidelines, and examines its application in biomedical and dental research. Furthermore, it synthesises insights from the literature on challenges and critiques associated with implementation, including issues highlighted during the COVID-19 pandemic, the emergence of digital and decentralised trials, artificial intelligence in monitoring, and the need for inclusivity in trial populations. The review highlights the enduring relevance of GCP as a foundation for ethically sound and scientifically robust clinical research, while also recognising the necessity of contextual adaptations and future reforms to address rapid advances in medical technology and trial design.</w:t>
            </w:r>
          </w:p>
          <w:p w14:paraId="0F7C8A3F" w14:textId="24636E14" w:rsidR="00505F06" w:rsidRPr="00263033" w:rsidRDefault="00505F06" w:rsidP="00441B6F">
            <w:pPr>
              <w:pStyle w:val="Body"/>
              <w:spacing w:after="0"/>
              <w:rPr>
                <w:rFonts w:ascii="Arial" w:eastAsia="Calibri" w:hAnsi="Arial" w:cs="Arial"/>
                <w:szCs w:val="22"/>
              </w:rPr>
            </w:pPr>
          </w:p>
        </w:tc>
      </w:tr>
    </w:tbl>
    <w:p w14:paraId="4BDA92F3" w14:textId="77777777" w:rsidR="00636EB2" w:rsidRDefault="00636EB2" w:rsidP="00441B6F">
      <w:pPr>
        <w:pStyle w:val="Body"/>
        <w:spacing w:after="0"/>
        <w:rPr>
          <w:rFonts w:ascii="Arial" w:hAnsi="Arial" w:cs="Arial"/>
          <w:i/>
        </w:rPr>
      </w:pPr>
    </w:p>
    <w:p w14:paraId="1B4449D9" w14:textId="16C82476" w:rsidR="00A24E7E" w:rsidRDefault="00A24E7E" w:rsidP="00441B6F">
      <w:pPr>
        <w:pStyle w:val="Body"/>
        <w:spacing w:after="0"/>
        <w:rPr>
          <w:rFonts w:ascii="Arial" w:hAnsi="Arial" w:cs="Arial"/>
          <w:i/>
        </w:rPr>
      </w:pPr>
      <w:r>
        <w:rPr>
          <w:rFonts w:ascii="Arial" w:hAnsi="Arial" w:cs="Arial"/>
          <w:i/>
        </w:rPr>
        <w:t xml:space="preserve">Keywords: </w:t>
      </w:r>
      <w:r w:rsidR="00D34ACE" w:rsidRPr="00D34ACE">
        <w:rPr>
          <w:rFonts w:ascii="Arial" w:hAnsi="Arial" w:cs="Arial"/>
          <w:i/>
        </w:rPr>
        <w:t>Good Clinical Practice, Clinical trials, Ethical guidelines, Biomedical research, Dental research, Informed consent, Regulatory framework, Participant safety</w:t>
      </w:r>
    </w:p>
    <w:p w14:paraId="25D1CDF2" w14:textId="77777777" w:rsidR="00790ADA" w:rsidRDefault="00790ADA" w:rsidP="00441B6F">
      <w:pPr>
        <w:pStyle w:val="Body"/>
        <w:spacing w:after="0"/>
        <w:rPr>
          <w:rFonts w:ascii="Arial" w:hAnsi="Arial" w:cs="Arial"/>
          <w:i/>
        </w:rPr>
      </w:pPr>
    </w:p>
    <w:p w14:paraId="5C9848FB" w14:textId="77777777" w:rsidR="0024282C" w:rsidRDefault="0024282C" w:rsidP="00441B6F">
      <w:pPr>
        <w:pStyle w:val="Body"/>
        <w:spacing w:after="0"/>
        <w:rPr>
          <w:rFonts w:ascii="Arial" w:hAnsi="Arial" w:cs="Arial"/>
          <w:i/>
          <w:sz w:val="18"/>
        </w:rPr>
      </w:pPr>
    </w:p>
    <w:p w14:paraId="5934AA43" w14:textId="77777777" w:rsidR="00505F06" w:rsidRPr="00A24E7E" w:rsidRDefault="00505F06" w:rsidP="00441B6F">
      <w:pPr>
        <w:pStyle w:val="Body"/>
        <w:spacing w:after="0"/>
        <w:rPr>
          <w:rFonts w:ascii="Arial" w:hAnsi="Arial" w:cs="Arial"/>
          <w:i/>
        </w:rPr>
      </w:pPr>
    </w:p>
    <w:p w14:paraId="2C1BBFD6" w14:textId="67780A0D" w:rsidR="004B43A5" w:rsidRPr="004B43A5" w:rsidRDefault="00902823" w:rsidP="004B43A5">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9B2E24"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Clinical research has been one of the driving forces behind medical progress, from the development of antibiotics and vaccines to innovative surgical techniques and modern biologics. Yet, this progress has often come at a profound ethical cost. Many early clinical experiments, though scientifically valuable, neglected fundamental human rights, prioritizing discovery over dignity. The modern framework of Good Clinical Practice (GCP) represents a global consensus that scientific advancement must never compromise the safety, rights, and welfare of participants.</w:t>
      </w:r>
    </w:p>
    <w:p w14:paraId="3F45DF4D"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GCP is a unified standard of ethical and scientific quality required for the design, conduct, recording, and reporting of clinical trials involving human subjects. Compliance provides assurance that the data generated are credible and accurate, while ensuring that participants’ rights and integrity are safeguarded [1]. Since the first codification in ICH-GCP (1996), GCP has become the gold standard across international regulatory bodies, including the FDA (USA), EMA (Europe), and ICMR (India).</w:t>
      </w:r>
    </w:p>
    <w:p w14:paraId="76946263" w14:textId="4EADC388" w:rsidR="004B43A5" w:rsidRPr="004B43A5" w:rsidRDefault="004B43A5" w:rsidP="004B43A5">
      <w:pPr>
        <w:pStyle w:val="Body"/>
        <w:spacing w:after="0"/>
        <w:rPr>
          <w:rFonts w:ascii="Arial" w:hAnsi="Arial" w:cs="Arial"/>
          <w:lang w:val="en-IN"/>
        </w:rPr>
      </w:pPr>
      <w:r w:rsidRPr="004B43A5">
        <w:rPr>
          <w:rFonts w:ascii="Arial" w:hAnsi="Arial" w:cs="Arial"/>
          <w:lang w:val="en-IN"/>
        </w:rPr>
        <w:lastRenderedPageBreak/>
        <w:t>Understanding GCP requires looking back at its historical development, which was shaped less by orderly progress and more by scandal, tragedy, and lessons painfully learned. The trajectory from early unregulated human experimentation to today’s harmonised global framework highlights the constant tension between scientific ambition and ethical responsibility.</w:t>
      </w:r>
    </w:p>
    <w:p w14:paraId="7B331F0E" w14:textId="77777777" w:rsidR="004B43A5" w:rsidRPr="004B43A5" w:rsidRDefault="004B43A5" w:rsidP="004B43A5">
      <w:pPr>
        <w:pStyle w:val="Body"/>
        <w:spacing w:after="0"/>
        <w:rPr>
          <w:rFonts w:ascii="Arial" w:hAnsi="Arial" w:cs="Arial"/>
          <w:lang w:val="en-IN"/>
        </w:rPr>
      </w:pPr>
    </w:p>
    <w:p w14:paraId="358F72DE" w14:textId="673C26AA" w:rsidR="004B43A5" w:rsidRDefault="004B43A5" w:rsidP="004B43A5">
      <w:pPr>
        <w:pStyle w:val="Body"/>
        <w:spacing w:after="0"/>
        <w:rPr>
          <w:rFonts w:ascii="Arial" w:hAnsi="Arial" w:cs="Arial"/>
          <w:b/>
          <w:bCs/>
          <w:lang w:val="en-IN"/>
        </w:rPr>
      </w:pPr>
      <w:r w:rsidRPr="004B43A5">
        <w:rPr>
          <w:rFonts w:ascii="Arial" w:hAnsi="Arial" w:cs="Arial"/>
          <w:b/>
          <w:bCs/>
          <w:lang w:val="en-IN"/>
        </w:rPr>
        <w:t>Early Experiments and Absence of Regulation</w:t>
      </w:r>
    </w:p>
    <w:p w14:paraId="09A431EF" w14:textId="77777777" w:rsidR="004B43A5" w:rsidRPr="004B43A5" w:rsidRDefault="004B43A5" w:rsidP="004B43A5">
      <w:pPr>
        <w:pStyle w:val="Body"/>
        <w:spacing w:after="0"/>
        <w:rPr>
          <w:rFonts w:ascii="Arial" w:hAnsi="Arial" w:cs="Arial"/>
          <w:b/>
          <w:bCs/>
          <w:lang w:val="en-IN"/>
        </w:rPr>
      </w:pPr>
    </w:p>
    <w:p w14:paraId="5B366EB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history of human experimentation predates modern medicine. Reports from as early as the 18th and 19th centuries describe physicians testing novel treatments directly on patients, often without explicit consent. Edward Jenner’s smallpox vaccine trial (1796), in which he inoculated an eight-year-old boy with cowpox to demonstrate immunity, is hailed as revolutionary but would not meet modern ethical standards [2].</w:t>
      </w:r>
    </w:p>
    <w:p w14:paraId="52422192"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 the late 19th and early 20th centuries, experiments on vulnerable populations became common. Prisoners, the poor, mentally ill, and institutionalized children were frequent research subjects. The absence of formal consent processes and oversight mechanisms meant that medical research often blurred into exploitation [3].</w:t>
      </w:r>
    </w:p>
    <w:p w14:paraId="4E0EB5A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One notorious example is the pellagra experiments in the early 1900s, in which researchers deliberately withheld treatment from patients in southern U.S. as part of a dietary deficiency study. Similarly, several dermatological and pharmaceutical studies in Europe during this period were carried out on institutionalized children without parental consent [4].</w:t>
      </w:r>
    </w:p>
    <w:p w14:paraId="255AC84B" w14:textId="7E70315F" w:rsidR="004B43A5" w:rsidRDefault="004B43A5" w:rsidP="004B43A5">
      <w:pPr>
        <w:pStyle w:val="Body"/>
        <w:spacing w:after="0"/>
        <w:rPr>
          <w:rFonts w:ascii="Arial" w:hAnsi="Arial" w:cs="Arial"/>
          <w:lang w:val="en-IN"/>
        </w:rPr>
      </w:pPr>
      <w:r w:rsidRPr="004B43A5">
        <w:rPr>
          <w:rFonts w:ascii="Arial" w:hAnsi="Arial" w:cs="Arial"/>
          <w:lang w:val="en-IN"/>
        </w:rPr>
        <w:t>These practices reflected a paternalistic view of medicine, where the physician’s judgment was considered sufficient justification for experimentation. Ethical considerations were largely subordinated to scientific curiosity.</w:t>
      </w:r>
    </w:p>
    <w:p w14:paraId="31231268" w14:textId="77777777" w:rsidR="004B43A5" w:rsidRPr="004B43A5" w:rsidRDefault="004B43A5" w:rsidP="004B43A5">
      <w:pPr>
        <w:pStyle w:val="Body"/>
        <w:spacing w:after="0"/>
        <w:rPr>
          <w:rFonts w:ascii="Arial" w:hAnsi="Arial" w:cs="Arial"/>
          <w:lang w:val="en-IN"/>
        </w:rPr>
      </w:pPr>
    </w:p>
    <w:p w14:paraId="26C2A0D1" w14:textId="5FCB4249" w:rsidR="004B43A5" w:rsidRDefault="004B43A5" w:rsidP="004B43A5">
      <w:pPr>
        <w:pStyle w:val="Body"/>
        <w:spacing w:after="0"/>
        <w:rPr>
          <w:rFonts w:ascii="Arial" w:hAnsi="Arial" w:cs="Arial"/>
          <w:b/>
          <w:bCs/>
          <w:lang w:val="en-IN"/>
        </w:rPr>
      </w:pPr>
      <w:r w:rsidRPr="004B43A5">
        <w:rPr>
          <w:rFonts w:ascii="Arial" w:hAnsi="Arial" w:cs="Arial"/>
          <w:b/>
          <w:bCs/>
          <w:lang w:val="en-IN"/>
        </w:rPr>
        <w:t>The Nuremberg Code: Birth of Research Ethics</w:t>
      </w:r>
    </w:p>
    <w:p w14:paraId="13BACE41" w14:textId="77777777" w:rsidR="004B43A5" w:rsidRPr="004B43A5" w:rsidRDefault="004B43A5" w:rsidP="004B43A5">
      <w:pPr>
        <w:pStyle w:val="Body"/>
        <w:spacing w:after="0"/>
        <w:rPr>
          <w:rFonts w:ascii="Arial" w:hAnsi="Arial" w:cs="Arial"/>
          <w:b/>
          <w:bCs/>
          <w:lang w:val="en-IN"/>
        </w:rPr>
      </w:pPr>
    </w:p>
    <w:p w14:paraId="13A034EA"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horrors of Nazi medical experiments during World War II forced the international community to confront the ethical void in human research. Prisoners in concentration camps were subjected to freezing experiments, high-altitude studies, and deliberate infection with diseases, often leading to death or permanent injury. The subsequent Nuremberg Trials (1946–47) prosecuted physicians involved in these atrocities, leading to the formulation of the Nuremberg Code (1947) [5].</w:t>
      </w:r>
    </w:p>
    <w:p w14:paraId="041AB753"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Nuremberg Code established ten principles, most notably:</w:t>
      </w:r>
    </w:p>
    <w:p w14:paraId="0FF7951E" w14:textId="77777777" w:rsidR="004B43A5" w:rsidRPr="004B43A5" w:rsidRDefault="004B43A5" w:rsidP="0086506E">
      <w:pPr>
        <w:pStyle w:val="Body"/>
        <w:numPr>
          <w:ilvl w:val="0"/>
          <w:numId w:val="2"/>
        </w:numPr>
        <w:spacing w:after="0"/>
        <w:rPr>
          <w:rFonts w:ascii="Arial" w:hAnsi="Arial" w:cs="Arial"/>
          <w:lang w:val="en-IN"/>
        </w:rPr>
      </w:pPr>
      <w:r w:rsidRPr="004B43A5">
        <w:rPr>
          <w:rFonts w:ascii="Arial" w:hAnsi="Arial" w:cs="Arial"/>
          <w:lang w:val="en-IN"/>
        </w:rPr>
        <w:t>Voluntary informed consent is essential.</w:t>
      </w:r>
    </w:p>
    <w:p w14:paraId="28204896" w14:textId="77777777" w:rsidR="004B43A5" w:rsidRPr="004B43A5" w:rsidRDefault="004B43A5" w:rsidP="0086506E">
      <w:pPr>
        <w:pStyle w:val="Body"/>
        <w:numPr>
          <w:ilvl w:val="0"/>
          <w:numId w:val="2"/>
        </w:numPr>
        <w:spacing w:after="0"/>
        <w:rPr>
          <w:rFonts w:ascii="Arial" w:hAnsi="Arial" w:cs="Arial"/>
          <w:lang w:val="en-IN"/>
        </w:rPr>
      </w:pPr>
      <w:r w:rsidRPr="004B43A5">
        <w:rPr>
          <w:rFonts w:ascii="Arial" w:hAnsi="Arial" w:cs="Arial"/>
          <w:lang w:val="en-IN"/>
        </w:rPr>
        <w:t>Research must yield fruitful results for society and avoid unnecessary suffering.</w:t>
      </w:r>
    </w:p>
    <w:p w14:paraId="798D6E2B" w14:textId="77777777" w:rsidR="004B43A5" w:rsidRPr="004B43A5" w:rsidRDefault="004B43A5" w:rsidP="0086506E">
      <w:pPr>
        <w:pStyle w:val="Body"/>
        <w:numPr>
          <w:ilvl w:val="0"/>
          <w:numId w:val="2"/>
        </w:numPr>
        <w:spacing w:after="0"/>
        <w:rPr>
          <w:rFonts w:ascii="Arial" w:hAnsi="Arial" w:cs="Arial"/>
          <w:lang w:val="en-IN"/>
        </w:rPr>
      </w:pPr>
      <w:r w:rsidRPr="004B43A5">
        <w:rPr>
          <w:rFonts w:ascii="Arial" w:hAnsi="Arial" w:cs="Arial"/>
          <w:lang w:val="en-IN"/>
        </w:rPr>
        <w:t>Risks should never exceed the anticipated humanitarian benefits.</w:t>
      </w:r>
    </w:p>
    <w:p w14:paraId="41C852FE" w14:textId="77777777" w:rsidR="004B43A5" w:rsidRPr="004B43A5" w:rsidRDefault="004B43A5" w:rsidP="0086506E">
      <w:pPr>
        <w:pStyle w:val="Body"/>
        <w:numPr>
          <w:ilvl w:val="0"/>
          <w:numId w:val="2"/>
        </w:numPr>
        <w:spacing w:after="0"/>
        <w:rPr>
          <w:rFonts w:ascii="Arial" w:hAnsi="Arial" w:cs="Arial"/>
          <w:lang w:val="en-IN"/>
        </w:rPr>
      </w:pPr>
      <w:r w:rsidRPr="004B43A5">
        <w:rPr>
          <w:rFonts w:ascii="Arial" w:hAnsi="Arial" w:cs="Arial"/>
          <w:lang w:val="en-IN"/>
        </w:rPr>
        <w:t>Participants have the right to withdraw at any stage.</w:t>
      </w:r>
    </w:p>
    <w:p w14:paraId="3D24BF5A" w14:textId="6B5B1CC7" w:rsidR="004B43A5" w:rsidRDefault="004B43A5" w:rsidP="004B43A5">
      <w:pPr>
        <w:pStyle w:val="Body"/>
        <w:spacing w:after="0"/>
        <w:rPr>
          <w:rFonts w:ascii="Arial" w:hAnsi="Arial" w:cs="Arial"/>
          <w:lang w:val="en-IN"/>
        </w:rPr>
      </w:pPr>
      <w:r w:rsidRPr="004B43A5">
        <w:rPr>
          <w:rFonts w:ascii="Arial" w:hAnsi="Arial" w:cs="Arial"/>
          <w:lang w:val="en-IN"/>
        </w:rPr>
        <w:t>Though revolutionary, the Nuremberg Code was initially seen more as a legal judgment against Nazi crimes than a binding code for physicians worldwide. For decades, it had limited influence on everyday clinical practice [6].</w:t>
      </w:r>
    </w:p>
    <w:p w14:paraId="216BE193" w14:textId="77777777" w:rsidR="004B43A5" w:rsidRPr="004B43A5" w:rsidRDefault="004B43A5" w:rsidP="004B43A5">
      <w:pPr>
        <w:pStyle w:val="Body"/>
        <w:spacing w:after="0"/>
        <w:rPr>
          <w:rFonts w:ascii="Arial" w:hAnsi="Arial" w:cs="Arial"/>
          <w:lang w:val="en-IN"/>
        </w:rPr>
      </w:pPr>
    </w:p>
    <w:p w14:paraId="45CDBACF" w14:textId="6558DF29" w:rsidR="004B43A5" w:rsidRDefault="004B43A5" w:rsidP="004B43A5">
      <w:pPr>
        <w:pStyle w:val="Body"/>
        <w:spacing w:after="0"/>
        <w:rPr>
          <w:rFonts w:ascii="Arial" w:hAnsi="Arial" w:cs="Arial"/>
          <w:b/>
          <w:bCs/>
          <w:lang w:val="en-IN"/>
        </w:rPr>
      </w:pPr>
      <w:r w:rsidRPr="004B43A5">
        <w:rPr>
          <w:rFonts w:ascii="Arial" w:hAnsi="Arial" w:cs="Arial"/>
          <w:b/>
          <w:bCs/>
          <w:lang w:val="en-IN"/>
        </w:rPr>
        <w:t>Declaration of Helsinki: Medical Self-Regulation</w:t>
      </w:r>
    </w:p>
    <w:p w14:paraId="1D7602DC" w14:textId="77777777" w:rsidR="004B43A5" w:rsidRPr="004B43A5" w:rsidRDefault="004B43A5" w:rsidP="004B43A5">
      <w:pPr>
        <w:pStyle w:val="Body"/>
        <w:spacing w:after="0"/>
        <w:rPr>
          <w:rFonts w:ascii="Arial" w:hAnsi="Arial" w:cs="Arial"/>
          <w:b/>
          <w:bCs/>
          <w:lang w:val="en-IN"/>
        </w:rPr>
      </w:pPr>
    </w:p>
    <w:p w14:paraId="00846C3F"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Recognizing the need for a physician-led ethical framework, the World Medical Association (WMA) adopted the Declaration of Helsinki in 1964. Unlike the Nuremberg Code, which was legalistic, the Declaration was aspirational and directed at medical professionals. It placed emphasis on:</w:t>
      </w:r>
    </w:p>
    <w:p w14:paraId="73396694" w14:textId="77777777" w:rsidR="004B43A5" w:rsidRPr="004B43A5" w:rsidRDefault="004B43A5" w:rsidP="0086506E">
      <w:pPr>
        <w:pStyle w:val="Body"/>
        <w:numPr>
          <w:ilvl w:val="0"/>
          <w:numId w:val="3"/>
        </w:numPr>
        <w:spacing w:after="0"/>
        <w:rPr>
          <w:rFonts w:ascii="Arial" w:hAnsi="Arial" w:cs="Arial"/>
          <w:lang w:val="en-IN"/>
        </w:rPr>
      </w:pPr>
      <w:r w:rsidRPr="004B43A5">
        <w:rPr>
          <w:rFonts w:ascii="Arial" w:hAnsi="Arial" w:cs="Arial"/>
          <w:lang w:val="en-IN"/>
        </w:rPr>
        <w:t>Independent ethical review of protocols.</w:t>
      </w:r>
    </w:p>
    <w:p w14:paraId="7C2136B9" w14:textId="77777777" w:rsidR="004B43A5" w:rsidRPr="004B43A5" w:rsidRDefault="004B43A5" w:rsidP="0086506E">
      <w:pPr>
        <w:pStyle w:val="Body"/>
        <w:numPr>
          <w:ilvl w:val="0"/>
          <w:numId w:val="3"/>
        </w:numPr>
        <w:spacing w:after="0"/>
        <w:rPr>
          <w:rFonts w:ascii="Arial" w:hAnsi="Arial" w:cs="Arial"/>
          <w:lang w:val="en-IN"/>
        </w:rPr>
      </w:pPr>
      <w:r w:rsidRPr="004B43A5">
        <w:rPr>
          <w:rFonts w:ascii="Arial" w:hAnsi="Arial" w:cs="Arial"/>
          <w:lang w:val="en-IN"/>
        </w:rPr>
        <w:t>Prioritization of participant well-being over scientific or societal interests.</w:t>
      </w:r>
    </w:p>
    <w:p w14:paraId="213D3F6F" w14:textId="77777777" w:rsidR="004B43A5" w:rsidRPr="004B43A5" w:rsidRDefault="004B43A5" w:rsidP="0086506E">
      <w:pPr>
        <w:pStyle w:val="Body"/>
        <w:numPr>
          <w:ilvl w:val="0"/>
          <w:numId w:val="3"/>
        </w:numPr>
        <w:spacing w:after="0"/>
        <w:rPr>
          <w:rFonts w:ascii="Arial" w:hAnsi="Arial" w:cs="Arial"/>
          <w:lang w:val="en-IN"/>
        </w:rPr>
      </w:pPr>
      <w:r w:rsidRPr="004B43A5">
        <w:rPr>
          <w:rFonts w:ascii="Arial" w:hAnsi="Arial" w:cs="Arial"/>
          <w:lang w:val="en-IN"/>
        </w:rPr>
        <w:t>Special protections for vulnerable populations.</w:t>
      </w:r>
    </w:p>
    <w:p w14:paraId="45B75247" w14:textId="77777777" w:rsidR="004B43A5" w:rsidRPr="004B43A5" w:rsidRDefault="004B43A5" w:rsidP="0086506E">
      <w:pPr>
        <w:pStyle w:val="Body"/>
        <w:numPr>
          <w:ilvl w:val="0"/>
          <w:numId w:val="3"/>
        </w:numPr>
        <w:spacing w:after="0"/>
        <w:rPr>
          <w:rFonts w:ascii="Arial" w:hAnsi="Arial" w:cs="Arial"/>
          <w:lang w:val="en-IN"/>
        </w:rPr>
      </w:pPr>
      <w:r w:rsidRPr="004B43A5">
        <w:rPr>
          <w:rFonts w:ascii="Arial" w:hAnsi="Arial" w:cs="Arial"/>
          <w:lang w:val="en-IN"/>
        </w:rPr>
        <w:t>Requirement for scientifically valid study design.</w:t>
      </w:r>
    </w:p>
    <w:p w14:paraId="24DC362D" w14:textId="206F883D" w:rsidR="004B43A5" w:rsidRDefault="004B43A5" w:rsidP="004B43A5">
      <w:pPr>
        <w:pStyle w:val="Body"/>
        <w:spacing w:after="0"/>
        <w:rPr>
          <w:rFonts w:ascii="Arial" w:hAnsi="Arial" w:cs="Arial"/>
          <w:lang w:val="en-IN"/>
        </w:rPr>
      </w:pPr>
      <w:r w:rsidRPr="004B43A5">
        <w:rPr>
          <w:rFonts w:ascii="Arial" w:hAnsi="Arial" w:cs="Arial"/>
          <w:lang w:val="en-IN"/>
        </w:rPr>
        <w:lastRenderedPageBreak/>
        <w:t>Revisions over the years have reflected evolving ethical dilemmas. The 2013 Fortaleza revision emphasized transparency through mandatory trial registration and result publication [7]. The Helsinki Declaration continues to serve as a cornerstone of modern GCP, cited in most regulatory guidelines, though not universally adopted in its entirety (the FDA, for example, aligns more closely with ICH-GCP than Helsinki on placebo use) [8].</w:t>
      </w:r>
    </w:p>
    <w:p w14:paraId="71CA434E" w14:textId="77777777" w:rsidR="004B43A5" w:rsidRPr="004B43A5" w:rsidRDefault="004B43A5" w:rsidP="004B43A5">
      <w:pPr>
        <w:pStyle w:val="Body"/>
        <w:spacing w:after="0"/>
        <w:rPr>
          <w:rFonts w:ascii="Arial" w:hAnsi="Arial" w:cs="Arial"/>
          <w:lang w:val="en-IN"/>
        </w:rPr>
      </w:pPr>
    </w:p>
    <w:p w14:paraId="2F1721A8" w14:textId="1B202080" w:rsidR="004B43A5" w:rsidRDefault="004B43A5" w:rsidP="004B43A5">
      <w:pPr>
        <w:pStyle w:val="Body"/>
        <w:spacing w:after="0"/>
        <w:rPr>
          <w:rFonts w:ascii="Arial" w:hAnsi="Arial" w:cs="Arial"/>
          <w:b/>
          <w:bCs/>
          <w:lang w:val="en-IN"/>
        </w:rPr>
      </w:pPr>
      <w:r w:rsidRPr="004B43A5">
        <w:rPr>
          <w:rFonts w:ascii="Arial" w:hAnsi="Arial" w:cs="Arial"/>
          <w:b/>
          <w:bCs/>
          <w:lang w:val="en-IN"/>
        </w:rPr>
        <w:t>Scandals and Tragedies Shaping Modern Regulation</w:t>
      </w:r>
    </w:p>
    <w:p w14:paraId="3A8B91B6" w14:textId="77777777" w:rsidR="004B43A5" w:rsidRPr="004B43A5" w:rsidRDefault="004B43A5" w:rsidP="004B43A5">
      <w:pPr>
        <w:pStyle w:val="Body"/>
        <w:spacing w:after="0"/>
        <w:rPr>
          <w:rFonts w:ascii="Arial" w:hAnsi="Arial" w:cs="Arial"/>
          <w:b/>
          <w:bCs/>
          <w:lang w:val="en-IN"/>
        </w:rPr>
      </w:pPr>
    </w:p>
    <w:p w14:paraId="2573048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Beyond wartime atrocities, peacetime scandals also </w:t>
      </w:r>
      <w:proofErr w:type="spellStart"/>
      <w:r w:rsidRPr="004B43A5">
        <w:rPr>
          <w:rFonts w:ascii="Arial" w:hAnsi="Arial" w:cs="Arial"/>
          <w:lang w:val="en-IN"/>
        </w:rPr>
        <w:t>catalyzed</w:t>
      </w:r>
      <w:proofErr w:type="spellEnd"/>
      <w:r w:rsidRPr="004B43A5">
        <w:rPr>
          <w:rFonts w:ascii="Arial" w:hAnsi="Arial" w:cs="Arial"/>
          <w:lang w:val="en-IN"/>
        </w:rPr>
        <w:t xml:space="preserve"> reform.</w:t>
      </w:r>
    </w:p>
    <w:p w14:paraId="48823285" w14:textId="77777777" w:rsidR="004B43A5" w:rsidRPr="004B43A5" w:rsidRDefault="004B43A5" w:rsidP="0086506E">
      <w:pPr>
        <w:pStyle w:val="Body"/>
        <w:numPr>
          <w:ilvl w:val="0"/>
          <w:numId w:val="4"/>
        </w:numPr>
        <w:spacing w:after="0"/>
        <w:rPr>
          <w:rFonts w:ascii="Arial" w:hAnsi="Arial" w:cs="Arial"/>
          <w:lang w:val="en-IN"/>
        </w:rPr>
      </w:pPr>
      <w:r w:rsidRPr="004B43A5">
        <w:rPr>
          <w:rFonts w:ascii="Arial" w:hAnsi="Arial" w:cs="Arial"/>
          <w:b/>
          <w:bCs/>
          <w:lang w:val="en-IN"/>
        </w:rPr>
        <w:t>Thalidomide Tragedy (1957–61):</w:t>
      </w:r>
      <w:r w:rsidRPr="004B43A5">
        <w:rPr>
          <w:rFonts w:ascii="Arial" w:hAnsi="Arial" w:cs="Arial"/>
          <w:lang w:val="en-IN"/>
        </w:rPr>
        <w:t xml:space="preserve"> Marketed as a safe treatment for morning sickness, thalidomide caused severe birth defects in more than 10,000 infants worldwide. This led to the Kefauver–Harris Amendments (1962) in the U.S., mandating demonstration of efficacy and safety before drug approval and requiring informed consent for trial participation [9].</w:t>
      </w:r>
    </w:p>
    <w:p w14:paraId="45D8F2FB" w14:textId="77777777" w:rsidR="004B43A5" w:rsidRPr="004B43A5" w:rsidRDefault="004B43A5" w:rsidP="0086506E">
      <w:pPr>
        <w:pStyle w:val="Body"/>
        <w:numPr>
          <w:ilvl w:val="0"/>
          <w:numId w:val="4"/>
        </w:numPr>
        <w:spacing w:after="0"/>
        <w:rPr>
          <w:rFonts w:ascii="Arial" w:hAnsi="Arial" w:cs="Arial"/>
          <w:lang w:val="en-IN"/>
        </w:rPr>
      </w:pPr>
      <w:r w:rsidRPr="004B43A5">
        <w:rPr>
          <w:rFonts w:ascii="Arial" w:hAnsi="Arial" w:cs="Arial"/>
          <w:b/>
          <w:bCs/>
          <w:lang w:val="en-IN"/>
        </w:rPr>
        <w:t>Tuskegee Syphilis Study (1932–72):</w:t>
      </w:r>
      <w:r w:rsidRPr="004B43A5">
        <w:rPr>
          <w:rFonts w:ascii="Arial" w:hAnsi="Arial" w:cs="Arial"/>
          <w:lang w:val="en-IN"/>
        </w:rPr>
        <w:t xml:space="preserve"> In this infamous U.S. study, African American men with syphilis were misled and denied treatment even after penicillin became available. Its revelation in 1972 sparked outrage and resulted in the Belmont Report (1979), which articulated the principles of respect for persons, beneficence, and justice [10].</w:t>
      </w:r>
    </w:p>
    <w:p w14:paraId="2EEE58C8" w14:textId="77777777" w:rsidR="004B43A5" w:rsidRPr="004B43A5" w:rsidRDefault="004B43A5" w:rsidP="0086506E">
      <w:pPr>
        <w:pStyle w:val="Body"/>
        <w:numPr>
          <w:ilvl w:val="0"/>
          <w:numId w:val="4"/>
        </w:numPr>
        <w:spacing w:after="0"/>
        <w:rPr>
          <w:rFonts w:ascii="Arial" w:hAnsi="Arial" w:cs="Arial"/>
          <w:lang w:val="en-IN"/>
        </w:rPr>
      </w:pPr>
      <w:r w:rsidRPr="004B43A5">
        <w:rPr>
          <w:rFonts w:ascii="Arial" w:hAnsi="Arial" w:cs="Arial"/>
          <w:b/>
          <w:bCs/>
          <w:lang w:val="en-IN"/>
        </w:rPr>
        <w:t>Willowbrook Hepatitis Studies (1956–70):</w:t>
      </w:r>
      <w:r w:rsidRPr="004B43A5">
        <w:rPr>
          <w:rFonts w:ascii="Arial" w:hAnsi="Arial" w:cs="Arial"/>
          <w:lang w:val="en-IN"/>
        </w:rPr>
        <w:t xml:space="preserve"> Children with intellectual disabilities at Willowbrook State School in New York were deliberately infected with hepatitis to study disease progression. Researchers justified this by arguing the children were already at risk of infection, but the absence of meaningful consent rendered it unethical [11].</w:t>
      </w:r>
    </w:p>
    <w:p w14:paraId="08D0C315" w14:textId="77777777" w:rsidR="004B43A5" w:rsidRPr="004B43A5" w:rsidRDefault="004B43A5" w:rsidP="0086506E">
      <w:pPr>
        <w:pStyle w:val="Body"/>
        <w:numPr>
          <w:ilvl w:val="0"/>
          <w:numId w:val="4"/>
        </w:numPr>
        <w:spacing w:after="0"/>
        <w:rPr>
          <w:rFonts w:ascii="Arial" w:hAnsi="Arial" w:cs="Arial"/>
          <w:lang w:val="en-IN"/>
        </w:rPr>
      </w:pPr>
      <w:r w:rsidRPr="004B43A5">
        <w:rPr>
          <w:rFonts w:ascii="Arial" w:hAnsi="Arial" w:cs="Arial"/>
          <w:b/>
          <w:bCs/>
          <w:lang w:val="en-IN"/>
        </w:rPr>
        <w:t>Cancer Cell Injection at Jewish Chronic Disease Hospital (1963):</w:t>
      </w:r>
      <w:r w:rsidRPr="004B43A5">
        <w:rPr>
          <w:rFonts w:ascii="Arial" w:hAnsi="Arial" w:cs="Arial"/>
          <w:lang w:val="en-IN"/>
        </w:rPr>
        <w:t xml:space="preserve"> Elderly patients were injected with live cancer cells without informed consent. The study, though intended to test immune rejection, highlighted the routine bypassing of consent in mid-20th century research [12].</w:t>
      </w:r>
    </w:p>
    <w:p w14:paraId="4BD8A89D"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These scandals demonstrated that unethical research was not confined to dictatorships but occurred widely in democratic societies as well.</w:t>
      </w:r>
    </w:p>
    <w:p w14:paraId="179F8CDB" w14:textId="77777777" w:rsidR="004B43A5" w:rsidRDefault="004B43A5" w:rsidP="004B43A5">
      <w:pPr>
        <w:pStyle w:val="Body"/>
        <w:spacing w:after="0"/>
        <w:rPr>
          <w:rFonts w:ascii="Arial" w:hAnsi="Arial" w:cs="Arial"/>
          <w:b/>
          <w:bCs/>
          <w:lang w:val="en-IN"/>
        </w:rPr>
      </w:pPr>
    </w:p>
    <w:p w14:paraId="51C95A6A" w14:textId="1A645F0F"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The Belmont Report and the Common Rule</w:t>
      </w:r>
    </w:p>
    <w:p w14:paraId="24470349" w14:textId="77777777" w:rsidR="004B43A5" w:rsidRDefault="004B43A5" w:rsidP="004B43A5">
      <w:pPr>
        <w:pStyle w:val="Body"/>
        <w:spacing w:after="0"/>
        <w:rPr>
          <w:rFonts w:ascii="Arial" w:hAnsi="Arial" w:cs="Arial"/>
          <w:lang w:val="en-IN"/>
        </w:rPr>
      </w:pPr>
    </w:p>
    <w:p w14:paraId="349E6402" w14:textId="4D467D70" w:rsidR="004B43A5" w:rsidRPr="004B43A5" w:rsidRDefault="004B43A5" w:rsidP="004B43A5">
      <w:pPr>
        <w:pStyle w:val="Body"/>
        <w:spacing w:after="0"/>
        <w:rPr>
          <w:rFonts w:ascii="Arial" w:hAnsi="Arial" w:cs="Arial"/>
          <w:lang w:val="en-IN"/>
        </w:rPr>
      </w:pPr>
      <w:r w:rsidRPr="004B43A5">
        <w:rPr>
          <w:rFonts w:ascii="Arial" w:hAnsi="Arial" w:cs="Arial"/>
          <w:lang w:val="en-IN"/>
        </w:rPr>
        <w:t>The Belmont Report (1979) was a watershed in U.S. bioethics, establishing three guiding principles:</w:t>
      </w:r>
    </w:p>
    <w:p w14:paraId="3B6F6FDA" w14:textId="77777777" w:rsidR="004B43A5" w:rsidRPr="004B43A5" w:rsidRDefault="004B43A5" w:rsidP="0086506E">
      <w:pPr>
        <w:pStyle w:val="Body"/>
        <w:numPr>
          <w:ilvl w:val="0"/>
          <w:numId w:val="5"/>
        </w:numPr>
        <w:spacing w:after="0"/>
        <w:rPr>
          <w:rFonts w:ascii="Arial" w:hAnsi="Arial" w:cs="Arial"/>
          <w:lang w:val="en-IN"/>
        </w:rPr>
      </w:pPr>
      <w:r w:rsidRPr="004B43A5">
        <w:rPr>
          <w:rFonts w:ascii="Arial" w:hAnsi="Arial" w:cs="Arial"/>
          <w:b/>
          <w:bCs/>
          <w:lang w:val="en-IN"/>
        </w:rPr>
        <w:t>Respect for persons:</w:t>
      </w:r>
      <w:r w:rsidRPr="004B43A5">
        <w:rPr>
          <w:rFonts w:ascii="Arial" w:hAnsi="Arial" w:cs="Arial"/>
          <w:lang w:val="en-IN"/>
        </w:rPr>
        <w:t xml:space="preserve"> recognition of autonomy and protection of those with diminished autonomy.</w:t>
      </w:r>
    </w:p>
    <w:p w14:paraId="3D22D0D7" w14:textId="77777777" w:rsidR="004B43A5" w:rsidRPr="004B43A5" w:rsidRDefault="004B43A5" w:rsidP="0086506E">
      <w:pPr>
        <w:pStyle w:val="Body"/>
        <w:numPr>
          <w:ilvl w:val="0"/>
          <w:numId w:val="5"/>
        </w:numPr>
        <w:spacing w:after="0"/>
        <w:rPr>
          <w:rFonts w:ascii="Arial" w:hAnsi="Arial" w:cs="Arial"/>
          <w:lang w:val="en-IN"/>
        </w:rPr>
      </w:pPr>
      <w:r w:rsidRPr="004B43A5">
        <w:rPr>
          <w:rFonts w:ascii="Arial" w:hAnsi="Arial" w:cs="Arial"/>
          <w:b/>
          <w:bCs/>
          <w:lang w:val="en-IN"/>
        </w:rPr>
        <w:t>Beneficence:</w:t>
      </w:r>
      <w:r w:rsidRPr="004B43A5">
        <w:rPr>
          <w:rFonts w:ascii="Arial" w:hAnsi="Arial" w:cs="Arial"/>
          <w:lang w:val="en-IN"/>
        </w:rPr>
        <w:t xml:space="preserve"> obligation to maximize benefits and minimize harm.</w:t>
      </w:r>
    </w:p>
    <w:p w14:paraId="7BB2AF5A" w14:textId="77777777" w:rsidR="004B43A5" w:rsidRPr="004B43A5" w:rsidRDefault="004B43A5" w:rsidP="0086506E">
      <w:pPr>
        <w:pStyle w:val="Body"/>
        <w:numPr>
          <w:ilvl w:val="0"/>
          <w:numId w:val="5"/>
        </w:numPr>
        <w:spacing w:after="0"/>
        <w:rPr>
          <w:rFonts w:ascii="Arial" w:hAnsi="Arial" w:cs="Arial"/>
          <w:lang w:val="en-IN"/>
        </w:rPr>
      </w:pPr>
      <w:r w:rsidRPr="004B43A5">
        <w:rPr>
          <w:rFonts w:ascii="Arial" w:hAnsi="Arial" w:cs="Arial"/>
          <w:b/>
          <w:bCs/>
          <w:lang w:val="en-IN"/>
        </w:rPr>
        <w:t>Justice:</w:t>
      </w:r>
      <w:r w:rsidRPr="004B43A5">
        <w:rPr>
          <w:rFonts w:ascii="Arial" w:hAnsi="Arial" w:cs="Arial"/>
          <w:lang w:val="en-IN"/>
        </w:rPr>
        <w:t xml:space="preserve"> fair distribution of research burdens and benefits.</w:t>
      </w:r>
    </w:p>
    <w:p w14:paraId="10FE1B71" w14:textId="175D05D5" w:rsidR="004B43A5" w:rsidRDefault="004B43A5" w:rsidP="004B43A5">
      <w:pPr>
        <w:pStyle w:val="Body"/>
        <w:spacing w:after="0"/>
        <w:rPr>
          <w:rFonts w:ascii="Arial" w:hAnsi="Arial" w:cs="Arial"/>
          <w:lang w:val="en-IN"/>
        </w:rPr>
      </w:pPr>
      <w:r w:rsidRPr="004B43A5">
        <w:rPr>
          <w:rFonts w:ascii="Arial" w:hAnsi="Arial" w:cs="Arial"/>
          <w:lang w:val="en-IN"/>
        </w:rPr>
        <w:t>These principles informed the Common Rule (1991), a federal policy unifying ethical standards across U.S. agencies, mandating IRB review, informed consent, and additional safeguards for vulnerable groups [13]. The Belmont principles continue to underpin global ethical discourse, influencing GCP and international guidelines.</w:t>
      </w:r>
    </w:p>
    <w:p w14:paraId="66B576BF" w14:textId="07ACB64F" w:rsidR="004B43A5" w:rsidRDefault="004B43A5" w:rsidP="004B43A5">
      <w:pPr>
        <w:pStyle w:val="Body"/>
        <w:spacing w:after="0"/>
        <w:rPr>
          <w:rFonts w:ascii="Arial" w:hAnsi="Arial" w:cs="Arial"/>
          <w:lang w:val="en-IN"/>
        </w:rPr>
      </w:pPr>
    </w:p>
    <w:p w14:paraId="07DAB9A3" w14:textId="088D9C65" w:rsidR="004B43A5" w:rsidRDefault="004B43A5" w:rsidP="004B43A5">
      <w:pPr>
        <w:pStyle w:val="Body"/>
        <w:spacing w:after="0"/>
        <w:rPr>
          <w:rFonts w:ascii="Arial" w:hAnsi="Arial" w:cs="Arial"/>
          <w:lang w:val="en-IN"/>
        </w:rPr>
      </w:pPr>
    </w:p>
    <w:p w14:paraId="3BB59067" w14:textId="57D16617" w:rsidR="004B43A5" w:rsidRDefault="004B43A5" w:rsidP="004B43A5">
      <w:pPr>
        <w:pStyle w:val="Body"/>
        <w:spacing w:after="0"/>
        <w:rPr>
          <w:rFonts w:ascii="Arial" w:hAnsi="Arial" w:cs="Arial"/>
          <w:lang w:val="en-IN"/>
        </w:rPr>
      </w:pPr>
    </w:p>
    <w:p w14:paraId="1746558D" w14:textId="77777777" w:rsidR="004B43A5" w:rsidRPr="004B43A5" w:rsidRDefault="004B43A5" w:rsidP="004B43A5">
      <w:pPr>
        <w:pStyle w:val="Body"/>
        <w:spacing w:after="0"/>
        <w:rPr>
          <w:rFonts w:ascii="Arial" w:hAnsi="Arial" w:cs="Arial"/>
          <w:lang w:val="en-IN"/>
        </w:rPr>
      </w:pPr>
    </w:p>
    <w:p w14:paraId="7F6F6862" w14:textId="77777777" w:rsidR="004B43A5" w:rsidRPr="004B43A5" w:rsidRDefault="004B43A5" w:rsidP="004B43A5">
      <w:pPr>
        <w:pStyle w:val="Body"/>
        <w:spacing w:after="0"/>
        <w:rPr>
          <w:rFonts w:ascii="Arial" w:hAnsi="Arial" w:cs="Arial"/>
          <w:b/>
          <w:bCs/>
          <w:sz w:val="22"/>
          <w:szCs w:val="22"/>
          <w:lang w:val="en-IN"/>
        </w:rPr>
      </w:pPr>
      <w:r w:rsidRPr="004B43A5">
        <w:rPr>
          <w:rFonts w:ascii="Arial" w:hAnsi="Arial" w:cs="Arial"/>
          <w:b/>
          <w:bCs/>
          <w:sz w:val="22"/>
          <w:szCs w:val="22"/>
          <w:lang w:val="en-IN"/>
        </w:rPr>
        <w:t>Emergence of International Harmonisation: ICH-GCP</w:t>
      </w:r>
    </w:p>
    <w:p w14:paraId="3F3CC3B0" w14:textId="77777777" w:rsidR="004B43A5" w:rsidRDefault="004B43A5" w:rsidP="004B43A5">
      <w:pPr>
        <w:pStyle w:val="Body"/>
        <w:spacing w:after="0"/>
        <w:rPr>
          <w:rFonts w:ascii="Arial" w:hAnsi="Arial" w:cs="Arial"/>
          <w:lang w:val="en-IN"/>
        </w:rPr>
      </w:pPr>
    </w:p>
    <w:p w14:paraId="7004697D" w14:textId="42728A9F"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By the 1980s and 1990s, the globalization of the pharmaceutical industry exposed inefficiencies. A clinical trial conducted in one country often required duplication elsewhere due to differing national requirements. To resolve this, the International Conference on </w:t>
      </w:r>
      <w:r w:rsidRPr="004B43A5">
        <w:rPr>
          <w:rFonts w:ascii="Arial" w:hAnsi="Arial" w:cs="Arial"/>
          <w:lang w:val="en-IN"/>
        </w:rPr>
        <w:lastRenderedPageBreak/>
        <w:t>Harmonisation of Technical Requirements for Pharmaceuticals for Human Use (ICH) was established in 1990.</w:t>
      </w:r>
    </w:p>
    <w:p w14:paraId="744FE43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 1996, the ICH issued the E6 Good Clinical Practice (GCP) guideline, consolidating ethical principles, trial design, monitoring, and data standards [1]. This became the foundation of modern clinical research regulation.</w:t>
      </w:r>
    </w:p>
    <w:p w14:paraId="37F2B293"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E6(R2) revision in 2016 introduced risk-based monitoring, greater sponsor accountability, and recognition of electronic records [1]. The ongoing E6(R3) renovation seeks to incorporate digital technologies, decentralized trials, and patient-centric approaches, ensuring GCP remains fit for 21st-century research [14].</w:t>
      </w:r>
    </w:p>
    <w:p w14:paraId="74B98BD7"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Ethical Foundations of Clinical Trials</w:t>
      </w:r>
    </w:p>
    <w:p w14:paraId="0D369A2A"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Ethical principles form the bedrock of Good Clinical Practice (GCP). Regulations, monitoring systems, and trial designs provide structure, but ethics gives research its legitimacy. The essence of clinical trials is not just about discovering new therapies, but about doing so in a way that respects human dignity, protects participants from harm, and distributes risks and benefits fairly. Without a firm ethical foundation, research risks sliding into exploitation or losing public trust.</w:t>
      </w:r>
    </w:p>
    <w:p w14:paraId="02C4F5D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evolution of clinical research ethics has been shaped by philosophical debates, historic scandals, and international consensus-building. What we now recognize as modern GCP integrates these ethical lessons into enforceable standards that regulate every stage of clinical research.</w:t>
      </w:r>
    </w:p>
    <w:p w14:paraId="5917A52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Philosophical Foundations of Research Ethics</w:t>
      </w:r>
    </w:p>
    <w:p w14:paraId="7B287D0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Research ethics draws upon broad traditions in moral philosophy. Two major schools have shaped its application:</w:t>
      </w:r>
    </w:p>
    <w:p w14:paraId="5B523410" w14:textId="77777777" w:rsidR="004B43A5" w:rsidRPr="004B43A5" w:rsidRDefault="004B43A5" w:rsidP="0086506E">
      <w:pPr>
        <w:pStyle w:val="Body"/>
        <w:numPr>
          <w:ilvl w:val="0"/>
          <w:numId w:val="6"/>
        </w:numPr>
        <w:spacing w:after="0"/>
        <w:rPr>
          <w:rFonts w:ascii="Arial" w:hAnsi="Arial" w:cs="Arial"/>
          <w:lang w:val="en-IN"/>
        </w:rPr>
      </w:pPr>
      <w:r w:rsidRPr="004B43A5">
        <w:rPr>
          <w:rFonts w:ascii="Arial" w:hAnsi="Arial" w:cs="Arial"/>
          <w:b/>
          <w:bCs/>
          <w:lang w:val="en-IN"/>
        </w:rPr>
        <w:t>Deontological (duty-based) ethics:</w:t>
      </w:r>
      <w:r w:rsidRPr="004B43A5">
        <w:rPr>
          <w:rFonts w:ascii="Arial" w:hAnsi="Arial" w:cs="Arial"/>
          <w:lang w:val="en-IN"/>
        </w:rPr>
        <w:t xml:space="preserve"> Rooted in Kantian philosophy, it emphasizes that individuals must never be treated merely as means to an end. In clinical trials, this translates to absolute respect for autonomy and informed consent, regardless of potential societal benefit [15].</w:t>
      </w:r>
    </w:p>
    <w:p w14:paraId="7BA429A4" w14:textId="77777777" w:rsidR="004B43A5" w:rsidRPr="004B43A5" w:rsidRDefault="004B43A5" w:rsidP="0086506E">
      <w:pPr>
        <w:pStyle w:val="Body"/>
        <w:numPr>
          <w:ilvl w:val="0"/>
          <w:numId w:val="6"/>
        </w:numPr>
        <w:spacing w:after="0"/>
        <w:rPr>
          <w:rFonts w:ascii="Arial" w:hAnsi="Arial" w:cs="Arial"/>
          <w:lang w:val="en-IN"/>
        </w:rPr>
      </w:pPr>
      <w:r w:rsidRPr="004B43A5">
        <w:rPr>
          <w:rFonts w:ascii="Arial" w:hAnsi="Arial" w:cs="Arial"/>
          <w:b/>
          <w:bCs/>
          <w:lang w:val="en-IN"/>
        </w:rPr>
        <w:t>Utilitarian (consequence-based) ethics:</w:t>
      </w:r>
      <w:r w:rsidRPr="004B43A5">
        <w:rPr>
          <w:rFonts w:ascii="Arial" w:hAnsi="Arial" w:cs="Arial"/>
          <w:lang w:val="en-IN"/>
        </w:rPr>
        <w:t xml:space="preserve"> Championed by Bentham and Mill, this framework justifies actions based on maximizing benefits for the greatest number. In research, this perspective often drives risk–benefit justifications, where potential harms to participants are weighed against possible therapeutic breakthroughs for society [16].</w:t>
      </w:r>
    </w:p>
    <w:p w14:paraId="63DE84FE" w14:textId="249A7507" w:rsidR="004B43A5" w:rsidRDefault="004B43A5" w:rsidP="004B43A5">
      <w:pPr>
        <w:pStyle w:val="Body"/>
        <w:spacing w:after="0"/>
        <w:rPr>
          <w:rFonts w:ascii="Arial" w:hAnsi="Arial" w:cs="Arial"/>
          <w:lang w:val="en-IN"/>
        </w:rPr>
      </w:pPr>
      <w:r w:rsidRPr="004B43A5">
        <w:rPr>
          <w:rFonts w:ascii="Arial" w:hAnsi="Arial" w:cs="Arial"/>
          <w:lang w:val="en-IN"/>
        </w:rPr>
        <w:t>Tension between these frameworks remains visible in trial design debates. For example, whether it is ethical to use a placebo when effective therapy exists remains contested — deontological approaches stress duty to the individual, while utilitarians argue for the broader societal knowledge gained.</w:t>
      </w:r>
    </w:p>
    <w:p w14:paraId="54884164" w14:textId="77777777" w:rsidR="004B43A5" w:rsidRPr="004B43A5" w:rsidRDefault="004B43A5" w:rsidP="004B43A5">
      <w:pPr>
        <w:pStyle w:val="Body"/>
        <w:spacing w:after="0"/>
        <w:rPr>
          <w:rFonts w:ascii="Arial" w:hAnsi="Arial" w:cs="Arial"/>
          <w:lang w:val="en-IN"/>
        </w:rPr>
      </w:pPr>
    </w:p>
    <w:p w14:paraId="6AA0ED65" w14:textId="1C4659D1" w:rsidR="004B43A5" w:rsidRDefault="004B43A5" w:rsidP="004B43A5">
      <w:pPr>
        <w:pStyle w:val="Body"/>
        <w:spacing w:after="0"/>
        <w:rPr>
          <w:rFonts w:ascii="Arial" w:hAnsi="Arial" w:cs="Arial"/>
          <w:b/>
          <w:bCs/>
          <w:lang w:val="en-IN"/>
        </w:rPr>
      </w:pPr>
      <w:r w:rsidRPr="004B43A5">
        <w:rPr>
          <w:rFonts w:ascii="Arial" w:hAnsi="Arial" w:cs="Arial"/>
          <w:b/>
          <w:bCs/>
          <w:lang w:val="en-IN"/>
        </w:rPr>
        <w:t>Core Bioethical Principles</w:t>
      </w:r>
    </w:p>
    <w:p w14:paraId="51F06F75" w14:textId="77777777" w:rsidR="004B43A5" w:rsidRPr="004B43A5" w:rsidRDefault="004B43A5" w:rsidP="004B43A5">
      <w:pPr>
        <w:pStyle w:val="Body"/>
        <w:spacing w:after="0"/>
        <w:rPr>
          <w:rFonts w:ascii="Arial" w:hAnsi="Arial" w:cs="Arial"/>
          <w:b/>
          <w:bCs/>
          <w:lang w:val="en-IN"/>
        </w:rPr>
      </w:pPr>
    </w:p>
    <w:p w14:paraId="3AC035D3"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Modern clinical research is anchored in four widely accepted principles, crystallized by the Belmont Report (1979):</w:t>
      </w:r>
    </w:p>
    <w:p w14:paraId="7ADDBC56" w14:textId="77777777" w:rsidR="004B43A5" w:rsidRPr="004B43A5" w:rsidRDefault="004B43A5" w:rsidP="0086506E">
      <w:pPr>
        <w:pStyle w:val="Body"/>
        <w:numPr>
          <w:ilvl w:val="0"/>
          <w:numId w:val="7"/>
        </w:numPr>
        <w:spacing w:after="0"/>
        <w:rPr>
          <w:rFonts w:ascii="Arial" w:hAnsi="Arial" w:cs="Arial"/>
          <w:lang w:val="en-IN"/>
        </w:rPr>
      </w:pPr>
      <w:r w:rsidRPr="004B43A5">
        <w:rPr>
          <w:rFonts w:ascii="Arial" w:hAnsi="Arial" w:cs="Arial"/>
          <w:b/>
          <w:bCs/>
          <w:lang w:val="en-IN"/>
        </w:rPr>
        <w:t>Respect for persons (Autonomy):</w:t>
      </w:r>
      <w:r w:rsidRPr="004B43A5">
        <w:rPr>
          <w:rFonts w:ascii="Arial" w:hAnsi="Arial" w:cs="Arial"/>
          <w:lang w:val="en-IN"/>
        </w:rPr>
        <w:t xml:space="preserve"> Ensuring voluntary, informed, and comprehensible participation.</w:t>
      </w:r>
    </w:p>
    <w:p w14:paraId="278F2388" w14:textId="77777777" w:rsidR="004B43A5" w:rsidRPr="004B43A5" w:rsidRDefault="004B43A5" w:rsidP="0086506E">
      <w:pPr>
        <w:pStyle w:val="Body"/>
        <w:numPr>
          <w:ilvl w:val="0"/>
          <w:numId w:val="7"/>
        </w:numPr>
        <w:spacing w:after="0"/>
        <w:rPr>
          <w:rFonts w:ascii="Arial" w:hAnsi="Arial" w:cs="Arial"/>
          <w:lang w:val="en-IN"/>
        </w:rPr>
      </w:pPr>
      <w:r w:rsidRPr="004B43A5">
        <w:rPr>
          <w:rFonts w:ascii="Arial" w:hAnsi="Arial" w:cs="Arial"/>
          <w:b/>
          <w:bCs/>
          <w:lang w:val="en-IN"/>
        </w:rPr>
        <w:t>Beneficence:</w:t>
      </w:r>
      <w:r w:rsidRPr="004B43A5">
        <w:rPr>
          <w:rFonts w:ascii="Arial" w:hAnsi="Arial" w:cs="Arial"/>
          <w:lang w:val="en-IN"/>
        </w:rPr>
        <w:t xml:space="preserve"> Maximizing benefits of research while minimizing risks.</w:t>
      </w:r>
    </w:p>
    <w:p w14:paraId="3952EEA6" w14:textId="77777777" w:rsidR="004B43A5" w:rsidRPr="004B43A5" w:rsidRDefault="004B43A5" w:rsidP="0086506E">
      <w:pPr>
        <w:pStyle w:val="Body"/>
        <w:numPr>
          <w:ilvl w:val="0"/>
          <w:numId w:val="7"/>
        </w:numPr>
        <w:spacing w:after="0"/>
        <w:rPr>
          <w:rFonts w:ascii="Arial" w:hAnsi="Arial" w:cs="Arial"/>
          <w:lang w:val="en-IN"/>
        </w:rPr>
      </w:pPr>
      <w:r w:rsidRPr="004B43A5">
        <w:rPr>
          <w:rFonts w:ascii="Arial" w:hAnsi="Arial" w:cs="Arial"/>
          <w:b/>
          <w:bCs/>
          <w:lang w:val="en-IN"/>
        </w:rPr>
        <w:t>Non-maleficence:</w:t>
      </w:r>
      <w:r w:rsidRPr="004B43A5">
        <w:rPr>
          <w:rFonts w:ascii="Arial" w:hAnsi="Arial" w:cs="Arial"/>
          <w:lang w:val="en-IN"/>
        </w:rPr>
        <w:t xml:space="preserve"> “Do no harm,” ensuring that no participant is knowingly exposed to unnecessary risk.</w:t>
      </w:r>
    </w:p>
    <w:p w14:paraId="3D9A32C4" w14:textId="77777777" w:rsidR="004B43A5" w:rsidRPr="004B43A5" w:rsidRDefault="004B43A5" w:rsidP="0086506E">
      <w:pPr>
        <w:pStyle w:val="Body"/>
        <w:numPr>
          <w:ilvl w:val="0"/>
          <w:numId w:val="7"/>
        </w:numPr>
        <w:spacing w:after="0"/>
        <w:rPr>
          <w:rFonts w:ascii="Arial" w:hAnsi="Arial" w:cs="Arial"/>
          <w:lang w:val="en-IN"/>
        </w:rPr>
      </w:pPr>
      <w:r w:rsidRPr="004B43A5">
        <w:rPr>
          <w:rFonts w:ascii="Arial" w:hAnsi="Arial" w:cs="Arial"/>
          <w:b/>
          <w:bCs/>
          <w:lang w:val="en-IN"/>
        </w:rPr>
        <w:t>Justice:</w:t>
      </w:r>
      <w:r w:rsidRPr="004B43A5">
        <w:rPr>
          <w:rFonts w:ascii="Arial" w:hAnsi="Arial" w:cs="Arial"/>
          <w:lang w:val="en-IN"/>
        </w:rPr>
        <w:t xml:space="preserve"> Fair distribution of the burdens and benefits of research across all social groups [17].</w:t>
      </w:r>
    </w:p>
    <w:p w14:paraId="5F9A6896" w14:textId="68B27448" w:rsidR="004B43A5" w:rsidRDefault="004B43A5" w:rsidP="004B43A5">
      <w:pPr>
        <w:pStyle w:val="Body"/>
        <w:spacing w:after="0"/>
        <w:rPr>
          <w:rFonts w:ascii="Arial" w:hAnsi="Arial" w:cs="Arial"/>
          <w:lang w:val="en-IN"/>
        </w:rPr>
      </w:pPr>
      <w:r w:rsidRPr="004B43A5">
        <w:rPr>
          <w:rFonts w:ascii="Arial" w:hAnsi="Arial" w:cs="Arial"/>
          <w:lang w:val="en-IN"/>
        </w:rPr>
        <w:t>These principles, though universal in formulation, require contextual application. For instance, justice in global trials often translates into ensuring equitable participation of low- and middle-income countries (LMICs) and fair post-trial access to new interventions.</w:t>
      </w:r>
    </w:p>
    <w:p w14:paraId="2123D825" w14:textId="77777777" w:rsidR="004B43A5" w:rsidRPr="004B43A5" w:rsidRDefault="004B43A5" w:rsidP="004B43A5">
      <w:pPr>
        <w:pStyle w:val="Body"/>
        <w:spacing w:after="0"/>
        <w:rPr>
          <w:rFonts w:ascii="Arial" w:hAnsi="Arial" w:cs="Arial"/>
          <w:lang w:val="en-IN"/>
        </w:rPr>
      </w:pPr>
    </w:p>
    <w:p w14:paraId="41AB2519" w14:textId="51566ED8" w:rsidR="004B43A5" w:rsidRDefault="004B43A5" w:rsidP="004B43A5">
      <w:pPr>
        <w:pStyle w:val="Body"/>
        <w:spacing w:after="0"/>
        <w:rPr>
          <w:rFonts w:ascii="Arial" w:hAnsi="Arial" w:cs="Arial"/>
          <w:b/>
          <w:bCs/>
          <w:lang w:val="en-IN"/>
        </w:rPr>
      </w:pPr>
      <w:r w:rsidRPr="004B43A5">
        <w:rPr>
          <w:rFonts w:ascii="Arial" w:hAnsi="Arial" w:cs="Arial"/>
          <w:b/>
          <w:bCs/>
          <w:lang w:val="en-IN"/>
        </w:rPr>
        <w:t>Informed Consent: The Cornerstone of Ethical Research</w:t>
      </w:r>
    </w:p>
    <w:p w14:paraId="7BE72503" w14:textId="77777777" w:rsidR="004B43A5" w:rsidRPr="004B43A5" w:rsidRDefault="004B43A5" w:rsidP="004B43A5">
      <w:pPr>
        <w:pStyle w:val="Body"/>
        <w:spacing w:after="0"/>
        <w:rPr>
          <w:rFonts w:ascii="Arial" w:hAnsi="Arial" w:cs="Arial"/>
          <w:b/>
          <w:bCs/>
          <w:lang w:val="en-IN"/>
        </w:rPr>
      </w:pPr>
    </w:p>
    <w:p w14:paraId="5DBB0B6B"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Informed consent is the most direct expression of autonomy in clinical research. It requires that participants:</w:t>
      </w:r>
    </w:p>
    <w:p w14:paraId="6BB1F1D1" w14:textId="77777777" w:rsidR="004B43A5" w:rsidRPr="004B43A5" w:rsidRDefault="004B43A5" w:rsidP="0086506E">
      <w:pPr>
        <w:pStyle w:val="Body"/>
        <w:numPr>
          <w:ilvl w:val="0"/>
          <w:numId w:val="8"/>
        </w:numPr>
        <w:spacing w:after="0"/>
        <w:rPr>
          <w:rFonts w:ascii="Arial" w:hAnsi="Arial" w:cs="Arial"/>
          <w:lang w:val="en-IN"/>
        </w:rPr>
      </w:pPr>
      <w:r w:rsidRPr="004B43A5">
        <w:rPr>
          <w:rFonts w:ascii="Arial" w:hAnsi="Arial" w:cs="Arial"/>
          <w:lang w:val="en-IN"/>
        </w:rPr>
        <w:t>Are provided with adequate information about purpose, procedures, risks, benefits, and alternatives.</w:t>
      </w:r>
    </w:p>
    <w:p w14:paraId="2496D8FC" w14:textId="77777777" w:rsidR="004B43A5" w:rsidRPr="004B43A5" w:rsidRDefault="004B43A5" w:rsidP="0086506E">
      <w:pPr>
        <w:pStyle w:val="Body"/>
        <w:numPr>
          <w:ilvl w:val="0"/>
          <w:numId w:val="8"/>
        </w:numPr>
        <w:spacing w:after="0"/>
        <w:rPr>
          <w:rFonts w:ascii="Arial" w:hAnsi="Arial" w:cs="Arial"/>
          <w:lang w:val="en-IN"/>
        </w:rPr>
      </w:pPr>
      <w:r w:rsidRPr="004B43A5">
        <w:rPr>
          <w:rFonts w:ascii="Arial" w:hAnsi="Arial" w:cs="Arial"/>
          <w:lang w:val="en-IN"/>
        </w:rPr>
        <w:t>Have the ability to comprehend this information.</w:t>
      </w:r>
    </w:p>
    <w:p w14:paraId="4A0F1157" w14:textId="77777777" w:rsidR="004B43A5" w:rsidRPr="004B43A5" w:rsidRDefault="004B43A5" w:rsidP="0086506E">
      <w:pPr>
        <w:pStyle w:val="Body"/>
        <w:numPr>
          <w:ilvl w:val="0"/>
          <w:numId w:val="8"/>
        </w:numPr>
        <w:spacing w:after="0"/>
        <w:rPr>
          <w:rFonts w:ascii="Arial" w:hAnsi="Arial" w:cs="Arial"/>
          <w:lang w:val="en-IN"/>
        </w:rPr>
      </w:pPr>
      <w:r w:rsidRPr="004B43A5">
        <w:rPr>
          <w:rFonts w:ascii="Arial" w:hAnsi="Arial" w:cs="Arial"/>
          <w:lang w:val="en-IN"/>
        </w:rPr>
        <w:t>Make a voluntary decision, free from coercion or undue influence [18].</w:t>
      </w:r>
    </w:p>
    <w:p w14:paraId="0F66451B" w14:textId="77777777" w:rsidR="004B43A5" w:rsidRDefault="004B43A5" w:rsidP="004B43A5">
      <w:pPr>
        <w:pStyle w:val="Body"/>
        <w:spacing w:after="0"/>
        <w:rPr>
          <w:rFonts w:ascii="Arial" w:hAnsi="Arial" w:cs="Arial"/>
          <w:b/>
          <w:bCs/>
          <w:lang w:val="en-IN"/>
        </w:rPr>
      </w:pPr>
    </w:p>
    <w:p w14:paraId="3F190F9F" w14:textId="43A44134"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Practical Challenges</w:t>
      </w:r>
    </w:p>
    <w:p w14:paraId="3F791882" w14:textId="77777777" w:rsidR="004B43A5" w:rsidRPr="004B43A5" w:rsidRDefault="004B43A5" w:rsidP="0086506E">
      <w:pPr>
        <w:pStyle w:val="Body"/>
        <w:numPr>
          <w:ilvl w:val="0"/>
          <w:numId w:val="9"/>
        </w:numPr>
        <w:spacing w:after="0"/>
        <w:rPr>
          <w:rFonts w:ascii="Arial" w:hAnsi="Arial" w:cs="Arial"/>
          <w:lang w:val="en-IN"/>
        </w:rPr>
      </w:pPr>
      <w:r w:rsidRPr="004B43A5">
        <w:rPr>
          <w:rFonts w:ascii="Arial" w:hAnsi="Arial" w:cs="Arial"/>
          <w:b/>
          <w:bCs/>
          <w:lang w:val="en-IN"/>
        </w:rPr>
        <w:t>Comprehension gaps:</w:t>
      </w:r>
      <w:r w:rsidRPr="004B43A5">
        <w:rPr>
          <w:rFonts w:ascii="Arial" w:hAnsi="Arial" w:cs="Arial"/>
          <w:lang w:val="en-IN"/>
        </w:rPr>
        <w:t xml:space="preserve"> Studies in LMICs reveal that complex consent documents often fail to communicate effectively, particularly in low-literacy settings. Innovative methods such as videos, pictorial forms, and interactive discussions are increasingly being used [19].</w:t>
      </w:r>
    </w:p>
    <w:p w14:paraId="23AE1396" w14:textId="77777777" w:rsidR="004B43A5" w:rsidRPr="004B43A5" w:rsidRDefault="004B43A5" w:rsidP="0086506E">
      <w:pPr>
        <w:pStyle w:val="Body"/>
        <w:numPr>
          <w:ilvl w:val="0"/>
          <w:numId w:val="9"/>
        </w:numPr>
        <w:spacing w:after="0"/>
        <w:rPr>
          <w:rFonts w:ascii="Arial" w:hAnsi="Arial" w:cs="Arial"/>
          <w:lang w:val="en-IN"/>
        </w:rPr>
      </w:pPr>
      <w:r w:rsidRPr="004B43A5">
        <w:rPr>
          <w:rFonts w:ascii="Arial" w:hAnsi="Arial" w:cs="Arial"/>
          <w:b/>
          <w:bCs/>
          <w:lang w:val="en-IN"/>
        </w:rPr>
        <w:t>Therapeutic misconception:</w:t>
      </w:r>
      <w:r w:rsidRPr="004B43A5">
        <w:rPr>
          <w:rFonts w:ascii="Arial" w:hAnsi="Arial" w:cs="Arial"/>
          <w:lang w:val="en-IN"/>
        </w:rPr>
        <w:t xml:space="preserve"> Many participants believe enrolling in a trial guarantees therapeutic benefit, when in fact the primary goal is knowledge generation [20]. This misconception undermines the voluntariness of consent.</w:t>
      </w:r>
    </w:p>
    <w:p w14:paraId="68322B98" w14:textId="77777777" w:rsidR="004B43A5" w:rsidRPr="004B43A5" w:rsidRDefault="004B43A5" w:rsidP="0086506E">
      <w:pPr>
        <w:pStyle w:val="Body"/>
        <w:numPr>
          <w:ilvl w:val="0"/>
          <w:numId w:val="9"/>
        </w:numPr>
        <w:spacing w:after="0"/>
        <w:rPr>
          <w:rFonts w:ascii="Arial" w:hAnsi="Arial" w:cs="Arial"/>
          <w:lang w:val="en-IN"/>
        </w:rPr>
      </w:pPr>
      <w:r w:rsidRPr="004B43A5">
        <w:rPr>
          <w:rFonts w:ascii="Arial" w:hAnsi="Arial" w:cs="Arial"/>
          <w:b/>
          <w:bCs/>
          <w:lang w:val="en-IN"/>
        </w:rPr>
        <w:t>Cultural influences:</w:t>
      </w:r>
      <w:r w:rsidRPr="004B43A5">
        <w:rPr>
          <w:rFonts w:ascii="Arial" w:hAnsi="Arial" w:cs="Arial"/>
          <w:lang w:val="en-IN"/>
        </w:rPr>
        <w:t xml:space="preserve"> In collectivist societies, family or community leaders may play decisive roles in consent. While respecting cultural norms is important, the individual’s right to self-determination must remain central [21].</w:t>
      </w:r>
    </w:p>
    <w:p w14:paraId="67BF58B5" w14:textId="22F83A19" w:rsidR="004B43A5" w:rsidRPr="004B43A5" w:rsidRDefault="004B43A5" w:rsidP="004B43A5">
      <w:pPr>
        <w:pStyle w:val="Body"/>
        <w:spacing w:after="0"/>
        <w:rPr>
          <w:rFonts w:ascii="Arial" w:hAnsi="Arial" w:cs="Arial"/>
          <w:lang w:val="en-IN"/>
        </w:rPr>
      </w:pPr>
      <w:r w:rsidRPr="004B43A5">
        <w:rPr>
          <w:rFonts w:ascii="Arial" w:hAnsi="Arial" w:cs="Arial"/>
          <w:lang w:val="en-IN"/>
        </w:rPr>
        <w:t>For vulnerable groups such as children or cognitively impaired adults, proxy consent is allowed, but assent from capable minors and independent oversight are strongly recommended to avoid exploitation [22].</w:t>
      </w:r>
    </w:p>
    <w:p w14:paraId="29AF0134" w14:textId="77777777" w:rsidR="004B43A5" w:rsidRDefault="004B43A5" w:rsidP="004B43A5">
      <w:pPr>
        <w:pStyle w:val="Body"/>
        <w:spacing w:after="0"/>
        <w:rPr>
          <w:rFonts w:ascii="Arial" w:hAnsi="Arial" w:cs="Arial"/>
          <w:b/>
          <w:bCs/>
          <w:lang w:val="en-IN"/>
        </w:rPr>
      </w:pPr>
    </w:p>
    <w:p w14:paraId="32BB0693" w14:textId="1863047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Ethics Committees and Institutional Review Boards</w:t>
      </w:r>
    </w:p>
    <w:p w14:paraId="00DF54C7" w14:textId="77777777" w:rsidR="004B43A5" w:rsidRDefault="004B43A5" w:rsidP="004B43A5">
      <w:pPr>
        <w:pStyle w:val="Body"/>
        <w:spacing w:after="0"/>
        <w:rPr>
          <w:rFonts w:ascii="Arial" w:hAnsi="Arial" w:cs="Arial"/>
          <w:lang w:val="en-IN"/>
        </w:rPr>
      </w:pPr>
    </w:p>
    <w:p w14:paraId="4BF801AE" w14:textId="2E5B552C" w:rsidR="004B43A5" w:rsidRPr="004B43A5" w:rsidRDefault="004B43A5" w:rsidP="004B43A5">
      <w:pPr>
        <w:pStyle w:val="Body"/>
        <w:spacing w:after="0"/>
        <w:rPr>
          <w:rFonts w:ascii="Arial" w:hAnsi="Arial" w:cs="Arial"/>
          <w:lang w:val="en-IN"/>
        </w:rPr>
      </w:pPr>
      <w:r w:rsidRPr="004B43A5">
        <w:rPr>
          <w:rFonts w:ascii="Arial" w:hAnsi="Arial" w:cs="Arial"/>
          <w:lang w:val="en-IN"/>
        </w:rPr>
        <w:t>Independent ethics committees (ECs) or institutional review boards (IRBs) serve as custodians of ethical standards. Their mandate includes:</w:t>
      </w:r>
    </w:p>
    <w:p w14:paraId="0465469B" w14:textId="77777777" w:rsidR="004B43A5" w:rsidRPr="004B43A5" w:rsidRDefault="004B43A5" w:rsidP="0086506E">
      <w:pPr>
        <w:pStyle w:val="Body"/>
        <w:numPr>
          <w:ilvl w:val="0"/>
          <w:numId w:val="10"/>
        </w:numPr>
        <w:spacing w:after="0"/>
        <w:rPr>
          <w:rFonts w:ascii="Arial" w:hAnsi="Arial" w:cs="Arial"/>
          <w:lang w:val="en-IN"/>
        </w:rPr>
      </w:pPr>
      <w:r w:rsidRPr="004B43A5">
        <w:rPr>
          <w:rFonts w:ascii="Arial" w:hAnsi="Arial" w:cs="Arial"/>
          <w:lang w:val="en-IN"/>
        </w:rPr>
        <w:t>Reviewing scientific validity of trial design (to avoid exposing participants to unjustified risks).</w:t>
      </w:r>
    </w:p>
    <w:p w14:paraId="3C526C58" w14:textId="77777777" w:rsidR="004B43A5" w:rsidRPr="004B43A5" w:rsidRDefault="004B43A5" w:rsidP="0086506E">
      <w:pPr>
        <w:pStyle w:val="Body"/>
        <w:numPr>
          <w:ilvl w:val="0"/>
          <w:numId w:val="10"/>
        </w:numPr>
        <w:spacing w:after="0"/>
        <w:rPr>
          <w:rFonts w:ascii="Arial" w:hAnsi="Arial" w:cs="Arial"/>
          <w:lang w:val="en-IN"/>
        </w:rPr>
      </w:pPr>
      <w:r w:rsidRPr="004B43A5">
        <w:rPr>
          <w:rFonts w:ascii="Arial" w:hAnsi="Arial" w:cs="Arial"/>
          <w:lang w:val="en-IN"/>
        </w:rPr>
        <w:t>Ensuring fair recruitment and consent procedures.</w:t>
      </w:r>
    </w:p>
    <w:p w14:paraId="4113431C" w14:textId="77777777" w:rsidR="004B43A5" w:rsidRPr="004B43A5" w:rsidRDefault="004B43A5" w:rsidP="0086506E">
      <w:pPr>
        <w:pStyle w:val="Body"/>
        <w:numPr>
          <w:ilvl w:val="0"/>
          <w:numId w:val="10"/>
        </w:numPr>
        <w:spacing w:after="0"/>
        <w:rPr>
          <w:rFonts w:ascii="Arial" w:hAnsi="Arial" w:cs="Arial"/>
          <w:lang w:val="en-IN"/>
        </w:rPr>
      </w:pPr>
      <w:r w:rsidRPr="004B43A5">
        <w:rPr>
          <w:rFonts w:ascii="Arial" w:hAnsi="Arial" w:cs="Arial"/>
          <w:lang w:val="en-IN"/>
        </w:rPr>
        <w:t>Monitoring ongoing trials and adverse events.</w:t>
      </w:r>
    </w:p>
    <w:p w14:paraId="1B026C88" w14:textId="77777777" w:rsidR="004B43A5" w:rsidRPr="004B43A5" w:rsidRDefault="004B43A5" w:rsidP="0086506E">
      <w:pPr>
        <w:pStyle w:val="Body"/>
        <w:numPr>
          <w:ilvl w:val="0"/>
          <w:numId w:val="10"/>
        </w:numPr>
        <w:spacing w:after="0"/>
        <w:rPr>
          <w:rFonts w:ascii="Arial" w:hAnsi="Arial" w:cs="Arial"/>
          <w:lang w:val="en-IN"/>
        </w:rPr>
      </w:pPr>
      <w:r w:rsidRPr="004B43A5">
        <w:rPr>
          <w:rFonts w:ascii="Arial" w:hAnsi="Arial" w:cs="Arial"/>
          <w:lang w:val="en-IN"/>
        </w:rPr>
        <w:t>Protecting vulnerable populations [23].</w:t>
      </w:r>
    </w:p>
    <w:p w14:paraId="470A4B5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 India, the New Drugs and Clinical Trials Rules (2019) strengthened ethics committee oversight by requiring formal registration with the Central Licensing Authority, aligning national practice with international standards [24].</w:t>
      </w:r>
    </w:p>
    <w:p w14:paraId="70F90957"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However, challenges persist:</w:t>
      </w:r>
    </w:p>
    <w:p w14:paraId="1CE84C6A" w14:textId="77777777" w:rsidR="004B43A5" w:rsidRPr="004B43A5" w:rsidRDefault="004B43A5" w:rsidP="0086506E">
      <w:pPr>
        <w:pStyle w:val="Body"/>
        <w:numPr>
          <w:ilvl w:val="0"/>
          <w:numId w:val="11"/>
        </w:numPr>
        <w:spacing w:after="0"/>
        <w:rPr>
          <w:rFonts w:ascii="Arial" w:hAnsi="Arial" w:cs="Arial"/>
          <w:lang w:val="en-IN"/>
        </w:rPr>
      </w:pPr>
      <w:r w:rsidRPr="004B43A5">
        <w:rPr>
          <w:rFonts w:ascii="Arial" w:hAnsi="Arial" w:cs="Arial"/>
          <w:b/>
          <w:bCs/>
          <w:lang w:val="en-IN"/>
        </w:rPr>
        <w:t>Inconsistencies</w:t>
      </w:r>
      <w:r w:rsidRPr="004B43A5">
        <w:rPr>
          <w:rFonts w:ascii="Arial" w:hAnsi="Arial" w:cs="Arial"/>
          <w:lang w:val="en-IN"/>
        </w:rPr>
        <w:t xml:space="preserve"> in ethical review across different committees.</w:t>
      </w:r>
    </w:p>
    <w:p w14:paraId="16C83116" w14:textId="77777777" w:rsidR="004B43A5" w:rsidRPr="004B43A5" w:rsidRDefault="004B43A5" w:rsidP="0086506E">
      <w:pPr>
        <w:pStyle w:val="Body"/>
        <w:numPr>
          <w:ilvl w:val="0"/>
          <w:numId w:val="11"/>
        </w:numPr>
        <w:spacing w:after="0"/>
        <w:rPr>
          <w:rFonts w:ascii="Arial" w:hAnsi="Arial" w:cs="Arial"/>
          <w:lang w:val="en-IN"/>
        </w:rPr>
      </w:pPr>
      <w:r w:rsidRPr="004B43A5">
        <w:rPr>
          <w:rFonts w:ascii="Arial" w:hAnsi="Arial" w:cs="Arial"/>
          <w:b/>
          <w:bCs/>
          <w:lang w:val="en-IN"/>
        </w:rPr>
        <w:t>Resource limitations</w:t>
      </w:r>
      <w:r w:rsidRPr="004B43A5">
        <w:rPr>
          <w:rFonts w:ascii="Arial" w:hAnsi="Arial" w:cs="Arial"/>
          <w:lang w:val="en-IN"/>
        </w:rPr>
        <w:t xml:space="preserve"> in LMICs, where committees may lack expertise to evaluate complex multinational protocols.</w:t>
      </w:r>
    </w:p>
    <w:p w14:paraId="190FE3C6" w14:textId="77777777" w:rsidR="004B43A5" w:rsidRPr="004B43A5" w:rsidRDefault="004B43A5" w:rsidP="0086506E">
      <w:pPr>
        <w:pStyle w:val="Body"/>
        <w:numPr>
          <w:ilvl w:val="0"/>
          <w:numId w:val="11"/>
        </w:numPr>
        <w:spacing w:after="0"/>
        <w:rPr>
          <w:rFonts w:ascii="Arial" w:hAnsi="Arial" w:cs="Arial"/>
          <w:lang w:val="en-IN"/>
        </w:rPr>
      </w:pPr>
      <w:r w:rsidRPr="004B43A5">
        <w:rPr>
          <w:rFonts w:ascii="Arial" w:hAnsi="Arial" w:cs="Arial"/>
          <w:b/>
          <w:bCs/>
          <w:lang w:val="en-IN"/>
        </w:rPr>
        <w:t>Over-regulation delays</w:t>
      </w:r>
      <w:r w:rsidRPr="004B43A5">
        <w:rPr>
          <w:rFonts w:ascii="Arial" w:hAnsi="Arial" w:cs="Arial"/>
          <w:lang w:val="en-IN"/>
        </w:rPr>
        <w:t>, where excessively cautious reviews can slow down urgently needed trials, such as during pandemics [25].</w:t>
      </w:r>
    </w:p>
    <w:p w14:paraId="11A1E10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These gaps highlight the need for capacity building and international harmonisation of ethical review standards.</w:t>
      </w:r>
    </w:p>
    <w:p w14:paraId="4007D6A4" w14:textId="77777777" w:rsidR="004B43A5" w:rsidRDefault="004B43A5" w:rsidP="004B43A5">
      <w:pPr>
        <w:pStyle w:val="Body"/>
        <w:spacing w:after="0"/>
        <w:rPr>
          <w:rFonts w:ascii="Arial" w:hAnsi="Arial" w:cs="Arial"/>
          <w:b/>
          <w:bCs/>
          <w:lang w:val="en-IN"/>
        </w:rPr>
      </w:pPr>
    </w:p>
    <w:p w14:paraId="0A435318" w14:textId="42EAAD51"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Ethical Controversies in Modern Clinical Research</w:t>
      </w:r>
    </w:p>
    <w:p w14:paraId="0917918E" w14:textId="77777777" w:rsidR="004B43A5" w:rsidRDefault="004B43A5" w:rsidP="004B43A5">
      <w:pPr>
        <w:pStyle w:val="Body"/>
        <w:spacing w:after="0"/>
        <w:rPr>
          <w:rFonts w:ascii="Arial" w:hAnsi="Arial" w:cs="Arial"/>
          <w:lang w:val="en-IN"/>
        </w:rPr>
      </w:pPr>
    </w:p>
    <w:p w14:paraId="53D76901" w14:textId="62AC5A78" w:rsidR="004B43A5" w:rsidRPr="004B43A5" w:rsidRDefault="004B43A5" w:rsidP="004B43A5">
      <w:pPr>
        <w:pStyle w:val="Body"/>
        <w:spacing w:after="0"/>
        <w:rPr>
          <w:rFonts w:ascii="Arial" w:hAnsi="Arial" w:cs="Arial"/>
          <w:lang w:val="en-IN"/>
        </w:rPr>
      </w:pPr>
      <w:r w:rsidRPr="004B43A5">
        <w:rPr>
          <w:rFonts w:ascii="Arial" w:hAnsi="Arial" w:cs="Arial"/>
          <w:lang w:val="en-IN"/>
        </w:rPr>
        <w:t>Despite regulatory progress, dilemmas continue to challenge the application of ethical principles:</w:t>
      </w:r>
    </w:p>
    <w:p w14:paraId="09E4286E" w14:textId="7777777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Use of Placebo Controls</w:t>
      </w:r>
    </w:p>
    <w:p w14:paraId="10EFA80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The </w:t>
      </w:r>
      <w:r w:rsidRPr="004B43A5">
        <w:rPr>
          <w:rFonts w:ascii="Arial" w:hAnsi="Arial" w:cs="Arial"/>
          <w:b/>
          <w:bCs/>
          <w:lang w:val="en-IN"/>
        </w:rPr>
        <w:t>Declaration of Helsinki</w:t>
      </w:r>
      <w:r w:rsidRPr="004B43A5">
        <w:rPr>
          <w:rFonts w:ascii="Arial" w:hAnsi="Arial" w:cs="Arial"/>
          <w:lang w:val="en-IN"/>
        </w:rPr>
        <w:t xml:space="preserve"> prohibits placebo use when proven therapy exists, except in compelling methodological circumstances. Yet the </w:t>
      </w:r>
      <w:r w:rsidRPr="004B43A5">
        <w:rPr>
          <w:rFonts w:ascii="Arial" w:hAnsi="Arial" w:cs="Arial"/>
          <w:b/>
          <w:bCs/>
          <w:lang w:val="en-IN"/>
        </w:rPr>
        <w:t>FDA</w:t>
      </w:r>
      <w:r w:rsidRPr="004B43A5">
        <w:rPr>
          <w:rFonts w:ascii="Arial" w:hAnsi="Arial" w:cs="Arial"/>
          <w:lang w:val="en-IN"/>
        </w:rPr>
        <w:t xml:space="preserve"> and </w:t>
      </w:r>
      <w:r w:rsidRPr="004B43A5">
        <w:rPr>
          <w:rFonts w:ascii="Arial" w:hAnsi="Arial" w:cs="Arial"/>
          <w:b/>
          <w:bCs/>
          <w:lang w:val="en-IN"/>
        </w:rPr>
        <w:t>ICH-GCP</w:t>
      </w:r>
      <w:r w:rsidRPr="004B43A5">
        <w:rPr>
          <w:rFonts w:ascii="Arial" w:hAnsi="Arial" w:cs="Arial"/>
          <w:lang w:val="en-IN"/>
        </w:rPr>
        <w:t xml:space="preserve"> allow broader use of placebo, arguing that only placebo-controlled trials can produce definitive efficacy data [7,26]. This divergence remains one of the most </w:t>
      </w:r>
      <w:proofErr w:type="spellStart"/>
      <w:r w:rsidRPr="004B43A5">
        <w:rPr>
          <w:rFonts w:ascii="Arial" w:hAnsi="Arial" w:cs="Arial"/>
          <w:lang w:val="en-IN"/>
        </w:rPr>
        <w:t>contested</w:t>
      </w:r>
      <w:proofErr w:type="spellEnd"/>
      <w:r w:rsidRPr="004B43A5">
        <w:rPr>
          <w:rFonts w:ascii="Arial" w:hAnsi="Arial" w:cs="Arial"/>
          <w:lang w:val="en-IN"/>
        </w:rPr>
        <w:t xml:space="preserve"> areas in international research ethics.</w:t>
      </w:r>
    </w:p>
    <w:p w14:paraId="6D327D96" w14:textId="77777777" w:rsidR="004B43A5" w:rsidRDefault="004B43A5" w:rsidP="004B43A5">
      <w:pPr>
        <w:pStyle w:val="Body"/>
        <w:spacing w:after="0"/>
        <w:rPr>
          <w:rFonts w:ascii="Arial" w:hAnsi="Arial" w:cs="Arial"/>
          <w:b/>
          <w:bCs/>
          <w:lang w:val="en-IN"/>
        </w:rPr>
      </w:pPr>
    </w:p>
    <w:p w14:paraId="550CF000" w14:textId="34B3B4F9"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Research in Vulnerable Populations</w:t>
      </w:r>
    </w:p>
    <w:p w14:paraId="6C600E5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Children, prisoners, economically disadvantaged individuals, and cognitively impaired adults are considered vulnerable. Ethical guidelines require additional safeguards, but controversies persist around whether these groups are under- or over-represented in research [22].</w:t>
      </w:r>
    </w:p>
    <w:p w14:paraId="7E06D547" w14:textId="77777777" w:rsidR="004B43A5" w:rsidRDefault="004B43A5" w:rsidP="004B43A5">
      <w:pPr>
        <w:pStyle w:val="Body"/>
        <w:spacing w:after="0"/>
        <w:rPr>
          <w:rFonts w:ascii="Arial" w:hAnsi="Arial" w:cs="Arial"/>
          <w:b/>
          <w:bCs/>
          <w:lang w:val="en-IN"/>
        </w:rPr>
      </w:pPr>
    </w:p>
    <w:p w14:paraId="3C12C705" w14:textId="7E221EDC"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Globalization of Trials</w:t>
      </w:r>
    </w:p>
    <w:p w14:paraId="3769D34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Multinational trials in LMICs raise concerns of </w:t>
      </w:r>
      <w:r w:rsidRPr="004B43A5">
        <w:rPr>
          <w:rFonts w:ascii="Arial" w:hAnsi="Arial" w:cs="Arial"/>
          <w:b/>
          <w:bCs/>
          <w:lang w:val="en-IN"/>
        </w:rPr>
        <w:t>“ethics dumping”</w:t>
      </w:r>
      <w:r w:rsidRPr="004B43A5">
        <w:rPr>
          <w:rFonts w:ascii="Arial" w:hAnsi="Arial" w:cs="Arial"/>
          <w:lang w:val="en-IN"/>
        </w:rPr>
        <w:t>, where studies are conducted in regions with weaker oversight or regulatory enforcement. While globalization offers opportunities for inclusion and capacity building, it also risks exploitation if benefits of research are not equitably shared [27].</w:t>
      </w:r>
    </w:p>
    <w:p w14:paraId="63E04092" w14:textId="77777777" w:rsidR="004B43A5" w:rsidRDefault="004B43A5" w:rsidP="004B43A5">
      <w:pPr>
        <w:pStyle w:val="Body"/>
        <w:spacing w:after="0"/>
        <w:rPr>
          <w:rFonts w:ascii="Arial" w:hAnsi="Arial" w:cs="Arial"/>
          <w:b/>
          <w:bCs/>
          <w:lang w:val="en-IN"/>
        </w:rPr>
      </w:pPr>
    </w:p>
    <w:p w14:paraId="71DAF0B4" w14:textId="79EBBDE0"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Emergency Research</w:t>
      </w:r>
    </w:p>
    <w:p w14:paraId="7751262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Ebola and COVID-19 pandemics highlighted the tension between speed and rigor. Accelerated vaccine trials raised questions about whether informed consent and long-term safety monitoring could be maintained without compromise [28]. The WHO’s rapid ethics guidance during these crises reflects the growing need for flexible but robust ethical frameworks.</w:t>
      </w:r>
    </w:p>
    <w:p w14:paraId="7F2D9EC2" w14:textId="77777777" w:rsidR="004B43A5" w:rsidRDefault="004B43A5" w:rsidP="004B43A5">
      <w:pPr>
        <w:pStyle w:val="Body"/>
        <w:spacing w:after="0"/>
        <w:rPr>
          <w:rFonts w:ascii="Arial" w:hAnsi="Arial" w:cs="Arial"/>
          <w:b/>
          <w:bCs/>
          <w:lang w:val="en-IN"/>
        </w:rPr>
      </w:pPr>
    </w:p>
    <w:p w14:paraId="7F3143E9" w14:textId="58097DD8"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Integration of Ethics into GCP</w:t>
      </w:r>
    </w:p>
    <w:p w14:paraId="20074632"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Ethical principles are embedded into GCP requirements:</w:t>
      </w:r>
    </w:p>
    <w:p w14:paraId="521CAC14" w14:textId="77777777" w:rsidR="004B43A5" w:rsidRPr="004B43A5" w:rsidRDefault="004B43A5" w:rsidP="0086506E">
      <w:pPr>
        <w:pStyle w:val="Body"/>
        <w:numPr>
          <w:ilvl w:val="0"/>
          <w:numId w:val="12"/>
        </w:numPr>
        <w:spacing w:after="0"/>
        <w:rPr>
          <w:rFonts w:ascii="Arial" w:hAnsi="Arial" w:cs="Arial"/>
          <w:lang w:val="en-IN"/>
        </w:rPr>
      </w:pPr>
      <w:r w:rsidRPr="004B43A5">
        <w:rPr>
          <w:rFonts w:ascii="Arial" w:hAnsi="Arial" w:cs="Arial"/>
          <w:lang w:val="en-IN"/>
        </w:rPr>
        <w:t xml:space="preserve">Protocol design must ensure scientific validity, </w:t>
      </w:r>
      <w:proofErr w:type="spellStart"/>
      <w:r w:rsidRPr="004B43A5">
        <w:rPr>
          <w:rFonts w:ascii="Arial" w:hAnsi="Arial" w:cs="Arial"/>
          <w:lang w:val="en-IN"/>
        </w:rPr>
        <w:t>honoring</w:t>
      </w:r>
      <w:proofErr w:type="spellEnd"/>
      <w:r w:rsidRPr="004B43A5">
        <w:rPr>
          <w:rFonts w:ascii="Arial" w:hAnsi="Arial" w:cs="Arial"/>
          <w:lang w:val="en-IN"/>
        </w:rPr>
        <w:t xml:space="preserve"> beneficence and non-maleficence.</w:t>
      </w:r>
    </w:p>
    <w:p w14:paraId="310252C8" w14:textId="77777777" w:rsidR="004B43A5" w:rsidRPr="004B43A5" w:rsidRDefault="004B43A5" w:rsidP="0086506E">
      <w:pPr>
        <w:pStyle w:val="Body"/>
        <w:numPr>
          <w:ilvl w:val="0"/>
          <w:numId w:val="12"/>
        </w:numPr>
        <w:spacing w:after="0"/>
        <w:rPr>
          <w:rFonts w:ascii="Arial" w:hAnsi="Arial" w:cs="Arial"/>
          <w:lang w:val="en-IN"/>
        </w:rPr>
      </w:pPr>
      <w:r w:rsidRPr="004B43A5">
        <w:rPr>
          <w:rFonts w:ascii="Arial" w:hAnsi="Arial" w:cs="Arial"/>
          <w:lang w:val="en-IN"/>
        </w:rPr>
        <w:t>Independent review operationalizes justice and transparency.</w:t>
      </w:r>
    </w:p>
    <w:p w14:paraId="412EA27D" w14:textId="77777777" w:rsidR="004B43A5" w:rsidRPr="004B43A5" w:rsidRDefault="004B43A5" w:rsidP="0086506E">
      <w:pPr>
        <w:pStyle w:val="Body"/>
        <w:numPr>
          <w:ilvl w:val="0"/>
          <w:numId w:val="12"/>
        </w:numPr>
        <w:spacing w:after="0"/>
        <w:rPr>
          <w:rFonts w:ascii="Arial" w:hAnsi="Arial" w:cs="Arial"/>
          <w:lang w:val="en-IN"/>
        </w:rPr>
      </w:pPr>
      <w:r w:rsidRPr="004B43A5">
        <w:rPr>
          <w:rFonts w:ascii="Arial" w:hAnsi="Arial" w:cs="Arial"/>
          <w:lang w:val="en-IN"/>
        </w:rPr>
        <w:t>Monitoring and auditing ensure participant protection throughout the trial.</w:t>
      </w:r>
    </w:p>
    <w:p w14:paraId="351C7B77" w14:textId="77777777" w:rsidR="004B43A5" w:rsidRPr="004B43A5" w:rsidRDefault="004B43A5" w:rsidP="0086506E">
      <w:pPr>
        <w:pStyle w:val="Body"/>
        <w:numPr>
          <w:ilvl w:val="0"/>
          <w:numId w:val="12"/>
        </w:numPr>
        <w:spacing w:after="0"/>
        <w:rPr>
          <w:rFonts w:ascii="Arial" w:hAnsi="Arial" w:cs="Arial"/>
          <w:lang w:val="en-IN"/>
        </w:rPr>
      </w:pPr>
      <w:r w:rsidRPr="004B43A5">
        <w:rPr>
          <w:rFonts w:ascii="Arial" w:hAnsi="Arial" w:cs="Arial"/>
          <w:lang w:val="en-IN"/>
        </w:rPr>
        <w:t>Documentation and reporting reflect respect for participants and the social contract of science [1].</w:t>
      </w:r>
    </w:p>
    <w:p w14:paraId="20B946D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Recent reforms, including ICH-GCP E6(R3), emphasize patient-centricity, encouraging the integration of participant voices into trial design and decision-making. This reflects a broader shift from viewing individuals as “subjects” to recognizing them as “partners” in research [29].</w:t>
      </w:r>
    </w:p>
    <w:p w14:paraId="4E6EFF1B" w14:textId="77777777" w:rsidR="004B43A5" w:rsidRDefault="004B43A5" w:rsidP="004B43A5">
      <w:pPr>
        <w:pStyle w:val="Body"/>
        <w:rPr>
          <w:rFonts w:ascii="Arial" w:hAnsi="Arial" w:cs="Arial"/>
          <w:b/>
          <w:bCs/>
          <w:lang w:val="en-IN"/>
        </w:rPr>
      </w:pPr>
    </w:p>
    <w:p w14:paraId="7EDF924C" w14:textId="0FBFDC31" w:rsidR="004B43A5" w:rsidRPr="004B43A5" w:rsidRDefault="004B43A5" w:rsidP="004B43A5">
      <w:pPr>
        <w:pStyle w:val="Body"/>
        <w:rPr>
          <w:rFonts w:ascii="Arial" w:hAnsi="Arial" w:cs="Arial"/>
          <w:b/>
          <w:bCs/>
          <w:lang w:val="en-IN"/>
        </w:rPr>
      </w:pPr>
      <w:r w:rsidRPr="004B43A5">
        <w:rPr>
          <w:rFonts w:ascii="Arial" w:hAnsi="Arial" w:cs="Arial"/>
          <w:b/>
          <w:bCs/>
          <w:lang w:val="en-IN"/>
        </w:rPr>
        <w:t>Global Regulatory Frameworks and Supervisory Agencies</w:t>
      </w:r>
    </w:p>
    <w:p w14:paraId="61FC78E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Clinical research today is an inherently global enterprise. Multinational pharmaceutical companies conduct trials across continents, often enrolling thousands of participants in diverse cultural and regulatory settings. This globalization has created unprecedented opportunities for collaboration but has also amplified the need for strong regulatory oversight. Without coherent and harmonised frameworks, clinical research risks inconsistency, exploitation, and data unreliability.</w:t>
      </w:r>
    </w:p>
    <w:p w14:paraId="2DB7032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Good Clinical Practice (GCP) guidelines, though globally recognized, must be interpreted and implemented within national legal and regulatory systems. Agencies such as the U.S. Food and Drug Administration (FDA), the European Medicines Agency (EMA), the Central Drugs Standard Control Organization (CDSCO, India), and the World Health Organization (WHO) play pivotal roles in ensuring that ethical and scientific standards are met. This section explores the structure, strengths, and challenges of these supervisory frameworks.</w:t>
      </w:r>
    </w:p>
    <w:p w14:paraId="621D4CD6" w14:textId="77777777" w:rsidR="004B43A5" w:rsidRDefault="004B43A5" w:rsidP="004B43A5">
      <w:pPr>
        <w:pStyle w:val="Body"/>
        <w:spacing w:after="0"/>
        <w:rPr>
          <w:rFonts w:ascii="Arial" w:hAnsi="Arial" w:cs="Arial"/>
          <w:b/>
          <w:bCs/>
          <w:lang w:val="en-IN"/>
        </w:rPr>
      </w:pPr>
    </w:p>
    <w:p w14:paraId="6BF3AC5E" w14:textId="77777777" w:rsidR="004B43A5" w:rsidRDefault="004B43A5" w:rsidP="004B43A5">
      <w:pPr>
        <w:pStyle w:val="Body"/>
        <w:spacing w:after="0"/>
        <w:rPr>
          <w:rFonts w:ascii="Arial" w:hAnsi="Arial" w:cs="Arial"/>
          <w:b/>
          <w:bCs/>
          <w:lang w:val="en-IN"/>
        </w:rPr>
      </w:pPr>
    </w:p>
    <w:p w14:paraId="61016CE0" w14:textId="34E5B8EA"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The U.S. Food and Drug Administration (FDA)</w:t>
      </w:r>
    </w:p>
    <w:p w14:paraId="0EBAA89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FDA is one of the most influential regulatory authorities globally, setting standards often adopted beyond U.S. borders.</w:t>
      </w:r>
    </w:p>
    <w:p w14:paraId="29E17853" w14:textId="77777777" w:rsidR="004B43A5" w:rsidRPr="004B43A5" w:rsidRDefault="004B43A5" w:rsidP="004B43A5">
      <w:pPr>
        <w:pStyle w:val="Body"/>
        <w:rPr>
          <w:rFonts w:ascii="Arial" w:hAnsi="Arial" w:cs="Arial"/>
          <w:lang w:val="en-IN"/>
        </w:rPr>
      </w:pPr>
      <w:r w:rsidRPr="004B43A5">
        <w:rPr>
          <w:rFonts w:ascii="Arial" w:hAnsi="Arial" w:cs="Arial"/>
          <w:lang w:val="en-IN"/>
        </w:rPr>
        <w:t>Legal Basis and Scope</w:t>
      </w:r>
    </w:p>
    <w:p w14:paraId="49D1E417" w14:textId="77777777" w:rsidR="004B43A5" w:rsidRPr="004B43A5" w:rsidRDefault="004B43A5" w:rsidP="0086506E">
      <w:pPr>
        <w:pStyle w:val="Body"/>
        <w:numPr>
          <w:ilvl w:val="0"/>
          <w:numId w:val="13"/>
        </w:numPr>
        <w:spacing w:after="0"/>
        <w:rPr>
          <w:rFonts w:ascii="Arial" w:hAnsi="Arial" w:cs="Arial"/>
          <w:lang w:val="en-IN"/>
        </w:rPr>
      </w:pPr>
      <w:r w:rsidRPr="004B43A5">
        <w:rPr>
          <w:rFonts w:ascii="Arial" w:hAnsi="Arial" w:cs="Arial"/>
          <w:lang w:val="en-IN"/>
        </w:rPr>
        <w:lastRenderedPageBreak/>
        <w:t>Governed primarily by Title 21 of the Code of Federal Regulations (CFR), the FDA oversees all stages of drug and device development.</w:t>
      </w:r>
    </w:p>
    <w:p w14:paraId="14281B54" w14:textId="77777777" w:rsidR="004B43A5" w:rsidRPr="004B43A5" w:rsidRDefault="004B43A5" w:rsidP="0086506E">
      <w:pPr>
        <w:pStyle w:val="Body"/>
        <w:numPr>
          <w:ilvl w:val="0"/>
          <w:numId w:val="13"/>
        </w:numPr>
        <w:spacing w:after="0"/>
        <w:rPr>
          <w:rFonts w:ascii="Arial" w:hAnsi="Arial" w:cs="Arial"/>
          <w:lang w:val="en-IN"/>
        </w:rPr>
      </w:pPr>
      <w:r w:rsidRPr="004B43A5">
        <w:rPr>
          <w:rFonts w:ascii="Arial" w:hAnsi="Arial" w:cs="Arial"/>
          <w:lang w:val="en-IN"/>
        </w:rPr>
        <w:t>Part 50 (Protection of Human Subjects), Part 56 (Institutional Review Boards), and Part 312 (Investigational New Drug Applications) form the regulatory backbone of clinical trials in the U.S. [30].</w:t>
      </w:r>
    </w:p>
    <w:p w14:paraId="61AD183E" w14:textId="77777777" w:rsidR="004B43A5" w:rsidRPr="004B43A5" w:rsidRDefault="004B43A5" w:rsidP="004B43A5">
      <w:pPr>
        <w:pStyle w:val="Body"/>
        <w:rPr>
          <w:rFonts w:ascii="Arial" w:hAnsi="Arial" w:cs="Arial"/>
          <w:lang w:val="en-IN"/>
        </w:rPr>
      </w:pPr>
      <w:r w:rsidRPr="004B43A5">
        <w:rPr>
          <w:rFonts w:ascii="Arial" w:hAnsi="Arial" w:cs="Arial"/>
          <w:lang w:val="en-IN"/>
        </w:rPr>
        <w:t>Key Features</w:t>
      </w:r>
    </w:p>
    <w:p w14:paraId="4887DB3D" w14:textId="77777777" w:rsidR="004B43A5" w:rsidRPr="004B43A5" w:rsidRDefault="004B43A5" w:rsidP="0086506E">
      <w:pPr>
        <w:pStyle w:val="Body"/>
        <w:numPr>
          <w:ilvl w:val="0"/>
          <w:numId w:val="14"/>
        </w:numPr>
        <w:spacing w:after="0"/>
        <w:rPr>
          <w:rFonts w:ascii="Arial" w:hAnsi="Arial" w:cs="Arial"/>
          <w:lang w:val="en-IN"/>
        </w:rPr>
      </w:pPr>
      <w:r w:rsidRPr="004B43A5">
        <w:rPr>
          <w:rFonts w:ascii="Arial" w:hAnsi="Arial" w:cs="Arial"/>
          <w:lang w:val="en-IN"/>
        </w:rPr>
        <w:t>IND Requirement: Before initiating trials, sponsors must submit an Investigational New Drug (IND) application, including preclinical data, protocols, and investigator qualifications.</w:t>
      </w:r>
    </w:p>
    <w:p w14:paraId="1EF28F66" w14:textId="77777777" w:rsidR="004B43A5" w:rsidRPr="004B43A5" w:rsidRDefault="004B43A5" w:rsidP="0086506E">
      <w:pPr>
        <w:pStyle w:val="Body"/>
        <w:numPr>
          <w:ilvl w:val="0"/>
          <w:numId w:val="14"/>
        </w:numPr>
        <w:spacing w:after="0"/>
        <w:rPr>
          <w:rFonts w:ascii="Arial" w:hAnsi="Arial" w:cs="Arial"/>
          <w:lang w:val="en-IN"/>
        </w:rPr>
      </w:pPr>
      <w:r w:rsidRPr="004B43A5">
        <w:rPr>
          <w:rFonts w:ascii="Arial" w:hAnsi="Arial" w:cs="Arial"/>
          <w:lang w:val="en-IN"/>
        </w:rPr>
        <w:t>IRB Oversight: Institutional Review Boards must approve all protocols, ensuring ethical standards are upheld.</w:t>
      </w:r>
    </w:p>
    <w:p w14:paraId="5A740688" w14:textId="77777777" w:rsidR="004B43A5" w:rsidRPr="004B43A5" w:rsidRDefault="004B43A5" w:rsidP="0086506E">
      <w:pPr>
        <w:pStyle w:val="Body"/>
        <w:numPr>
          <w:ilvl w:val="0"/>
          <w:numId w:val="14"/>
        </w:numPr>
        <w:spacing w:after="0"/>
        <w:rPr>
          <w:rFonts w:ascii="Arial" w:hAnsi="Arial" w:cs="Arial"/>
          <w:lang w:val="en-IN"/>
        </w:rPr>
      </w:pPr>
      <w:r w:rsidRPr="004B43A5">
        <w:rPr>
          <w:rFonts w:ascii="Arial" w:hAnsi="Arial" w:cs="Arial"/>
          <w:lang w:val="en-IN"/>
        </w:rPr>
        <w:t>Inspections and Enforcement: FDA conducts inspections to verify compliance. Violations can result in warning letters, trial suspensions, or rejection of data in marketing applications.</w:t>
      </w:r>
    </w:p>
    <w:p w14:paraId="302B7E60" w14:textId="77777777" w:rsidR="004B43A5" w:rsidRPr="004B43A5" w:rsidRDefault="004B43A5" w:rsidP="004B43A5">
      <w:pPr>
        <w:pStyle w:val="Body"/>
        <w:rPr>
          <w:rFonts w:ascii="Arial" w:hAnsi="Arial" w:cs="Arial"/>
          <w:lang w:val="en-IN"/>
        </w:rPr>
      </w:pPr>
      <w:r w:rsidRPr="004B43A5">
        <w:rPr>
          <w:rFonts w:ascii="Arial" w:hAnsi="Arial" w:cs="Arial"/>
          <w:lang w:val="en-IN"/>
        </w:rPr>
        <w:t>Criticisms and Challenges</w:t>
      </w:r>
    </w:p>
    <w:p w14:paraId="0F9C0318" w14:textId="77777777" w:rsidR="004B43A5" w:rsidRPr="004B43A5" w:rsidRDefault="004B43A5" w:rsidP="0086506E">
      <w:pPr>
        <w:pStyle w:val="Body"/>
        <w:numPr>
          <w:ilvl w:val="0"/>
          <w:numId w:val="15"/>
        </w:numPr>
        <w:spacing w:after="0"/>
        <w:rPr>
          <w:rFonts w:ascii="Arial" w:hAnsi="Arial" w:cs="Arial"/>
          <w:lang w:val="en-IN"/>
        </w:rPr>
      </w:pPr>
      <w:r w:rsidRPr="004B43A5">
        <w:rPr>
          <w:rFonts w:ascii="Arial" w:hAnsi="Arial" w:cs="Arial"/>
          <w:lang w:val="en-IN"/>
        </w:rPr>
        <w:t>The FDA has been criticized for its lengthy approval processes, sometimes slowing innovation [31].</w:t>
      </w:r>
    </w:p>
    <w:p w14:paraId="6F2F5781" w14:textId="77777777" w:rsidR="004B43A5" w:rsidRPr="004B43A5" w:rsidRDefault="004B43A5" w:rsidP="0086506E">
      <w:pPr>
        <w:pStyle w:val="Body"/>
        <w:numPr>
          <w:ilvl w:val="0"/>
          <w:numId w:val="15"/>
        </w:numPr>
        <w:spacing w:after="0"/>
        <w:rPr>
          <w:rFonts w:ascii="Arial" w:hAnsi="Arial" w:cs="Arial"/>
          <w:lang w:val="en-IN"/>
        </w:rPr>
      </w:pPr>
      <w:r w:rsidRPr="004B43A5">
        <w:rPr>
          <w:rFonts w:ascii="Arial" w:hAnsi="Arial" w:cs="Arial"/>
          <w:lang w:val="en-IN"/>
        </w:rPr>
        <w:t>In contrast, critics also argue that recent expedited pathways (e.g., Emergency Use Authorizations during COVID-19) may risk compromising long-term safety [32].</w:t>
      </w:r>
    </w:p>
    <w:p w14:paraId="063CDB04" w14:textId="77777777" w:rsidR="004B43A5" w:rsidRPr="004B43A5" w:rsidRDefault="004B43A5" w:rsidP="0086506E">
      <w:pPr>
        <w:pStyle w:val="Body"/>
        <w:numPr>
          <w:ilvl w:val="0"/>
          <w:numId w:val="15"/>
        </w:numPr>
        <w:spacing w:after="0"/>
        <w:rPr>
          <w:rFonts w:ascii="Arial" w:hAnsi="Arial" w:cs="Arial"/>
          <w:lang w:val="en-IN"/>
        </w:rPr>
      </w:pPr>
      <w:r w:rsidRPr="004B43A5">
        <w:rPr>
          <w:rFonts w:ascii="Arial" w:hAnsi="Arial" w:cs="Arial"/>
          <w:lang w:val="en-IN"/>
        </w:rPr>
        <w:t>The FDA’s reliance on sponsor-generated data raises concerns about transparency and conflicts of interest.</w:t>
      </w:r>
    </w:p>
    <w:p w14:paraId="51640D59" w14:textId="77777777" w:rsidR="00727A1C" w:rsidRDefault="00727A1C" w:rsidP="004B43A5">
      <w:pPr>
        <w:pStyle w:val="Body"/>
        <w:spacing w:after="0"/>
        <w:rPr>
          <w:rFonts w:ascii="Arial" w:hAnsi="Arial" w:cs="Arial"/>
          <w:b/>
          <w:bCs/>
          <w:lang w:val="en-IN"/>
        </w:rPr>
      </w:pPr>
    </w:p>
    <w:p w14:paraId="67AAD256" w14:textId="2883551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The European Medicines Agency (EMA)</w:t>
      </w:r>
    </w:p>
    <w:p w14:paraId="1F541BB0"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EMA coordinates drug evaluation across the European Union, balancing scientific rigor with the need for harmonisation among member states.</w:t>
      </w:r>
    </w:p>
    <w:p w14:paraId="78B6FEBC" w14:textId="77777777" w:rsidR="004B43A5" w:rsidRPr="004B43A5" w:rsidRDefault="004B43A5" w:rsidP="004B43A5">
      <w:pPr>
        <w:pStyle w:val="Body"/>
        <w:rPr>
          <w:rFonts w:ascii="Arial" w:hAnsi="Arial" w:cs="Arial"/>
          <w:lang w:val="en-IN"/>
        </w:rPr>
      </w:pPr>
      <w:r w:rsidRPr="004B43A5">
        <w:rPr>
          <w:rFonts w:ascii="Arial" w:hAnsi="Arial" w:cs="Arial"/>
          <w:lang w:val="en-IN"/>
        </w:rPr>
        <w:t>Framework</w:t>
      </w:r>
    </w:p>
    <w:p w14:paraId="1F575D4C" w14:textId="77777777" w:rsidR="004B43A5" w:rsidRPr="004B43A5" w:rsidRDefault="004B43A5" w:rsidP="0086506E">
      <w:pPr>
        <w:pStyle w:val="Body"/>
        <w:numPr>
          <w:ilvl w:val="0"/>
          <w:numId w:val="16"/>
        </w:numPr>
        <w:spacing w:after="0"/>
        <w:rPr>
          <w:rFonts w:ascii="Arial" w:hAnsi="Arial" w:cs="Arial"/>
          <w:lang w:val="en-IN"/>
        </w:rPr>
      </w:pPr>
      <w:r w:rsidRPr="004B43A5">
        <w:rPr>
          <w:rFonts w:ascii="Arial" w:hAnsi="Arial" w:cs="Arial"/>
          <w:lang w:val="en-IN"/>
        </w:rPr>
        <w:t>The EU Clinical Trials Directive (2001/20/EC) initially sought to standardize trial regulation but was criticized for bureaucratic complexity.</w:t>
      </w:r>
    </w:p>
    <w:p w14:paraId="75A2EEC5" w14:textId="77777777" w:rsidR="004B43A5" w:rsidRPr="004B43A5" w:rsidRDefault="004B43A5" w:rsidP="0086506E">
      <w:pPr>
        <w:pStyle w:val="Body"/>
        <w:numPr>
          <w:ilvl w:val="0"/>
          <w:numId w:val="16"/>
        </w:numPr>
        <w:spacing w:after="0"/>
        <w:rPr>
          <w:rFonts w:ascii="Arial" w:hAnsi="Arial" w:cs="Arial"/>
          <w:lang w:val="en-IN"/>
        </w:rPr>
      </w:pPr>
      <w:r w:rsidRPr="004B43A5">
        <w:rPr>
          <w:rFonts w:ascii="Arial" w:hAnsi="Arial" w:cs="Arial"/>
          <w:lang w:val="en-IN"/>
        </w:rPr>
        <w:t>This was replaced by the EU Clinical Trials Regulation (No. 536/2014), implemented in 2022, which streamlined processes by creating a single EU portal and database [33].</w:t>
      </w:r>
    </w:p>
    <w:p w14:paraId="06AEE452" w14:textId="77777777" w:rsidR="004B43A5" w:rsidRPr="004B43A5" w:rsidRDefault="004B43A5" w:rsidP="004B43A5">
      <w:pPr>
        <w:pStyle w:val="Body"/>
        <w:rPr>
          <w:rFonts w:ascii="Arial" w:hAnsi="Arial" w:cs="Arial"/>
          <w:lang w:val="en-IN"/>
        </w:rPr>
      </w:pPr>
      <w:r w:rsidRPr="004B43A5">
        <w:rPr>
          <w:rFonts w:ascii="Arial" w:hAnsi="Arial" w:cs="Arial"/>
          <w:lang w:val="en-IN"/>
        </w:rPr>
        <w:t>Key Features</w:t>
      </w:r>
    </w:p>
    <w:p w14:paraId="7E79CEDD" w14:textId="77777777" w:rsidR="004B43A5" w:rsidRPr="004B43A5" w:rsidRDefault="004B43A5" w:rsidP="0086506E">
      <w:pPr>
        <w:pStyle w:val="Body"/>
        <w:numPr>
          <w:ilvl w:val="0"/>
          <w:numId w:val="17"/>
        </w:numPr>
        <w:spacing w:after="0"/>
        <w:rPr>
          <w:rFonts w:ascii="Arial" w:hAnsi="Arial" w:cs="Arial"/>
          <w:lang w:val="en-IN"/>
        </w:rPr>
      </w:pPr>
      <w:r w:rsidRPr="004B43A5">
        <w:rPr>
          <w:rFonts w:ascii="Arial" w:hAnsi="Arial" w:cs="Arial"/>
          <w:lang w:val="en-IN"/>
        </w:rPr>
        <w:t>Centralised Review: Sponsors submit one application valid across the EU, improving efficiency.</w:t>
      </w:r>
    </w:p>
    <w:p w14:paraId="2201F384" w14:textId="77777777" w:rsidR="004B43A5" w:rsidRPr="004B43A5" w:rsidRDefault="004B43A5" w:rsidP="0086506E">
      <w:pPr>
        <w:pStyle w:val="Body"/>
        <w:numPr>
          <w:ilvl w:val="0"/>
          <w:numId w:val="17"/>
        </w:numPr>
        <w:spacing w:after="0"/>
        <w:rPr>
          <w:rFonts w:ascii="Arial" w:hAnsi="Arial" w:cs="Arial"/>
          <w:lang w:val="en-IN"/>
        </w:rPr>
      </w:pPr>
      <w:r w:rsidRPr="004B43A5">
        <w:rPr>
          <w:rFonts w:ascii="Arial" w:hAnsi="Arial" w:cs="Arial"/>
          <w:lang w:val="en-IN"/>
        </w:rPr>
        <w:t>Transparency: All trial applications and results must be publicly accessible in the EU database.</w:t>
      </w:r>
    </w:p>
    <w:p w14:paraId="3FE7D2EA" w14:textId="77777777" w:rsidR="004B43A5" w:rsidRPr="004B43A5" w:rsidRDefault="004B43A5" w:rsidP="0086506E">
      <w:pPr>
        <w:pStyle w:val="Body"/>
        <w:numPr>
          <w:ilvl w:val="0"/>
          <w:numId w:val="17"/>
        </w:numPr>
        <w:spacing w:after="0"/>
        <w:rPr>
          <w:rFonts w:ascii="Arial" w:hAnsi="Arial" w:cs="Arial"/>
          <w:lang w:val="en-IN"/>
        </w:rPr>
      </w:pPr>
      <w:r w:rsidRPr="004B43A5">
        <w:rPr>
          <w:rFonts w:ascii="Arial" w:hAnsi="Arial" w:cs="Arial"/>
          <w:lang w:val="en-IN"/>
        </w:rPr>
        <w:t>Ethics Committees: Member states still retain responsibility for ethical review, ensuring cultural and national sensitivities are respected.</w:t>
      </w:r>
    </w:p>
    <w:p w14:paraId="3B932B2F" w14:textId="77777777" w:rsidR="004B43A5" w:rsidRPr="004B43A5" w:rsidRDefault="004B43A5" w:rsidP="004B43A5">
      <w:pPr>
        <w:pStyle w:val="Body"/>
        <w:rPr>
          <w:rFonts w:ascii="Arial" w:hAnsi="Arial" w:cs="Arial"/>
          <w:lang w:val="en-IN"/>
        </w:rPr>
      </w:pPr>
      <w:r w:rsidRPr="004B43A5">
        <w:rPr>
          <w:rFonts w:ascii="Arial" w:hAnsi="Arial" w:cs="Arial"/>
          <w:lang w:val="en-IN"/>
        </w:rPr>
        <w:t>Strengths and Limitations</w:t>
      </w:r>
    </w:p>
    <w:p w14:paraId="17EC6B31" w14:textId="77777777" w:rsidR="004B43A5" w:rsidRPr="004B43A5" w:rsidRDefault="004B43A5" w:rsidP="0086506E">
      <w:pPr>
        <w:pStyle w:val="Body"/>
        <w:numPr>
          <w:ilvl w:val="0"/>
          <w:numId w:val="18"/>
        </w:numPr>
        <w:spacing w:after="0"/>
        <w:rPr>
          <w:rFonts w:ascii="Arial" w:hAnsi="Arial" w:cs="Arial"/>
          <w:lang w:val="en-IN"/>
        </w:rPr>
      </w:pPr>
      <w:r w:rsidRPr="004B43A5">
        <w:rPr>
          <w:rFonts w:ascii="Arial" w:hAnsi="Arial" w:cs="Arial"/>
          <w:lang w:val="en-IN"/>
        </w:rPr>
        <w:t>The EMA has been praised for promoting open access to data, increasing public trust [34].</w:t>
      </w:r>
    </w:p>
    <w:p w14:paraId="63D8E45B" w14:textId="77777777" w:rsidR="004B43A5" w:rsidRPr="004B43A5" w:rsidRDefault="004B43A5" w:rsidP="0086506E">
      <w:pPr>
        <w:pStyle w:val="Body"/>
        <w:numPr>
          <w:ilvl w:val="0"/>
          <w:numId w:val="18"/>
        </w:numPr>
        <w:spacing w:after="0"/>
        <w:rPr>
          <w:rFonts w:ascii="Arial" w:hAnsi="Arial" w:cs="Arial"/>
          <w:lang w:val="en-IN"/>
        </w:rPr>
      </w:pPr>
      <w:r w:rsidRPr="004B43A5">
        <w:rPr>
          <w:rFonts w:ascii="Arial" w:hAnsi="Arial" w:cs="Arial"/>
          <w:lang w:val="en-IN"/>
        </w:rPr>
        <w:t>However, implementation across diverse member states remains uneven, with national regulations sometimes complicating harmonisation.</w:t>
      </w:r>
    </w:p>
    <w:p w14:paraId="12BD61AF" w14:textId="77777777" w:rsidR="004B43A5" w:rsidRPr="004B43A5" w:rsidRDefault="004B43A5" w:rsidP="0086506E">
      <w:pPr>
        <w:pStyle w:val="Body"/>
        <w:numPr>
          <w:ilvl w:val="0"/>
          <w:numId w:val="18"/>
        </w:numPr>
        <w:spacing w:after="0"/>
        <w:rPr>
          <w:rFonts w:ascii="Arial" w:hAnsi="Arial" w:cs="Arial"/>
          <w:lang w:val="en-IN"/>
        </w:rPr>
      </w:pPr>
      <w:r w:rsidRPr="004B43A5">
        <w:rPr>
          <w:rFonts w:ascii="Arial" w:hAnsi="Arial" w:cs="Arial"/>
          <w:lang w:val="en-IN"/>
        </w:rPr>
        <w:t>Brexit has added further challenges, with the UK’s Medicines and Healthcare products Regulatory Agency (MHRA) now operating independently.</w:t>
      </w:r>
    </w:p>
    <w:p w14:paraId="01D72D71" w14:textId="77777777" w:rsidR="00727A1C" w:rsidRDefault="00727A1C" w:rsidP="004B43A5">
      <w:pPr>
        <w:pStyle w:val="Body"/>
        <w:spacing w:after="0"/>
        <w:rPr>
          <w:rFonts w:ascii="Arial" w:hAnsi="Arial" w:cs="Arial"/>
          <w:b/>
          <w:bCs/>
          <w:lang w:val="en-IN"/>
        </w:rPr>
      </w:pPr>
    </w:p>
    <w:p w14:paraId="06593C43" w14:textId="5BEBD855"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India: Central Drugs Standard Control Organization (CDSCO)</w:t>
      </w:r>
    </w:p>
    <w:p w14:paraId="286986F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lastRenderedPageBreak/>
        <w:t>India has emerged as a major hub for clinical research due to its large patient pool and cost advantages. However, concerns over ethical lapses and inconsistent oversight have shaped its regulatory evolution.</w:t>
      </w:r>
    </w:p>
    <w:p w14:paraId="736BAD82" w14:textId="77777777" w:rsidR="004B43A5" w:rsidRPr="004B43A5" w:rsidRDefault="004B43A5" w:rsidP="004B43A5">
      <w:pPr>
        <w:pStyle w:val="Body"/>
        <w:rPr>
          <w:rFonts w:ascii="Arial" w:hAnsi="Arial" w:cs="Arial"/>
          <w:lang w:val="en-IN"/>
        </w:rPr>
      </w:pPr>
      <w:r w:rsidRPr="004B43A5">
        <w:rPr>
          <w:rFonts w:ascii="Arial" w:hAnsi="Arial" w:cs="Arial"/>
          <w:lang w:val="en-IN"/>
        </w:rPr>
        <w:t>Regulatory Evolution</w:t>
      </w:r>
    </w:p>
    <w:p w14:paraId="04EC5721" w14:textId="77777777" w:rsidR="004B43A5" w:rsidRPr="004B43A5" w:rsidRDefault="004B43A5" w:rsidP="0086506E">
      <w:pPr>
        <w:pStyle w:val="Body"/>
        <w:numPr>
          <w:ilvl w:val="0"/>
          <w:numId w:val="19"/>
        </w:numPr>
        <w:spacing w:after="0"/>
        <w:rPr>
          <w:rFonts w:ascii="Arial" w:hAnsi="Arial" w:cs="Arial"/>
          <w:lang w:val="en-IN"/>
        </w:rPr>
      </w:pPr>
      <w:r w:rsidRPr="004B43A5">
        <w:rPr>
          <w:rFonts w:ascii="Arial" w:hAnsi="Arial" w:cs="Arial"/>
          <w:lang w:val="en-IN"/>
        </w:rPr>
        <w:t>In the early 2000s, India saw rapid growth in clinical trials, but also controversies over unethical practices and inadequate consent procedures [35].</w:t>
      </w:r>
    </w:p>
    <w:p w14:paraId="79D74D0C" w14:textId="77777777" w:rsidR="004B43A5" w:rsidRPr="004B43A5" w:rsidRDefault="004B43A5" w:rsidP="0086506E">
      <w:pPr>
        <w:pStyle w:val="Body"/>
        <w:numPr>
          <w:ilvl w:val="0"/>
          <w:numId w:val="19"/>
        </w:numPr>
        <w:spacing w:after="0"/>
        <w:rPr>
          <w:rFonts w:ascii="Arial" w:hAnsi="Arial" w:cs="Arial"/>
          <w:lang w:val="en-IN"/>
        </w:rPr>
      </w:pPr>
      <w:r w:rsidRPr="004B43A5">
        <w:rPr>
          <w:rFonts w:ascii="Arial" w:hAnsi="Arial" w:cs="Arial"/>
          <w:lang w:val="en-IN"/>
        </w:rPr>
        <w:t xml:space="preserve">The 2013 Supreme Court ruling in the </w:t>
      </w:r>
      <w:proofErr w:type="spellStart"/>
      <w:r w:rsidRPr="004B43A5">
        <w:rPr>
          <w:rFonts w:ascii="Arial" w:hAnsi="Arial" w:cs="Arial"/>
          <w:lang w:val="en-IN"/>
        </w:rPr>
        <w:t>Swasthya</w:t>
      </w:r>
      <w:proofErr w:type="spellEnd"/>
      <w:r w:rsidRPr="004B43A5">
        <w:rPr>
          <w:rFonts w:ascii="Arial" w:hAnsi="Arial" w:cs="Arial"/>
          <w:lang w:val="en-IN"/>
        </w:rPr>
        <w:t xml:space="preserve"> </w:t>
      </w:r>
      <w:proofErr w:type="spellStart"/>
      <w:r w:rsidRPr="004B43A5">
        <w:rPr>
          <w:rFonts w:ascii="Arial" w:hAnsi="Arial" w:cs="Arial"/>
          <w:lang w:val="en-IN"/>
        </w:rPr>
        <w:t>Adhikar</w:t>
      </w:r>
      <w:proofErr w:type="spellEnd"/>
      <w:r w:rsidRPr="004B43A5">
        <w:rPr>
          <w:rFonts w:ascii="Arial" w:hAnsi="Arial" w:cs="Arial"/>
          <w:lang w:val="en-IN"/>
        </w:rPr>
        <w:t xml:space="preserve"> </w:t>
      </w:r>
      <w:proofErr w:type="spellStart"/>
      <w:r w:rsidRPr="004B43A5">
        <w:rPr>
          <w:rFonts w:ascii="Arial" w:hAnsi="Arial" w:cs="Arial"/>
          <w:lang w:val="en-IN"/>
        </w:rPr>
        <w:t>Manch</w:t>
      </w:r>
      <w:proofErr w:type="spellEnd"/>
      <w:r w:rsidRPr="004B43A5">
        <w:rPr>
          <w:rFonts w:ascii="Arial" w:hAnsi="Arial" w:cs="Arial"/>
          <w:lang w:val="en-IN"/>
        </w:rPr>
        <w:t xml:space="preserve"> case criticized weak protections for participants and demanded stricter safeguards [36].</w:t>
      </w:r>
    </w:p>
    <w:p w14:paraId="53B3D12D" w14:textId="77777777" w:rsidR="004B43A5" w:rsidRPr="004B43A5" w:rsidRDefault="004B43A5" w:rsidP="0086506E">
      <w:pPr>
        <w:pStyle w:val="Body"/>
        <w:numPr>
          <w:ilvl w:val="0"/>
          <w:numId w:val="19"/>
        </w:numPr>
        <w:spacing w:after="0"/>
        <w:rPr>
          <w:rFonts w:ascii="Arial" w:hAnsi="Arial" w:cs="Arial"/>
          <w:lang w:val="en-IN"/>
        </w:rPr>
      </w:pPr>
      <w:r w:rsidRPr="004B43A5">
        <w:rPr>
          <w:rFonts w:ascii="Arial" w:hAnsi="Arial" w:cs="Arial"/>
          <w:lang w:val="en-IN"/>
        </w:rPr>
        <w:t>In response, the New Drugs and Clinical Trials Rules (2019) were enacted, strengthening requirements for ethics committee registration, compensation for trial-related injury, and timelines for approvals [24].</w:t>
      </w:r>
    </w:p>
    <w:p w14:paraId="346C8317" w14:textId="77777777" w:rsidR="004B43A5" w:rsidRPr="004B43A5" w:rsidRDefault="004B43A5" w:rsidP="004B43A5">
      <w:pPr>
        <w:pStyle w:val="Body"/>
        <w:rPr>
          <w:rFonts w:ascii="Arial" w:hAnsi="Arial" w:cs="Arial"/>
          <w:lang w:val="en-IN"/>
        </w:rPr>
      </w:pPr>
      <w:r w:rsidRPr="004B43A5">
        <w:rPr>
          <w:rFonts w:ascii="Arial" w:hAnsi="Arial" w:cs="Arial"/>
          <w:lang w:val="en-IN"/>
        </w:rPr>
        <w:t>Key Features</w:t>
      </w:r>
    </w:p>
    <w:p w14:paraId="41EDD7BB" w14:textId="77777777" w:rsidR="004B43A5" w:rsidRPr="004B43A5" w:rsidRDefault="004B43A5" w:rsidP="0086506E">
      <w:pPr>
        <w:pStyle w:val="Body"/>
        <w:numPr>
          <w:ilvl w:val="0"/>
          <w:numId w:val="20"/>
        </w:numPr>
        <w:spacing w:after="0"/>
        <w:rPr>
          <w:rFonts w:ascii="Arial" w:hAnsi="Arial" w:cs="Arial"/>
          <w:lang w:val="en-IN"/>
        </w:rPr>
      </w:pPr>
      <w:r w:rsidRPr="004B43A5">
        <w:rPr>
          <w:rFonts w:ascii="Arial" w:hAnsi="Arial" w:cs="Arial"/>
          <w:lang w:val="en-IN"/>
        </w:rPr>
        <w:t>Mandatory Registration: Trials must be registered in the Clinical Trials Registry of India (CTRI) before initiation.</w:t>
      </w:r>
    </w:p>
    <w:p w14:paraId="5C79FA9F" w14:textId="77777777" w:rsidR="004B43A5" w:rsidRPr="004B43A5" w:rsidRDefault="004B43A5" w:rsidP="0086506E">
      <w:pPr>
        <w:pStyle w:val="Body"/>
        <w:numPr>
          <w:ilvl w:val="0"/>
          <w:numId w:val="20"/>
        </w:numPr>
        <w:spacing w:after="0"/>
        <w:rPr>
          <w:rFonts w:ascii="Arial" w:hAnsi="Arial" w:cs="Arial"/>
          <w:lang w:val="en-IN"/>
        </w:rPr>
      </w:pPr>
      <w:r w:rsidRPr="004B43A5">
        <w:rPr>
          <w:rFonts w:ascii="Arial" w:hAnsi="Arial" w:cs="Arial"/>
          <w:lang w:val="en-IN"/>
        </w:rPr>
        <w:t>Compensation Rules: Clear guidelines mandate compensation for injury or death directly linked to trial participation.</w:t>
      </w:r>
    </w:p>
    <w:p w14:paraId="4E908FDC" w14:textId="77777777" w:rsidR="004B43A5" w:rsidRPr="004B43A5" w:rsidRDefault="004B43A5" w:rsidP="0086506E">
      <w:pPr>
        <w:pStyle w:val="Body"/>
        <w:numPr>
          <w:ilvl w:val="0"/>
          <w:numId w:val="20"/>
        </w:numPr>
        <w:spacing w:after="0"/>
        <w:rPr>
          <w:rFonts w:ascii="Arial" w:hAnsi="Arial" w:cs="Arial"/>
          <w:lang w:val="en-IN"/>
        </w:rPr>
      </w:pPr>
      <w:r w:rsidRPr="004B43A5">
        <w:rPr>
          <w:rFonts w:ascii="Arial" w:hAnsi="Arial" w:cs="Arial"/>
          <w:lang w:val="en-IN"/>
        </w:rPr>
        <w:t>Ethics Oversight: Ethics committees must register with CDSCO and undergo periodic audits.</w:t>
      </w:r>
    </w:p>
    <w:p w14:paraId="1AEBCC8E" w14:textId="77777777" w:rsidR="004B43A5" w:rsidRPr="004B43A5" w:rsidRDefault="004B43A5" w:rsidP="004B43A5">
      <w:pPr>
        <w:pStyle w:val="Body"/>
        <w:rPr>
          <w:rFonts w:ascii="Arial" w:hAnsi="Arial" w:cs="Arial"/>
          <w:lang w:val="en-IN"/>
        </w:rPr>
      </w:pPr>
      <w:r w:rsidRPr="004B43A5">
        <w:rPr>
          <w:rFonts w:ascii="Arial" w:hAnsi="Arial" w:cs="Arial"/>
          <w:lang w:val="en-IN"/>
        </w:rPr>
        <w:t>Strengths and Limitations</w:t>
      </w:r>
    </w:p>
    <w:p w14:paraId="6313310F" w14:textId="77777777" w:rsidR="004B43A5" w:rsidRPr="004B43A5" w:rsidRDefault="004B43A5" w:rsidP="0086506E">
      <w:pPr>
        <w:pStyle w:val="Body"/>
        <w:numPr>
          <w:ilvl w:val="0"/>
          <w:numId w:val="21"/>
        </w:numPr>
        <w:spacing w:after="0"/>
        <w:rPr>
          <w:rFonts w:ascii="Arial" w:hAnsi="Arial" w:cs="Arial"/>
          <w:lang w:val="en-IN"/>
        </w:rPr>
      </w:pPr>
      <w:r w:rsidRPr="004B43A5">
        <w:rPr>
          <w:rFonts w:ascii="Arial" w:hAnsi="Arial" w:cs="Arial"/>
          <w:lang w:val="en-IN"/>
        </w:rPr>
        <w:t>These reforms have improved India’s international credibility, but enforcement capacity remains limited.</w:t>
      </w:r>
    </w:p>
    <w:p w14:paraId="724E059B" w14:textId="77777777" w:rsidR="004B43A5" w:rsidRPr="004B43A5" w:rsidRDefault="004B43A5" w:rsidP="0086506E">
      <w:pPr>
        <w:pStyle w:val="Body"/>
        <w:numPr>
          <w:ilvl w:val="0"/>
          <w:numId w:val="21"/>
        </w:numPr>
        <w:spacing w:after="0"/>
        <w:rPr>
          <w:rFonts w:ascii="Arial" w:hAnsi="Arial" w:cs="Arial"/>
          <w:lang w:val="en-IN"/>
        </w:rPr>
      </w:pPr>
      <w:r w:rsidRPr="004B43A5">
        <w:rPr>
          <w:rFonts w:ascii="Arial" w:hAnsi="Arial" w:cs="Arial"/>
          <w:lang w:val="en-IN"/>
        </w:rPr>
        <w:t>Ethics committees often lack the expertise to review complex protocols.</w:t>
      </w:r>
    </w:p>
    <w:p w14:paraId="363A007F" w14:textId="77777777" w:rsidR="004B43A5" w:rsidRPr="004B43A5" w:rsidRDefault="004B43A5" w:rsidP="0086506E">
      <w:pPr>
        <w:pStyle w:val="Body"/>
        <w:numPr>
          <w:ilvl w:val="0"/>
          <w:numId w:val="21"/>
        </w:numPr>
        <w:spacing w:after="0"/>
        <w:rPr>
          <w:rFonts w:ascii="Arial" w:hAnsi="Arial" w:cs="Arial"/>
          <w:lang w:val="en-IN"/>
        </w:rPr>
      </w:pPr>
      <w:r w:rsidRPr="004B43A5">
        <w:rPr>
          <w:rFonts w:ascii="Arial" w:hAnsi="Arial" w:cs="Arial"/>
          <w:lang w:val="en-IN"/>
        </w:rPr>
        <w:t>Despite reforms, participants in rural and low-literacy settings remain vulnerable to coercion or inadequate comprehension of consent forms [37].</w:t>
      </w:r>
    </w:p>
    <w:p w14:paraId="396D150B" w14:textId="77777777" w:rsidR="00727A1C" w:rsidRDefault="00727A1C" w:rsidP="004B43A5">
      <w:pPr>
        <w:pStyle w:val="Body"/>
        <w:spacing w:after="0"/>
        <w:rPr>
          <w:rFonts w:ascii="Arial" w:hAnsi="Arial" w:cs="Arial"/>
          <w:b/>
          <w:bCs/>
          <w:lang w:val="en-IN"/>
        </w:rPr>
      </w:pPr>
    </w:p>
    <w:p w14:paraId="6A31E545" w14:textId="734F0483"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World Health Organization (WHO) and CIOMS</w:t>
      </w:r>
    </w:p>
    <w:p w14:paraId="17357FC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WHO plays a global standard-setting role, particularly for LMICs that lack robust national regulatory structures.</w:t>
      </w:r>
    </w:p>
    <w:p w14:paraId="7A74BF59" w14:textId="77777777" w:rsidR="004B43A5" w:rsidRPr="004B43A5" w:rsidRDefault="004B43A5" w:rsidP="004B43A5">
      <w:pPr>
        <w:pStyle w:val="Body"/>
        <w:rPr>
          <w:rFonts w:ascii="Arial" w:hAnsi="Arial" w:cs="Arial"/>
          <w:lang w:val="en-IN"/>
        </w:rPr>
      </w:pPr>
      <w:r w:rsidRPr="004B43A5">
        <w:rPr>
          <w:rFonts w:ascii="Arial" w:hAnsi="Arial" w:cs="Arial"/>
          <w:lang w:val="en-IN"/>
        </w:rPr>
        <w:t>Guidelines</w:t>
      </w:r>
    </w:p>
    <w:p w14:paraId="6BDDBE67" w14:textId="77777777" w:rsidR="004B43A5" w:rsidRPr="004B43A5" w:rsidRDefault="004B43A5" w:rsidP="0086506E">
      <w:pPr>
        <w:pStyle w:val="Body"/>
        <w:numPr>
          <w:ilvl w:val="0"/>
          <w:numId w:val="22"/>
        </w:numPr>
        <w:spacing w:after="0"/>
        <w:rPr>
          <w:rFonts w:ascii="Arial" w:hAnsi="Arial" w:cs="Arial"/>
          <w:lang w:val="en-IN"/>
        </w:rPr>
      </w:pPr>
      <w:r w:rsidRPr="004B43A5">
        <w:rPr>
          <w:rFonts w:ascii="Arial" w:hAnsi="Arial" w:cs="Arial"/>
          <w:lang w:val="en-IN"/>
        </w:rPr>
        <w:t>The WHO Handbook for Good Clinical Research Practice (2002) provides a framework aligned with ICH-GCP but adapted for resource-constrained settings [38].</w:t>
      </w:r>
    </w:p>
    <w:p w14:paraId="34DE6609" w14:textId="77777777" w:rsidR="004B43A5" w:rsidRPr="004B43A5" w:rsidRDefault="004B43A5" w:rsidP="0086506E">
      <w:pPr>
        <w:pStyle w:val="Body"/>
        <w:numPr>
          <w:ilvl w:val="0"/>
          <w:numId w:val="22"/>
        </w:numPr>
        <w:spacing w:after="0"/>
        <w:rPr>
          <w:rFonts w:ascii="Arial" w:hAnsi="Arial" w:cs="Arial"/>
          <w:lang w:val="en-IN"/>
        </w:rPr>
      </w:pPr>
      <w:r w:rsidRPr="004B43A5">
        <w:rPr>
          <w:rFonts w:ascii="Arial" w:hAnsi="Arial" w:cs="Arial"/>
          <w:lang w:val="en-IN"/>
        </w:rPr>
        <w:t>The Council for International Organizations of Medical Sciences (CIOMS), in collaboration with WHO, publishes widely respected ethical guidelines that expand on the Helsinki Declaration, particularly addressing challenges in LMICs [39].</w:t>
      </w:r>
    </w:p>
    <w:p w14:paraId="52FD4168" w14:textId="77777777" w:rsidR="004B43A5" w:rsidRPr="004B43A5" w:rsidRDefault="004B43A5" w:rsidP="004B43A5">
      <w:pPr>
        <w:pStyle w:val="Body"/>
        <w:rPr>
          <w:rFonts w:ascii="Arial" w:hAnsi="Arial" w:cs="Arial"/>
          <w:lang w:val="en-IN"/>
        </w:rPr>
      </w:pPr>
      <w:r w:rsidRPr="004B43A5">
        <w:rPr>
          <w:rFonts w:ascii="Arial" w:hAnsi="Arial" w:cs="Arial"/>
          <w:lang w:val="en-IN"/>
        </w:rPr>
        <w:t>Role in Capacity Building</w:t>
      </w:r>
    </w:p>
    <w:p w14:paraId="58C32053" w14:textId="77777777" w:rsidR="004B43A5" w:rsidRPr="004B43A5" w:rsidRDefault="004B43A5" w:rsidP="0086506E">
      <w:pPr>
        <w:pStyle w:val="Body"/>
        <w:numPr>
          <w:ilvl w:val="0"/>
          <w:numId w:val="23"/>
        </w:numPr>
        <w:spacing w:after="0"/>
        <w:rPr>
          <w:rFonts w:ascii="Arial" w:hAnsi="Arial" w:cs="Arial"/>
          <w:lang w:val="en-IN"/>
        </w:rPr>
      </w:pPr>
      <w:r w:rsidRPr="004B43A5">
        <w:rPr>
          <w:rFonts w:ascii="Arial" w:hAnsi="Arial" w:cs="Arial"/>
          <w:lang w:val="en-IN"/>
        </w:rPr>
        <w:t>WHO supports training programs, regulatory strengthening, and harmonisation across regions such as Africa (AVAREF – African Vaccine Regulatory Forum).</w:t>
      </w:r>
    </w:p>
    <w:p w14:paraId="50BBFF6C" w14:textId="77777777" w:rsidR="004B43A5" w:rsidRPr="004B43A5" w:rsidRDefault="004B43A5" w:rsidP="0086506E">
      <w:pPr>
        <w:pStyle w:val="Body"/>
        <w:numPr>
          <w:ilvl w:val="0"/>
          <w:numId w:val="23"/>
        </w:numPr>
        <w:spacing w:after="0"/>
        <w:rPr>
          <w:rFonts w:ascii="Arial" w:hAnsi="Arial" w:cs="Arial"/>
          <w:lang w:val="en-IN"/>
        </w:rPr>
      </w:pPr>
      <w:r w:rsidRPr="004B43A5">
        <w:rPr>
          <w:rFonts w:ascii="Arial" w:hAnsi="Arial" w:cs="Arial"/>
          <w:lang w:val="en-IN"/>
        </w:rPr>
        <w:t>During emergencies (e.g., Ebola, COVID-19), WHO issued rapid ethics and trial guidance to support countries with limited infrastructure [28].</w:t>
      </w:r>
    </w:p>
    <w:p w14:paraId="2C4186BE" w14:textId="77777777" w:rsidR="00727A1C" w:rsidRDefault="00727A1C" w:rsidP="004B43A5">
      <w:pPr>
        <w:pStyle w:val="Body"/>
        <w:spacing w:after="0"/>
        <w:rPr>
          <w:rFonts w:ascii="Arial" w:hAnsi="Arial" w:cs="Arial"/>
          <w:b/>
          <w:bCs/>
          <w:lang w:val="en-IN"/>
        </w:rPr>
      </w:pPr>
    </w:p>
    <w:p w14:paraId="4ABDFB51" w14:textId="77777777" w:rsidR="00727A1C" w:rsidRDefault="00727A1C" w:rsidP="004B43A5">
      <w:pPr>
        <w:pStyle w:val="Body"/>
        <w:spacing w:after="0"/>
        <w:rPr>
          <w:rFonts w:ascii="Arial" w:hAnsi="Arial" w:cs="Arial"/>
          <w:b/>
          <w:bCs/>
          <w:lang w:val="en-IN"/>
        </w:rPr>
      </w:pPr>
    </w:p>
    <w:p w14:paraId="73CD9B10" w14:textId="77777777" w:rsidR="00727A1C" w:rsidRDefault="00727A1C" w:rsidP="004B43A5">
      <w:pPr>
        <w:pStyle w:val="Body"/>
        <w:spacing w:after="0"/>
        <w:rPr>
          <w:rFonts w:ascii="Arial" w:hAnsi="Arial" w:cs="Arial"/>
          <w:b/>
          <w:bCs/>
          <w:lang w:val="en-IN"/>
        </w:rPr>
      </w:pPr>
    </w:p>
    <w:p w14:paraId="1557B275" w14:textId="77777777" w:rsidR="00727A1C" w:rsidRDefault="00727A1C" w:rsidP="004B43A5">
      <w:pPr>
        <w:pStyle w:val="Body"/>
        <w:spacing w:after="0"/>
        <w:rPr>
          <w:rFonts w:ascii="Arial" w:hAnsi="Arial" w:cs="Arial"/>
          <w:b/>
          <w:bCs/>
          <w:lang w:val="en-IN"/>
        </w:rPr>
      </w:pPr>
    </w:p>
    <w:p w14:paraId="5742A1F5" w14:textId="2EB5F3D3"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Harmonisation Efforts: ICH and Beyond</w:t>
      </w:r>
    </w:p>
    <w:p w14:paraId="324C1809"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International Council for Harmonisation of Technical Requirements for Pharmaceuticals for Human Use (ICH) remains the primary body promoting regulatory harmonisation. Its E6 guideline on GCP is recognized by the FDA, EMA, PMDA (Japan), and many others [1].</w:t>
      </w:r>
    </w:p>
    <w:p w14:paraId="2C42D78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However, harmonisation faces obstacles:</w:t>
      </w:r>
    </w:p>
    <w:p w14:paraId="1B54249A" w14:textId="77777777" w:rsidR="004B43A5" w:rsidRPr="004B43A5" w:rsidRDefault="004B43A5" w:rsidP="0086506E">
      <w:pPr>
        <w:pStyle w:val="Body"/>
        <w:numPr>
          <w:ilvl w:val="0"/>
          <w:numId w:val="24"/>
        </w:numPr>
        <w:spacing w:after="0"/>
        <w:rPr>
          <w:rFonts w:ascii="Arial" w:hAnsi="Arial" w:cs="Arial"/>
          <w:lang w:val="en-IN"/>
        </w:rPr>
      </w:pPr>
      <w:r w:rsidRPr="004B43A5">
        <w:rPr>
          <w:rFonts w:ascii="Arial" w:hAnsi="Arial" w:cs="Arial"/>
          <w:b/>
          <w:bCs/>
          <w:lang w:val="en-IN"/>
        </w:rPr>
        <w:lastRenderedPageBreak/>
        <w:t>Legal diversity:</w:t>
      </w:r>
      <w:r w:rsidRPr="004B43A5">
        <w:rPr>
          <w:rFonts w:ascii="Arial" w:hAnsi="Arial" w:cs="Arial"/>
          <w:lang w:val="en-IN"/>
        </w:rPr>
        <w:t xml:space="preserve"> Countries interpret GCP differently, creating inconsistencies.</w:t>
      </w:r>
    </w:p>
    <w:p w14:paraId="060CDC66" w14:textId="77777777" w:rsidR="004B43A5" w:rsidRPr="004B43A5" w:rsidRDefault="004B43A5" w:rsidP="0086506E">
      <w:pPr>
        <w:pStyle w:val="Body"/>
        <w:numPr>
          <w:ilvl w:val="0"/>
          <w:numId w:val="24"/>
        </w:numPr>
        <w:spacing w:after="0"/>
        <w:rPr>
          <w:rFonts w:ascii="Arial" w:hAnsi="Arial" w:cs="Arial"/>
          <w:lang w:val="en-IN"/>
        </w:rPr>
      </w:pPr>
      <w:r w:rsidRPr="004B43A5">
        <w:rPr>
          <w:rFonts w:ascii="Arial" w:hAnsi="Arial" w:cs="Arial"/>
          <w:b/>
          <w:bCs/>
          <w:lang w:val="en-IN"/>
        </w:rPr>
        <w:t>Capacity gaps:</w:t>
      </w:r>
      <w:r w:rsidRPr="004B43A5">
        <w:rPr>
          <w:rFonts w:ascii="Arial" w:hAnsi="Arial" w:cs="Arial"/>
          <w:lang w:val="en-IN"/>
        </w:rPr>
        <w:t xml:space="preserve"> LMICs may adopt ICH standards in name but lack resources for full implementation [40].</w:t>
      </w:r>
    </w:p>
    <w:p w14:paraId="366FEE3A" w14:textId="77777777" w:rsidR="004B43A5" w:rsidRPr="004B43A5" w:rsidRDefault="004B43A5" w:rsidP="0086506E">
      <w:pPr>
        <w:pStyle w:val="Body"/>
        <w:numPr>
          <w:ilvl w:val="0"/>
          <w:numId w:val="24"/>
        </w:numPr>
        <w:spacing w:after="0"/>
        <w:rPr>
          <w:rFonts w:ascii="Arial" w:hAnsi="Arial" w:cs="Arial"/>
          <w:lang w:val="en-IN"/>
        </w:rPr>
      </w:pPr>
      <w:r w:rsidRPr="004B43A5">
        <w:rPr>
          <w:rFonts w:ascii="Arial" w:hAnsi="Arial" w:cs="Arial"/>
          <w:b/>
          <w:bCs/>
          <w:lang w:val="en-IN"/>
        </w:rPr>
        <w:t>Cultural differences:</w:t>
      </w:r>
      <w:r w:rsidRPr="004B43A5">
        <w:rPr>
          <w:rFonts w:ascii="Arial" w:hAnsi="Arial" w:cs="Arial"/>
          <w:lang w:val="en-IN"/>
        </w:rPr>
        <w:t xml:space="preserve"> Ethical interpretations (e.g., placebo use, proxy consent) vary across regions.</w:t>
      </w:r>
    </w:p>
    <w:p w14:paraId="7F12F13F"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Other initiatives, such as the International Clinical Trials Registry Platform (ICTRP) by WHO, further aim to improve global transparency and avoid duplication of research [41].</w:t>
      </w:r>
    </w:p>
    <w:p w14:paraId="14BDF759"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Enforcement and Compliance Challenges</w:t>
      </w:r>
    </w:p>
    <w:p w14:paraId="56C6D5B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Even with robust frameworks, compliance remains uneven.</w:t>
      </w:r>
    </w:p>
    <w:p w14:paraId="2502ADA5" w14:textId="77777777" w:rsidR="004B43A5" w:rsidRPr="004B43A5" w:rsidRDefault="004B43A5" w:rsidP="0086506E">
      <w:pPr>
        <w:pStyle w:val="Body"/>
        <w:numPr>
          <w:ilvl w:val="0"/>
          <w:numId w:val="25"/>
        </w:numPr>
        <w:spacing w:after="0"/>
        <w:rPr>
          <w:rFonts w:ascii="Arial" w:hAnsi="Arial" w:cs="Arial"/>
          <w:lang w:val="en-IN"/>
        </w:rPr>
      </w:pPr>
      <w:r w:rsidRPr="004B43A5">
        <w:rPr>
          <w:rFonts w:ascii="Arial" w:hAnsi="Arial" w:cs="Arial"/>
          <w:b/>
          <w:bCs/>
          <w:lang w:val="en-IN"/>
        </w:rPr>
        <w:t>Data Integrity Issues:</w:t>
      </w:r>
      <w:r w:rsidRPr="004B43A5">
        <w:rPr>
          <w:rFonts w:ascii="Arial" w:hAnsi="Arial" w:cs="Arial"/>
          <w:lang w:val="en-IN"/>
        </w:rPr>
        <w:t xml:space="preserve"> FDA inspections frequently uncover deficiencies in record keeping, consent documentation, and protocol deviations [42].</w:t>
      </w:r>
    </w:p>
    <w:p w14:paraId="72CC61B0" w14:textId="77777777" w:rsidR="004B43A5" w:rsidRPr="004B43A5" w:rsidRDefault="004B43A5" w:rsidP="0086506E">
      <w:pPr>
        <w:pStyle w:val="Body"/>
        <w:numPr>
          <w:ilvl w:val="0"/>
          <w:numId w:val="25"/>
        </w:numPr>
        <w:spacing w:after="0"/>
        <w:rPr>
          <w:rFonts w:ascii="Arial" w:hAnsi="Arial" w:cs="Arial"/>
          <w:lang w:val="en-IN"/>
        </w:rPr>
      </w:pPr>
      <w:r w:rsidRPr="004B43A5">
        <w:rPr>
          <w:rFonts w:ascii="Arial" w:hAnsi="Arial" w:cs="Arial"/>
          <w:b/>
          <w:bCs/>
          <w:lang w:val="en-IN"/>
        </w:rPr>
        <w:t>Publication Bias:</w:t>
      </w:r>
      <w:r w:rsidRPr="004B43A5">
        <w:rPr>
          <w:rFonts w:ascii="Arial" w:hAnsi="Arial" w:cs="Arial"/>
          <w:lang w:val="en-IN"/>
        </w:rPr>
        <w:t xml:space="preserve"> Despite mandates, many trial results remain unpublished, undermining transparency [34].</w:t>
      </w:r>
    </w:p>
    <w:p w14:paraId="25CC9978" w14:textId="77777777" w:rsidR="004B43A5" w:rsidRPr="004B43A5" w:rsidRDefault="004B43A5" w:rsidP="0086506E">
      <w:pPr>
        <w:pStyle w:val="Body"/>
        <w:numPr>
          <w:ilvl w:val="0"/>
          <w:numId w:val="25"/>
        </w:numPr>
        <w:spacing w:after="0"/>
        <w:rPr>
          <w:rFonts w:ascii="Arial" w:hAnsi="Arial" w:cs="Arial"/>
          <w:lang w:val="en-IN"/>
        </w:rPr>
      </w:pPr>
      <w:r w:rsidRPr="004B43A5">
        <w:rPr>
          <w:rFonts w:ascii="Arial" w:hAnsi="Arial" w:cs="Arial"/>
          <w:b/>
          <w:bCs/>
          <w:lang w:val="en-IN"/>
        </w:rPr>
        <w:t>Cross-border Enforcement:</w:t>
      </w:r>
      <w:r w:rsidRPr="004B43A5">
        <w:rPr>
          <w:rFonts w:ascii="Arial" w:hAnsi="Arial" w:cs="Arial"/>
          <w:lang w:val="en-IN"/>
        </w:rPr>
        <w:t xml:space="preserve"> Trials conducted in LMICs for drugs intended for high-income markets raise questions about accountability when misconduct occurs outside the jurisdiction of sponsoring agencies.</w:t>
      </w:r>
    </w:p>
    <w:p w14:paraId="0109A7E0" w14:textId="77777777" w:rsidR="00727A1C" w:rsidRDefault="00727A1C" w:rsidP="004B43A5">
      <w:pPr>
        <w:pStyle w:val="Body"/>
        <w:rPr>
          <w:rFonts w:ascii="Arial" w:hAnsi="Arial" w:cs="Arial"/>
          <w:b/>
          <w:bCs/>
          <w:lang w:val="en-IN"/>
        </w:rPr>
      </w:pPr>
    </w:p>
    <w:p w14:paraId="3528663D" w14:textId="5A5B70F7" w:rsidR="004B43A5" w:rsidRPr="004B43A5" w:rsidRDefault="004B43A5" w:rsidP="004B43A5">
      <w:pPr>
        <w:pStyle w:val="Body"/>
        <w:rPr>
          <w:rFonts w:ascii="Arial" w:hAnsi="Arial" w:cs="Arial"/>
          <w:b/>
          <w:bCs/>
          <w:lang w:val="en-IN"/>
        </w:rPr>
      </w:pPr>
      <w:r w:rsidRPr="004B43A5">
        <w:rPr>
          <w:rFonts w:ascii="Arial" w:hAnsi="Arial" w:cs="Arial"/>
          <w:b/>
          <w:bCs/>
          <w:lang w:val="en-IN"/>
        </w:rPr>
        <w:t>Implementation of GCP in Practice: Monitoring, Data Integrity, and Quality Assurance</w:t>
      </w:r>
    </w:p>
    <w:p w14:paraId="69E6FD3C"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If the ethical principles and regulatory frameworks of Good Clinical Practice (GCP) represent the </w:t>
      </w:r>
      <w:r w:rsidRPr="004B43A5">
        <w:rPr>
          <w:rFonts w:ascii="Arial" w:hAnsi="Arial" w:cs="Arial"/>
          <w:i/>
          <w:iCs/>
          <w:lang w:val="en-IN"/>
        </w:rPr>
        <w:t>theory</w:t>
      </w:r>
      <w:r w:rsidRPr="004B43A5">
        <w:rPr>
          <w:rFonts w:ascii="Arial" w:hAnsi="Arial" w:cs="Arial"/>
          <w:lang w:val="en-IN"/>
        </w:rPr>
        <w:t xml:space="preserve"> of clinical research conduct, then implementation reflects its </w:t>
      </w:r>
      <w:r w:rsidRPr="004B43A5">
        <w:rPr>
          <w:rFonts w:ascii="Arial" w:hAnsi="Arial" w:cs="Arial"/>
          <w:i/>
          <w:iCs/>
          <w:lang w:val="en-IN"/>
        </w:rPr>
        <w:t>practice</w:t>
      </w:r>
      <w:r w:rsidRPr="004B43A5">
        <w:rPr>
          <w:rFonts w:ascii="Arial" w:hAnsi="Arial" w:cs="Arial"/>
          <w:lang w:val="en-IN"/>
        </w:rPr>
        <w:t>. A clinical trial is only as credible as the systems that monitor it, the quality of data it produces, and the protection it affords to participants throughout its course. Implementation is often where the greatest challenges arise: logistical constraints, human error, financial pressures, and cultural differences can compromise compliance.</w:t>
      </w:r>
    </w:p>
    <w:p w14:paraId="5D8DE72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This section explores how GCP is implemented in day-to-day research operations, with a focus on monitoring practices, data integrity (including ALCOA+ principles), risk-based approaches, quality assurance mechanisms, and the challenges of applying these standards in resource-constrained settings.</w:t>
      </w:r>
    </w:p>
    <w:p w14:paraId="5E39FAA3" w14:textId="77777777" w:rsidR="00727A1C" w:rsidRDefault="00727A1C" w:rsidP="004B43A5">
      <w:pPr>
        <w:pStyle w:val="Body"/>
        <w:spacing w:after="0"/>
        <w:rPr>
          <w:rFonts w:ascii="Arial" w:hAnsi="Arial" w:cs="Arial"/>
          <w:b/>
          <w:bCs/>
          <w:lang w:val="en-IN"/>
        </w:rPr>
      </w:pPr>
    </w:p>
    <w:p w14:paraId="27E97C6A" w14:textId="4B96409F"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Clinical Trial Monitoring</w:t>
      </w:r>
    </w:p>
    <w:p w14:paraId="4356BFA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Monitoring is the process of verifying that:</w:t>
      </w:r>
    </w:p>
    <w:p w14:paraId="72035F01" w14:textId="77777777" w:rsidR="004B43A5" w:rsidRPr="004B43A5" w:rsidRDefault="004B43A5" w:rsidP="0086506E">
      <w:pPr>
        <w:pStyle w:val="Body"/>
        <w:numPr>
          <w:ilvl w:val="0"/>
          <w:numId w:val="26"/>
        </w:numPr>
        <w:spacing w:after="0"/>
        <w:rPr>
          <w:rFonts w:ascii="Arial" w:hAnsi="Arial" w:cs="Arial"/>
          <w:lang w:val="en-IN"/>
        </w:rPr>
      </w:pPr>
      <w:r w:rsidRPr="004B43A5">
        <w:rPr>
          <w:rFonts w:ascii="Arial" w:hAnsi="Arial" w:cs="Arial"/>
          <w:lang w:val="en-IN"/>
        </w:rPr>
        <w:t>The rights and well-being of participants are protected.</w:t>
      </w:r>
    </w:p>
    <w:p w14:paraId="06609471" w14:textId="77777777" w:rsidR="004B43A5" w:rsidRPr="004B43A5" w:rsidRDefault="004B43A5" w:rsidP="0086506E">
      <w:pPr>
        <w:pStyle w:val="Body"/>
        <w:numPr>
          <w:ilvl w:val="0"/>
          <w:numId w:val="26"/>
        </w:numPr>
        <w:spacing w:after="0"/>
        <w:rPr>
          <w:rFonts w:ascii="Arial" w:hAnsi="Arial" w:cs="Arial"/>
          <w:lang w:val="en-IN"/>
        </w:rPr>
      </w:pPr>
      <w:r w:rsidRPr="004B43A5">
        <w:rPr>
          <w:rFonts w:ascii="Arial" w:hAnsi="Arial" w:cs="Arial"/>
          <w:lang w:val="en-IN"/>
        </w:rPr>
        <w:t>Data are accurate, complete, and verifiable from source documents.</w:t>
      </w:r>
    </w:p>
    <w:p w14:paraId="422B55E5" w14:textId="77777777" w:rsidR="004B43A5" w:rsidRPr="004B43A5" w:rsidRDefault="004B43A5" w:rsidP="0086506E">
      <w:pPr>
        <w:pStyle w:val="Body"/>
        <w:numPr>
          <w:ilvl w:val="0"/>
          <w:numId w:val="26"/>
        </w:numPr>
        <w:spacing w:after="0"/>
        <w:rPr>
          <w:rFonts w:ascii="Arial" w:hAnsi="Arial" w:cs="Arial"/>
          <w:lang w:val="en-IN"/>
        </w:rPr>
      </w:pPr>
      <w:r w:rsidRPr="004B43A5">
        <w:rPr>
          <w:rFonts w:ascii="Arial" w:hAnsi="Arial" w:cs="Arial"/>
          <w:lang w:val="en-IN"/>
        </w:rPr>
        <w:t>The conduct of the trial complies with the protocol, GCP, and applicable regulations [43].</w:t>
      </w:r>
    </w:p>
    <w:p w14:paraId="138AF76E" w14:textId="77777777" w:rsidR="004B43A5" w:rsidRPr="004B43A5" w:rsidRDefault="004B43A5" w:rsidP="004B43A5">
      <w:pPr>
        <w:pStyle w:val="Body"/>
        <w:rPr>
          <w:rFonts w:ascii="Arial" w:hAnsi="Arial" w:cs="Arial"/>
          <w:lang w:val="en-IN"/>
        </w:rPr>
      </w:pPr>
      <w:r w:rsidRPr="004B43A5">
        <w:rPr>
          <w:rFonts w:ascii="Arial" w:hAnsi="Arial" w:cs="Arial"/>
          <w:lang w:val="en-IN"/>
        </w:rPr>
        <w:t>Traditional Monitoring Models</w:t>
      </w:r>
    </w:p>
    <w:p w14:paraId="5542E424"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Historically, 100% source data verification (SDV) was the gold standard, involving on-site visits to compare case report forms with source documents. While thorough, this model is expensive, time-intensive, and inefficient for large </w:t>
      </w:r>
      <w:proofErr w:type="spellStart"/>
      <w:r w:rsidRPr="004B43A5">
        <w:rPr>
          <w:rFonts w:ascii="Arial" w:hAnsi="Arial" w:cs="Arial"/>
          <w:lang w:val="en-IN"/>
        </w:rPr>
        <w:t>multicenter</w:t>
      </w:r>
      <w:proofErr w:type="spellEnd"/>
      <w:r w:rsidRPr="004B43A5">
        <w:rPr>
          <w:rFonts w:ascii="Arial" w:hAnsi="Arial" w:cs="Arial"/>
          <w:lang w:val="en-IN"/>
        </w:rPr>
        <w:t xml:space="preserve"> trials [44].</w:t>
      </w:r>
    </w:p>
    <w:p w14:paraId="0237273A" w14:textId="77777777" w:rsidR="004B43A5" w:rsidRPr="004B43A5" w:rsidRDefault="004B43A5" w:rsidP="004B43A5">
      <w:pPr>
        <w:pStyle w:val="Body"/>
        <w:rPr>
          <w:rFonts w:ascii="Arial" w:hAnsi="Arial" w:cs="Arial"/>
          <w:lang w:val="en-IN"/>
        </w:rPr>
      </w:pPr>
      <w:r w:rsidRPr="004B43A5">
        <w:rPr>
          <w:rFonts w:ascii="Arial" w:hAnsi="Arial" w:cs="Arial"/>
          <w:lang w:val="en-IN"/>
        </w:rPr>
        <w:t>Risk-Based Monitoring (RBM)</w:t>
      </w:r>
    </w:p>
    <w:p w14:paraId="18E89000"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ICH-GCP E6(R2) introduced risk-based monitoring, shifting the focus from exhaustive SDV to targeted approaches:</w:t>
      </w:r>
    </w:p>
    <w:p w14:paraId="2CE8FEC2" w14:textId="77777777" w:rsidR="004B43A5" w:rsidRPr="004B43A5" w:rsidRDefault="004B43A5" w:rsidP="0086506E">
      <w:pPr>
        <w:pStyle w:val="Body"/>
        <w:numPr>
          <w:ilvl w:val="0"/>
          <w:numId w:val="27"/>
        </w:numPr>
        <w:spacing w:after="0"/>
        <w:rPr>
          <w:rFonts w:ascii="Arial" w:hAnsi="Arial" w:cs="Arial"/>
          <w:lang w:val="en-IN"/>
        </w:rPr>
      </w:pPr>
      <w:r w:rsidRPr="004B43A5">
        <w:rPr>
          <w:rFonts w:ascii="Arial" w:hAnsi="Arial" w:cs="Arial"/>
          <w:b/>
          <w:bCs/>
          <w:lang w:val="en-IN"/>
        </w:rPr>
        <w:t>Centralized monitoring</w:t>
      </w:r>
      <w:r w:rsidRPr="004B43A5">
        <w:rPr>
          <w:rFonts w:ascii="Arial" w:hAnsi="Arial" w:cs="Arial"/>
          <w:lang w:val="en-IN"/>
        </w:rPr>
        <w:t xml:space="preserve"> uses statistical algorithms to identify data anomalies or protocol deviations.</w:t>
      </w:r>
    </w:p>
    <w:p w14:paraId="01823026" w14:textId="77777777" w:rsidR="004B43A5" w:rsidRPr="004B43A5" w:rsidRDefault="004B43A5" w:rsidP="0086506E">
      <w:pPr>
        <w:pStyle w:val="Body"/>
        <w:numPr>
          <w:ilvl w:val="0"/>
          <w:numId w:val="27"/>
        </w:numPr>
        <w:spacing w:after="0"/>
        <w:rPr>
          <w:rFonts w:ascii="Arial" w:hAnsi="Arial" w:cs="Arial"/>
          <w:lang w:val="en-IN"/>
        </w:rPr>
      </w:pPr>
      <w:r w:rsidRPr="004B43A5">
        <w:rPr>
          <w:rFonts w:ascii="Arial" w:hAnsi="Arial" w:cs="Arial"/>
          <w:b/>
          <w:bCs/>
          <w:lang w:val="en-IN"/>
        </w:rPr>
        <w:t>Trigger-based visits</w:t>
      </w:r>
      <w:r w:rsidRPr="004B43A5">
        <w:rPr>
          <w:rFonts w:ascii="Arial" w:hAnsi="Arial" w:cs="Arial"/>
          <w:lang w:val="en-IN"/>
        </w:rPr>
        <w:t xml:space="preserve"> are scheduled when issues are detected, rather than at fixed intervals.</w:t>
      </w:r>
    </w:p>
    <w:p w14:paraId="7A7DC2D8" w14:textId="77777777" w:rsidR="004B43A5" w:rsidRPr="004B43A5" w:rsidRDefault="004B43A5" w:rsidP="0086506E">
      <w:pPr>
        <w:pStyle w:val="Body"/>
        <w:numPr>
          <w:ilvl w:val="0"/>
          <w:numId w:val="27"/>
        </w:numPr>
        <w:spacing w:after="0"/>
        <w:rPr>
          <w:rFonts w:ascii="Arial" w:hAnsi="Arial" w:cs="Arial"/>
          <w:lang w:val="en-IN"/>
        </w:rPr>
      </w:pPr>
      <w:r w:rsidRPr="004B43A5">
        <w:rPr>
          <w:rFonts w:ascii="Arial" w:hAnsi="Arial" w:cs="Arial"/>
          <w:b/>
          <w:bCs/>
          <w:lang w:val="en-IN"/>
        </w:rPr>
        <w:t>Key risk indicators</w:t>
      </w:r>
      <w:r w:rsidRPr="004B43A5">
        <w:rPr>
          <w:rFonts w:ascii="Arial" w:hAnsi="Arial" w:cs="Arial"/>
          <w:lang w:val="en-IN"/>
        </w:rPr>
        <w:t xml:space="preserve"> (e.g., high screen failure rates, inconsistent reporting of adverse events) guide monitoring priorities [45].</w:t>
      </w:r>
    </w:p>
    <w:p w14:paraId="45A8DCA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lastRenderedPageBreak/>
        <w:t>Evidence shows RBM can reduce costs while maintaining or improving data quality [46]. However, it requires strong electronic data capture systems and trained staff, which may not be available in all settings.</w:t>
      </w:r>
    </w:p>
    <w:p w14:paraId="234B575E" w14:textId="77777777" w:rsidR="00727A1C" w:rsidRDefault="00727A1C" w:rsidP="004B43A5">
      <w:pPr>
        <w:pStyle w:val="Body"/>
        <w:spacing w:after="0"/>
        <w:rPr>
          <w:rFonts w:ascii="Arial" w:hAnsi="Arial" w:cs="Arial"/>
          <w:b/>
          <w:bCs/>
          <w:lang w:val="en-IN"/>
        </w:rPr>
      </w:pPr>
    </w:p>
    <w:p w14:paraId="7A2574D6" w14:textId="704507DB"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Data Integrity: ALCOA+ Principles</w:t>
      </w:r>
    </w:p>
    <w:p w14:paraId="0A004037"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Data integrity lies at the heart of GCP. Poor-quality data undermine not only the trial itself but also the trust of regulators and the public. The ALCOA+ principles, originally articulated by the FDA, define the characteristics of reliable data [47]:</w:t>
      </w:r>
    </w:p>
    <w:p w14:paraId="46AC24DE"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Attributable</w:t>
      </w:r>
      <w:r w:rsidRPr="004B43A5">
        <w:rPr>
          <w:rFonts w:ascii="Arial" w:hAnsi="Arial" w:cs="Arial"/>
          <w:lang w:val="en-IN"/>
        </w:rPr>
        <w:t xml:space="preserve"> – who performed the action is documented.</w:t>
      </w:r>
    </w:p>
    <w:p w14:paraId="550F3CE7"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Legible</w:t>
      </w:r>
      <w:r w:rsidRPr="004B43A5">
        <w:rPr>
          <w:rFonts w:ascii="Arial" w:hAnsi="Arial" w:cs="Arial"/>
          <w:lang w:val="en-IN"/>
        </w:rPr>
        <w:t xml:space="preserve"> – records are clear and permanent.</w:t>
      </w:r>
    </w:p>
    <w:p w14:paraId="44A0451B"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Contemporaneous</w:t>
      </w:r>
      <w:r w:rsidRPr="004B43A5">
        <w:rPr>
          <w:rFonts w:ascii="Arial" w:hAnsi="Arial" w:cs="Arial"/>
          <w:lang w:val="en-IN"/>
        </w:rPr>
        <w:t xml:space="preserve"> – data recorded at the time of the event.</w:t>
      </w:r>
    </w:p>
    <w:p w14:paraId="5387F8D2"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Original</w:t>
      </w:r>
      <w:r w:rsidRPr="004B43A5">
        <w:rPr>
          <w:rFonts w:ascii="Arial" w:hAnsi="Arial" w:cs="Arial"/>
          <w:lang w:val="en-IN"/>
        </w:rPr>
        <w:t xml:space="preserve"> – data are the first capture, not transcribed later.</w:t>
      </w:r>
    </w:p>
    <w:p w14:paraId="22616C3A" w14:textId="77777777" w:rsidR="004B43A5" w:rsidRPr="004B43A5" w:rsidRDefault="004B43A5" w:rsidP="0086506E">
      <w:pPr>
        <w:pStyle w:val="Body"/>
        <w:numPr>
          <w:ilvl w:val="0"/>
          <w:numId w:val="28"/>
        </w:numPr>
        <w:spacing w:after="0"/>
        <w:rPr>
          <w:rFonts w:ascii="Arial" w:hAnsi="Arial" w:cs="Arial"/>
          <w:lang w:val="en-IN"/>
        </w:rPr>
      </w:pPr>
      <w:r w:rsidRPr="004B43A5">
        <w:rPr>
          <w:rFonts w:ascii="Arial" w:hAnsi="Arial" w:cs="Arial"/>
          <w:b/>
          <w:bCs/>
          <w:lang w:val="en-IN"/>
        </w:rPr>
        <w:t>Accurate</w:t>
      </w:r>
      <w:r w:rsidRPr="004B43A5">
        <w:rPr>
          <w:rFonts w:ascii="Arial" w:hAnsi="Arial" w:cs="Arial"/>
          <w:lang w:val="en-IN"/>
        </w:rPr>
        <w:t xml:space="preserve"> – data are free from errors or manipulation.</w:t>
      </w:r>
    </w:p>
    <w:p w14:paraId="0E81C20B"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The “+” adds elements such as:</w:t>
      </w:r>
    </w:p>
    <w:p w14:paraId="22FDD2BA" w14:textId="77777777" w:rsidR="004B43A5" w:rsidRPr="004B43A5" w:rsidRDefault="004B43A5" w:rsidP="0086506E">
      <w:pPr>
        <w:pStyle w:val="Body"/>
        <w:numPr>
          <w:ilvl w:val="0"/>
          <w:numId w:val="29"/>
        </w:numPr>
        <w:spacing w:after="0"/>
        <w:rPr>
          <w:rFonts w:ascii="Arial" w:hAnsi="Arial" w:cs="Arial"/>
          <w:lang w:val="en-IN"/>
        </w:rPr>
      </w:pPr>
      <w:r w:rsidRPr="004B43A5">
        <w:rPr>
          <w:rFonts w:ascii="Arial" w:hAnsi="Arial" w:cs="Arial"/>
          <w:b/>
          <w:bCs/>
          <w:lang w:val="en-IN"/>
        </w:rPr>
        <w:t>Complete</w:t>
      </w:r>
      <w:r w:rsidRPr="004B43A5">
        <w:rPr>
          <w:rFonts w:ascii="Arial" w:hAnsi="Arial" w:cs="Arial"/>
          <w:lang w:val="en-IN"/>
        </w:rPr>
        <w:t xml:space="preserve"> – all data, including repeated tests and errors, are included.</w:t>
      </w:r>
    </w:p>
    <w:p w14:paraId="7E89DBEB" w14:textId="77777777" w:rsidR="004B43A5" w:rsidRPr="004B43A5" w:rsidRDefault="004B43A5" w:rsidP="0086506E">
      <w:pPr>
        <w:pStyle w:val="Body"/>
        <w:numPr>
          <w:ilvl w:val="0"/>
          <w:numId w:val="29"/>
        </w:numPr>
        <w:spacing w:after="0"/>
        <w:rPr>
          <w:rFonts w:ascii="Arial" w:hAnsi="Arial" w:cs="Arial"/>
          <w:lang w:val="en-IN"/>
        </w:rPr>
      </w:pPr>
      <w:r w:rsidRPr="004B43A5">
        <w:rPr>
          <w:rFonts w:ascii="Arial" w:hAnsi="Arial" w:cs="Arial"/>
          <w:b/>
          <w:bCs/>
          <w:lang w:val="en-IN"/>
        </w:rPr>
        <w:t>Consistent</w:t>
      </w:r>
      <w:r w:rsidRPr="004B43A5">
        <w:rPr>
          <w:rFonts w:ascii="Arial" w:hAnsi="Arial" w:cs="Arial"/>
          <w:lang w:val="en-IN"/>
        </w:rPr>
        <w:t xml:space="preserve"> – time stamps and sequences follow logical order.</w:t>
      </w:r>
    </w:p>
    <w:p w14:paraId="09C6C8FA" w14:textId="77777777" w:rsidR="004B43A5" w:rsidRPr="004B43A5" w:rsidRDefault="004B43A5" w:rsidP="0086506E">
      <w:pPr>
        <w:pStyle w:val="Body"/>
        <w:numPr>
          <w:ilvl w:val="0"/>
          <w:numId w:val="29"/>
        </w:numPr>
        <w:spacing w:after="0"/>
        <w:rPr>
          <w:rFonts w:ascii="Arial" w:hAnsi="Arial" w:cs="Arial"/>
          <w:lang w:val="en-IN"/>
        </w:rPr>
      </w:pPr>
      <w:r w:rsidRPr="004B43A5">
        <w:rPr>
          <w:rFonts w:ascii="Arial" w:hAnsi="Arial" w:cs="Arial"/>
          <w:b/>
          <w:bCs/>
          <w:lang w:val="en-IN"/>
        </w:rPr>
        <w:t>Enduring</w:t>
      </w:r>
      <w:r w:rsidRPr="004B43A5">
        <w:rPr>
          <w:rFonts w:ascii="Arial" w:hAnsi="Arial" w:cs="Arial"/>
          <w:lang w:val="en-IN"/>
        </w:rPr>
        <w:t xml:space="preserve"> – records are preserved long-term.</w:t>
      </w:r>
    </w:p>
    <w:p w14:paraId="2A18C303" w14:textId="77777777" w:rsidR="004B43A5" w:rsidRPr="004B43A5" w:rsidRDefault="004B43A5" w:rsidP="0086506E">
      <w:pPr>
        <w:pStyle w:val="Body"/>
        <w:numPr>
          <w:ilvl w:val="0"/>
          <w:numId w:val="29"/>
        </w:numPr>
        <w:spacing w:after="0"/>
        <w:rPr>
          <w:rFonts w:ascii="Arial" w:hAnsi="Arial" w:cs="Arial"/>
          <w:lang w:val="en-IN"/>
        </w:rPr>
      </w:pPr>
      <w:r w:rsidRPr="004B43A5">
        <w:rPr>
          <w:rFonts w:ascii="Arial" w:hAnsi="Arial" w:cs="Arial"/>
          <w:b/>
          <w:bCs/>
          <w:lang w:val="en-IN"/>
        </w:rPr>
        <w:t>Available</w:t>
      </w:r>
      <w:r w:rsidRPr="004B43A5">
        <w:rPr>
          <w:rFonts w:ascii="Arial" w:hAnsi="Arial" w:cs="Arial"/>
          <w:lang w:val="en-IN"/>
        </w:rPr>
        <w:t xml:space="preserve"> – data are accessible for review and audit.</w:t>
      </w:r>
    </w:p>
    <w:p w14:paraId="69E6D297" w14:textId="77777777" w:rsidR="00727A1C" w:rsidRDefault="00727A1C" w:rsidP="004B43A5">
      <w:pPr>
        <w:pStyle w:val="Body"/>
        <w:spacing w:after="0"/>
        <w:rPr>
          <w:rFonts w:ascii="Arial" w:hAnsi="Arial" w:cs="Arial"/>
          <w:lang w:val="en-IN"/>
        </w:rPr>
      </w:pPr>
    </w:p>
    <w:p w14:paraId="12FE19AB" w14:textId="5DF061DA" w:rsidR="004B43A5" w:rsidRPr="004B43A5" w:rsidRDefault="004B43A5" w:rsidP="004B43A5">
      <w:pPr>
        <w:pStyle w:val="Body"/>
        <w:spacing w:after="0"/>
        <w:rPr>
          <w:rFonts w:ascii="Arial" w:hAnsi="Arial" w:cs="Arial"/>
          <w:lang w:val="en-IN"/>
        </w:rPr>
      </w:pPr>
      <w:r w:rsidRPr="004B43A5">
        <w:rPr>
          <w:rFonts w:ascii="Arial" w:hAnsi="Arial" w:cs="Arial"/>
          <w:lang w:val="en-IN"/>
        </w:rPr>
        <w:t>Regulatory inspections frequently uncover failures to meet ALCOA+ standards, such as backdating entries, overwriting without audit trails, or using unsecured spreadsheets [48]. These lapses can render trial data inadmissible for regulatory submission.</w:t>
      </w:r>
    </w:p>
    <w:p w14:paraId="0F402A4D" w14:textId="77777777" w:rsidR="00727A1C" w:rsidRDefault="00727A1C" w:rsidP="004B43A5">
      <w:pPr>
        <w:pStyle w:val="Body"/>
        <w:spacing w:after="0"/>
        <w:rPr>
          <w:rFonts w:ascii="Arial" w:hAnsi="Arial" w:cs="Arial"/>
          <w:b/>
          <w:bCs/>
          <w:lang w:val="en-IN"/>
        </w:rPr>
      </w:pPr>
    </w:p>
    <w:p w14:paraId="392B64DA" w14:textId="150C2DA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Electronic Systems and Digital Transformation</w:t>
      </w:r>
    </w:p>
    <w:p w14:paraId="50C8CDB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With most modern trials now using electronic data capture (EDC) systems, the principles of ALCOA+ must be applied to digital environments.</w:t>
      </w:r>
    </w:p>
    <w:p w14:paraId="4288F378" w14:textId="77777777" w:rsidR="004B43A5" w:rsidRPr="004B43A5" w:rsidRDefault="004B43A5" w:rsidP="0086506E">
      <w:pPr>
        <w:pStyle w:val="Body"/>
        <w:numPr>
          <w:ilvl w:val="0"/>
          <w:numId w:val="30"/>
        </w:numPr>
        <w:spacing w:after="0"/>
        <w:rPr>
          <w:rFonts w:ascii="Arial" w:hAnsi="Arial" w:cs="Arial"/>
          <w:lang w:val="en-IN"/>
        </w:rPr>
      </w:pPr>
      <w:r w:rsidRPr="004B43A5">
        <w:rPr>
          <w:rFonts w:ascii="Arial" w:hAnsi="Arial" w:cs="Arial"/>
          <w:b/>
          <w:bCs/>
          <w:lang w:val="en-IN"/>
        </w:rPr>
        <w:t>Audit trails:</w:t>
      </w:r>
      <w:r w:rsidRPr="004B43A5">
        <w:rPr>
          <w:rFonts w:ascii="Arial" w:hAnsi="Arial" w:cs="Arial"/>
          <w:lang w:val="en-IN"/>
        </w:rPr>
        <w:t xml:space="preserve"> Electronic systems must record every entry, modification, and deletion.</w:t>
      </w:r>
    </w:p>
    <w:p w14:paraId="1AF12474" w14:textId="77777777" w:rsidR="004B43A5" w:rsidRPr="004B43A5" w:rsidRDefault="004B43A5" w:rsidP="0086506E">
      <w:pPr>
        <w:pStyle w:val="Body"/>
        <w:numPr>
          <w:ilvl w:val="0"/>
          <w:numId w:val="30"/>
        </w:numPr>
        <w:spacing w:after="0"/>
        <w:rPr>
          <w:rFonts w:ascii="Arial" w:hAnsi="Arial" w:cs="Arial"/>
          <w:lang w:val="en-IN"/>
        </w:rPr>
      </w:pPr>
      <w:r w:rsidRPr="004B43A5">
        <w:rPr>
          <w:rFonts w:ascii="Arial" w:hAnsi="Arial" w:cs="Arial"/>
          <w:b/>
          <w:bCs/>
          <w:lang w:val="en-IN"/>
        </w:rPr>
        <w:t>Access controls:</w:t>
      </w:r>
      <w:r w:rsidRPr="004B43A5">
        <w:rPr>
          <w:rFonts w:ascii="Arial" w:hAnsi="Arial" w:cs="Arial"/>
          <w:lang w:val="en-IN"/>
        </w:rPr>
        <w:t xml:space="preserve"> User authentication ensures data are attributable.</w:t>
      </w:r>
    </w:p>
    <w:p w14:paraId="30103229" w14:textId="77777777" w:rsidR="004B43A5" w:rsidRPr="004B43A5" w:rsidRDefault="004B43A5" w:rsidP="0086506E">
      <w:pPr>
        <w:pStyle w:val="Body"/>
        <w:numPr>
          <w:ilvl w:val="0"/>
          <w:numId w:val="30"/>
        </w:numPr>
        <w:spacing w:after="0"/>
        <w:rPr>
          <w:rFonts w:ascii="Arial" w:hAnsi="Arial" w:cs="Arial"/>
          <w:lang w:val="en-IN"/>
        </w:rPr>
      </w:pPr>
      <w:r w:rsidRPr="004B43A5">
        <w:rPr>
          <w:rFonts w:ascii="Arial" w:hAnsi="Arial" w:cs="Arial"/>
          <w:b/>
          <w:bCs/>
          <w:lang w:val="en-IN"/>
        </w:rPr>
        <w:t>Data migration:</w:t>
      </w:r>
      <w:r w:rsidRPr="004B43A5">
        <w:rPr>
          <w:rFonts w:ascii="Arial" w:hAnsi="Arial" w:cs="Arial"/>
          <w:lang w:val="en-IN"/>
        </w:rPr>
        <w:t xml:space="preserve"> Transfers between systems must preserve accuracy and integrity.</w:t>
      </w:r>
    </w:p>
    <w:p w14:paraId="78611553"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Decentralized clinical trials (DCTs), which expanded rapidly during the COVID-19 pandemic, introduce additional challenges. Remote monitoring, electronic consent (</w:t>
      </w:r>
      <w:proofErr w:type="spellStart"/>
      <w:r w:rsidRPr="004B43A5">
        <w:rPr>
          <w:rFonts w:ascii="Arial" w:hAnsi="Arial" w:cs="Arial"/>
          <w:lang w:val="en-IN"/>
        </w:rPr>
        <w:t>eConsent</w:t>
      </w:r>
      <w:proofErr w:type="spellEnd"/>
      <w:r w:rsidRPr="004B43A5">
        <w:rPr>
          <w:rFonts w:ascii="Arial" w:hAnsi="Arial" w:cs="Arial"/>
          <w:lang w:val="en-IN"/>
        </w:rPr>
        <w:t>), and wearable devices generate massive volumes of real-time data [49]. Ensuring the integrity of these data streams requires not only technology but also regulatory adaptation.</w:t>
      </w:r>
    </w:p>
    <w:p w14:paraId="012E424E" w14:textId="77777777" w:rsidR="00727A1C" w:rsidRDefault="00727A1C" w:rsidP="004B43A5">
      <w:pPr>
        <w:pStyle w:val="Body"/>
        <w:spacing w:after="0"/>
        <w:rPr>
          <w:rFonts w:ascii="Arial" w:hAnsi="Arial" w:cs="Arial"/>
          <w:b/>
          <w:bCs/>
          <w:lang w:val="en-IN"/>
        </w:rPr>
      </w:pPr>
    </w:p>
    <w:p w14:paraId="3F7C0777" w14:textId="133F5F0D"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Quality Assurance and Quality Control</w:t>
      </w:r>
    </w:p>
    <w:p w14:paraId="0874957A" w14:textId="77777777" w:rsidR="00727A1C" w:rsidRDefault="00727A1C" w:rsidP="004B43A5">
      <w:pPr>
        <w:pStyle w:val="Body"/>
        <w:spacing w:after="0"/>
        <w:rPr>
          <w:rFonts w:ascii="Arial" w:hAnsi="Arial" w:cs="Arial"/>
          <w:lang w:val="en-IN"/>
        </w:rPr>
      </w:pPr>
    </w:p>
    <w:p w14:paraId="24A7A2A1" w14:textId="06265AC3" w:rsidR="004B43A5" w:rsidRPr="004B43A5" w:rsidRDefault="004B43A5" w:rsidP="004B43A5">
      <w:pPr>
        <w:pStyle w:val="Body"/>
        <w:spacing w:after="0"/>
        <w:rPr>
          <w:rFonts w:ascii="Arial" w:hAnsi="Arial" w:cs="Arial"/>
          <w:lang w:val="en-IN"/>
        </w:rPr>
      </w:pPr>
      <w:r w:rsidRPr="004B43A5">
        <w:rPr>
          <w:rFonts w:ascii="Arial" w:hAnsi="Arial" w:cs="Arial"/>
          <w:lang w:val="en-IN"/>
        </w:rPr>
        <w:t>Quality assurance (QA) is the proactive establishment of processes to prevent errors, while quality control (QC) detects and corrects errors after they occur. Increasingly, sponsors adopt Quality by Design (</w:t>
      </w:r>
      <w:proofErr w:type="spellStart"/>
      <w:r w:rsidRPr="004B43A5">
        <w:rPr>
          <w:rFonts w:ascii="Arial" w:hAnsi="Arial" w:cs="Arial"/>
          <w:lang w:val="en-IN"/>
        </w:rPr>
        <w:t>QbD</w:t>
      </w:r>
      <w:proofErr w:type="spellEnd"/>
      <w:r w:rsidRPr="004B43A5">
        <w:rPr>
          <w:rFonts w:ascii="Arial" w:hAnsi="Arial" w:cs="Arial"/>
          <w:lang w:val="en-IN"/>
        </w:rPr>
        <w:t>), integrating quality principles into trial design from the outset.</w:t>
      </w:r>
    </w:p>
    <w:p w14:paraId="4E16B98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Key features include:</w:t>
      </w:r>
    </w:p>
    <w:p w14:paraId="58D75A7C" w14:textId="77777777" w:rsidR="004B43A5" w:rsidRPr="004B43A5" w:rsidRDefault="004B43A5" w:rsidP="0086506E">
      <w:pPr>
        <w:pStyle w:val="Body"/>
        <w:numPr>
          <w:ilvl w:val="0"/>
          <w:numId w:val="31"/>
        </w:numPr>
        <w:spacing w:after="0"/>
        <w:rPr>
          <w:rFonts w:ascii="Arial" w:hAnsi="Arial" w:cs="Arial"/>
          <w:lang w:val="en-IN"/>
        </w:rPr>
      </w:pPr>
      <w:r w:rsidRPr="004B43A5">
        <w:rPr>
          <w:rFonts w:ascii="Arial" w:hAnsi="Arial" w:cs="Arial"/>
          <w:lang w:val="en-IN"/>
        </w:rPr>
        <w:t>Identifying critical data and critical processes that influence participant safety and reliability of outcomes.</w:t>
      </w:r>
    </w:p>
    <w:p w14:paraId="58B731F8" w14:textId="77777777" w:rsidR="004B43A5" w:rsidRPr="004B43A5" w:rsidRDefault="004B43A5" w:rsidP="0086506E">
      <w:pPr>
        <w:pStyle w:val="Body"/>
        <w:numPr>
          <w:ilvl w:val="0"/>
          <w:numId w:val="31"/>
        </w:numPr>
        <w:spacing w:after="0"/>
        <w:rPr>
          <w:rFonts w:ascii="Arial" w:hAnsi="Arial" w:cs="Arial"/>
          <w:lang w:val="en-IN"/>
        </w:rPr>
      </w:pPr>
      <w:r w:rsidRPr="004B43A5">
        <w:rPr>
          <w:rFonts w:ascii="Arial" w:hAnsi="Arial" w:cs="Arial"/>
          <w:lang w:val="en-IN"/>
        </w:rPr>
        <w:t>Designing monitoring and management plans tailored to these critical factors.</w:t>
      </w:r>
    </w:p>
    <w:p w14:paraId="0704D8A7" w14:textId="77777777" w:rsidR="004B43A5" w:rsidRPr="004B43A5" w:rsidRDefault="004B43A5" w:rsidP="0086506E">
      <w:pPr>
        <w:pStyle w:val="Body"/>
        <w:numPr>
          <w:ilvl w:val="0"/>
          <w:numId w:val="31"/>
        </w:numPr>
        <w:spacing w:after="0"/>
        <w:rPr>
          <w:rFonts w:ascii="Arial" w:hAnsi="Arial" w:cs="Arial"/>
          <w:lang w:val="en-IN"/>
        </w:rPr>
      </w:pPr>
      <w:r w:rsidRPr="004B43A5">
        <w:rPr>
          <w:rFonts w:ascii="Arial" w:hAnsi="Arial" w:cs="Arial"/>
          <w:lang w:val="en-IN"/>
        </w:rPr>
        <w:t>Building quality metrics into trial protocols [50].</w:t>
      </w:r>
    </w:p>
    <w:p w14:paraId="0AFA6BDA" w14:textId="77777777" w:rsidR="00727A1C" w:rsidRDefault="00727A1C" w:rsidP="004B43A5">
      <w:pPr>
        <w:pStyle w:val="Body"/>
        <w:rPr>
          <w:rFonts w:ascii="Arial" w:hAnsi="Arial" w:cs="Arial"/>
          <w:lang w:val="en-IN"/>
        </w:rPr>
      </w:pPr>
    </w:p>
    <w:p w14:paraId="5301B1CF" w14:textId="77777777" w:rsidR="00727A1C" w:rsidRDefault="00727A1C" w:rsidP="004B43A5">
      <w:pPr>
        <w:pStyle w:val="Body"/>
        <w:rPr>
          <w:rFonts w:ascii="Arial" w:hAnsi="Arial" w:cs="Arial"/>
          <w:lang w:val="en-IN"/>
        </w:rPr>
      </w:pPr>
    </w:p>
    <w:p w14:paraId="5FF8452D" w14:textId="54A4D810" w:rsidR="004B43A5" w:rsidRPr="004B43A5" w:rsidRDefault="004B43A5" w:rsidP="004B43A5">
      <w:pPr>
        <w:pStyle w:val="Body"/>
        <w:rPr>
          <w:rFonts w:ascii="Arial" w:hAnsi="Arial" w:cs="Arial"/>
          <w:b/>
          <w:bCs/>
          <w:lang w:val="en-IN"/>
        </w:rPr>
      </w:pPr>
      <w:r w:rsidRPr="004B43A5">
        <w:rPr>
          <w:rFonts w:ascii="Arial" w:hAnsi="Arial" w:cs="Arial"/>
          <w:b/>
          <w:bCs/>
          <w:lang w:val="en-IN"/>
        </w:rPr>
        <w:t>Audits and Inspections</w:t>
      </w:r>
    </w:p>
    <w:p w14:paraId="5282A643" w14:textId="77777777" w:rsidR="004B43A5" w:rsidRPr="004B43A5" w:rsidRDefault="004B43A5" w:rsidP="0086506E">
      <w:pPr>
        <w:pStyle w:val="Body"/>
        <w:numPr>
          <w:ilvl w:val="0"/>
          <w:numId w:val="32"/>
        </w:numPr>
        <w:spacing w:after="0"/>
        <w:rPr>
          <w:rFonts w:ascii="Arial" w:hAnsi="Arial" w:cs="Arial"/>
          <w:lang w:val="en-IN"/>
        </w:rPr>
      </w:pPr>
      <w:r w:rsidRPr="004B43A5">
        <w:rPr>
          <w:rFonts w:ascii="Arial" w:hAnsi="Arial" w:cs="Arial"/>
          <w:lang w:val="en-IN"/>
        </w:rPr>
        <w:t>Audits (by sponsors) and inspections (by regulators) serve as retrospective quality checks.</w:t>
      </w:r>
    </w:p>
    <w:p w14:paraId="79314D26" w14:textId="77777777" w:rsidR="004B43A5" w:rsidRPr="004B43A5" w:rsidRDefault="004B43A5" w:rsidP="0086506E">
      <w:pPr>
        <w:pStyle w:val="Body"/>
        <w:numPr>
          <w:ilvl w:val="0"/>
          <w:numId w:val="32"/>
        </w:numPr>
        <w:spacing w:after="0"/>
        <w:rPr>
          <w:rFonts w:ascii="Arial" w:hAnsi="Arial" w:cs="Arial"/>
          <w:lang w:val="en-IN"/>
        </w:rPr>
      </w:pPr>
      <w:r w:rsidRPr="004B43A5">
        <w:rPr>
          <w:rFonts w:ascii="Arial" w:hAnsi="Arial" w:cs="Arial"/>
          <w:lang w:val="en-IN"/>
        </w:rPr>
        <w:lastRenderedPageBreak/>
        <w:t>FDA, EMA, and CDSCO inspections commonly target consent documentation, reporting of serious adverse events, and adherence to protocol [42].</w:t>
      </w:r>
    </w:p>
    <w:p w14:paraId="7369B1D3" w14:textId="77777777" w:rsidR="004B43A5" w:rsidRPr="004B43A5" w:rsidRDefault="004B43A5" w:rsidP="0086506E">
      <w:pPr>
        <w:pStyle w:val="Body"/>
        <w:numPr>
          <w:ilvl w:val="0"/>
          <w:numId w:val="32"/>
        </w:numPr>
        <w:spacing w:after="0"/>
        <w:rPr>
          <w:rFonts w:ascii="Arial" w:hAnsi="Arial" w:cs="Arial"/>
          <w:lang w:val="en-IN"/>
        </w:rPr>
      </w:pPr>
      <w:r w:rsidRPr="004B43A5">
        <w:rPr>
          <w:rFonts w:ascii="Arial" w:hAnsi="Arial" w:cs="Arial"/>
          <w:lang w:val="en-IN"/>
        </w:rPr>
        <w:t>Findings are classified as “critical,” “major,” or “minor,” with critical findings potentially disqualifying trial sites from contributing data.</w:t>
      </w:r>
    </w:p>
    <w:p w14:paraId="65442A65" w14:textId="77777777" w:rsidR="00727A1C" w:rsidRDefault="00727A1C" w:rsidP="004B43A5">
      <w:pPr>
        <w:pStyle w:val="Body"/>
        <w:spacing w:after="0"/>
        <w:rPr>
          <w:rFonts w:ascii="Arial" w:hAnsi="Arial" w:cs="Arial"/>
          <w:b/>
          <w:bCs/>
          <w:lang w:val="en-IN"/>
        </w:rPr>
      </w:pPr>
    </w:p>
    <w:p w14:paraId="38D7D1C8" w14:textId="5A3603FF"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Capacity Building in Resource-Constrained Settings</w:t>
      </w:r>
    </w:p>
    <w:p w14:paraId="4A97AF4F"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Implementing GCP in low- and middle-income countries (LMICs) presents unique difficulties:</w:t>
      </w:r>
    </w:p>
    <w:p w14:paraId="382D58BE" w14:textId="77777777" w:rsidR="004B43A5" w:rsidRPr="004B43A5" w:rsidRDefault="004B43A5" w:rsidP="0086506E">
      <w:pPr>
        <w:pStyle w:val="Body"/>
        <w:numPr>
          <w:ilvl w:val="0"/>
          <w:numId w:val="33"/>
        </w:numPr>
        <w:spacing w:after="0"/>
        <w:rPr>
          <w:rFonts w:ascii="Arial" w:hAnsi="Arial" w:cs="Arial"/>
          <w:lang w:val="en-IN"/>
        </w:rPr>
      </w:pPr>
      <w:r w:rsidRPr="004B43A5">
        <w:rPr>
          <w:rFonts w:ascii="Arial" w:hAnsi="Arial" w:cs="Arial"/>
          <w:b/>
          <w:bCs/>
          <w:lang w:val="en-IN"/>
        </w:rPr>
        <w:t>Infrastructure gaps:</w:t>
      </w:r>
      <w:r w:rsidRPr="004B43A5">
        <w:rPr>
          <w:rFonts w:ascii="Arial" w:hAnsi="Arial" w:cs="Arial"/>
          <w:lang w:val="en-IN"/>
        </w:rPr>
        <w:t xml:space="preserve"> Limited availability of secure data systems, laboratories, and trained monitors.</w:t>
      </w:r>
    </w:p>
    <w:p w14:paraId="3EB25235" w14:textId="77777777" w:rsidR="004B43A5" w:rsidRPr="004B43A5" w:rsidRDefault="004B43A5" w:rsidP="0086506E">
      <w:pPr>
        <w:pStyle w:val="Body"/>
        <w:numPr>
          <w:ilvl w:val="0"/>
          <w:numId w:val="33"/>
        </w:numPr>
        <w:spacing w:after="0"/>
        <w:rPr>
          <w:rFonts w:ascii="Arial" w:hAnsi="Arial" w:cs="Arial"/>
          <w:lang w:val="en-IN"/>
        </w:rPr>
      </w:pPr>
      <w:r w:rsidRPr="004B43A5">
        <w:rPr>
          <w:rFonts w:ascii="Arial" w:hAnsi="Arial" w:cs="Arial"/>
          <w:b/>
          <w:bCs/>
          <w:lang w:val="en-IN"/>
        </w:rPr>
        <w:t>Ethics committee limitations:</w:t>
      </w:r>
      <w:r w:rsidRPr="004B43A5">
        <w:rPr>
          <w:rFonts w:ascii="Arial" w:hAnsi="Arial" w:cs="Arial"/>
          <w:lang w:val="en-IN"/>
        </w:rPr>
        <w:t xml:space="preserve"> Many committees lack the expertise or resources to provide robust oversight [25].</w:t>
      </w:r>
    </w:p>
    <w:p w14:paraId="5A088548" w14:textId="77777777" w:rsidR="004B43A5" w:rsidRPr="004B43A5" w:rsidRDefault="004B43A5" w:rsidP="0086506E">
      <w:pPr>
        <w:pStyle w:val="Body"/>
        <w:numPr>
          <w:ilvl w:val="0"/>
          <w:numId w:val="33"/>
        </w:numPr>
        <w:spacing w:after="0"/>
        <w:rPr>
          <w:rFonts w:ascii="Arial" w:hAnsi="Arial" w:cs="Arial"/>
          <w:lang w:val="en-IN"/>
        </w:rPr>
      </w:pPr>
      <w:r w:rsidRPr="004B43A5">
        <w:rPr>
          <w:rFonts w:ascii="Arial" w:hAnsi="Arial" w:cs="Arial"/>
          <w:b/>
          <w:bCs/>
          <w:lang w:val="en-IN"/>
        </w:rPr>
        <w:t>Cultural and linguistic barriers:</w:t>
      </w:r>
      <w:r w:rsidRPr="004B43A5">
        <w:rPr>
          <w:rFonts w:ascii="Arial" w:hAnsi="Arial" w:cs="Arial"/>
          <w:lang w:val="en-IN"/>
        </w:rPr>
        <w:t xml:space="preserve"> Consent processes may require translation and adaptation to local norms.</w:t>
      </w:r>
    </w:p>
    <w:p w14:paraId="13EE06A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Despite these challenges, LMICs are increasingly central to global trials, particularly for infectious diseases and neglected conditions. Initiatives such as WHO’s African Vaccine Regulatory Forum (AVAREF) and regional training programs aim to strengthen capacity [39].</w:t>
      </w:r>
    </w:p>
    <w:p w14:paraId="6C304512" w14:textId="77777777" w:rsidR="00727A1C" w:rsidRPr="00727A1C" w:rsidRDefault="00727A1C" w:rsidP="004B43A5">
      <w:pPr>
        <w:pStyle w:val="Body"/>
        <w:spacing w:after="0"/>
        <w:rPr>
          <w:rFonts w:ascii="Arial" w:hAnsi="Arial" w:cs="Arial"/>
          <w:lang w:val="en-IN"/>
        </w:rPr>
      </w:pPr>
    </w:p>
    <w:p w14:paraId="2D830DCA" w14:textId="43E6113E"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Case Examples of Implementation Challenges</w:t>
      </w:r>
    </w:p>
    <w:p w14:paraId="21AA1CB4" w14:textId="77777777" w:rsidR="00727A1C" w:rsidRDefault="00727A1C" w:rsidP="004B43A5">
      <w:pPr>
        <w:pStyle w:val="Body"/>
        <w:rPr>
          <w:rFonts w:ascii="Arial" w:hAnsi="Arial" w:cs="Arial"/>
          <w:lang w:val="en-IN"/>
        </w:rPr>
      </w:pPr>
    </w:p>
    <w:p w14:paraId="5C8DB469" w14:textId="77777777" w:rsidR="00727A1C" w:rsidRDefault="004B43A5" w:rsidP="00727A1C">
      <w:pPr>
        <w:pStyle w:val="Body"/>
        <w:spacing w:after="0"/>
        <w:rPr>
          <w:rFonts w:ascii="Arial" w:hAnsi="Arial" w:cs="Arial"/>
          <w:lang w:val="en-IN"/>
        </w:rPr>
      </w:pPr>
      <w:r w:rsidRPr="004B43A5">
        <w:rPr>
          <w:rFonts w:ascii="Arial" w:hAnsi="Arial" w:cs="Arial"/>
          <w:lang w:val="en-IN"/>
        </w:rPr>
        <w:t>Example 1: Informed Consent Failures</w:t>
      </w:r>
    </w:p>
    <w:p w14:paraId="0DC12C70" w14:textId="3B26DA33" w:rsidR="004B43A5" w:rsidRPr="004B43A5" w:rsidRDefault="004B43A5" w:rsidP="00727A1C">
      <w:pPr>
        <w:pStyle w:val="Body"/>
        <w:spacing w:after="0"/>
        <w:rPr>
          <w:rFonts w:ascii="Arial" w:hAnsi="Arial" w:cs="Arial"/>
          <w:lang w:val="en-IN"/>
        </w:rPr>
      </w:pPr>
      <w:r w:rsidRPr="004B43A5">
        <w:rPr>
          <w:rFonts w:ascii="Arial" w:hAnsi="Arial" w:cs="Arial"/>
          <w:lang w:val="en-IN"/>
        </w:rPr>
        <w:t>A 2013 CDSCO inspection in India found trial participants had signed consent forms they could not read, reflecting coercion and poor comprehension [36]. This led to mandatory audiovisual recording of consent for vulnerable groups under the 2019 rules [24].</w:t>
      </w:r>
    </w:p>
    <w:p w14:paraId="5D48EA86" w14:textId="77777777" w:rsidR="00727A1C" w:rsidRDefault="00727A1C" w:rsidP="004B43A5">
      <w:pPr>
        <w:pStyle w:val="Body"/>
        <w:rPr>
          <w:rFonts w:ascii="Arial" w:hAnsi="Arial" w:cs="Arial"/>
          <w:lang w:val="en-IN"/>
        </w:rPr>
      </w:pPr>
    </w:p>
    <w:p w14:paraId="46D276F7" w14:textId="1E8B33A4" w:rsidR="004B43A5" w:rsidRPr="004B43A5" w:rsidRDefault="004B43A5" w:rsidP="00727A1C">
      <w:pPr>
        <w:pStyle w:val="Body"/>
        <w:spacing w:after="0"/>
        <w:rPr>
          <w:rFonts w:ascii="Arial" w:hAnsi="Arial" w:cs="Arial"/>
          <w:lang w:val="en-IN"/>
        </w:rPr>
      </w:pPr>
      <w:r w:rsidRPr="004B43A5">
        <w:rPr>
          <w:rFonts w:ascii="Arial" w:hAnsi="Arial" w:cs="Arial"/>
          <w:lang w:val="en-IN"/>
        </w:rPr>
        <w:t>Example 2: Data Fabrication</w:t>
      </w:r>
    </w:p>
    <w:p w14:paraId="132AB700" w14:textId="77777777" w:rsidR="004B43A5" w:rsidRPr="004B43A5" w:rsidRDefault="004B43A5" w:rsidP="00727A1C">
      <w:pPr>
        <w:pStyle w:val="Body"/>
        <w:spacing w:after="0"/>
        <w:rPr>
          <w:rFonts w:ascii="Arial" w:hAnsi="Arial" w:cs="Arial"/>
          <w:lang w:val="en-IN"/>
        </w:rPr>
      </w:pPr>
      <w:r w:rsidRPr="004B43A5">
        <w:rPr>
          <w:rFonts w:ascii="Arial" w:hAnsi="Arial" w:cs="Arial"/>
          <w:lang w:val="en-IN"/>
        </w:rPr>
        <w:t xml:space="preserve">The FDA has repeatedly cited trial sites for fabricating data, including falsifying participant </w:t>
      </w:r>
      <w:proofErr w:type="spellStart"/>
      <w:r w:rsidRPr="004B43A5">
        <w:rPr>
          <w:rFonts w:ascii="Arial" w:hAnsi="Arial" w:cs="Arial"/>
          <w:lang w:val="en-IN"/>
        </w:rPr>
        <w:t>enrollment</w:t>
      </w:r>
      <w:proofErr w:type="spellEnd"/>
      <w:r w:rsidRPr="004B43A5">
        <w:rPr>
          <w:rFonts w:ascii="Arial" w:hAnsi="Arial" w:cs="Arial"/>
          <w:lang w:val="en-IN"/>
        </w:rPr>
        <w:t xml:space="preserve"> or altering lab results [42]. Such violations underscore the need for strong monitoring and audit trails.</w:t>
      </w:r>
    </w:p>
    <w:p w14:paraId="7B24E379" w14:textId="77777777" w:rsidR="00727A1C" w:rsidRDefault="00727A1C" w:rsidP="004B43A5">
      <w:pPr>
        <w:pStyle w:val="Body"/>
        <w:rPr>
          <w:rFonts w:ascii="Arial" w:hAnsi="Arial" w:cs="Arial"/>
          <w:lang w:val="en-IN"/>
        </w:rPr>
      </w:pPr>
    </w:p>
    <w:p w14:paraId="68BB4999" w14:textId="5A07DFE3" w:rsidR="004B43A5" w:rsidRPr="004B43A5" w:rsidRDefault="004B43A5" w:rsidP="00727A1C">
      <w:pPr>
        <w:pStyle w:val="Body"/>
        <w:spacing w:after="0"/>
        <w:rPr>
          <w:rFonts w:ascii="Arial" w:hAnsi="Arial" w:cs="Arial"/>
          <w:lang w:val="en-IN"/>
        </w:rPr>
      </w:pPr>
      <w:r w:rsidRPr="004B43A5">
        <w:rPr>
          <w:rFonts w:ascii="Arial" w:hAnsi="Arial" w:cs="Arial"/>
          <w:lang w:val="en-IN"/>
        </w:rPr>
        <w:t>Example 3: Pandemic-Era Trials</w:t>
      </w:r>
    </w:p>
    <w:p w14:paraId="7403612C" w14:textId="77777777" w:rsidR="004B43A5" w:rsidRPr="004B43A5" w:rsidRDefault="004B43A5" w:rsidP="00727A1C">
      <w:pPr>
        <w:pStyle w:val="Body"/>
        <w:spacing w:after="0"/>
        <w:rPr>
          <w:rFonts w:ascii="Arial" w:hAnsi="Arial" w:cs="Arial"/>
          <w:lang w:val="en-IN"/>
        </w:rPr>
      </w:pPr>
      <w:r w:rsidRPr="004B43A5">
        <w:rPr>
          <w:rFonts w:ascii="Arial" w:hAnsi="Arial" w:cs="Arial"/>
          <w:lang w:val="en-IN"/>
        </w:rPr>
        <w:t>During COVID-19, expedited trials highlighted the difficulty of balancing speed with integrity. Remote monitoring tools enabled continuity but exposed disparities in digital readiness between countries and trial sites [32,49].</w:t>
      </w:r>
    </w:p>
    <w:p w14:paraId="4FE5C565" w14:textId="77777777" w:rsidR="00727A1C" w:rsidRDefault="00727A1C" w:rsidP="004B43A5">
      <w:pPr>
        <w:pStyle w:val="Body"/>
        <w:spacing w:after="0"/>
        <w:rPr>
          <w:rFonts w:ascii="Arial" w:hAnsi="Arial" w:cs="Arial"/>
          <w:b/>
          <w:bCs/>
          <w:lang w:val="en-IN"/>
        </w:rPr>
      </w:pPr>
    </w:p>
    <w:p w14:paraId="40B3D915" w14:textId="6E5BB96F"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The Human Factor in GCP Implementation</w:t>
      </w:r>
    </w:p>
    <w:p w14:paraId="4E9BDD75"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 xml:space="preserve">While systems and technology are vital, human </w:t>
      </w:r>
      <w:proofErr w:type="spellStart"/>
      <w:r w:rsidRPr="004B43A5">
        <w:rPr>
          <w:rFonts w:ascii="Arial" w:hAnsi="Arial" w:cs="Arial"/>
          <w:lang w:val="en-IN"/>
        </w:rPr>
        <w:t>behavior</w:t>
      </w:r>
      <w:proofErr w:type="spellEnd"/>
      <w:r w:rsidRPr="004B43A5">
        <w:rPr>
          <w:rFonts w:ascii="Arial" w:hAnsi="Arial" w:cs="Arial"/>
          <w:lang w:val="en-IN"/>
        </w:rPr>
        <w:t xml:space="preserve"> ultimately determines compliance.</w:t>
      </w:r>
    </w:p>
    <w:p w14:paraId="4C8BC1BF" w14:textId="77777777" w:rsidR="004B43A5" w:rsidRPr="004B43A5" w:rsidRDefault="004B43A5" w:rsidP="0086506E">
      <w:pPr>
        <w:pStyle w:val="Body"/>
        <w:numPr>
          <w:ilvl w:val="0"/>
          <w:numId w:val="34"/>
        </w:numPr>
        <w:spacing w:after="0"/>
        <w:rPr>
          <w:rFonts w:ascii="Arial" w:hAnsi="Arial" w:cs="Arial"/>
          <w:lang w:val="en-IN"/>
        </w:rPr>
      </w:pPr>
      <w:r w:rsidRPr="004B43A5">
        <w:rPr>
          <w:rFonts w:ascii="Arial" w:hAnsi="Arial" w:cs="Arial"/>
          <w:b/>
          <w:bCs/>
          <w:lang w:val="en-IN"/>
        </w:rPr>
        <w:t>Training and culture:</w:t>
      </w:r>
      <w:r w:rsidRPr="004B43A5">
        <w:rPr>
          <w:rFonts w:ascii="Arial" w:hAnsi="Arial" w:cs="Arial"/>
          <w:lang w:val="en-IN"/>
        </w:rPr>
        <w:t xml:space="preserve"> Regular GCP training is essential but often treated as a box-ticking exercise. Embedding a culture of integrity and participant-centeredness is more effective.</w:t>
      </w:r>
    </w:p>
    <w:p w14:paraId="289499F9" w14:textId="77777777" w:rsidR="004B43A5" w:rsidRPr="004B43A5" w:rsidRDefault="004B43A5" w:rsidP="0086506E">
      <w:pPr>
        <w:pStyle w:val="Body"/>
        <w:numPr>
          <w:ilvl w:val="0"/>
          <w:numId w:val="34"/>
        </w:numPr>
        <w:spacing w:after="0"/>
        <w:rPr>
          <w:rFonts w:ascii="Arial" w:hAnsi="Arial" w:cs="Arial"/>
          <w:lang w:val="en-IN"/>
        </w:rPr>
      </w:pPr>
      <w:r w:rsidRPr="004B43A5">
        <w:rPr>
          <w:rFonts w:ascii="Arial" w:hAnsi="Arial" w:cs="Arial"/>
          <w:b/>
          <w:bCs/>
          <w:lang w:val="en-IN"/>
        </w:rPr>
        <w:t>Investigator accountability:</w:t>
      </w:r>
      <w:r w:rsidRPr="004B43A5">
        <w:rPr>
          <w:rFonts w:ascii="Arial" w:hAnsi="Arial" w:cs="Arial"/>
          <w:lang w:val="en-IN"/>
        </w:rPr>
        <w:t xml:space="preserve"> The principal investigator bears ultimate responsibility for compliance, regardless of delegation.</w:t>
      </w:r>
    </w:p>
    <w:p w14:paraId="67E3BA46" w14:textId="77777777" w:rsidR="004B43A5" w:rsidRPr="004B43A5" w:rsidRDefault="004B43A5" w:rsidP="0086506E">
      <w:pPr>
        <w:pStyle w:val="Body"/>
        <w:numPr>
          <w:ilvl w:val="0"/>
          <w:numId w:val="34"/>
        </w:numPr>
        <w:spacing w:after="0"/>
        <w:rPr>
          <w:rFonts w:ascii="Arial" w:hAnsi="Arial" w:cs="Arial"/>
          <w:lang w:val="en-IN"/>
        </w:rPr>
      </w:pPr>
      <w:r w:rsidRPr="004B43A5">
        <w:rPr>
          <w:rFonts w:ascii="Arial" w:hAnsi="Arial" w:cs="Arial"/>
          <w:b/>
          <w:bCs/>
          <w:lang w:val="en-IN"/>
        </w:rPr>
        <w:t>Sponsor responsibility:</w:t>
      </w:r>
      <w:r w:rsidRPr="004B43A5">
        <w:rPr>
          <w:rFonts w:ascii="Arial" w:hAnsi="Arial" w:cs="Arial"/>
          <w:lang w:val="en-IN"/>
        </w:rPr>
        <w:t xml:space="preserve"> Sponsors must support sites with adequate resources and avoid creating perverse incentives that encourage data manipulation.</w:t>
      </w:r>
    </w:p>
    <w:p w14:paraId="2B9B84DE" w14:textId="77777777" w:rsidR="00727A1C" w:rsidRDefault="00727A1C" w:rsidP="004B43A5">
      <w:pPr>
        <w:pStyle w:val="Body"/>
        <w:rPr>
          <w:rFonts w:ascii="Arial" w:hAnsi="Arial" w:cs="Arial"/>
          <w:b/>
          <w:bCs/>
          <w:lang w:val="en-IN"/>
        </w:rPr>
      </w:pPr>
    </w:p>
    <w:p w14:paraId="6EA8E107" w14:textId="77777777" w:rsidR="00727A1C" w:rsidRDefault="00727A1C" w:rsidP="004B43A5">
      <w:pPr>
        <w:pStyle w:val="Body"/>
        <w:rPr>
          <w:rFonts w:ascii="Arial" w:hAnsi="Arial" w:cs="Arial"/>
          <w:b/>
          <w:bCs/>
          <w:lang w:val="en-IN"/>
        </w:rPr>
      </w:pPr>
    </w:p>
    <w:p w14:paraId="266E00F3" w14:textId="33A57C93" w:rsidR="004B43A5" w:rsidRPr="004B43A5" w:rsidRDefault="004B43A5" w:rsidP="004B43A5">
      <w:pPr>
        <w:pStyle w:val="Body"/>
        <w:rPr>
          <w:rFonts w:ascii="Arial" w:hAnsi="Arial" w:cs="Arial"/>
          <w:b/>
          <w:bCs/>
          <w:lang w:val="en-IN"/>
        </w:rPr>
      </w:pPr>
      <w:r w:rsidRPr="004B43A5">
        <w:rPr>
          <w:rFonts w:ascii="Arial" w:hAnsi="Arial" w:cs="Arial"/>
          <w:b/>
          <w:bCs/>
          <w:lang w:val="en-IN"/>
        </w:rPr>
        <w:t>Future Directions and Emerging Trends in Good Clinical Practice</w:t>
      </w:r>
    </w:p>
    <w:p w14:paraId="652724DF"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lastRenderedPageBreak/>
        <w:t>Good Clinical Practice (GCP) has evolved through decades of ethical reflection, regulatory development, and practical lessons. Yet, the pace of scientific and technological change now demands further transformation. Clinical research is moving into an era defined by digital innovation, globalization, patient-centricity, and sustainability, all of which require GCP to remain dynamic. This section explores emerging trends and challenges likely to shape the future of clinical trials and the continued evolution of GCP.</w:t>
      </w:r>
    </w:p>
    <w:p w14:paraId="785EB862" w14:textId="77777777" w:rsidR="00727A1C" w:rsidRDefault="00727A1C" w:rsidP="004B43A5">
      <w:pPr>
        <w:pStyle w:val="Body"/>
        <w:spacing w:after="0"/>
        <w:rPr>
          <w:rFonts w:ascii="Arial" w:hAnsi="Arial" w:cs="Arial"/>
          <w:lang w:val="en-IN"/>
        </w:rPr>
      </w:pPr>
    </w:p>
    <w:p w14:paraId="29BE5A80" w14:textId="3CEE6A77" w:rsidR="004B43A5" w:rsidRDefault="004B43A5" w:rsidP="004B43A5">
      <w:pPr>
        <w:pStyle w:val="Body"/>
        <w:spacing w:after="0"/>
        <w:rPr>
          <w:rFonts w:ascii="Arial" w:hAnsi="Arial" w:cs="Arial"/>
          <w:b/>
          <w:bCs/>
          <w:lang w:val="en-IN"/>
        </w:rPr>
      </w:pPr>
      <w:r w:rsidRPr="004B43A5">
        <w:rPr>
          <w:rFonts w:ascii="Arial" w:hAnsi="Arial" w:cs="Arial"/>
          <w:b/>
          <w:bCs/>
          <w:lang w:val="en-IN"/>
        </w:rPr>
        <w:t>Digitalisation and Artificial Intelligence</w:t>
      </w:r>
    </w:p>
    <w:p w14:paraId="2177204A" w14:textId="77777777" w:rsidR="00727A1C" w:rsidRPr="004B43A5" w:rsidRDefault="00727A1C" w:rsidP="004B43A5">
      <w:pPr>
        <w:pStyle w:val="Body"/>
        <w:spacing w:after="0"/>
        <w:rPr>
          <w:rFonts w:ascii="Arial" w:hAnsi="Arial" w:cs="Arial"/>
          <w:b/>
          <w:bCs/>
          <w:lang w:val="en-IN"/>
        </w:rPr>
      </w:pPr>
    </w:p>
    <w:p w14:paraId="06A2B207" w14:textId="77777777" w:rsidR="004B43A5" w:rsidRPr="004B43A5" w:rsidRDefault="004B43A5" w:rsidP="00727A1C">
      <w:pPr>
        <w:pStyle w:val="Body"/>
        <w:spacing w:after="0"/>
        <w:rPr>
          <w:rFonts w:ascii="Arial" w:hAnsi="Arial" w:cs="Arial"/>
          <w:b/>
          <w:bCs/>
          <w:lang w:val="en-IN"/>
        </w:rPr>
      </w:pPr>
      <w:r w:rsidRPr="004B43A5">
        <w:rPr>
          <w:rFonts w:ascii="Arial" w:hAnsi="Arial" w:cs="Arial"/>
          <w:b/>
          <w:bCs/>
          <w:lang w:val="en-IN"/>
        </w:rPr>
        <w:t>Decentralized Clinical Trials (DCTs)</w:t>
      </w:r>
    </w:p>
    <w:p w14:paraId="2A945BA2" w14:textId="77777777" w:rsidR="004B43A5" w:rsidRPr="004B43A5" w:rsidRDefault="004B43A5" w:rsidP="00727A1C">
      <w:pPr>
        <w:pStyle w:val="Body"/>
        <w:spacing w:after="0"/>
        <w:rPr>
          <w:rFonts w:ascii="Arial" w:hAnsi="Arial" w:cs="Arial"/>
          <w:lang w:val="en-IN"/>
        </w:rPr>
      </w:pPr>
      <w:r w:rsidRPr="004B43A5">
        <w:rPr>
          <w:rFonts w:ascii="Arial" w:hAnsi="Arial" w:cs="Arial"/>
          <w:lang w:val="en-IN"/>
        </w:rPr>
        <w:t xml:space="preserve">The COVID-19 pandemic accelerated adoption of decentralized clinical trials, which reduce dependence on physical trial sites by using telemedicine, </w:t>
      </w:r>
      <w:proofErr w:type="spellStart"/>
      <w:r w:rsidRPr="004B43A5">
        <w:rPr>
          <w:rFonts w:ascii="Arial" w:hAnsi="Arial" w:cs="Arial"/>
          <w:lang w:val="en-IN"/>
        </w:rPr>
        <w:t>eConsent</w:t>
      </w:r>
      <w:proofErr w:type="spellEnd"/>
      <w:r w:rsidRPr="004B43A5">
        <w:rPr>
          <w:rFonts w:ascii="Arial" w:hAnsi="Arial" w:cs="Arial"/>
          <w:lang w:val="en-IN"/>
        </w:rPr>
        <w:t>, home delivery of investigational products, and wearable devices for remote monitoring [51]. DCTs promise increased accessibility and patient convenience but pose challenges for GCP compliance:</w:t>
      </w:r>
    </w:p>
    <w:p w14:paraId="188C2C52" w14:textId="77777777" w:rsidR="004B43A5" w:rsidRPr="004B43A5" w:rsidRDefault="004B43A5" w:rsidP="0086506E">
      <w:pPr>
        <w:pStyle w:val="Body"/>
        <w:numPr>
          <w:ilvl w:val="0"/>
          <w:numId w:val="35"/>
        </w:numPr>
        <w:spacing w:after="0"/>
        <w:rPr>
          <w:rFonts w:ascii="Arial" w:hAnsi="Arial" w:cs="Arial"/>
          <w:lang w:val="en-IN"/>
        </w:rPr>
      </w:pPr>
      <w:r w:rsidRPr="004B43A5">
        <w:rPr>
          <w:rFonts w:ascii="Arial" w:hAnsi="Arial" w:cs="Arial"/>
          <w:lang w:val="en-IN"/>
        </w:rPr>
        <w:t>Ensuring informed consent remains meaningful when delivered electronically.</w:t>
      </w:r>
    </w:p>
    <w:p w14:paraId="548D10CB" w14:textId="77777777" w:rsidR="004B43A5" w:rsidRPr="004B43A5" w:rsidRDefault="004B43A5" w:rsidP="0086506E">
      <w:pPr>
        <w:pStyle w:val="Body"/>
        <w:numPr>
          <w:ilvl w:val="0"/>
          <w:numId w:val="35"/>
        </w:numPr>
        <w:spacing w:after="0"/>
        <w:rPr>
          <w:rFonts w:ascii="Arial" w:hAnsi="Arial" w:cs="Arial"/>
          <w:lang w:val="en-IN"/>
        </w:rPr>
      </w:pPr>
      <w:r w:rsidRPr="004B43A5">
        <w:rPr>
          <w:rFonts w:ascii="Arial" w:hAnsi="Arial" w:cs="Arial"/>
          <w:lang w:val="en-IN"/>
        </w:rPr>
        <w:t>Maintaining data integrity when streams come from wearables, apps, or patient-reported outcomes.</w:t>
      </w:r>
    </w:p>
    <w:p w14:paraId="42CA0EC4" w14:textId="77777777" w:rsidR="004B43A5" w:rsidRPr="004B43A5" w:rsidRDefault="004B43A5" w:rsidP="0086506E">
      <w:pPr>
        <w:pStyle w:val="Body"/>
        <w:numPr>
          <w:ilvl w:val="0"/>
          <w:numId w:val="35"/>
        </w:numPr>
        <w:spacing w:after="0"/>
        <w:rPr>
          <w:rFonts w:ascii="Arial" w:hAnsi="Arial" w:cs="Arial"/>
          <w:lang w:val="en-IN"/>
        </w:rPr>
      </w:pPr>
      <w:r w:rsidRPr="004B43A5">
        <w:rPr>
          <w:rFonts w:ascii="Arial" w:hAnsi="Arial" w:cs="Arial"/>
          <w:lang w:val="en-IN"/>
        </w:rPr>
        <w:t>Ensuring equity, as digital trials may exclude participants without reliable internet access.</w:t>
      </w:r>
    </w:p>
    <w:p w14:paraId="5254739B" w14:textId="77777777" w:rsidR="00727A1C" w:rsidRDefault="00727A1C" w:rsidP="004B43A5">
      <w:pPr>
        <w:pStyle w:val="Body"/>
        <w:rPr>
          <w:rFonts w:ascii="Arial" w:hAnsi="Arial" w:cs="Arial"/>
          <w:lang w:val="en-IN"/>
        </w:rPr>
      </w:pPr>
    </w:p>
    <w:p w14:paraId="5CA558EE" w14:textId="4C2569B0" w:rsidR="004B43A5" w:rsidRPr="004B43A5" w:rsidRDefault="004B43A5" w:rsidP="00727A1C">
      <w:pPr>
        <w:pStyle w:val="Body"/>
        <w:spacing w:after="0"/>
        <w:rPr>
          <w:rFonts w:ascii="Arial" w:hAnsi="Arial" w:cs="Arial"/>
          <w:b/>
          <w:bCs/>
          <w:lang w:val="en-IN"/>
        </w:rPr>
      </w:pPr>
      <w:r w:rsidRPr="004B43A5">
        <w:rPr>
          <w:rFonts w:ascii="Arial" w:hAnsi="Arial" w:cs="Arial"/>
          <w:b/>
          <w:bCs/>
          <w:lang w:val="en-IN"/>
        </w:rPr>
        <w:t>Artificial Intelligence (AI) in Trials</w:t>
      </w:r>
    </w:p>
    <w:p w14:paraId="4E519999" w14:textId="77777777" w:rsidR="004B43A5" w:rsidRPr="004B43A5" w:rsidRDefault="004B43A5" w:rsidP="00727A1C">
      <w:pPr>
        <w:pStyle w:val="Body"/>
        <w:spacing w:after="0"/>
        <w:rPr>
          <w:rFonts w:ascii="Arial" w:hAnsi="Arial" w:cs="Arial"/>
          <w:lang w:val="en-IN"/>
        </w:rPr>
      </w:pPr>
      <w:r w:rsidRPr="004B43A5">
        <w:rPr>
          <w:rFonts w:ascii="Arial" w:hAnsi="Arial" w:cs="Arial"/>
          <w:lang w:val="en-IN"/>
        </w:rPr>
        <w:t>AI tools are increasingly used for patient recruitment, predictive analytics, and adverse event detection [52]. While these tools improve efficiency, they raise new GCP-related questions:</w:t>
      </w:r>
    </w:p>
    <w:p w14:paraId="2B7E5514" w14:textId="77777777" w:rsidR="004B43A5" w:rsidRPr="004B43A5" w:rsidRDefault="004B43A5" w:rsidP="0086506E">
      <w:pPr>
        <w:pStyle w:val="Body"/>
        <w:numPr>
          <w:ilvl w:val="0"/>
          <w:numId w:val="36"/>
        </w:numPr>
        <w:spacing w:after="0"/>
        <w:rPr>
          <w:rFonts w:ascii="Arial" w:hAnsi="Arial" w:cs="Arial"/>
          <w:lang w:val="en-IN"/>
        </w:rPr>
      </w:pPr>
      <w:r w:rsidRPr="004B43A5">
        <w:rPr>
          <w:rFonts w:ascii="Arial" w:hAnsi="Arial" w:cs="Arial"/>
          <w:lang w:val="en-IN"/>
        </w:rPr>
        <w:t>How transparent must AI algorithms be?</w:t>
      </w:r>
    </w:p>
    <w:p w14:paraId="2892B995" w14:textId="77777777" w:rsidR="004B43A5" w:rsidRPr="004B43A5" w:rsidRDefault="004B43A5" w:rsidP="0086506E">
      <w:pPr>
        <w:pStyle w:val="Body"/>
        <w:numPr>
          <w:ilvl w:val="0"/>
          <w:numId w:val="36"/>
        </w:numPr>
        <w:spacing w:after="0"/>
        <w:rPr>
          <w:rFonts w:ascii="Arial" w:hAnsi="Arial" w:cs="Arial"/>
          <w:lang w:val="en-IN"/>
        </w:rPr>
      </w:pPr>
      <w:r w:rsidRPr="004B43A5">
        <w:rPr>
          <w:rFonts w:ascii="Arial" w:hAnsi="Arial" w:cs="Arial"/>
          <w:lang w:val="en-IN"/>
        </w:rPr>
        <w:t>Who bears accountability if an AI-driven recruitment process introduces bias?</w:t>
      </w:r>
    </w:p>
    <w:p w14:paraId="1FE65063" w14:textId="77777777" w:rsidR="004B43A5" w:rsidRPr="004B43A5" w:rsidRDefault="004B43A5" w:rsidP="0086506E">
      <w:pPr>
        <w:pStyle w:val="Body"/>
        <w:numPr>
          <w:ilvl w:val="0"/>
          <w:numId w:val="36"/>
        </w:numPr>
        <w:spacing w:after="0"/>
        <w:rPr>
          <w:rFonts w:ascii="Arial" w:hAnsi="Arial" w:cs="Arial"/>
          <w:lang w:val="en-IN"/>
        </w:rPr>
      </w:pPr>
      <w:r w:rsidRPr="004B43A5">
        <w:rPr>
          <w:rFonts w:ascii="Arial" w:hAnsi="Arial" w:cs="Arial"/>
          <w:lang w:val="en-IN"/>
        </w:rPr>
        <w:t>Can patients provide truly informed consent if trial decisions are partly based on opaque algorithms?</w:t>
      </w:r>
    </w:p>
    <w:p w14:paraId="61A6B5D6"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Regulatory bodies are beginning to issue draft frameworks for AI in medicine, but integration into GCP remains nascent [53].</w:t>
      </w:r>
    </w:p>
    <w:p w14:paraId="539AC4B5" w14:textId="77777777" w:rsidR="004B43A5" w:rsidRPr="004B43A5" w:rsidRDefault="004B43A5" w:rsidP="004B43A5">
      <w:pPr>
        <w:pStyle w:val="Body"/>
        <w:spacing w:after="0"/>
        <w:rPr>
          <w:rFonts w:ascii="Arial" w:hAnsi="Arial" w:cs="Arial"/>
          <w:b/>
          <w:bCs/>
          <w:lang w:val="en-IN"/>
        </w:rPr>
      </w:pPr>
    </w:p>
    <w:p w14:paraId="73793828" w14:textId="77777777" w:rsidR="004B43A5" w:rsidRPr="004B43A5" w:rsidRDefault="004B43A5" w:rsidP="004B43A5">
      <w:pPr>
        <w:pStyle w:val="Body"/>
        <w:spacing w:after="0"/>
        <w:rPr>
          <w:rFonts w:ascii="Arial" w:hAnsi="Arial" w:cs="Arial"/>
          <w:b/>
          <w:bCs/>
          <w:lang w:val="en-IN"/>
        </w:rPr>
      </w:pPr>
    </w:p>
    <w:p w14:paraId="0C6C3FA9" w14:textId="77777777"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Patient-Centric Approaches</w:t>
      </w:r>
    </w:p>
    <w:p w14:paraId="2FD2E3E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Historically, participants were viewed as “subjects.” Today, there is a growing recognition that patients are partners in the research process. ICH-GCP’s ongoing E6(R3) revision explicitly calls for participant engagement in trial design [29].</w:t>
      </w:r>
    </w:p>
    <w:p w14:paraId="487CEC08" w14:textId="77777777" w:rsidR="004B43A5" w:rsidRPr="004B43A5" w:rsidRDefault="004B43A5" w:rsidP="0086506E">
      <w:pPr>
        <w:pStyle w:val="Body"/>
        <w:numPr>
          <w:ilvl w:val="0"/>
          <w:numId w:val="37"/>
        </w:numPr>
        <w:spacing w:after="0"/>
        <w:rPr>
          <w:rFonts w:ascii="Arial" w:hAnsi="Arial" w:cs="Arial"/>
          <w:lang w:val="en-IN"/>
        </w:rPr>
      </w:pPr>
      <w:r w:rsidRPr="004B43A5">
        <w:rPr>
          <w:rFonts w:ascii="Arial" w:hAnsi="Arial" w:cs="Arial"/>
          <w:b/>
          <w:bCs/>
          <w:lang w:val="en-IN"/>
        </w:rPr>
        <w:t>Co-creation of protocols:</w:t>
      </w:r>
      <w:r w:rsidRPr="004B43A5">
        <w:rPr>
          <w:rFonts w:ascii="Arial" w:hAnsi="Arial" w:cs="Arial"/>
          <w:lang w:val="en-IN"/>
        </w:rPr>
        <w:t xml:space="preserve"> Patients increasingly contribute to defining relevant endpoints, acceptable burdens, and meaningful outcomes [54].</w:t>
      </w:r>
    </w:p>
    <w:p w14:paraId="7B77B8B5" w14:textId="77777777" w:rsidR="004B43A5" w:rsidRPr="004B43A5" w:rsidRDefault="004B43A5" w:rsidP="0086506E">
      <w:pPr>
        <w:pStyle w:val="Body"/>
        <w:numPr>
          <w:ilvl w:val="0"/>
          <w:numId w:val="37"/>
        </w:numPr>
        <w:spacing w:after="0"/>
        <w:rPr>
          <w:rFonts w:ascii="Arial" w:hAnsi="Arial" w:cs="Arial"/>
          <w:lang w:val="en-IN"/>
        </w:rPr>
      </w:pPr>
      <w:r w:rsidRPr="004B43A5">
        <w:rPr>
          <w:rFonts w:ascii="Arial" w:hAnsi="Arial" w:cs="Arial"/>
          <w:b/>
          <w:bCs/>
          <w:lang w:val="en-IN"/>
        </w:rPr>
        <w:t>Return of results:</w:t>
      </w:r>
      <w:r w:rsidRPr="004B43A5">
        <w:rPr>
          <w:rFonts w:ascii="Arial" w:hAnsi="Arial" w:cs="Arial"/>
          <w:lang w:val="en-IN"/>
        </w:rPr>
        <w:t xml:space="preserve"> Ethical practice now emphasizes returning aggregate and, where feasible, individual results to participants. This fosters trust and reduces the perception of exploitation [55].</w:t>
      </w:r>
    </w:p>
    <w:p w14:paraId="3AF5F4BC" w14:textId="77777777" w:rsidR="004B43A5" w:rsidRPr="004B43A5" w:rsidRDefault="004B43A5" w:rsidP="0086506E">
      <w:pPr>
        <w:pStyle w:val="Body"/>
        <w:numPr>
          <w:ilvl w:val="0"/>
          <w:numId w:val="37"/>
        </w:numPr>
        <w:spacing w:after="0"/>
        <w:rPr>
          <w:rFonts w:ascii="Arial" w:hAnsi="Arial" w:cs="Arial"/>
          <w:lang w:val="en-IN"/>
        </w:rPr>
      </w:pPr>
      <w:r w:rsidRPr="004B43A5">
        <w:rPr>
          <w:rFonts w:ascii="Arial" w:hAnsi="Arial" w:cs="Arial"/>
          <w:b/>
          <w:bCs/>
          <w:lang w:val="en-IN"/>
        </w:rPr>
        <w:t>Compensation and access:</w:t>
      </w:r>
      <w:r w:rsidRPr="004B43A5">
        <w:rPr>
          <w:rFonts w:ascii="Arial" w:hAnsi="Arial" w:cs="Arial"/>
          <w:lang w:val="en-IN"/>
        </w:rPr>
        <w:t xml:space="preserve"> Post-trial access to effective interventions remains a contentious issue, especially in LMICs where many trials are conducted [56].</w:t>
      </w:r>
    </w:p>
    <w:p w14:paraId="08BAA93E"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A patient-centric paradigm requires not just regulatory adjustments, but cultural change within research institutions and sponsor companies.</w:t>
      </w:r>
    </w:p>
    <w:p w14:paraId="4274DFF2" w14:textId="77777777" w:rsidR="00727A1C" w:rsidRDefault="00727A1C" w:rsidP="004B43A5">
      <w:pPr>
        <w:pStyle w:val="Body"/>
        <w:spacing w:after="0"/>
        <w:rPr>
          <w:rFonts w:ascii="Arial" w:hAnsi="Arial" w:cs="Arial"/>
          <w:b/>
          <w:bCs/>
          <w:lang w:val="en-IN"/>
        </w:rPr>
      </w:pPr>
    </w:p>
    <w:p w14:paraId="7BFB53EF" w14:textId="079D8E9D"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Global Equity and Representation</w:t>
      </w:r>
    </w:p>
    <w:p w14:paraId="73D002AA"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Globalization of clinical research has created opportunities to diversify participant pools, but inequities persist.</w:t>
      </w:r>
    </w:p>
    <w:p w14:paraId="0E0323EE" w14:textId="77777777" w:rsidR="004B43A5" w:rsidRPr="004B43A5" w:rsidRDefault="004B43A5" w:rsidP="0086506E">
      <w:pPr>
        <w:pStyle w:val="Body"/>
        <w:numPr>
          <w:ilvl w:val="0"/>
          <w:numId w:val="38"/>
        </w:numPr>
        <w:spacing w:after="0"/>
        <w:rPr>
          <w:rFonts w:ascii="Arial" w:hAnsi="Arial" w:cs="Arial"/>
          <w:lang w:val="en-IN"/>
        </w:rPr>
      </w:pPr>
      <w:r w:rsidRPr="004B43A5">
        <w:rPr>
          <w:rFonts w:ascii="Arial" w:hAnsi="Arial" w:cs="Arial"/>
          <w:b/>
          <w:bCs/>
          <w:lang w:val="en-IN"/>
        </w:rPr>
        <w:t>Underrepresentation:</w:t>
      </w:r>
      <w:r w:rsidRPr="004B43A5">
        <w:rPr>
          <w:rFonts w:ascii="Arial" w:hAnsi="Arial" w:cs="Arial"/>
          <w:lang w:val="en-IN"/>
        </w:rPr>
        <w:t xml:space="preserve"> Minority populations remain underrepresented in trials, even when disproportionately affected by diseases (e.g., African Americans in oncology trials, women in cardiovascular studies) [57].</w:t>
      </w:r>
    </w:p>
    <w:p w14:paraId="298611CB" w14:textId="77777777" w:rsidR="004B43A5" w:rsidRPr="004B43A5" w:rsidRDefault="004B43A5" w:rsidP="0086506E">
      <w:pPr>
        <w:pStyle w:val="Body"/>
        <w:numPr>
          <w:ilvl w:val="0"/>
          <w:numId w:val="38"/>
        </w:numPr>
        <w:spacing w:after="0"/>
        <w:rPr>
          <w:rFonts w:ascii="Arial" w:hAnsi="Arial" w:cs="Arial"/>
          <w:lang w:val="en-IN"/>
        </w:rPr>
      </w:pPr>
      <w:r w:rsidRPr="004B43A5">
        <w:rPr>
          <w:rFonts w:ascii="Arial" w:hAnsi="Arial" w:cs="Arial"/>
          <w:b/>
          <w:bCs/>
          <w:lang w:val="en-IN"/>
        </w:rPr>
        <w:lastRenderedPageBreak/>
        <w:t>Ethics dumping:</w:t>
      </w:r>
      <w:r w:rsidRPr="004B43A5">
        <w:rPr>
          <w:rFonts w:ascii="Arial" w:hAnsi="Arial" w:cs="Arial"/>
          <w:lang w:val="en-IN"/>
        </w:rPr>
        <w:t xml:space="preserve"> Trials in LMICs sometimes focus on diseases not endemic locally, with limited benefit to host communities [27].</w:t>
      </w:r>
    </w:p>
    <w:p w14:paraId="1765524B" w14:textId="77777777" w:rsidR="004B43A5" w:rsidRPr="004B43A5" w:rsidRDefault="004B43A5" w:rsidP="0086506E">
      <w:pPr>
        <w:pStyle w:val="Body"/>
        <w:numPr>
          <w:ilvl w:val="0"/>
          <w:numId w:val="38"/>
        </w:numPr>
        <w:spacing w:after="0"/>
        <w:rPr>
          <w:rFonts w:ascii="Arial" w:hAnsi="Arial" w:cs="Arial"/>
          <w:lang w:val="en-IN"/>
        </w:rPr>
      </w:pPr>
      <w:r w:rsidRPr="004B43A5">
        <w:rPr>
          <w:rFonts w:ascii="Arial" w:hAnsi="Arial" w:cs="Arial"/>
          <w:b/>
          <w:bCs/>
          <w:lang w:val="en-IN"/>
        </w:rPr>
        <w:t>Capacity building:</w:t>
      </w:r>
      <w:r w:rsidRPr="004B43A5">
        <w:rPr>
          <w:rFonts w:ascii="Arial" w:hAnsi="Arial" w:cs="Arial"/>
          <w:lang w:val="en-IN"/>
        </w:rPr>
        <w:t xml:space="preserve"> The future of GCP must integrate capacity strengthening for ethics committees, trial infrastructure, and data systems in LMICs [58].</w:t>
      </w:r>
    </w:p>
    <w:p w14:paraId="2512CDE8"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Global harmonisation efforts, such as WHO’s International Clinical Trials Registry Platform and CIOMS guidance, must continue to ensure that GCP reflects not only high-income contexts but also global realities.</w:t>
      </w:r>
    </w:p>
    <w:p w14:paraId="010906E1" w14:textId="77777777" w:rsidR="00727A1C" w:rsidRDefault="00727A1C" w:rsidP="004B43A5">
      <w:pPr>
        <w:pStyle w:val="Body"/>
        <w:spacing w:after="0"/>
        <w:rPr>
          <w:rFonts w:ascii="Arial" w:hAnsi="Arial" w:cs="Arial"/>
          <w:b/>
          <w:bCs/>
          <w:lang w:val="en-IN"/>
        </w:rPr>
      </w:pPr>
    </w:p>
    <w:p w14:paraId="5D71FBC5" w14:textId="56B536ED"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Transparency, Open Science, and Data Sharing</w:t>
      </w:r>
    </w:p>
    <w:p w14:paraId="78D4A122"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Transparency in clinical research is increasingly seen as a moral and scientific imperative.</w:t>
      </w:r>
    </w:p>
    <w:p w14:paraId="10369D20" w14:textId="77777777" w:rsidR="004B43A5" w:rsidRPr="004B43A5" w:rsidRDefault="004B43A5" w:rsidP="0086506E">
      <w:pPr>
        <w:pStyle w:val="Body"/>
        <w:numPr>
          <w:ilvl w:val="0"/>
          <w:numId w:val="39"/>
        </w:numPr>
        <w:spacing w:after="0"/>
        <w:rPr>
          <w:rFonts w:ascii="Arial" w:hAnsi="Arial" w:cs="Arial"/>
          <w:lang w:val="en-IN"/>
        </w:rPr>
      </w:pPr>
      <w:r w:rsidRPr="004B43A5">
        <w:rPr>
          <w:rFonts w:ascii="Arial" w:hAnsi="Arial" w:cs="Arial"/>
          <w:b/>
          <w:bCs/>
          <w:lang w:val="en-IN"/>
        </w:rPr>
        <w:t>Trial registration and results reporting</w:t>
      </w:r>
      <w:r w:rsidRPr="004B43A5">
        <w:rPr>
          <w:rFonts w:ascii="Arial" w:hAnsi="Arial" w:cs="Arial"/>
          <w:lang w:val="en-IN"/>
        </w:rPr>
        <w:t xml:space="preserve"> are now mandatory in most jurisdictions, yet compliance remains incomplete [34].</w:t>
      </w:r>
    </w:p>
    <w:p w14:paraId="1A368D33" w14:textId="77777777" w:rsidR="004B43A5" w:rsidRPr="004B43A5" w:rsidRDefault="004B43A5" w:rsidP="0086506E">
      <w:pPr>
        <w:pStyle w:val="Body"/>
        <w:numPr>
          <w:ilvl w:val="0"/>
          <w:numId w:val="39"/>
        </w:numPr>
        <w:spacing w:after="0"/>
        <w:rPr>
          <w:rFonts w:ascii="Arial" w:hAnsi="Arial" w:cs="Arial"/>
          <w:lang w:val="en-IN"/>
        </w:rPr>
      </w:pPr>
      <w:r w:rsidRPr="004B43A5">
        <w:rPr>
          <w:rFonts w:ascii="Arial" w:hAnsi="Arial" w:cs="Arial"/>
          <w:b/>
          <w:bCs/>
          <w:lang w:val="en-IN"/>
        </w:rPr>
        <w:t>Data sharing initiatives</w:t>
      </w:r>
      <w:r w:rsidRPr="004B43A5">
        <w:rPr>
          <w:rFonts w:ascii="Arial" w:hAnsi="Arial" w:cs="Arial"/>
          <w:lang w:val="en-IN"/>
        </w:rPr>
        <w:t xml:space="preserve"> allow secondary analysis and replication, enhancing trust. However, they raise privacy concerns and require robust anonymisation practices [59].</w:t>
      </w:r>
    </w:p>
    <w:p w14:paraId="39D39653" w14:textId="77777777" w:rsidR="004B43A5" w:rsidRPr="004B43A5" w:rsidRDefault="004B43A5" w:rsidP="0086506E">
      <w:pPr>
        <w:pStyle w:val="Body"/>
        <w:numPr>
          <w:ilvl w:val="0"/>
          <w:numId w:val="39"/>
        </w:numPr>
        <w:spacing w:after="0"/>
        <w:rPr>
          <w:rFonts w:ascii="Arial" w:hAnsi="Arial" w:cs="Arial"/>
          <w:lang w:val="en-IN"/>
        </w:rPr>
      </w:pPr>
      <w:r w:rsidRPr="004B43A5">
        <w:rPr>
          <w:rFonts w:ascii="Arial" w:hAnsi="Arial" w:cs="Arial"/>
          <w:b/>
          <w:bCs/>
          <w:lang w:val="en-IN"/>
        </w:rPr>
        <w:t>Open access publishing</w:t>
      </w:r>
      <w:r w:rsidRPr="004B43A5">
        <w:rPr>
          <w:rFonts w:ascii="Arial" w:hAnsi="Arial" w:cs="Arial"/>
          <w:lang w:val="en-IN"/>
        </w:rPr>
        <w:t xml:space="preserve"> ensures trial findings reach practitioners and patients more rapidly, reducing the risk of publication bias.</w:t>
      </w:r>
    </w:p>
    <w:p w14:paraId="053ABBDB" w14:textId="08F3F380" w:rsidR="004B43A5" w:rsidRPr="004B43A5" w:rsidRDefault="004B43A5" w:rsidP="004B43A5">
      <w:pPr>
        <w:pStyle w:val="Body"/>
        <w:spacing w:after="0"/>
        <w:rPr>
          <w:rFonts w:ascii="Arial" w:hAnsi="Arial" w:cs="Arial"/>
          <w:lang w:val="en-IN"/>
        </w:rPr>
      </w:pPr>
      <w:r w:rsidRPr="004B43A5">
        <w:rPr>
          <w:rFonts w:ascii="Arial" w:hAnsi="Arial" w:cs="Arial"/>
          <w:lang w:val="en-IN"/>
        </w:rPr>
        <w:t>The future of GCP will likely include stronger enforcement of transparency obligations and alignment with the open science movement.</w:t>
      </w:r>
    </w:p>
    <w:p w14:paraId="65A90B94" w14:textId="77777777" w:rsidR="00727A1C" w:rsidRDefault="00727A1C" w:rsidP="004B43A5">
      <w:pPr>
        <w:pStyle w:val="Body"/>
        <w:spacing w:after="0"/>
        <w:rPr>
          <w:rFonts w:ascii="Arial" w:hAnsi="Arial" w:cs="Arial"/>
          <w:b/>
          <w:bCs/>
          <w:lang w:val="en-IN"/>
        </w:rPr>
      </w:pPr>
    </w:p>
    <w:p w14:paraId="394581E6" w14:textId="16340B7A"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Climate Change and Sustainable Research</w:t>
      </w:r>
    </w:p>
    <w:p w14:paraId="3A951704"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Clinical trials, like all sectors, face pressures to reduce their environmental footprint. The traditional model of site-centric trials entails travel, paper use, and energy-intensive data systems. Emerging priorities include:</w:t>
      </w:r>
    </w:p>
    <w:p w14:paraId="04A0D2B8" w14:textId="77777777" w:rsidR="004B43A5" w:rsidRPr="004B43A5" w:rsidRDefault="004B43A5" w:rsidP="0086506E">
      <w:pPr>
        <w:pStyle w:val="Body"/>
        <w:numPr>
          <w:ilvl w:val="0"/>
          <w:numId w:val="40"/>
        </w:numPr>
        <w:spacing w:after="0"/>
        <w:rPr>
          <w:rFonts w:ascii="Arial" w:hAnsi="Arial" w:cs="Arial"/>
          <w:lang w:val="en-IN"/>
        </w:rPr>
      </w:pPr>
      <w:r w:rsidRPr="004B43A5">
        <w:rPr>
          <w:rFonts w:ascii="Arial" w:hAnsi="Arial" w:cs="Arial"/>
          <w:b/>
          <w:bCs/>
          <w:lang w:val="en-IN"/>
        </w:rPr>
        <w:t>Green trials:</w:t>
      </w:r>
      <w:r w:rsidRPr="004B43A5">
        <w:rPr>
          <w:rFonts w:ascii="Arial" w:hAnsi="Arial" w:cs="Arial"/>
          <w:lang w:val="en-IN"/>
        </w:rPr>
        <w:t xml:space="preserve"> Designing protocols that minimize resource consumption.</w:t>
      </w:r>
    </w:p>
    <w:p w14:paraId="28C07D4A" w14:textId="77777777" w:rsidR="004B43A5" w:rsidRPr="004B43A5" w:rsidRDefault="004B43A5" w:rsidP="0086506E">
      <w:pPr>
        <w:pStyle w:val="Body"/>
        <w:numPr>
          <w:ilvl w:val="0"/>
          <w:numId w:val="40"/>
        </w:numPr>
        <w:spacing w:after="0"/>
        <w:rPr>
          <w:rFonts w:ascii="Arial" w:hAnsi="Arial" w:cs="Arial"/>
          <w:lang w:val="en-IN"/>
        </w:rPr>
      </w:pPr>
      <w:r w:rsidRPr="004B43A5">
        <w:rPr>
          <w:rFonts w:ascii="Arial" w:hAnsi="Arial" w:cs="Arial"/>
          <w:b/>
          <w:bCs/>
          <w:lang w:val="en-IN"/>
        </w:rPr>
        <w:t>Digitalisation:</w:t>
      </w:r>
      <w:r w:rsidRPr="004B43A5">
        <w:rPr>
          <w:rFonts w:ascii="Arial" w:hAnsi="Arial" w:cs="Arial"/>
          <w:lang w:val="en-IN"/>
        </w:rPr>
        <w:t xml:space="preserve"> Paperless trials and remote monitoring reduce carbon output.</w:t>
      </w:r>
    </w:p>
    <w:p w14:paraId="7B934C4E" w14:textId="77777777" w:rsidR="004B43A5" w:rsidRPr="004B43A5" w:rsidRDefault="004B43A5" w:rsidP="0086506E">
      <w:pPr>
        <w:pStyle w:val="Body"/>
        <w:numPr>
          <w:ilvl w:val="0"/>
          <w:numId w:val="40"/>
        </w:numPr>
        <w:spacing w:after="0"/>
        <w:rPr>
          <w:rFonts w:ascii="Arial" w:hAnsi="Arial" w:cs="Arial"/>
          <w:lang w:val="en-IN"/>
        </w:rPr>
      </w:pPr>
      <w:r w:rsidRPr="004B43A5">
        <w:rPr>
          <w:rFonts w:ascii="Arial" w:hAnsi="Arial" w:cs="Arial"/>
          <w:b/>
          <w:bCs/>
          <w:lang w:val="en-IN"/>
        </w:rPr>
        <w:t>Sustainability metrics:</w:t>
      </w:r>
      <w:r w:rsidRPr="004B43A5">
        <w:rPr>
          <w:rFonts w:ascii="Arial" w:hAnsi="Arial" w:cs="Arial"/>
          <w:lang w:val="en-IN"/>
        </w:rPr>
        <w:t xml:space="preserve"> Regulators may in future require environmental impact assessments alongside scientific protocols [60].</w:t>
      </w:r>
    </w:p>
    <w:p w14:paraId="5CE35707"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Integrating sustainability into GCP is still an emerging idea, but one that aligns with global commitments to sustainable development.</w:t>
      </w:r>
    </w:p>
    <w:p w14:paraId="285F6F47" w14:textId="77777777" w:rsidR="00727A1C" w:rsidRDefault="00727A1C" w:rsidP="004B43A5">
      <w:pPr>
        <w:pStyle w:val="Body"/>
        <w:spacing w:after="0"/>
        <w:rPr>
          <w:rFonts w:ascii="Arial" w:hAnsi="Arial" w:cs="Arial"/>
          <w:b/>
          <w:bCs/>
          <w:lang w:val="en-IN"/>
        </w:rPr>
      </w:pPr>
    </w:p>
    <w:p w14:paraId="188E89C7" w14:textId="21F0A7BB"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Ethical Challenges Ahead</w:t>
      </w:r>
    </w:p>
    <w:p w14:paraId="2F484FCA"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While GCP frameworks remain robust, new dilemmas loom:</w:t>
      </w:r>
    </w:p>
    <w:p w14:paraId="0429D094" w14:textId="77777777" w:rsidR="004B43A5" w:rsidRPr="004B43A5" w:rsidRDefault="004B43A5" w:rsidP="0086506E">
      <w:pPr>
        <w:pStyle w:val="Body"/>
        <w:numPr>
          <w:ilvl w:val="0"/>
          <w:numId w:val="41"/>
        </w:numPr>
        <w:spacing w:after="0"/>
        <w:rPr>
          <w:rFonts w:ascii="Arial" w:hAnsi="Arial" w:cs="Arial"/>
          <w:lang w:val="en-IN"/>
        </w:rPr>
      </w:pPr>
      <w:r w:rsidRPr="004B43A5">
        <w:rPr>
          <w:rFonts w:ascii="Arial" w:hAnsi="Arial" w:cs="Arial"/>
          <w:b/>
          <w:bCs/>
          <w:lang w:val="en-IN"/>
        </w:rPr>
        <w:t>Genomic research:</w:t>
      </w:r>
      <w:r w:rsidRPr="004B43A5">
        <w:rPr>
          <w:rFonts w:ascii="Arial" w:hAnsi="Arial" w:cs="Arial"/>
          <w:lang w:val="en-IN"/>
        </w:rPr>
        <w:t xml:space="preserve"> How should informed consent adapt to the use of genetic data with uncertain future implications? [61]</w:t>
      </w:r>
    </w:p>
    <w:p w14:paraId="53336939" w14:textId="77777777" w:rsidR="004B43A5" w:rsidRPr="004B43A5" w:rsidRDefault="004B43A5" w:rsidP="0086506E">
      <w:pPr>
        <w:pStyle w:val="Body"/>
        <w:numPr>
          <w:ilvl w:val="0"/>
          <w:numId w:val="41"/>
        </w:numPr>
        <w:spacing w:after="0"/>
        <w:rPr>
          <w:rFonts w:ascii="Arial" w:hAnsi="Arial" w:cs="Arial"/>
          <w:lang w:val="en-IN"/>
        </w:rPr>
      </w:pPr>
      <w:r w:rsidRPr="004B43A5">
        <w:rPr>
          <w:rFonts w:ascii="Arial" w:hAnsi="Arial" w:cs="Arial"/>
          <w:b/>
          <w:bCs/>
          <w:lang w:val="en-IN"/>
        </w:rPr>
        <w:t>Big data integration:</w:t>
      </w:r>
      <w:r w:rsidRPr="004B43A5">
        <w:rPr>
          <w:rFonts w:ascii="Arial" w:hAnsi="Arial" w:cs="Arial"/>
          <w:lang w:val="en-IN"/>
        </w:rPr>
        <w:t xml:space="preserve"> Merging clinical trial data with real-world data sources raises privacy and data governance questions.</w:t>
      </w:r>
    </w:p>
    <w:p w14:paraId="76589708" w14:textId="77777777" w:rsidR="004B43A5" w:rsidRPr="004B43A5" w:rsidRDefault="004B43A5" w:rsidP="0086506E">
      <w:pPr>
        <w:pStyle w:val="Body"/>
        <w:numPr>
          <w:ilvl w:val="0"/>
          <w:numId w:val="41"/>
        </w:numPr>
        <w:spacing w:after="0"/>
        <w:rPr>
          <w:rFonts w:ascii="Arial" w:hAnsi="Arial" w:cs="Arial"/>
          <w:lang w:val="en-IN"/>
        </w:rPr>
      </w:pPr>
      <w:r w:rsidRPr="004B43A5">
        <w:rPr>
          <w:rFonts w:ascii="Arial" w:hAnsi="Arial" w:cs="Arial"/>
          <w:b/>
          <w:bCs/>
          <w:lang w:val="en-IN"/>
        </w:rPr>
        <w:t>Dual-use risks:</w:t>
      </w:r>
      <w:r w:rsidRPr="004B43A5">
        <w:rPr>
          <w:rFonts w:ascii="Arial" w:hAnsi="Arial" w:cs="Arial"/>
          <w:lang w:val="en-IN"/>
        </w:rPr>
        <w:t xml:space="preserve"> Some biomedical advances (e.g., gene editing, AI models) carry risks of misuse, requiring ethical foresight.</w:t>
      </w:r>
    </w:p>
    <w:p w14:paraId="3FA6FA41" w14:textId="77777777" w:rsidR="004B43A5" w:rsidRPr="004B43A5" w:rsidRDefault="004B43A5" w:rsidP="0086506E">
      <w:pPr>
        <w:pStyle w:val="Body"/>
        <w:numPr>
          <w:ilvl w:val="0"/>
          <w:numId w:val="41"/>
        </w:numPr>
        <w:spacing w:after="0"/>
        <w:rPr>
          <w:rFonts w:ascii="Arial" w:hAnsi="Arial" w:cs="Arial"/>
          <w:lang w:val="en-IN"/>
        </w:rPr>
      </w:pPr>
      <w:r w:rsidRPr="004B43A5">
        <w:rPr>
          <w:rFonts w:ascii="Arial" w:hAnsi="Arial" w:cs="Arial"/>
          <w:b/>
          <w:bCs/>
          <w:lang w:val="en-IN"/>
        </w:rPr>
        <w:t>Post-pandemic models:</w:t>
      </w:r>
      <w:r w:rsidRPr="004B43A5">
        <w:rPr>
          <w:rFonts w:ascii="Arial" w:hAnsi="Arial" w:cs="Arial"/>
          <w:lang w:val="en-IN"/>
        </w:rPr>
        <w:t xml:space="preserve"> The speed of COVID-19 vaccine development was unprecedented; the challenge now is balancing accelerated pathways with thorough ethical review [62].</w:t>
      </w:r>
    </w:p>
    <w:p w14:paraId="4518CD94" w14:textId="77777777" w:rsidR="00727A1C" w:rsidRDefault="00727A1C" w:rsidP="004B43A5">
      <w:pPr>
        <w:pStyle w:val="Body"/>
        <w:spacing w:after="0"/>
        <w:rPr>
          <w:rFonts w:ascii="Arial" w:hAnsi="Arial" w:cs="Arial"/>
          <w:b/>
          <w:bCs/>
          <w:lang w:val="en-IN"/>
        </w:rPr>
      </w:pPr>
    </w:p>
    <w:p w14:paraId="03DB5C45" w14:textId="6BE4D6FE" w:rsidR="004B43A5" w:rsidRPr="004B43A5" w:rsidRDefault="004B43A5" w:rsidP="004B43A5">
      <w:pPr>
        <w:pStyle w:val="Body"/>
        <w:spacing w:after="0"/>
        <w:rPr>
          <w:rFonts w:ascii="Arial" w:hAnsi="Arial" w:cs="Arial"/>
          <w:b/>
          <w:bCs/>
          <w:lang w:val="en-IN"/>
        </w:rPr>
      </w:pPr>
      <w:r w:rsidRPr="004B43A5">
        <w:rPr>
          <w:rFonts w:ascii="Arial" w:hAnsi="Arial" w:cs="Arial"/>
          <w:b/>
          <w:bCs/>
          <w:lang w:val="en-IN"/>
        </w:rPr>
        <w:t xml:space="preserve">Conclusion </w:t>
      </w:r>
    </w:p>
    <w:p w14:paraId="116F6F94"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Good Clinical Practice (GCP) has emerged as the universal gold standard in clinical research, integrating ethical principles, regulatory frameworks, and operational safeguards. This review traced its historical evolution, ethical foundations, regulatory diversity, practical implementation, and future directions.</w:t>
      </w:r>
    </w:p>
    <w:p w14:paraId="7B183031"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Several key insights emerge:</w:t>
      </w:r>
    </w:p>
    <w:p w14:paraId="69FDC72D" w14:textId="77777777" w:rsidR="004B43A5" w:rsidRPr="004B43A5" w:rsidRDefault="004B43A5" w:rsidP="0086506E">
      <w:pPr>
        <w:pStyle w:val="Body"/>
        <w:numPr>
          <w:ilvl w:val="0"/>
          <w:numId w:val="42"/>
        </w:numPr>
        <w:spacing w:after="0"/>
        <w:rPr>
          <w:rFonts w:ascii="Arial" w:hAnsi="Arial" w:cs="Arial"/>
          <w:lang w:val="en-IN"/>
        </w:rPr>
      </w:pPr>
      <w:r w:rsidRPr="004B43A5">
        <w:rPr>
          <w:rFonts w:ascii="Arial" w:hAnsi="Arial" w:cs="Arial"/>
          <w:lang w:val="en-IN"/>
        </w:rPr>
        <w:t>GCP arose from historical abuses and continues to anchor research in respect, beneficence, non-maleficence, and justice.</w:t>
      </w:r>
    </w:p>
    <w:p w14:paraId="47CF0175" w14:textId="77777777" w:rsidR="004B43A5" w:rsidRPr="004B43A5" w:rsidRDefault="004B43A5" w:rsidP="0086506E">
      <w:pPr>
        <w:pStyle w:val="Body"/>
        <w:numPr>
          <w:ilvl w:val="0"/>
          <w:numId w:val="42"/>
        </w:numPr>
        <w:spacing w:after="0"/>
        <w:rPr>
          <w:rFonts w:ascii="Arial" w:hAnsi="Arial" w:cs="Arial"/>
          <w:lang w:val="en-IN"/>
        </w:rPr>
      </w:pPr>
      <w:r w:rsidRPr="004B43A5">
        <w:rPr>
          <w:rFonts w:ascii="Arial" w:hAnsi="Arial" w:cs="Arial"/>
          <w:lang w:val="en-IN"/>
        </w:rPr>
        <w:t>Regulatory agencies such as the FDA, EMA, CDSCO, and WHO provide oversight, but global harmonisation remains uneven.</w:t>
      </w:r>
    </w:p>
    <w:p w14:paraId="6B77C5DC" w14:textId="75508452" w:rsidR="004B43A5" w:rsidRPr="004B43A5" w:rsidRDefault="004B43A5" w:rsidP="0086506E">
      <w:pPr>
        <w:pStyle w:val="Body"/>
        <w:numPr>
          <w:ilvl w:val="0"/>
          <w:numId w:val="42"/>
        </w:numPr>
        <w:spacing w:after="0"/>
        <w:rPr>
          <w:rFonts w:ascii="Arial" w:hAnsi="Arial" w:cs="Arial"/>
          <w:lang w:val="en-IN"/>
        </w:rPr>
      </w:pPr>
      <w:r w:rsidRPr="004B43A5">
        <w:rPr>
          <w:rFonts w:ascii="Arial" w:hAnsi="Arial" w:cs="Arial"/>
          <w:lang w:val="en-IN"/>
        </w:rPr>
        <w:lastRenderedPageBreak/>
        <w:t>Implementation challenges—monitoring, data integrity, and capacity building</w:t>
      </w:r>
      <w:r>
        <w:rPr>
          <w:rFonts w:ascii="Arial" w:hAnsi="Arial" w:cs="Arial"/>
          <w:lang w:val="en-IN"/>
        </w:rPr>
        <w:t xml:space="preserve"> </w:t>
      </w:r>
      <w:r w:rsidRPr="004B43A5">
        <w:rPr>
          <w:rFonts w:ascii="Arial" w:hAnsi="Arial" w:cs="Arial"/>
          <w:lang w:val="en-IN"/>
        </w:rPr>
        <w:t>reveal that compliance requires more than rules: it requires culture, training, and infrastructure.</w:t>
      </w:r>
    </w:p>
    <w:p w14:paraId="6CEE7963" w14:textId="77777777" w:rsidR="004B43A5" w:rsidRPr="004B43A5" w:rsidRDefault="004B43A5" w:rsidP="0086506E">
      <w:pPr>
        <w:pStyle w:val="Body"/>
        <w:numPr>
          <w:ilvl w:val="0"/>
          <w:numId w:val="42"/>
        </w:numPr>
        <w:spacing w:after="0"/>
        <w:rPr>
          <w:rFonts w:ascii="Arial" w:hAnsi="Arial" w:cs="Arial"/>
          <w:lang w:val="en-IN"/>
        </w:rPr>
      </w:pPr>
      <w:r w:rsidRPr="004B43A5">
        <w:rPr>
          <w:rFonts w:ascii="Arial" w:hAnsi="Arial" w:cs="Arial"/>
          <w:lang w:val="en-IN"/>
        </w:rPr>
        <w:t>The future will demand adaptations to digitalization, AI, patient partnership, transparency, and sustainability, while safeguarding vulnerable populations and equitable access.</w:t>
      </w:r>
    </w:p>
    <w:p w14:paraId="13B3BD89" w14:textId="77777777" w:rsidR="004B43A5" w:rsidRPr="004B43A5" w:rsidRDefault="004B43A5" w:rsidP="004B43A5">
      <w:pPr>
        <w:pStyle w:val="Body"/>
        <w:spacing w:after="0"/>
        <w:rPr>
          <w:rFonts w:ascii="Arial" w:hAnsi="Arial" w:cs="Arial"/>
          <w:lang w:val="en-IN"/>
        </w:rPr>
      </w:pPr>
      <w:r w:rsidRPr="004B43A5">
        <w:rPr>
          <w:rFonts w:ascii="Arial" w:hAnsi="Arial" w:cs="Arial"/>
          <w:lang w:val="en-IN"/>
        </w:rPr>
        <w:t>Ultimately, GCP is not static. It is a living framework, continuously tested by new ethical dilemmas and technological possibilities. Its endurance lies in its capacity to evolve without abandoning its central purpose: to protect human dignity and ensure that the science we trust is science we can believe in.</w:t>
      </w:r>
    </w:p>
    <w:p w14:paraId="717AD9E7" w14:textId="77777777" w:rsidR="004B43A5" w:rsidRPr="004B43A5" w:rsidRDefault="004B43A5" w:rsidP="004B43A5">
      <w:pPr>
        <w:pStyle w:val="Body"/>
        <w:spacing w:after="0"/>
        <w:rPr>
          <w:rFonts w:ascii="Arial" w:hAnsi="Arial" w:cs="Arial"/>
          <w:lang w:val="en-IN"/>
        </w:rPr>
      </w:pPr>
    </w:p>
    <w:p w14:paraId="16347CAB" w14:textId="77777777" w:rsidR="0099175D" w:rsidRPr="00FB3A86" w:rsidRDefault="0099175D" w:rsidP="0099175D">
      <w:pPr>
        <w:pStyle w:val="Body"/>
        <w:spacing w:after="0"/>
        <w:rPr>
          <w:rFonts w:ascii="Arial" w:hAnsi="Arial" w:cs="Arial"/>
        </w:rPr>
      </w:pPr>
    </w:p>
    <w:p w14:paraId="605BE6C1" w14:textId="77777777" w:rsidR="002B685A" w:rsidRDefault="002B685A" w:rsidP="00441B6F">
      <w:pPr>
        <w:pStyle w:val="ReferHead"/>
        <w:spacing w:after="0"/>
        <w:jc w:val="both"/>
        <w:rPr>
          <w:rFonts w:ascii="Arial" w:hAnsi="Arial" w:cs="Arial"/>
          <w:b w:val="0"/>
          <w:caps w:val="0"/>
          <w:sz w:val="20"/>
        </w:rPr>
      </w:pPr>
    </w:p>
    <w:p w14:paraId="5E4B2A1D" w14:textId="77777777" w:rsidR="00860000" w:rsidRDefault="00860000" w:rsidP="00441B6F">
      <w:pPr>
        <w:pStyle w:val="ReferHead"/>
        <w:spacing w:after="0"/>
        <w:jc w:val="both"/>
        <w:rPr>
          <w:rFonts w:ascii="Arial" w:hAnsi="Arial" w:cs="Arial"/>
        </w:rPr>
      </w:pPr>
    </w:p>
    <w:p w14:paraId="049B8A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24F202" w14:textId="77777777" w:rsidR="00790ADA" w:rsidRPr="00FB3A86" w:rsidRDefault="00790ADA" w:rsidP="00441B6F">
      <w:pPr>
        <w:pStyle w:val="ReferHead"/>
        <w:spacing w:after="0"/>
        <w:jc w:val="both"/>
        <w:rPr>
          <w:rFonts w:ascii="Arial" w:hAnsi="Arial" w:cs="Arial"/>
        </w:rPr>
      </w:pPr>
    </w:p>
    <w:p w14:paraId="03E3CD1D"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International Council for </w:t>
      </w:r>
      <w:proofErr w:type="spellStart"/>
      <w:r w:rsidRPr="00656687">
        <w:rPr>
          <w:rFonts w:ascii="Arial" w:hAnsi="Arial" w:cs="Arial"/>
          <w:sz w:val="20"/>
          <w:szCs w:val="20"/>
        </w:rPr>
        <w:t>Harmonisation</w:t>
      </w:r>
      <w:proofErr w:type="spellEnd"/>
      <w:r w:rsidRPr="00656687">
        <w:rPr>
          <w:rFonts w:ascii="Arial" w:hAnsi="Arial" w:cs="Arial"/>
          <w:sz w:val="20"/>
          <w:szCs w:val="20"/>
        </w:rPr>
        <w:t xml:space="preserve">. (2016). ICH </w:t>
      </w:r>
      <w:proofErr w:type="spellStart"/>
      <w:r w:rsidRPr="00656687">
        <w:rPr>
          <w:rFonts w:ascii="Arial" w:hAnsi="Arial" w:cs="Arial"/>
          <w:sz w:val="20"/>
          <w:szCs w:val="20"/>
        </w:rPr>
        <w:t>Harmonised</w:t>
      </w:r>
      <w:proofErr w:type="spellEnd"/>
      <w:r w:rsidRPr="00656687">
        <w:rPr>
          <w:rFonts w:ascii="Arial" w:hAnsi="Arial" w:cs="Arial"/>
          <w:sz w:val="20"/>
          <w:szCs w:val="20"/>
        </w:rPr>
        <w:t xml:space="preserve"> Guideline E6(R2): Good Clinical Practice. Geneva: ICH.</w:t>
      </w:r>
    </w:p>
    <w:p w14:paraId="55407D8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Riedel, S. (2005). Edward Jenner and the history of smallpox and vaccination. Proceedings (Baylor University Medical Center), 18(1), 21–25.</w:t>
      </w:r>
    </w:p>
    <w:p w14:paraId="261C22B2"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Lederer, S. E. (1995). Subjected to science: Human experimentation in America before the Second World War. Baltimore: Johns Hopkins University Press.</w:t>
      </w:r>
    </w:p>
    <w:p w14:paraId="206BD62A"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56687">
        <w:rPr>
          <w:rFonts w:ascii="Arial" w:hAnsi="Arial" w:cs="Arial"/>
          <w:sz w:val="20"/>
          <w:szCs w:val="20"/>
        </w:rPr>
        <w:t>Hornblum</w:t>
      </w:r>
      <w:proofErr w:type="spellEnd"/>
      <w:r w:rsidRPr="00656687">
        <w:rPr>
          <w:rFonts w:ascii="Arial" w:hAnsi="Arial" w:cs="Arial"/>
          <w:sz w:val="20"/>
          <w:szCs w:val="20"/>
        </w:rPr>
        <w:t>, A. M. (1998). Acres of skin: Human experiments at Holmesburg Prison. New York: Routledge.</w:t>
      </w:r>
    </w:p>
    <w:p w14:paraId="6403D861"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Shuster, E. (1997). Fifty years later: The significance of the Nuremberg Code. New England Journal of Medicine, 337(20), 1436–1440.</w:t>
      </w:r>
    </w:p>
    <w:p w14:paraId="0290FA40"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Weindling, P. (2001). The origins of informed consent: The international scientific community and the Nuremberg Code. Bulletin of the History of Medicine, 75(1), 37–71.</w:t>
      </w:r>
    </w:p>
    <w:p w14:paraId="0EDD2A2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World Medical Association. (2013). Declaration of Helsinki: Ethical principles for medical research involving human subjects. JAMA, 310(20), 2191–2194.</w:t>
      </w:r>
    </w:p>
    <w:p w14:paraId="55A66618"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Miller, F. G., &amp; Brody, H. (2003). A critique of clinical equipoise: Therapeutic misconception in the ethics of clinical trials. Hastings Center Report, 33(3), 19–28.</w:t>
      </w:r>
    </w:p>
    <w:p w14:paraId="6BA78E58"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McBride, W. G. (1961). Thalidomide and congenital abnormalities. Lancet, 278(7216), 1358.</w:t>
      </w:r>
    </w:p>
    <w:p w14:paraId="160CA7D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Jones, J. H. (1993). Bad blood: The Tuskegee syphilis experiment. New York: Free Press.</w:t>
      </w:r>
    </w:p>
    <w:p w14:paraId="7E8F2C2E"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Krugman, S. (1986). The </w:t>
      </w:r>
      <w:proofErr w:type="spellStart"/>
      <w:r w:rsidRPr="00656687">
        <w:rPr>
          <w:rFonts w:ascii="Arial" w:hAnsi="Arial" w:cs="Arial"/>
          <w:sz w:val="20"/>
          <w:szCs w:val="20"/>
        </w:rPr>
        <w:t>Willowbrook</w:t>
      </w:r>
      <w:proofErr w:type="spellEnd"/>
      <w:r w:rsidRPr="00656687">
        <w:rPr>
          <w:rFonts w:ascii="Arial" w:hAnsi="Arial" w:cs="Arial"/>
          <w:sz w:val="20"/>
          <w:szCs w:val="20"/>
        </w:rPr>
        <w:t xml:space="preserve"> hepatitis studies revisited: Ethical aspects. Reviews of Infectious Diseases, 8(1), 157–162.</w:t>
      </w:r>
    </w:p>
    <w:p w14:paraId="559EDB71"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Beecher, H. K. (1966). Ethics and clinical research. New England Journal of Medicine, 274, 1354–1360.</w:t>
      </w:r>
    </w:p>
    <w:p w14:paraId="4A556C45"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National Commission for the Protection of Human Subjects of Biomedical and Behavioral Research. (1979). The Belmont Report. Washington, DC: US Government Printing Office.</w:t>
      </w:r>
    </w:p>
    <w:p w14:paraId="4A277453"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Kenichi, N., et al. (2022). Survey results and recommendations from Japanese stakeholders for GCP renovation. Contemporary Clinical Trials, 119, 106828.</w:t>
      </w:r>
    </w:p>
    <w:p w14:paraId="66A66526"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lastRenderedPageBreak/>
        <w:t>Beauchamp, T. L., &amp; Childress, J. F. (2001). Principles of biomedical ethics (5th ed.). Oxford: Oxford University Press.</w:t>
      </w:r>
    </w:p>
    <w:p w14:paraId="18834A35"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Mill, J. S. (1863). Utilitarianism. London: Parker, Son, and Bourn.</w:t>
      </w:r>
    </w:p>
    <w:p w14:paraId="7FC2A03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National Commission for the Protection of Human Subjects of Biomedical and Behavioral Research. (1979). The Belmont Report. Washington, DC: US Government Printing Office.</w:t>
      </w:r>
    </w:p>
    <w:p w14:paraId="6888D9A2"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International Council for </w:t>
      </w:r>
      <w:proofErr w:type="spellStart"/>
      <w:r w:rsidRPr="00656687">
        <w:rPr>
          <w:rFonts w:ascii="Arial" w:hAnsi="Arial" w:cs="Arial"/>
          <w:sz w:val="20"/>
          <w:szCs w:val="20"/>
        </w:rPr>
        <w:t>Harmonisation</w:t>
      </w:r>
      <w:proofErr w:type="spellEnd"/>
      <w:r w:rsidRPr="00656687">
        <w:rPr>
          <w:rFonts w:ascii="Arial" w:hAnsi="Arial" w:cs="Arial"/>
          <w:sz w:val="20"/>
          <w:szCs w:val="20"/>
        </w:rPr>
        <w:t xml:space="preserve">. (2016). ICH </w:t>
      </w:r>
      <w:proofErr w:type="spellStart"/>
      <w:r w:rsidRPr="00656687">
        <w:rPr>
          <w:rFonts w:ascii="Arial" w:hAnsi="Arial" w:cs="Arial"/>
          <w:sz w:val="20"/>
          <w:szCs w:val="20"/>
        </w:rPr>
        <w:t>Harmonised</w:t>
      </w:r>
      <w:proofErr w:type="spellEnd"/>
      <w:r w:rsidRPr="00656687">
        <w:rPr>
          <w:rFonts w:ascii="Arial" w:hAnsi="Arial" w:cs="Arial"/>
          <w:sz w:val="20"/>
          <w:szCs w:val="20"/>
        </w:rPr>
        <w:t xml:space="preserve"> Guideline E6(R2): Good Clinical Practice. Geneva: ICH.</w:t>
      </w:r>
    </w:p>
    <w:p w14:paraId="651207AC"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Vischer, N., Pfeiffer, C., Joller, A., Weigel, R., Huber, B., Dabis, F., et al. (2016). Clinical trial staff perspectives on ICH-GCP applicability in sub-Saharan Africa. Trials, 17, 429.</w:t>
      </w:r>
    </w:p>
    <w:p w14:paraId="7FBD39EE"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Appelbaum, P. S., </w:t>
      </w:r>
      <w:proofErr w:type="spellStart"/>
      <w:r w:rsidRPr="00656687">
        <w:rPr>
          <w:rFonts w:ascii="Arial" w:hAnsi="Arial" w:cs="Arial"/>
          <w:sz w:val="20"/>
          <w:szCs w:val="20"/>
        </w:rPr>
        <w:t>Lidz</w:t>
      </w:r>
      <w:proofErr w:type="spellEnd"/>
      <w:r w:rsidRPr="00656687">
        <w:rPr>
          <w:rFonts w:ascii="Arial" w:hAnsi="Arial" w:cs="Arial"/>
          <w:sz w:val="20"/>
          <w:szCs w:val="20"/>
        </w:rPr>
        <w:t>, C. W., &amp; Grisso, T. (2004). Therapeutic misconception in clinical research: Frequency and risk factors. IRB, 26(2), 1–8.</w:t>
      </w:r>
    </w:p>
    <w:p w14:paraId="1964679C"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Molyneux, S., </w:t>
      </w:r>
      <w:proofErr w:type="spellStart"/>
      <w:r w:rsidRPr="00656687">
        <w:rPr>
          <w:rFonts w:ascii="Arial" w:hAnsi="Arial" w:cs="Arial"/>
          <w:sz w:val="20"/>
          <w:szCs w:val="20"/>
        </w:rPr>
        <w:t>Peshu</w:t>
      </w:r>
      <w:proofErr w:type="spellEnd"/>
      <w:r w:rsidRPr="00656687">
        <w:rPr>
          <w:rFonts w:ascii="Arial" w:hAnsi="Arial" w:cs="Arial"/>
          <w:sz w:val="20"/>
          <w:szCs w:val="20"/>
        </w:rPr>
        <w:t>, N., &amp; Marsh, K. (2004). Understanding of informed consent in a low-income setting: Three case studies from the Kenyan coast. Social Science &amp; Medicine, 59(12), 2547–2559.</w:t>
      </w:r>
    </w:p>
    <w:p w14:paraId="3BE780CC"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Wendler, D., &amp; Shah, S. (2003). Involving children in decisions about research participation. Journal of Pediatrics, 143(6), 703–708.</w:t>
      </w:r>
    </w:p>
    <w:p w14:paraId="3B44E3A2"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Emanuel, E. J., Wendler, D., &amp; Grady, C. (2000). What makes clinical research ethical? JAMA, 283(20), 2701–2711.</w:t>
      </w:r>
    </w:p>
    <w:p w14:paraId="5CDD894E"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Ministry of Health and Family Welfare, Government of India. (2019). New Drugs and Clinical Trials Rules. Gazette of India.</w:t>
      </w:r>
    </w:p>
    <w:p w14:paraId="39E94BCE"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56687">
        <w:rPr>
          <w:rFonts w:ascii="Arial" w:hAnsi="Arial" w:cs="Arial"/>
          <w:sz w:val="20"/>
          <w:szCs w:val="20"/>
        </w:rPr>
        <w:t>Adebamowo</w:t>
      </w:r>
      <w:proofErr w:type="spellEnd"/>
      <w:r w:rsidRPr="00656687">
        <w:rPr>
          <w:rFonts w:ascii="Arial" w:hAnsi="Arial" w:cs="Arial"/>
          <w:sz w:val="20"/>
          <w:szCs w:val="20"/>
        </w:rPr>
        <w:t xml:space="preserve">, C., Bah-Sow, O., Binka, F., Bruzzone, R., Caplan, A., </w:t>
      </w:r>
      <w:proofErr w:type="spellStart"/>
      <w:r w:rsidRPr="00656687">
        <w:rPr>
          <w:rFonts w:ascii="Arial" w:hAnsi="Arial" w:cs="Arial"/>
          <w:sz w:val="20"/>
          <w:szCs w:val="20"/>
        </w:rPr>
        <w:t>Delfraissy</w:t>
      </w:r>
      <w:proofErr w:type="spellEnd"/>
      <w:r w:rsidRPr="00656687">
        <w:rPr>
          <w:rFonts w:ascii="Arial" w:hAnsi="Arial" w:cs="Arial"/>
          <w:sz w:val="20"/>
          <w:szCs w:val="20"/>
        </w:rPr>
        <w:t>, J.-F., et al. (2016). Ethics review during public health emergencies: Lessons from the Ebola epidemic. Bulletin of the World Health Organization, 94(9), 633–639.</w:t>
      </w:r>
    </w:p>
    <w:p w14:paraId="460DE8D7"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Miller, F. G., &amp; Brody, H. (2003). A critique of clinical equipoise. Hastings Center Report, 33(3), 19–28.</w:t>
      </w:r>
    </w:p>
    <w:p w14:paraId="1EAA5321"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Schroeder, D., Cook, J., Hirsch, F., Fenet, S., &amp; Muthuswamy, V. (2018). Ethics dumping: Case studies from North-South research collaborations. Cham: Springer.</w:t>
      </w:r>
    </w:p>
    <w:p w14:paraId="0743D65C"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World Health Organization. (2018). Ethical standards for research during public health emergencies: Ebola and beyond. Geneva: World Health Organization.</w:t>
      </w:r>
    </w:p>
    <w:p w14:paraId="508331D5"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Carrie, D., Jones, K., Simons, K., &amp; Pearson, K. (2022). Stakeholders’ views on ICH E6(R2) and aspirations for revision. BMJ Open, 12(5), e057214.</w:t>
      </w:r>
    </w:p>
    <w:p w14:paraId="541B8AE0"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U.S. Food and Drug Administration. (2020). Code of Federal Regulations: Title 21 – Food and Drugs. Washington, DC: FDA.</w:t>
      </w:r>
    </w:p>
    <w:p w14:paraId="3FAB8CB1"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Carpenter, D. (2010). Reputation and power: Organizational image and pharmaceutical regulation at the FDA. Princeton: Princeton University Press.</w:t>
      </w:r>
    </w:p>
    <w:p w14:paraId="3341298F"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56687">
        <w:rPr>
          <w:rFonts w:ascii="Arial" w:hAnsi="Arial" w:cs="Arial"/>
          <w:sz w:val="20"/>
          <w:szCs w:val="20"/>
        </w:rPr>
        <w:t>Avorn</w:t>
      </w:r>
      <w:proofErr w:type="spellEnd"/>
      <w:r w:rsidRPr="00656687">
        <w:rPr>
          <w:rFonts w:ascii="Arial" w:hAnsi="Arial" w:cs="Arial"/>
          <w:sz w:val="20"/>
          <w:szCs w:val="20"/>
        </w:rPr>
        <w:t>, J., &amp; Kesselheim, A. S. (2020). Regulatory decision-making on COVID-19 vaccines during a public health emergency. JAMA, 324(13), 1284–1285.</w:t>
      </w:r>
    </w:p>
    <w:p w14:paraId="65E422D2"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European Medicines Agency. (2022). EU Clinical Trials Regulation (536/2014). London: EMA.</w:t>
      </w:r>
    </w:p>
    <w:p w14:paraId="7C18C440"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Wieschowski, S., Riedel, N., Wollmann, K., </w:t>
      </w:r>
      <w:proofErr w:type="spellStart"/>
      <w:r w:rsidRPr="00656687">
        <w:rPr>
          <w:rFonts w:ascii="Arial" w:hAnsi="Arial" w:cs="Arial"/>
          <w:sz w:val="20"/>
          <w:szCs w:val="20"/>
        </w:rPr>
        <w:t>Kahrass</w:t>
      </w:r>
      <w:proofErr w:type="spellEnd"/>
      <w:r w:rsidRPr="00656687">
        <w:rPr>
          <w:rFonts w:ascii="Arial" w:hAnsi="Arial" w:cs="Arial"/>
          <w:sz w:val="20"/>
          <w:szCs w:val="20"/>
        </w:rPr>
        <w:t>, H., Müller-</w:t>
      </w:r>
      <w:proofErr w:type="spellStart"/>
      <w:r w:rsidRPr="00656687">
        <w:rPr>
          <w:rFonts w:ascii="Arial" w:hAnsi="Arial" w:cs="Arial"/>
          <w:sz w:val="20"/>
          <w:szCs w:val="20"/>
        </w:rPr>
        <w:t>Ohlraun</w:t>
      </w:r>
      <w:proofErr w:type="spellEnd"/>
      <w:r w:rsidRPr="00656687">
        <w:rPr>
          <w:rFonts w:ascii="Arial" w:hAnsi="Arial" w:cs="Arial"/>
          <w:sz w:val="20"/>
          <w:szCs w:val="20"/>
        </w:rPr>
        <w:t>, S., Schürmann, C., et al. (2019). Result dissemination from clinical trials conducted at German university medical centers was delayed and incomplete. Journal of Clinical Epidemiology, 111, 105–115.</w:t>
      </w:r>
    </w:p>
    <w:p w14:paraId="5D2DD60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56687">
        <w:rPr>
          <w:rFonts w:ascii="Arial" w:hAnsi="Arial" w:cs="Arial"/>
          <w:sz w:val="20"/>
          <w:szCs w:val="20"/>
        </w:rPr>
        <w:lastRenderedPageBreak/>
        <w:t>Petryna</w:t>
      </w:r>
      <w:proofErr w:type="spellEnd"/>
      <w:r w:rsidRPr="00656687">
        <w:rPr>
          <w:rFonts w:ascii="Arial" w:hAnsi="Arial" w:cs="Arial"/>
          <w:sz w:val="20"/>
          <w:szCs w:val="20"/>
        </w:rPr>
        <w:t>, A. (2009). When experiments travel: Clinical trials and the global search for human subjects. Princeton: Princeton University Press.</w:t>
      </w:r>
    </w:p>
    <w:p w14:paraId="4278409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Supreme Court of India. (2013). </w:t>
      </w:r>
      <w:proofErr w:type="spellStart"/>
      <w:r w:rsidRPr="00656687">
        <w:rPr>
          <w:rFonts w:ascii="Arial" w:hAnsi="Arial" w:cs="Arial"/>
          <w:sz w:val="20"/>
          <w:szCs w:val="20"/>
        </w:rPr>
        <w:t>Swasthya</w:t>
      </w:r>
      <w:proofErr w:type="spellEnd"/>
      <w:r w:rsidRPr="00656687">
        <w:rPr>
          <w:rFonts w:ascii="Arial" w:hAnsi="Arial" w:cs="Arial"/>
          <w:sz w:val="20"/>
          <w:szCs w:val="20"/>
        </w:rPr>
        <w:t xml:space="preserve"> </w:t>
      </w:r>
      <w:proofErr w:type="spellStart"/>
      <w:r w:rsidRPr="00656687">
        <w:rPr>
          <w:rFonts w:ascii="Arial" w:hAnsi="Arial" w:cs="Arial"/>
          <w:sz w:val="20"/>
          <w:szCs w:val="20"/>
        </w:rPr>
        <w:t>Adhikar</w:t>
      </w:r>
      <w:proofErr w:type="spellEnd"/>
      <w:r w:rsidRPr="00656687">
        <w:rPr>
          <w:rFonts w:ascii="Arial" w:hAnsi="Arial" w:cs="Arial"/>
          <w:sz w:val="20"/>
          <w:szCs w:val="20"/>
        </w:rPr>
        <w:t xml:space="preserve"> </w:t>
      </w:r>
      <w:proofErr w:type="spellStart"/>
      <w:r w:rsidRPr="00656687">
        <w:rPr>
          <w:rFonts w:ascii="Arial" w:hAnsi="Arial" w:cs="Arial"/>
          <w:sz w:val="20"/>
          <w:szCs w:val="20"/>
        </w:rPr>
        <w:t>Manch</w:t>
      </w:r>
      <w:proofErr w:type="spellEnd"/>
      <w:r w:rsidRPr="00656687">
        <w:rPr>
          <w:rFonts w:ascii="Arial" w:hAnsi="Arial" w:cs="Arial"/>
          <w:sz w:val="20"/>
          <w:szCs w:val="20"/>
        </w:rPr>
        <w:t xml:space="preserve"> v. Union of India. AIR SC 2013.</w:t>
      </w:r>
    </w:p>
    <w:p w14:paraId="1A52418A"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Saxena, D., </w:t>
      </w:r>
      <w:proofErr w:type="spellStart"/>
      <w:r w:rsidRPr="00656687">
        <w:rPr>
          <w:rFonts w:ascii="Arial" w:hAnsi="Arial" w:cs="Arial"/>
          <w:sz w:val="20"/>
          <w:szCs w:val="20"/>
        </w:rPr>
        <w:t>Vangani</w:t>
      </w:r>
      <w:proofErr w:type="spellEnd"/>
      <w:r w:rsidRPr="00656687">
        <w:rPr>
          <w:rFonts w:ascii="Arial" w:hAnsi="Arial" w:cs="Arial"/>
          <w:sz w:val="20"/>
          <w:szCs w:val="20"/>
        </w:rPr>
        <w:t>, R., Priya, R., &amp; Patil, R. (2014). Informed consent and clinical trials: A cross-sectional study in India. Indian Journal of Medical Ethics, 11(4), 217–223.</w:t>
      </w:r>
    </w:p>
    <w:p w14:paraId="60A9017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World Health Organization. (2002). Handbook for Good Clinical Research Practice (GCP): Guidance for implementation. Geneva: World Health Organization.</w:t>
      </w:r>
    </w:p>
    <w:p w14:paraId="4EA9B36E"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Council for International Organizations of Medical Sciences (CIOMS). (2016). International ethical guidelines for health-related research involving humans. Geneva: CIOMS/WHO.</w:t>
      </w:r>
    </w:p>
    <w:p w14:paraId="5F55593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Lang, T., &amp; </w:t>
      </w:r>
      <w:proofErr w:type="spellStart"/>
      <w:r w:rsidRPr="00656687">
        <w:rPr>
          <w:rFonts w:ascii="Arial" w:hAnsi="Arial" w:cs="Arial"/>
          <w:sz w:val="20"/>
          <w:szCs w:val="20"/>
        </w:rPr>
        <w:t>Siribaddana</w:t>
      </w:r>
      <w:proofErr w:type="spellEnd"/>
      <w:r w:rsidRPr="00656687">
        <w:rPr>
          <w:rFonts w:ascii="Arial" w:hAnsi="Arial" w:cs="Arial"/>
          <w:sz w:val="20"/>
          <w:szCs w:val="20"/>
        </w:rPr>
        <w:t xml:space="preserve">, S. (2012). Clinical trials have gone global: Is this a good thing? </w:t>
      </w:r>
      <w:proofErr w:type="spellStart"/>
      <w:r w:rsidRPr="00656687">
        <w:rPr>
          <w:rFonts w:ascii="Arial" w:hAnsi="Arial" w:cs="Arial"/>
          <w:sz w:val="20"/>
          <w:szCs w:val="20"/>
        </w:rPr>
        <w:t>PLoS</w:t>
      </w:r>
      <w:proofErr w:type="spellEnd"/>
      <w:r w:rsidRPr="00656687">
        <w:rPr>
          <w:rFonts w:ascii="Arial" w:hAnsi="Arial" w:cs="Arial"/>
          <w:sz w:val="20"/>
          <w:szCs w:val="20"/>
        </w:rPr>
        <w:t xml:space="preserve"> Medicine, 9(6), e1001228.</w:t>
      </w:r>
    </w:p>
    <w:p w14:paraId="684BFC5A"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World Health Organization. (2020). International Clinical Trials Registry Platform (ICTRP). Geneva: World Health Organization.</w:t>
      </w:r>
    </w:p>
    <w:p w14:paraId="461CE81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U.S. Food and Drug Administration. (2018). FDA Bioresearch Monitoring Program: Inspection findings summary. Washington, DC: FDA.</w:t>
      </w:r>
    </w:p>
    <w:p w14:paraId="5E0029DF"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International Council for </w:t>
      </w:r>
      <w:proofErr w:type="spellStart"/>
      <w:r w:rsidRPr="00656687">
        <w:rPr>
          <w:rFonts w:ascii="Arial" w:hAnsi="Arial" w:cs="Arial"/>
          <w:sz w:val="20"/>
          <w:szCs w:val="20"/>
        </w:rPr>
        <w:t>Harmonisation</w:t>
      </w:r>
      <w:proofErr w:type="spellEnd"/>
      <w:r w:rsidRPr="00656687">
        <w:rPr>
          <w:rFonts w:ascii="Arial" w:hAnsi="Arial" w:cs="Arial"/>
          <w:sz w:val="20"/>
          <w:szCs w:val="20"/>
        </w:rPr>
        <w:t>. (2016). Integrated addendum to ICH E6(R1): Guideline for Good Clinical Practice E6(R2). Geneva: ICH.</w:t>
      </w:r>
    </w:p>
    <w:p w14:paraId="47532B59"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Brosteanu, O., Houben, P., Ihrig, K., Ohmann, C., Paulus, U., </w:t>
      </w:r>
      <w:proofErr w:type="spellStart"/>
      <w:r w:rsidRPr="00656687">
        <w:rPr>
          <w:rFonts w:ascii="Arial" w:hAnsi="Arial" w:cs="Arial"/>
          <w:sz w:val="20"/>
          <w:szCs w:val="20"/>
        </w:rPr>
        <w:t>Pfistner</w:t>
      </w:r>
      <w:proofErr w:type="spellEnd"/>
      <w:r w:rsidRPr="00656687">
        <w:rPr>
          <w:rFonts w:ascii="Arial" w:hAnsi="Arial" w:cs="Arial"/>
          <w:sz w:val="20"/>
          <w:szCs w:val="20"/>
        </w:rPr>
        <w:t>, B., et al. (2017). Risk-adapted monitoring is not inferior to extensive on-site monitoring: Results of the ADAMON cluster-</w:t>
      </w:r>
      <w:proofErr w:type="spellStart"/>
      <w:r w:rsidRPr="00656687">
        <w:rPr>
          <w:rFonts w:ascii="Arial" w:hAnsi="Arial" w:cs="Arial"/>
          <w:sz w:val="20"/>
          <w:szCs w:val="20"/>
        </w:rPr>
        <w:t>randomised</w:t>
      </w:r>
      <w:proofErr w:type="spellEnd"/>
      <w:r w:rsidRPr="00656687">
        <w:rPr>
          <w:rFonts w:ascii="Arial" w:hAnsi="Arial" w:cs="Arial"/>
          <w:sz w:val="20"/>
          <w:szCs w:val="20"/>
        </w:rPr>
        <w:t xml:space="preserve"> study. Clinical Trials, 14(6), 584–596.</w:t>
      </w:r>
    </w:p>
    <w:p w14:paraId="5CB2DF47"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Meeker-O’Connell, A., Glessner, C., Behm, M., </w:t>
      </w:r>
      <w:proofErr w:type="spellStart"/>
      <w:r w:rsidRPr="00656687">
        <w:rPr>
          <w:rFonts w:ascii="Arial" w:hAnsi="Arial" w:cs="Arial"/>
          <w:sz w:val="20"/>
          <w:szCs w:val="20"/>
        </w:rPr>
        <w:t>Mulinde</w:t>
      </w:r>
      <w:proofErr w:type="spellEnd"/>
      <w:r w:rsidRPr="00656687">
        <w:rPr>
          <w:rFonts w:ascii="Arial" w:hAnsi="Arial" w:cs="Arial"/>
          <w:sz w:val="20"/>
          <w:szCs w:val="20"/>
        </w:rPr>
        <w:t>, J., Roach, N., Emerson, J., et al. (2016). Enhancing clinical evidence by proactively building quality into clinical trials. Clinical Trials, 13(4), 439–444.</w:t>
      </w:r>
    </w:p>
    <w:p w14:paraId="552CA0DA"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56687">
        <w:rPr>
          <w:rFonts w:ascii="Arial" w:hAnsi="Arial" w:cs="Arial"/>
          <w:sz w:val="20"/>
          <w:szCs w:val="20"/>
        </w:rPr>
        <w:t>TransCelerate</w:t>
      </w:r>
      <w:proofErr w:type="spellEnd"/>
      <w:r w:rsidRPr="00656687">
        <w:rPr>
          <w:rFonts w:ascii="Arial" w:hAnsi="Arial" w:cs="Arial"/>
          <w:sz w:val="20"/>
          <w:szCs w:val="20"/>
        </w:rPr>
        <w:t xml:space="preserve"> Biopharma Inc. (2013). Risk-based monitoring methodology. Philadelphia: </w:t>
      </w:r>
      <w:proofErr w:type="spellStart"/>
      <w:r w:rsidRPr="00656687">
        <w:rPr>
          <w:rFonts w:ascii="Arial" w:hAnsi="Arial" w:cs="Arial"/>
          <w:sz w:val="20"/>
          <w:szCs w:val="20"/>
        </w:rPr>
        <w:t>TransCelerate</w:t>
      </w:r>
      <w:proofErr w:type="spellEnd"/>
      <w:r w:rsidRPr="00656687">
        <w:rPr>
          <w:rFonts w:ascii="Arial" w:hAnsi="Arial" w:cs="Arial"/>
          <w:sz w:val="20"/>
          <w:szCs w:val="20"/>
        </w:rPr>
        <w:t>.</w:t>
      </w:r>
    </w:p>
    <w:p w14:paraId="2C23A0EA"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U.S. Food and Drug Administration. (2018). Data integrity and compliance with CGMP: Guidance for industry. Silver Spring: FDA.</w:t>
      </w:r>
    </w:p>
    <w:p w14:paraId="6DE1030D"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Medicines and Healthcare products Regulatory Agency (MHRA). (2017). GCP data integrity issues. London: MHRA.</w:t>
      </w:r>
    </w:p>
    <w:p w14:paraId="6C3F05F4"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56687">
        <w:rPr>
          <w:rFonts w:ascii="Arial" w:hAnsi="Arial" w:cs="Arial"/>
          <w:sz w:val="20"/>
          <w:szCs w:val="20"/>
        </w:rPr>
        <w:t>Izmailova</w:t>
      </w:r>
      <w:proofErr w:type="spellEnd"/>
      <w:r w:rsidRPr="00656687">
        <w:rPr>
          <w:rFonts w:ascii="Arial" w:hAnsi="Arial" w:cs="Arial"/>
          <w:sz w:val="20"/>
          <w:szCs w:val="20"/>
        </w:rPr>
        <w:t>, E. S., Ellis, R., &amp; Benko, C. (2020). Remote monitoring in clinical trials during COVID-19. Nature Reviews Drug Discovery, 19(6), 377–378.</w:t>
      </w:r>
    </w:p>
    <w:p w14:paraId="48D441C6"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U.S. Food and Drug Administration. (2013). Guidance for industry: Oversight of clinical investigations — A risk-based approach to monitoring. Silver Spring: FDA.</w:t>
      </w:r>
    </w:p>
    <w:p w14:paraId="11EC2492"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U.S. Food and Drug Administration. (2020). Guidance on conduct of clinical trials of medical products during COVID-19 public health emergency. Silver Spring: FDA.</w:t>
      </w:r>
    </w:p>
    <w:p w14:paraId="2B43AE23"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Yang, E., Pan, B., Riebling, N., DeZern, A. E., Daley, J., &amp; Mohan, S. (2022). Artificial intelligence in clinical trial design and conduct: Opportunities and challenges. Lancet Digital Health, 4(12), e885–e893.</w:t>
      </w:r>
    </w:p>
    <w:p w14:paraId="5E7C37ED"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European Medicines Agency. (2021). Reflection paper on artificial intelligence in the context of medicinal products. London: EMA.</w:t>
      </w:r>
    </w:p>
    <w:p w14:paraId="5E7A5650"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Perfetto, E. M., Burke, L., Oehrlein, E. M., &amp; Epstein, R. S. (2015). Patient-focused drug development: A new direction for collaboration. Medical Care, 53(1), 9–17.</w:t>
      </w:r>
    </w:p>
    <w:p w14:paraId="164E2563"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lastRenderedPageBreak/>
        <w:t xml:space="preserve">Dixon-Woods, M., &amp; Ashcroft, R. E. (2008). Regulation and the social </w:t>
      </w:r>
      <w:proofErr w:type="spellStart"/>
      <w:r w:rsidRPr="00656687">
        <w:rPr>
          <w:rFonts w:ascii="Arial" w:hAnsi="Arial" w:cs="Arial"/>
          <w:sz w:val="20"/>
          <w:szCs w:val="20"/>
        </w:rPr>
        <w:t>licence</w:t>
      </w:r>
      <w:proofErr w:type="spellEnd"/>
      <w:r w:rsidRPr="00656687">
        <w:rPr>
          <w:rFonts w:ascii="Arial" w:hAnsi="Arial" w:cs="Arial"/>
          <w:sz w:val="20"/>
          <w:szCs w:val="20"/>
        </w:rPr>
        <w:t xml:space="preserve"> for medical research. Medicine, Health Care and Philosophy, 11(4), 381–391.</w:t>
      </w:r>
    </w:p>
    <w:p w14:paraId="4EFD1723"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Participants in the 2001 Conference on Ethical Aspects of Research in Developing Countries. (2002). Fair benefits for research in developing countries. Science, 298(5601), 2133–2134.</w:t>
      </w:r>
    </w:p>
    <w:p w14:paraId="5E6D8130"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Chen, M. S., Lara, P. N., Dang, J. H., Paterniti, D. A., &amp; Kelly, K. (2014). Twenty years post-NIH Revitalization Act: Enhancing minority participation in clinical trials (Commentary). Cancer, 120(7), 1091–1096.</w:t>
      </w:r>
    </w:p>
    <w:p w14:paraId="2A0208B9"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Ndebele, P., Wassenaar, D., Benatar, S., Fleischer, T., Kruger, M., </w:t>
      </w:r>
      <w:proofErr w:type="spellStart"/>
      <w:r w:rsidRPr="00656687">
        <w:rPr>
          <w:rFonts w:ascii="Arial" w:hAnsi="Arial" w:cs="Arial"/>
          <w:sz w:val="20"/>
          <w:szCs w:val="20"/>
        </w:rPr>
        <w:t>Adebamowo</w:t>
      </w:r>
      <w:proofErr w:type="spellEnd"/>
      <w:r w:rsidRPr="00656687">
        <w:rPr>
          <w:rFonts w:ascii="Arial" w:hAnsi="Arial" w:cs="Arial"/>
          <w:sz w:val="20"/>
          <w:szCs w:val="20"/>
        </w:rPr>
        <w:t>, C., et al. (2014). Research ethics capacity building in Sub-Saharan Africa: A review of NIH Fogarty-funded programs 2000–2012. Journal of Empirical Research on Human Research Ethics, 9(2), 24–40.</w:t>
      </w:r>
    </w:p>
    <w:p w14:paraId="2B156578"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proofErr w:type="spellStart"/>
      <w:r w:rsidRPr="00656687">
        <w:rPr>
          <w:rFonts w:ascii="Arial" w:hAnsi="Arial" w:cs="Arial"/>
          <w:sz w:val="20"/>
          <w:szCs w:val="20"/>
        </w:rPr>
        <w:t>Taichman</w:t>
      </w:r>
      <w:proofErr w:type="spellEnd"/>
      <w:r w:rsidRPr="00656687">
        <w:rPr>
          <w:rFonts w:ascii="Arial" w:hAnsi="Arial" w:cs="Arial"/>
          <w:sz w:val="20"/>
          <w:szCs w:val="20"/>
        </w:rPr>
        <w:t>, D. B., Sahni, P., Pinborg, A., Peiperl, L., Laine, C., James, A., et al. (2017). Data-sharing statements for clinical trials — A requirement of the International Committee of Medical Journal Editors. New England Journal of Medicine, 376(23), 2277–2279.</w:t>
      </w:r>
    </w:p>
    <w:p w14:paraId="6EE27246"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 xml:space="preserve">Thiers, F. A., </w:t>
      </w:r>
      <w:proofErr w:type="spellStart"/>
      <w:r w:rsidRPr="00656687">
        <w:rPr>
          <w:rFonts w:ascii="Arial" w:hAnsi="Arial" w:cs="Arial"/>
          <w:sz w:val="20"/>
          <w:szCs w:val="20"/>
        </w:rPr>
        <w:t>Sinskey</w:t>
      </w:r>
      <w:proofErr w:type="spellEnd"/>
      <w:r w:rsidRPr="00656687">
        <w:rPr>
          <w:rFonts w:ascii="Arial" w:hAnsi="Arial" w:cs="Arial"/>
          <w:sz w:val="20"/>
          <w:szCs w:val="20"/>
        </w:rPr>
        <w:t>, A. J., &amp; Berndt, E. R. (2010). Sustainability and environmental impact of clinical research. Drug Information Journal, 44(3), 215–223.</w:t>
      </w:r>
    </w:p>
    <w:p w14:paraId="0046E4CA" w14:textId="77777777" w:rsidR="00656687"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Tabor, H. K., Kelley, M., Brazg, T., &amp; Edwards, K. (2011). Ethical considerations in the communication of genomic incidental findings. Genetics in Medicine, 13(3), 230–235.</w:t>
      </w:r>
    </w:p>
    <w:p w14:paraId="1EAA5CBA" w14:textId="2407599A" w:rsidR="00B01FCD" w:rsidRPr="00656687" w:rsidRDefault="00656687" w:rsidP="0086506E">
      <w:pPr>
        <w:pStyle w:val="NormalWeb"/>
        <w:numPr>
          <w:ilvl w:val="0"/>
          <w:numId w:val="43"/>
        </w:numPr>
        <w:spacing w:before="100" w:beforeAutospacing="1" w:after="100" w:afterAutospacing="1" w:line="276" w:lineRule="auto"/>
        <w:jc w:val="both"/>
        <w:rPr>
          <w:rFonts w:ascii="Arial" w:hAnsi="Arial" w:cs="Arial"/>
          <w:sz w:val="20"/>
          <w:szCs w:val="20"/>
        </w:rPr>
      </w:pPr>
      <w:r w:rsidRPr="00656687">
        <w:rPr>
          <w:rFonts w:ascii="Arial" w:hAnsi="Arial" w:cs="Arial"/>
          <w:sz w:val="20"/>
          <w:szCs w:val="20"/>
        </w:rPr>
        <w:t>Singh, J. A., &amp; Upshur, R. (2021). The granting of emergency use designation to COVID-19 candidate vaccines: Implications for research ethics and public health. Journal of Clinical Epidemiology, 129, 219–221.</w:t>
      </w:r>
    </w:p>
    <w:sectPr w:rsidR="00B01FCD" w:rsidRPr="00656687" w:rsidSect="007958A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DC3A" w14:textId="77777777" w:rsidR="008A5904" w:rsidRDefault="008A5904" w:rsidP="00C37E61">
      <w:r>
        <w:separator/>
      </w:r>
    </w:p>
  </w:endnote>
  <w:endnote w:type="continuationSeparator" w:id="0">
    <w:p w14:paraId="454A63AB" w14:textId="77777777" w:rsidR="008A5904" w:rsidRDefault="008A59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27FF4" w14:textId="77777777" w:rsidR="007958AB" w:rsidRDefault="00795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B8FF" w14:textId="530041C7" w:rsidR="00C37E61" w:rsidRPr="00D34ACE" w:rsidRDefault="00C37E61" w:rsidP="00D34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7D3B" w14:textId="29F3742C" w:rsidR="00754C9A" w:rsidRPr="007958AB" w:rsidRDefault="00754C9A" w:rsidP="007958A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20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4A28" w14:textId="77777777" w:rsidR="008A5904" w:rsidRDefault="008A5904" w:rsidP="00C37E61">
      <w:r>
        <w:separator/>
      </w:r>
    </w:p>
  </w:footnote>
  <w:footnote w:type="continuationSeparator" w:id="0">
    <w:p w14:paraId="17C5302B" w14:textId="77777777" w:rsidR="008A5904" w:rsidRDefault="008A59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7DB4" w14:textId="4339E7C3" w:rsidR="007958AB" w:rsidRDefault="007958AB">
    <w:pPr>
      <w:pStyle w:val="Header"/>
    </w:pPr>
    <w:r>
      <w:rPr>
        <w:noProof/>
      </w:rPr>
      <w:pict w14:anchorId="1CA00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BEDC" w14:textId="1D2B674C" w:rsidR="007958AB" w:rsidRDefault="007958AB">
    <w:pPr>
      <w:pStyle w:val="Header"/>
    </w:pPr>
    <w:r>
      <w:rPr>
        <w:noProof/>
      </w:rPr>
      <w:pict w14:anchorId="681C3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322D" w14:textId="26559A84" w:rsidR="00296529" w:rsidRPr="00296529" w:rsidRDefault="007958AB" w:rsidP="00296529">
    <w:pPr>
      <w:ind w:left="2160"/>
      <w:jc w:val="center"/>
      <w:rPr>
        <w:rFonts w:ascii="Times New Roman" w:eastAsia="Calibri" w:hAnsi="Times New Roman"/>
        <w:i/>
        <w:sz w:val="18"/>
        <w:szCs w:val="22"/>
      </w:rPr>
    </w:pPr>
    <w:r>
      <w:rPr>
        <w:noProof/>
      </w:rPr>
      <w:pict w14:anchorId="4805E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32B2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F4D8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1997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D6BB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F57C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B219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DC20" w14:textId="77CA32DF" w:rsidR="007958AB" w:rsidRDefault="007958AB">
    <w:pPr>
      <w:pStyle w:val="Header"/>
    </w:pPr>
    <w:r>
      <w:rPr>
        <w:noProof/>
      </w:rPr>
      <w:pict w14:anchorId="18AE7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BE8F" w14:textId="42CFCC12" w:rsidR="007958AB" w:rsidRDefault="007958AB">
    <w:pPr>
      <w:pStyle w:val="Header"/>
    </w:pPr>
    <w:r>
      <w:rPr>
        <w:noProof/>
      </w:rPr>
      <w:pict w14:anchorId="1935D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6A78E" w14:textId="5E98AAC0" w:rsidR="007958AB" w:rsidRDefault="007958AB">
    <w:pPr>
      <w:pStyle w:val="Header"/>
    </w:pPr>
    <w:r>
      <w:rPr>
        <w:noProof/>
      </w:rPr>
      <w:pict w14:anchorId="7035E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55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9CD"/>
    <w:multiLevelType w:val="multilevel"/>
    <w:tmpl w:val="BEA4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3B38"/>
    <w:multiLevelType w:val="multilevel"/>
    <w:tmpl w:val="0BF6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2712F"/>
    <w:multiLevelType w:val="multilevel"/>
    <w:tmpl w:val="DDE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05EA"/>
    <w:multiLevelType w:val="multilevel"/>
    <w:tmpl w:val="3520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866F3"/>
    <w:multiLevelType w:val="multilevel"/>
    <w:tmpl w:val="A95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D07BB"/>
    <w:multiLevelType w:val="multilevel"/>
    <w:tmpl w:val="72B8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F6940"/>
    <w:multiLevelType w:val="multilevel"/>
    <w:tmpl w:val="319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03808"/>
    <w:multiLevelType w:val="multilevel"/>
    <w:tmpl w:val="894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95AC5"/>
    <w:multiLevelType w:val="multilevel"/>
    <w:tmpl w:val="04F0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B794C"/>
    <w:multiLevelType w:val="multilevel"/>
    <w:tmpl w:val="580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0137E"/>
    <w:multiLevelType w:val="multilevel"/>
    <w:tmpl w:val="E0D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46DB2"/>
    <w:multiLevelType w:val="multilevel"/>
    <w:tmpl w:val="1F4E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9C21C4"/>
    <w:multiLevelType w:val="multilevel"/>
    <w:tmpl w:val="47FC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C83942"/>
    <w:multiLevelType w:val="multilevel"/>
    <w:tmpl w:val="9A3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6059EB"/>
    <w:multiLevelType w:val="multilevel"/>
    <w:tmpl w:val="BC9A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F39C6"/>
    <w:multiLevelType w:val="multilevel"/>
    <w:tmpl w:val="5D8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E87EAD"/>
    <w:multiLevelType w:val="multilevel"/>
    <w:tmpl w:val="EAD0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73513F"/>
    <w:multiLevelType w:val="multilevel"/>
    <w:tmpl w:val="37D8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E1810"/>
    <w:multiLevelType w:val="multilevel"/>
    <w:tmpl w:val="BFE8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5661A"/>
    <w:multiLevelType w:val="multilevel"/>
    <w:tmpl w:val="80C8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2375BA"/>
    <w:multiLevelType w:val="multilevel"/>
    <w:tmpl w:val="7DAE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2F49E9"/>
    <w:multiLevelType w:val="multilevel"/>
    <w:tmpl w:val="56B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663207"/>
    <w:multiLevelType w:val="multilevel"/>
    <w:tmpl w:val="D51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14617"/>
    <w:multiLevelType w:val="hybridMultilevel"/>
    <w:tmpl w:val="56A696F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B44137"/>
    <w:multiLevelType w:val="multilevel"/>
    <w:tmpl w:val="2EE6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A79A9"/>
    <w:multiLevelType w:val="multilevel"/>
    <w:tmpl w:val="105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93AC4"/>
    <w:multiLevelType w:val="multilevel"/>
    <w:tmpl w:val="57E8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E20786"/>
    <w:multiLevelType w:val="multilevel"/>
    <w:tmpl w:val="B358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C51F0"/>
    <w:multiLevelType w:val="multilevel"/>
    <w:tmpl w:val="66C8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F0EA2"/>
    <w:multiLevelType w:val="multilevel"/>
    <w:tmpl w:val="0A2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4B0611"/>
    <w:multiLevelType w:val="multilevel"/>
    <w:tmpl w:val="B7F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8527AF"/>
    <w:multiLevelType w:val="multilevel"/>
    <w:tmpl w:val="403A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67D28"/>
    <w:multiLevelType w:val="multilevel"/>
    <w:tmpl w:val="5372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876AF"/>
    <w:multiLevelType w:val="multilevel"/>
    <w:tmpl w:val="B300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3717EC"/>
    <w:multiLevelType w:val="multilevel"/>
    <w:tmpl w:val="E010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6D7A9A"/>
    <w:multiLevelType w:val="multilevel"/>
    <w:tmpl w:val="94A6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A4B5B"/>
    <w:multiLevelType w:val="multilevel"/>
    <w:tmpl w:val="5F9A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52EE0"/>
    <w:multiLevelType w:val="multilevel"/>
    <w:tmpl w:val="E544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7865CF"/>
    <w:multiLevelType w:val="multilevel"/>
    <w:tmpl w:val="0B5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B4724C"/>
    <w:multiLevelType w:val="multilevel"/>
    <w:tmpl w:val="274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054AF6"/>
    <w:multiLevelType w:val="multilevel"/>
    <w:tmpl w:val="E20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2" w15:restartNumberingAfterBreak="0">
    <w:nsid w:val="72810154"/>
    <w:multiLevelType w:val="multilevel"/>
    <w:tmpl w:val="4252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000C4"/>
    <w:multiLevelType w:val="hybridMultilevel"/>
    <w:tmpl w:val="37A657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1"/>
  </w:num>
  <w:num w:numId="2">
    <w:abstractNumId w:val="37"/>
  </w:num>
  <w:num w:numId="3">
    <w:abstractNumId w:val="21"/>
  </w:num>
  <w:num w:numId="4">
    <w:abstractNumId w:val="4"/>
  </w:num>
  <w:num w:numId="5">
    <w:abstractNumId w:val="7"/>
  </w:num>
  <w:num w:numId="6">
    <w:abstractNumId w:val="8"/>
  </w:num>
  <w:num w:numId="7">
    <w:abstractNumId w:val="24"/>
  </w:num>
  <w:num w:numId="8">
    <w:abstractNumId w:val="42"/>
  </w:num>
  <w:num w:numId="9">
    <w:abstractNumId w:val="9"/>
  </w:num>
  <w:num w:numId="10">
    <w:abstractNumId w:val="0"/>
  </w:num>
  <w:num w:numId="11">
    <w:abstractNumId w:val="1"/>
  </w:num>
  <w:num w:numId="12">
    <w:abstractNumId w:val="25"/>
  </w:num>
  <w:num w:numId="13">
    <w:abstractNumId w:val="14"/>
  </w:num>
  <w:num w:numId="14">
    <w:abstractNumId w:val="33"/>
  </w:num>
  <w:num w:numId="15">
    <w:abstractNumId w:val="16"/>
  </w:num>
  <w:num w:numId="16">
    <w:abstractNumId w:val="27"/>
  </w:num>
  <w:num w:numId="17">
    <w:abstractNumId w:val="5"/>
  </w:num>
  <w:num w:numId="18">
    <w:abstractNumId w:val="26"/>
  </w:num>
  <w:num w:numId="19">
    <w:abstractNumId w:val="32"/>
  </w:num>
  <w:num w:numId="20">
    <w:abstractNumId w:val="34"/>
  </w:num>
  <w:num w:numId="21">
    <w:abstractNumId w:val="2"/>
  </w:num>
  <w:num w:numId="22">
    <w:abstractNumId w:val="6"/>
  </w:num>
  <w:num w:numId="23">
    <w:abstractNumId w:val="19"/>
  </w:num>
  <w:num w:numId="24">
    <w:abstractNumId w:val="29"/>
  </w:num>
  <w:num w:numId="25">
    <w:abstractNumId w:val="30"/>
  </w:num>
  <w:num w:numId="26">
    <w:abstractNumId w:val="3"/>
  </w:num>
  <w:num w:numId="27">
    <w:abstractNumId w:val="35"/>
  </w:num>
  <w:num w:numId="28">
    <w:abstractNumId w:val="15"/>
  </w:num>
  <w:num w:numId="29">
    <w:abstractNumId w:val="31"/>
  </w:num>
  <w:num w:numId="30">
    <w:abstractNumId w:val="13"/>
  </w:num>
  <w:num w:numId="31">
    <w:abstractNumId w:val="40"/>
  </w:num>
  <w:num w:numId="32">
    <w:abstractNumId w:val="10"/>
  </w:num>
  <w:num w:numId="33">
    <w:abstractNumId w:val="36"/>
  </w:num>
  <w:num w:numId="34">
    <w:abstractNumId w:val="17"/>
  </w:num>
  <w:num w:numId="35">
    <w:abstractNumId w:val="38"/>
  </w:num>
  <w:num w:numId="36">
    <w:abstractNumId w:val="39"/>
  </w:num>
  <w:num w:numId="37">
    <w:abstractNumId w:val="12"/>
  </w:num>
  <w:num w:numId="38">
    <w:abstractNumId w:val="28"/>
  </w:num>
  <w:num w:numId="39">
    <w:abstractNumId w:val="22"/>
  </w:num>
  <w:num w:numId="40">
    <w:abstractNumId w:val="20"/>
  </w:num>
  <w:num w:numId="41">
    <w:abstractNumId w:val="18"/>
  </w:num>
  <w:num w:numId="42">
    <w:abstractNumId w:val="11"/>
  </w:num>
  <w:num w:numId="43">
    <w:abstractNumId w:val="43"/>
  </w:num>
  <w:num w:numId="44">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3BA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4101"/>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3033"/>
    <w:rsid w:val="00283105"/>
    <w:rsid w:val="00284C4C"/>
    <w:rsid w:val="00287E68"/>
    <w:rsid w:val="00296529"/>
    <w:rsid w:val="00297761"/>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2AD1"/>
    <w:rsid w:val="0041027F"/>
    <w:rsid w:val="00412475"/>
    <w:rsid w:val="00423789"/>
    <w:rsid w:val="00440F43"/>
    <w:rsid w:val="00441B6F"/>
    <w:rsid w:val="00446221"/>
    <w:rsid w:val="00450E62"/>
    <w:rsid w:val="004539DB"/>
    <w:rsid w:val="00471A80"/>
    <w:rsid w:val="004B43A5"/>
    <w:rsid w:val="004D305E"/>
    <w:rsid w:val="004D4277"/>
    <w:rsid w:val="00502516"/>
    <w:rsid w:val="00505F06"/>
    <w:rsid w:val="00506828"/>
    <w:rsid w:val="005150EA"/>
    <w:rsid w:val="0053056E"/>
    <w:rsid w:val="00554FDA"/>
    <w:rsid w:val="005C784C"/>
    <w:rsid w:val="005D17F6"/>
    <w:rsid w:val="005E5539"/>
    <w:rsid w:val="00602BF5"/>
    <w:rsid w:val="00617FDD"/>
    <w:rsid w:val="00633614"/>
    <w:rsid w:val="00633F68"/>
    <w:rsid w:val="00636EB2"/>
    <w:rsid w:val="006375B8"/>
    <w:rsid w:val="00656687"/>
    <w:rsid w:val="0066510A"/>
    <w:rsid w:val="00673F9F"/>
    <w:rsid w:val="00686953"/>
    <w:rsid w:val="00687DEA"/>
    <w:rsid w:val="00687E67"/>
    <w:rsid w:val="006967F7"/>
    <w:rsid w:val="006A250C"/>
    <w:rsid w:val="006B21D3"/>
    <w:rsid w:val="006B37BF"/>
    <w:rsid w:val="006B57D0"/>
    <w:rsid w:val="006D30FF"/>
    <w:rsid w:val="006D6940"/>
    <w:rsid w:val="006F11EC"/>
    <w:rsid w:val="0070082C"/>
    <w:rsid w:val="00727A1C"/>
    <w:rsid w:val="00735439"/>
    <w:rsid w:val="007369E6"/>
    <w:rsid w:val="00746E59"/>
    <w:rsid w:val="00754C76"/>
    <w:rsid w:val="00754C9A"/>
    <w:rsid w:val="0075599A"/>
    <w:rsid w:val="00761D52"/>
    <w:rsid w:val="0077749E"/>
    <w:rsid w:val="00790ADA"/>
    <w:rsid w:val="007958AB"/>
    <w:rsid w:val="007D2288"/>
    <w:rsid w:val="007E088F"/>
    <w:rsid w:val="007F1255"/>
    <w:rsid w:val="007F7B32"/>
    <w:rsid w:val="00804BC2"/>
    <w:rsid w:val="0081431A"/>
    <w:rsid w:val="0083216F"/>
    <w:rsid w:val="00860000"/>
    <w:rsid w:val="00863BD3"/>
    <w:rsid w:val="008641ED"/>
    <w:rsid w:val="0086506E"/>
    <w:rsid w:val="00866D66"/>
    <w:rsid w:val="008671C6"/>
    <w:rsid w:val="0087397F"/>
    <w:rsid w:val="00875803"/>
    <w:rsid w:val="008A279A"/>
    <w:rsid w:val="008A5904"/>
    <w:rsid w:val="008A781F"/>
    <w:rsid w:val="008B459E"/>
    <w:rsid w:val="008E13AE"/>
    <w:rsid w:val="008E1506"/>
    <w:rsid w:val="008E710C"/>
    <w:rsid w:val="008F69D6"/>
    <w:rsid w:val="00902823"/>
    <w:rsid w:val="00915CA6"/>
    <w:rsid w:val="00927834"/>
    <w:rsid w:val="00945BE8"/>
    <w:rsid w:val="009500A6"/>
    <w:rsid w:val="00957C18"/>
    <w:rsid w:val="009659BA"/>
    <w:rsid w:val="00983040"/>
    <w:rsid w:val="0099175D"/>
    <w:rsid w:val="009B3FB9"/>
    <w:rsid w:val="009C2465"/>
    <w:rsid w:val="009C265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0F7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1630"/>
    <w:rsid w:val="00C85588"/>
    <w:rsid w:val="00CD6755"/>
    <w:rsid w:val="00CD6856"/>
    <w:rsid w:val="00CE0089"/>
    <w:rsid w:val="00CE793C"/>
    <w:rsid w:val="00CF193C"/>
    <w:rsid w:val="00D173F1"/>
    <w:rsid w:val="00D34ACE"/>
    <w:rsid w:val="00D504A8"/>
    <w:rsid w:val="00D6332D"/>
    <w:rsid w:val="00D74CB0"/>
    <w:rsid w:val="00D8295D"/>
    <w:rsid w:val="00D845BE"/>
    <w:rsid w:val="00DC18E7"/>
    <w:rsid w:val="00DC2A65"/>
    <w:rsid w:val="00DE15F0"/>
    <w:rsid w:val="00DE5663"/>
    <w:rsid w:val="00DE59E1"/>
    <w:rsid w:val="00DE78AA"/>
    <w:rsid w:val="00E053D0"/>
    <w:rsid w:val="00E15994"/>
    <w:rsid w:val="00E3114E"/>
    <w:rsid w:val="00E31A70"/>
    <w:rsid w:val="00E35B02"/>
    <w:rsid w:val="00E5781D"/>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009D"/>
    <w:rsid w:val="00F922AB"/>
    <w:rsid w:val="00FA55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D8C5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B43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73B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73B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73B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73BAE"/>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073BAE"/>
    <w:pPr>
      <w:spacing w:after="120"/>
    </w:pPr>
  </w:style>
  <w:style w:type="character" w:customStyle="1" w:styleId="BodyTextChar">
    <w:name w:val="Body Text Char"/>
    <w:basedOn w:val="DefaultParagraphFont"/>
    <w:link w:val="BodyText"/>
    <w:semiHidden/>
    <w:rsid w:val="00073BAE"/>
    <w:rPr>
      <w:rFonts w:ascii="Helvetica" w:hAnsi="Helvetica"/>
    </w:rPr>
  </w:style>
  <w:style w:type="paragraph" w:styleId="NormalWeb">
    <w:name w:val="Normal (Web)"/>
    <w:basedOn w:val="Normal"/>
    <w:uiPriority w:val="99"/>
    <w:unhideWhenUsed/>
    <w:rsid w:val="00754C76"/>
    <w:rPr>
      <w:rFonts w:ascii="Times New Roman" w:hAnsi="Times New Roman"/>
      <w:sz w:val="24"/>
      <w:szCs w:val="24"/>
    </w:rPr>
  </w:style>
  <w:style w:type="paragraph" w:styleId="ListParagraph">
    <w:name w:val="List Paragraph"/>
    <w:basedOn w:val="Normal"/>
    <w:uiPriority w:val="34"/>
    <w:qFormat/>
    <w:rsid w:val="00F922AB"/>
    <w:pPr>
      <w:ind w:left="720"/>
      <w:contextualSpacing/>
    </w:pPr>
  </w:style>
  <w:style w:type="character" w:customStyle="1" w:styleId="Heading2Char">
    <w:name w:val="Heading 2 Char"/>
    <w:basedOn w:val="DefaultParagraphFont"/>
    <w:link w:val="Heading2"/>
    <w:semiHidden/>
    <w:rsid w:val="004B43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68296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9FA3-F7B3-44AB-9B15-6A281D11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17</Pages>
  <Words>7155</Words>
  <Characters>40790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47850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2025-08-29T14:51:00Z</dcterms:created>
  <dcterms:modified xsi:type="dcterms:W3CDTF">2025-08-30T13:44:00Z</dcterms:modified>
</cp:coreProperties>
</file>