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5FDD" w14:textId="77777777" w:rsidR="00A879C0" w:rsidRPr="00A879C0" w:rsidRDefault="00A879C0" w:rsidP="00A879C0">
      <w:pPr>
        <w:spacing w:after="200" w:line="360" w:lineRule="auto"/>
        <w:jc w:val="both"/>
        <w:rPr>
          <w:rFonts w:ascii="Times New Roman" w:hAnsi="Times New Roman" w:cs="Times New Roman"/>
          <w:b/>
          <w:kern w:val="0"/>
          <w:sz w:val="28"/>
          <w:szCs w:val="20"/>
          <w:lang w:val="en-US"/>
          <w14:ligatures w14:val="none"/>
        </w:rPr>
      </w:pPr>
      <w:r w:rsidRPr="00A879C0">
        <w:rPr>
          <w:rFonts w:ascii="Times New Roman" w:hAnsi="Times New Roman" w:cs="Times New Roman"/>
          <w:b/>
          <w:kern w:val="0"/>
          <w:sz w:val="28"/>
          <w:szCs w:val="20"/>
          <w:lang w:val="en-US"/>
          <w14:ligatures w14:val="none"/>
        </w:rPr>
        <w:t>Estimating Efficiency of Sharecroppers, Owner-Operators, and Fixed Renters: An Empirical Study from Jammu, J&amp;K</w:t>
      </w:r>
    </w:p>
    <w:p w14:paraId="1083BBFD" w14:textId="77777777" w:rsidR="00605AF2" w:rsidRDefault="00605AF2" w:rsidP="00A879C0">
      <w:pPr>
        <w:spacing w:after="200" w:line="360" w:lineRule="auto"/>
        <w:jc w:val="both"/>
        <w:rPr>
          <w:rFonts w:ascii="Times New Roman" w:hAnsi="Times New Roman" w:cs="Times New Roman"/>
          <w:kern w:val="0"/>
          <w:sz w:val="24"/>
          <w:lang w:val="en-US"/>
          <w14:ligatures w14:val="none"/>
        </w:rPr>
      </w:pPr>
      <w:bookmarkStart w:id="0" w:name="_GoBack"/>
      <w:bookmarkEnd w:id="0"/>
    </w:p>
    <w:p w14:paraId="4336356B" w14:textId="78B9F1F2" w:rsidR="00605AF2" w:rsidRPr="00605AF2" w:rsidRDefault="00605AF2" w:rsidP="00A879C0">
      <w:pPr>
        <w:spacing w:after="200" w:line="360" w:lineRule="auto"/>
        <w:jc w:val="both"/>
        <w:rPr>
          <w:rFonts w:ascii="Times New Roman" w:hAnsi="Times New Roman" w:cs="Times New Roman"/>
          <w:b/>
          <w:bCs/>
          <w:kern w:val="0"/>
          <w:sz w:val="24"/>
          <w:lang w:val="en-US"/>
          <w14:ligatures w14:val="none"/>
        </w:rPr>
      </w:pPr>
      <w:r w:rsidRPr="00605AF2">
        <w:rPr>
          <w:rFonts w:ascii="Times New Roman" w:hAnsi="Times New Roman" w:cs="Times New Roman"/>
          <w:b/>
          <w:bCs/>
          <w:kern w:val="0"/>
          <w:sz w:val="24"/>
          <w:lang w:val="en-US"/>
          <w14:ligatures w14:val="none"/>
        </w:rPr>
        <w:t xml:space="preserve">Abstract </w:t>
      </w:r>
    </w:p>
    <w:p w14:paraId="50A30BFB" w14:textId="77777777" w:rsidR="00A879C0" w:rsidRPr="00A879C0" w:rsidRDefault="00A879C0" w:rsidP="00A879C0">
      <w:pPr>
        <w:spacing w:after="200" w:line="360" w:lineRule="auto"/>
        <w:jc w:val="both"/>
        <w:rPr>
          <w:rFonts w:ascii="Times New Roman" w:hAnsi="Times New Roman" w:cs="Times New Roman"/>
          <w:kern w:val="0"/>
          <w:sz w:val="24"/>
          <w:szCs w:val="24"/>
          <w:lang w:val="en-US"/>
          <w14:ligatures w14:val="none"/>
        </w:rPr>
      </w:pPr>
      <w:r w:rsidRPr="00A879C0">
        <w:rPr>
          <w:rFonts w:ascii="Times New Roman" w:hAnsi="Times New Roman" w:cs="Times New Roman"/>
          <w:kern w:val="0"/>
          <w:sz w:val="24"/>
          <w:szCs w:val="24"/>
          <w:lang w:val="en-US"/>
          <w14:ligatures w14:val="none"/>
        </w:rPr>
        <w:t>This study investigates the comparative efficiency of farmers in the Jammu region of Jammu and Kashmir, focusing on three categories of cultivators: owner-operators, fixed renters, and sharecroppers. Farm-level data analyzed through efficiency measurement techniques namely Data Envelopment Analysis (DEA) reveal that owner-operators exhibit significantly higher levels of both technical and cost efficiency compared to tenant farmers. Among the tenancy systems, fixed renters outperform sharecroppers, indicating that the latter are comparatively less efficient. These results provide empirical confirmation of the Marshallian inefficiency hypothesis, which posits that sharecropping leads to lower efficiency due to disincentives for optimal input use. The findings suggest that enhancing tenure security and promoting efficient tenancy arrangements could improve productivity in the region. Policy interventions should therefore focus on reforming tenancy laws, facilitating access to credit, and incentivizing transitions toward more secure and efficient cultivation systems.</w:t>
      </w:r>
    </w:p>
    <w:p w14:paraId="1A0F81CA" w14:textId="77777777" w:rsidR="00A879C0" w:rsidRPr="00A879C0" w:rsidRDefault="00A879C0" w:rsidP="00A879C0">
      <w:pPr>
        <w:spacing w:after="200" w:line="360" w:lineRule="auto"/>
        <w:jc w:val="both"/>
        <w:rPr>
          <w:rFonts w:ascii="Times New Roman" w:hAnsi="Times New Roman" w:cs="Times New Roman"/>
          <w:kern w:val="0"/>
          <w:sz w:val="24"/>
          <w:szCs w:val="24"/>
          <w14:ligatures w14:val="none"/>
        </w:rPr>
      </w:pPr>
      <w:r w:rsidRPr="00A879C0">
        <w:rPr>
          <w:rFonts w:ascii="Times New Roman" w:hAnsi="Times New Roman" w:cs="Times New Roman"/>
          <w:b/>
          <w:bCs/>
          <w:kern w:val="0"/>
          <w:sz w:val="24"/>
          <w:szCs w:val="24"/>
          <w14:ligatures w14:val="none"/>
        </w:rPr>
        <w:t>Keywords:</w:t>
      </w:r>
      <w:r w:rsidRPr="00A879C0">
        <w:rPr>
          <w:rFonts w:ascii="Times New Roman" w:hAnsi="Times New Roman" w:cs="Times New Roman"/>
          <w:kern w:val="0"/>
          <w:sz w:val="24"/>
          <w:szCs w:val="24"/>
          <w14:ligatures w14:val="none"/>
        </w:rPr>
        <w:t xml:space="preserve"> Tenancy systems, Technical efficiency, Cost efficiency, Sharecropping, Land tenure, Jammu and Kashmir</w:t>
      </w:r>
    </w:p>
    <w:p w14:paraId="5FF2E18C" w14:textId="77777777" w:rsidR="00A879C0" w:rsidRPr="00A879C0" w:rsidRDefault="00A879C0" w:rsidP="00A879C0">
      <w:pPr>
        <w:spacing w:after="200" w:line="360" w:lineRule="auto"/>
        <w:jc w:val="both"/>
        <w:rPr>
          <w:rFonts w:ascii="Times New Roman" w:hAnsi="Times New Roman" w:cs="Times New Roman"/>
          <w:kern w:val="0"/>
          <w:sz w:val="24"/>
          <w:szCs w:val="24"/>
          <w14:ligatures w14:val="none"/>
        </w:rPr>
      </w:pPr>
      <w:r w:rsidRPr="00A879C0">
        <w:rPr>
          <w:rFonts w:ascii="Times New Roman" w:hAnsi="Times New Roman" w:cs="Times New Roman"/>
          <w:b/>
          <w:bCs/>
          <w:kern w:val="0"/>
          <w:sz w:val="24"/>
          <w:szCs w:val="24"/>
          <w14:ligatures w14:val="none"/>
        </w:rPr>
        <w:t>JEL Codes:</w:t>
      </w:r>
      <w:r w:rsidRPr="00A879C0">
        <w:rPr>
          <w:rFonts w:ascii="Times New Roman" w:hAnsi="Times New Roman" w:cs="Times New Roman"/>
          <w:kern w:val="0"/>
          <w:sz w:val="24"/>
          <w:szCs w:val="24"/>
          <w14:ligatures w14:val="none"/>
        </w:rPr>
        <w:t xml:space="preserve"> Q12, Q15, D24 </w:t>
      </w:r>
    </w:p>
    <w:p w14:paraId="03C3966C" w14:textId="77777777" w:rsidR="00A879C0" w:rsidRPr="00A879C0" w:rsidRDefault="00A879C0" w:rsidP="00A879C0">
      <w:pPr>
        <w:spacing w:after="200" w:line="276" w:lineRule="auto"/>
        <w:rPr>
          <w:kern w:val="0"/>
          <w:lang w:val="en-US"/>
          <w14:ligatures w14:val="none"/>
        </w:rPr>
      </w:pPr>
    </w:p>
    <w:p w14:paraId="7EEE075A" w14:textId="77777777" w:rsidR="00A879C0" w:rsidRDefault="00A879C0" w:rsidP="00F90BE1">
      <w:pPr>
        <w:jc w:val="both"/>
        <w:rPr>
          <w:rFonts w:ascii="Times New Roman" w:hAnsi="Times New Roman" w:cs="Times New Roman"/>
          <w:b/>
          <w:bCs/>
          <w:sz w:val="24"/>
          <w:szCs w:val="24"/>
          <w:lang w:val="en-US"/>
        </w:rPr>
      </w:pPr>
    </w:p>
    <w:p w14:paraId="1774445E" w14:textId="5BB30C5C" w:rsidR="00355744" w:rsidRPr="00F90BE1" w:rsidRDefault="00A879C0" w:rsidP="00F90BE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7A4501" w:rsidRPr="00F90BE1">
        <w:rPr>
          <w:rFonts w:ascii="Times New Roman" w:hAnsi="Times New Roman" w:cs="Times New Roman"/>
          <w:b/>
          <w:bCs/>
          <w:sz w:val="24"/>
          <w:szCs w:val="24"/>
          <w:lang w:val="en-US"/>
        </w:rPr>
        <w:t>Introduction</w:t>
      </w:r>
    </w:p>
    <w:p w14:paraId="412045A7" w14:textId="2835E196" w:rsidR="007A4501" w:rsidRPr="002050C1" w:rsidRDefault="007A4501" w:rsidP="002050C1">
      <w:pPr>
        <w:jc w:val="both"/>
        <w:rPr>
          <w:rFonts w:ascii="Times New Roman" w:hAnsi="Times New Roman" w:cs="Times New Roman"/>
          <w:sz w:val="24"/>
          <w:szCs w:val="24"/>
        </w:rPr>
      </w:pPr>
      <w:r w:rsidRPr="002050C1">
        <w:rPr>
          <w:rFonts w:ascii="Times New Roman" w:hAnsi="Times New Roman" w:cs="Times New Roman"/>
          <w:sz w:val="24"/>
          <w:szCs w:val="24"/>
        </w:rPr>
        <w:t>Agriculture is the foundation of rural lives in India, employing about half of the workforce and making important contributions to food security and rural welfare (Government of India, 2023). Within the agrarian structure, the system of land tenure is critical in determining agricultural performance, resource allocation, and general well-being of farming households</w:t>
      </w:r>
      <w:r w:rsidR="00403E0C" w:rsidRPr="002050C1">
        <w:rPr>
          <w:rFonts w:ascii="Times New Roman" w:hAnsi="Times New Roman" w:cs="Times New Roman"/>
          <w:sz w:val="24"/>
          <w:szCs w:val="24"/>
        </w:rPr>
        <w:t xml:space="preserve"> (Damodaran, 2021; Dagdeviren et al., 2023)</w:t>
      </w:r>
      <w:r w:rsidRPr="002050C1">
        <w:rPr>
          <w:rFonts w:ascii="Times New Roman" w:hAnsi="Times New Roman" w:cs="Times New Roman"/>
          <w:sz w:val="24"/>
          <w:szCs w:val="24"/>
        </w:rPr>
        <w:t>. Sharecropping, fixed renting, and owner-operation are three different types of cultivation contracts that influence farmers' incentives, investment behaviour, and efficiency</w:t>
      </w:r>
      <w:r w:rsidR="00403E0C" w:rsidRPr="002050C1">
        <w:rPr>
          <w:rFonts w:ascii="Times New Roman" w:hAnsi="Times New Roman" w:cs="Times New Roman"/>
          <w:sz w:val="24"/>
          <w:szCs w:val="24"/>
        </w:rPr>
        <w:t xml:space="preserve"> (Akber et al., 2024)</w:t>
      </w:r>
      <w:r w:rsidRPr="002050C1">
        <w:rPr>
          <w:rFonts w:ascii="Times New Roman" w:hAnsi="Times New Roman" w:cs="Times New Roman"/>
          <w:sz w:val="24"/>
          <w:szCs w:val="24"/>
        </w:rPr>
        <w:t>. Understanding the relative efficiency of these tenure systems is critical for policy interventions aiming at increasing productivity, equality, and sustainability in agriculture. Tenancy and efficiency debates in agrarian economics are not new in the field of agriculture and land tenancy</w:t>
      </w:r>
      <w:r w:rsidR="00403E0C" w:rsidRPr="002050C1">
        <w:rPr>
          <w:rFonts w:ascii="Times New Roman" w:hAnsi="Times New Roman" w:cs="Times New Roman"/>
          <w:sz w:val="24"/>
          <w:szCs w:val="24"/>
        </w:rPr>
        <w:t xml:space="preserve"> (</w:t>
      </w:r>
      <w:proofErr w:type="spellStart"/>
      <w:r w:rsidR="00403E0C" w:rsidRPr="002050C1">
        <w:rPr>
          <w:rFonts w:ascii="Times New Roman" w:hAnsi="Times New Roman" w:cs="Times New Roman"/>
          <w:sz w:val="24"/>
          <w:szCs w:val="24"/>
        </w:rPr>
        <w:t>Paltasingh</w:t>
      </w:r>
      <w:proofErr w:type="spellEnd"/>
      <w:r w:rsidR="00403E0C" w:rsidRPr="002050C1">
        <w:rPr>
          <w:rFonts w:ascii="Times New Roman" w:hAnsi="Times New Roman" w:cs="Times New Roman"/>
          <w:sz w:val="24"/>
          <w:szCs w:val="24"/>
        </w:rPr>
        <w:t xml:space="preserve"> et al., 2022)</w:t>
      </w:r>
      <w:r w:rsidRPr="002050C1">
        <w:rPr>
          <w:rFonts w:ascii="Times New Roman" w:hAnsi="Times New Roman" w:cs="Times New Roman"/>
          <w:sz w:val="24"/>
          <w:szCs w:val="24"/>
        </w:rPr>
        <w:t xml:space="preserve">. Marshall (1890) contended that sharecropping is intrinsically inefficient since tenants bear only a portion of the marginal </w:t>
      </w:r>
      <w:r w:rsidRPr="002050C1">
        <w:rPr>
          <w:rFonts w:ascii="Times New Roman" w:hAnsi="Times New Roman" w:cs="Times New Roman"/>
          <w:sz w:val="24"/>
          <w:szCs w:val="24"/>
        </w:rPr>
        <w:lastRenderedPageBreak/>
        <w:t xml:space="preserve">product of their </w:t>
      </w:r>
      <w:proofErr w:type="spellStart"/>
      <w:r w:rsidRPr="002050C1">
        <w:rPr>
          <w:rFonts w:ascii="Times New Roman" w:hAnsi="Times New Roman" w:cs="Times New Roman"/>
          <w:sz w:val="24"/>
          <w:szCs w:val="24"/>
        </w:rPr>
        <w:t>labor</w:t>
      </w:r>
      <w:proofErr w:type="spellEnd"/>
      <w:r w:rsidRPr="002050C1">
        <w:rPr>
          <w:rFonts w:ascii="Times New Roman" w:hAnsi="Times New Roman" w:cs="Times New Roman"/>
          <w:sz w:val="24"/>
          <w:szCs w:val="24"/>
        </w:rPr>
        <w:t xml:space="preserve">, resulting in underutilization of inputs this viewpoint known as the Marshallian inefficiency hypothesis. Later, Cheung (1969) argued that sharecropping might be efficient under perfect competition and comprehensive contracts. Empirical research conducted in India and other developing countries, however, have yielded varied results. Bardhan and Rudra (1980) and Shaban (1987) offered data to support Marshall's concept, although Binswanger and Rosenzweig (1986) and Otsuka and Hayami (1988) proposed that sharecropping can be a sensible reaction to risk and credit market defects. Owner-operators are generally considered more efficient, as they capture the full returns to their effort and investments, while fixed renters occupy an intermediate position where efficiency outcomes depend on rental terms, risk-sharing arrangements, and institutional conditions (Bell, 1977; Singh, 1989). Despite decades of debate, tenancy arrangements continue to exist, pointing to their socio-economic relevance and the contextual nature of efficiency outcomes. </w:t>
      </w:r>
    </w:p>
    <w:p w14:paraId="6BA665AD" w14:textId="4B02D53F" w:rsidR="00344E16" w:rsidRPr="002050C1" w:rsidRDefault="00344E16" w:rsidP="002050C1">
      <w:pPr>
        <w:jc w:val="both"/>
        <w:rPr>
          <w:rFonts w:ascii="Times New Roman" w:hAnsi="Times New Roman" w:cs="Times New Roman"/>
          <w:sz w:val="24"/>
          <w:szCs w:val="24"/>
        </w:rPr>
      </w:pPr>
      <w:r w:rsidRPr="002050C1">
        <w:rPr>
          <w:rFonts w:ascii="Times New Roman" w:hAnsi="Times New Roman" w:cs="Times New Roman"/>
          <w:sz w:val="24"/>
          <w:szCs w:val="24"/>
        </w:rPr>
        <w:t>Tenancy and land tenure have historically played an important role in Jammu and Kashmir (J&amp;K). The state is widely considered as a pioneer in land reform, having implemented one of India's most extreme redistribution plans</w:t>
      </w:r>
      <w:r w:rsidR="00826190" w:rsidRPr="002050C1">
        <w:rPr>
          <w:rFonts w:ascii="Times New Roman" w:hAnsi="Times New Roman" w:cs="Times New Roman"/>
          <w:sz w:val="24"/>
          <w:szCs w:val="24"/>
        </w:rPr>
        <w:t xml:space="preserve"> (Prasad, 2014)</w:t>
      </w:r>
      <w:r w:rsidRPr="002050C1">
        <w:rPr>
          <w:rFonts w:ascii="Times New Roman" w:hAnsi="Times New Roman" w:cs="Times New Roman"/>
          <w:sz w:val="24"/>
          <w:szCs w:val="24"/>
        </w:rPr>
        <w:t>. The Big Landed Estates Abolition Act of 1950 ended landlordism by imposing a 22.75-acre limit and giving excess land to landless cultivators</w:t>
      </w:r>
      <w:r w:rsidR="00826190" w:rsidRPr="002050C1">
        <w:rPr>
          <w:rFonts w:ascii="Times New Roman" w:hAnsi="Times New Roman" w:cs="Times New Roman"/>
          <w:sz w:val="24"/>
          <w:szCs w:val="24"/>
        </w:rPr>
        <w:t xml:space="preserve"> (Aslam, 1977)</w:t>
      </w:r>
      <w:r w:rsidRPr="002050C1">
        <w:rPr>
          <w:rFonts w:ascii="Times New Roman" w:hAnsi="Times New Roman" w:cs="Times New Roman"/>
          <w:sz w:val="24"/>
          <w:szCs w:val="24"/>
        </w:rPr>
        <w:t>. This was followed by the Agrarian Reforms Act of 1976, which further decreased limitations and gave ownership rights to actual tillers, particularly sharecroppers</w:t>
      </w:r>
      <w:r w:rsidR="00826190" w:rsidRPr="002050C1">
        <w:rPr>
          <w:rFonts w:ascii="Times New Roman" w:hAnsi="Times New Roman" w:cs="Times New Roman"/>
          <w:sz w:val="24"/>
          <w:szCs w:val="24"/>
        </w:rPr>
        <w:t xml:space="preserve"> which is locally known as </w:t>
      </w:r>
      <w:proofErr w:type="spellStart"/>
      <w:r w:rsidRPr="002050C1">
        <w:rPr>
          <w:rFonts w:ascii="Times New Roman" w:hAnsi="Times New Roman" w:cs="Times New Roman"/>
          <w:sz w:val="24"/>
          <w:szCs w:val="24"/>
        </w:rPr>
        <w:t>bataidars</w:t>
      </w:r>
      <w:proofErr w:type="spellEnd"/>
      <w:r w:rsidR="00826190" w:rsidRPr="002050C1">
        <w:rPr>
          <w:rFonts w:ascii="Times New Roman" w:hAnsi="Times New Roman" w:cs="Times New Roman"/>
          <w:sz w:val="24"/>
          <w:szCs w:val="24"/>
        </w:rPr>
        <w:t xml:space="preserve"> (Singh, 2004)</w:t>
      </w:r>
      <w:r w:rsidRPr="002050C1">
        <w:rPr>
          <w:rFonts w:ascii="Times New Roman" w:hAnsi="Times New Roman" w:cs="Times New Roman"/>
          <w:sz w:val="24"/>
          <w:szCs w:val="24"/>
        </w:rPr>
        <w:t>. These changes undermined the control of feudal landowners, empowered peasants, and enhanced equality in land distribution, giving J&amp;K the reputation of executing one of the most progressive "land to the tiller" programs in the country</w:t>
      </w:r>
      <w:r w:rsidR="00826190" w:rsidRPr="002050C1">
        <w:rPr>
          <w:rFonts w:ascii="Times New Roman" w:hAnsi="Times New Roman" w:cs="Times New Roman"/>
          <w:sz w:val="24"/>
          <w:szCs w:val="24"/>
        </w:rPr>
        <w:t xml:space="preserve"> (Hamdani, 2016)</w:t>
      </w:r>
      <w:r w:rsidRPr="002050C1">
        <w:rPr>
          <w:rFonts w:ascii="Times New Roman" w:hAnsi="Times New Roman" w:cs="Times New Roman"/>
          <w:sz w:val="24"/>
          <w:szCs w:val="24"/>
        </w:rPr>
        <w:t>. However, the long-term outcomes of these reforms also included challenges such as land fragmentation, disguised tenancy, and limited capital investment, which constrained agricultural productivity and efficiency in subsequent decades</w:t>
      </w:r>
      <w:r w:rsidR="00826190" w:rsidRPr="002050C1">
        <w:rPr>
          <w:rFonts w:ascii="Times New Roman" w:hAnsi="Times New Roman" w:cs="Times New Roman"/>
          <w:sz w:val="24"/>
          <w:szCs w:val="24"/>
        </w:rPr>
        <w:t xml:space="preserve"> (</w:t>
      </w:r>
      <w:r w:rsidR="003B1B4F" w:rsidRPr="002050C1">
        <w:rPr>
          <w:rFonts w:ascii="Times New Roman" w:hAnsi="Times New Roman" w:cs="Times New Roman"/>
          <w:sz w:val="24"/>
          <w:szCs w:val="24"/>
        </w:rPr>
        <w:t>Swaminathan, 2022)</w:t>
      </w:r>
      <w:r w:rsidRPr="002050C1">
        <w:rPr>
          <w:rFonts w:ascii="Times New Roman" w:hAnsi="Times New Roman" w:cs="Times New Roman"/>
          <w:sz w:val="24"/>
          <w:szCs w:val="24"/>
        </w:rPr>
        <w:t xml:space="preserve">. Agriculture has traditionally played an important role in the economy of Jammu and </w:t>
      </w:r>
      <w:proofErr w:type="gramStart"/>
      <w:r w:rsidRPr="002050C1">
        <w:rPr>
          <w:rFonts w:ascii="Times New Roman" w:hAnsi="Times New Roman" w:cs="Times New Roman"/>
          <w:sz w:val="24"/>
          <w:szCs w:val="24"/>
        </w:rPr>
        <w:t>Kashmir,</w:t>
      </w:r>
      <w:proofErr w:type="gramEnd"/>
      <w:r w:rsidRPr="002050C1">
        <w:rPr>
          <w:rFonts w:ascii="Times New Roman" w:hAnsi="Times New Roman" w:cs="Times New Roman"/>
          <w:sz w:val="24"/>
          <w:szCs w:val="24"/>
        </w:rPr>
        <w:t xml:space="preserve"> however its contribution has decreased over time</w:t>
      </w:r>
      <w:r w:rsidR="003B1B4F" w:rsidRPr="002050C1">
        <w:rPr>
          <w:rFonts w:ascii="Times New Roman" w:hAnsi="Times New Roman" w:cs="Times New Roman"/>
          <w:sz w:val="24"/>
          <w:szCs w:val="24"/>
        </w:rPr>
        <w:t xml:space="preserve"> (</w:t>
      </w:r>
      <w:proofErr w:type="spellStart"/>
      <w:r w:rsidR="003B1B4F" w:rsidRPr="002050C1">
        <w:rPr>
          <w:rFonts w:ascii="Times New Roman" w:hAnsi="Times New Roman" w:cs="Times New Roman"/>
          <w:sz w:val="24"/>
          <w:szCs w:val="24"/>
        </w:rPr>
        <w:t>Romshoo</w:t>
      </w:r>
      <w:proofErr w:type="spellEnd"/>
      <w:r w:rsidR="003B1B4F" w:rsidRPr="002050C1">
        <w:rPr>
          <w:rFonts w:ascii="Times New Roman" w:hAnsi="Times New Roman" w:cs="Times New Roman"/>
          <w:sz w:val="24"/>
          <w:szCs w:val="24"/>
        </w:rPr>
        <w:t xml:space="preserve"> et al., 2020).</w:t>
      </w:r>
      <w:r w:rsidRPr="002050C1">
        <w:rPr>
          <w:rFonts w:ascii="Times New Roman" w:hAnsi="Times New Roman" w:cs="Times New Roman"/>
          <w:sz w:val="24"/>
          <w:szCs w:val="24"/>
        </w:rPr>
        <w:t xml:space="preserve"> While the industry contributed for more than 60% of the Gross State Domestic Product (GSDP) in the 1950s, it is presently only 16-18% (Government of Jammu and Kashmir, 2022). Nonetheless, it remains the principal source of income for about half of the state's population, demonstrating substantial dependency despite structural changes. </w:t>
      </w:r>
      <w:r w:rsidR="0049568D" w:rsidRPr="002050C1">
        <w:rPr>
          <w:rFonts w:ascii="Times New Roman" w:hAnsi="Times New Roman" w:cs="Times New Roman"/>
          <w:sz w:val="24"/>
          <w:szCs w:val="24"/>
        </w:rPr>
        <w:t>Moreover, t</w:t>
      </w:r>
      <w:r w:rsidRPr="002050C1">
        <w:rPr>
          <w:rFonts w:ascii="Times New Roman" w:hAnsi="Times New Roman" w:cs="Times New Roman"/>
          <w:sz w:val="24"/>
          <w:szCs w:val="24"/>
        </w:rPr>
        <w:t>he region is distinguished by tiny and fragmented holdings, inadequate automation, and reliance on traditional cereal crops such as rice, maize, and wheat</w:t>
      </w:r>
      <w:r w:rsidR="0049568D" w:rsidRPr="002050C1">
        <w:rPr>
          <w:rFonts w:ascii="Times New Roman" w:hAnsi="Times New Roman" w:cs="Times New Roman"/>
          <w:sz w:val="24"/>
          <w:szCs w:val="24"/>
        </w:rPr>
        <w:t xml:space="preserve"> and a</w:t>
      </w:r>
      <w:r w:rsidRPr="002050C1">
        <w:rPr>
          <w:rFonts w:ascii="Times New Roman" w:hAnsi="Times New Roman" w:cs="Times New Roman"/>
          <w:sz w:val="24"/>
          <w:szCs w:val="24"/>
        </w:rPr>
        <w:t>t the same time, horticulture has emerged as a major growth driver, with apples, saffron, walnuts, and basmati rice from Jammu making important contributions to household earnings and exports</w:t>
      </w:r>
      <w:r w:rsidR="0049568D" w:rsidRPr="002050C1">
        <w:rPr>
          <w:rFonts w:ascii="Times New Roman" w:hAnsi="Times New Roman" w:cs="Times New Roman"/>
          <w:sz w:val="24"/>
          <w:szCs w:val="24"/>
        </w:rPr>
        <w:t xml:space="preserve"> (Sharma, 2007)</w:t>
      </w:r>
      <w:r w:rsidRPr="002050C1">
        <w:rPr>
          <w:rFonts w:ascii="Times New Roman" w:hAnsi="Times New Roman" w:cs="Times New Roman"/>
          <w:sz w:val="24"/>
          <w:szCs w:val="24"/>
        </w:rPr>
        <w:t>. However, the sector's overall growth rate has been modest, averaging around 2-3% yearly in recent years, that is considerably lower than the national agricultural average</w:t>
      </w:r>
      <w:r w:rsidR="0049568D" w:rsidRPr="002050C1">
        <w:rPr>
          <w:rFonts w:ascii="Times New Roman" w:hAnsi="Times New Roman" w:cs="Times New Roman"/>
          <w:sz w:val="24"/>
          <w:szCs w:val="24"/>
        </w:rPr>
        <w:t xml:space="preserve"> </w:t>
      </w:r>
      <w:r w:rsidR="0049568D" w:rsidRPr="002050C1">
        <w:rPr>
          <w:rFonts w:ascii="Times New Roman" w:hAnsi="Times New Roman" w:cs="Times New Roman"/>
          <w:color w:val="000000" w:themeColor="text1"/>
          <w:sz w:val="24"/>
          <w:szCs w:val="24"/>
        </w:rPr>
        <w:t>(Directorate of Economics and Statistics, Jammu and Kashmir, 2020)</w:t>
      </w:r>
      <w:r w:rsidRPr="002050C1">
        <w:rPr>
          <w:rFonts w:ascii="Times New Roman" w:hAnsi="Times New Roman" w:cs="Times New Roman"/>
          <w:sz w:val="24"/>
          <w:szCs w:val="24"/>
        </w:rPr>
        <w:t xml:space="preserve">. </w:t>
      </w:r>
      <w:r w:rsidR="0049568D" w:rsidRPr="002050C1">
        <w:rPr>
          <w:rFonts w:ascii="Times New Roman" w:hAnsi="Times New Roman" w:cs="Times New Roman"/>
          <w:sz w:val="24"/>
          <w:szCs w:val="24"/>
        </w:rPr>
        <w:t>Also, p</w:t>
      </w:r>
      <w:r w:rsidRPr="002050C1">
        <w:rPr>
          <w:rFonts w:ascii="Times New Roman" w:hAnsi="Times New Roman" w:cs="Times New Roman"/>
          <w:sz w:val="24"/>
          <w:szCs w:val="24"/>
        </w:rPr>
        <w:t xml:space="preserve">roductivity </w:t>
      </w:r>
      <w:r w:rsidR="0049568D" w:rsidRPr="002050C1">
        <w:rPr>
          <w:rFonts w:ascii="Times New Roman" w:hAnsi="Times New Roman" w:cs="Times New Roman"/>
          <w:sz w:val="24"/>
          <w:szCs w:val="24"/>
        </w:rPr>
        <w:t>remain in destituted state</w:t>
      </w:r>
      <w:r w:rsidRPr="002050C1">
        <w:rPr>
          <w:rFonts w:ascii="Times New Roman" w:hAnsi="Times New Roman" w:cs="Times New Roman"/>
          <w:sz w:val="24"/>
          <w:szCs w:val="24"/>
        </w:rPr>
        <w:t xml:space="preserve"> due to fragmented landholdings, concealed tenancy, insufficient irrigation </w:t>
      </w:r>
      <w:r w:rsidR="003B1B4F" w:rsidRPr="002050C1">
        <w:rPr>
          <w:rFonts w:ascii="Times New Roman" w:hAnsi="Times New Roman" w:cs="Times New Roman"/>
          <w:sz w:val="24"/>
          <w:szCs w:val="24"/>
        </w:rPr>
        <w:t>uses</w:t>
      </w:r>
      <w:r w:rsidRPr="002050C1">
        <w:rPr>
          <w:rFonts w:ascii="Times New Roman" w:hAnsi="Times New Roman" w:cs="Times New Roman"/>
          <w:sz w:val="24"/>
          <w:szCs w:val="24"/>
        </w:rPr>
        <w:t xml:space="preserve"> despite rich water resources, and increased vulnerability to climate variability such as irregular rainfall, floods, and droughts</w:t>
      </w:r>
      <w:r w:rsidR="0049568D" w:rsidRPr="002050C1">
        <w:rPr>
          <w:rFonts w:ascii="Times New Roman" w:hAnsi="Times New Roman" w:cs="Times New Roman"/>
          <w:sz w:val="24"/>
          <w:szCs w:val="24"/>
        </w:rPr>
        <w:t xml:space="preserve"> (Raina &amp; Sharma, 2021)</w:t>
      </w:r>
      <w:r w:rsidRPr="002050C1">
        <w:rPr>
          <w:rFonts w:ascii="Times New Roman" w:hAnsi="Times New Roman" w:cs="Times New Roman"/>
          <w:sz w:val="24"/>
          <w:szCs w:val="24"/>
        </w:rPr>
        <w:t xml:space="preserve">. </w:t>
      </w:r>
    </w:p>
    <w:p w14:paraId="0F7542B1" w14:textId="77777777" w:rsidR="00344E16" w:rsidRPr="002050C1" w:rsidRDefault="00344E16"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Given this historical and contemporary background, the efficacy of various tenure systems in Jammu and Kashmir is especially important. Although land reforms tried to remove tenancy, sharecropping and informal leasing systems persisted in disguised forms. Owner-operators cohabit with fixed renters and sharecroppers, each with their own incentive structures, risks, and resources. Understanding how these arrangements affect efficiency is critical for </w:t>
      </w:r>
      <w:r w:rsidRPr="002050C1">
        <w:rPr>
          <w:rFonts w:ascii="Times New Roman" w:hAnsi="Times New Roman" w:cs="Times New Roman"/>
          <w:sz w:val="24"/>
          <w:szCs w:val="24"/>
        </w:rPr>
        <w:lastRenderedPageBreak/>
        <w:t>identifying bottlenecks in agricultural productivity and developing evidence-based policy solutions.</w:t>
      </w:r>
    </w:p>
    <w:p w14:paraId="152F98B4" w14:textId="11EE465F" w:rsidR="00344E16"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Despite extensive debates on tenancy and efficiency at the global and national levels, region-specific empirical studies from J&amp;K remain scarce. Most existing literature on tenancy in India has concentrated on states with high tenancy prevalence, such as West Bengal, Bihar, and Andhra Pradesh (Bardhan &amp; Rudra, 1980; Shaban, 1987). In contrast, J&amp;K has received limited attention, with studies often focusing on historical land reforms rather than comparative efficiency analysis. Furthermore, contemporary challenges such as climate variability, declining productivity, and the need for sustainable resource management remain underexplored in the tenancy literature for this region. In the previous perspective, this study is an effort to bridge the gap in existing literature</w:t>
      </w:r>
      <w:r w:rsidR="00403E0C" w:rsidRPr="002050C1">
        <w:rPr>
          <w:rFonts w:ascii="Times New Roman" w:hAnsi="Times New Roman" w:cs="Times New Roman"/>
          <w:sz w:val="24"/>
          <w:szCs w:val="24"/>
        </w:rPr>
        <w:t xml:space="preserve"> by estimating comparative efficiency among sharecroppers, fixed renters and owner operators. </w:t>
      </w:r>
    </w:p>
    <w:p w14:paraId="3FDC8C72" w14:textId="77777777" w:rsidR="00E01AFC"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Objectives of the Study</w:t>
      </w:r>
    </w:p>
    <w:p w14:paraId="0B04C56A" w14:textId="77777777" w:rsidR="00E01AFC" w:rsidRPr="002050C1" w:rsidRDefault="00E01AFC" w:rsidP="002050C1">
      <w:pPr>
        <w:jc w:val="both"/>
        <w:rPr>
          <w:rFonts w:ascii="Times New Roman" w:hAnsi="Times New Roman" w:cs="Times New Roman"/>
          <w:sz w:val="24"/>
          <w:szCs w:val="24"/>
        </w:rPr>
      </w:pPr>
      <w:r w:rsidRPr="002050C1">
        <w:rPr>
          <w:rFonts w:ascii="Times New Roman" w:hAnsi="Times New Roman" w:cs="Times New Roman"/>
          <w:sz w:val="24"/>
          <w:szCs w:val="24"/>
        </w:rPr>
        <w:t>This study is designed to empirically estimate and compare the efficiency of sharecroppers, owner-operators, and fixed renters in selected districts of Jammu division. Specifically, the objectives are:</w:t>
      </w:r>
    </w:p>
    <w:p w14:paraId="5116185F" w14:textId="77777777" w:rsidR="00E01AFC" w:rsidRPr="002050C1" w:rsidRDefault="00E01AFC" w:rsidP="002050C1">
      <w:pPr>
        <w:numPr>
          <w:ilvl w:val="0"/>
          <w:numId w:val="1"/>
        </w:numPr>
        <w:jc w:val="both"/>
        <w:rPr>
          <w:rFonts w:ascii="Times New Roman" w:hAnsi="Times New Roman" w:cs="Times New Roman"/>
          <w:sz w:val="24"/>
          <w:szCs w:val="24"/>
        </w:rPr>
      </w:pPr>
      <w:r w:rsidRPr="002050C1">
        <w:rPr>
          <w:rFonts w:ascii="Times New Roman" w:hAnsi="Times New Roman" w:cs="Times New Roman"/>
          <w:sz w:val="24"/>
          <w:szCs w:val="24"/>
        </w:rPr>
        <w:t>To assess the technical, allocative, and cost efficiency of farmers under different tenure arrangements.</w:t>
      </w:r>
    </w:p>
    <w:p w14:paraId="57B1DC70" w14:textId="77777777" w:rsidR="00E01AFC" w:rsidRPr="002050C1" w:rsidRDefault="00E01AFC" w:rsidP="002050C1">
      <w:pPr>
        <w:numPr>
          <w:ilvl w:val="0"/>
          <w:numId w:val="1"/>
        </w:numPr>
        <w:jc w:val="both"/>
        <w:rPr>
          <w:rFonts w:ascii="Times New Roman" w:hAnsi="Times New Roman" w:cs="Times New Roman"/>
          <w:sz w:val="24"/>
          <w:szCs w:val="24"/>
        </w:rPr>
      </w:pPr>
      <w:r w:rsidRPr="002050C1">
        <w:rPr>
          <w:rFonts w:ascii="Times New Roman" w:hAnsi="Times New Roman" w:cs="Times New Roman"/>
          <w:sz w:val="24"/>
          <w:szCs w:val="24"/>
        </w:rPr>
        <w:t>To compare the relative efficiency of sharecroppers, owner-operators, and fixed renters, and to test the validity of the Marshallian inefficiency hypothesis in the context of J&amp;K.</w:t>
      </w:r>
    </w:p>
    <w:p w14:paraId="6C88C999" w14:textId="77777777" w:rsidR="00403E0C" w:rsidRPr="002050C1" w:rsidRDefault="00403E0C" w:rsidP="002050C1">
      <w:pPr>
        <w:jc w:val="both"/>
        <w:rPr>
          <w:rFonts w:ascii="Times New Roman" w:hAnsi="Times New Roman" w:cs="Times New Roman"/>
          <w:sz w:val="24"/>
          <w:szCs w:val="24"/>
        </w:rPr>
      </w:pPr>
      <w:r w:rsidRPr="002050C1">
        <w:rPr>
          <w:rFonts w:ascii="Times New Roman" w:hAnsi="Times New Roman" w:cs="Times New Roman"/>
          <w:sz w:val="24"/>
          <w:szCs w:val="24"/>
        </w:rPr>
        <w:t>By addressing these objectives, the study adds to the wider academic discussion on tenancy and efficiency, while also providing region-specific recommendations for tenancy regulation, land-use policy, and rural development initiatives in Jammu and Kashmir.</w:t>
      </w:r>
    </w:p>
    <w:p w14:paraId="69D2F982" w14:textId="15E20B36" w:rsidR="00344E16" w:rsidRPr="00A879C0" w:rsidRDefault="00A879C0" w:rsidP="002050C1">
      <w:pPr>
        <w:jc w:val="both"/>
        <w:rPr>
          <w:rFonts w:ascii="Times New Roman" w:hAnsi="Times New Roman" w:cs="Times New Roman"/>
          <w:b/>
          <w:bCs/>
          <w:sz w:val="24"/>
          <w:szCs w:val="24"/>
        </w:rPr>
      </w:pPr>
      <w:r w:rsidRPr="00A879C0">
        <w:rPr>
          <w:rFonts w:ascii="Times New Roman" w:hAnsi="Times New Roman" w:cs="Times New Roman"/>
          <w:b/>
          <w:bCs/>
          <w:sz w:val="24"/>
          <w:szCs w:val="24"/>
        </w:rPr>
        <w:t>2.</w:t>
      </w:r>
      <w:r w:rsidR="00812DA9" w:rsidRPr="00A879C0">
        <w:rPr>
          <w:rFonts w:ascii="Times New Roman" w:hAnsi="Times New Roman" w:cs="Times New Roman"/>
          <w:b/>
          <w:bCs/>
          <w:sz w:val="24"/>
          <w:szCs w:val="24"/>
        </w:rPr>
        <w:t>Review of Literature</w:t>
      </w:r>
    </w:p>
    <w:p w14:paraId="68FCC3BD" w14:textId="0F7EA943" w:rsidR="00812DA9"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(a) </w:t>
      </w:r>
      <w:r w:rsidR="00812DA9" w:rsidRPr="002050C1">
        <w:rPr>
          <w:rFonts w:ascii="Times New Roman" w:hAnsi="Times New Roman" w:cs="Times New Roman"/>
          <w:sz w:val="24"/>
          <w:szCs w:val="24"/>
        </w:rPr>
        <w:t>Theoretical Perspectives on Tenancy and Efficiency</w:t>
      </w:r>
    </w:p>
    <w:p w14:paraId="765003BC" w14:textId="5128BD96" w:rsidR="0019231A" w:rsidRPr="002050C1" w:rsidRDefault="00D665D6" w:rsidP="002050C1">
      <w:pPr>
        <w:jc w:val="both"/>
        <w:rPr>
          <w:rFonts w:ascii="Times New Roman" w:hAnsi="Times New Roman" w:cs="Times New Roman"/>
          <w:color w:val="000000" w:themeColor="text1"/>
          <w:sz w:val="24"/>
          <w:szCs w:val="24"/>
        </w:rPr>
      </w:pPr>
      <w:r w:rsidRPr="002050C1">
        <w:rPr>
          <w:rFonts w:ascii="Times New Roman" w:hAnsi="Times New Roman" w:cs="Times New Roman"/>
          <w:sz w:val="24"/>
          <w:szCs w:val="24"/>
        </w:rPr>
        <w:t xml:space="preserve">The debate on tenancy and agricultural efficiency has deep roots in agrarian economics. The </w:t>
      </w:r>
      <w:r w:rsidRPr="002050C1">
        <w:rPr>
          <w:rFonts w:ascii="Times New Roman" w:hAnsi="Times New Roman" w:cs="Times New Roman"/>
          <w:i/>
          <w:iCs/>
          <w:sz w:val="24"/>
          <w:szCs w:val="24"/>
        </w:rPr>
        <w:t>Marshallian inefficiency hypothesis</w:t>
      </w:r>
      <w:r w:rsidRPr="002050C1">
        <w:rPr>
          <w:rFonts w:ascii="Times New Roman" w:hAnsi="Times New Roman" w:cs="Times New Roman"/>
          <w:sz w:val="24"/>
          <w:szCs w:val="24"/>
        </w:rPr>
        <w:t xml:space="preserve"> (Marshall, 1890) posits that sharecropping is inherently inefficient, as tenants only receive a fraction of the marginal product of their effort, leading to reduced input application and underproduction. Cheung (1969), however, challenged this view, arguing that share tenancy could be efficient if contracts are complete and markets are competitive. Later contributions, such as Stiglitz (1974) and Newbery (1977), highlighted the role of risk-sharing and market imperfections, suggesting that sharecropping may persist as a rational institutional arrangement in uncertain environments. These theoretical contributions laid the foundation for empirical debates on whether sharecropping is necessarily inefficient, or contextually efficient depending on socio-economic and institutional factors. </w:t>
      </w:r>
      <w:r w:rsidRPr="002050C1">
        <w:rPr>
          <w:rFonts w:ascii="Times New Roman" w:hAnsi="Times New Roman" w:cs="Times New Roman"/>
          <w:color w:val="000000" w:themeColor="text1"/>
          <w:sz w:val="24"/>
          <w:szCs w:val="24"/>
        </w:rPr>
        <w:t xml:space="preserve">Studies like Bell (1977), Dobbs and Foster (1972), Goswami (2015), </w:t>
      </w:r>
      <w:proofErr w:type="spellStart"/>
      <w:r w:rsidRPr="002050C1">
        <w:rPr>
          <w:rFonts w:ascii="Times New Roman" w:hAnsi="Times New Roman" w:cs="Times New Roman"/>
          <w:color w:val="000000" w:themeColor="text1"/>
          <w:sz w:val="24"/>
          <w:szCs w:val="24"/>
        </w:rPr>
        <w:t>Paltasingh</w:t>
      </w:r>
      <w:proofErr w:type="spellEnd"/>
      <w:r w:rsidRPr="002050C1">
        <w:rPr>
          <w:rFonts w:ascii="Times New Roman" w:hAnsi="Times New Roman" w:cs="Times New Roman"/>
          <w:color w:val="000000" w:themeColor="text1"/>
          <w:sz w:val="24"/>
          <w:szCs w:val="24"/>
        </w:rPr>
        <w:t xml:space="preserve"> (2018) and so on supported the </w:t>
      </w:r>
      <w:proofErr w:type="spellStart"/>
      <w:r w:rsidRPr="002050C1">
        <w:rPr>
          <w:rFonts w:ascii="Times New Roman" w:hAnsi="Times New Roman" w:cs="Times New Roman"/>
          <w:color w:val="000000" w:themeColor="text1"/>
          <w:sz w:val="24"/>
          <w:szCs w:val="24"/>
        </w:rPr>
        <w:t>marshallian</w:t>
      </w:r>
      <w:proofErr w:type="spellEnd"/>
      <w:r w:rsidRPr="002050C1">
        <w:rPr>
          <w:rFonts w:ascii="Times New Roman" w:hAnsi="Times New Roman" w:cs="Times New Roman"/>
          <w:color w:val="000000" w:themeColor="text1"/>
          <w:sz w:val="24"/>
          <w:szCs w:val="24"/>
        </w:rPr>
        <w:t xml:space="preserve"> school of thought. On the opposite side studies like Chattopadhyay and Sarkar (1997), Chattopadhyay and Sengupta (2001) have found the contradicting results to </w:t>
      </w:r>
      <w:proofErr w:type="spellStart"/>
      <w:r w:rsidRPr="002050C1">
        <w:rPr>
          <w:rFonts w:ascii="Times New Roman" w:hAnsi="Times New Roman" w:cs="Times New Roman"/>
          <w:color w:val="000000" w:themeColor="text1"/>
          <w:sz w:val="24"/>
          <w:szCs w:val="24"/>
        </w:rPr>
        <w:t>marshallian</w:t>
      </w:r>
      <w:proofErr w:type="spellEnd"/>
      <w:r w:rsidRPr="002050C1">
        <w:rPr>
          <w:rFonts w:ascii="Times New Roman" w:hAnsi="Times New Roman" w:cs="Times New Roman"/>
          <w:color w:val="000000" w:themeColor="text1"/>
          <w:sz w:val="24"/>
          <w:szCs w:val="24"/>
        </w:rPr>
        <w:t xml:space="preserve"> inefficiency hypothesis. Empirical findings on sharecropping efficiency have been mixed across countries and contexts. Bardhan and Rudra (1980) and Shaban (1987), using village-level data in India, provided evidence supporting the Marshallian inefficiency hypothesis, showing that sharecroppers tend to use fewer inputs and achieve lower productivity </w:t>
      </w:r>
      <w:r w:rsidRPr="002050C1">
        <w:rPr>
          <w:rFonts w:ascii="Times New Roman" w:hAnsi="Times New Roman" w:cs="Times New Roman"/>
          <w:color w:val="000000" w:themeColor="text1"/>
          <w:sz w:val="24"/>
          <w:szCs w:val="24"/>
        </w:rPr>
        <w:lastRenderedPageBreak/>
        <w:t xml:space="preserve">compared to owner-operators. Conversely, Otsuka and Hayami (1988) and Binswanger and Rosenzweig (1986) demonstrated that share tenancy may function efficiently in contexts where credit, insurance, and </w:t>
      </w:r>
      <w:proofErr w:type="spellStart"/>
      <w:r w:rsidRPr="002050C1">
        <w:rPr>
          <w:rFonts w:ascii="Times New Roman" w:hAnsi="Times New Roman" w:cs="Times New Roman"/>
          <w:color w:val="000000" w:themeColor="text1"/>
          <w:sz w:val="24"/>
          <w:szCs w:val="24"/>
        </w:rPr>
        <w:t>labor</w:t>
      </w:r>
      <w:proofErr w:type="spellEnd"/>
      <w:r w:rsidRPr="002050C1">
        <w:rPr>
          <w:rFonts w:ascii="Times New Roman" w:hAnsi="Times New Roman" w:cs="Times New Roman"/>
          <w:color w:val="000000" w:themeColor="text1"/>
          <w:sz w:val="24"/>
          <w:szCs w:val="24"/>
        </w:rPr>
        <w:t xml:space="preserve"> markets are imperfect. Evidence from other developing countries, such as Africa and Southeast Asia, further highlights that sharecropping is not uniformly inefficient, but often adapts to institutional and environmental constraints (Otsuka, 2007).</w:t>
      </w:r>
    </w:p>
    <w:p w14:paraId="77196DC7" w14:textId="24CD09FF" w:rsidR="00D665D6" w:rsidRPr="002050C1" w:rsidRDefault="00A879C0" w:rsidP="002050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D665D6" w:rsidRPr="002050C1">
        <w:rPr>
          <w:rFonts w:ascii="Times New Roman" w:hAnsi="Times New Roman" w:cs="Times New Roman"/>
          <w:color w:val="000000" w:themeColor="text1"/>
          <w:sz w:val="24"/>
          <w:szCs w:val="24"/>
        </w:rPr>
        <w:t>Comparative Efficiency of Owner-Operators, Fixed Renters, and Sharecroppers</w:t>
      </w:r>
    </w:p>
    <w:p w14:paraId="08E17E0E" w14:textId="77777777"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According to comparative studies, owner-operators are generally more technically and economically efficient because they have better incentives for long-term investment and land protection (Bell, 1977; Singh, 1989). Fixed renters often outperform sharecroppers, but they may encounter obstacles due to expensive rent, risk exposure, and a lack of long-term security (Ray &amp; Singh, 2001). In contrast, sharecroppers frequently face lesser incentives to invest in productivity-enhancing technologies, which supports Marshall's claim. However, in risk-prone contexts, sharecropping's risk-sharing nature may provide resilience, explaining its survival despite perceived inefficiencies (Stiglitz, 1974; Otsuka and Hayami, 1988). Thus, efficiency outcomes are very context-dependent and influenced by institutional factors, tenancy regulations, and market flaws.</w:t>
      </w:r>
    </w:p>
    <w:p w14:paraId="062CB25A" w14:textId="758B1FE2" w:rsidR="00D665D6"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(c) </w:t>
      </w:r>
      <w:r w:rsidR="00D665D6" w:rsidRPr="002050C1">
        <w:rPr>
          <w:rFonts w:ascii="Times New Roman" w:hAnsi="Times New Roman" w:cs="Times New Roman"/>
          <w:sz w:val="24"/>
          <w:szCs w:val="24"/>
        </w:rPr>
        <w:t>Tenancy and Land Reforms in India and Jammu and Kashmir (J&amp;K)</w:t>
      </w:r>
    </w:p>
    <w:p w14:paraId="1BAB1C48" w14:textId="5F3C4249"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India’s post-independence land reform agenda aimed at redistributing land, securing tenancy rights, and abolishing exploitative agrarian relations. States such as West Bengal, Andhra Pradesh, and Bihar witnessed extensive debates on tenancy regulation and land reforms, with evidence suggesting that land redistribution and tenancy security improved productivity and equity (Bardhan &amp; Rudra, 1986; Banerjee</w:t>
      </w:r>
      <w:r w:rsidR="009E07FC" w:rsidRPr="002050C1">
        <w:rPr>
          <w:rFonts w:ascii="Times New Roman" w:hAnsi="Times New Roman" w:cs="Times New Roman"/>
          <w:sz w:val="24"/>
          <w:szCs w:val="24"/>
        </w:rPr>
        <w:t xml:space="preserve"> et al.</w:t>
      </w:r>
      <w:r w:rsidRPr="002050C1">
        <w:rPr>
          <w:rFonts w:ascii="Times New Roman" w:hAnsi="Times New Roman" w:cs="Times New Roman"/>
          <w:sz w:val="24"/>
          <w:szCs w:val="24"/>
        </w:rPr>
        <w:t xml:space="preserve">, 2002). Jammu and Kashmir, in particular, implemented some of the most radical land reforms in the country, with the Big Landed Estates Abolition Act (1950) and Agrarian Reforms Act (1976), which conferred ownership to tillers and reduced landlordism (Bose, 1989). While these reforms improved equity, their long-term effect on efficiency remains contested due to fragmentation, disguised tenancy, and limited investment in agriculture (Prasad, 2014). </w:t>
      </w:r>
    </w:p>
    <w:p w14:paraId="029880FB" w14:textId="58A8E80B" w:rsidR="00D665D6" w:rsidRPr="002050C1" w:rsidRDefault="00D665D6" w:rsidP="002050C1">
      <w:pPr>
        <w:jc w:val="both"/>
        <w:rPr>
          <w:rFonts w:ascii="Times New Roman" w:hAnsi="Times New Roman" w:cs="Times New Roman"/>
          <w:sz w:val="24"/>
          <w:szCs w:val="24"/>
        </w:rPr>
      </w:pPr>
      <w:r w:rsidRPr="002050C1">
        <w:rPr>
          <w:rFonts w:ascii="Times New Roman" w:hAnsi="Times New Roman" w:cs="Times New Roman"/>
          <w:sz w:val="24"/>
          <w:szCs w:val="24"/>
        </w:rPr>
        <w:t>Despite the importance of tenancy and land reforms in J&amp;K, region-specific empirical research on efficiency remains scarce. Most existing studies on tenancy in India focus on states with high tenancy prevalence, leaving J&amp;K underexplored in terms of comparative efficiency outcomes. Moreover, while historical accounts document the success of land-to-the-tiller reforms in improving equity (Bose, 1989), little empirical evidence is available on how sharecroppers, fixed renters, and owner-operators perform in contemporary agricultural settings in J&amp;K. The state’s unique climatic conditions, dependence on high-value horticulture, and vulnerability to climate change further make it a distinct case for investigation. This research seeks to fill this gap by providing empirical evidence on efficiency differentials across tenure arrangements in Jammu division.</w:t>
      </w:r>
    </w:p>
    <w:p w14:paraId="53E7DFFB" w14:textId="6A776999" w:rsidR="00721DA2"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(d) </w:t>
      </w:r>
      <w:r w:rsidR="00721DA2" w:rsidRPr="002050C1">
        <w:rPr>
          <w:rFonts w:ascii="Times New Roman" w:hAnsi="Times New Roman" w:cs="Times New Roman"/>
          <w:sz w:val="24"/>
          <w:szCs w:val="24"/>
        </w:rPr>
        <w:t>Empirical Approaches</w:t>
      </w:r>
    </w:p>
    <w:p w14:paraId="0188862A" w14:textId="77777777" w:rsidR="00721DA2" w:rsidRPr="002050C1" w:rsidRDefault="00721DA2" w:rsidP="002050C1">
      <w:pPr>
        <w:jc w:val="both"/>
        <w:rPr>
          <w:rFonts w:ascii="Times New Roman" w:hAnsi="Times New Roman" w:cs="Times New Roman"/>
          <w:sz w:val="24"/>
          <w:szCs w:val="24"/>
        </w:rPr>
      </w:pPr>
      <w:r w:rsidRPr="002050C1">
        <w:rPr>
          <w:rFonts w:ascii="Times New Roman" w:hAnsi="Times New Roman" w:cs="Times New Roman"/>
          <w:sz w:val="24"/>
          <w:szCs w:val="24"/>
        </w:rPr>
        <w:t>Data Envelopment Analysis (DEA) and Stochastic Frontier Analysis (SFA) are quantitative methods used to evaluate the efficiency of decision-making units (DMUs). In the context of land tenure security, these methods can provide insights into the efficiency with which land resources are utilized and managed under different tenure arrangements (</w:t>
      </w:r>
      <w:proofErr w:type="spellStart"/>
      <w:r w:rsidRPr="002050C1">
        <w:rPr>
          <w:rFonts w:ascii="Times New Roman" w:hAnsi="Times New Roman" w:cs="Times New Roman"/>
          <w:sz w:val="24"/>
          <w:szCs w:val="24"/>
        </w:rPr>
        <w:t>Arsad</w:t>
      </w:r>
      <w:proofErr w:type="spellEnd"/>
      <w:r w:rsidRPr="002050C1">
        <w:rPr>
          <w:rFonts w:ascii="Times New Roman" w:hAnsi="Times New Roman" w:cs="Times New Roman"/>
          <w:sz w:val="24"/>
          <w:szCs w:val="24"/>
        </w:rPr>
        <w:t xml:space="preserve"> et al., 2018). DEA is a non-parametric method that uses linear programming to determine the relative </w:t>
      </w:r>
      <w:r w:rsidRPr="002050C1">
        <w:rPr>
          <w:rFonts w:ascii="Times New Roman" w:hAnsi="Times New Roman" w:cs="Times New Roman"/>
          <w:sz w:val="24"/>
          <w:szCs w:val="24"/>
        </w:rPr>
        <w:lastRenderedPageBreak/>
        <w:t xml:space="preserve">efficiency of DMUs, while SFA is a parametric method that estimates a production frontier and assesses efficiency by measuring deviations from this frontier (Kuosmanen, 2006; Olesen &amp; Petersen, 2016). Various econometric techniques can be used, including ordinary least squares (OLS), fixed effects models, and random effects </w:t>
      </w:r>
      <w:proofErr w:type="gramStart"/>
      <w:r w:rsidRPr="002050C1">
        <w:rPr>
          <w:rFonts w:ascii="Times New Roman" w:hAnsi="Times New Roman" w:cs="Times New Roman"/>
          <w:sz w:val="24"/>
          <w:szCs w:val="24"/>
        </w:rPr>
        <w:t>models  (</w:t>
      </w:r>
      <w:proofErr w:type="spellStart"/>
      <w:proofErr w:type="gramEnd"/>
      <w:r w:rsidRPr="002050C1">
        <w:rPr>
          <w:rFonts w:ascii="Times New Roman" w:hAnsi="Times New Roman" w:cs="Times New Roman"/>
          <w:sz w:val="24"/>
          <w:szCs w:val="24"/>
        </w:rPr>
        <w:t>Oruk</w:t>
      </w:r>
      <w:proofErr w:type="spellEnd"/>
      <w:r w:rsidRPr="002050C1">
        <w:rPr>
          <w:rFonts w:ascii="Times New Roman" w:hAnsi="Times New Roman" w:cs="Times New Roman"/>
          <w:sz w:val="24"/>
          <w:szCs w:val="24"/>
        </w:rPr>
        <w:t xml:space="preserve"> &amp; Baran, 2022). Another emerging technique is Propensity Score Matching (PSM) which is a statistical technique used to estimate the impact of a </w:t>
      </w:r>
      <w:proofErr w:type="gramStart"/>
      <w:r w:rsidRPr="002050C1">
        <w:rPr>
          <w:rFonts w:ascii="Times New Roman" w:hAnsi="Times New Roman" w:cs="Times New Roman"/>
          <w:sz w:val="24"/>
          <w:szCs w:val="24"/>
        </w:rPr>
        <w:t>treatment  on</w:t>
      </w:r>
      <w:proofErr w:type="gramEnd"/>
      <w:r w:rsidRPr="002050C1">
        <w:rPr>
          <w:rFonts w:ascii="Times New Roman" w:hAnsi="Times New Roman" w:cs="Times New Roman"/>
          <w:sz w:val="24"/>
          <w:szCs w:val="24"/>
        </w:rPr>
        <w:t xml:space="preserve"> an outcome by matching treated and untreated individuals based on their observed characteristics (</w:t>
      </w:r>
      <w:proofErr w:type="spellStart"/>
      <w:r w:rsidRPr="002050C1">
        <w:rPr>
          <w:rFonts w:ascii="Times New Roman" w:hAnsi="Times New Roman" w:cs="Times New Roman"/>
          <w:sz w:val="24"/>
          <w:szCs w:val="24"/>
        </w:rPr>
        <w:t>Noufé</w:t>
      </w:r>
      <w:proofErr w:type="spellEnd"/>
      <w:r w:rsidRPr="002050C1">
        <w:rPr>
          <w:rFonts w:ascii="Times New Roman" w:hAnsi="Times New Roman" w:cs="Times New Roman"/>
          <w:sz w:val="24"/>
          <w:szCs w:val="24"/>
        </w:rPr>
        <w:t xml:space="preserve">, 2023). </w:t>
      </w:r>
    </w:p>
    <w:p w14:paraId="404A1729" w14:textId="012AFE1F" w:rsidR="00812DA9" w:rsidRPr="00A879C0" w:rsidRDefault="00A879C0" w:rsidP="00A879C0">
      <w:pPr>
        <w:jc w:val="both"/>
        <w:rPr>
          <w:rFonts w:ascii="Times New Roman" w:hAnsi="Times New Roman" w:cs="Times New Roman"/>
          <w:b/>
          <w:bCs/>
          <w:sz w:val="24"/>
          <w:szCs w:val="24"/>
        </w:rPr>
      </w:pPr>
      <w:r w:rsidRPr="00A879C0">
        <w:rPr>
          <w:rFonts w:ascii="Times New Roman" w:hAnsi="Times New Roman" w:cs="Times New Roman"/>
          <w:b/>
          <w:bCs/>
          <w:sz w:val="24"/>
          <w:szCs w:val="24"/>
        </w:rPr>
        <w:t>3.</w:t>
      </w:r>
      <w:r w:rsidR="00901144" w:rsidRPr="00A879C0">
        <w:rPr>
          <w:rFonts w:ascii="Times New Roman" w:hAnsi="Times New Roman" w:cs="Times New Roman"/>
          <w:b/>
          <w:bCs/>
          <w:sz w:val="24"/>
          <w:szCs w:val="24"/>
        </w:rPr>
        <w:t xml:space="preserve">Data &amp; Methodology </w:t>
      </w:r>
    </w:p>
    <w:p w14:paraId="616E2A28" w14:textId="5F455007" w:rsidR="00901144"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(a) </w:t>
      </w:r>
      <w:r w:rsidR="00CC7847" w:rsidRPr="002050C1">
        <w:rPr>
          <w:rFonts w:ascii="Times New Roman" w:hAnsi="Times New Roman" w:cs="Times New Roman"/>
          <w:sz w:val="24"/>
          <w:szCs w:val="24"/>
        </w:rPr>
        <w:t>Data Source and Sampling Design</w:t>
      </w:r>
    </w:p>
    <w:p w14:paraId="67849281" w14:textId="5240398A"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The present investigation is based on primary data collected from various type of farmers in Jammu District, Jammu and Kashmir. To guarantee that varied tenancy agreements were represented accurately, a multistage sample technique was used. In the initial step, two tehsils namely, Marh and R.S. Pura were purposefully chosen for their importance in agricultural productivity and the frequency of tenancy systems. In the second stage, a list of farmers was obtained using local records and village-level data, which served as the sampling frame. </w:t>
      </w:r>
    </w:p>
    <w:p w14:paraId="765C0915" w14:textId="29A132B3"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The total of 144 farmers were selected from these two tehsils and interviewed using a structured schedule designed to capture detailed farm-level data on inputs, outputs, and socio-economic characteristics. The sample was equally distributed across the three tenure categories, comprising 48 sharecroppers, 48 fixed renters, and 48 owner-operators for two tehsils. This balanced sample allowed for a systematic comparison of efficiency across different tenure systems.</w:t>
      </w:r>
    </w:p>
    <w:p w14:paraId="57B45A0D" w14:textId="5B58E57C" w:rsidR="00CC7847"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(b) </w:t>
      </w:r>
      <w:r w:rsidR="00CC7847" w:rsidRPr="002050C1">
        <w:rPr>
          <w:rFonts w:ascii="Times New Roman" w:hAnsi="Times New Roman" w:cs="Times New Roman"/>
          <w:sz w:val="24"/>
          <w:szCs w:val="24"/>
        </w:rPr>
        <w:t>Empirical Framework</w:t>
      </w:r>
    </w:p>
    <w:p w14:paraId="1D5085FF" w14:textId="68AD4E9E" w:rsidR="00CC7847" w:rsidRPr="002050C1" w:rsidRDefault="002050C1" w:rsidP="002050C1">
      <w:pPr>
        <w:jc w:val="both"/>
        <w:rPr>
          <w:rFonts w:ascii="Times New Roman" w:hAnsi="Times New Roman" w:cs="Times New Roman"/>
          <w:sz w:val="24"/>
          <w:szCs w:val="24"/>
        </w:rPr>
      </w:pPr>
      <w:r>
        <w:rPr>
          <w:rFonts w:ascii="Times New Roman" w:hAnsi="Times New Roman" w:cs="Times New Roman"/>
          <w:sz w:val="24"/>
          <w:szCs w:val="24"/>
        </w:rPr>
        <w:t>T</w:t>
      </w:r>
      <w:r w:rsidR="00CC7847" w:rsidRPr="002050C1">
        <w:rPr>
          <w:rFonts w:ascii="Times New Roman" w:hAnsi="Times New Roman" w:cs="Times New Roman"/>
          <w:sz w:val="24"/>
          <w:szCs w:val="24"/>
        </w:rPr>
        <w:t>he efficiency of farmers under different tenure arrangements was estimated using Data Envelopment Analysis (DEA), a non-parametric frontier technique that measures relative efficiency of decision-making units (DMUs). DEA is particularly suitable for agricultural studies as it does not require specification of a functional form of the production function and can handle multiple inputs and outputs simultaneously.</w:t>
      </w:r>
    </w:p>
    <w:p w14:paraId="2CFC6C5D" w14:textId="238448F2"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For this study, an output-oriented DEA model was applied, as the primary objective of farmers is to maximize output given the resource constraints with assumption of constant returns to scale (CRS) for simplicity.  The output is Crop yield (measured in kilograms per </w:t>
      </w:r>
      <w:r w:rsidRPr="002050C1">
        <w:rPr>
          <w:rFonts w:ascii="Times New Roman" w:hAnsi="Times New Roman" w:cs="Times New Roman"/>
          <w:i/>
          <w:iCs/>
          <w:sz w:val="24"/>
          <w:szCs w:val="24"/>
        </w:rPr>
        <w:t>acre</w:t>
      </w:r>
      <w:r w:rsidRPr="002050C1">
        <w:rPr>
          <w:rFonts w:ascii="Times New Roman" w:hAnsi="Times New Roman" w:cs="Times New Roman"/>
          <w:sz w:val="24"/>
          <w:szCs w:val="24"/>
        </w:rPr>
        <w:t>) and inputs include Fertilizers (kg per acre), Pesticides (</w:t>
      </w:r>
      <w:proofErr w:type="spellStart"/>
      <w:r w:rsidRPr="002050C1">
        <w:rPr>
          <w:rFonts w:ascii="Times New Roman" w:hAnsi="Times New Roman" w:cs="Times New Roman"/>
          <w:sz w:val="24"/>
          <w:szCs w:val="24"/>
        </w:rPr>
        <w:t>mililiters</w:t>
      </w:r>
      <w:proofErr w:type="spellEnd"/>
      <w:r w:rsidRPr="002050C1">
        <w:rPr>
          <w:rFonts w:ascii="Times New Roman" w:hAnsi="Times New Roman" w:cs="Times New Roman"/>
          <w:sz w:val="24"/>
          <w:szCs w:val="24"/>
        </w:rPr>
        <w:t xml:space="preserve"> per acre), Seeds (kg per acre) and Area cultivated (acre).</w:t>
      </w:r>
    </w:p>
    <w:p w14:paraId="7EC0A565" w14:textId="102E24B2" w:rsidR="00CC7847"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(c) </w:t>
      </w:r>
      <w:r w:rsidR="00CC7847" w:rsidRPr="002050C1">
        <w:rPr>
          <w:rFonts w:ascii="Times New Roman" w:hAnsi="Times New Roman" w:cs="Times New Roman"/>
          <w:sz w:val="24"/>
          <w:szCs w:val="24"/>
        </w:rPr>
        <w:t>Estimation Procedure</w:t>
      </w:r>
    </w:p>
    <w:p w14:paraId="69BB5BD1" w14:textId="03E39CA0"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The DEA efficiency scores were estimated for each farmer in the sample using the output-oriented VRS model. The efficiency scores range between 0 and 1, where a score of 1 indicates a technically efficient farm lying on the production frontier, while scores less than 1 reflect inefficiency relative to the best-performing farms. Subsequently, the efficiency scores were compared across sharecroppers, fixed renters, and owner-operators to test the validity of the Marshallian inefficiency hypothesis in the context of Jammu district. </w:t>
      </w:r>
    </w:p>
    <w:p w14:paraId="67AF7BF7" w14:textId="1CD75C13" w:rsidR="00CC7847" w:rsidRPr="002050C1" w:rsidRDefault="00CC7847"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Output oriented constant returns to scale </w:t>
      </w:r>
      <w:r w:rsidR="00B6514F" w:rsidRPr="002050C1">
        <w:rPr>
          <w:rFonts w:ascii="Times New Roman" w:hAnsi="Times New Roman" w:cs="Times New Roman"/>
          <w:sz w:val="24"/>
          <w:szCs w:val="24"/>
        </w:rPr>
        <w:t>DEA is given as</w:t>
      </w:r>
    </w:p>
    <w:p w14:paraId="35314BD3" w14:textId="6870DDE4" w:rsidR="00CC7847" w:rsidRPr="002050C1" w:rsidRDefault="00C83C21" w:rsidP="002050C1">
      <w:pPr>
        <w:jc w:val="both"/>
        <w:rPr>
          <w:rFonts w:ascii="Times New Roman" w:eastAsiaTheme="minorEastAsia" w:hAnsi="Times New Roman" w:cs="Times New Roman"/>
          <w:i/>
          <w:iCs/>
          <w:sz w:val="24"/>
          <w:szCs w:val="24"/>
        </w:rPr>
      </w:pPr>
      <w:r w:rsidRPr="002050C1">
        <w:rPr>
          <w:rFonts w:ascii="Times New Roman" w:eastAsiaTheme="minorEastAsia" w:hAnsi="Times New Roman" w:cs="Times New Roman"/>
          <w:sz w:val="24"/>
          <w:szCs w:val="24"/>
        </w:rPr>
        <w:t xml:space="preserve">The </w:t>
      </w:r>
      <w:r w:rsidR="00F90BE1" w:rsidRPr="002050C1">
        <w:rPr>
          <w:rFonts w:ascii="Times New Roman" w:eastAsiaTheme="minorEastAsia" w:hAnsi="Times New Roman" w:cs="Times New Roman"/>
          <w:sz w:val="24"/>
          <w:szCs w:val="24"/>
        </w:rPr>
        <w:t>output</w:t>
      </w:r>
      <w:r w:rsidRPr="002050C1">
        <w:rPr>
          <w:rFonts w:ascii="Times New Roman" w:eastAsiaTheme="minorEastAsia" w:hAnsi="Times New Roman" w:cs="Times New Roman"/>
          <w:sz w:val="24"/>
          <w:szCs w:val="24"/>
        </w:rPr>
        <w:t xml:space="preserve"> is denoted by </w:t>
      </w:r>
      <w:r w:rsidRPr="002050C1">
        <w:rPr>
          <w:rFonts w:ascii="Times New Roman" w:eastAsiaTheme="minorEastAsia" w:hAnsi="Times New Roman" w:cs="Times New Roman"/>
          <w:i/>
          <w:iCs/>
          <w:sz w:val="24"/>
          <w:szCs w:val="24"/>
        </w:rPr>
        <w:t xml:space="preserve">y </w:t>
      </w:r>
      <w:r w:rsidRPr="002050C1">
        <w:rPr>
          <w:rFonts w:ascii="Times New Roman" w:eastAsiaTheme="minorEastAsia" w:hAnsi="Times New Roman" w:cs="Times New Roman"/>
          <w:sz w:val="24"/>
          <w:szCs w:val="24"/>
        </w:rPr>
        <w:t xml:space="preserve">and inputs by </w:t>
      </w:r>
      <w:r w:rsidRPr="002050C1">
        <w:rPr>
          <w:rFonts w:ascii="Times New Roman" w:eastAsiaTheme="minorEastAsia" w:hAnsi="Times New Roman" w:cs="Times New Roman"/>
          <w:i/>
          <w:iCs/>
          <w:sz w:val="24"/>
          <w:szCs w:val="24"/>
        </w:rPr>
        <w:t>x.</w:t>
      </w:r>
    </w:p>
    <w:p w14:paraId="6514EED9" w14:textId="77777777" w:rsidR="00C83C21" w:rsidRPr="002050C1" w:rsidRDefault="00C83C21" w:rsidP="002050C1">
      <w:pPr>
        <w:jc w:val="both"/>
        <w:rPr>
          <w:rFonts w:ascii="Times New Roman" w:hAnsi="Times New Roman" w:cs="Times New Roman"/>
          <w:i/>
          <w:iCs/>
          <w:sz w:val="24"/>
          <w:szCs w:val="24"/>
        </w:rPr>
      </w:pPr>
    </w:p>
    <w:p w14:paraId="4972FFDD" w14:textId="6E4C00BD" w:rsidR="00B6514F" w:rsidRPr="002050C1" w:rsidRDefault="00C6593A" w:rsidP="002050C1">
      <w:pPr>
        <w:jc w:val="both"/>
        <w:rPr>
          <w:rFonts w:ascii="Cambria Math" w:hAnsi="Cambria Math" w:cs="Times New Roman"/>
          <w:sz w:val="24"/>
          <w:szCs w:val="24"/>
          <w:oMath/>
        </w:rPr>
      </w:pPr>
      <m:oMathPara>
        <m:oMath>
          <m:func>
            <m:funcPr>
              <m:ctrlPr>
                <w:rPr>
                  <w:rFonts w:ascii="Cambria Math" w:hAnsi="Cambria Math" w:cs="Times New Roman"/>
                  <w:iCs/>
                  <w:sz w:val="24"/>
                  <w:szCs w:val="24"/>
                </w:rPr>
              </m:ctrlPr>
            </m:funcPr>
            <m:fName>
              <m:limLow>
                <m:limLowPr>
                  <m:ctrlPr>
                    <w:rPr>
                      <w:rFonts w:ascii="Cambria Math" w:hAnsi="Cambria Math" w:cs="Times New Roman"/>
                      <w:iCs/>
                      <w:sz w:val="24"/>
                      <w:szCs w:val="24"/>
                    </w:rPr>
                  </m:ctrlPr>
                </m:limLowPr>
                <m:e>
                  <m:r>
                    <m:rPr>
                      <m:sty m:val="p"/>
                    </m:rPr>
                    <w:rPr>
                      <w:rFonts w:ascii="Cambria Math" w:hAnsi="Cambria Math" w:cs="Times New Roman"/>
                      <w:sz w:val="24"/>
                      <w:szCs w:val="24"/>
                    </w:rPr>
                    <m:t>max</m:t>
                  </m:r>
                </m:e>
                <m:lim>
                  <m:r>
                    <m:rPr>
                      <m:sty m:val="p"/>
                    </m:rPr>
                    <w:rPr>
                      <w:rFonts w:ascii="Cambria Math" w:hAnsi="Cambria Math" w:cs="Times New Roman"/>
                      <w:sz w:val="24"/>
                      <w:szCs w:val="24"/>
                    </w:rPr>
                    <m:t>φ,</m:t>
                  </m:r>
                  <m:sSub>
                    <m:sSubPr>
                      <m:ctrlPr>
                        <w:rPr>
                          <w:rFonts w:ascii="Cambria Math" w:hAnsi="Cambria Math" w:cs="Times New Roman"/>
                          <w:iCs/>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j</m:t>
                      </m:r>
                    </m:sub>
                  </m:sSub>
                </m:lim>
              </m:limLow>
            </m:fName>
            <m:e>
              <m:r>
                <m:rPr>
                  <m:sty m:val="p"/>
                </m:rPr>
                <w:rPr>
                  <w:rFonts w:ascii="Cambria Math" w:hAnsi="Cambria Math" w:cs="Times New Roman"/>
                  <w:sz w:val="24"/>
                  <w:szCs w:val="24"/>
                </w:rPr>
                <m:t>φ</m:t>
              </m:r>
            </m:e>
          </m:func>
          <m:r>
            <m:rPr>
              <m:sty m:val="p"/>
            </m:rPr>
            <w:rPr>
              <w:rFonts w:ascii="Cambria Math" w:hAnsi="Cambria Math" w:cs="Times New Roman"/>
              <w:sz w:val="24"/>
              <w:szCs w:val="24"/>
            </w:rPr>
            <m:t> </m:t>
          </m:r>
        </m:oMath>
      </m:oMathPara>
    </w:p>
    <w:p w14:paraId="21699D8E" w14:textId="53874A0F" w:rsidR="00B6514F" w:rsidRPr="002050C1" w:rsidRDefault="00B6514F" w:rsidP="002050C1">
      <w:pPr>
        <w:jc w:val="both"/>
        <w:rPr>
          <w:rFonts w:ascii="Cambria Math" w:hAnsi="Cambria Math" w:cs="Times New Roman"/>
          <w:sz w:val="24"/>
          <w:szCs w:val="24"/>
          <w:oMath/>
        </w:rPr>
      </w:pPr>
      <m:oMathPara>
        <m:oMath>
          <m:r>
            <m:rPr>
              <m:nor/>
            </m:rPr>
            <w:rPr>
              <w:rFonts w:ascii="Times New Roman" w:hAnsi="Times New Roman" w:cs="Times New Roman"/>
              <w:sz w:val="24"/>
              <w:szCs w:val="24"/>
            </w:rPr>
            <m:t xml:space="preserve">s.t. </m:t>
          </m:r>
          <m:nary>
            <m:naryPr>
              <m:chr m:val="∑"/>
              <m:ctrlPr>
                <w:rPr>
                  <w:rFonts w:ascii="Cambria Math" w:hAnsi="Cambria Math" w:cs="Times New Roman"/>
                  <w:sz w:val="24"/>
                  <w:szCs w:val="24"/>
                </w:rPr>
              </m:ctrlPr>
            </m:naryPr>
            <m:sub>
              <m:r>
                <w:rPr>
                  <w:rFonts w:ascii="Cambria Math" w:hAnsi="Cambria Math" w:cs="Times New Roman"/>
                  <w:sz w:val="24"/>
                  <w:szCs w:val="24"/>
                </w:rPr>
                <m:t>j=1</m:t>
              </m:r>
              <m:ctrlPr>
                <w:rPr>
                  <w:rFonts w:ascii="Cambria Math" w:hAnsi="Cambria Math" w:cs="Times New Roman"/>
                  <w:i/>
                  <w:sz w:val="24"/>
                  <w:szCs w:val="24"/>
                </w:rPr>
              </m:ctrlPr>
            </m:sub>
            <m:sup>
              <m: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ctrlPr>
                <w:rPr>
                  <w:rFonts w:ascii="Cambria Math" w:hAnsi="Cambria Math" w:cs="Times New Roman"/>
                  <w:i/>
                  <w:sz w:val="24"/>
                  <w:szCs w:val="24"/>
                </w:rPr>
              </m:ctrlPr>
            </m:e>
          </m:nary>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ctrlPr>
                <w:rPr>
                  <w:rFonts w:ascii="Cambria Math" w:hAnsi="Cambria Math" w:cs="Times New Roman"/>
                  <w:sz w:val="24"/>
                  <w:szCs w:val="24"/>
                </w:rPr>
              </m:ctrlPr>
            </m:e>
            <m:sub>
              <m:r>
                <w:rPr>
                  <w:rFonts w:ascii="Cambria Math" w:hAnsi="Cambria Math" w:cs="Times New Roman"/>
                  <w:sz w:val="24"/>
                  <w:szCs w:val="24"/>
                </w:rPr>
                <m:t>i0</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i=1,</m:t>
          </m:r>
          <m:r>
            <m:rPr>
              <m:sty m:val="p"/>
            </m:rPr>
            <w:rPr>
              <w:rFonts w:ascii="Cambria Math" w:hAnsi="Cambria Math" w:cs="Times New Roman"/>
              <w:sz w:val="24"/>
              <w:szCs w:val="24"/>
            </w:rPr>
            <m:t>…</m:t>
          </m:r>
          <m:r>
            <w:rPr>
              <w:rFonts w:ascii="Cambria Math" w:hAnsi="Cambria Math" w:cs="Times New Roman"/>
              <w:sz w:val="24"/>
              <w:szCs w:val="24"/>
            </w:rPr>
            <m:t>,m</m:t>
          </m:r>
        </m:oMath>
      </m:oMathPara>
    </w:p>
    <w:p w14:paraId="5DC2FA57" w14:textId="5D18BBB4" w:rsidR="00B6514F" w:rsidRPr="002050C1" w:rsidRDefault="00C6593A" w:rsidP="002050C1">
      <w:pPr>
        <w:jc w:val="both"/>
        <w:rPr>
          <w:rFonts w:ascii="Cambria Math" w:hAnsi="Cambria Math" w:cs="Times New Roman"/>
          <w:sz w:val="24"/>
          <w:szCs w:val="24"/>
          <w:oMath/>
        </w:rPr>
      </w:pPr>
      <m:oMathPara>
        <m:oMath>
          <m:nary>
            <m:naryPr>
              <m:chr m:val="∑"/>
              <m:ctrlPr>
                <w:rPr>
                  <w:rFonts w:ascii="Cambria Math" w:hAnsi="Cambria Math" w:cs="Times New Roman"/>
                  <w:sz w:val="24"/>
                  <w:szCs w:val="24"/>
                </w:rPr>
              </m:ctrlPr>
            </m:naryPr>
            <m:sub>
              <m:r>
                <w:rPr>
                  <w:rFonts w:ascii="Cambria Math" w:hAnsi="Cambria Math" w:cs="Times New Roman"/>
                  <w:sz w:val="24"/>
                  <w:szCs w:val="24"/>
                </w:rPr>
                <m:t>j</m:t>
              </m:r>
              <m:r>
                <w:rPr>
                  <w:rFonts w:ascii="Cambria Math" w:hAnsi="Cambria Math" w:cs="Times New Roman"/>
                  <w:sz w:val="24"/>
                  <w:szCs w:val="24"/>
                </w:rPr>
                <m:t>=1</m:t>
              </m:r>
              <m:ctrlPr>
                <w:rPr>
                  <w:rFonts w:ascii="Cambria Math" w:hAnsi="Cambria Math" w:cs="Times New Roman"/>
                  <w:i/>
                  <w:sz w:val="24"/>
                  <w:szCs w:val="24"/>
                </w:rPr>
              </m:ctrlPr>
            </m:sub>
            <m:sup>
              <m: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rj</m:t>
                  </m:r>
                </m:sub>
              </m:sSub>
              <m:ctrlPr>
                <w:rPr>
                  <w:rFonts w:ascii="Cambria Math" w:hAnsi="Cambria Math" w:cs="Times New Roman"/>
                  <w:i/>
                  <w:sz w:val="24"/>
                  <w:szCs w:val="24"/>
                </w:rPr>
              </m:ctrlPr>
            </m:e>
          </m:nary>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≥φ</m:t>
          </m:r>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r</m:t>
              </m:r>
              <m:r>
                <w:rPr>
                  <w:rFonts w:ascii="Cambria Math" w:hAnsi="Cambria Math" w:cs="Times New Roman"/>
                  <w:sz w:val="24"/>
                  <w:szCs w:val="24"/>
                </w:rPr>
                <m:t>0</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r</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s</m:t>
          </m:r>
        </m:oMath>
      </m:oMathPara>
    </w:p>
    <w:p w14:paraId="0E5BD52D" w14:textId="5800635F" w:rsidR="007A4501" w:rsidRPr="002050C1" w:rsidRDefault="00C6593A" w:rsidP="002050C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ctrlPr>
                <w:rPr>
                  <w:rFonts w:ascii="Cambria Math" w:hAnsi="Cambria Math" w:cs="Times New Roman"/>
                  <w:sz w:val="24"/>
                  <w:szCs w:val="24"/>
                </w:rPr>
              </m:ctrlP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0,</m:t>
          </m:r>
          <m:r>
            <m:rPr>
              <m:sty m:val="p"/>
            </m:rPr>
            <w:rPr>
              <w:rFonts w:ascii="Cambria Math" w:hAnsi="Cambria Math" w:cs="Times New Roman"/>
              <w:sz w:val="24"/>
              <w:szCs w:val="24"/>
            </w:rPr>
            <m:t> </m:t>
          </m:r>
          <m:r>
            <w:rPr>
              <w:rFonts w:ascii="Cambria Math" w:hAnsi="Cambria Math" w:cs="Times New Roman"/>
              <w:sz w:val="24"/>
              <w:szCs w:val="24"/>
            </w:rPr>
            <m:t>j</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n</m:t>
          </m:r>
        </m:oMath>
      </m:oMathPara>
    </w:p>
    <w:p w14:paraId="7A709632" w14:textId="1BA8AAB5" w:rsidR="00403E0C" w:rsidRPr="002050C1" w:rsidRDefault="002050C1" w:rsidP="002050C1">
      <w:pPr>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EF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ctrlPr>
                <w:rPr>
                  <w:rFonts w:ascii="Cambria Math" w:hAnsi="Cambria Math" w:cs="Times New Roman"/>
                  <w:i/>
                  <w:sz w:val="24"/>
                  <w:szCs w:val="24"/>
                  <w:lang w:val="en-US"/>
                </w:rPr>
              </m:ctrlPr>
            </m:num>
            <m:den>
              <m:sSup>
                <m:sSupPr>
                  <m:ctrlPr>
                    <w:rPr>
                      <w:rFonts w:ascii="Cambria Math" w:hAnsi="Cambria Math" w:cs="Times New Roman"/>
                      <w:i/>
                      <w:sz w:val="24"/>
                      <w:szCs w:val="24"/>
                      <w:lang w:val="en-US"/>
                    </w:rPr>
                  </m:ctrlPr>
                </m:sSupPr>
                <m:e>
                  <m:r>
                    <m:rPr>
                      <m:sty m:val="p"/>
                    </m:rPr>
                    <w:rPr>
                      <w:rFonts w:ascii="Cambria Math" w:hAnsi="Cambria Math" w:cs="Times New Roman"/>
                      <w:sz w:val="24"/>
                      <w:szCs w:val="24"/>
                      <w:lang w:val="en-US"/>
                    </w:rPr>
                    <m:t>φ</m:t>
                  </m:r>
                </m:e>
                <m:sup>
                  <m:r>
                    <w:rPr>
                      <w:rFonts w:ascii="Cambria Math" w:hAnsi="Cambria Math" w:cs="Times New Roman"/>
                      <w:sz w:val="24"/>
                      <w:szCs w:val="24"/>
                      <w:lang w:val="en-US"/>
                    </w:rPr>
                    <m:t>*</m:t>
                  </m:r>
                </m:sup>
              </m:sSup>
              <m:ctrlPr>
                <w:rPr>
                  <w:rFonts w:ascii="Cambria Math" w:hAnsi="Cambria Math" w:cs="Times New Roman"/>
                  <w:i/>
                  <w:sz w:val="24"/>
                  <w:szCs w:val="24"/>
                  <w:lang w:val="en-US"/>
                </w:rPr>
              </m:ctrlPr>
            </m:den>
          </m:f>
          <m:r>
            <w:rPr>
              <w:rFonts w:ascii="Cambria Math" w:hAnsi="Cambria Math" w:cs="Times New Roman"/>
              <w:sz w:val="24"/>
              <w:szCs w:val="24"/>
              <w:lang w:val="en-US"/>
            </w:rPr>
            <m:t>,</m:t>
          </m:r>
          <m:r>
            <m:rPr>
              <m:sty m:val="p"/>
            </m:rPr>
            <w:rPr>
              <w:rFonts w:ascii="Cambria Math" w:hAnsi="Cambria Math" w:cs="Times New Roman"/>
              <w:sz w:val="24"/>
              <w:szCs w:val="24"/>
              <w:lang w:val="en-US"/>
            </w:rPr>
            <m:t> </m:t>
          </m:r>
          <m:r>
            <w:rPr>
              <w:rFonts w:ascii="Cambria Math" w:hAnsi="Cambria Math" w:cs="Times New Roman"/>
              <w:sz w:val="24"/>
              <w:szCs w:val="24"/>
              <w:lang w:val="en-US"/>
            </w:rPr>
            <m:t>0&lt;EF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1</m:t>
          </m:r>
        </m:oMath>
      </m:oMathPara>
    </w:p>
    <w:p w14:paraId="522F88F1" w14:textId="0DDCEAF6" w:rsidR="00B6514F" w:rsidRPr="002050C1" w:rsidRDefault="00F90BE1"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where </w:t>
      </w:r>
      <w:proofErr w:type="spellStart"/>
      <w:r w:rsidRPr="002050C1">
        <w:rPr>
          <w:rFonts w:ascii="Times New Roman" w:eastAsiaTheme="minorEastAsia" w:hAnsi="Times New Roman" w:cs="Times New Roman"/>
          <w:sz w:val="24"/>
          <w:szCs w:val="24"/>
        </w:rPr>
        <w:t>λ</w:t>
      </w:r>
      <w:r w:rsidR="00B6514F" w:rsidRPr="002050C1">
        <w:rPr>
          <w:rFonts w:ascii="Times New Roman" w:eastAsiaTheme="minorEastAsia" w:hAnsi="Times New Roman" w:cs="Times New Roman"/>
          <w:sz w:val="24"/>
          <w:szCs w:val="24"/>
        </w:rPr>
        <w:t>j</w:t>
      </w:r>
      <w:proofErr w:type="spellEnd"/>
      <w:r w:rsidR="00B6514F" w:rsidRPr="002050C1">
        <w:rPr>
          <w:rFonts w:ascii="Times New Roman" w:eastAsiaTheme="minorEastAsia" w:hAnsi="Times New Roman" w:cs="Times New Roman"/>
          <w:sz w:val="24"/>
          <w:szCs w:val="24"/>
        </w:rPr>
        <w:t xml:space="preserve">​ are intensity variables. </w:t>
      </w:r>
      <w:r w:rsidR="00C83C21" w:rsidRPr="002050C1">
        <w:rPr>
          <w:rFonts w:ascii="Times New Roman" w:eastAsiaTheme="minorEastAsia" w:hAnsi="Times New Roman" w:cs="Times New Roman"/>
          <w:sz w:val="24"/>
          <w:szCs w:val="24"/>
        </w:rPr>
        <w:t>ψ</w:t>
      </w:r>
      <w:r w:rsidR="00B6514F" w:rsidRPr="002050C1">
        <w:rPr>
          <w:rFonts w:ascii="Times New Roman" w:eastAsiaTheme="minorEastAsia" w:hAnsi="Times New Roman" w:cs="Times New Roman"/>
          <w:sz w:val="24"/>
          <w:szCs w:val="24"/>
        </w:rPr>
        <w:t xml:space="preserve"> is the output expansion factor. If </w:t>
      </w:r>
      <w:r w:rsidR="00C83C21" w:rsidRPr="002050C1">
        <w:rPr>
          <w:rFonts w:ascii="Times New Roman" w:eastAsiaTheme="minorEastAsia" w:hAnsi="Times New Roman" w:cs="Times New Roman"/>
          <w:sz w:val="24"/>
          <w:szCs w:val="24"/>
        </w:rPr>
        <w:t xml:space="preserve">ψ </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=1</w:t>
      </w:r>
      <w:r w:rsidR="00C83C21" w:rsidRPr="002050C1">
        <w:rPr>
          <w:rFonts w:ascii="Times New Roman" w:eastAsiaTheme="minorEastAsia" w:hAnsi="Times New Roman" w:cs="Times New Roman"/>
          <w:sz w:val="24"/>
          <w:szCs w:val="24"/>
        </w:rPr>
        <w:t xml:space="preserve"> </w:t>
      </w:r>
      <w:r w:rsidR="00B6514F" w:rsidRPr="002050C1">
        <w:rPr>
          <w:rFonts w:ascii="Times New Roman" w:eastAsiaTheme="minorEastAsia" w:hAnsi="Times New Roman" w:cs="Times New Roman"/>
          <w:sz w:val="24"/>
          <w:szCs w:val="24"/>
        </w:rPr>
        <w:t xml:space="preserve">the DMU lies on the frontier (technically efficient under output orientation). If </w:t>
      </w:r>
      <w:r w:rsidR="00C83C21" w:rsidRPr="002050C1">
        <w:rPr>
          <w:rFonts w:ascii="Times New Roman" w:eastAsiaTheme="minorEastAsia" w:hAnsi="Times New Roman" w:cs="Times New Roman"/>
          <w:sz w:val="24"/>
          <w:szCs w:val="24"/>
        </w:rPr>
        <w:t xml:space="preserve">ψ </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&gt;1 outputs can be proportionally expanded by factor φ</w:t>
      </w:r>
      <w:r w:rsidR="00B6514F" w:rsidRPr="002050C1">
        <w:rPr>
          <w:rFonts w:ascii="Cambria Math" w:eastAsiaTheme="minorEastAsia" w:hAnsi="Cambria Math" w:cs="Cambria Math"/>
          <w:sz w:val="24"/>
          <w:szCs w:val="24"/>
        </w:rPr>
        <w:t>∗</w:t>
      </w:r>
      <w:r w:rsidR="00B6514F" w:rsidRPr="002050C1">
        <w:rPr>
          <w:rFonts w:ascii="Times New Roman" w:eastAsiaTheme="minorEastAsia" w:hAnsi="Times New Roman" w:cs="Times New Roman"/>
          <w:sz w:val="24"/>
          <w:szCs w:val="24"/>
        </w:rPr>
        <w:t xml:space="preserve"> (i.e., the DMU is inefficient in the sense that it could produce φ</w:t>
      </w:r>
      <w:r w:rsidR="00C83C21" w:rsidRPr="002050C1">
        <w:rPr>
          <w:rFonts w:ascii="Times New Roman" w:eastAsiaTheme="minorEastAsia" w:hAnsi="Times New Roman" w:cs="Times New Roman"/>
          <w:sz w:val="24"/>
          <w:szCs w:val="24"/>
        </w:rPr>
        <w:t xml:space="preserve"> </w:t>
      </w:r>
      <w:r w:rsidR="00B6514F" w:rsidRPr="002050C1">
        <w:rPr>
          <w:rFonts w:ascii="Times New Roman" w:eastAsiaTheme="minorEastAsia" w:hAnsi="Times New Roman" w:cs="Times New Roman"/>
          <w:sz w:val="24"/>
          <w:szCs w:val="24"/>
        </w:rPr>
        <w:t>times the output).</w:t>
      </w:r>
      <w:r w:rsidR="00C83C21" w:rsidRPr="002050C1">
        <w:rPr>
          <w:rFonts w:ascii="Times New Roman" w:eastAsiaTheme="minorEastAsia" w:hAnsi="Times New Roman" w:cs="Times New Roman"/>
          <w:sz w:val="24"/>
          <w:szCs w:val="24"/>
        </w:rPr>
        <w:t xml:space="preserve"> </w:t>
      </w:r>
    </w:p>
    <w:p w14:paraId="5BCE1B9C" w14:textId="058EE2DA" w:rsidR="000479C6" w:rsidRPr="002050C1"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 </w:t>
      </w:r>
      <w:r w:rsidR="000479C6" w:rsidRPr="002050C1">
        <w:rPr>
          <w:rFonts w:ascii="Times New Roman" w:eastAsiaTheme="minorEastAsia" w:hAnsi="Times New Roman" w:cs="Times New Roman"/>
          <w:sz w:val="24"/>
          <w:szCs w:val="24"/>
        </w:rPr>
        <w:t>Slack Equation</w:t>
      </w:r>
    </w:p>
    <w:p w14:paraId="019F89FF" w14:textId="72F83764" w:rsidR="000479C6" w:rsidRPr="002050C1" w:rsidRDefault="000479C6"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Slacks identify specific input excesses or output shortfalls that the radial measure alone may hide. The equations are given below.</w:t>
      </w:r>
    </w:p>
    <w:p w14:paraId="7E8415AE" w14:textId="20717BF7" w:rsidR="000479C6" w:rsidRPr="002050C1" w:rsidRDefault="00C6593A" w:rsidP="002050C1">
      <w:pPr>
        <w:jc w:val="both"/>
        <w:rPr>
          <w:rFonts w:ascii="Cambria Math" w:eastAsiaTheme="minorEastAsia" w:hAnsi="Cambria Math" w:cs="Times New Roman"/>
          <w:sz w:val="24"/>
          <w:szCs w:val="24"/>
          <w:oMath/>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nary>
            <m:naryPr>
              <m:chr m:val="∑"/>
              <m:ctrlPr>
                <w:rPr>
                  <w:rFonts w:ascii="Cambria Math" w:eastAsiaTheme="minorEastAsia" w:hAnsi="Cambria Math" w:cs="Times New Roman"/>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n</m:t>
              </m:r>
              <m:ctrlPr>
                <w:rPr>
                  <w:rFonts w:ascii="Cambria Math" w:eastAsiaTheme="minorEastAsia" w:hAnsi="Cambria Math" w:cs="Times New Roman"/>
                  <w:i/>
                  <w:sz w:val="24"/>
                  <w:szCs w:val="24"/>
                </w:rPr>
              </m:ctrlP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ctrlPr>
                <w:rPr>
                  <w:rFonts w:ascii="Cambria Math" w:eastAsiaTheme="minorEastAsia" w:hAnsi="Cambria Math" w:cs="Times New Roman"/>
                  <w:i/>
                  <w:sz w:val="24"/>
                  <w:szCs w:val="24"/>
                </w:rPr>
              </m:ctrlPr>
            </m:e>
          </m:nary>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λ</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m:t>
          </m:r>
          <m:r>
            <w:rPr>
              <w:rFonts w:ascii="Cambria Math" w:eastAsiaTheme="minorEastAsia" w:hAnsi="Cambria Math" w:cs="Times New Roman"/>
              <w:sz w:val="24"/>
              <w:szCs w:val="24"/>
            </w:rPr>
            <m:t>m</m:t>
          </m:r>
        </m:oMath>
      </m:oMathPara>
    </w:p>
    <w:p w14:paraId="770F1B38" w14:textId="47C755B1" w:rsidR="000479C6" w:rsidRPr="002050C1" w:rsidRDefault="00C6593A" w:rsidP="002050C1">
      <w:pPr>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r</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nary>
            <m:naryPr>
              <m:chr m:val="∑"/>
              <m:ctrlPr>
                <w:rPr>
                  <w:rFonts w:ascii="Cambria Math" w:eastAsiaTheme="minorEastAsia" w:hAnsi="Cambria Math" w:cs="Times New Roman"/>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ctrlPr>
                <w:rPr>
                  <w:rFonts w:ascii="Cambria Math" w:eastAsiaTheme="minorEastAsia" w:hAnsi="Cambria Math" w:cs="Times New Roman"/>
                  <w:i/>
                  <w:sz w:val="24"/>
                  <w:szCs w:val="24"/>
                </w:rPr>
              </m:ctrlPr>
            </m:sub>
            <m:sup>
              <m:r>
                <w:rPr>
                  <w:rFonts w:ascii="Cambria Math" w:eastAsiaTheme="minorEastAsia" w:hAnsi="Cambria Math" w:cs="Times New Roman"/>
                  <w:sz w:val="24"/>
                  <w:szCs w:val="24"/>
                </w:rPr>
                <m:t>n</m:t>
              </m:r>
              <m:ctrlPr>
                <w:rPr>
                  <w:rFonts w:ascii="Cambria Math" w:eastAsiaTheme="minorEastAsia" w:hAnsi="Cambria Math" w:cs="Times New Roman"/>
                  <w:i/>
                  <w:sz w:val="24"/>
                  <w:szCs w:val="24"/>
                </w:rPr>
              </m:ctrlP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rj</m:t>
                  </m:r>
                </m:sub>
              </m:sSub>
              <m:ctrlPr>
                <w:rPr>
                  <w:rFonts w:ascii="Cambria Math" w:eastAsiaTheme="minorEastAsia" w:hAnsi="Cambria Math" w:cs="Times New Roman"/>
                  <w:i/>
                  <w:sz w:val="24"/>
                  <w:szCs w:val="24"/>
                </w:rPr>
              </m:ctrlPr>
            </m:e>
          </m:nary>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λ</m:t>
              </m:r>
              <m:ctrlPr>
                <w:rPr>
                  <w:rFonts w:ascii="Cambria Math" w:eastAsiaTheme="minorEastAsia" w:hAnsi="Cambria Math" w:cs="Times New Roman"/>
                  <w:sz w:val="24"/>
                  <w:szCs w:val="24"/>
                </w:rPr>
              </m:ctrlP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r</m:t>
              </m:r>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rPr>
            <m:t>r</m:t>
          </m:r>
          <m:r>
            <w:rPr>
              <w:rFonts w:ascii="Cambria Math" w:eastAsiaTheme="minorEastAsia" w:hAnsi="Cambria Math" w:cs="Times New Roman"/>
              <w:sz w:val="24"/>
              <w:szCs w:val="24"/>
            </w:rPr>
            <m:t>=1,</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m:t>
          </m:r>
          <m:r>
            <w:rPr>
              <w:rFonts w:ascii="Cambria Math" w:eastAsiaTheme="minorEastAsia" w:hAnsi="Cambria Math" w:cs="Times New Roman"/>
              <w:sz w:val="24"/>
              <w:szCs w:val="24"/>
            </w:rPr>
            <m:t>s</m:t>
          </m:r>
        </m:oMath>
      </m:oMathPara>
    </w:p>
    <w:p w14:paraId="04E9A8E4" w14:textId="77777777" w:rsidR="00C83C21" w:rsidRDefault="00C83C21" w:rsidP="002050C1">
      <w:pPr>
        <w:jc w:val="both"/>
        <w:rPr>
          <w:rFonts w:ascii="Times New Roman" w:eastAsiaTheme="minorEastAsia" w:hAnsi="Times New Roman" w:cs="Times New Roman"/>
          <w:sz w:val="24"/>
          <w:szCs w:val="24"/>
        </w:rPr>
      </w:pPr>
    </w:p>
    <w:p w14:paraId="386EFA70" w14:textId="77777777" w:rsidR="002050C1" w:rsidRPr="002050C1" w:rsidRDefault="002050C1" w:rsidP="002050C1">
      <w:pPr>
        <w:jc w:val="both"/>
        <w:rPr>
          <w:rFonts w:ascii="Times New Roman" w:eastAsiaTheme="minorEastAsia" w:hAnsi="Times New Roman" w:cs="Times New Roman"/>
          <w:sz w:val="24"/>
          <w:szCs w:val="24"/>
        </w:rPr>
      </w:pPr>
    </w:p>
    <w:p w14:paraId="2952811D" w14:textId="2FD5A231" w:rsidR="00181D69" w:rsidRPr="00A879C0" w:rsidRDefault="00A879C0" w:rsidP="002050C1">
      <w:pPr>
        <w:jc w:val="both"/>
        <w:rPr>
          <w:rFonts w:ascii="Times New Roman" w:eastAsiaTheme="minorEastAsia" w:hAnsi="Times New Roman" w:cs="Times New Roman"/>
          <w:b/>
          <w:bCs/>
          <w:sz w:val="24"/>
          <w:szCs w:val="24"/>
        </w:rPr>
      </w:pPr>
      <w:r w:rsidRPr="00A879C0">
        <w:rPr>
          <w:rFonts w:ascii="Times New Roman" w:eastAsiaTheme="minorEastAsia" w:hAnsi="Times New Roman" w:cs="Times New Roman"/>
          <w:b/>
          <w:bCs/>
          <w:sz w:val="24"/>
          <w:szCs w:val="24"/>
        </w:rPr>
        <w:t>4.</w:t>
      </w:r>
      <w:r w:rsidR="000479C6" w:rsidRPr="00A879C0">
        <w:rPr>
          <w:rFonts w:ascii="Times New Roman" w:eastAsiaTheme="minorEastAsia" w:hAnsi="Times New Roman" w:cs="Times New Roman"/>
          <w:b/>
          <w:bCs/>
          <w:sz w:val="24"/>
          <w:szCs w:val="24"/>
        </w:rPr>
        <w:t>Results and Discussion</w:t>
      </w:r>
    </w:p>
    <w:p w14:paraId="66246F8F" w14:textId="580FE2F8"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2007DA" w:rsidRPr="002007DA">
        <w:rPr>
          <w:rFonts w:ascii="Times New Roman" w:eastAsiaTheme="minorEastAsia" w:hAnsi="Times New Roman" w:cs="Times New Roman"/>
          <w:sz w:val="24"/>
          <w:szCs w:val="24"/>
        </w:rPr>
        <w:t>Age Distribution</w:t>
      </w:r>
    </w:p>
    <w:p w14:paraId="7B7E7456" w14:textId="2A1E4FDB" w:rsidR="00856E1C" w:rsidRPr="002050C1" w:rsidRDefault="002007DA" w:rsidP="002050C1">
      <w:pPr>
        <w:jc w:val="both"/>
        <w:rPr>
          <w:rFonts w:ascii="Times New Roman" w:eastAsiaTheme="minorEastAsia" w:hAnsi="Times New Roman" w:cs="Times New Roman"/>
          <w:sz w:val="24"/>
          <w:szCs w:val="24"/>
        </w:rPr>
      </w:pPr>
      <w:r w:rsidRPr="002007DA">
        <w:rPr>
          <w:rFonts w:ascii="Times New Roman" w:eastAsiaTheme="minorEastAsia" w:hAnsi="Times New Roman" w:cs="Times New Roman"/>
          <w:sz w:val="24"/>
          <w:szCs w:val="24"/>
        </w:rPr>
        <w:t>The age profile</w:t>
      </w:r>
      <w:r w:rsidRPr="002050C1">
        <w:rPr>
          <w:rFonts w:ascii="Times New Roman" w:eastAsiaTheme="minorEastAsia" w:hAnsi="Times New Roman" w:cs="Times New Roman"/>
          <w:sz w:val="24"/>
          <w:szCs w:val="24"/>
        </w:rPr>
        <w:t xml:space="preserve"> in table 1</w:t>
      </w:r>
      <w:r w:rsidRPr="002007DA">
        <w:rPr>
          <w:rFonts w:ascii="Times New Roman" w:eastAsiaTheme="minorEastAsia" w:hAnsi="Times New Roman" w:cs="Times New Roman"/>
          <w:sz w:val="24"/>
          <w:szCs w:val="24"/>
        </w:rPr>
        <w:t xml:space="preserve"> reveals that the majority of respondents (34.7%) belong to the 46–55 years age group, followed by 36–45 years (31.3%). Only 1.4% of the respondents are below 25 years. This indicates that farming in Jammu’s agricultural sector is dominated by middle-aged farmers, with limited participation from youth. This age structure is important in </w:t>
      </w:r>
      <w:proofErr w:type="spellStart"/>
      <w:r w:rsidRPr="002007DA">
        <w:rPr>
          <w:rFonts w:ascii="Times New Roman" w:eastAsiaTheme="minorEastAsia" w:hAnsi="Times New Roman" w:cs="Times New Roman"/>
          <w:sz w:val="24"/>
          <w:szCs w:val="24"/>
        </w:rPr>
        <w:t>analyzing</w:t>
      </w:r>
      <w:proofErr w:type="spellEnd"/>
      <w:r w:rsidRPr="002007DA">
        <w:rPr>
          <w:rFonts w:ascii="Times New Roman" w:eastAsiaTheme="minorEastAsia" w:hAnsi="Times New Roman" w:cs="Times New Roman"/>
          <w:sz w:val="24"/>
          <w:szCs w:val="24"/>
        </w:rPr>
        <w:t xml:space="preserve"> efficiency, as middle-aged and older farmers often have greater farming experience but may be less open to new technologies compared to younger farmers.</w:t>
      </w:r>
    </w:p>
    <w:p w14:paraId="49AD8AD1" w14:textId="33DD3535" w:rsidR="00A879C0" w:rsidRPr="00A879C0" w:rsidRDefault="00856E1C" w:rsidP="002050C1">
      <w:pPr>
        <w:jc w:val="both"/>
        <w:rPr>
          <w:rFonts w:ascii="Times New Roman" w:hAnsi="Times New Roman" w:cs="Times New Roman"/>
          <w:sz w:val="24"/>
          <w:szCs w:val="24"/>
        </w:rPr>
      </w:pPr>
      <w:r w:rsidRPr="002050C1">
        <w:rPr>
          <w:rFonts w:ascii="Times New Roman" w:eastAsiaTheme="minorEastAsia" w:hAnsi="Times New Roman" w:cs="Times New Roman"/>
          <w:sz w:val="24"/>
          <w:szCs w:val="24"/>
        </w:rPr>
        <w:t xml:space="preserve">Table 1: </w:t>
      </w:r>
      <w:r w:rsidR="00181D69" w:rsidRPr="002050C1">
        <w:rPr>
          <w:rFonts w:ascii="Times New Roman" w:eastAsiaTheme="minorEastAsia" w:hAnsi="Times New Roman" w:cs="Times New Roman"/>
          <w:sz w:val="24"/>
          <w:szCs w:val="24"/>
        </w:rPr>
        <w:t>Age</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193"/>
        <w:tblW w:w="8888" w:type="dxa"/>
        <w:tblLayout w:type="fixed"/>
        <w:tblLook w:val="0000" w:firstRow="0" w:lastRow="0" w:firstColumn="0" w:lastColumn="0" w:noHBand="0" w:noVBand="0"/>
      </w:tblPr>
      <w:tblGrid>
        <w:gridCol w:w="3085"/>
        <w:gridCol w:w="3085"/>
        <w:gridCol w:w="2718"/>
      </w:tblGrid>
      <w:tr w:rsidR="00F90BE1" w:rsidRPr="002050C1" w14:paraId="0B5C4FFA" w14:textId="77777777" w:rsidTr="00F90BE1">
        <w:trPr>
          <w:trHeight w:val="338"/>
        </w:trPr>
        <w:tc>
          <w:tcPr>
            <w:tcW w:w="3085" w:type="dxa"/>
          </w:tcPr>
          <w:p w14:paraId="1B961953" w14:textId="77777777" w:rsidR="00181D69" w:rsidRPr="002050C1" w:rsidRDefault="00181D69" w:rsidP="00A879C0">
            <w:pPr>
              <w:jc w:val="both"/>
              <w:rPr>
                <w:rFonts w:ascii="Times New Roman" w:eastAsiaTheme="minorEastAsia" w:hAnsi="Times New Roman" w:cs="Times New Roman"/>
                <w:sz w:val="24"/>
                <w:szCs w:val="24"/>
              </w:rPr>
            </w:pPr>
            <w:bookmarkStart w:id="1" w:name="_Hlk207925315"/>
            <w:r w:rsidRPr="002050C1">
              <w:rPr>
                <w:rFonts w:ascii="Times New Roman" w:eastAsiaTheme="minorEastAsia" w:hAnsi="Times New Roman" w:cs="Times New Roman"/>
                <w:sz w:val="24"/>
                <w:szCs w:val="24"/>
              </w:rPr>
              <w:t>Age Group</w:t>
            </w:r>
          </w:p>
        </w:tc>
        <w:tc>
          <w:tcPr>
            <w:tcW w:w="3085" w:type="dxa"/>
          </w:tcPr>
          <w:p w14:paraId="68563E52"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Frequency</w:t>
            </w:r>
          </w:p>
        </w:tc>
        <w:tc>
          <w:tcPr>
            <w:tcW w:w="2718" w:type="dxa"/>
          </w:tcPr>
          <w:p w14:paraId="4FA1C05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Percent</w:t>
            </w:r>
          </w:p>
        </w:tc>
      </w:tr>
      <w:tr w:rsidR="00F90BE1" w:rsidRPr="002050C1" w14:paraId="2C124BA7" w14:textId="77777777" w:rsidTr="00F90BE1">
        <w:trPr>
          <w:trHeight w:val="406"/>
        </w:trPr>
        <w:tc>
          <w:tcPr>
            <w:tcW w:w="3085" w:type="dxa"/>
          </w:tcPr>
          <w:p w14:paraId="6F74EE27"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lastRenderedPageBreak/>
              <w:t>Less than 25</w:t>
            </w:r>
          </w:p>
        </w:tc>
        <w:tc>
          <w:tcPr>
            <w:tcW w:w="3085" w:type="dxa"/>
          </w:tcPr>
          <w:p w14:paraId="73E1412E"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w:t>
            </w:r>
          </w:p>
        </w:tc>
        <w:tc>
          <w:tcPr>
            <w:tcW w:w="2718" w:type="dxa"/>
          </w:tcPr>
          <w:p w14:paraId="238E7B06"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w:t>
            </w:r>
          </w:p>
        </w:tc>
      </w:tr>
      <w:tr w:rsidR="00F90BE1" w:rsidRPr="002050C1" w14:paraId="289EDE9E" w14:textId="77777777" w:rsidTr="00F90BE1">
        <w:trPr>
          <w:trHeight w:val="338"/>
        </w:trPr>
        <w:tc>
          <w:tcPr>
            <w:tcW w:w="3085" w:type="dxa"/>
          </w:tcPr>
          <w:p w14:paraId="54ED2187"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25-35</w:t>
            </w:r>
          </w:p>
        </w:tc>
        <w:tc>
          <w:tcPr>
            <w:tcW w:w="3085" w:type="dxa"/>
          </w:tcPr>
          <w:p w14:paraId="282C2C69"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w:t>
            </w:r>
          </w:p>
        </w:tc>
        <w:tc>
          <w:tcPr>
            <w:tcW w:w="2718" w:type="dxa"/>
          </w:tcPr>
          <w:p w14:paraId="41B06EFE"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9.7</w:t>
            </w:r>
          </w:p>
        </w:tc>
      </w:tr>
      <w:tr w:rsidR="00F90BE1" w:rsidRPr="002050C1" w14:paraId="7BC6FDDC" w14:textId="77777777" w:rsidTr="00F90BE1">
        <w:trPr>
          <w:trHeight w:val="338"/>
        </w:trPr>
        <w:tc>
          <w:tcPr>
            <w:tcW w:w="3085" w:type="dxa"/>
          </w:tcPr>
          <w:p w14:paraId="71CF0CCA"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36-45</w:t>
            </w:r>
          </w:p>
        </w:tc>
        <w:tc>
          <w:tcPr>
            <w:tcW w:w="3085" w:type="dxa"/>
          </w:tcPr>
          <w:p w14:paraId="2F2AA6D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45</w:t>
            </w:r>
          </w:p>
        </w:tc>
        <w:tc>
          <w:tcPr>
            <w:tcW w:w="2718" w:type="dxa"/>
          </w:tcPr>
          <w:p w14:paraId="124F0030"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31.3</w:t>
            </w:r>
          </w:p>
        </w:tc>
      </w:tr>
      <w:tr w:rsidR="00F90BE1" w:rsidRPr="002050C1" w14:paraId="438DE781" w14:textId="77777777" w:rsidTr="00F90BE1">
        <w:trPr>
          <w:trHeight w:val="338"/>
        </w:trPr>
        <w:tc>
          <w:tcPr>
            <w:tcW w:w="3085" w:type="dxa"/>
          </w:tcPr>
          <w:p w14:paraId="1C05EB9E"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46-55</w:t>
            </w:r>
          </w:p>
        </w:tc>
        <w:tc>
          <w:tcPr>
            <w:tcW w:w="3085" w:type="dxa"/>
          </w:tcPr>
          <w:p w14:paraId="2A2CC845"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50</w:t>
            </w:r>
          </w:p>
        </w:tc>
        <w:tc>
          <w:tcPr>
            <w:tcW w:w="2718" w:type="dxa"/>
          </w:tcPr>
          <w:p w14:paraId="130BB791"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34.7</w:t>
            </w:r>
          </w:p>
        </w:tc>
      </w:tr>
      <w:tr w:rsidR="00F90BE1" w:rsidRPr="002050C1" w14:paraId="2E8BD66C" w14:textId="77777777" w:rsidTr="00F90BE1">
        <w:trPr>
          <w:trHeight w:val="338"/>
        </w:trPr>
        <w:tc>
          <w:tcPr>
            <w:tcW w:w="3085" w:type="dxa"/>
          </w:tcPr>
          <w:p w14:paraId="35F711B0"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Above 56</w:t>
            </w:r>
          </w:p>
        </w:tc>
        <w:tc>
          <w:tcPr>
            <w:tcW w:w="3085" w:type="dxa"/>
          </w:tcPr>
          <w:p w14:paraId="626E4DE6"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33</w:t>
            </w:r>
          </w:p>
        </w:tc>
        <w:tc>
          <w:tcPr>
            <w:tcW w:w="2718" w:type="dxa"/>
          </w:tcPr>
          <w:p w14:paraId="3CAF5CE7"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22.9</w:t>
            </w:r>
          </w:p>
        </w:tc>
      </w:tr>
      <w:tr w:rsidR="00F90BE1" w:rsidRPr="002050C1" w14:paraId="56968E66" w14:textId="77777777" w:rsidTr="00F90BE1">
        <w:trPr>
          <w:trHeight w:val="338"/>
        </w:trPr>
        <w:tc>
          <w:tcPr>
            <w:tcW w:w="3085" w:type="dxa"/>
          </w:tcPr>
          <w:p w14:paraId="45ADB22B"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Total</w:t>
            </w:r>
          </w:p>
        </w:tc>
        <w:tc>
          <w:tcPr>
            <w:tcW w:w="3085" w:type="dxa"/>
          </w:tcPr>
          <w:p w14:paraId="3398F9A8"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144</w:t>
            </w:r>
          </w:p>
        </w:tc>
        <w:tc>
          <w:tcPr>
            <w:tcW w:w="2718" w:type="dxa"/>
          </w:tcPr>
          <w:p w14:paraId="0EAE7A4D"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100.0</w:t>
            </w:r>
          </w:p>
        </w:tc>
      </w:tr>
    </w:tbl>
    <w:bookmarkEnd w:id="1"/>
    <w:p w14:paraId="1CC0E6C6" w14:textId="5A172960"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0B2DAD55" w14:textId="15689AA3"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w:t>
      </w:r>
      <w:r w:rsidR="002007DA" w:rsidRPr="002007DA">
        <w:rPr>
          <w:rFonts w:ascii="Times New Roman" w:eastAsiaTheme="minorEastAsia" w:hAnsi="Times New Roman" w:cs="Times New Roman"/>
          <w:sz w:val="24"/>
          <w:szCs w:val="24"/>
        </w:rPr>
        <w:t>Annual Income Levels</w:t>
      </w:r>
    </w:p>
    <w:p w14:paraId="17C652E9" w14:textId="1F0BCB6E" w:rsidR="00403E0C" w:rsidRPr="002050C1" w:rsidRDefault="002007DA"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In table 2 it can easily infer that n</w:t>
      </w:r>
      <w:r w:rsidRPr="002007DA">
        <w:rPr>
          <w:rFonts w:ascii="Times New Roman" w:eastAsiaTheme="minorEastAsia" w:hAnsi="Times New Roman" w:cs="Times New Roman"/>
          <w:sz w:val="24"/>
          <w:szCs w:val="24"/>
        </w:rPr>
        <w:t xml:space="preserve">early half of the farmers (45.1%) earn above six </w:t>
      </w:r>
      <w:r w:rsidR="00F90BE1" w:rsidRPr="002007DA">
        <w:rPr>
          <w:rFonts w:ascii="Times New Roman" w:eastAsiaTheme="minorEastAsia" w:hAnsi="Times New Roman" w:cs="Times New Roman"/>
          <w:sz w:val="24"/>
          <w:szCs w:val="24"/>
        </w:rPr>
        <w:t>lakhs</w:t>
      </w:r>
      <w:r w:rsidRPr="002007DA">
        <w:rPr>
          <w:rFonts w:ascii="Times New Roman" w:eastAsiaTheme="minorEastAsia" w:hAnsi="Times New Roman" w:cs="Times New Roman"/>
          <w:sz w:val="24"/>
          <w:szCs w:val="24"/>
        </w:rPr>
        <w:t xml:space="preserve"> annually, while 36.1% fall in the four–six lakh </w:t>
      </w:r>
      <w:r w:rsidR="00F90BE1" w:rsidRPr="002007DA">
        <w:rPr>
          <w:rFonts w:ascii="Times New Roman" w:eastAsiaTheme="minorEastAsia" w:hAnsi="Times New Roman" w:cs="Times New Roman"/>
          <w:sz w:val="24"/>
          <w:szCs w:val="24"/>
        </w:rPr>
        <w:t>brackets</w:t>
      </w:r>
      <w:r w:rsidRPr="002007DA">
        <w:rPr>
          <w:rFonts w:ascii="Times New Roman" w:eastAsiaTheme="minorEastAsia" w:hAnsi="Times New Roman" w:cs="Times New Roman"/>
          <w:sz w:val="24"/>
          <w:szCs w:val="24"/>
        </w:rPr>
        <w:t xml:space="preserve">, and only 18.8% report incomes between two–four </w:t>
      </w:r>
      <w:r w:rsidR="00F90BE1" w:rsidRPr="002007DA">
        <w:rPr>
          <w:rFonts w:ascii="Times New Roman" w:eastAsiaTheme="minorEastAsia" w:hAnsi="Times New Roman" w:cs="Times New Roman"/>
          <w:sz w:val="24"/>
          <w:szCs w:val="24"/>
        </w:rPr>
        <w:t>lakhs</w:t>
      </w:r>
      <w:r w:rsidRPr="002007DA">
        <w:rPr>
          <w:rFonts w:ascii="Times New Roman" w:eastAsiaTheme="minorEastAsia" w:hAnsi="Times New Roman" w:cs="Times New Roman"/>
          <w:sz w:val="24"/>
          <w:szCs w:val="24"/>
        </w:rPr>
        <w:t>. This relatively higher income profile suggests that agriculture in the study area is not purely subsistence-oriented.</w:t>
      </w:r>
    </w:p>
    <w:p w14:paraId="52DA8EC8" w14:textId="77287EE9" w:rsidR="00221A06" w:rsidRPr="002050C1" w:rsidRDefault="00856E1C"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Table 2: </w:t>
      </w:r>
      <w:r w:rsidR="00181D69" w:rsidRPr="002050C1">
        <w:rPr>
          <w:rFonts w:ascii="Times New Roman" w:eastAsiaTheme="minorEastAsia" w:hAnsi="Times New Roman" w:cs="Times New Roman"/>
          <w:sz w:val="24"/>
          <w:szCs w:val="24"/>
        </w:rPr>
        <w:t>Annual income level</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232"/>
        <w:tblW w:w="8608" w:type="dxa"/>
        <w:tblLayout w:type="fixed"/>
        <w:tblLook w:val="0000" w:firstRow="0" w:lastRow="0" w:firstColumn="0" w:lastColumn="0" w:noHBand="0" w:noVBand="0"/>
      </w:tblPr>
      <w:tblGrid>
        <w:gridCol w:w="2988"/>
        <w:gridCol w:w="2988"/>
        <w:gridCol w:w="2632"/>
      </w:tblGrid>
      <w:tr w:rsidR="00F90BE1" w:rsidRPr="002050C1" w14:paraId="35E2285A" w14:textId="77777777" w:rsidTr="00F90BE1">
        <w:trPr>
          <w:trHeight w:val="435"/>
        </w:trPr>
        <w:tc>
          <w:tcPr>
            <w:tcW w:w="2988" w:type="dxa"/>
          </w:tcPr>
          <w:p w14:paraId="4070B2D8"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Income Groups</w:t>
            </w:r>
          </w:p>
        </w:tc>
        <w:tc>
          <w:tcPr>
            <w:tcW w:w="2988" w:type="dxa"/>
          </w:tcPr>
          <w:p w14:paraId="3E89DDE3"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Frequency</w:t>
            </w:r>
          </w:p>
        </w:tc>
        <w:tc>
          <w:tcPr>
            <w:tcW w:w="2632" w:type="dxa"/>
          </w:tcPr>
          <w:p w14:paraId="4A122A00"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Percent</w:t>
            </w:r>
          </w:p>
        </w:tc>
      </w:tr>
      <w:tr w:rsidR="00F90BE1" w:rsidRPr="002050C1" w14:paraId="786D08EB" w14:textId="77777777" w:rsidTr="00F90BE1">
        <w:trPr>
          <w:trHeight w:val="523"/>
        </w:trPr>
        <w:tc>
          <w:tcPr>
            <w:tcW w:w="2988" w:type="dxa"/>
          </w:tcPr>
          <w:p w14:paraId="4032E32E"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Two lacs- four lacs</w:t>
            </w:r>
          </w:p>
        </w:tc>
        <w:tc>
          <w:tcPr>
            <w:tcW w:w="2988" w:type="dxa"/>
          </w:tcPr>
          <w:p w14:paraId="7B42376B" w14:textId="77777777" w:rsidR="00181D69" w:rsidRPr="00C12EC0" w:rsidRDefault="00181D69" w:rsidP="00A879C0">
            <w:pPr>
              <w:spacing w:after="160"/>
              <w:jc w:val="both"/>
              <w:rPr>
                <w:rFonts w:ascii="Times New Roman" w:eastAsiaTheme="minorEastAsia" w:hAnsi="Times New Roman" w:cs="Times New Roman"/>
                <w:sz w:val="24"/>
                <w:szCs w:val="24"/>
              </w:rPr>
            </w:pPr>
            <w:r w:rsidRPr="00C12EC0">
              <w:rPr>
                <w:rFonts w:ascii="Times New Roman" w:eastAsiaTheme="minorEastAsia" w:hAnsi="Times New Roman" w:cs="Times New Roman"/>
                <w:sz w:val="24"/>
                <w:szCs w:val="24"/>
              </w:rPr>
              <w:t>2</w:t>
            </w:r>
            <w:r w:rsidRPr="002050C1">
              <w:rPr>
                <w:rFonts w:ascii="Times New Roman" w:eastAsiaTheme="minorEastAsia" w:hAnsi="Times New Roman" w:cs="Times New Roman"/>
                <w:sz w:val="24"/>
                <w:szCs w:val="24"/>
              </w:rPr>
              <w:t>7</w:t>
            </w:r>
          </w:p>
        </w:tc>
        <w:tc>
          <w:tcPr>
            <w:tcW w:w="2632" w:type="dxa"/>
          </w:tcPr>
          <w:p w14:paraId="365510AA"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18.8</w:t>
            </w:r>
          </w:p>
        </w:tc>
      </w:tr>
      <w:tr w:rsidR="00F90BE1" w:rsidRPr="002050C1" w14:paraId="17424208" w14:textId="77777777" w:rsidTr="00F90BE1">
        <w:trPr>
          <w:trHeight w:val="435"/>
        </w:trPr>
        <w:tc>
          <w:tcPr>
            <w:tcW w:w="2988" w:type="dxa"/>
          </w:tcPr>
          <w:p w14:paraId="09FC244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Four lacs- Six lacs</w:t>
            </w:r>
          </w:p>
        </w:tc>
        <w:tc>
          <w:tcPr>
            <w:tcW w:w="2988" w:type="dxa"/>
          </w:tcPr>
          <w:p w14:paraId="29093414"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52</w:t>
            </w:r>
          </w:p>
        </w:tc>
        <w:tc>
          <w:tcPr>
            <w:tcW w:w="2632" w:type="dxa"/>
          </w:tcPr>
          <w:p w14:paraId="611FAD25"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36.1</w:t>
            </w:r>
          </w:p>
        </w:tc>
      </w:tr>
      <w:tr w:rsidR="00F90BE1" w:rsidRPr="002050C1" w14:paraId="3CE22FEE" w14:textId="77777777" w:rsidTr="00F90BE1">
        <w:trPr>
          <w:trHeight w:val="435"/>
        </w:trPr>
        <w:tc>
          <w:tcPr>
            <w:tcW w:w="2988" w:type="dxa"/>
          </w:tcPr>
          <w:p w14:paraId="63EBDB5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Above Six lacs</w:t>
            </w:r>
          </w:p>
        </w:tc>
        <w:tc>
          <w:tcPr>
            <w:tcW w:w="2988" w:type="dxa"/>
          </w:tcPr>
          <w:p w14:paraId="6A4B49F0"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65</w:t>
            </w:r>
          </w:p>
        </w:tc>
        <w:tc>
          <w:tcPr>
            <w:tcW w:w="2632" w:type="dxa"/>
          </w:tcPr>
          <w:p w14:paraId="65605D25"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45.1</w:t>
            </w:r>
          </w:p>
        </w:tc>
      </w:tr>
      <w:tr w:rsidR="00F90BE1" w:rsidRPr="002050C1" w14:paraId="146D919A" w14:textId="77777777" w:rsidTr="00F90BE1">
        <w:trPr>
          <w:trHeight w:val="435"/>
        </w:trPr>
        <w:tc>
          <w:tcPr>
            <w:tcW w:w="2988" w:type="dxa"/>
          </w:tcPr>
          <w:p w14:paraId="4C558EFC" w14:textId="77777777" w:rsidR="00181D69" w:rsidRPr="002050C1" w:rsidRDefault="00181D69" w:rsidP="00A879C0">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Total</w:t>
            </w:r>
          </w:p>
        </w:tc>
        <w:tc>
          <w:tcPr>
            <w:tcW w:w="2988" w:type="dxa"/>
          </w:tcPr>
          <w:p w14:paraId="095B2501"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144</w:t>
            </w:r>
          </w:p>
        </w:tc>
        <w:tc>
          <w:tcPr>
            <w:tcW w:w="2632" w:type="dxa"/>
          </w:tcPr>
          <w:p w14:paraId="08A74779" w14:textId="77777777" w:rsidR="00181D69" w:rsidRPr="00C12EC0" w:rsidRDefault="00181D69" w:rsidP="00A879C0">
            <w:pPr>
              <w:spacing w:after="160"/>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100.0</w:t>
            </w:r>
          </w:p>
        </w:tc>
      </w:tr>
    </w:tbl>
    <w:p w14:paraId="5D8D6528" w14:textId="3E491EF5" w:rsidR="002007DA"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7B1D5624" w14:textId="409B661F" w:rsidR="002007DA" w:rsidRPr="002007DA" w:rsidRDefault="00A879C0" w:rsidP="002050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002007DA" w:rsidRPr="002007DA">
        <w:rPr>
          <w:rFonts w:ascii="Times New Roman" w:eastAsiaTheme="minorEastAsia" w:hAnsi="Times New Roman" w:cs="Times New Roman"/>
          <w:sz w:val="24"/>
          <w:szCs w:val="24"/>
        </w:rPr>
        <w:t>Education Levels</w:t>
      </w:r>
      <w:r>
        <w:rPr>
          <w:rFonts w:ascii="Times New Roman" w:eastAsiaTheme="minorEastAsia" w:hAnsi="Times New Roman" w:cs="Times New Roman"/>
          <w:sz w:val="24"/>
          <w:szCs w:val="24"/>
        </w:rPr>
        <w:t xml:space="preserve"> and Credit accessibility </w:t>
      </w:r>
    </w:p>
    <w:p w14:paraId="71B53ADE" w14:textId="17D214A1" w:rsidR="002007DA" w:rsidRPr="002050C1" w:rsidRDefault="002007DA"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In table 3 depicts that t</w:t>
      </w:r>
      <w:r w:rsidRPr="002007DA">
        <w:rPr>
          <w:rFonts w:ascii="Times New Roman" w:eastAsiaTheme="minorEastAsia" w:hAnsi="Times New Roman" w:cs="Times New Roman"/>
          <w:sz w:val="24"/>
          <w:szCs w:val="24"/>
        </w:rPr>
        <w:t>he educational profile shows that 31.3% of the farmers have studied up to Class 10th, followed by Class 12th (22.9%) and up to Class 8th (25.7%). About 17.4% of the respondents possess higher education (graduation and above), while only 2.8% are illiterate. This indicates a moderate level of human capital among the farming population.</w:t>
      </w:r>
      <w:r w:rsidRPr="002050C1">
        <w:rPr>
          <w:rFonts w:ascii="Times New Roman" w:eastAsiaTheme="minorEastAsia" w:hAnsi="Times New Roman" w:cs="Times New Roman"/>
          <w:sz w:val="24"/>
          <w:szCs w:val="24"/>
        </w:rPr>
        <w:t xml:space="preserve"> Higher education levels are expected to influence technical efficiency positively, as better-educated farmers are more likely to adopt modern practices, improved seed varieties, and efficient resource allocation.</w:t>
      </w:r>
    </w:p>
    <w:p w14:paraId="3BEE262A" w14:textId="1E23C6C6" w:rsidR="00221A06" w:rsidRPr="002050C1" w:rsidRDefault="00856E1C" w:rsidP="002050C1">
      <w:pPr>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Table 3: </w:t>
      </w:r>
      <w:r w:rsidR="00181D69" w:rsidRPr="002050C1">
        <w:rPr>
          <w:rFonts w:ascii="Times New Roman" w:eastAsiaTheme="minorEastAsia" w:hAnsi="Times New Roman" w:cs="Times New Roman"/>
          <w:sz w:val="24"/>
          <w:szCs w:val="24"/>
        </w:rPr>
        <w:t>Education level</w:t>
      </w:r>
      <w:r w:rsidRPr="002050C1">
        <w:rPr>
          <w:rFonts w:ascii="Times New Roman" w:eastAsiaTheme="minorEastAsia" w:hAnsi="Times New Roman" w:cs="Times New Roman"/>
          <w:sz w:val="24"/>
          <w:szCs w:val="24"/>
        </w:rPr>
        <w:t xml:space="preserve"> </w:t>
      </w:r>
      <w:r w:rsidRPr="002050C1">
        <w:rPr>
          <w:rFonts w:ascii="Times New Roman" w:hAnsi="Times New Roman" w:cs="Times New Roman"/>
          <w:sz w:val="24"/>
          <w:szCs w:val="24"/>
        </w:rPr>
        <w:t>of respondents</w:t>
      </w:r>
    </w:p>
    <w:tbl>
      <w:tblPr>
        <w:tblStyle w:val="TableGrid"/>
        <w:tblpPr w:leftFromText="180" w:rightFromText="180" w:vertAnchor="text" w:horzAnchor="margin" w:tblpY="123"/>
        <w:tblW w:w="8348" w:type="dxa"/>
        <w:tblLayout w:type="fixed"/>
        <w:tblLook w:val="0000" w:firstRow="0" w:lastRow="0" w:firstColumn="0" w:lastColumn="0" w:noHBand="0" w:noVBand="0"/>
      </w:tblPr>
      <w:tblGrid>
        <w:gridCol w:w="3244"/>
        <w:gridCol w:w="2739"/>
        <w:gridCol w:w="2365"/>
      </w:tblGrid>
      <w:tr w:rsidR="00F90BE1" w:rsidRPr="00F90BE1" w14:paraId="34D51EC1" w14:textId="77777777" w:rsidTr="00A879C0">
        <w:trPr>
          <w:trHeight w:val="389"/>
        </w:trPr>
        <w:tc>
          <w:tcPr>
            <w:tcW w:w="3244" w:type="dxa"/>
          </w:tcPr>
          <w:p w14:paraId="4886C114"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Education Groups</w:t>
            </w:r>
          </w:p>
        </w:tc>
        <w:tc>
          <w:tcPr>
            <w:tcW w:w="2739" w:type="dxa"/>
          </w:tcPr>
          <w:p w14:paraId="74A9EA0A"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Frequency</w:t>
            </w:r>
          </w:p>
        </w:tc>
        <w:tc>
          <w:tcPr>
            <w:tcW w:w="2365" w:type="dxa"/>
          </w:tcPr>
          <w:p w14:paraId="3584704E"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Percent</w:t>
            </w:r>
          </w:p>
        </w:tc>
      </w:tr>
      <w:tr w:rsidR="00F90BE1" w:rsidRPr="00F90BE1" w14:paraId="26FFDF42" w14:textId="77777777" w:rsidTr="00A879C0">
        <w:trPr>
          <w:trHeight w:val="318"/>
        </w:trPr>
        <w:tc>
          <w:tcPr>
            <w:tcW w:w="3244" w:type="dxa"/>
          </w:tcPr>
          <w:p w14:paraId="6F09915A"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181D69">
              <w:rPr>
                <w:rFonts w:ascii="Times New Roman" w:hAnsi="Times New Roman" w:cs="Times New Roman"/>
                <w:kern w:val="0"/>
                <w:sz w:val="24"/>
                <w:szCs w:val="24"/>
              </w:rPr>
              <w:t>Illiterate</w:t>
            </w:r>
          </w:p>
        </w:tc>
        <w:tc>
          <w:tcPr>
            <w:tcW w:w="2739" w:type="dxa"/>
          </w:tcPr>
          <w:p w14:paraId="5D1A0F3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4</w:t>
            </w:r>
          </w:p>
        </w:tc>
        <w:tc>
          <w:tcPr>
            <w:tcW w:w="2365" w:type="dxa"/>
          </w:tcPr>
          <w:p w14:paraId="4BC6DC57"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2.8</w:t>
            </w:r>
          </w:p>
        </w:tc>
      </w:tr>
      <w:tr w:rsidR="00F90BE1" w:rsidRPr="00F90BE1" w14:paraId="31750BA1" w14:textId="77777777" w:rsidTr="00A879C0">
        <w:trPr>
          <w:trHeight w:val="386"/>
        </w:trPr>
        <w:tc>
          <w:tcPr>
            <w:tcW w:w="3244" w:type="dxa"/>
          </w:tcPr>
          <w:p w14:paraId="41249ECC"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proofErr w:type="spellStart"/>
            <w:r w:rsidRPr="00F90BE1">
              <w:rPr>
                <w:rFonts w:ascii="Times New Roman" w:hAnsi="Times New Roman" w:cs="Times New Roman"/>
                <w:kern w:val="0"/>
                <w:sz w:val="24"/>
                <w:szCs w:val="24"/>
              </w:rPr>
              <w:t>Upto</w:t>
            </w:r>
            <w:proofErr w:type="spellEnd"/>
            <w:r w:rsidRPr="00F90BE1">
              <w:rPr>
                <w:rFonts w:ascii="Times New Roman" w:hAnsi="Times New Roman" w:cs="Times New Roman"/>
                <w:kern w:val="0"/>
                <w:sz w:val="24"/>
                <w:szCs w:val="24"/>
              </w:rPr>
              <w:t xml:space="preserve"> Class 8th</w:t>
            </w:r>
          </w:p>
        </w:tc>
        <w:tc>
          <w:tcPr>
            <w:tcW w:w="2739" w:type="dxa"/>
          </w:tcPr>
          <w:p w14:paraId="34ECDE50"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37</w:t>
            </w:r>
          </w:p>
        </w:tc>
        <w:tc>
          <w:tcPr>
            <w:tcW w:w="2365" w:type="dxa"/>
          </w:tcPr>
          <w:p w14:paraId="7E19739B"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25.7</w:t>
            </w:r>
          </w:p>
        </w:tc>
      </w:tr>
      <w:tr w:rsidR="00F90BE1" w:rsidRPr="00F90BE1" w14:paraId="53C6329C" w14:textId="77777777" w:rsidTr="00A879C0">
        <w:trPr>
          <w:trHeight w:val="300"/>
        </w:trPr>
        <w:tc>
          <w:tcPr>
            <w:tcW w:w="3244" w:type="dxa"/>
          </w:tcPr>
          <w:p w14:paraId="724BDEF3"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Class 10</w:t>
            </w:r>
            <w:r w:rsidRPr="00F90BE1">
              <w:rPr>
                <w:rFonts w:ascii="Times New Roman" w:hAnsi="Times New Roman" w:cs="Times New Roman"/>
                <w:kern w:val="0"/>
                <w:sz w:val="24"/>
                <w:szCs w:val="24"/>
                <w:vertAlign w:val="superscript"/>
              </w:rPr>
              <w:t>th</w:t>
            </w:r>
            <w:r w:rsidRPr="00F90BE1">
              <w:rPr>
                <w:rFonts w:ascii="Times New Roman" w:hAnsi="Times New Roman" w:cs="Times New Roman"/>
                <w:kern w:val="0"/>
                <w:sz w:val="24"/>
                <w:szCs w:val="24"/>
              </w:rPr>
              <w:t xml:space="preserve"> </w:t>
            </w:r>
          </w:p>
        </w:tc>
        <w:tc>
          <w:tcPr>
            <w:tcW w:w="2739" w:type="dxa"/>
          </w:tcPr>
          <w:p w14:paraId="63B50AB5"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45</w:t>
            </w:r>
          </w:p>
        </w:tc>
        <w:tc>
          <w:tcPr>
            <w:tcW w:w="2365" w:type="dxa"/>
          </w:tcPr>
          <w:p w14:paraId="3368BA77"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31.3</w:t>
            </w:r>
          </w:p>
        </w:tc>
      </w:tr>
      <w:tr w:rsidR="00F90BE1" w:rsidRPr="00F90BE1" w14:paraId="255B4E2E" w14:textId="77777777" w:rsidTr="00A879C0">
        <w:trPr>
          <w:trHeight w:val="300"/>
        </w:trPr>
        <w:tc>
          <w:tcPr>
            <w:tcW w:w="3244" w:type="dxa"/>
          </w:tcPr>
          <w:p w14:paraId="75905A2B"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Class 12</w:t>
            </w:r>
            <w:r w:rsidRPr="00F90BE1">
              <w:rPr>
                <w:rFonts w:ascii="Times New Roman" w:hAnsi="Times New Roman" w:cs="Times New Roman"/>
                <w:kern w:val="0"/>
                <w:sz w:val="24"/>
                <w:szCs w:val="24"/>
                <w:vertAlign w:val="superscript"/>
              </w:rPr>
              <w:t>th</w:t>
            </w:r>
            <w:r w:rsidRPr="00F90BE1">
              <w:rPr>
                <w:rFonts w:ascii="Times New Roman" w:hAnsi="Times New Roman" w:cs="Times New Roman"/>
                <w:kern w:val="0"/>
                <w:sz w:val="24"/>
                <w:szCs w:val="24"/>
              </w:rPr>
              <w:t xml:space="preserve"> </w:t>
            </w:r>
          </w:p>
        </w:tc>
        <w:tc>
          <w:tcPr>
            <w:tcW w:w="2739" w:type="dxa"/>
          </w:tcPr>
          <w:p w14:paraId="3DE0191C"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33</w:t>
            </w:r>
          </w:p>
        </w:tc>
        <w:tc>
          <w:tcPr>
            <w:tcW w:w="2365" w:type="dxa"/>
          </w:tcPr>
          <w:p w14:paraId="593019D1"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22.9</w:t>
            </w:r>
          </w:p>
        </w:tc>
      </w:tr>
      <w:tr w:rsidR="00F90BE1" w:rsidRPr="00F90BE1" w14:paraId="53D9A1C3" w14:textId="77777777" w:rsidTr="00A879C0">
        <w:trPr>
          <w:trHeight w:val="300"/>
        </w:trPr>
        <w:tc>
          <w:tcPr>
            <w:tcW w:w="3244" w:type="dxa"/>
          </w:tcPr>
          <w:p w14:paraId="3AD2F9BA"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Graduation</w:t>
            </w:r>
          </w:p>
        </w:tc>
        <w:tc>
          <w:tcPr>
            <w:tcW w:w="2739" w:type="dxa"/>
          </w:tcPr>
          <w:p w14:paraId="4AC32531"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20</w:t>
            </w:r>
          </w:p>
        </w:tc>
        <w:tc>
          <w:tcPr>
            <w:tcW w:w="2365" w:type="dxa"/>
          </w:tcPr>
          <w:p w14:paraId="3B76B3B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13.9</w:t>
            </w:r>
          </w:p>
        </w:tc>
      </w:tr>
      <w:tr w:rsidR="00F90BE1" w:rsidRPr="00F90BE1" w14:paraId="342C8D81" w14:textId="77777777" w:rsidTr="00A879C0">
        <w:trPr>
          <w:trHeight w:val="378"/>
        </w:trPr>
        <w:tc>
          <w:tcPr>
            <w:tcW w:w="3244" w:type="dxa"/>
          </w:tcPr>
          <w:p w14:paraId="5F1FA2B6"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lastRenderedPageBreak/>
              <w:t>Post graduation</w:t>
            </w:r>
          </w:p>
        </w:tc>
        <w:tc>
          <w:tcPr>
            <w:tcW w:w="2739" w:type="dxa"/>
          </w:tcPr>
          <w:p w14:paraId="5BB1F708"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5</w:t>
            </w:r>
          </w:p>
        </w:tc>
        <w:tc>
          <w:tcPr>
            <w:tcW w:w="2365" w:type="dxa"/>
          </w:tcPr>
          <w:p w14:paraId="555EE2B8"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3.5</w:t>
            </w:r>
          </w:p>
        </w:tc>
      </w:tr>
      <w:tr w:rsidR="00F90BE1" w:rsidRPr="00F90BE1" w14:paraId="136B3B27" w14:textId="77777777" w:rsidTr="00A879C0">
        <w:trPr>
          <w:trHeight w:val="300"/>
        </w:trPr>
        <w:tc>
          <w:tcPr>
            <w:tcW w:w="3244" w:type="dxa"/>
          </w:tcPr>
          <w:p w14:paraId="2C3D4D7B" w14:textId="77777777" w:rsidR="00181D69" w:rsidRPr="00F90BE1" w:rsidRDefault="00181D69" w:rsidP="00F90BE1">
            <w:pPr>
              <w:autoSpaceDE w:val="0"/>
              <w:autoSpaceDN w:val="0"/>
              <w:adjustRightInd w:val="0"/>
              <w:ind w:left="60" w:right="60"/>
              <w:jc w:val="both"/>
              <w:rPr>
                <w:rFonts w:ascii="Times New Roman" w:hAnsi="Times New Roman" w:cs="Times New Roman"/>
                <w:kern w:val="0"/>
                <w:sz w:val="24"/>
                <w:szCs w:val="24"/>
              </w:rPr>
            </w:pPr>
            <w:r w:rsidRPr="00F90BE1">
              <w:rPr>
                <w:rFonts w:ascii="Times New Roman" w:hAnsi="Times New Roman" w:cs="Times New Roman"/>
                <w:kern w:val="0"/>
                <w:sz w:val="24"/>
                <w:szCs w:val="24"/>
              </w:rPr>
              <w:t>Total</w:t>
            </w:r>
          </w:p>
        </w:tc>
        <w:tc>
          <w:tcPr>
            <w:tcW w:w="2739" w:type="dxa"/>
          </w:tcPr>
          <w:p w14:paraId="46D22354"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144</w:t>
            </w:r>
          </w:p>
        </w:tc>
        <w:tc>
          <w:tcPr>
            <w:tcW w:w="2365" w:type="dxa"/>
          </w:tcPr>
          <w:p w14:paraId="06A21779" w14:textId="77777777" w:rsidR="00181D69" w:rsidRPr="00221A06" w:rsidRDefault="00181D69" w:rsidP="00F90BE1">
            <w:pPr>
              <w:autoSpaceDE w:val="0"/>
              <w:autoSpaceDN w:val="0"/>
              <w:adjustRightInd w:val="0"/>
              <w:ind w:left="60" w:right="60"/>
              <w:jc w:val="both"/>
              <w:rPr>
                <w:rFonts w:ascii="Times New Roman" w:hAnsi="Times New Roman" w:cs="Times New Roman"/>
                <w:kern w:val="0"/>
                <w:sz w:val="24"/>
                <w:szCs w:val="24"/>
              </w:rPr>
            </w:pPr>
            <w:r w:rsidRPr="00221A06">
              <w:rPr>
                <w:rFonts w:ascii="Times New Roman" w:hAnsi="Times New Roman" w:cs="Times New Roman"/>
                <w:kern w:val="0"/>
                <w:sz w:val="24"/>
                <w:szCs w:val="24"/>
              </w:rPr>
              <w:t>100.0</w:t>
            </w:r>
          </w:p>
        </w:tc>
      </w:tr>
    </w:tbl>
    <w:p w14:paraId="7C1588C1" w14:textId="77777777" w:rsidR="00181D69" w:rsidRPr="002050C1" w:rsidRDefault="00181D69" w:rsidP="002050C1">
      <w:pPr>
        <w:jc w:val="both"/>
        <w:rPr>
          <w:rFonts w:ascii="Times New Roman" w:eastAsiaTheme="minorEastAsia" w:hAnsi="Times New Roman" w:cs="Times New Roman"/>
          <w:sz w:val="24"/>
          <w:szCs w:val="24"/>
        </w:rPr>
      </w:pPr>
    </w:p>
    <w:p w14:paraId="7C553D0D" w14:textId="77777777" w:rsidR="00181D69" w:rsidRPr="002050C1" w:rsidRDefault="00181D69" w:rsidP="002050C1">
      <w:pPr>
        <w:jc w:val="both"/>
        <w:rPr>
          <w:rFonts w:ascii="Times New Roman" w:eastAsiaTheme="minorEastAsia" w:hAnsi="Times New Roman" w:cs="Times New Roman"/>
          <w:sz w:val="24"/>
          <w:szCs w:val="24"/>
        </w:rPr>
      </w:pPr>
    </w:p>
    <w:p w14:paraId="34022CFE" w14:textId="77777777" w:rsidR="00181D69" w:rsidRPr="002050C1" w:rsidRDefault="00181D69" w:rsidP="002050C1">
      <w:pPr>
        <w:jc w:val="both"/>
        <w:rPr>
          <w:rFonts w:ascii="Times New Roman" w:eastAsiaTheme="minorEastAsia" w:hAnsi="Times New Roman" w:cs="Times New Roman"/>
          <w:sz w:val="24"/>
          <w:szCs w:val="24"/>
        </w:rPr>
      </w:pPr>
    </w:p>
    <w:p w14:paraId="4C07600A" w14:textId="77777777" w:rsidR="00181D69" w:rsidRPr="002050C1" w:rsidRDefault="00181D69" w:rsidP="002050C1">
      <w:pPr>
        <w:jc w:val="both"/>
        <w:rPr>
          <w:rFonts w:ascii="Times New Roman" w:eastAsiaTheme="minorEastAsia" w:hAnsi="Times New Roman" w:cs="Times New Roman"/>
          <w:sz w:val="24"/>
          <w:szCs w:val="24"/>
        </w:rPr>
      </w:pPr>
    </w:p>
    <w:p w14:paraId="54A2E3B7" w14:textId="77777777" w:rsidR="00181D69" w:rsidRPr="002050C1" w:rsidRDefault="00181D69" w:rsidP="002050C1">
      <w:pPr>
        <w:jc w:val="both"/>
        <w:rPr>
          <w:rFonts w:ascii="Times New Roman" w:eastAsiaTheme="minorEastAsia" w:hAnsi="Times New Roman" w:cs="Times New Roman"/>
          <w:sz w:val="24"/>
          <w:szCs w:val="24"/>
        </w:rPr>
      </w:pPr>
    </w:p>
    <w:p w14:paraId="050FCAAC" w14:textId="77777777" w:rsidR="00181D69" w:rsidRPr="002050C1" w:rsidRDefault="00181D69" w:rsidP="002050C1">
      <w:pPr>
        <w:jc w:val="both"/>
        <w:rPr>
          <w:rFonts w:ascii="Times New Roman" w:eastAsiaTheme="minorEastAsia" w:hAnsi="Times New Roman" w:cs="Times New Roman"/>
          <w:sz w:val="24"/>
          <w:szCs w:val="24"/>
        </w:rPr>
      </w:pPr>
    </w:p>
    <w:p w14:paraId="03C7C30F" w14:textId="31578DD7"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2CEB3391" w14:textId="6FCB94B4" w:rsidR="002007DA" w:rsidRPr="002050C1" w:rsidRDefault="002007DA"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rPr>
        <w:t xml:space="preserve">The table 4 highlight that </w:t>
      </w:r>
      <w:r w:rsidR="00A879C0" w:rsidRPr="002050C1">
        <w:rPr>
          <w:rFonts w:ascii="Times New Roman" w:hAnsi="Times New Roman" w:cs="Times New Roman"/>
          <w:sz w:val="24"/>
          <w:szCs w:val="24"/>
        </w:rPr>
        <w:t>an</w:t>
      </w:r>
      <w:r w:rsidRPr="002050C1">
        <w:rPr>
          <w:rFonts w:ascii="Times New Roman" w:hAnsi="Times New Roman" w:cs="Times New Roman"/>
          <w:sz w:val="24"/>
          <w:szCs w:val="24"/>
        </w:rPr>
        <w:t xml:space="preserve"> overwhelming 97.9% of farmers reported access to credit, while only 2.1% lacked it. This highlights that institutional and non-institutional credit systems are widely available in the study area.</w:t>
      </w:r>
    </w:p>
    <w:p w14:paraId="24150DBB" w14:textId="36A6828D" w:rsidR="0033768D" w:rsidRPr="002050C1" w:rsidRDefault="00856E1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Table 4: </w:t>
      </w:r>
      <w:r w:rsidR="0033768D" w:rsidRPr="002050C1">
        <w:rPr>
          <w:rFonts w:ascii="Times New Roman" w:hAnsi="Times New Roman" w:cs="Times New Roman"/>
          <w:sz w:val="24"/>
          <w:szCs w:val="24"/>
          <w:lang w:val="en-US"/>
        </w:rPr>
        <w:t>Access to Credit</w:t>
      </w:r>
      <w:r w:rsidRPr="002050C1">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2894"/>
        <w:gridCol w:w="2916"/>
        <w:gridCol w:w="2665"/>
      </w:tblGrid>
      <w:tr w:rsidR="0033768D" w:rsidRPr="002050C1" w14:paraId="4F2474D7" w14:textId="77777777" w:rsidTr="00E4114B">
        <w:trPr>
          <w:trHeight w:val="368"/>
        </w:trPr>
        <w:tc>
          <w:tcPr>
            <w:tcW w:w="2894" w:type="dxa"/>
          </w:tcPr>
          <w:p w14:paraId="56BC8179"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Response</w:t>
            </w:r>
          </w:p>
        </w:tc>
        <w:tc>
          <w:tcPr>
            <w:tcW w:w="2916" w:type="dxa"/>
          </w:tcPr>
          <w:p w14:paraId="18BFD4D4"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Frequency</w:t>
            </w:r>
          </w:p>
        </w:tc>
        <w:tc>
          <w:tcPr>
            <w:tcW w:w="2665" w:type="dxa"/>
          </w:tcPr>
          <w:p w14:paraId="125482A3"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Percent</w:t>
            </w:r>
          </w:p>
        </w:tc>
      </w:tr>
      <w:tr w:rsidR="0033768D" w:rsidRPr="002050C1" w14:paraId="2D652BFC" w14:textId="77777777" w:rsidTr="00E4114B">
        <w:trPr>
          <w:trHeight w:val="368"/>
        </w:trPr>
        <w:tc>
          <w:tcPr>
            <w:tcW w:w="2894" w:type="dxa"/>
          </w:tcPr>
          <w:p w14:paraId="44A33CD7"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Yes</w:t>
            </w:r>
          </w:p>
        </w:tc>
        <w:tc>
          <w:tcPr>
            <w:tcW w:w="2916" w:type="dxa"/>
          </w:tcPr>
          <w:p w14:paraId="4561CAB0"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141</w:t>
            </w:r>
          </w:p>
        </w:tc>
        <w:tc>
          <w:tcPr>
            <w:tcW w:w="2665" w:type="dxa"/>
          </w:tcPr>
          <w:p w14:paraId="53A99FD2"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97.9%</w:t>
            </w:r>
          </w:p>
        </w:tc>
      </w:tr>
      <w:tr w:rsidR="0033768D" w:rsidRPr="002050C1" w14:paraId="0D9B6D30" w14:textId="77777777" w:rsidTr="00E4114B">
        <w:trPr>
          <w:trHeight w:val="368"/>
        </w:trPr>
        <w:tc>
          <w:tcPr>
            <w:tcW w:w="2894" w:type="dxa"/>
          </w:tcPr>
          <w:p w14:paraId="1D551D38"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No</w:t>
            </w:r>
          </w:p>
        </w:tc>
        <w:tc>
          <w:tcPr>
            <w:tcW w:w="2916" w:type="dxa"/>
          </w:tcPr>
          <w:p w14:paraId="654EA96F"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3</w:t>
            </w:r>
          </w:p>
        </w:tc>
        <w:tc>
          <w:tcPr>
            <w:tcW w:w="2665" w:type="dxa"/>
          </w:tcPr>
          <w:p w14:paraId="15C6FB17"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2.1%</w:t>
            </w:r>
          </w:p>
        </w:tc>
      </w:tr>
      <w:tr w:rsidR="0033768D" w:rsidRPr="002050C1" w14:paraId="2297AE85" w14:textId="77777777" w:rsidTr="00E4114B">
        <w:trPr>
          <w:trHeight w:val="355"/>
        </w:trPr>
        <w:tc>
          <w:tcPr>
            <w:tcW w:w="2894" w:type="dxa"/>
          </w:tcPr>
          <w:p w14:paraId="1EB87706"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Total</w:t>
            </w:r>
          </w:p>
        </w:tc>
        <w:tc>
          <w:tcPr>
            <w:tcW w:w="2916" w:type="dxa"/>
          </w:tcPr>
          <w:p w14:paraId="25BAD794"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144</w:t>
            </w:r>
          </w:p>
        </w:tc>
        <w:tc>
          <w:tcPr>
            <w:tcW w:w="2665" w:type="dxa"/>
          </w:tcPr>
          <w:p w14:paraId="0BED1DAA" w14:textId="77777777"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100%</w:t>
            </w:r>
          </w:p>
        </w:tc>
      </w:tr>
    </w:tbl>
    <w:p w14:paraId="73791CB6" w14:textId="76015001" w:rsidR="0033768D"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45F0B686" w14:textId="21E996D3"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(d) </w:t>
      </w:r>
      <w:r w:rsidR="002007DA" w:rsidRPr="002007DA">
        <w:rPr>
          <w:rFonts w:ascii="Times New Roman" w:hAnsi="Times New Roman" w:cs="Times New Roman"/>
          <w:sz w:val="24"/>
          <w:szCs w:val="24"/>
        </w:rPr>
        <w:t>Farm Size Distribution</w:t>
      </w:r>
    </w:p>
    <w:p w14:paraId="372FCFF2" w14:textId="60E9DC7D"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t>The landholding pattern shows that the majority of farmers fall into the marginal (46.5%) and small (43.8%) categories, with only 9.8% owning semi-medium and medium holdings. This dominance of small-scale farming is consistent with the agrarian structure of Jammu and Kashmir. Smaller farm sizes may limit economies of scale and capital-intensive investments, potentially affecting cost efficiency</w:t>
      </w:r>
      <w:r w:rsidRPr="002050C1">
        <w:rPr>
          <w:rFonts w:ascii="Times New Roman" w:hAnsi="Times New Roman" w:cs="Times New Roman"/>
          <w:sz w:val="24"/>
          <w:szCs w:val="24"/>
        </w:rPr>
        <w:t xml:space="preserve"> (see table 5). </w:t>
      </w:r>
      <w:proofErr w:type="gramStart"/>
      <w:r w:rsidRPr="002050C1">
        <w:rPr>
          <w:rFonts w:ascii="Times New Roman" w:hAnsi="Times New Roman" w:cs="Times New Roman"/>
          <w:sz w:val="24"/>
          <w:szCs w:val="24"/>
        </w:rPr>
        <w:t>Moreover</w:t>
      </w:r>
      <w:proofErr w:type="gramEnd"/>
      <w:r w:rsidRPr="002050C1">
        <w:rPr>
          <w:rFonts w:ascii="Times New Roman" w:hAnsi="Times New Roman" w:cs="Times New Roman"/>
          <w:sz w:val="24"/>
          <w:szCs w:val="24"/>
        </w:rPr>
        <w:t xml:space="preserve"> sharecroppers have most of the marginal and small farms.</w:t>
      </w:r>
    </w:p>
    <w:p w14:paraId="04720689" w14:textId="704E07A3" w:rsidR="0033768D" w:rsidRPr="0033768D"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Table 5: </w:t>
      </w:r>
      <w:r w:rsidR="0033768D" w:rsidRPr="0033768D">
        <w:rPr>
          <w:rFonts w:ascii="Times New Roman" w:hAnsi="Times New Roman" w:cs="Times New Roman"/>
          <w:sz w:val="24"/>
          <w:szCs w:val="24"/>
        </w:rPr>
        <w:t>Farm Size</w:t>
      </w:r>
      <w:r w:rsidRPr="002050C1">
        <w:rPr>
          <w:rFonts w:ascii="Times New Roman" w:hAnsi="Times New Roman" w:cs="Times New Roman"/>
          <w:sz w:val="24"/>
          <w:szCs w:val="24"/>
        </w:rPr>
        <w:t xml:space="preserve"> of respondents</w:t>
      </w:r>
    </w:p>
    <w:tbl>
      <w:tblPr>
        <w:tblStyle w:val="TableGrid"/>
        <w:tblW w:w="8274" w:type="dxa"/>
        <w:tblLayout w:type="fixed"/>
        <w:tblLook w:val="0000" w:firstRow="0" w:lastRow="0" w:firstColumn="0" w:lastColumn="0" w:noHBand="0" w:noVBand="0"/>
      </w:tblPr>
      <w:tblGrid>
        <w:gridCol w:w="2872"/>
        <w:gridCol w:w="2872"/>
        <w:gridCol w:w="2530"/>
      </w:tblGrid>
      <w:tr w:rsidR="0033768D" w:rsidRPr="0033768D" w14:paraId="21EC6E5E" w14:textId="77777777" w:rsidTr="00E4114B">
        <w:trPr>
          <w:trHeight w:val="528"/>
        </w:trPr>
        <w:tc>
          <w:tcPr>
            <w:tcW w:w="2872" w:type="dxa"/>
          </w:tcPr>
          <w:p w14:paraId="2571620E"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Farm Size</w:t>
            </w:r>
          </w:p>
        </w:tc>
        <w:tc>
          <w:tcPr>
            <w:tcW w:w="2872" w:type="dxa"/>
          </w:tcPr>
          <w:p w14:paraId="09CB73F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Frequency</w:t>
            </w:r>
          </w:p>
        </w:tc>
        <w:tc>
          <w:tcPr>
            <w:tcW w:w="2530" w:type="dxa"/>
          </w:tcPr>
          <w:p w14:paraId="5D2CFCD5"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Percent</w:t>
            </w:r>
          </w:p>
        </w:tc>
      </w:tr>
      <w:tr w:rsidR="0033768D" w:rsidRPr="0033768D" w14:paraId="7C5767F4" w14:textId="77777777" w:rsidTr="00E4114B">
        <w:trPr>
          <w:trHeight w:val="406"/>
        </w:trPr>
        <w:tc>
          <w:tcPr>
            <w:tcW w:w="2872" w:type="dxa"/>
          </w:tcPr>
          <w:p w14:paraId="0652D0B6"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Marginal (</w:t>
            </w:r>
            <w:proofErr w:type="spellStart"/>
            <w:r w:rsidRPr="0033768D">
              <w:rPr>
                <w:rFonts w:ascii="Times New Roman" w:hAnsi="Times New Roman" w:cs="Times New Roman"/>
                <w:sz w:val="24"/>
                <w:szCs w:val="24"/>
              </w:rPr>
              <w:t>upto</w:t>
            </w:r>
            <w:proofErr w:type="spellEnd"/>
            <w:r w:rsidRPr="0033768D">
              <w:rPr>
                <w:rFonts w:ascii="Times New Roman" w:hAnsi="Times New Roman" w:cs="Times New Roman"/>
                <w:sz w:val="24"/>
                <w:szCs w:val="24"/>
              </w:rPr>
              <w:t xml:space="preserve"> 1 hectare)</w:t>
            </w:r>
          </w:p>
        </w:tc>
        <w:tc>
          <w:tcPr>
            <w:tcW w:w="2872" w:type="dxa"/>
          </w:tcPr>
          <w:p w14:paraId="321D9150"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67</w:t>
            </w:r>
          </w:p>
        </w:tc>
        <w:tc>
          <w:tcPr>
            <w:tcW w:w="2530" w:type="dxa"/>
          </w:tcPr>
          <w:p w14:paraId="335C7092"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46.5</w:t>
            </w:r>
          </w:p>
        </w:tc>
      </w:tr>
      <w:tr w:rsidR="0033768D" w:rsidRPr="0033768D" w14:paraId="2018B1E4" w14:textId="77777777" w:rsidTr="00E4114B">
        <w:trPr>
          <w:trHeight w:val="427"/>
        </w:trPr>
        <w:tc>
          <w:tcPr>
            <w:tcW w:w="2872" w:type="dxa"/>
          </w:tcPr>
          <w:p w14:paraId="403BF074"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Small (1-2 hectare)</w:t>
            </w:r>
          </w:p>
        </w:tc>
        <w:tc>
          <w:tcPr>
            <w:tcW w:w="2872" w:type="dxa"/>
          </w:tcPr>
          <w:p w14:paraId="568472DF"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63</w:t>
            </w:r>
          </w:p>
        </w:tc>
        <w:tc>
          <w:tcPr>
            <w:tcW w:w="2530" w:type="dxa"/>
          </w:tcPr>
          <w:p w14:paraId="3237C1F5"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43.8</w:t>
            </w:r>
          </w:p>
        </w:tc>
      </w:tr>
      <w:tr w:rsidR="0033768D" w:rsidRPr="0033768D" w14:paraId="0F5C71EB" w14:textId="77777777" w:rsidTr="00E4114B">
        <w:trPr>
          <w:trHeight w:val="448"/>
        </w:trPr>
        <w:tc>
          <w:tcPr>
            <w:tcW w:w="2872" w:type="dxa"/>
          </w:tcPr>
          <w:p w14:paraId="6E6D4228"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Semi medium (2-4 hectare)</w:t>
            </w:r>
          </w:p>
        </w:tc>
        <w:tc>
          <w:tcPr>
            <w:tcW w:w="2872" w:type="dxa"/>
          </w:tcPr>
          <w:p w14:paraId="708FD990"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9</w:t>
            </w:r>
          </w:p>
        </w:tc>
        <w:tc>
          <w:tcPr>
            <w:tcW w:w="2530" w:type="dxa"/>
          </w:tcPr>
          <w:p w14:paraId="599A4BD8"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6.3</w:t>
            </w:r>
          </w:p>
        </w:tc>
      </w:tr>
      <w:tr w:rsidR="0033768D" w:rsidRPr="0033768D" w14:paraId="7AF5EC9F" w14:textId="77777777" w:rsidTr="00E4114B">
        <w:trPr>
          <w:trHeight w:val="413"/>
        </w:trPr>
        <w:tc>
          <w:tcPr>
            <w:tcW w:w="2872" w:type="dxa"/>
          </w:tcPr>
          <w:p w14:paraId="688AECAE"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Medium (4-10 hectare)</w:t>
            </w:r>
          </w:p>
        </w:tc>
        <w:tc>
          <w:tcPr>
            <w:tcW w:w="2872" w:type="dxa"/>
          </w:tcPr>
          <w:p w14:paraId="34A6C4C6"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5</w:t>
            </w:r>
          </w:p>
        </w:tc>
        <w:tc>
          <w:tcPr>
            <w:tcW w:w="2530" w:type="dxa"/>
          </w:tcPr>
          <w:p w14:paraId="7CD7B98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3.5</w:t>
            </w:r>
          </w:p>
        </w:tc>
      </w:tr>
      <w:tr w:rsidR="0033768D" w:rsidRPr="0033768D" w14:paraId="3EC58DC2" w14:textId="77777777" w:rsidTr="00E4114B">
        <w:trPr>
          <w:trHeight w:val="263"/>
        </w:trPr>
        <w:tc>
          <w:tcPr>
            <w:tcW w:w="2872" w:type="dxa"/>
          </w:tcPr>
          <w:p w14:paraId="47839BF4"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Total</w:t>
            </w:r>
          </w:p>
        </w:tc>
        <w:tc>
          <w:tcPr>
            <w:tcW w:w="2872" w:type="dxa"/>
          </w:tcPr>
          <w:p w14:paraId="1F02B3CA"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144</w:t>
            </w:r>
          </w:p>
        </w:tc>
        <w:tc>
          <w:tcPr>
            <w:tcW w:w="2530" w:type="dxa"/>
          </w:tcPr>
          <w:p w14:paraId="45B7FF2F" w14:textId="77777777" w:rsidR="0033768D" w:rsidRPr="0033768D" w:rsidRDefault="0033768D" w:rsidP="00A879C0">
            <w:pPr>
              <w:spacing w:after="160"/>
              <w:jc w:val="both"/>
              <w:rPr>
                <w:rFonts w:ascii="Times New Roman" w:hAnsi="Times New Roman" w:cs="Times New Roman"/>
                <w:sz w:val="24"/>
                <w:szCs w:val="24"/>
              </w:rPr>
            </w:pPr>
            <w:r w:rsidRPr="0033768D">
              <w:rPr>
                <w:rFonts w:ascii="Times New Roman" w:hAnsi="Times New Roman" w:cs="Times New Roman"/>
                <w:sz w:val="24"/>
                <w:szCs w:val="24"/>
              </w:rPr>
              <w:t>100.0</w:t>
            </w:r>
          </w:p>
        </w:tc>
      </w:tr>
    </w:tbl>
    <w:p w14:paraId="0E0CC21E" w14:textId="6A464E2F" w:rsidR="002007DA"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394265E3" w14:textId="017F5C83" w:rsidR="0033768D" w:rsidRPr="002050C1" w:rsidRDefault="0033768D"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Figure</w:t>
      </w:r>
      <w:r w:rsidR="00856E1C" w:rsidRPr="002050C1">
        <w:rPr>
          <w:rFonts w:ascii="Times New Roman" w:hAnsi="Times New Roman" w:cs="Times New Roman"/>
          <w:sz w:val="24"/>
          <w:szCs w:val="24"/>
          <w:lang w:val="en-US"/>
        </w:rPr>
        <w:t xml:space="preserve"> 1</w:t>
      </w:r>
      <w:r w:rsidRPr="002050C1">
        <w:rPr>
          <w:rFonts w:ascii="Times New Roman" w:hAnsi="Times New Roman" w:cs="Times New Roman"/>
          <w:sz w:val="24"/>
          <w:szCs w:val="24"/>
          <w:lang w:val="en-US"/>
        </w:rPr>
        <w:t>: Farm Size across Owner operators, Sharecroppers and Fixed Renters</w:t>
      </w:r>
    </w:p>
    <w:p w14:paraId="5131D13F" w14:textId="53B71226" w:rsidR="0033768D" w:rsidRPr="002050C1" w:rsidRDefault="00B4591C" w:rsidP="002050C1">
      <w:pPr>
        <w:jc w:val="both"/>
        <w:rPr>
          <w:rFonts w:ascii="Times New Roman" w:hAnsi="Times New Roman" w:cs="Times New Roman"/>
          <w:sz w:val="24"/>
          <w:szCs w:val="24"/>
        </w:rPr>
      </w:pPr>
      <w:r w:rsidRPr="002050C1">
        <w:rPr>
          <w:rFonts w:ascii="Times New Roman" w:hAnsi="Times New Roman" w:cs="Times New Roman"/>
          <w:noProof/>
          <w:sz w:val="24"/>
          <w:szCs w:val="24"/>
        </w:rPr>
        <w:lastRenderedPageBreak/>
        <w:drawing>
          <wp:inline distT="0" distB="0" distL="0" distR="0" wp14:anchorId="3BC94A5D" wp14:editId="71AC7E8A">
            <wp:extent cx="5731510" cy="2667000"/>
            <wp:effectExtent l="0" t="0" r="2540" b="0"/>
            <wp:docPr id="365397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67000"/>
                    </a:xfrm>
                    <a:prstGeom prst="rect">
                      <a:avLst/>
                    </a:prstGeom>
                    <a:noFill/>
                    <a:ln>
                      <a:noFill/>
                    </a:ln>
                  </pic:spPr>
                </pic:pic>
              </a:graphicData>
            </a:graphic>
          </wp:inline>
        </w:drawing>
      </w:r>
    </w:p>
    <w:p w14:paraId="21B5D504" w14:textId="25EB35F1"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(e) </w:t>
      </w:r>
      <w:r w:rsidR="002007DA" w:rsidRPr="002007DA">
        <w:rPr>
          <w:rFonts w:ascii="Times New Roman" w:hAnsi="Times New Roman" w:cs="Times New Roman"/>
          <w:sz w:val="24"/>
          <w:szCs w:val="24"/>
        </w:rPr>
        <w:t>Overall Efficiency Measurement</w:t>
      </w:r>
    </w:p>
    <w:p w14:paraId="57B9BB44" w14:textId="051A7027" w:rsidR="002007DA" w:rsidRPr="002007DA" w:rsidRDefault="002007DA" w:rsidP="002050C1">
      <w:pPr>
        <w:jc w:val="both"/>
        <w:rPr>
          <w:rFonts w:ascii="Times New Roman" w:hAnsi="Times New Roman" w:cs="Times New Roman"/>
          <w:sz w:val="24"/>
          <w:szCs w:val="24"/>
        </w:rPr>
      </w:pPr>
      <w:r w:rsidRPr="002050C1">
        <w:rPr>
          <w:rFonts w:ascii="Times New Roman" w:hAnsi="Times New Roman" w:cs="Times New Roman"/>
          <w:sz w:val="24"/>
          <w:szCs w:val="24"/>
        </w:rPr>
        <w:t>The table 6 indicate that t</w:t>
      </w:r>
      <w:r w:rsidRPr="002007DA">
        <w:rPr>
          <w:rFonts w:ascii="Times New Roman" w:hAnsi="Times New Roman" w:cs="Times New Roman"/>
          <w:sz w:val="24"/>
          <w:szCs w:val="24"/>
        </w:rPr>
        <w:t>he overall technical efficiency (TE) results indicate that a large proportion of farmers operate at a low efficiency level. Specifically, 38.2% of farmers fall within the 0.00–0.50 range of TE, while another 26.4% lie between 0.51–0.60. Only 9.7% of farmers achieved near-perfect efficiency levels (0.91–1.00). The mean TE score of 0.60 suggests that, on average, farmers could potentially reduce inputs by 40% without compromising output levels if they were fully efficient.</w:t>
      </w:r>
    </w:p>
    <w:p w14:paraId="08E823BA" w14:textId="4955FDA1"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t>Cost efficiency (CE) is even lower, with a mean of 0.23, reflecting substantial scope for minimizing production costs. Allocative efficiency (AE), which measures how well farmers combine inputs given input prices, averages 0.38, indicating that farmers are not using the cost-minimizing mix of inputs. Collectively, these findings suggest significant inefficiency in the production system of Jammu agriculture, rooted in both technical and allocative dimensions.</w:t>
      </w:r>
    </w:p>
    <w:p w14:paraId="3A84BB69" w14:textId="06BC8287" w:rsidR="00BA7D92" w:rsidRPr="002050C1" w:rsidRDefault="00BA7D92"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Table</w:t>
      </w:r>
      <w:r w:rsidR="00856E1C" w:rsidRPr="002050C1">
        <w:rPr>
          <w:rFonts w:ascii="Times New Roman" w:hAnsi="Times New Roman" w:cs="Times New Roman"/>
          <w:sz w:val="24"/>
          <w:szCs w:val="24"/>
          <w:lang w:val="en-US"/>
        </w:rPr>
        <w:t xml:space="preserve"> 6</w:t>
      </w:r>
      <w:r w:rsidRPr="002050C1">
        <w:rPr>
          <w:rFonts w:ascii="Times New Roman" w:hAnsi="Times New Roman" w:cs="Times New Roman"/>
          <w:sz w:val="24"/>
          <w:szCs w:val="24"/>
          <w:lang w:val="en-US"/>
        </w:rPr>
        <w:t xml:space="preserve">: </w:t>
      </w:r>
      <w:r w:rsidR="00856E1C" w:rsidRPr="002050C1">
        <w:rPr>
          <w:rFonts w:ascii="Times New Roman" w:hAnsi="Times New Roman" w:cs="Times New Roman"/>
          <w:sz w:val="24"/>
          <w:szCs w:val="24"/>
          <w:lang w:val="en-US"/>
        </w:rPr>
        <w:t xml:space="preserve">Overall </w:t>
      </w:r>
      <w:r w:rsidRPr="002050C1">
        <w:rPr>
          <w:rFonts w:ascii="Times New Roman" w:hAnsi="Times New Roman" w:cs="Times New Roman"/>
          <w:sz w:val="24"/>
          <w:szCs w:val="24"/>
          <w:lang w:val="en-US"/>
        </w:rPr>
        <w:t>Efficiency Measurement</w:t>
      </w:r>
    </w:p>
    <w:tbl>
      <w:tblPr>
        <w:tblStyle w:val="TableGrid"/>
        <w:tblW w:w="0" w:type="auto"/>
        <w:tblLook w:val="04A0" w:firstRow="1" w:lastRow="0" w:firstColumn="1" w:lastColumn="0" w:noHBand="0" w:noVBand="1"/>
      </w:tblPr>
      <w:tblGrid>
        <w:gridCol w:w="2506"/>
        <w:gridCol w:w="2506"/>
        <w:gridCol w:w="2780"/>
      </w:tblGrid>
      <w:tr w:rsidR="00BA7D92" w:rsidRPr="00BA7D92" w14:paraId="41D3BB18" w14:textId="77777777" w:rsidTr="00A879C0">
        <w:trPr>
          <w:trHeight w:val="352"/>
        </w:trPr>
        <w:tc>
          <w:tcPr>
            <w:tcW w:w="2506" w:type="dxa"/>
          </w:tcPr>
          <w:p w14:paraId="56AC65D8"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TE Range </w:t>
            </w:r>
          </w:p>
        </w:tc>
        <w:tc>
          <w:tcPr>
            <w:tcW w:w="2506" w:type="dxa"/>
          </w:tcPr>
          <w:p w14:paraId="2ECBF16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Frequency</w:t>
            </w:r>
          </w:p>
        </w:tc>
        <w:tc>
          <w:tcPr>
            <w:tcW w:w="2780" w:type="dxa"/>
          </w:tcPr>
          <w:p w14:paraId="60F8BF6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Percent</w:t>
            </w:r>
          </w:p>
        </w:tc>
      </w:tr>
      <w:tr w:rsidR="00BA7D92" w:rsidRPr="00BA7D92" w14:paraId="021BF184" w14:textId="77777777" w:rsidTr="00A879C0">
        <w:trPr>
          <w:trHeight w:val="352"/>
        </w:trPr>
        <w:tc>
          <w:tcPr>
            <w:tcW w:w="2506" w:type="dxa"/>
          </w:tcPr>
          <w:p w14:paraId="72BD580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0.00–0.50</w:t>
            </w:r>
          </w:p>
        </w:tc>
        <w:tc>
          <w:tcPr>
            <w:tcW w:w="2506" w:type="dxa"/>
          </w:tcPr>
          <w:p w14:paraId="64E76D0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55</w:t>
            </w:r>
          </w:p>
        </w:tc>
        <w:tc>
          <w:tcPr>
            <w:tcW w:w="2780" w:type="dxa"/>
          </w:tcPr>
          <w:p w14:paraId="1D4F311D"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38.2%</w:t>
            </w:r>
          </w:p>
        </w:tc>
      </w:tr>
      <w:tr w:rsidR="00BA7D92" w:rsidRPr="00BA7D92" w14:paraId="7225E517" w14:textId="77777777" w:rsidTr="00A879C0">
        <w:trPr>
          <w:trHeight w:val="352"/>
        </w:trPr>
        <w:tc>
          <w:tcPr>
            <w:tcW w:w="2506" w:type="dxa"/>
          </w:tcPr>
          <w:p w14:paraId="050D0F7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0.51–0.60</w:t>
            </w:r>
          </w:p>
        </w:tc>
        <w:tc>
          <w:tcPr>
            <w:tcW w:w="2506" w:type="dxa"/>
          </w:tcPr>
          <w:p w14:paraId="6117697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38</w:t>
            </w:r>
          </w:p>
        </w:tc>
        <w:tc>
          <w:tcPr>
            <w:tcW w:w="2780" w:type="dxa"/>
          </w:tcPr>
          <w:p w14:paraId="5A3659F5"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26.4%</w:t>
            </w:r>
          </w:p>
        </w:tc>
      </w:tr>
      <w:tr w:rsidR="00BA7D92" w:rsidRPr="00BA7D92" w14:paraId="3576725A" w14:textId="77777777" w:rsidTr="00A879C0">
        <w:trPr>
          <w:trHeight w:val="352"/>
        </w:trPr>
        <w:tc>
          <w:tcPr>
            <w:tcW w:w="2506" w:type="dxa"/>
          </w:tcPr>
          <w:p w14:paraId="32D2A26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0.61–0.70</w:t>
            </w:r>
          </w:p>
        </w:tc>
        <w:tc>
          <w:tcPr>
            <w:tcW w:w="2506" w:type="dxa"/>
          </w:tcPr>
          <w:p w14:paraId="55AE588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13</w:t>
            </w:r>
          </w:p>
        </w:tc>
        <w:tc>
          <w:tcPr>
            <w:tcW w:w="2780" w:type="dxa"/>
          </w:tcPr>
          <w:p w14:paraId="1C8856C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9%</w:t>
            </w:r>
          </w:p>
        </w:tc>
      </w:tr>
      <w:tr w:rsidR="00BA7D92" w:rsidRPr="00BA7D92" w14:paraId="4E45974A" w14:textId="77777777" w:rsidTr="00A879C0">
        <w:trPr>
          <w:trHeight w:val="352"/>
        </w:trPr>
        <w:tc>
          <w:tcPr>
            <w:tcW w:w="2506" w:type="dxa"/>
          </w:tcPr>
          <w:p w14:paraId="1C0DC0E9"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0.71–0.80</w:t>
            </w:r>
          </w:p>
        </w:tc>
        <w:tc>
          <w:tcPr>
            <w:tcW w:w="2506" w:type="dxa"/>
          </w:tcPr>
          <w:p w14:paraId="56AE78CB"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15</w:t>
            </w:r>
          </w:p>
        </w:tc>
        <w:tc>
          <w:tcPr>
            <w:tcW w:w="2780" w:type="dxa"/>
          </w:tcPr>
          <w:p w14:paraId="7E5CEEE4"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10.4%</w:t>
            </w:r>
          </w:p>
        </w:tc>
      </w:tr>
      <w:tr w:rsidR="00BA7D92" w:rsidRPr="00BA7D92" w14:paraId="1595F08A" w14:textId="77777777" w:rsidTr="00A879C0">
        <w:trPr>
          <w:trHeight w:val="352"/>
        </w:trPr>
        <w:tc>
          <w:tcPr>
            <w:tcW w:w="2506" w:type="dxa"/>
          </w:tcPr>
          <w:p w14:paraId="5EC9D277"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0.81–0.90</w:t>
            </w:r>
          </w:p>
        </w:tc>
        <w:tc>
          <w:tcPr>
            <w:tcW w:w="2506" w:type="dxa"/>
          </w:tcPr>
          <w:p w14:paraId="7F9BFE3C"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9</w:t>
            </w:r>
          </w:p>
        </w:tc>
        <w:tc>
          <w:tcPr>
            <w:tcW w:w="2780" w:type="dxa"/>
          </w:tcPr>
          <w:p w14:paraId="1E75504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6.3%</w:t>
            </w:r>
          </w:p>
        </w:tc>
      </w:tr>
      <w:tr w:rsidR="00BA7D92" w:rsidRPr="00BA7D92" w14:paraId="4DFF9D08" w14:textId="77777777" w:rsidTr="00A879C0">
        <w:trPr>
          <w:trHeight w:val="310"/>
        </w:trPr>
        <w:tc>
          <w:tcPr>
            <w:tcW w:w="2506" w:type="dxa"/>
          </w:tcPr>
          <w:p w14:paraId="3439A6D0"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0.91–1.00</w:t>
            </w:r>
          </w:p>
        </w:tc>
        <w:tc>
          <w:tcPr>
            <w:tcW w:w="2506" w:type="dxa"/>
          </w:tcPr>
          <w:p w14:paraId="22C15ABF"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 xml:space="preserve"> 14</w:t>
            </w:r>
          </w:p>
        </w:tc>
        <w:tc>
          <w:tcPr>
            <w:tcW w:w="2780" w:type="dxa"/>
          </w:tcPr>
          <w:p w14:paraId="6EC31B6A" w14:textId="77777777" w:rsidR="00BA7D92" w:rsidRPr="00BA7D92" w:rsidRDefault="00BA7D92" w:rsidP="00A879C0">
            <w:pPr>
              <w:spacing w:after="160"/>
              <w:jc w:val="both"/>
              <w:rPr>
                <w:rFonts w:ascii="Times New Roman" w:hAnsi="Times New Roman" w:cs="Times New Roman"/>
                <w:sz w:val="24"/>
                <w:szCs w:val="24"/>
              </w:rPr>
            </w:pPr>
            <w:r w:rsidRPr="00BA7D92">
              <w:rPr>
                <w:rFonts w:ascii="Times New Roman" w:hAnsi="Times New Roman" w:cs="Times New Roman"/>
                <w:sz w:val="24"/>
                <w:szCs w:val="24"/>
              </w:rPr>
              <w:t>9.7%</w:t>
            </w:r>
          </w:p>
        </w:tc>
      </w:tr>
      <w:tr w:rsidR="00BA7D92" w:rsidRPr="002050C1" w14:paraId="6210647E" w14:textId="77777777" w:rsidTr="00A879C0">
        <w:trPr>
          <w:trHeight w:val="211"/>
        </w:trPr>
        <w:tc>
          <w:tcPr>
            <w:tcW w:w="2506" w:type="dxa"/>
          </w:tcPr>
          <w:p w14:paraId="60EC003F" w14:textId="08B92411"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TE</w:t>
            </w:r>
          </w:p>
        </w:tc>
        <w:tc>
          <w:tcPr>
            <w:tcW w:w="5286" w:type="dxa"/>
            <w:gridSpan w:val="2"/>
            <w:vMerge w:val="restart"/>
          </w:tcPr>
          <w:p w14:paraId="58CF710A" w14:textId="777777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0.60</w:t>
            </w:r>
          </w:p>
          <w:p w14:paraId="29307263" w14:textId="777777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0.23</w:t>
            </w:r>
          </w:p>
          <w:p w14:paraId="1766E949" w14:textId="42A10D11"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0.38</w:t>
            </w:r>
          </w:p>
        </w:tc>
      </w:tr>
      <w:tr w:rsidR="00BA7D92" w:rsidRPr="002050C1" w14:paraId="5DC5C21A" w14:textId="77777777" w:rsidTr="00A879C0">
        <w:trPr>
          <w:trHeight w:val="211"/>
        </w:trPr>
        <w:tc>
          <w:tcPr>
            <w:tcW w:w="2506" w:type="dxa"/>
          </w:tcPr>
          <w:p w14:paraId="44F3404E" w14:textId="396ED877"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CE</w:t>
            </w:r>
          </w:p>
        </w:tc>
        <w:tc>
          <w:tcPr>
            <w:tcW w:w="5286" w:type="dxa"/>
            <w:gridSpan w:val="2"/>
            <w:vMerge/>
          </w:tcPr>
          <w:p w14:paraId="0DF3D1D6" w14:textId="6F4C12DF" w:rsidR="00BA7D92" w:rsidRPr="002050C1" w:rsidRDefault="00BA7D92" w:rsidP="00A879C0">
            <w:pPr>
              <w:jc w:val="both"/>
              <w:rPr>
                <w:rFonts w:ascii="Times New Roman" w:hAnsi="Times New Roman" w:cs="Times New Roman"/>
                <w:sz w:val="24"/>
                <w:szCs w:val="24"/>
              </w:rPr>
            </w:pPr>
          </w:p>
        </w:tc>
      </w:tr>
      <w:tr w:rsidR="00BA7D92" w:rsidRPr="002050C1" w14:paraId="4A2247B2" w14:textId="77777777" w:rsidTr="00A879C0">
        <w:trPr>
          <w:trHeight w:val="203"/>
        </w:trPr>
        <w:tc>
          <w:tcPr>
            <w:tcW w:w="2506" w:type="dxa"/>
          </w:tcPr>
          <w:p w14:paraId="59A1B0A4" w14:textId="59144A04" w:rsidR="00BA7D92" w:rsidRPr="002050C1" w:rsidRDefault="00BA7D92" w:rsidP="00A879C0">
            <w:pPr>
              <w:jc w:val="both"/>
              <w:rPr>
                <w:rFonts w:ascii="Times New Roman" w:hAnsi="Times New Roman" w:cs="Times New Roman"/>
                <w:sz w:val="24"/>
                <w:szCs w:val="24"/>
              </w:rPr>
            </w:pPr>
            <w:r w:rsidRPr="002050C1">
              <w:rPr>
                <w:rFonts w:ascii="Times New Roman" w:hAnsi="Times New Roman" w:cs="Times New Roman"/>
                <w:sz w:val="24"/>
                <w:szCs w:val="24"/>
              </w:rPr>
              <w:t>Mean AE(CE/TE)</w:t>
            </w:r>
          </w:p>
        </w:tc>
        <w:tc>
          <w:tcPr>
            <w:tcW w:w="5286" w:type="dxa"/>
            <w:gridSpan w:val="2"/>
            <w:vMerge/>
          </w:tcPr>
          <w:p w14:paraId="19361076" w14:textId="0BBB4F0A" w:rsidR="00BA7D92" w:rsidRPr="002050C1" w:rsidRDefault="00BA7D92" w:rsidP="00A879C0">
            <w:pPr>
              <w:jc w:val="both"/>
              <w:rPr>
                <w:rFonts w:ascii="Times New Roman" w:hAnsi="Times New Roman" w:cs="Times New Roman"/>
                <w:sz w:val="24"/>
                <w:szCs w:val="24"/>
              </w:rPr>
            </w:pPr>
          </w:p>
        </w:tc>
      </w:tr>
    </w:tbl>
    <w:p w14:paraId="0D3DBC5D" w14:textId="17EC4D48" w:rsidR="00C12EC0"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Computed from Interview schedule, 2023-24; </w:t>
      </w:r>
      <w:r w:rsidR="00B4591C" w:rsidRPr="002050C1">
        <w:rPr>
          <w:rFonts w:ascii="Times New Roman" w:hAnsi="Times New Roman" w:cs="Times New Roman"/>
          <w:sz w:val="24"/>
          <w:szCs w:val="24"/>
          <w:lang w:val="en-US"/>
        </w:rPr>
        <w:t>Note: CE: Cost Efficiency, TE: technical efficiency and AE: allocative efficiency</w:t>
      </w:r>
    </w:p>
    <w:p w14:paraId="49A97781" w14:textId="1AA46956" w:rsidR="002007DA" w:rsidRPr="002007DA"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(f) </w:t>
      </w:r>
      <w:r w:rsidR="002007DA" w:rsidRPr="002007DA">
        <w:rPr>
          <w:rFonts w:ascii="Times New Roman" w:hAnsi="Times New Roman" w:cs="Times New Roman"/>
          <w:sz w:val="24"/>
          <w:szCs w:val="24"/>
        </w:rPr>
        <w:t>Mean Slack Values</w:t>
      </w:r>
    </w:p>
    <w:p w14:paraId="48B971D2" w14:textId="2CB0258D" w:rsidR="002007DA" w:rsidRPr="002050C1" w:rsidRDefault="002007DA" w:rsidP="002050C1">
      <w:pPr>
        <w:jc w:val="both"/>
        <w:rPr>
          <w:rFonts w:ascii="Times New Roman" w:hAnsi="Times New Roman" w:cs="Times New Roman"/>
          <w:sz w:val="24"/>
          <w:szCs w:val="24"/>
        </w:rPr>
      </w:pPr>
      <w:r w:rsidRPr="002007DA">
        <w:rPr>
          <w:rFonts w:ascii="Times New Roman" w:hAnsi="Times New Roman" w:cs="Times New Roman"/>
          <w:sz w:val="24"/>
          <w:szCs w:val="24"/>
        </w:rPr>
        <w:lastRenderedPageBreak/>
        <w:t>Slack analysis provides further insights into specific input use inefficiencies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 xml:space="preserve">Pesticides (26.9) exhibit the highest slack, indicating overuse or misallocation of chemical inputs. This may be due to farmers’ limited knowledge of optimal application or risk-averse </w:t>
      </w:r>
      <w:r w:rsidR="00A879C0" w:rsidRPr="002007DA">
        <w:rPr>
          <w:rFonts w:ascii="Times New Roman" w:hAnsi="Times New Roman" w:cs="Times New Roman"/>
          <w:sz w:val="24"/>
          <w:szCs w:val="24"/>
        </w:rPr>
        <w:t>behaviour</w:t>
      </w:r>
      <w:r w:rsidRPr="002007DA">
        <w:rPr>
          <w:rFonts w:ascii="Times New Roman" w:hAnsi="Times New Roman" w:cs="Times New Roman"/>
          <w:sz w:val="24"/>
          <w:szCs w:val="24"/>
        </w:rPr>
        <w:t xml:space="preserve"> against crop losses.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Area (2.33 hectares) shows notable slack, suggesting that land is not being utilized to its potential—possibly due to fragmented holdings, tenure insecurity, or lack of complementary inputs.</w:t>
      </w:r>
      <w:r w:rsidRPr="002050C1">
        <w:rPr>
          <w:rFonts w:ascii="Times New Roman" w:hAnsi="Times New Roman" w:cs="Times New Roman"/>
          <w:sz w:val="24"/>
          <w:szCs w:val="24"/>
        </w:rPr>
        <w:t xml:space="preserve"> </w:t>
      </w:r>
      <w:r w:rsidRPr="002007DA">
        <w:rPr>
          <w:rFonts w:ascii="Times New Roman" w:hAnsi="Times New Roman" w:cs="Times New Roman"/>
          <w:sz w:val="24"/>
          <w:szCs w:val="24"/>
        </w:rPr>
        <w:t>Fertilizers (0.716) and seeds (0.31) show smaller slacks, but still indicate room for optimization.</w:t>
      </w:r>
      <w:r w:rsidRPr="002050C1">
        <w:rPr>
          <w:rFonts w:ascii="Times New Roman" w:hAnsi="Times New Roman" w:cs="Times New Roman"/>
          <w:sz w:val="24"/>
          <w:szCs w:val="24"/>
        </w:rPr>
        <w:t xml:space="preserve"> his implies that better input management strategies, integrated pest management, and balanced fertilizer application could significantly enhance efficiency.</w:t>
      </w:r>
    </w:p>
    <w:p w14:paraId="4362627D" w14:textId="4584EE7C" w:rsidR="00BA7D92" w:rsidRPr="002050C1" w:rsidRDefault="00BA7D92"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rPr>
        <w:t>Table</w:t>
      </w:r>
      <w:r w:rsidR="00856E1C" w:rsidRPr="002050C1">
        <w:rPr>
          <w:rFonts w:ascii="Times New Roman" w:hAnsi="Times New Roman" w:cs="Times New Roman"/>
          <w:sz w:val="24"/>
          <w:szCs w:val="24"/>
        </w:rPr>
        <w:t xml:space="preserve"> 7</w:t>
      </w:r>
      <w:r w:rsidRPr="002050C1">
        <w:rPr>
          <w:rFonts w:ascii="Times New Roman" w:hAnsi="Times New Roman" w:cs="Times New Roman"/>
          <w:sz w:val="24"/>
          <w:szCs w:val="24"/>
        </w:rPr>
        <w:t>: Mean Slack value</w:t>
      </w:r>
    </w:p>
    <w:tbl>
      <w:tblPr>
        <w:tblStyle w:val="TableGrid1"/>
        <w:tblW w:w="0" w:type="auto"/>
        <w:tblLook w:val="04A0" w:firstRow="1" w:lastRow="0" w:firstColumn="1" w:lastColumn="0" w:noHBand="0" w:noVBand="1"/>
      </w:tblPr>
      <w:tblGrid>
        <w:gridCol w:w="3512"/>
        <w:gridCol w:w="3512"/>
      </w:tblGrid>
      <w:tr w:rsidR="00BA7D92" w:rsidRPr="002050C1" w14:paraId="2947CCF2" w14:textId="77777777" w:rsidTr="00A879C0">
        <w:trPr>
          <w:trHeight w:val="281"/>
        </w:trPr>
        <w:tc>
          <w:tcPr>
            <w:tcW w:w="3512" w:type="dxa"/>
          </w:tcPr>
          <w:p w14:paraId="0C5DA9C4"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Input Used</w:t>
            </w:r>
          </w:p>
        </w:tc>
        <w:tc>
          <w:tcPr>
            <w:tcW w:w="3512" w:type="dxa"/>
          </w:tcPr>
          <w:p w14:paraId="0046701E" w14:textId="6D88B759"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M</w:t>
            </w:r>
            <w:r w:rsidR="0033768D" w:rsidRPr="002050C1">
              <w:rPr>
                <w:rFonts w:ascii="Times New Roman" w:hAnsi="Times New Roman" w:cs="Times New Roman"/>
                <w:sz w:val="24"/>
                <w:szCs w:val="24"/>
              </w:rPr>
              <w:t>ean Slack Value</w:t>
            </w:r>
          </w:p>
        </w:tc>
      </w:tr>
      <w:tr w:rsidR="00BA7D92" w:rsidRPr="002050C1" w14:paraId="3575F4A8" w14:textId="77777777" w:rsidTr="00A879C0">
        <w:trPr>
          <w:trHeight w:val="270"/>
        </w:trPr>
        <w:tc>
          <w:tcPr>
            <w:tcW w:w="3512" w:type="dxa"/>
          </w:tcPr>
          <w:p w14:paraId="428E3389" w14:textId="77777777" w:rsidR="00BA7D92" w:rsidRPr="007271B9" w:rsidRDefault="00BA7D92" w:rsidP="002050C1">
            <w:pPr>
              <w:jc w:val="both"/>
              <w:rPr>
                <w:rFonts w:ascii="Times New Roman" w:hAnsi="Times New Roman" w:cs="Times New Roman"/>
                <w:sz w:val="24"/>
                <w:szCs w:val="24"/>
              </w:rPr>
            </w:pPr>
            <w:proofErr w:type="spellStart"/>
            <w:r w:rsidRPr="007271B9">
              <w:rPr>
                <w:rFonts w:ascii="Times New Roman" w:hAnsi="Times New Roman" w:cs="Times New Roman"/>
                <w:sz w:val="24"/>
                <w:szCs w:val="24"/>
              </w:rPr>
              <w:t>Fertilzers</w:t>
            </w:r>
            <w:proofErr w:type="spellEnd"/>
          </w:p>
        </w:tc>
        <w:tc>
          <w:tcPr>
            <w:tcW w:w="3512" w:type="dxa"/>
          </w:tcPr>
          <w:p w14:paraId="645BEBE7"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0.716</w:t>
            </w:r>
          </w:p>
        </w:tc>
      </w:tr>
      <w:tr w:rsidR="00BA7D92" w:rsidRPr="002050C1" w14:paraId="2F18FE4B" w14:textId="77777777" w:rsidTr="00A879C0">
        <w:trPr>
          <w:trHeight w:val="281"/>
        </w:trPr>
        <w:tc>
          <w:tcPr>
            <w:tcW w:w="3512" w:type="dxa"/>
          </w:tcPr>
          <w:p w14:paraId="09378E8D"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Pesticides</w:t>
            </w:r>
          </w:p>
        </w:tc>
        <w:tc>
          <w:tcPr>
            <w:tcW w:w="3512" w:type="dxa"/>
          </w:tcPr>
          <w:p w14:paraId="33646F92"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26.9</w:t>
            </w:r>
          </w:p>
        </w:tc>
      </w:tr>
      <w:tr w:rsidR="00BA7D92" w:rsidRPr="002050C1" w14:paraId="22F41EE5" w14:textId="77777777" w:rsidTr="00A879C0">
        <w:trPr>
          <w:trHeight w:val="270"/>
        </w:trPr>
        <w:tc>
          <w:tcPr>
            <w:tcW w:w="3512" w:type="dxa"/>
          </w:tcPr>
          <w:p w14:paraId="6CE05D4F"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Seeds</w:t>
            </w:r>
          </w:p>
        </w:tc>
        <w:tc>
          <w:tcPr>
            <w:tcW w:w="3512" w:type="dxa"/>
          </w:tcPr>
          <w:p w14:paraId="76688646"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0.31</w:t>
            </w:r>
          </w:p>
        </w:tc>
      </w:tr>
      <w:tr w:rsidR="00BA7D92" w:rsidRPr="002050C1" w14:paraId="1327CD30" w14:textId="77777777" w:rsidTr="00A879C0">
        <w:trPr>
          <w:trHeight w:val="281"/>
        </w:trPr>
        <w:tc>
          <w:tcPr>
            <w:tcW w:w="3512" w:type="dxa"/>
          </w:tcPr>
          <w:p w14:paraId="0A520D96"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Area</w:t>
            </w:r>
          </w:p>
        </w:tc>
        <w:tc>
          <w:tcPr>
            <w:tcW w:w="3512" w:type="dxa"/>
          </w:tcPr>
          <w:p w14:paraId="08DFF788" w14:textId="77777777" w:rsidR="00BA7D92" w:rsidRPr="007271B9" w:rsidRDefault="00BA7D92" w:rsidP="002050C1">
            <w:pPr>
              <w:jc w:val="both"/>
              <w:rPr>
                <w:rFonts w:ascii="Times New Roman" w:hAnsi="Times New Roman" w:cs="Times New Roman"/>
                <w:sz w:val="24"/>
                <w:szCs w:val="24"/>
              </w:rPr>
            </w:pPr>
            <w:r w:rsidRPr="007271B9">
              <w:rPr>
                <w:rFonts w:ascii="Times New Roman" w:hAnsi="Times New Roman" w:cs="Times New Roman"/>
                <w:sz w:val="24"/>
                <w:szCs w:val="24"/>
              </w:rPr>
              <w:t>2.33</w:t>
            </w:r>
          </w:p>
        </w:tc>
      </w:tr>
    </w:tbl>
    <w:p w14:paraId="66CD5314" w14:textId="06B66444" w:rsidR="00F90BE1" w:rsidRPr="00F90BE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093ED673" w14:textId="0CC10B73" w:rsidR="002050C1" w:rsidRPr="002050C1" w:rsidRDefault="00A879C0" w:rsidP="002050C1">
      <w:pPr>
        <w:jc w:val="both"/>
        <w:rPr>
          <w:rFonts w:ascii="Times New Roman" w:hAnsi="Times New Roman" w:cs="Times New Roman"/>
          <w:sz w:val="24"/>
          <w:szCs w:val="24"/>
        </w:rPr>
      </w:pPr>
      <w:r>
        <w:rPr>
          <w:rFonts w:ascii="Times New Roman" w:hAnsi="Times New Roman" w:cs="Times New Roman"/>
          <w:sz w:val="24"/>
          <w:szCs w:val="24"/>
        </w:rPr>
        <w:t xml:space="preserve">(g) </w:t>
      </w:r>
      <w:r w:rsidR="002050C1" w:rsidRPr="002050C1">
        <w:rPr>
          <w:rFonts w:ascii="Times New Roman" w:hAnsi="Times New Roman" w:cs="Times New Roman"/>
          <w:sz w:val="24"/>
          <w:szCs w:val="24"/>
        </w:rPr>
        <w:t>Efficiency Across Tenure Groups</w:t>
      </w:r>
    </w:p>
    <w:p w14:paraId="598FA42B" w14:textId="4CB682A9" w:rsidR="00756EBC" w:rsidRPr="002050C1" w:rsidRDefault="002050C1" w:rsidP="002050C1">
      <w:pPr>
        <w:jc w:val="both"/>
        <w:rPr>
          <w:rFonts w:ascii="Times New Roman" w:hAnsi="Times New Roman" w:cs="Times New Roman"/>
          <w:sz w:val="24"/>
          <w:szCs w:val="24"/>
        </w:rPr>
      </w:pPr>
      <w:r w:rsidRPr="002050C1">
        <w:rPr>
          <w:rFonts w:ascii="Times New Roman" w:hAnsi="Times New Roman" w:cs="Times New Roman"/>
          <w:sz w:val="24"/>
          <w:szCs w:val="24"/>
        </w:rPr>
        <w:t>The efficiency comparison across tenure arrangements reveals a clear hierarchy of performance, consistent with theoretical expectations. Owner-operators achieve the highest technical efficiency (0.57), cost efficiency (0.28), and allocative efficiency (0.47). Their superior performance stems from secure land tenure, which provides stronger incentives for input use, long-term investments, and better resource allocation. While fixed renters show intermediate performance, with TE (0.46), CE (0.18), and AE (0.40). Since they pay a fixed rent, they retain full marginal returns to effort, which motivates efficient input use. However, lack of ownership may still constrain long-term investments. Lastly, sharecroppers perform the worst, with TE (0.36), CE (0.14), and AE (0.38). This confirms the Marshallian inefficiency hypothesis, whereby output-sharing arrangements reduce incentives to maximize productivity, leading to underinvestment in inputs and lower overall efficiency.</w:t>
      </w:r>
    </w:p>
    <w:p w14:paraId="36497356" w14:textId="79F857C9" w:rsidR="00856E1C" w:rsidRPr="002050C1" w:rsidRDefault="00856E1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Table </w:t>
      </w:r>
      <w:proofErr w:type="gramStart"/>
      <w:r w:rsidRPr="002050C1">
        <w:rPr>
          <w:rFonts w:ascii="Times New Roman" w:hAnsi="Times New Roman" w:cs="Times New Roman"/>
          <w:sz w:val="24"/>
          <w:szCs w:val="24"/>
          <w:lang w:val="en-US"/>
        </w:rPr>
        <w:t>8 :</w:t>
      </w:r>
      <w:proofErr w:type="gramEnd"/>
      <w:r w:rsidRPr="002050C1">
        <w:rPr>
          <w:rFonts w:ascii="Times New Roman" w:hAnsi="Times New Roman" w:cs="Times New Roman"/>
          <w:sz w:val="24"/>
          <w:szCs w:val="24"/>
          <w:lang w:val="en-US"/>
        </w:rPr>
        <w:t xml:space="preserve"> Efficiency across Owner operators, Sharecroppers and Fixed Renters</w:t>
      </w:r>
    </w:p>
    <w:tbl>
      <w:tblPr>
        <w:tblStyle w:val="TableGrid2"/>
        <w:tblW w:w="0" w:type="auto"/>
        <w:tblLook w:val="04A0" w:firstRow="1" w:lastRow="0" w:firstColumn="1" w:lastColumn="0" w:noHBand="0" w:noVBand="1"/>
      </w:tblPr>
      <w:tblGrid>
        <w:gridCol w:w="2004"/>
        <w:gridCol w:w="2102"/>
        <w:gridCol w:w="2245"/>
        <w:gridCol w:w="2279"/>
      </w:tblGrid>
      <w:tr w:rsidR="00856E1C" w:rsidRPr="00856E1C" w14:paraId="11DC7DE4" w14:textId="77777777" w:rsidTr="00856E1C">
        <w:tc>
          <w:tcPr>
            <w:tcW w:w="2004" w:type="dxa"/>
          </w:tcPr>
          <w:p w14:paraId="0257B609" w14:textId="6114914F" w:rsidR="00856E1C" w:rsidRPr="00856E1C"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Efficiency</w:t>
            </w:r>
          </w:p>
        </w:tc>
        <w:tc>
          <w:tcPr>
            <w:tcW w:w="2102" w:type="dxa"/>
          </w:tcPr>
          <w:p w14:paraId="79EF353B" w14:textId="7E0872D6" w:rsidR="00856E1C" w:rsidRPr="00856E1C" w:rsidRDefault="00856E1C" w:rsidP="002050C1">
            <w:pPr>
              <w:jc w:val="both"/>
              <w:rPr>
                <w:rFonts w:ascii="Times New Roman" w:hAnsi="Times New Roman" w:cs="Times New Roman"/>
                <w:sz w:val="24"/>
                <w:szCs w:val="24"/>
              </w:rPr>
            </w:pPr>
            <w:r w:rsidRPr="002050C1">
              <w:rPr>
                <w:rFonts w:ascii="Times New Roman" w:hAnsi="Times New Roman" w:cs="Times New Roman"/>
                <w:sz w:val="24"/>
                <w:szCs w:val="24"/>
              </w:rPr>
              <w:t>Owner operators (n=48)</w:t>
            </w:r>
          </w:p>
        </w:tc>
        <w:tc>
          <w:tcPr>
            <w:tcW w:w="2245" w:type="dxa"/>
          </w:tcPr>
          <w:p w14:paraId="68DA20F4" w14:textId="04286AAD" w:rsidR="00856E1C" w:rsidRPr="00856E1C" w:rsidRDefault="00856E1C" w:rsidP="002050C1">
            <w:pPr>
              <w:jc w:val="both"/>
              <w:rPr>
                <w:rFonts w:ascii="Times New Roman" w:hAnsi="Times New Roman" w:cs="Times New Roman"/>
                <w:sz w:val="24"/>
                <w:szCs w:val="24"/>
              </w:rPr>
            </w:pPr>
            <w:proofErr w:type="spellStart"/>
            <w:r w:rsidRPr="00856E1C">
              <w:rPr>
                <w:rFonts w:ascii="Times New Roman" w:hAnsi="Times New Roman" w:cs="Times New Roman"/>
                <w:sz w:val="24"/>
                <w:szCs w:val="24"/>
              </w:rPr>
              <w:t>FixedRenters</w:t>
            </w:r>
            <w:proofErr w:type="spellEnd"/>
            <w:r w:rsidRPr="00856E1C">
              <w:rPr>
                <w:rFonts w:ascii="Times New Roman" w:hAnsi="Times New Roman" w:cs="Times New Roman"/>
                <w:sz w:val="24"/>
                <w:szCs w:val="24"/>
              </w:rPr>
              <w:t>(n=</w:t>
            </w:r>
            <w:r w:rsidRPr="002050C1">
              <w:rPr>
                <w:rFonts w:ascii="Times New Roman" w:hAnsi="Times New Roman" w:cs="Times New Roman"/>
                <w:sz w:val="24"/>
                <w:szCs w:val="24"/>
              </w:rPr>
              <w:t>48</w:t>
            </w:r>
            <w:r w:rsidRPr="00856E1C">
              <w:rPr>
                <w:rFonts w:ascii="Times New Roman" w:hAnsi="Times New Roman" w:cs="Times New Roman"/>
                <w:sz w:val="24"/>
                <w:szCs w:val="24"/>
              </w:rPr>
              <w:t>)</w:t>
            </w:r>
          </w:p>
        </w:tc>
        <w:tc>
          <w:tcPr>
            <w:tcW w:w="2279" w:type="dxa"/>
          </w:tcPr>
          <w:p w14:paraId="132F1F9D" w14:textId="11236F71"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Sharecropper(n=</w:t>
            </w:r>
            <w:r w:rsidRPr="002050C1">
              <w:rPr>
                <w:rFonts w:ascii="Times New Roman" w:hAnsi="Times New Roman" w:cs="Times New Roman"/>
                <w:sz w:val="24"/>
                <w:szCs w:val="24"/>
              </w:rPr>
              <w:t>48</w:t>
            </w:r>
            <w:r w:rsidRPr="00856E1C">
              <w:rPr>
                <w:rFonts w:ascii="Times New Roman" w:hAnsi="Times New Roman" w:cs="Times New Roman"/>
                <w:sz w:val="24"/>
                <w:szCs w:val="24"/>
              </w:rPr>
              <w:t>)</w:t>
            </w:r>
          </w:p>
        </w:tc>
      </w:tr>
      <w:tr w:rsidR="00856E1C" w:rsidRPr="00856E1C" w14:paraId="4EB489AF" w14:textId="77777777" w:rsidTr="00856E1C">
        <w:tc>
          <w:tcPr>
            <w:tcW w:w="2004" w:type="dxa"/>
          </w:tcPr>
          <w:p w14:paraId="52D63B9D"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TE</w:t>
            </w:r>
          </w:p>
        </w:tc>
        <w:tc>
          <w:tcPr>
            <w:tcW w:w="2102" w:type="dxa"/>
          </w:tcPr>
          <w:p w14:paraId="7FB9E12E"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0.57</w:t>
            </w:r>
          </w:p>
        </w:tc>
        <w:tc>
          <w:tcPr>
            <w:tcW w:w="2245" w:type="dxa"/>
          </w:tcPr>
          <w:p w14:paraId="1900982D"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0.46</w:t>
            </w:r>
          </w:p>
        </w:tc>
        <w:tc>
          <w:tcPr>
            <w:tcW w:w="2279" w:type="dxa"/>
          </w:tcPr>
          <w:p w14:paraId="46DAB09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0.36</w:t>
            </w:r>
          </w:p>
        </w:tc>
      </w:tr>
      <w:tr w:rsidR="00856E1C" w:rsidRPr="00856E1C" w14:paraId="41A06F89" w14:textId="77777777" w:rsidTr="00856E1C">
        <w:tc>
          <w:tcPr>
            <w:tcW w:w="2004" w:type="dxa"/>
          </w:tcPr>
          <w:p w14:paraId="7F12E4B3"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CE</w:t>
            </w:r>
          </w:p>
        </w:tc>
        <w:tc>
          <w:tcPr>
            <w:tcW w:w="2102" w:type="dxa"/>
          </w:tcPr>
          <w:p w14:paraId="12DC96F9"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0.28</w:t>
            </w:r>
          </w:p>
        </w:tc>
        <w:tc>
          <w:tcPr>
            <w:tcW w:w="2245" w:type="dxa"/>
          </w:tcPr>
          <w:p w14:paraId="33989052"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0.18</w:t>
            </w:r>
          </w:p>
        </w:tc>
        <w:tc>
          <w:tcPr>
            <w:tcW w:w="2279" w:type="dxa"/>
          </w:tcPr>
          <w:p w14:paraId="7EE566A9"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0.14</w:t>
            </w:r>
          </w:p>
        </w:tc>
      </w:tr>
      <w:tr w:rsidR="00856E1C" w:rsidRPr="00856E1C" w14:paraId="366E1F9E" w14:textId="77777777" w:rsidTr="00856E1C">
        <w:tc>
          <w:tcPr>
            <w:tcW w:w="2004" w:type="dxa"/>
          </w:tcPr>
          <w:p w14:paraId="42E3A446"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Mean AE(CE/TE)</w:t>
            </w:r>
          </w:p>
        </w:tc>
        <w:tc>
          <w:tcPr>
            <w:tcW w:w="2102" w:type="dxa"/>
          </w:tcPr>
          <w:p w14:paraId="3221F28A"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0.47</w:t>
            </w:r>
          </w:p>
        </w:tc>
        <w:tc>
          <w:tcPr>
            <w:tcW w:w="2245" w:type="dxa"/>
          </w:tcPr>
          <w:p w14:paraId="5B625B3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0.40</w:t>
            </w:r>
          </w:p>
        </w:tc>
        <w:tc>
          <w:tcPr>
            <w:tcW w:w="2279" w:type="dxa"/>
          </w:tcPr>
          <w:p w14:paraId="67515671" w14:textId="77777777" w:rsidR="00856E1C" w:rsidRPr="00856E1C" w:rsidRDefault="00856E1C" w:rsidP="002050C1">
            <w:pPr>
              <w:jc w:val="both"/>
              <w:rPr>
                <w:rFonts w:ascii="Times New Roman" w:hAnsi="Times New Roman" w:cs="Times New Roman"/>
                <w:sz w:val="24"/>
                <w:szCs w:val="24"/>
              </w:rPr>
            </w:pPr>
            <w:r w:rsidRPr="00856E1C">
              <w:rPr>
                <w:rFonts w:ascii="Times New Roman" w:hAnsi="Times New Roman" w:cs="Times New Roman"/>
                <w:sz w:val="24"/>
                <w:szCs w:val="24"/>
              </w:rPr>
              <w:t>0.38</w:t>
            </w:r>
          </w:p>
        </w:tc>
      </w:tr>
    </w:tbl>
    <w:p w14:paraId="4647BB41" w14:textId="6AC7023E" w:rsidR="00BA7D92" w:rsidRPr="002050C1" w:rsidRDefault="00F90BE1" w:rsidP="002050C1">
      <w:pPr>
        <w:jc w:val="both"/>
        <w:rPr>
          <w:rFonts w:ascii="Times New Roman" w:hAnsi="Times New Roman" w:cs="Times New Roman"/>
          <w:sz w:val="24"/>
          <w:szCs w:val="24"/>
          <w:lang w:val="en-US"/>
        </w:rPr>
      </w:pPr>
      <w:r>
        <w:rPr>
          <w:rFonts w:ascii="Times New Roman" w:hAnsi="Times New Roman" w:cs="Times New Roman"/>
          <w:sz w:val="24"/>
          <w:szCs w:val="24"/>
          <w:lang w:val="en-US"/>
        </w:rPr>
        <w:t>Source: Computed from Interview schedule, 2023-24</w:t>
      </w:r>
    </w:p>
    <w:p w14:paraId="157C303E" w14:textId="77777777" w:rsidR="00F90BE1" w:rsidRDefault="00F90BE1" w:rsidP="002050C1">
      <w:pPr>
        <w:jc w:val="both"/>
        <w:rPr>
          <w:rFonts w:ascii="Times New Roman" w:hAnsi="Times New Roman" w:cs="Times New Roman"/>
          <w:sz w:val="24"/>
          <w:szCs w:val="24"/>
          <w:lang w:val="en-US"/>
        </w:rPr>
      </w:pPr>
    </w:p>
    <w:p w14:paraId="12A75393" w14:textId="77777777" w:rsidR="00F90BE1" w:rsidRDefault="00F90BE1" w:rsidP="002050C1">
      <w:pPr>
        <w:jc w:val="both"/>
        <w:rPr>
          <w:rFonts w:ascii="Times New Roman" w:hAnsi="Times New Roman" w:cs="Times New Roman"/>
          <w:sz w:val="24"/>
          <w:szCs w:val="24"/>
          <w:lang w:val="en-US"/>
        </w:rPr>
      </w:pPr>
    </w:p>
    <w:p w14:paraId="2BDBC0B7" w14:textId="20ECA372" w:rsidR="00756EBC" w:rsidRPr="00A879C0" w:rsidRDefault="00A879C0" w:rsidP="002050C1">
      <w:pPr>
        <w:jc w:val="both"/>
        <w:rPr>
          <w:rFonts w:ascii="Times New Roman" w:hAnsi="Times New Roman" w:cs="Times New Roman"/>
          <w:b/>
          <w:bCs/>
          <w:sz w:val="24"/>
          <w:szCs w:val="24"/>
          <w:lang w:val="en-US"/>
        </w:rPr>
      </w:pPr>
      <w:r w:rsidRPr="00A879C0">
        <w:rPr>
          <w:rFonts w:ascii="Times New Roman" w:hAnsi="Times New Roman" w:cs="Times New Roman"/>
          <w:b/>
          <w:bCs/>
          <w:sz w:val="24"/>
          <w:szCs w:val="24"/>
          <w:lang w:val="en-US"/>
        </w:rPr>
        <w:t xml:space="preserve">5. </w:t>
      </w:r>
      <w:r w:rsidR="002050C1" w:rsidRPr="00A879C0">
        <w:rPr>
          <w:rFonts w:ascii="Times New Roman" w:hAnsi="Times New Roman" w:cs="Times New Roman"/>
          <w:b/>
          <w:bCs/>
          <w:sz w:val="24"/>
          <w:szCs w:val="24"/>
          <w:lang w:val="en-US"/>
        </w:rPr>
        <w:t>Conclusion and Policy Suggestions</w:t>
      </w:r>
    </w:p>
    <w:p w14:paraId="4B79E3B6" w14:textId="77777777" w:rsidR="002050C1" w:rsidRPr="002050C1" w:rsidRDefault="002050C1"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The study on efficiency differentials among owner-operators, fixed renters, and sharecroppers in Jammu agriculture reveals that land tenure security plays a decisive role in determining farm-level efficiency. Owner-operators consistently outperformed both fixed renters and sharecroppers in terms of technical, cost, and allocative efficiency, reflecting the positive </w:t>
      </w:r>
      <w:r w:rsidRPr="002050C1">
        <w:rPr>
          <w:rFonts w:ascii="Times New Roman" w:hAnsi="Times New Roman" w:cs="Times New Roman"/>
          <w:sz w:val="24"/>
          <w:szCs w:val="24"/>
        </w:rPr>
        <w:lastRenderedPageBreak/>
        <w:t>influence of secure land rights on investment incentives, input optimization, and overall productivity. Fixed renters displayed moderate efficiency, suggesting that fixed contractual arrangements allow relatively better incentives compared to sharecropping. Sharecroppers, however, recorded the lowest efficiency levels, confirming the Marshallian inefficiency hypothesis, wherein output-sharing reduces the motivation to maximize productivity. The analysis of slack values further indicates widespread misallocation of inputs, with pesticides and land use showing the highest inefficiencies, reflecting overuse of chemicals and underutilization of land resources. Coupled with the dominance of marginal and small farmers in the study area, these inefficiencies underscore the structural constraints in Jammu and Kashmir’s agricultural sector. Despite high access to credit, inefficient use of inputs and tenure insecurity continue to limit the productive potential of farmers.</w:t>
      </w:r>
    </w:p>
    <w:p w14:paraId="7AB891FD" w14:textId="45C0FF75" w:rsidR="002050C1" w:rsidRPr="002050C1" w:rsidRDefault="002050C1" w:rsidP="002050C1">
      <w:pPr>
        <w:jc w:val="both"/>
        <w:rPr>
          <w:rFonts w:ascii="Times New Roman" w:hAnsi="Times New Roman" w:cs="Times New Roman"/>
          <w:sz w:val="24"/>
          <w:szCs w:val="24"/>
        </w:rPr>
      </w:pPr>
      <w:r w:rsidRPr="002050C1">
        <w:rPr>
          <w:rFonts w:ascii="Times New Roman" w:hAnsi="Times New Roman" w:cs="Times New Roman"/>
          <w:sz w:val="24"/>
          <w:szCs w:val="24"/>
        </w:rPr>
        <w:t xml:space="preserve"> The findings of this study suggest that improving agricultural efficiency in Jammu and Kashmir requires a multidimensional policy approach. Strengthening land rights through clear land records, transparent leasing policies, and tenancy reforms would reduce uncertainty and encourage farmers to make long-term investments in productivity-enhancing practices. Despite its contributions, this study is subject to certain limitations. The analysis is based on a cross-sectional dataset of 144 farmers from selected districts of Jammu, which may not fully capture temporal variations or represent the entire region of Jammu and Kashmir. Additionally, while tenure arrangements have been studied in detail, other institutional factors such as access to markets, infrastructure, and extension networks have not been systematically analysed. Future research could expand the scope by employing panel data to capture changes in efficiency over time and the dynamic effects of tenure reforms. Moreover, exploring the role of digital technologies, climate-smart agriculture, and women’s participation in farming could offer new insights for designing inclusive and sustainable policies. </w:t>
      </w:r>
    </w:p>
    <w:p w14:paraId="6D329DE1" w14:textId="5AD089A7" w:rsidR="00403E0C" w:rsidRPr="002050C1" w:rsidRDefault="00403E0C" w:rsidP="002050C1">
      <w:pPr>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References</w:t>
      </w:r>
    </w:p>
    <w:p w14:paraId="7D191D3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Akber, N., </w:t>
      </w: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xml:space="preserve">, K. R., Mishra, A. K., &amp; </w:t>
      </w:r>
      <w:proofErr w:type="spellStart"/>
      <w:r w:rsidRPr="002050C1">
        <w:rPr>
          <w:rFonts w:ascii="Times New Roman" w:hAnsi="Times New Roman" w:cs="Times New Roman"/>
          <w:sz w:val="24"/>
          <w:szCs w:val="24"/>
        </w:rPr>
        <w:t>Goyari</w:t>
      </w:r>
      <w:proofErr w:type="spellEnd"/>
      <w:r w:rsidRPr="002050C1">
        <w:rPr>
          <w:rFonts w:ascii="Times New Roman" w:hAnsi="Times New Roman" w:cs="Times New Roman"/>
          <w:sz w:val="24"/>
          <w:szCs w:val="24"/>
        </w:rPr>
        <w:t>, P. (2024). Land Ownership Security, Farm Investment, and Investment Risk in Indian Agriculture: Evidence from Nationally Representative Survey. </w:t>
      </w:r>
      <w:r w:rsidRPr="002050C1">
        <w:rPr>
          <w:rFonts w:ascii="Times New Roman" w:hAnsi="Times New Roman" w:cs="Times New Roman"/>
          <w:i/>
          <w:iCs/>
          <w:sz w:val="24"/>
          <w:szCs w:val="24"/>
        </w:rPr>
        <w:t>Journal of Agricultural and Applied Economics</w:t>
      </w:r>
      <w:r w:rsidRPr="002050C1">
        <w:rPr>
          <w:rFonts w:ascii="Times New Roman" w:hAnsi="Times New Roman" w:cs="Times New Roman"/>
          <w:sz w:val="24"/>
          <w:szCs w:val="24"/>
        </w:rPr>
        <w:t>, </w:t>
      </w:r>
      <w:r w:rsidRPr="002050C1">
        <w:rPr>
          <w:rFonts w:ascii="Times New Roman" w:hAnsi="Times New Roman" w:cs="Times New Roman"/>
          <w:i/>
          <w:iCs/>
          <w:sz w:val="24"/>
          <w:szCs w:val="24"/>
        </w:rPr>
        <w:t>56</w:t>
      </w:r>
      <w:r w:rsidRPr="002050C1">
        <w:rPr>
          <w:rFonts w:ascii="Times New Roman" w:hAnsi="Times New Roman" w:cs="Times New Roman"/>
          <w:sz w:val="24"/>
          <w:szCs w:val="24"/>
        </w:rPr>
        <w:t xml:space="preserve">(2), 278–296. </w:t>
      </w:r>
      <w:hyperlink r:id="rId8" w:history="1">
        <w:r w:rsidRPr="002050C1">
          <w:rPr>
            <w:rStyle w:val="Hyperlink"/>
            <w:rFonts w:ascii="Times New Roman" w:hAnsi="Times New Roman" w:cs="Times New Roman"/>
            <w:sz w:val="24"/>
            <w:szCs w:val="24"/>
            <w:u w:val="none"/>
          </w:rPr>
          <w:t>https://doi.org/10.1017/aae.2024.9</w:t>
        </w:r>
      </w:hyperlink>
    </w:p>
    <w:p w14:paraId="4782E0E2"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Arsad</w:t>
      </w:r>
      <w:proofErr w:type="spellEnd"/>
      <w:r w:rsidRPr="002050C1">
        <w:rPr>
          <w:rFonts w:ascii="Times New Roman" w:hAnsi="Times New Roman" w:cs="Times New Roman"/>
          <w:sz w:val="24"/>
          <w:szCs w:val="24"/>
        </w:rPr>
        <w:t>, R., Isa, Z., &amp; Nabilah Mohd Shaari, S. (2018). Estimating Efficiency Performance of Decision-Making Unit by using SFA and DEA Method: A Cross-Sectional Data Approach. </w:t>
      </w:r>
      <w:r w:rsidRPr="002050C1">
        <w:rPr>
          <w:rFonts w:ascii="Times New Roman" w:hAnsi="Times New Roman" w:cs="Times New Roman"/>
          <w:i/>
          <w:iCs/>
          <w:sz w:val="24"/>
          <w:szCs w:val="24"/>
        </w:rPr>
        <w:t>International Journal of Engineering &amp;amp; Technology</w:t>
      </w:r>
      <w:r w:rsidRPr="002050C1">
        <w:rPr>
          <w:rFonts w:ascii="Times New Roman" w:hAnsi="Times New Roman" w:cs="Times New Roman"/>
          <w:sz w:val="24"/>
          <w:szCs w:val="24"/>
        </w:rPr>
        <w:t>, </w:t>
      </w:r>
      <w:r w:rsidRPr="002050C1">
        <w:rPr>
          <w:rFonts w:ascii="Times New Roman" w:hAnsi="Times New Roman" w:cs="Times New Roman"/>
          <w:i/>
          <w:iCs/>
          <w:sz w:val="24"/>
          <w:szCs w:val="24"/>
        </w:rPr>
        <w:t>7</w:t>
      </w:r>
      <w:r w:rsidRPr="002050C1">
        <w:rPr>
          <w:rFonts w:ascii="Times New Roman" w:hAnsi="Times New Roman" w:cs="Times New Roman"/>
          <w:sz w:val="24"/>
          <w:szCs w:val="24"/>
        </w:rPr>
        <w:t xml:space="preserve">(4.33), 25. </w:t>
      </w:r>
      <w:hyperlink r:id="rId9" w:history="1">
        <w:r w:rsidRPr="002050C1">
          <w:rPr>
            <w:rStyle w:val="Hyperlink"/>
            <w:rFonts w:ascii="Times New Roman" w:hAnsi="Times New Roman" w:cs="Times New Roman"/>
            <w:sz w:val="24"/>
            <w:szCs w:val="24"/>
            <w:u w:val="none"/>
          </w:rPr>
          <w:t>https://doi.org/10.14419/ijet.v7i4.33.23478</w:t>
        </w:r>
      </w:hyperlink>
    </w:p>
    <w:p w14:paraId="02FA1B8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Aslam, M. (1977). Land Reforms in Jammu and Kashmir. </w:t>
      </w:r>
      <w:r w:rsidRPr="002050C1">
        <w:rPr>
          <w:rFonts w:ascii="Times New Roman" w:hAnsi="Times New Roman" w:cs="Times New Roman"/>
          <w:i/>
          <w:iCs/>
          <w:sz w:val="24"/>
          <w:szCs w:val="24"/>
        </w:rPr>
        <w:t>Social Scientist</w:t>
      </w:r>
      <w:r w:rsidRPr="002050C1">
        <w:rPr>
          <w:rFonts w:ascii="Times New Roman" w:hAnsi="Times New Roman" w:cs="Times New Roman"/>
          <w:sz w:val="24"/>
          <w:szCs w:val="24"/>
        </w:rPr>
        <w:t xml:space="preserve">, </w:t>
      </w:r>
      <w:r w:rsidRPr="002050C1">
        <w:rPr>
          <w:rFonts w:ascii="Times New Roman" w:hAnsi="Times New Roman" w:cs="Times New Roman"/>
          <w:i/>
          <w:iCs/>
          <w:sz w:val="24"/>
          <w:szCs w:val="24"/>
        </w:rPr>
        <w:t>6</w:t>
      </w:r>
      <w:r w:rsidRPr="002050C1">
        <w:rPr>
          <w:rFonts w:ascii="Times New Roman" w:hAnsi="Times New Roman" w:cs="Times New Roman"/>
          <w:sz w:val="24"/>
          <w:szCs w:val="24"/>
        </w:rPr>
        <w:t>(4), 59–64. https://doi.org/10.2307/3516587</w:t>
      </w:r>
    </w:p>
    <w:p w14:paraId="4FFF4404" w14:textId="77777777" w:rsidR="00F90BE1" w:rsidRPr="002050C1" w:rsidRDefault="00F90BE1" w:rsidP="00F90BE1">
      <w:pPr>
        <w:spacing w:line="240" w:lineRule="auto"/>
        <w:jc w:val="both"/>
        <w:rPr>
          <w:rFonts w:ascii="Times New Roman" w:eastAsiaTheme="minorEastAsia" w:hAnsi="Times New Roman" w:cs="Times New Roman"/>
          <w:sz w:val="24"/>
          <w:szCs w:val="24"/>
        </w:rPr>
      </w:pPr>
      <w:r w:rsidRPr="002050C1">
        <w:rPr>
          <w:rFonts w:ascii="Times New Roman" w:eastAsiaTheme="minorEastAsia" w:hAnsi="Times New Roman" w:cs="Times New Roman"/>
          <w:sz w:val="24"/>
          <w:szCs w:val="24"/>
        </w:rPr>
        <w:t xml:space="preserve">Banerjee, A. V., Gertler, P. J., &amp; Ghatak, M. (2002). Empowerment and efficiency: Tenancy reform in West Bengal. </w:t>
      </w:r>
      <w:r w:rsidRPr="002050C1">
        <w:rPr>
          <w:rFonts w:ascii="Times New Roman" w:eastAsiaTheme="minorEastAsia" w:hAnsi="Times New Roman" w:cs="Times New Roman"/>
          <w:i/>
          <w:iCs/>
          <w:sz w:val="24"/>
          <w:szCs w:val="24"/>
        </w:rPr>
        <w:t>Journal of Political Economy, 110</w:t>
      </w:r>
      <w:r w:rsidRPr="002050C1">
        <w:rPr>
          <w:rFonts w:ascii="Times New Roman" w:eastAsiaTheme="minorEastAsia" w:hAnsi="Times New Roman" w:cs="Times New Roman"/>
          <w:sz w:val="24"/>
          <w:szCs w:val="24"/>
        </w:rPr>
        <w:t xml:space="preserve">(2), 239–280. </w:t>
      </w:r>
      <w:hyperlink r:id="rId10" w:history="1">
        <w:r w:rsidRPr="002050C1">
          <w:rPr>
            <w:rStyle w:val="Hyperlink"/>
            <w:rFonts w:ascii="Times New Roman" w:eastAsiaTheme="minorEastAsia" w:hAnsi="Times New Roman" w:cs="Times New Roman"/>
            <w:sz w:val="24"/>
            <w:szCs w:val="24"/>
            <w:u w:val="none"/>
          </w:rPr>
          <w:t>https://doi.org/10.1086/338744</w:t>
        </w:r>
      </w:hyperlink>
    </w:p>
    <w:p w14:paraId="0EE120D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 Bardhan, P. K., &amp; Rudra, A. (1980). Terms and conditions of sharecropping contracts: An analysis of village survey data in India. </w:t>
      </w:r>
      <w:r w:rsidRPr="002050C1">
        <w:rPr>
          <w:rFonts w:ascii="Times New Roman" w:hAnsi="Times New Roman" w:cs="Times New Roman"/>
          <w:i/>
          <w:iCs/>
          <w:sz w:val="24"/>
          <w:szCs w:val="24"/>
        </w:rPr>
        <w:t>The Journal of Development Studies, 16</w:t>
      </w:r>
      <w:r w:rsidRPr="002050C1">
        <w:rPr>
          <w:rFonts w:ascii="Times New Roman" w:hAnsi="Times New Roman" w:cs="Times New Roman"/>
          <w:sz w:val="24"/>
          <w:szCs w:val="24"/>
        </w:rPr>
        <w:t>(3), 287–302.</w:t>
      </w:r>
    </w:p>
    <w:p w14:paraId="7E5EAB75"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Bardhan, P. K., &amp; Rudra, A. (1986). Labour mobility and the boundaries of the village moral economy. </w:t>
      </w:r>
      <w:r w:rsidRPr="002050C1">
        <w:rPr>
          <w:rFonts w:ascii="Times New Roman" w:hAnsi="Times New Roman" w:cs="Times New Roman"/>
          <w:i/>
          <w:iCs/>
          <w:sz w:val="24"/>
          <w:szCs w:val="24"/>
        </w:rPr>
        <w:t>Journal of Peasant Studies, 13</w:t>
      </w:r>
      <w:r w:rsidRPr="002050C1">
        <w:rPr>
          <w:rFonts w:ascii="Times New Roman" w:hAnsi="Times New Roman" w:cs="Times New Roman"/>
          <w:sz w:val="24"/>
          <w:szCs w:val="24"/>
        </w:rPr>
        <w:t>(3), 90–115. https://doi.org/10.1080/03066158608438296</w:t>
      </w:r>
    </w:p>
    <w:p w14:paraId="2E562443"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lastRenderedPageBreak/>
        <w:t xml:space="preserve">Bell, C. (1977). Alternative theories of sharecropping: Some tests using evidence from Northeast India. </w:t>
      </w:r>
      <w:r w:rsidRPr="002050C1">
        <w:rPr>
          <w:rFonts w:ascii="Times New Roman" w:eastAsia="Times New Roman" w:hAnsi="Times New Roman" w:cs="Times New Roman"/>
          <w:i/>
          <w:iCs/>
          <w:kern w:val="0"/>
          <w:sz w:val="24"/>
          <w:szCs w:val="24"/>
          <w14:ligatures w14:val="none"/>
        </w:rPr>
        <w:t>Journal of Development Studies, 13</w:t>
      </w:r>
      <w:r w:rsidRPr="002050C1">
        <w:rPr>
          <w:rFonts w:ascii="Times New Roman" w:eastAsia="Times New Roman" w:hAnsi="Times New Roman" w:cs="Times New Roman"/>
          <w:kern w:val="0"/>
          <w:sz w:val="24"/>
          <w:szCs w:val="24"/>
          <w14:ligatures w14:val="none"/>
        </w:rPr>
        <w:t xml:space="preserve">(4), 317–346. </w:t>
      </w:r>
      <w:hyperlink r:id="rId11" w:history="1">
        <w:r w:rsidRPr="002050C1">
          <w:rPr>
            <w:rStyle w:val="Hyperlink"/>
            <w:rFonts w:ascii="Times New Roman" w:eastAsia="Times New Roman" w:hAnsi="Times New Roman" w:cs="Times New Roman"/>
            <w:kern w:val="0"/>
            <w:sz w:val="24"/>
            <w:szCs w:val="24"/>
            <w:u w:val="none"/>
            <w14:ligatures w14:val="none"/>
          </w:rPr>
          <w:t>https://doi.org/10.1080/00220387708421662</w:t>
        </w:r>
      </w:hyperlink>
    </w:p>
    <w:p w14:paraId="2C3C87DD"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Binswanger, H. P., &amp; Rosenzweig, M. R. (1986). Behavioural and material determinants of production relations in agriculture. </w:t>
      </w:r>
      <w:r w:rsidRPr="002050C1">
        <w:rPr>
          <w:rFonts w:ascii="Times New Roman" w:hAnsi="Times New Roman" w:cs="Times New Roman"/>
          <w:i/>
          <w:iCs/>
          <w:sz w:val="24"/>
          <w:szCs w:val="24"/>
        </w:rPr>
        <w:t>Journal of Development Studies, 22</w:t>
      </w:r>
      <w:r w:rsidRPr="002050C1">
        <w:rPr>
          <w:rFonts w:ascii="Times New Roman" w:hAnsi="Times New Roman" w:cs="Times New Roman"/>
          <w:sz w:val="24"/>
          <w:szCs w:val="24"/>
        </w:rPr>
        <w:t>(3), 503–539. https://doi.org/10.1080/00220388608421994</w:t>
      </w:r>
    </w:p>
    <w:p w14:paraId="2934E28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Bose, S. (1989). Agrarian relations in Jammu and Kashmir. </w:t>
      </w:r>
      <w:r w:rsidRPr="002050C1">
        <w:rPr>
          <w:rFonts w:ascii="Times New Roman" w:hAnsi="Times New Roman" w:cs="Times New Roman"/>
          <w:i/>
          <w:iCs/>
          <w:sz w:val="24"/>
          <w:szCs w:val="24"/>
        </w:rPr>
        <w:t>Economic and Political Weekly, 24</w:t>
      </w:r>
      <w:r w:rsidRPr="002050C1">
        <w:rPr>
          <w:rFonts w:ascii="Times New Roman" w:hAnsi="Times New Roman" w:cs="Times New Roman"/>
          <w:sz w:val="24"/>
          <w:szCs w:val="24"/>
        </w:rPr>
        <w:t xml:space="preserve">(10), 523–530. </w:t>
      </w:r>
      <w:hyperlink r:id="rId12" w:history="1">
        <w:r w:rsidRPr="002050C1">
          <w:rPr>
            <w:rStyle w:val="Hyperlink"/>
            <w:rFonts w:ascii="Times New Roman" w:hAnsi="Times New Roman" w:cs="Times New Roman"/>
            <w:sz w:val="24"/>
            <w:szCs w:val="24"/>
            <w:u w:val="none"/>
          </w:rPr>
          <w:t>http://www.jstor.org/stable/4394589</w:t>
        </w:r>
      </w:hyperlink>
    </w:p>
    <w:p w14:paraId="6CE34C8D"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 xml:space="preserve">Chattopadhyay, M., &amp; Atanu Sengupta. (2001). Tenancy Inefficiency: A Study Based on West        Bengal Agriculture. </w:t>
      </w:r>
      <w:r w:rsidRPr="002050C1">
        <w:rPr>
          <w:rFonts w:ascii="Times New Roman" w:hAnsi="Times New Roman" w:cs="Times New Roman"/>
          <w:i/>
          <w:iCs/>
          <w:sz w:val="24"/>
          <w:szCs w:val="24"/>
          <w:lang w:val="en-US"/>
        </w:rPr>
        <w:t>Economic and Political Weekly</w:t>
      </w:r>
      <w:r w:rsidRPr="002050C1">
        <w:rPr>
          <w:rFonts w:ascii="Times New Roman" w:hAnsi="Times New Roman" w:cs="Times New Roman"/>
          <w:sz w:val="24"/>
          <w:szCs w:val="24"/>
          <w:lang w:val="en-US"/>
        </w:rPr>
        <w:t xml:space="preserve">, </w:t>
      </w:r>
      <w:r w:rsidRPr="002050C1">
        <w:rPr>
          <w:rFonts w:ascii="Times New Roman" w:hAnsi="Times New Roman" w:cs="Times New Roman"/>
          <w:i/>
          <w:iCs/>
          <w:sz w:val="24"/>
          <w:szCs w:val="24"/>
          <w:lang w:val="en-US"/>
        </w:rPr>
        <w:t>36</w:t>
      </w:r>
      <w:r w:rsidRPr="002050C1">
        <w:rPr>
          <w:rFonts w:ascii="Times New Roman" w:hAnsi="Times New Roman" w:cs="Times New Roman"/>
          <w:sz w:val="24"/>
          <w:szCs w:val="24"/>
          <w:lang w:val="en-US"/>
        </w:rPr>
        <w:t xml:space="preserve">(5/6), 497–502. </w:t>
      </w:r>
      <w:hyperlink r:id="rId13" w:history="1">
        <w:r w:rsidRPr="002050C1">
          <w:rPr>
            <w:rStyle w:val="Hyperlink"/>
            <w:rFonts w:ascii="Times New Roman" w:hAnsi="Times New Roman" w:cs="Times New Roman"/>
            <w:sz w:val="24"/>
            <w:szCs w:val="24"/>
            <w:u w:val="none"/>
            <w:lang w:val="en-US"/>
          </w:rPr>
          <w:t>http://www.jstor.org/stable/4410265</w:t>
        </w:r>
      </w:hyperlink>
    </w:p>
    <w:p w14:paraId="66FCB28F"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Chattopadhyay, M., &amp; D, Sarkar. (1997</w:t>
      </w:r>
      <w:proofErr w:type="gramStart"/>
      <w:r w:rsidRPr="002050C1">
        <w:rPr>
          <w:rFonts w:ascii="Times New Roman" w:hAnsi="Times New Roman" w:cs="Times New Roman"/>
          <w:sz w:val="24"/>
          <w:szCs w:val="24"/>
          <w:lang w:val="en-US"/>
        </w:rPr>
        <w:t>).A</w:t>
      </w:r>
      <w:proofErr w:type="gramEnd"/>
      <w:r w:rsidRPr="002050C1">
        <w:rPr>
          <w:rFonts w:ascii="Times New Roman" w:hAnsi="Times New Roman" w:cs="Times New Roman"/>
          <w:sz w:val="24"/>
          <w:szCs w:val="24"/>
          <w:lang w:val="en-US"/>
        </w:rPr>
        <w:t xml:space="preserve"> New Look at the Old Bottle: A Study on Land Tenure and Farm Productivity. </w:t>
      </w:r>
      <w:r w:rsidRPr="002050C1">
        <w:rPr>
          <w:rFonts w:ascii="Times New Roman" w:hAnsi="Times New Roman" w:cs="Times New Roman"/>
          <w:i/>
          <w:sz w:val="24"/>
          <w:szCs w:val="24"/>
          <w:lang w:val="en-US"/>
        </w:rPr>
        <w:t xml:space="preserve">Indian Journal of </w:t>
      </w:r>
      <w:proofErr w:type="spellStart"/>
      <w:r w:rsidRPr="002050C1">
        <w:rPr>
          <w:rFonts w:ascii="Times New Roman" w:hAnsi="Times New Roman" w:cs="Times New Roman"/>
          <w:i/>
          <w:sz w:val="24"/>
          <w:szCs w:val="24"/>
          <w:lang w:val="en-US"/>
        </w:rPr>
        <w:t>Labour</w:t>
      </w:r>
      <w:proofErr w:type="spellEnd"/>
      <w:r w:rsidRPr="002050C1">
        <w:rPr>
          <w:rFonts w:ascii="Times New Roman" w:hAnsi="Times New Roman" w:cs="Times New Roman"/>
          <w:i/>
          <w:sz w:val="24"/>
          <w:szCs w:val="24"/>
          <w:lang w:val="en-US"/>
        </w:rPr>
        <w:t xml:space="preserve"> Economics, 36</w:t>
      </w:r>
      <w:r w:rsidRPr="002050C1">
        <w:rPr>
          <w:rFonts w:ascii="Times New Roman" w:hAnsi="Times New Roman" w:cs="Times New Roman"/>
          <w:sz w:val="24"/>
          <w:szCs w:val="24"/>
          <w:lang w:val="en-US"/>
        </w:rPr>
        <w:t>(2).</w:t>
      </w:r>
    </w:p>
    <w:p w14:paraId="4995860D"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t xml:space="preserve">Cheung, S. N. S. (1969). </w:t>
      </w:r>
      <w:r w:rsidRPr="002050C1">
        <w:rPr>
          <w:rFonts w:ascii="Times New Roman" w:eastAsia="Times New Roman" w:hAnsi="Times New Roman" w:cs="Times New Roman"/>
          <w:i/>
          <w:iCs/>
          <w:kern w:val="0"/>
          <w:sz w:val="24"/>
          <w:szCs w:val="24"/>
          <w14:ligatures w14:val="none"/>
        </w:rPr>
        <w:t>The theory of share tenancy</w:t>
      </w:r>
      <w:r w:rsidRPr="002050C1">
        <w:rPr>
          <w:rFonts w:ascii="Times New Roman" w:eastAsia="Times New Roman" w:hAnsi="Times New Roman" w:cs="Times New Roman"/>
          <w:kern w:val="0"/>
          <w:sz w:val="24"/>
          <w:szCs w:val="24"/>
          <w14:ligatures w14:val="none"/>
        </w:rPr>
        <w:t>. Chicago, University of Chicago Press.</w:t>
      </w:r>
    </w:p>
    <w:p w14:paraId="46807396"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Dagdeviren, H., Elangovan, A., &amp; </w:t>
      </w:r>
      <w:proofErr w:type="spellStart"/>
      <w:r w:rsidRPr="002050C1">
        <w:rPr>
          <w:rFonts w:ascii="Times New Roman" w:hAnsi="Times New Roman" w:cs="Times New Roman"/>
          <w:sz w:val="24"/>
          <w:szCs w:val="24"/>
        </w:rPr>
        <w:t>Parimalavelli</w:t>
      </w:r>
      <w:proofErr w:type="spellEnd"/>
      <w:r w:rsidRPr="002050C1">
        <w:rPr>
          <w:rFonts w:ascii="Times New Roman" w:hAnsi="Times New Roman" w:cs="Times New Roman"/>
          <w:sz w:val="24"/>
          <w:szCs w:val="24"/>
        </w:rPr>
        <w:t>, R. (2023). Land tenure and food security in South India.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132</w:t>
      </w:r>
      <w:r w:rsidRPr="002050C1">
        <w:rPr>
          <w:rFonts w:ascii="Times New Roman" w:hAnsi="Times New Roman" w:cs="Times New Roman"/>
          <w:sz w:val="24"/>
          <w:szCs w:val="24"/>
        </w:rPr>
        <w:t xml:space="preserve">, 106837. </w:t>
      </w:r>
      <w:hyperlink r:id="rId14" w:history="1">
        <w:r w:rsidRPr="002050C1">
          <w:rPr>
            <w:rStyle w:val="Hyperlink"/>
            <w:rFonts w:ascii="Times New Roman" w:hAnsi="Times New Roman" w:cs="Times New Roman"/>
            <w:sz w:val="24"/>
            <w:szCs w:val="24"/>
            <w:u w:val="none"/>
          </w:rPr>
          <w:t>https://doi.org/10.1016/j.landusepol.2023.106837</w:t>
        </w:r>
      </w:hyperlink>
    </w:p>
    <w:p w14:paraId="48DF2838"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Damodaran, K. (2021). Property Rights and Investment in Agriculture: Evidence from </w:t>
      </w:r>
      <w:proofErr w:type="spellStart"/>
      <w:r w:rsidRPr="002050C1">
        <w:rPr>
          <w:rFonts w:ascii="Times New Roman" w:hAnsi="Times New Roman" w:cs="Times New Roman"/>
          <w:sz w:val="24"/>
          <w:szCs w:val="24"/>
        </w:rPr>
        <w:t>Cuddalore</w:t>
      </w:r>
      <w:proofErr w:type="spellEnd"/>
      <w:r w:rsidRPr="002050C1">
        <w:rPr>
          <w:rFonts w:ascii="Times New Roman" w:hAnsi="Times New Roman" w:cs="Times New Roman"/>
          <w:sz w:val="24"/>
          <w:szCs w:val="24"/>
        </w:rPr>
        <w:t xml:space="preserve"> District of Tamil Nadu, India. </w:t>
      </w:r>
      <w:r w:rsidRPr="002050C1">
        <w:rPr>
          <w:rFonts w:ascii="Times New Roman" w:hAnsi="Times New Roman" w:cs="Times New Roman"/>
          <w:i/>
          <w:iCs/>
          <w:sz w:val="24"/>
          <w:szCs w:val="24"/>
        </w:rPr>
        <w:t>JOURNAL OF SOCIAL SCIENCES</w:t>
      </w:r>
      <w:r w:rsidRPr="002050C1">
        <w:rPr>
          <w:rFonts w:ascii="Times New Roman" w:hAnsi="Times New Roman" w:cs="Times New Roman"/>
          <w:sz w:val="24"/>
          <w:szCs w:val="24"/>
        </w:rPr>
        <w:t>, </w:t>
      </w:r>
      <w:r w:rsidRPr="002050C1">
        <w:rPr>
          <w:rFonts w:ascii="Times New Roman" w:hAnsi="Times New Roman" w:cs="Times New Roman"/>
          <w:i/>
          <w:iCs/>
          <w:sz w:val="24"/>
          <w:szCs w:val="24"/>
        </w:rPr>
        <w:t>68</w:t>
      </w:r>
      <w:r w:rsidRPr="002050C1">
        <w:rPr>
          <w:rFonts w:ascii="Times New Roman" w:hAnsi="Times New Roman" w:cs="Times New Roman"/>
          <w:sz w:val="24"/>
          <w:szCs w:val="24"/>
        </w:rPr>
        <w:t xml:space="preserve">(1–3). </w:t>
      </w:r>
      <w:hyperlink r:id="rId15" w:history="1">
        <w:r w:rsidRPr="002050C1">
          <w:rPr>
            <w:rStyle w:val="Hyperlink"/>
            <w:rFonts w:ascii="Times New Roman" w:hAnsi="Times New Roman" w:cs="Times New Roman"/>
            <w:sz w:val="24"/>
            <w:szCs w:val="24"/>
            <w:u w:val="none"/>
          </w:rPr>
          <w:t>https://doi.org/10.31901/24566756.2021/68.1-3.2279</w:t>
        </w:r>
      </w:hyperlink>
    </w:p>
    <w:p w14:paraId="3416C74F" w14:textId="77777777" w:rsidR="00F90BE1" w:rsidRPr="002050C1" w:rsidRDefault="00F90BE1" w:rsidP="00F90BE1">
      <w:pPr>
        <w:spacing w:line="240" w:lineRule="auto"/>
        <w:jc w:val="both"/>
        <w:rPr>
          <w:rFonts w:ascii="Times New Roman" w:hAnsi="Times New Roman" w:cs="Times New Roman"/>
          <w:i/>
          <w:sz w:val="24"/>
          <w:szCs w:val="24"/>
          <w:lang w:val="en-US"/>
        </w:rPr>
      </w:pPr>
      <w:r w:rsidRPr="002050C1">
        <w:rPr>
          <w:rFonts w:ascii="Times New Roman" w:hAnsi="Times New Roman" w:cs="Times New Roman"/>
          <w:sz w:val="24"/>
          <w:szCs w:val="24"/>
          <w:lang w:val="en-US"/>
        </w:rPr>
        <w:t xml:space="preserve">Directorate of Economics and Statistics, J&amp;K. (2020). </w:t>
      </w:r>
      <w:r w:rsidRPr="002050C1">
        <w:rPr>
          <w:rFonts w:ascii="Times New Roman" w:hAnsi="Times New Roman" w:cs="Times New Roman"/>
          <w:i/>
          <w:sz w:val="24"/>
          <w:szCs w:val="24"/>
          <w:lang w:val="en-US"/>
        </w:rPr>
        <w:t xml:space="preserve">Digest of Statistics 2019-20. </w:t>
      </w:r>
      <w:r w:rsidRPr="002050C1">
        <w:rPr>
          <w:rFonts w:ascii="Times New Roman" w:hAnsi="Times New Roman" w:cs="Times New Roman"/>
          <w:sz w:val="24"/>
          <w:szCs w:val="24"/>
          <w:lang w:val="en-US"/>
        </w:rPr>
        <w:t>http://www.ecostatjk.nic.in/digeststat/DOS2019-20.pdf</w:t>
      </w:r>
    </w:p>
    <w:p w14:paraId="68E8E8CE"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Dobbs, T., &amp; Foster, P. (1972). Incentives to invest in new agricultural inputs in North India. </w:t>
      </w:r>
      <w:r w:rsidRPr="002050C1">
        <w:rPr>
          <w:rFonts w:ascii="Times New Roman" w:hAnsi="Times New Roman" w:cs="Times New Roman"/>
          <w:i/>
          <w:iCs/>
          <w:sz w:val="24"/>
          <w:szCs w:val="24"/>
          <w:lang w:val="en-US"/>
        </w:rPr>
        <w:t>Economic Development and Cultural Change</w:t>
      </w:r>
      <w:r w:rsidRPr="002050C1">
        <w:rPr>
          <w:rFonts w:ascii="Times New Roman" w:hAnsi="Times New Roman" w:cs="Times New Roman"/>
          <w:sz w:val="24"/>
          <w:szCs w:val="24"/>
          <w:lang w:val="en-US"/>
        </w:rPr>
        <w:t>, </w:t>
      </w:r>
      <w:r w:rsidRPr="002050C1">
        <w:rPr>
          <w:rFonts w:ascii="Times New Roman" w:hAnsi="Times New Roman" w:cs="Times New Roman"/>
          <w:i/>
          <w:iCs/>
          <w:sz w:val="24"/>
          <w:szCs w:val="24"/>
          <w:lang w:val="en-US"/>
        </w:rPr>
        <w:t>21</w:t>
      </w:r>
      <w:r w:rsidRPr="002050C1">
        <w:rPr>
          <w:rFonts w:ascii="Times New Roman" w:hAnsi="Times New Roman" w:cs="Times New Roman"/>
          <w:sz w:val="24"/>
          <w:szCs w:val="24"/>
          <w:lang w:val="en-US"/>
        </w:rPr>
        <w:t xml:space="preserve">(1), 101-117. </w:t>
      </w:r>
      <w:hyperlink r:id="rId16" w:history="1">
        <w:r w:rsidRPr="002050C1">
          <w:rPr>
            <w:rStyle w:val="Hyperlink"/>
            <w:rFonts w:ascii="Times New Roman" w:hAnsi="Times New Roman" w:cs="Times New Roman"/>
            <w:sz w:val="24"/>
            <w:szCs w:val="24"/>
            <w:u w:val="none"/>
            <w:lang w:val="en-US"/>
          </w:rPr>
          <w:t>https://doi.org/10.1086/450611</w:t>
        </w:r>
      </w:hyperlink>
    </w:p>
    <w:p w14:paraId="4A380F23"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Goswami, B. (2015). Does tenure status affect the adoption of land productivity enhancing practices and input intensities? Evidence from Assam plains in India’s northeast. </w:t>
      </w:r>
      <w:r w:rsidRPr="002050C1">
        <w:rPr>
          <w:rFonts w:ascii="Times New Roman" w:hAnsi="Times New Roman" w:cs="Times New Roman"/>
          <w:i/>
          <w:iCs/>
          <w:sz w:val="24"/>
          <w:szCs w:val="24"/>
        </w:rPr>
        <w:t>Journal of Land and Rural Studies</w:t>
      </w:r>
      <w:r w:rsidRPr="002050C1">
        <w:rPr>
          <w:rFonts w:ascii="Times New Roman" w:hAnsi="Times New Roman" w:cs="Times New Roman"/>
          <w:sz w:val="24"/>
          <w:szCs w:val="24"/>
        </w:rPr>
        <w:t>, </w:t>
      </w:r>
      <w:r w:rsidRPr="002050C1">
        <w:rPr>
          <w:rFonts w:ascii="Times New Roman" w:hAnsi="Times New Roman" w:cs="Times New Roman"/>
          <w:i/>
          <w:iCs/>
          <w:sz w:val="24"/>
          <w:szCs w:val="24"/>
        </w:rPr>
        <w:t>3</w:t>
      </w:r>
      <w:r w:rsidRPr="002050C1">
        <w:rPr>
          <w:rFonts w:ascii="Times New Roman" w:hAnsi="Times New Roman" w:cs="Times New Roman"/>
          <w:sz w:val="24"/>
          <w:szCs w:val="24"/>
        </w:rPr>
        <w:t xml:space="preserve">(1), 29-44. </w:t>
      </w:r>
      <w:hyperlink r:id="rId17" w:history="1">
        <w:r w:rsidRPr="002050C1">
          <w:rPr>
            <w:rStyle w:val="Hyperlink"/>
            <w:rFonts w:ascii="Times New Roman" w:hAnsi="Times New Roman" w:cs="Times New Roman"/>
            <w:sz w:val="24"/>
            <w:szCs w:val="24"/>
            <w:u w:val="none"/>
          </w:rPr>
          <w:t>https://doi.org/10.1177/2321024914534040</w:t>
        </w:r>
      </w:hyperlink>
    </w:p>
    <w:p w14:paraId="63A9858F"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Government of India. (2023). </w:t>
      </w:r>
      <w:r w:rsidRPr="002050C1">
        <w:rPr>
          <w:rFonts w:ascii="Times New Roman" w:hAnsi="Times New Roman" w:cs="Times New Roman"/>
          <w:i/>
          <w:iCs/>
          <w:sz w:val="24"/>
          <w:szCs w:val="24"/>
        </w:rPr>
        <w:t>Agricultural statistics at a glance 2023</w:t>
      </w:r>
      <w:r w:rsidRPr="002050C1">
        <w:rPr>
          <w:rFonts w:ascii="Times New Roman" w:hAnsi="Times New Roman" w:cs="Times New Roman"/>
          <w:sz w:val="24"/>
          <w:szCs w:val="24"/>
        </w:rPr>
        <w:t>. Ministry of Agriculture and Farmers’ Welfare.</w:t>
      </w:r>
    </w:p>
    <w:p w14:paraId="7975A29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Government of Jammu &amp; Kashmir. (2022). </w:t>
      </w:r>
      <w:r w:rsidRPr="002050C1">
        <w:rPr>
          <w:rFonts w:ascii="Times New Roman" w:hAnsi="Times New Roman" w:cs="Times New Roman"/>
          <w:i/>
          <w:iCs/>
          <w:sz w:val="24"/>
          <w:szCs w:val="24"/>
        </w:rPr>
        <w:t>Economic survey of Jammu &amp; Kashmir 2021–22</w:t>
      </w:r>
      <w:r w:rsidRPr="002050C1">
        <w:rPr>
          <w:rFonts w:ascii="Times New Roman" w:hAnsi="Times New Roman" w:cs="Times New Roman"/>
          <w:sz w:val="24"/>
          <w:szCs w:val="24"/>
        </w:rPr>
        <w:t>. Directorate of Economics &amp; Statistics.</w:t>
      </w:r>
    </w:p>
    <w:p w14:paraId="30EBDE1D" w14:textId="77777777" w:rsidR="00F90BE1" w:rsidRPr="002050C1" w:rsidRDefault="00F90BE1" w:rsidP="00F90BE1">
      <w:pPr>
        <w:spacing w:line="240" w:lineRule="auto"/>
        <w:jc w:val="both"/>
        <w:rPr>
          <w:rFonts w:ascii="Times New Roman" w:hAnsi="Times New Roman" w:cs="Times New Roman"/>
          <w:sz w:val="24"/>
          <w:szCs w:val="24"/>
          <w:lang w:val="en-US"/>
        </w:rPr>
      </w:pPr>
      <w:r w:rsidRPr="002050C1">
        <w:rPr>
          <w:rFonts w:ascii="Times New Roman" w:hAnsi="Times New Roman" w:cs="Times New Roman"/>
          <w:sz w:val="24"/>
          <w:szCs w:val="24"/>
          <w:lang w:val="en-US"/>
        </w:rPr>
        <w:t>Hamdani, A. (2016). Marginalization of Reforms: A Historical Study of Land Reforms in Jammu and Kashmir (1931–1988). </w:t>
      </w:r>
      <w:r w:rsidRPr="002050C1">
        <w:rPr>
          <w:rFonts w:ascii="Times New Roman" w:hAnsi="Times New Roman" w:cs="Times New Roman"/>
          <w:i/>
          <w:iCs/>
          <w:sz w:val="24"/>
          <w:szCs w:val="24"/>
          <w:lang w:val="en-US"/>
        </w:rPr>
        <w:t>Social Scientist</w:t>
      </w:r>
      <w:r w:rsidRPr="002050C1">
        <w:rPr>
          <w:rFonts w:ascii="Times New Roman" w:hAnsi="Times New Roman" w:cs="Times New Roman"/>
          <w:sz w:val="24"/>
          <w:szCs w:val="24"/>
          <w:lang w:val="en-US"/>
        </w:rPr>
        <w:t>, </w:t>
      </w:r>
      <w:r w:rsidRPr="002050C1">
        <w:rPr>
          <w:rFonts w:ascii="Times New Roman" w:hAnsi="Times New Roman" w:cs="Times New Roman"/>
          <w:i/>
          <w:iCs/>
          <w:sz w:val="24"/>
          <w:szCs w:val="24"/>
          <w:lang w:val="en-US"/>
        </w:rPr>
        <w:t>44</w:t>
      </w:r>
      <w:r w:rsidRPr="002050C1">
        <w:rPr>
          <w:rFonts w:ascii="Times New Roman" w:hAnsi="Times New Roman" w:cs="Times New Roman"/>
          <w:sz w:val="24"/>
          <w:szCs w:val="24"/>
          <w:lang w:val="en-US"/>
        </w:rPr>
        <w:t xml:space="preserve">(11/12), 37–57. </w:t>
      </w:r>
      <w:hyperlink r:id="rId18" w:history="1">
        <w:r w:rsidRPr="002050C1">
          <w:rPr>
            <w:rStyle w:val="Hyperlink"/>
            <w:rFonts w:ascii="Times New Roman" w:hAnsi="Times New Roman" w:cs="Times New Roman"/>
            <w:sz w:val="24"/>
            <w:szCs w:val="24"/>
            <w:u w:val="none"/>
            <w:lang w:val="en-US"/>
          </w:rPr>
          <w:t>http://www.jstor.org/stable/24890259</w:t>
        </w:r>
      </w:hyperlink>
    </w:p>
    <w:p w14:paraId="63B4D53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Kuosmanen, T. (2006). Stochastic Nonparametric Envelopment of Data: Combining Virtues of SFA and DEA in a Unified Framework. </w:t>
      </w:r>
      <w:r w:rsidRPr="002050C1">
        <w:rPr>
          <w:rFonts w:ascii="Times New Roman" w:hAnsi="Times New Roman" w:cs="Times New Roman"/>
          <w:i/>
          <w:iCs/>
          <w:sz w:val="24"/>
          <w:szCs w:val="24"/>
        </w:rPr>
        <w:t>SSRN Electronic Journal</w:t>
      </w:r>
      <w:r w:rsidRPr="002050C1">
        <w:rPr>
          <w:rFonts w:ascii="Times New Roman" w:hAnsi="Times New Roman" w:cs="Times New Roman"/>
          <w:sz w:val="24"/>
          <w:szCs w:val="24"/>
        </w:rPr>
        <w:t xml:space="preserve">. </w:t>
      </w:r>
      <w:hyperlink r:id="rId19" w:history="1">
        <w:r w:rsidRPr="002050C1">
          <w:rPr>
            <w:rStyle w:val="Hyperlink"/>
            <w:rFonts w:ascii="Times New Roman" w:hAnsi="Times New Roman" w:cs="Times New Roman"/>
            <w:sz w:val="24"/>
            <w:szCs w:val="24"/>
            <w:u w:val="none"/>
          </w:rPr>
          <w:t>https://doi.org/10.2139/ssrn.905758</w:t>
        </w:r>
      </w:hyperlink>
    </w:p>
    <w:p w14:paraId="2B64F1FB" w14:textId="77777777" w:rsidR="00F90BE1" w:rsidRPr="002050C1" w:rsidRDefault="00F90BE1" w:rsidP="00F90BE1">
      <w:pPr>
        <w:spacing w:line="240" w:lineRule="auto"/>
        <w:jc w:val="both"/>
        <w:rPr>
          <w:rFonts w:ascii="Times New Roman" w:eastAsia="Times New Roman" w:hAnsi="Times New Roman" w:cs="Times New Roman"/>
          <w:kern w:val="0"/>
          <w:sz w:val="24"/>
          <w:szCs w:val="24"/>
          <w14:ligatures w14:val="none"/>
        </w:rPr>
      </w:pPr>
      <w:r w:rsidRPr="002050C1">
        <w:rPr>
          <w:rFonts w:ascii="Times New Roman" w:eastAsia="Times New Roman" w:hAnsi="Times New Roman" w:cs="Times New Roman"/>
          <w:kern w:val="0"/>
          <w:sz w:val="24"/>
          <w:szCs w:val="24"/>
          <w14:ligatures w14:val="none"/>
        </w:rPr>
        <w:t xml:space="preserve">Marshall, A. (1890). </w:t>
      </w:r>
      <w:r w:rsidRPr="002050C1">
        <w:rPr>
          <w:rFonts w:ascii="Times New Roman" w:eastAsia="Times New Roman" w:hAnsi="Times New Roman" w:cs="Times New Roman"/>
          <w:i/>
          <w:iCs/>
          <w:kern w:val="0"/>
          <w:sz w:val="24"/>
          <w:szCs w:val="24"/>
          <w14:ligatures w14:val="none"/>
        </w:rPr>
        <w:t>Principles of economics</w:t>
      </w:r>
      <w:r w:rsidRPr="002050C1">
        <w:rPr>
          <w:rFonts w:ascii="Times New Roman" w:eastAsia="Times New Roman" w:hAnsi="Times New Roman" w:cs="Times New Roman"/>
          <w:kern w:val="0"/>
          <w:sz w:val="24"/>
          <w:szCs w:val="24"/>
          <w14:ligatures w14:val="none"/>
        </w:rPr>
        <w:t>. London, Macmillan</w:t>
      </w:r>
    </w:p>
    <w:p w14:paraId="5E5B4CF5"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Newbery, D. M. G. (1977). Risk sharing, sharecropping and uncertain labour markets. </w:t>
      </w:r>
      <w:r w:rsidRPr="002050C1">
        <w:rPr>
          <w:rFonts w:ascii="Times New Roman" w:hAnsi="Times New Roman" w:cs="Times New Roman"/>
          <w:i/>
          <w:iCs/>
          <w:sz w:val="24"/>
          <w:szCs w:val="24"/>
        </w:rPr>
        <w:t>Review of Economic Studies, 44</w:t>
      </w:r>
      <w:r w:rsidRPr="002050C1">
        <w:rPr>
          <w:rFonts w:ascii="Times New Roman" w:hAnsi="Times New Roman" w:cs="Times New Roman"/>
          <w:sz w:val="24"/>
          <w:szCs w:val="24"/>
        </w:rPr>
        <w:t xml:space="preserve">(3), 585–594. </w:t>
      </w:r>
      <w:hyperlink r:id="rId20" w:history="1">
        <w:r w:rsidRPr="002050C1">
          <w:rPr>
            <w:rStyle w:val="Hyperlink"/>
            <w:rFonts w:ascii="Times New Roman" w:hAnsi="Times New Roman" w:cs="Times New Roman"/>
            <w:sz w:val="24"/>
            <w:szCs w:val="24"/>
            <w:u w:val="none"/>
          </w:rPr>
          <w:t>https://doi.org/10.2307/2296909</w:t>
        </w:r>
      </w:hyperlink>
    </w:p>
    <w:p w14:paraId="6FA43F93"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lastRenderedPageBreak/>
        <w:t>Noufé</w:t>
      </w:r>
      <w:proofErr w:type="spellEnd"/>
      <w:r w:rsidRPr="002050C1">
        <w:rPr>
          <w:rFonts w:ascii="Times New Roman" w:hAnsi="Times New Roman" w:cs="Times New Roman"/>
          <w:sz w:val="24"/>
          <w:szCs w:val="24"/>
        </w:rPr>
        <w:t>, T. (2023). Impact of land tenure security through customary law on agricultural productivity in Burkina Faso: Propensity score matching approaches.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134</w:t>
      </w:r>
      <w:r w:rsidRPr="002050C1">
        <w:rPr>
          <w:rFonts w:ascii="Times New Roman" w:hAnsi="Times New Roman" w:cs="Times New Roman"/>
          <w:sz w:val="24"/>
          <w:szCs w:val="24"/>
        </w:rPr>
        <w:t xml:space="preserve">, 106907. </w:t>
      </w:r>
      <w:hyperlink r:id="rId21" w:history="1">
        <w:r w:rsidRPr="002050C1">
          <w:rPr>
            <w:rStyle w:val="Hyperlink"/>
            <w:rFonts w:ascii="Times New Roman" w:hAnsi="Times New Roman" w:cs="Times New Roman"/>
            <w:sz w:val="24"/>
            <w:szCs w:val="24"/>
            <w:u w:val="none"/>
          </w:rPr>
          <w:t>https://doi.org/10.1016/j.landusepol.2023.106907</w:t>
        </w:r>
      </w:hyperlink>
    </w:p>
    <w:p w14:paraId="0B27CBD0"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Olesen, O. B., &amp; Petersen, N. C. (2016). Stochastic Data Envelopment Analysis—A review. </w:t>
      </w:r>
      <w:r w:rsidRPr="002050C1">
        <w:rPr>
          <w:rFonts w:ascii="Times New Roman" w:hAnsi="Times New Roman" w:cs="Times New Roman"/>
          <w:i/>
          <w:iCs/>
          <w:sz w:val="24"/>
          <w:szCs w:val="24"/>
        </w:rPr>
        <w:t>European Journal of Operational Research</w:t>
      </w:r>
      <w:r w:rsidRPr="002050C1">
        <w:rPr>
          <w:rFonts w:ascii="Times New Roman" w:hAnsi="Times New Roman" w:cs="Times New Roman"/>
          <w:sz w:val="24"/>
          <w:szCs w:val="24"/>
        </w:rPr>
        <w:t>, </w:t>
      </w:r>
      <w:r w:rsidRPr="002050C1">
        <w:rPr>
          <w:rFonts w:ascii="Times New Roman" w:hAnsi="Times New Roman" w:cs="Times New Roman"/>
          <w:i/>
          <w:iCs/>
          <w:sz w:val="24"/>
          <w:szCs w:val="24"/>
        </w:rPr>
        <w:t>251</w:t>
      </w:r>
      <w:r w:rsidRPr="002050C1">
        <w:rPr>
          <w:rFonts w:ascii="Times New Roman" w:hAnsi="Times New Roman" w:cs="Times New Roman"/>
          <w:sz w:val="24"/>
          <w:szCs w:val="24"/>
        </w:rPr>
        <w:t xml:space="preserve">(1), 2–21. </w:t>
      </w:r>
      <w:hyperlink r:id="rId22" w:history="1">
        <w:r w:rsidRPr="002050C1">
          <w:rPr>
            <w:rStyle w:val="Hyperlink"/>
            <w:rFonts w:ascii="Times New Roman" w:hAnsi="Times New Roman" w:cs="Times New Roman"/>
            <w:sz w:val="24"/>
            <w:szCs w:val="24"/>
            <w:u w:val="none"/>
          </w:rPr>
          <w:t>https://doi.org/10.1016/j.ejor.2015.07.058</w:t>
        </w:r>
      </w:hyperlink>
    </w:p>
    <w:p w14:paraId="10C2A323" w14:textId="77777777" w:rsidR="00F90BE1" w:rsidRPr="002050C1" w:rsidRDefault="00F90BE1" w:rsidP="00F90BE1">
      <w:pPr>
        <w:spacing w:line="240" w:lineRule="auto"/>
        <w:jc w:val="both"/>
        <w:rPr>
          <w:rFonts w:ascii="Times New Roman" w:hAnsi="Times New Roman" w:cs="Times New Roman"/>
          <w:i/>
          <w:iCs/>
          <w:sz w:val="24"/>
          <w:szCs w:val="24"/>
        </w:rPr>
      </w:pPr>
      <w:proofErr w:type="spellStart"/>
      <w:r w:rsidRPr="002050C1">
        <w:rPr>
          <w:rFonts w:ascii="Times New Roman" w:hAnsi="Times New Roman" w:cs="Times New Roman"/>
          <w:sz w:val="24"/>
          <w:szCs w:val="24"/>
        </w:rPr>
        <w:t>Oruk</w:t>
      </w:r>
      <w:proofErr w:type="spellEnd"/>
      <w:r w:rsidRPr="002050C1">
        <w:rPr>
          <w:rFonts w:ascii="Times New Roman" w:hAnsi="Times New Roman" w:cs="Times New Roman"/>
          <w:sz w:val="24"/>
          <w:szCs w:val="24"/>
        </w:rPr>
        <w:t>, G., &amp; Baran, M. F. (2022). Measurement of technical efficiency in cotton production in Batman Province, Turkey: a comparison of DEA and SFA. In </w:t>
      </w:r>
      <w:r w:rsidRPr="002050C1">
        <w:rPr>
          <w:rFonts w:ascii="Times New Roman" w:hAnsi="Times New Roman" w:cs="Times New Roman"/>
          <w:i/>
          <w:iCs/>
          <w:sz w:val="24"/>
          <w:szCs w:val="24"/>
        </w:rPr>
        <w:t>CUSTOS E AGRONEGOCIO ON LINE</w:t>
      </w:r>
    </w:p>
    <w:p w14:paraId="15F92E83"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Otsuka, K. (2007). Efficiency and equity effects of land markets. In R. Evenson &amp; P. Pingali (Eds.), </w:t>
      </w:r>
      <w:r w:rsidRPr="002050C1">
        <w:rPr>
          <w:rFonts w:ascii="Times New Roman" w:hAnsi="Times New Roman" w:cs="Times New Roman"/>
          <w:i/>
          <w:iCs/>
          <w:sz w:val="24"/>
          <w:szCs w:val="24"/>
        </w:rPr>
        <w:t>Handbook of agricultural economics</w:t>
      </w:r>
      <w:r w:rsidRPr="002050C1">
        <w:rPr>
          <w:rFonts w:ascii="Times New Roman" w:hAnsi="Times New Roman" w:cs="Times New Roman"/>
          <w:sz w:val="24"/>
          <w:szCs w:val="24"/>
        </w:rPr>
        <w:t xml:space="preserve"> (Vol. 3, pp. 2671–2703). Amsterdam: Elsevier. https://doi.org/10.1016/S1574-0072(06)03054-7</w:t>
      </w:r>
    </w:p>
    <w:p w14:paraId="4FF56F95" w14:textId="63263AE6"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Otsuka, K., &amp; Hayami, Y. (1988). Theories of share tenancy: A critical survey. </w:t>
      </w:r>
      <w:r w:rsidRPr="002050C1">
        <w:rPr>
          <w:rFonts w:ascii="Times New Roman" w:hAnsi="Times New Roman" w:cs="Times New Roman"/>
          <w:i/>
          <w:iCs/>
          <w:sz w:val="24"/>
          <w:szCs w:val="24"/>
        </w:rPr>
        <w:t>Economic Development and Cultural Change, 37</w:t>
      </w:r>
      <w:r w:rsidRPr="002050C1">
        <w:rPr>
          <w:rFonts w:ascii="Times New Roman" w:hAnsi="Times New Roman" w:cs="Times New Roman"/>
          <w:sz w:val="24"/>
          <w:szCs w:val="24"/>
        </w:rPr>
        <w:t xml:space="preserve">(1), 31–68. </w:t>
      </w:r>
      <w:hyperlink r:id="rId23" w:history="1">
        <w:r w:rsidRPr="002050C1">
          <w:rPr>
            <w:rStyle w:val="Hyperlink"/>
            <w:rFonts w:ascii="Times New Roman" w:hAnsi="Times New Roman" w:cs="Times New Roman"/>
            <w:sz w:val="24"/>
            <w:szCs w:val="24"/>
            <w:u w:val="none"/>
          </w:rPr>
          <w:t>https://doi.org/10.1086/451688</w:t>
        </w:r>
      </w:hyperlink>
    </w:p>
    <w:p w14:paraId="15C68FF5" w14:textId="77777777" w:rsidR="00F90BE1" w:rsidRPr="00F90BE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K. R. (2018). Land tenure security and adoption of modern rice technology in Odisha, Eastern India: Revisiting Besley’s hypothesis.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78</w:t>
      </w:r>
      <w:r w:rsidRPr="002050C1">
        <w:rPr>
          <w:rFonts w:ascii="Times New Roman" w:hAnsi="Times New Roman" w:cs="Times New Roman"/>
          <w:sz w:val="24"/>
          <w:szCs w:val="24"/>
        </w:rPr>
        <w:t xml:space="preserve">, 236-244. </w:t>
      </w:r>
      <w:hyperlink r:id="rId24" w:tgtFrame="_blank" w:tooltip="Persistent link using digital object identifier" w:history="1">
        <w:r w:rsidRPr="002050C1">
          <w:rPr>
            <w:rStyle w:val="Hyperlink"/>
            <w:rFonts w:ascii="Times New Roman" w:hAnsi="Times New Roman" w:cs="Times New Roman"/>
            <w:sz w:val="24"/>
            <w:szCs w:val="24"/>
            <w:u w:val="none"/>
          </w:rPr>
          <w:t>https://doi.org/10.1016/j.landusepol.2018.06.031</w:t>
        </w:r>
      </w:hyperlink>
    </w:p>
    <w:p w14:paraId="7D8D61E6"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Paltasingh</w:t>
      </w:r>
      <w:proofErr w:type="spellEnd"/>
      <w:r w:rsidRPr="002050C1">
        <w:rPr>
          <w:rFonts w:ascii="Times New Roman" w:hAnsi="Times New Roman" w:cs="Times New Roman"/>
          <w:sz w:val="24"/>
          <w:szCs w:val="24"/>
        </w:rPr>
        <w:t xml:space="preserve">, K. R., </w:t>
      </w:r>
      <w:proofErr w:type="spellStart"/>
      <w:r w:rsidRPr="002050C1">
        <w:rPr>
          <w:rFonts w:ascii="Times New Roman" w:hAnsi="Times New Roman" w:cs="Times New Roman"/>
          <w:sz w:val="24"/>
          <w:szCs w:val="24"/>
        </w:rPr>
        <w:t>Basantaray</w:t>
      </w:r>
      <w:proofErr w:type="spellEnd"/>
      <w:r w:rsidRPr="002050C1">
        <w:rPr>
          <w:rFonts w:ascii="Times New Roman" w:hAnsi="Times New Roman" w:cs="Times New Roman"/>
          <w:sz w:val="24"/>
          <w:szCs w:val="24"/>
        </w:rPr>
        <w:t>, A. K., &amp; Jena, P. K. (2022). Land tenure security and farm efficiency in Indian agriculture: Revisiting an old debate. </w:t>
      </w:r>
      <w:r w:rsidRPr="002050C1">
        <w:rPr>
          <w:rFonts w:ascii="Times New Roman" w:hAnsi="Times New Roman" w:cs="Times New Roman"/>
          <w:i/>
          <w:iCs/>
          <w:sz w:val="24"/>
          <w:szCs w:val="24"/>
        </w:rPr>
        <w:t>Land Use Policy</w:t>
      </w:r>
      <w:r w:rsidRPr="002050C1">
        <w:rPr>
          <w:rFonts w:ascii="Times New Roman" w:hAnsi="Times New Roman" w:cs="Times New Roman"/>
          <w:sz w:val="24"/>
          <w:szCs w:val="24"/>
        </w:rPr>
        <w:t>, </w:t>
      </w:r>
      <w:r w:rsidRPr="002050C1">
        <w:rPr>
          <w:rFonts w:ascii="Times New Roman" w:hAnsi="Times New Roman" w:cs="Times New Roman"/>
          <w:i/>
          <w:iCs/>
          <w:sz w:val="24"/>
          <w:szCs w:val="24"/>
        </w:rPr>
        <w:t>114</w:t>
      </w:r>
      <w:r w:rsidRPr="002050C1">
        <w:rPr>
          <w:rFonts w:ascii="Times New Roman" w:hAnsi="Times New Roman" w:cs="Times New Roman"/>
          <w:sz w:val="24"/>
          <w:szCs w:val="24"/>
        </w:rPr>
        <w:t xml:space="preserve">, 105955. </w:t>
      </w:r>
      <w:hyperlink r:id="rId25" w:tgtFrame="_blank" w:tooltip="Persistent link using digital object identifier" w:history="1">
        <w:r w:rsidRPr="002050C1">
          <w:rPr>
            <w:rStyle w:val="Hyperlink"/>
            <w:rFonts w:ascii="Times New Roman" w:hAnsi="Times New Roman" w:cs="Times New Roman"/>
            <w:sz w:val="24"/>
            <w:szCs w:val="24"/>
            <w:u w:val="none"/>
          </w:rPr>
          <w:t>https://doi.org/10.1016/j.landusepol.2021.105955</w:t>
        </w:r>
      </w:hyperlink>
    </w:p>
    <w:p w14:paraId="33F1A1BA"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Prasad, A. K. (2014). Sheikh Abdullah and land reforms in Jammu and Kashmir. </w:t>
      </w:r>
      <w:r w:rsidRPr="002050C1">
        <w:rPr>
          <w:rFonts w:ascii="Times New Roman" w:hAnsi="Times New Roman" w:cs="Times New Roman"/>
          <w:i/>
          <w:iCs/>
          <w:sz w:val="24"/>
          <w:szCs w:val="24"/>
        </w:rPr>
        <w:t>Economic and Political weekly</w:t>
      </w:r>
      <w:r w:rsidRPr="002050C1">
        <w:rPr>
          <w:rFonts w:ascii="Times New Roman" w:hAnsi="Times New Roman" w:cs="Times New Roman"/>
          <w:sz w:val="24"/>
          <w:szCs w:val="24"/>
        </w:rPr>
        <w:t xml:space="preserve">, 130-137. </w:t>
      </w:r>
      <w:hyperlink r:id="rId26" w:history="1">
        <w:r w:rsidRPr="002050C1">
          <w:rPr>
            <w:rStyle w:val="Hyperlink"/>
            <w:rFonts w:ascii="Times New Roman" w:hAnsi="Times New Roman" w:cs="Times New Roman"/>
            <w:sz w:val="24"/>
            <w:szCs w:val="24"/>
            <w:u w:val="none"/>
          </w:rPr>
          <w:t>https://www.jstor.org/stable/24480469</w:t>
        </w:r>
      </w:hyperlink>
    </w:p>
    <w:p w14:paraId="57D62912"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Raina, A., &amp; Sharma, V. (2021). Inter-District Variations in Agricultural Production and Productivity of Jammu Division of Jammu &amp; Kashmir. </w:t>
      </w:r>
      <w:r w:rsidRPr="002050C1">
        <w:rPr>
          <w:rFonts w:ascii="Times New Roman" w:hAnsi="Times New Roman" w:cs="Times New Roman"/>
          <w:i/>
          <w:iCs/>
          <w:sz w:val="24"/>
          <w:szCs w:val="24"/>
        </w:rPr>
        <w:t>Regional Economic Development Research</w:t>
      </w:r>
      <w:r w:rsidRPr="002050C1">
        <w:rPr>
          <w:rFonts w:ascii="Times New Roman" w:hAnsi="Times New Roman" w:cs="Times New Roman"/>
          <w:sz w:val="24"/>
          <w:szCs w:val="24"/>
        </w:rPr>
        <w:t xml:space="preserve">, 132-143. </w:t>
      </w:r>
      <w:hyperlink r:id="rId27" w:history="1">
        <w:r w:rsidRPr="002050C1">
          <w:rPr>
            <w:rStyle w:val="Hyperlink"/>
            <w:rFonts w:ascii="Times New Roman" w:hAnsi="Times New Roman" w:cs="Times New Roman"/>
            <w:sz w:val="24"/>
            <w:szCs w:val="24"/>
            <w:u w:val="none"/>
          </w:rPr>
          <w:t>https://doi.org/10.37256/redr.222021843</w:t>
        </w:r>
      </w:hyperlink>
    </w:p>
    <w:p w14:paraId="4DF282D6"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Ray, S., &amp; Singh, R. P. (2001). Productivity and efficiency of land tenure contracts in agriculture: A case study of Punjab. </w:t>
      </w:r>
      <w:r w:rsidRPr="002050C1">
        <w:rPr>
          <w:rFonts w:ascii="Times New Roman" w:hAnsi="Times New Roman" w:cs="Times New Roman"/>
          <w:i/>
          <w:iCs/>
          <w:sz w:val="24"/>
          <w:szCs w:val="24"/>
        </w:rPr>
        <w:t>Indian Journal of Agricultural Economics, 56</w:t>
      </w:r>
      <w:r w:rsidRPr="002050C1">
        <w:rPr>
          <w:rFonts w:ascii="Times New Roman" w:hAnsi="Times New Roman" w:cs="Times New Roman"/>
          <w:sz w:val="24"/>
          <w:szCs w:val="24"/>
        </w:rPr>
        <w:t>(3), 422–433.</w:t>
      </w:r>
    </w:p>
    <w:p w14:paraId="6B9229C6" w14:textId="77777777" w:rsidR="00F90BE1" w:rsidRPr="002050C1" w:rsidRDefault="00F90BE1" w:rsidP="00F90BE1">
      <w:pPr>
        <w:spacing w:line="240" w:lineRule="auto"/>
        <w:jc w:val="both"/>
        <w:rPr>
          <w:rFonts w:ascii="Times New Roman" w:hAnsi="Times New Roman" w:cs="Times New Roman"/>
          <w:sz w:val="24"/>
          <w:szCs w:val="24"/>
        </w:rPr>
      </w:pPr>
      <w:proofErr w:type="spellStart"/>
      <w:r w:rsidRPr="002050C1">
        <w:rPr>
          <w:rFonts w:ascii="Times New Roman" w:hAnsi="Times New Roman" w:cs="Times New Roman"/>
          <w:sz w:val="24"/>
          <w:szCs w:val="24"/>
        </w:rPr>
        <w:t>Romshoo</w:t>
      </w:r>
      <w:proofErr w:type="spellEnd"/>
      <w:r w:rsidRPr="002050C1">
        <w:rPr>
          <w:rFonts w:ascii="Times New Roman" w:hAnsi="Times New Roman" w:cs="Times New Roman"/>
          <w:sz w:val="24"/>
          <w:szCs w:val="24"/>
        </w:rPr>
        <w:t>, S. A., Rashid, I., Altaf, S., &amp; Dar, G. H. (2020). Jammu and Kashmir state: an overview. </w:t>
      </w:r>
      <w:r w:rsidRPr="002050C1">
        <w:rPr>
          <w:rFonts w:ascii="Times New Roman" w:hAnsi="Times New Roman" w:cs="Times New Roman"/>
          <w:i/>
          <w:iCs/>
          <w:sz w:val="24"/>
          <w:szCs w:val="24"/>
        </w:rPr>
        <w:t>Biodiversity of the Himalaya: Jammu and Kashmir State</w:t>
      </w:r>
      <w:r w:rsidRPr="002050C1">
        <w:rPr>
          <w:rFonts w:ascii="Times New Roman" w:hAnsi="Times New Roman" w:cs="Times New Roman"/>
          <w:sz w:val="24"/>
          <w:szCs w:val="24"/>
        </w:rPr>
        <w:t xml:space="preserve">, 129-166.  </w:t>
      </w:r>
      <w:hyperlink r:id="rId28" w:history="1">
        <w:r w:rsidRPr="002050C1">
          <w:rPr>
            <w:rStyle w:val="Hyperlink"/>
            <w:rFonts w:ascii="Times New Roman" w:hAnsi="Times New Roman" w:cs="Times New Roman"/>
            <w:sz w:val="24"/>
            <w:szCs w:val="24"/>
            <w:u w:val="none"/>
          </w:rPr>
          <w:t>https://doi.org/10.1007/978-981-32-9174-4_6</w:t>
        </w:r>
      </w:hyperlink>
    </w:p>
    <w:p w14:paraId="43E539E4"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Shaban, R. A. (1987). Testing between competing models of sharecropping. </w:t>
      </w:r>
      <w:r w:rsidRPr="002050C1">
        <w:rPr>
          <w:rFonts w:ascii="Times New Roman" w:hAnsi="Times New Roman" w:cs="Times New Roman"/>
          <w:i/>
          <w:iCs/>
          <w:sz w:val="24"/>
          <w:szCs w:val="24"/>
        </w:rPr>
        <w:t>Journal of Political Economy, 95</w:t>
      </w:r>
      <w:r w:rsidRPr="002050C1">
        <w:rPr>
          <w:rFonts w:ascii="Times New Roman" w:hAnsi="Times New Roman" w:cs="Times New Roman"/>
          <w:sz w:val="24"/>
          <w:szCs w:val="24"/>
        </w:rPr>
        <w:t>(5), 893–920. https://doi.org/10.1086/261489</w:t>
      </w:r>
    </w:p>
    <w:p w14:paraId="4BEAAA9B"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Sharma, R. (2007). Agricultural Development and crop diversification in Jammu and Kashmir: A district level study patterns, processes and determinants. </w:t>
      </w:r>
      <w:r w:rsidRPr="002050C1">
        <w:rPr>
          <w:rFonts w:ascii="Times New Roman" w:hAnsi="Times New Roman" w:cs="Times New Roman"/>
          <w:i/>
          <w:iCs/>
          <w:sz w:val="24"/>
          <w:szCs w:val="24"/>
        </w:rPr>
        <w:t>Review of Development and Change</w:t>
      </w:r>
      <w:r w:rsidRPr="002050C1">
        <w:rPr>
          <w:rFonts w:ascii="Times New Roman" w:hAnsi="Times New Roman" w:cs="Times New Roman"/>
          <w:sz w:val="24"/>
          <w:szCs w:val="24"/>
        </w:rPr>
        <w:t>, </w:t>
      </w:r>
      <w:r w:rsidRPr="002050C1">
        <w:rPr>
          <w:rFonts w:ascii="Times New Roman" w:hAnsi="Times New Roman" w:cs="Times New Roman"/>
          <w:i/>
          <w:iCs/>
          <w:sz w:val="24"/>
          <w:szCs w:val="24"/>
        </w:rPr>
        <w:t>12</w:t>
      </w:r>
      <w:r w:rsidRPr="002050C1">
        <w:rPr>
          <w:rFonts w:ascii="Times New Roman" w:hAnsi="Times New Roman" w:cs="Times New Roman"/>
          <w:sz w:val="24"/>
          <w:szCs w:val="24"/>
        </w:rPr>
        <w:t xml:space="preserve">(2), 217-251. </w:t>
      </w:r>
      <w:hyperlink r:id="rId29" w:history="1">
        <w:r w:rsidRPr="002050C1">
          <w:rPr>
            <w:rStyle w:val="Hyperlink"/>
            <w:rFonts w:ascii="Times New Roman" w:hAnsi="Times New Roman" w:cs="Times New Roman"/>
            <w:sz w:val="24"/>
            <w:szCs w:val="24"/>
            <w:u w:val="none"/>
          </w:rPr>
          <w:t>https://doi.org/10.1177/0972266120070203</w:t>
        </w:r>
      </w:hyperlink>
    </w:p>
    <w:p w14:paraId="049FE0CB" w14:textId="77777777" w:rsidR="00F90BE1" w:rsidRPr="002050C1" w:rsidRDefault="00F90BE1" w:rsidP="00F90BE1">
      <w:pPr>
        <w:spacing w:line="240" w:lineRule="auto"/>
        <w:ind w:left="720" w:hanging="720"/>
        <w:jc w:val="both"/>
        <w:rPr>
          <w:rFonts w:ascii="Times New Roman" w:hAnsi="Times New Roman" w:cs="Times New Roman"/>
          <w:color w:val="000000" w:themeColor="text1"/>
          <w:sz w:val="24"/>
          <w:szCs w:val="24"/>
        </w:rPr>
      </w:pPr>
      <w:r w:rsidRPr="002050C1">
        <w:rPr>
          <w:rFonts w:ascii="Times New Roman" w:hAnsi="Times New Roman" w:cs="Times New Roman"/>
          <w:color w:val="000000" w:themeColor="text1"/>
          <w:sz w:val="24"/>
          <w:szCs w:val="24"/>
        </w:rPr>
        <w:t xml:space="preserve">Singh, J. (2004). </w:t>
      </w:r>
      <w:r w:rsidRPr="002050C1">
        <w:rPr>
          <w:rFonts w:ascii="Times New Roman" w:hAnsi="Times New Roman" w:cs="Times New Roman"/>
          <w:i/>
          <w:color w:val="000000" w:themeColor="text1"/>
          <w:sz w:val="24"/>
          <w:szCs w:val="24"/>
        </w:rPr>
        <w:t xml:space="preserve">The Economy of Jammu &amp; Kashmir. </w:t>
      </w:r>
      <w:r w:rsidRPr="002050C1">
        <w:rPr>
          <w:rFonts w:ascii="Times New Roman" w:hAnsi="Times New Roman" w:cs="Times New Roman"/>
          <w:color w:val="000000" w:themeColor="text1"/>
          <w:sz w:val="24"/>
          <w:szCs w:val="24"/>
        </w:rPr>
        <w:t>Radha Krishan Anand &amp; Co.</w:t>
      </w:r>
    </w:p>
    <w:p w14:paraId="047F6F1E"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Singh, N. (1989). Theories of sharecropping. In P. Bardhan (Ed.), </w:t>
      </w:r>
      <w:r w:rsidRPr="002050C1">
        <w:rPr>
          <w:rFonts w:ascii="Times New Roman" w:hAnsi="Times New Roman" w:cs="Times New Roman"/>
          <w:i/>
          <w:iCs/>
          <w:sz w:val="24"/>
          <w:szCs w:val="24"/>
        </w:rPr>
        <w:t>The economic theory of agrarian institutions</w:t>
      </w:r>
      <w:r w:rsidRPr="002050C1">
        <w:rPr>
          <w:rFonts w:ascii="Times New Roman" w:hAnsi="Times New Roman" w:cs="Times New Roman"/>
          <w:sz w:val="24"/>
          <w:szCs w:val="24"/>
        </w:rPr>
        <w:t xml:space="preserve"> (pp. 31–54). Oxford: Oxford University Press.</w:t>
      </w:r>
    </w:p>
    <w:p w14:paraId="6A409722"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t xml:space="preserve">Stiglitz, J. E. (1974). Incentives and risk sharing in sharecropping. </w:t>
      </w:r>
      <w:r w:rsidRPr="002050C1">
        <w:rPr>
          <w:rFonts w:ascii="Times New Roman" w:hAnsi="Times New Roman" w:cs="Times New Roman"/>
          <w:i/>
          <w:iCs/>
          <w:sz w:val="24"/>
          <w:szCs w:val="24"/>
        </w:rPr>
        <w:t>Review of Economic Studies, 41</w:t>
      </w:r>
      <w:r w:rsidRPr="002050C1">
        <w:rPr>
          <w:rFonts w:ascii="Times New Roman" w:hAnsi="Times New Roman" w:cs="Times New Roman"/>
          <w:sz w:val="24"/>
          <w:szCs w:val="24"/>
        </w:rPr>
        <w:t>(2), 219–255. https://doi.org/10.2307/2296714</w:t>
      </w:r>
    </w:p>
    <w:p w14:paraId="4AF2E41E" w14:textId="77777777" w:rsidR="00F90BE1" w:rsidRPr="002050C1" w:rsidRDefault="00F90BE1" w:rsidP="00F90BE1">
      <w:pPr>
        <w:spacing w:line="240" w:lineRule="auto"/>
        <w:jc w:val="both"/>
        <w:rPr>
          <w:rFonts w:ascii="Times New Roman" w:hAnsi="Times New Roman" w:cs="Times New Roman"/>
          <w:sz w:val="24"/>
          <w:szCs w:val="24"/>
        </w:rPr>
      </w:pPr>
      <w:r w:rsidRPr="002050C1">
        <w:rPr>
          <w:rFonts w:ascii="Times New Roman" w:hAnsi="Times New Roman" w:cs="Times New Roman"/>
          <w:sz w:val="24"/>
          <w:szCs w:val="24"/>
        </w:rPr>
        <w:lastRenderedPageBreak/>
        <w:t>Swaminathan, M. (2022). Land Reform in Kashmir. </w:t>
      </w:r>
      <w:r w:rsidRPr="002050C1">
        <w:rPr>
          <w:rFonts w:ascii="Times New Roman" w:hAnsi="Times New Roman" w:cs="Times New Roman"/>
          <w:i/>
          <w:iCs/>
          <w:sz w:val="24"/>
          <w:szCs w:val="24"/>
        </w:rPr>
        <w:t>Review of Agrarian Studies</w:t>
      </w:r>
      <w:r w:rsidRPr="002050C1">
        <w:rPr>
          <w:rFonts w:ascii="Times New Roman" w:hAnsi="Times New Roman" w:cs="Times New Roman"/>
          <w:sz w:val="24"/>
          <w:szCs w:val="24"/>
        </w:rPr>
        <w:t>, </w:t>
      </w:r>
      <w:r w:rsidRPr="002050C1">
        <w:rPr>
          <w:rFonts w:ascii="Times New Roman" w:hAnsi="Times New Roman" w:cs="Times New Roman"/>
          <w:i/>
          <w:iCs/>
          <w:sz w:val="24"/>
          <w:szCs w:val="24"/>
        </w:rPr>
        <w:t>12</w:t>
      </w:r>
      <w:r w:rsidRPr="002050C1">
        <w:rPr>
          <w:rFonts w:ascii="Times New Roman" w:hAnsi="Times New Roman" w:cs="Times New Roman"/>
          <w:sz w:val="24"/>
          <w:szCs w:val="24"/>
        </w:rPr>
        <w:t>(2), 161-163.  </w:t>
      </w:r>
      <w:hyperlink r:id="rId30" w:history="1">
        <w:r w:rsidRPr="002050C1">
          <w:rPr>
            <w:rStyle w:val="Hyperlink"/>
            <w:rFonts w:ascii="Times New Roman" w:hAnsi="Times New Roman" w:cs="Times New Roman"/>
            <w:sz w:val="24"/>
            <w:szCs w:val="24"/>
            <w:u w:val="none"/>
          </w:rPr>
          <w:t>https://doi.org/10.25003/RAS.12.02.0023</w:t>
        </w:r>
      </w:hyperlink>
    </w:p>
    <w:sectPr w:rsidR="00F90BE1" w:rsidRPr="002050C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ADCBB" w14:textId="77777777" w:rsidR="00C6593A" w:rsidRDefault="00C6593A" w:rsidP="00A879C0">
      <w:pPr>
        <w:spacing w:after="0" w:line="240" w:lineRule="auto"/>
      </w:pPr>
      <w:r>
        <w:separator/>
      </w:r>
    </w:p>
  </w:endnote>
  <w:endnote w:type="continuationSeparator" w:id="0">
    <w:p w14:paraId="4037F403" w14:textId="77777777" w:rsidR="00C6593A" w:rsidRDefault="00C6593A" w:rsidP="00A8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2600" w14:textId="77777777" w:rsidR="0072470A" w:rsidRDefault="0072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A3425" w14:textId="77777777" w:rsidR="0072470A" w:rsidRDefault="00724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3665" w14:textId="77777777" w:rsidR="0072470A" w:rsidRDefault="0072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BBE2A" w14:textId="77777777" w:rsidR="00C6593A" w:rsidRDefault="00C6593A" w:rsidP="00A879C0">
      <w:pPr>
        <w:spacing w:after="0" w:line="240" w:lineRule="auto"/>
      </w:pPr>
      <w:r>
        <w:separator/>
      </w:r>
    </w:p>
  </w:footnote>
  <w:footnote w:type="continuationSeparator" w:id="0">
    <w:p w14:paraId="749B4480" w14:textId="77777777" w:rsidR="00C6593A" w:rsidRDefault="00C6593A" w:rsidP="00A8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18E0" w14:textId="55F595A4" w:rsidR="0072470A" w:rsidRDefault="0072470A">
    <w:pPr>
      <w:pStyle w:val="Header"/>
    </w:pPr>
    <w:r>
      <w:rPr>
        <w:noProof/>
      </w:rPr>
      <w:pict w14:anchorId="592A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266" w14:textId="384F75B4" w:rsidR="0072470A" w:rsidRDefault="0072470A">
    <w:pPr>
      <w:pStyle w:val="Header"/>
    </w:pPr>
    <w:r>
      <w:rPr>
        <w:noProof/>
      </w:rPr>
      <w:pict w14:anchorId="6BAF1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F772" w14:textId="458D88B6" w:rsidR="0072470A" w:rsidRDefault="0072470A">
    <w:pPr>
      <w:pStyle w:val="Header"/>
    </w:pPr>
    <w:r>
      <w:rPr>
        <w:noProof/>
      </w:rPr>
      <w:pict w14:anchorId="6E978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100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520E7"/>
    <w:multiLevelType w:val="multilevel"/>
    <w:tmpl w:val="F45E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F0183"/>
    <w:multiLevelType w:val="multilevel"/>
    <w:tmpl w:val="45E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E252B"/>
    <w:multiLevelType w:val="multilevel"/>
    <w:tmpl w:val="531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C4941"/>
    <w:multiLevelType w:val="hybridMultilevel"/>
    <w:tmpl w:val="05C4A0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EA410D"/>
    <w:multiLevelType w:val="multilevel"/>
    <w:tmpl w:val="94CC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42E2C"/>
    <w:multiLevelType w:val="multilevel"/>
    <w:tmpl w:val="1CE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01"/>
    <w:rsid w:val="000479C6"/>
    <w:rsid w:val="000B094E"/>
    <w:rsid w:val="00181D69"/>
    <w:rsid w:val="0019231A"/>
    <w:rsid w:val="002007DA"/>
    <w:rsid w:val="002050C1"/>
    <w:rsid w:val="00221A06"/>
    <w:rsid w:val="0033768D"/>
    <w:rsid w:val="00344016"/>
    <w:rsid w:val="00344E16"/>
    <w:rsid w:val="00355744"/>
    <w:rsid w:val="003B1B4F"/>
    <w:rsid w:val="00403E0C"/>
    <w:rsid w:val="0049568D"/>
    <w:rsid w:val="00605AF2"/>
    <w:rsid w:val="006F106E"/>
    <w:rsid w:val="00721DA2"/>
    <w:rsid w:val="0072470A"/>
    <w:rsid w:val="007271B9"/>
    <w:rsid w:val="00756EBC"/>
    <w:rsid w:val="007A4501"/>
    <w:rsid w:val="00803221"/>
    <w:rsid w:val="00812DA9"/>
    <w:rsid w:val="00826190"/>
    <w:rsid w:val="00856E1C"/>
    <w:rsid w:val="00876AC2"/>
    <w:rsid w:val="00901144"/>
    <w:rsid w:val="009A4282"/>
    <w:rsid w:val="009E07FC"/>
    <w:rsid w:val="00A635CE"/>
    <w:rsid w:val="00A879C0"/>
    <w:rsid w:val="00B4591C"/>
    <w:rsid w:val="00B6514F"/>
    <w:rsid w:val="00BA7D92"/>
    <w:rsid w:val="00C12EC0"/>
    <w:rsid w:val="00C6593A"/>
    <w:rsid w:val="00C83C21"/>
    <w:rsid w:val="00CC7847"/>
    <w:rsid w:val="00D665D6"/>
    <w:rsid w:val="00DB488E"/>
    <w:rsid w:val="00E01AFC"/>
    <w:rsid w:val="00E80FEF"/>
    <w:rsid w:val="00F90BE1"/>
    <w:rsid w:val="00F94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2529F"/>
  <w15:chartTrackingRefBased/>
  <w15:docId w15:val="{919E06E8-1BA0-42BD-8831-FCCFA294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EC0"/>
  </w:style>
  <w:style w:type="paragraph" w:styleId="Heading1">
    <w:name w:val="heading 1"/>
    <w:basedOn w:val="Normal"/>
    <w:next w:val="Normal"/>
    <w:link w:val="Heading1Char"/>
    <w:uiPriority w:val="9"/>
    <w:qFormat/>
    <w:rsid w:val="007A4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501"/>
    <w:rPr>
      <w:rFonts w:eastAsiaTheme="majorEastAsia" w:cstheme="majorBidi"/>
      <w:color w:val="272727" w:themeColor="text1" w:themeTint="D8"/>
    </w:rPr>
  </w:style>
  <w:style w:type="paragraph" w:styleId="Title">
    <w:name w:val="Title"/>
    <w:basedOn w:val="Normal"/>
    <w:next w:val="Normal"/>
    <w:link w:val="TitleChar"/>
    <w:uiPriority w:val="10"/>
    <w:qFormat/>
    <w:rsid w:val="007A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501"/>
    <w:pPr>
      <w:spacing w:before="160"/>
      <w:jc w:val="center"/>
    </w:pPr>
    <w:rPr>
      <w:i/>
      <w:iCs/>
      <w:color w:val="404040" w:themeColor="text1" w:themeTint="BF"/>
    </w:rPr>
  </w:style>
  <w:style w:type="character" w:customStyle="1" w:styleId="QuoteChar">
    <w:name w:val="Quote Char"/>
    <w:basedOn w:val="DefaultParagraphFont"/>
    <w:link w:val="Quote"/>
    <w:uiPriority w:val="29"/>
    <w:rsid w:val="007A4501"/>
    <w:rPr>
      <w:i/>
      <w:iCs/>
      <w:color w:val="404040" w:themeColor="text1" w:themeTint="BF"/>
    </w:rPr>
  </w:style>
  <w:style w:type="paragraph" w:styleId="ListParagraph">
    <w:name w:val="List Paragraph"/>
    <w:basedOn w:val="Normal"/>
    <w:uiPriority w:val="34"/>
    <w:qFormat/>
    <w:rsid w:val="007A4501"/>
    <w:pPr>
      <w:ind w:left="720"/>
      <w:contextualSpacing/>
    </w:pPr>
  </w:style>
  <w:style w:type="character" w:styleId="IntenseEmphasis">
    <w:name w:val="Intense Emphasis"/>
    <w:basedOn w:val="DefaultParagraphFont"/>
    <w:uiPriority w:val="21"/>
    <w:qFormat/>
    <w:rsid w:val="007A4501"/>
    <w:rPr>
      <w:i/>
      <w:iCs/>
      <w:color w:val="2F5496" w:themeColor="accent1" w:themeShade="BF"/>
    </w:rPr>
  </w:style>
  <w:style w:type="paragraph" w:styleId="IntenseQuote">
    <w:name w:val="Intense Quote"/>
    <w:basedOn w:val="Normal"/>
    <w:next w:val="Normal"/>
    <w:link w:val="IntenseQuoteChar"/>
    <w:uiPriority w:val="30"/>
    <w:qFormat/>
    <w:rsid w:val="007A4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501"/>
    <w:rPr>
      <w:i/>
      <w:iCs/>
      <w:color w:val="2F5496" w:themeColor="accent1" w:themeShade="BF"/>
    </w:rPr>
  </w:style>
  <w:style w:type="character" w:styleId="IntenseReference">
    <w:name w:val="Intense Reference"/>
    <w:basedOn w:val="DefaultParagraphFont"/>
    <w:uiPriority w:val="32"/>
    <w:qFormat/>
    <w:rsid w:val="007A4501"/>
    <w:rPr>
      <w:b/>
      <w:bCs/>
      <w:smallCaps/>
      <w:color w:val="2F5496" w:themeColor="accent1" w:themeShade="BF"/>
      <w:spacing w:val="5"/>
    </w:rPr>
  </w:style>
  <w:style w:type="character" w:styleId="Hyperlink">
    <w:name w:val="Hyperlink"/>
    <w:basedOn w:val="DefaultParagraphFont"/>
    <w:uiPriority w:val="99"/>
    <w:unhideWhenUsed/>
    <w:rsid w:val="00403E0C"/>
    <w:rPr>
      <w:color w:val="0563C1" w:themeColor="hyperlink"/>
      <w:u w:val="single"/>
    </w:rPr>
  </w:style>
  <w:style w:type="character" w:styleId="UnresolvedMention">
    <w:name w:val="Unresolved Mention"/>
    <w:basedOn w:val="DefaultParagraphFont"/>
    <w:uiPriority w:val="99"/>
    <w:semiHidden/>
    <w:unhideWhenUsed/>
    <w:rsid w:val="00403E0C"/>
    <w:rPr>
      <w:color w:val="605E5C"/>
      <w:shd w:val="clear" w:color="auto" w:fill="E1DFDD"/>
    </w:rPr>
  </w:style>
  <w:style w:type="character" w:styleId="PlaceholderText">
    <w:name w:val="Placeholder Text"/>
    <w:basedOn w:val="DefaultParagraphFont"/>
    <w:uiPriority w:val="99"/>
    <w:semiHidden/>
    <w:rsid w:val="00B6514F"/>
    <w:rPr>
      <w:color w:val="666666"/>
    </w:rPr>
  </w:style>
  <w:style w:type="table" w:styleId="TableGrid">
    <w:name w:val="Table Grid"/>
    <w:basedOn w:val="TableNormal"/>
    <w:uiPriority w:val="39"/>
    <w:rsid w:val="00C1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2E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21A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1A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271B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6E1C"/>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79C0"/>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A879C0"/>
    <w:rPr>
      <w:kern w:val="0"/>
      <w:sz w:val="20"/>
      <w:szCs w:val="20"/>
      <w:lang w:val="en-US"/>
      <w14:ligatures w14:val="none"/>
    </w:rPr>
  </w:style>
  <w:style w:type="character" w:styleId="FootnoteReference">
    <w:name w:val="footnote reference"/>
    <w:basedOn w:val="DefaultParagraphFont"/>
    <w:uiPriority w:val="99"/>
    <w:semiHidden/>
    <w:unhideWhenUsed/>
    <w:rsid w:val="00A879C0"/>
    <w:rPr>
      <w:vertAlign w:val="superscript"/>
    </w:rPr>
  </w:style>
  <w:style w:type="paragraph" w:styleId="Header">
    <w:name w:val="header"/>
    <w:basedOn w:val="Normal"/>
    <w:link w:val="HeaderChar"/>
    <w:uiPriority w:val="99"/>
    <w:unhideWhenUsed/>
    <w:rsid w:val="0072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0A"/>
  </w:style>
  <w:style w:type="paragraph" w:styleId="Footer">
    <w:name w:val="footer"/>
    <w:basedOn w:val="Normal"/>
    <w:link w:val="FooterChar"/>
    <w:uiPriority w:val="99"/>
    <w:unhideWhenUsed/>
    <w:rsid w:val="0072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4410265" TargetMode="External"/><Relationship Id="rId18" Type="http://schemas.openxmlformats.org/officeDocument/2006/relationships/hyperlink" Target="http://www.jstor.org/stable/24890259" TargetMode="External"/><Relationship Id="rId26" Type="http://schemas.openxmlformats.org/officeDocument/2006/relationships/hyperlink" Target="https://www.jstor.org/stable/24480469" TargetMode="External"/><Relationship Id="rId21" Type="http://schemas.openxmlformats.org/officeDocument/2006/relationships/hyperlink" Target="https://doi.org/10.1016/j.landusepol.2023.106907"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jstor.org/stable/4394589" TargetMode="External"/><Relationship Id="rId17" Type="http://schemas.openxmlformats.org/officeDocument/2006/relationships/hyperlink" Target="https://doi.org/10.1177/2321024914534040" TargetMode="External"/><Relationship Id="rId25" Type="http://schemas.openxmlformats.org/officeDocument/2006/relationships/hyperlink" Target="https://doi.org/10.1016/j.landusepol.2021.10595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6/450611" TargetMode="External"/><Relationship Id="rId20" Type="http://schemas.openxmlformats.org/officeDocument/2006/relationships/hyperlink" Target="https://doi.org/10.2307/2296909" TargetMode="External"/><Relationship Id="rId29" Type="http://schemas.openxmlformats.org/officeDocument/2006/relationships/hyperlink" Target="https://doi.org/10.1177/0972266120070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20387708421662" TargetMode="External"/><Relationship Id="rId24" Type="http://schemas.openxmlformats.org/officeDocument/2006/relationships/hyperlink" Target="https://doi.org/10.1016/j.landusepol.2018.06.0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1901/24566756.2021/68.1-3.2279" TargetMode="External"/><Relationship Id="rId23" Type="http://schemas.openxmlformats.org/officeDocument/2006/relationships/hyperlink" Target="https://doi.org/10.1086/451688" TargetMode="External"/><Relationship Id="rId28" Type="http://schemas.openxmlformats.org/officeDocument/2006/relationships/hyperlink" Target="https://doi.org/10.1007/978-981-32-9174-4_6" TargetMode="External"/><Relationship Id="rId36" Type="http://schemas.openxmlformats.org/officeDocument/2006/relationships/footer" Target="footer3.xml"/><Relationship Id="rId10" Type="http://schemas.openxmlformats.org/officeDocument/2006/relationships/hyperlink" Target="https://doi.org/10.1086/338744" TargetMode="External"/><Relationship Id="rId19" Type="http://schemas.openxmlformats.org/officeDocument/2006/relationships/hyperlink" Target="https://doi.org/10.2139/ssrn.90575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419/ijet.v7i4.33.23478" TargetMode="External"/><Relationship Id="rId14" Type="http://schemas.openxmlformats.org/officeDocument/2006/relationships/hyperlink" Target="https://doi.org/10.1016/j.landusepol.2023.106837" TargetMode="External"/><Relationship Id="rId22" Type="http://schemas.openxmlformats.org/officeDocument/2006/relationships/hyperlink" Target="https://doi.org/10.1016/j.ejor.2015.07.058" TargetMode="External"/><Relationship Id="rId27" Type="http://schemas.openxmlformats.org/officeDocument/2006/relationships/hyperlink" Target="https://doi.org/10.37256/redr.222021843" TargetMode="External"/><Relationship Id="rId30" Type="http://schemas.openxmlformats.org/officeDocument/2006/relationships/hyperlink" Target="https://doi.org/10.25003/RAS.12.02.0023" TargetMode="External"/><Relationship Id="rId35" Type="http://schemas.openxmlformats.org/officeDocument/2006/relationships/header" Target="header3.xml"/><Relationship Id="rId8" Type="http://schemas.openxmlformats.org/officeDocument/2006/relationships/hyperlink" Target="https://doi.org/10.1017/aae.2024.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14</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Snehin Gupta</dc:creator>
  <cp:keywords/>
  <dc:description/>
  <cp:lastModifiedBy>SDI 1084</cp:lastModifiedBy>
  <cp:revision>6</cp:revision>
  <dcterms:created xsi:type="dcterms:W3CDTF">2025-09-02T14:13:00Z</dcterms:created>
  <dcterms:modified xsi:type="dcterms:W3CDTF">2025-09-06T09:58:00Z</dcterms:modified>
</cp:coreProperties>
</file>