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6D48A" w14:textId="77777777" w:rsidR="00591619" w:rsidRPr="00591619" w:rsidRDefault="00591619" w:rsidP="00591619">
      <w:pPr>
        <w:pStyle w:val="Author"/>
        <w:rPr>
          <w:rFonts w:ascii="Arial" w:hAnsi="Arial" w:cs="Arial"/>
          <w:bCs/>
          <w:i/>
          <w:iCs/>
          <w:kern w:val="28"/>
          <w:sz w:val="32"/>
          <w:szCs w:val="18"/>
          <w:u w:val="single"/>
        </w:rPr>
      </w:pPr>
      <w:r w:rsidRPr="00591619">
        <w:rPr>
          <w:rFonts w:ascii="Arial" w:hAnsi="Arial" w:cs="Arial"/>
          <w:bCs/>
          <w:i/>
          <w:iCs/>
          <w:kern w:val="28"/>
          <w:sz w:val="32"/>
          <w:szCs w:val="18"/>
          <w:u w:val="single"/>
        </w:rPr>
        <w:t>Review Article</w:t>
      </w:r>
    </w:p>
    <w:p w14:paraId="2F5A9215" w14:textId="77777777" w:rsidR="00591619" w:rsidRDefault="00591619" w:rsidP="00441B6F">
      <w:pPr>
        <w:pStyle w:val="Author"/>
        <w:spacing w:line="240" w:lineRule="auto"/>
        <w:rPr>
          <w:rFonts w:ascii="Arial" w:hAnsi="Arial" w:cs="Arial"/>
          <w:bCs/>
          <w:iCs/>
          <w:kern w:val="28"/>
          <w:sz w:val="36"/>
        </w:rPr>
      </w:pPr>
    </w:p>
    <w:p w14:paraId="08ECCF97" w14:textId="5854269F" w:rsidR="00163BC4" w:rsidRPr="00163BC4" w:rsidRDefault="0048565B" w:rsidP="00441B6F">
      <w:pPr>
        <w:pStyle w:val="Author"/>
        <w:spacing w:line="240" w:lineRule="auto"/>
        <w:rPr>
          <w:rFonts w:ascii="Arial" w:hAnsi="Arial" w:cs="Arial"/>
          <w:bCs/>
          <w:iCs/>
          <w:kern w:val="28"/>
          <w:sz w:val="36"/>
        </w:rPr>
      </w:pPr>
      <w:r w:rsidRPr="0048565B">
        <w:rPr>
          <w:rFonts w:ascii="Arial" w:hAnsi="Arial" w:cs="Arial"/>
          <w:bCs/>
          <w:iCs/>
          <w:kern w:val="28"/>
          <w:sz w:val="36"/>
        </w:rPr>
        <w:t>Advances in Green Synthesis of Nanoparticles from Crop Residues and Their Application in Sustainable Agriculture: A Review</w:t>
      </w:r>
      <w:r w:rsidR="00231920">
        <w:rPr>
          <w:rFonts w:ascii="Arial" w:hAnsi="Arial" w:cs="Arial"/>
          <w:bCs/>
          <w:iCs/>
          <w:kern w:val="28"/>
          <w:sz w:val="36"/>
        </w:rPr>
        <w:t xml:space="preserve"> </w:t>
      </w:r>
    </w:p>
    <w:p w14:paraId="7FE49677" w14:textId="77777777" w:rsidR="00A258C3" w:rsidRPr="00790ADA" w:rsidRDefault="00A258C3" w:rsidP="00441B6F">
      <w:pPr>
        <w:pStyle w:val="Author"/>
        <w:spacing w:line="240" w:lineRule="auto"/>
        <w:jc w:val="both"/>
        <w:rPr>
          <w:rFonts w:ascii="Arial" w:hAnsi="Arial" w:cs="Arial"/>
          <w:sz w:val="36"/>
        </w:rPr>
      </w:pPr>
    </w:p>
    <w:p w14:paraId="67A9986D" w14:textId="77777777" w:rsidR="002C57D2" w:rsidRPr="00FB3A86" w:rsidRDefault="002C57D2" w:rsidP="00441B6F">
      <w:pPr>
        <w:pStyle w:val="Affiliation"/>
        <w:spacing w:after="0" w:line="240" w:lineRule="auto"/>
        <w:jc w:val="both"/>
        <w:rPr>
          <w:rFonts w:ascii="Arial" w:hAnsi="Arial" w:cs="Arial"/>
        </w:rPr>
      </w:pPr>
    </w:p>
    <w:p w14:paraId="70497838" w14:textId="77777777" w:rsidR="00B01FCD" w:rsidRPr="00FB3A86" w:rsidRDefault="00374556" w:rsidP="00441B6F">
      <w:pPr>
        <w:pStyle w:val="Copyright"/>
        <w:spacing w:after="0" w:line="240" w:lineRule="auto"/>
        <w:jc w:val="both"/>
        <w:rPr>
          <w:rFonts w:ascii="Arial" w:hAnsi="Arial" w:cs="Arial"/>
        </w:rPr>
        <w:sectPr w:rsidR="00B01FCD" w:rsidRPr="00FB3A86" w:rsidSect="00F457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C06BB11">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D95E864" w14:textId="4FEFCDFF" w:rsidR="00B01FCD" w:rsidRDefault="00B01FCD" w:rsidP="00441B6F">
      <w:pPr>
        <w:pStyle w:val="AbstHead"/>
        <w:spacing w:after="0"/>
        <w:jc w:val="both"/>
        <w:rPr>
          <w:rFonts w:ascii="Arial" w:hAnsi="Arial" w:cs="Arial"/>
        </w:rPr>
      </w:pPr>
      <w:r w:rsidRPr="00FB3A86">
        <w:rPr>
          <w:rFonts w:ascii="Arial" w:hAnsi="Arial" w:cs="Arial"/>
        </w:rPr>
        <w:t>ABSTRACT</w:t>
      </w:r>
    </w:p>
    <w:p w14:paraId="0B011B7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F936136" w14:textId="77777777" w:rsidTr="001E44FE">
        <w:tc>
          <w:tcPr>
            <w:tcW w:w="9576" w:type="dxa"/>
            <w:shd w:val="clear" w:color="auto" w:fill="F2F2F2"/>
          </w:tcPr>
          <w:p w14:paraId="1F1BFBB0" w14:textId="73D2A89B" w:rsidR="00505F06" w:rsidRPr="00BA1B01" w:rsidRDefault="0048565B" w:rsidP="00441B6F">
            <w:pPr>
              <w:pStyle w:val="Body"/>
              <w:spacing w:after="0"/>
              <w:rPr>
                <w:rFonts w:ascii="Arial" w:eastAsia="Calibri" w:hAnsi="Arial" w:cs="Arial"/>
                <w:szCs w:val="22"/>
              </w:rPr>
            </w:pPr>
            <w:r w:rsidRPr="0048565B">
              <w:rPr>
                <w:rFonts w:ascii="Arial" w:eastAsia="Calibri" w:hAnsi="Arial" w:cs="Arial"/>
                <w:szCs w:val="22"/>
              </w:rPr>
              <w:t xml:space="preserve">The vast abundance of crop residues, amounting to millions of </w:t>
            </w:r>
            <w:proofErr w:type="spellStart"/>
            <w:r w:rsidRPr="0048565B">
              <w:rPr>
                <w:rFonts w:ascii="Arial" w:eastAsia="Calibri" w:hAnsi="Arial" w:cs="Arial"/>
                <w:szCs w:val="22"/>
              </w:rPr>
              <w:t>tonnes</w:t>
            </w:r>
            <w:proofErr w:type="spellEnd"/>
            <w:r w:rsidRPr="0048565B">
              <w:rPr>
                <w:rFonts w:ascii="Arial" w:eastAsia="Calibri" w:hAnsi="Arial" w:cs="Arial"/>
                <w:szCs w:val="22"/>
              </w:rPr>
              <w:t xml:space="preserve"> annually, remains a largely underutilized resource, underscoring the urgent need for sustainable valorization strategies. This review provides a comprehensive evaluation of the green synthesis and application of nanoparticles derived from a wide range of crop residues, including leaves, husks, straw, bagasse, and seeds. We explore the efficacy of various green pre-treatment methods—such as the use of </w:t>
            </w:r>
            <w:proofErr w:type="spellStart"/>
            <w:r w:rsidRPr="0048565B">
              <w:rPr>
                <w:rFonts w:ascii="Arial" w:eastAsia="Calibri" w:hAnsi="Arial" w:cs="Arial"/>
                <w:szCs w:val="22"/>
              </w:rPr>
              <w:t>organosolvents</w:t>
            </w:r>
            <w:proofErr w:type="spellEnd"/>
            <w:r w:rsidRPr="0048565B">
              <w:rPr>
                <w:rFonts w:ascii="Arial" w:eastAsia="Calibri" w:hAnsi="Arial" w:cs="Arial"/>
                <w:szCs w:val="22"/>
              </w:rPr>
              <w:t>, steam explosion, and deep eutectic solvents—for their potential to enhance nanoparticle yield while minimizing energy consumption and aligning with the principles of green chemistry. The applications of these crop residue-derived nanoparticles (CRNs) are extensive, spanning critical sectors such as sustainable agriculture, where they are used to improve crop protection, enhance nutrient delivery, and promote soil health. Special attention is given to their role in active food packaging and as controlled-release carriers for agrochemicals like fungicides and pesticides. While CRNs hold considerable promise, significant challenges related to the heterogeneity of raw materials, scalability of production, and potential nanotoxicity must be addressed to ensure consistent quality and safe application. This review synthesizes current research, highlights existing gaps, and emphasizes the critical role of CRNs in fostering a circular economy and supporting global sustainability goals.</w:t>
            </w:r>
          </w:p>
        </w:tc>
      </w:tr>
    </w:tbl>
    <w:p w14:paraId="24051907" w14:textId="77777777" w:rsidR="00636EB2" w:rsidRDefault="00636EB2" w:rsidP="00441B6F">
      <w:pPr>
        <w:pStyle w:val="Body"/>
        <w:spacing w:after="0"/>
        <w:rPr>
          <w:rFonts w:ascii="Arial" w:hAnsi="Arial" w:cs="Arial"/>
          <w:i/>
        </w:rPr>
      </w:pPr>
    </w:p>
    <w:p w14:paraId="30D31B02" w14:textId="77777777" w:rsidR="00790ADA" w:rsidRDefault="00790ADA" w:rsidP="00441B6F">
      <w:pPr>
        <w:pStyle w:val="Body"/>
        <w:spacing w:after="0"/>
        <w:rPr>
          <w:rFonts w:ascii="Arial" w:hAnsi="Arial" w:cs="Arial"/>
          <w:i/>
        </w:rPr>
      </w:pPr>
    </w:p>
    <w:p w14:paraId="46FA45B3" w14:textId="0931D4BE" w:rsidR="0024282C" w:rsidRDefault="00AC509D" w:rsidP="00AC509D">
      <w:pPr>
        <w:pStyle w:val="Body"/>
        <w:spacing w:after="0"/>
        <w:jc w:val="center"/>
        <w:rPr>
          <w:rFonts w:ascii="Arial" w:hAnsi="Arial" w:cs="Arial"/>
          <w:i/>
          <w:sz w:val="18"/>
        </w:rPr>
      </w:pPr>
      <w:r>
        <w:rPr>
          <w:noProof/>
        </w:rPr>
        <w:drawing>
          <wp:inline distT="0" distB="0" distL="0" distR="0" wp14:anchorId="57672F27" wp14:editId="1FE64DF7">
            <wp:extent cx="4770838" cy="2493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7040" cy="2528595"/>
                    </a:xfrm>
                    <a:prstGeom prst="rect">
                      <a:avLst/>
                    </a:prstGeom>
                    <a:ln>
                      <a:noFill/>
                    </a:ln>
                    <a:effectLst>
                      <a:softEdge rad="112500"/>
                    </a:effectLst>
                  </pic:spPr>
                </pic:pic>
              </a:graphicData>
            </a:graphic>
          </wp:inline>
        </w:drawing>
      </w:r>
    </w:p>
    <w:p w14:paraId="57BB3299" w14:textId="7F1641EF" w:rsidR="00AC509D" w:rsidRDefault="00AC509D" w:rsidP="00AC509D">
      <w:pPr>
        <w:pStyle w:val="Body"/>
        <w:spacing w:after="0"/>
        <w:jc w:val="center"/>
        <w:rPr>
          <w:rFonts w:ascii="Arial" w:hAnsi="Arial" w:cs="Arial"/>
          <w:b/>
          <w:bCs/>
          <w:iCs/>
          <w:sz w:val="18"/>
        </w:rPr>
      </w:pPr>
      <w:r w:rsidRPr="00AC509D">
        <w:rPr>
          <w:rFonts w:ascii="Arial" w:hAnsi="Arial" w:cs="Arial"/>
          <w:b/>
          <w:bCs/>
          <w:iCs/>
          <w:sz w:val="18"/>
        </w:rPr>
        <w:t>Graphical Abstract</w:t>
      </w:r>
    </w:p>
    <w:p w14:paraId="586AE06D" w14:textId="77777777" w:rsidR="005B05B9" w:rsidRDefault="005B05B9" w:rsidP="00AC509D">
      <w:pPr>
        <w:pStyle w:val="Body"/>
        <w:spacing w:after="0"/>
        <w:jc w:val="center"/>
        <w:rPr>
          <w:rFonts w:ascii="Arial" w:hAnsi="Arial" w:cs="Arial"/>
          <w:b/>
          <w:bCs/>
          <w:iCs/>
          <w:sz w:val="18"/>
        </w:rPr>
      </w:pPr>
    </w:p>
    <w:p w14:paraId="5F6B408D" w14:textId="77777777" w:rsidR="005B05B9" w:rsidRDefault="005B05B9" w:rsidP="005B05B9">
      <w:pPr>
        <w:pStyle w:val="Body"/>
        <w:spacing w:after="0"/>
        <w:rPr>
          <w:rFonts w:ascii="Arial" w:hAnsi="Arial" w:cs="Arial"/>
          <w:i/>
        </w:rPr>
      </w:pPr>
      <w:r>
        <w:rPr>
          <w:rFonts w:ascii="Arial" w:hAnsi="Arial" w:cs="Arial"/>
          <w:i/>
        </w:rPr>
        <w:t xml:space="preserve">Keywords: </w:t>
      </w:r>
      <w:r w:rsidRPr="00AC509D">
        <w:rPr>
          <w:rFonts w:ascii="Arial" w:hAnsi="Arial" w:cs="Arial"/>
          <w:i/>
        </w:rPr>
        <w:t>Waste Valorization, Nanoparticles, Sustainable Agriculture, Food Preservation.</w:t>
      </w:r>
    </w:p>
    <w:p w14:paraId="5423EE6C" w14:textId="77777777" w:rsidR="005B05B9" w:rsidRPr="00AC509D" w:rsidRDefault="005B05B9" w:rsidP="00AC509D">
      <w:pPr>
        <w:pStyle w:val="Body"/>
        <w:spacing w:after="0"/>
        <w:jc w:val="center"/>
        <w:rPr>
          <w:rFonts w:ascii="Arial" w:hAnsi="Arial" w:cs="Arial"/>
          <w:b/>
          <w:bCs/>
          <w:iCs/>
          <w:sz w:val="18"/>
        </w:rPr>
      </w:pPr>
    </w:p>
    <w:p w14:paraId="56CA3CBC" w14:textId="6DB91CF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788CBFE" w14:textId="77777777" w:rsidR="00790ADA" w:rsidRPr="00FB3A86" w:rsidRDefault="00790ADA" w:rsidP="00441B6F">
      <w:pPr>
        <w:pStyle w:val="AbstHead"/>
        <w:spacing w:after="0"/>
        <w:jc w:val="both"/>
        <w:rPr>
          <w:rFonts w:ascii="Arial" w:hAnsi="Arial" w:cs="Arial"/>
        </w:rPr>
      </w:pPr>
    </w:p>
    <w:p w14:paraId="12278DD0" w14:textId="77777777" w:rsidR="00AC509D" w:rsidRDefault="00AC509D" w:rsidP="00AC509D">
      <w:pPr>
        <w:pStyle w:val="Body"/>
        <w:spacing w:after="0"/>
        <w:rPr>
          <w:rFonts w:ascii="Arial" w:eastAsia="Google Sans Text" w:hAnsi="Arial" w:cs="Arial"/>
          <w:color w:val="1B1C1D"/>
        </w:rPr>
      </w:pPr>
      <w:r w:rsidRPr="00AC509D">
        <w:rPr>
          <w:rFonts w:ascii="Arial" w:eastAsia="Google Sans Text" w:hAnsi="Arial" w:cs="Arial"/>
          <w:color w:val="1B1C1D"/>
        </w:rPr>
        <w:t>The global agri-food system stands at the center of profound economic, environmental, and social challenges. With the world population projected to reach 9.7 million by 2050, crop productivity must increase by 60-100% to meet the rising demand for food (Sidhu et al., 2025). This intensification of agriculture, however, contributes heavily to climate change and resource scarcity, while simultaneously generating vast quantities of agro-industrial waste. This waste, which accounts for approximately 30% of worldwide agricultural production, surpasses two billion tons annually (Sadh et al., 2018; Duque-Acevedo et al., 2020). Historically, the improper disposal of these residues through burning or decomposition has led to significant greenhouse gas emissions—including CO</w:t>
      </w:r>
      <w:r w:rsidRPr="00AC509D">
        <w:rPr>
          <w:rFonts w:ascii="Arial" w:eastAsia="Google Sans Text" w:hAnsi="Arial" w:cs="Arial"/>
          <w:color w:val="1B1C1D"/>
          <w:vertAlign w:val="subscript"/>
        </w:rPr>
        <w:t>2</w:t>
      </w:r>
      <w:r w:rsidRPr="00AC509D">
        <w:rPr>
          <w:rFonts w:ascii="Arial" w:eastAsia="Google Sans Text" w:hAnsi="Arial" w:cs="Arial"/>
          <w:color w:val="1B1C1D"/>
        </w:rPr>
        <w:t>​, CH</w:t>
      </w:r>
      <w:r w:rsidRPr="00AC509D">
        <w:rPr>
          <w:rFonts w:ascii="Arial" w:eastAsia="Google Sans Text" w:hAnsi="Arial" w:cs="Arial"/>
          <w:color w:val="1B1C1D"/>
          <w:vertAlign w:val="subscript"/>
        </w:rPr>
        <w:t>4</w:t>
      </w:r>
      <w:r w:rsidRPr="00AC509D">
        <w:rPr>
          <w:rFonts w:ascii="Arial" w:eastAsia="Google Sans Text" w:hAnsi="Arial" w:cs="Arial"/>
          <w:color w:val="1B1C1D"/>
        </w:rPr>
        <w:t>​, and N</w:t>
      </w:r>
      <w:r w:rsidRPr="00AC509D">
        <w:rPr>
          <w:rFonts w:ascii="Arial" w:eastAsia="Google Sans Text" w:hAnsi="Arial" w:cs="Arial"/>
          <w:color w:val="1B1C1D"/>
          <w:vertAlign w:val="subscript"/>
        </w:rPr>
        <w:t>2</w:t>
      </w:r>
      <w:r w:rsidRPr="00AC509D">
        <w:rPr>
          <w:rFonts w:ascii="Arial" w:eastAsia="Google Sans Text" w:hAnsi="Arial" w:cs="Arial"/>
          <w:color w:val="1B1C1D"/>
        </w:rPr>
        <w:t xml:space="preserve">​O—and the degradation of delicate ecosystems (Olaniyan et al., 2025). To address this unsustainable cycle, a paradigm shift towards a </w:t>
      </w:r>
      <w:r w:rsidRPr="00AC509D">
        <w:rPr>
          <w:rFonts w:ascii="Arial" w:eastAsia="Google Sans Text" w:hAnsi="Arial" w:cs="Arial"/>
          <w:bCs/>
          <w:color w:val="1B1C1D"/>
        </w:rPr>
        <w:t>circular economy</w:t>
      </w:r>
      <w:r w:rsidRPr="00AC509D">
        <w:rPr>
          <w:rFonts w:ascii="Arial" w:eastAsia="Google Sans Text" w:hAnsi="Arial" w:cs="Arial"/>
          <w:color w:val="1B1C1D"/>
        </w:rPr>
        <w:t xml:space="preserve"> is essential. This approach reframes "waste" as a valuable resource, employing biorefinery technologies to convert agricultural byproducts into value-added products such as biofuels, bioplastics, and biofertilizers, thereby aligning with the United Nations' Sustainable Development Goals to substantially reduce waste through prevention, reduction, recycling, and reuse (Olaniyan et al., 2025).</w:t>
      </w:r>
    </w:p>
    <w:p w14:paraId="74FDD764" w14:textId="77777777" w:rsidR="00AC509D" w:rsidRDefault="00AC509D" w:rsidP="00AC509D">
      <w:pPr>
        <w:pStyle w:val="Body"/>
        <w:spacing w:after="0"/>
        <w:rPr>
          <w:rFonts w:ascii="Arial" w:eastAsia="Google Sans Text" w:hAnsi="Arial" w:cs="Arial"/>
          <w:color w:val="1B1C1D"/>
        </w:rPr>
      </w:pPr>
    </w:p>
    <w:p w14:paraId="2C5E22CA" w14:textId="761B230E" w:rsidR="00AC509D" w:rsidRDefault="00AC509D" w:rsidP="00AC509D">
      <w:pPr>
        <w:pStyle w:val="Body"/>
        <w:spacing w:after="0"/>
        <w:rPr>
          <w:rFonts w:ascii="Arial" w:hAnsi="Arial" w:cs="Arial"/>
        </w:rPr>
      </w:pPr>
      <w:r w:rsidRPr="00AC509D">
        <w:rPr>
          <w:rFonts w:ascii="Arial" w:eastAsia="Google Sans Text" w:hAnsi="Arial" w:cs="Arial"/>
          <w:color w:val="1B1C1D"/>
        </w:rPr>
        <w:t xml:space="preserve">Within this circular framework, nanotechnology offers a transformative and innovative pathway for the valorization of agricultural waste. Nanomaterials, defined as materials possessing at least one dimension within the 1–100 nm range, exhibit unique physicochemical properties—such as high surface area-to-volume ratios and enhanced reactivity—that differ markedly from their bulk counterparts. These properties make them exceptionally suited for converting low-cost agricultural feedstocks into high-performance materials. Abundant agricultural wastes like leaves, stems, seeds, pulp, bagasse, and husks serve as rich precursors for a diverse array of nanoparticles, including organic materials like cellulose and pectin, and inorganic structures based on silica and various metals </w:t>
      </w:r>
      <w:r w:rsidRPr="00AC509D">
        <w:rPr>
          <w:rFonts w:ascii="Arial" w:eastAsia="Google Sans Text" w:hAnsi="Arial" w:cs="Arial"/>
          <w:color w:val="1B1C1D"/>
        </w:rPr>
        <w:fldChar w:fldCharType="begin" w:fldLock="1"/>
      </w:r>
      <w:r w:rsidR="007A607C">
        <w:rPr>
          <w:rFonts w:ascii="Arial" w:eastAsia="Google Sans Text" w:hAnsi="Arial" w:cs="Arial"/>
          <w:color w:val="1B1C1D"/>
        </w:rPr>
        <w:instrText>ADDIN CSL_CITATION {"citationItems":[{"id":"ITEM-1","itemData":{"DOI":"10.33263/BRIAC141.004","abstract":"In this study, isolated cellulose from corncobs was oxidized using 2,2,6-tetramethyl-1piperidinyl oxy (TEMPO) to produce cellulose nanofibrils. Cellulose nanofibrils were characterized by FTIR, PSA, and zeta potential to determine their chemical structure, particle size, and surface charge. Subsequently, the obtained cellulose nanofibrils were incorporated into the alginate matrix to produce composite beads. The effects of cellulose nanofibrils and alginate composition in composite beads were studied on the physical properties such as diametersize, morphology, drying rate, and swelling behavior. The result figures out a new chemical structure in the cellulose nanofibrils spectrum after the treatment process. The content of surface charges increases three times after the treatment process, from 0.2 to 0.64 mmol/g. The average size of cellulose nanofibril suspension particles was 153,4, with a polydispersity index of 0.044 (the nanofiber range). The zeta potential value is -46.3 mV, demonstrating the good stability and dispersibility of the cellulose nanofibril particles. The diameter of composite Alginate-Cellulose Nanofibril (AC) beads was reduced from 4.003 to 3.078 mm in AC20 by increasing the cellulose nanofibril concentration. The capacity of alginate beads to absorb water was 30% higher than that of the composite AC beads. Based on SEM analysis, the morphology of AC beads was found to be finer and denser than that of alginate beads. The swelling kinetics of the beads indicate that the diffusion mechanism is a Fickian diffusion mechanism. Furthermore, cellulose nanofibril-added beads can potentially be used as smart materials in bioactive encapsulated applications owing to having good swelling properties.","author":[{"dropping-particle":"","family":"Pratama","given":"Agus Wedi","non-dropping-particle":"","parse-names":false,"suffix":""},{"dropping-particle":"","family":"Addy","given":"Hardian Susilo","non-dropping-particle":"","parse-names":false,"suffix":""},{"dropping-particle":"","family":"Widiastuti","given":"Nurul","non-dropping-particle":"","parse-names":false,"suffix":""},{"dropping-particle":"","family":"Widyanto","given":"Alvin Rahmad","non-dropping-particle":"","parse-names":false,"suffix":""},{"dropping-particle":"","family":"Ratnasari","given":"Anisa","non-dropping-particle":"","parse-names":false,"suffix":""},{"dropping-particle":"","family":"Indarti","given":"Dwi","non-dropping-particle":"","parse-names":false,"suffix":""},{"dropping-particle":"","family":"Piluharto","given":"Bambang","non-dropping-particle":"","parse-names":false,"suffix":""}],"container-title":"Biointerface Research in Applied Chemistry","id":"ITEM-1","issue":"1","issued":{"date-parts":[["2024"]]},"page":"4-21","title":"Cellulose Nanofibrils from Corncobs and Their Nanocomposite with Alginate : Study of Swelling Behavior","type":"article-journal","volume":"14"},"uris":["http://www.mendeley.com/documents/?uuid=2006534c-1e13-4382-9602-5c691fce2ed4"]},{"id":"ITEM-2","itemData":{"DOI":"10.1016/J.CSCEE.2024.100823","ISSN":"2666-0164","author":[{"dropping-particle":"","family":"Pratama","given":"Agus Wedi","non-dropping-particle":"","parse-names":false,"suffix":""},{"dropping-particle":"","family":"Piluharto","given":"Bambang","non-dropping-particle":"","parse-names":false,"suffix":""},{"dropping-particle":"","family":"Mahardika","given":"Melbi","non-dropping-particle":"","parse-names":false,"suffix":""},{"dropping-particle":"","family":"Widiastuti","given":"Nurul","non-dropping-particle":"","parse-names":false,"suffix":""},{"dropping-particle":"","family":"Firmanda","given":"Afrinal","non-dropping-particle":"","parse-names":false,"suffix":""},{"dropping-particle":"","family":"Norrrahim","given":"Mohd Nor Faiz","non-dropping-particle":"","parse-names":false,"suffix":""}],"container-title":"Case Studies in Chemical and Environmental Engineering","id":"ITEM-2","issued":{"date-parts":[["2024","12","1"]]},"page":"100823","publisher":"Elsevier","title":"Comparative study of oxidized cellulose nanofibrils properties from diverse sources via TEMPO-mediated oxidation","type":"article-journal","volume":"10"},"uris":["http://www.mendeley.com/documents/?uuid=2dd6054d-d619-3c58-b3d3-2197ea3310e6"]},{"id":"ITEM-3","itemData":{"DOI":"10.1016/J.IJBIOMAC.2024.135705","ISSN":"0141-8130","PMID":"39482123","abstract":"Biodiesel production from Calophyllum inophyllum oil in Indonesia produces significant biomass waste, including seed shells. This study explores the conversion of the seed shell of Calophyllum inophyllum into nanocrystalline cellulose (NCC) via consecutive alkalization, bleaching and hydrolysis using various organic acids. Scanning electron microscopy (SEM) analysis showed a reduction in the diameter of cellulose fibers from 21.7 μm to 9.6 μm after alkalinization and bleaching. The hydrolysis process using several organic acids was optimized to produce thermally stable nanocellulose while maintaining its crystallinity. The diameter of the resulting nanofibrous cellulose was 20.53 nm for citric acid, 21.69 nm for maleic acid, and 22.06 nm for formic acid hydrolysis. In particular, lactic acid-derived NCC (NCC-LA) showed the highest crystallinity of 64.22 % with an average diameter of ~13.69 nm. Optimization of hydrolysis parameters using Response Surface Methodology (RSM) suggested 74.79 % crystallinity could be achieved with 6.01 M lactic acid following 3.46 h of hydrolysis at 91.12 °C.","author":[{"dropping-particle":"","family":"Melenia","given":"Alvina Tata","non-dropping-particle":"","parse-names":false,"suffix":""},{"dropping-particle":"","family":"Jovita","given":"Stella","non-dropping-particle":"","parse-names":false,"suffix":""},{"dropping-particle":"","family":"Utami","given":"Diana Inas","non-dropping-particle":"","parse-names":false,"suffix":""},{"dropping-particle":"","family":"Tamim","given":"Rustam","non-dropping-particle":"","parse-names":false,"suffix":""},{"dropping-particle":"","family":"Holilah","given":"Holilah","non-dropping-particle":"","parse-names":false,"suffix":""},{"dropping-particle":"","family":"Bahruji","given":"Hasliza","non-dropping-particle":"","parse-names":false,"suffix":""},{"dropping-particle":"","family":"Hamid","given":"Zuratul Ain Abdul","non-dropping-particle":"","parse-names":false,"suffix":""},{"dropping-particle":"","family":"Mubarok","given":"Fahmi","non-dropping-particle":"","parse-names":false,"suffix":""},{"dropping-particle":"","family":"Widiyastuti","given":"Widiyastuti","non-dropping-particle":"","parse-names":false,"suffix":""},{"dropping-particle":"","family":"Wibisono","given":"Alvian Toto","non-dropping-particle":"","parse-names":false,"suffix":""},{"dropping-particle":"","family":"Suprapto","given":"Suprapto","non-dropping-particle":"","parse-names":false,"suffix":""},{"dropping-particle":"","family":"Jalil","given":"Aishah Abdul","non-dropping-particle":"","parse-names":false,"suffix":""},{"dropping-particle":"","family":"Prasetyoko","given":"Didik","non-dropping-particle":"","parse-names":false,"suffix":""}],"container-title":"International Journal of Biological Macromolecules","id":"ITEM-3","issued":{"date-parts":[["2024","11","1"]]},"page":"135705","publisher":"Elsevier","title":"Nanocrystalline cellulose from Calophyllum inophyllum shells waste by adjusting organic acid hydrolysis and optimization of reaction parameters using response surface methodology","type":"article-journal","volume":"281"},"uris":["http://www.mendeley.com/documents/?uuid=49c8da90-a9ab-3471-8cfa-cdf0747ddd20"]},{"id":"ITEM-4","itemData":{"DOI":"10.3389/FNANO.2024.1346069/XML","ISSN":"26733013","abstract":"Traditional agriculture from cropping to harvesting is contributing to climate change by increasing global greenhouse emissions. Circular economy approaches and biorefinery technologies based on the reuse, recycling, and remanufacturing might result in the valorization of wastes that consequently would avoid environmental pollution. Nanoparticles synthesis using bio-waste such as stems, leaves, seeds, pulp, stubble, and bagasse is considered a green approach with low energy consumption, and low-cost production. Characteristics of raw materials influence the final application of nanoparticles in edible coatings, and films. Therefore, the preparation of nanoparticles based on cellulose, pectin, metal (titanium oxide, silver, zinc oxide), or silica are considered organic, inorganic, or hybrid nanocomposites, are resulted in several benefits including shelf-life extension and broad-spectrum antimicrobial properties by its capacity to encapsulate active compounds that greatly improve food preservation. For considering agro-waste-based nanoparticles in food, challenges in homogenization and synthesis, yield, and toxicity are mainly described. Therefore, this review examines the employment of agro-industrial waste for the development of sustainable nanoparticles and their synthesis methods (top-down and bottom-up). Moreover, it discusses their incorporation and role in active edible coatings and films by highlighting their bioactive properties, mechanisms of action, and applications in food group preservation.","author":[{"dropping-particle":"","family":"Flores-Contreras","given":"Elda A.","non-dropping-particle":"","parse-names":false,"suffix":""},{"dropping-particle":"","family":"González-González","given":"Reyna Berenice","non-dropping-particle":"","parse-names":false,"suffix":""},{"dropping-particle":"","family":"Pablo Pizaña-Aranda","given":"José Juan","non-dropping-particle":"","parse-names":false,"suffix":""},{"dropping-particle":"","family":"Parra-Arroyo","given":"Lizeth","non-dropping-particle":"","parse-names":false,"suffix":""},{"dropping-particle":"","family":"Rodríguez-Aguayo","given":"Arath A.","non-dropping-particle":"","parse-names":false,"suffix":""},{"dropping-particle":"","family":"Iñiguez-Moreno","given":"Maricarmen","non-dropping-particle":"","parse-names":false,"suffix":""},{"dropping-particle":"","family":"González-Meza","given":"Georgia María","non-dropping-particle":"","parse-names":false,"suffix":""},{"dropping-particle":"","family":"Araújo","given":"Rafael G.","non-dropping-particle":"","parse-names":false,"suffix":""},{"dropping-particle":"","family":"Ramírez-Gamboa","given":"Diana","non-dropping-particle":"","parse-names":false,"suffix":""},{"dropping-particle":"","family":"Parra-Saldívar","given":"Roberto","non-dropping-particle":"","parse-names":false,"suffix":""},{"dropping-particle":"","family":"Melchor-Martínez","given":"Elda M.","non-dropping-particle":"","parse-names":false,"suffix":""}],"container-title":"Frontiers in Nanotechnology","id":"ITEM-4","issued":{"date-parts":[["2024","2","16"]]},"page":"1346069","publisher":"Frontiers Media SA","title":"Agricultural waste as a sustainable source for nanoparticle synthesis and their antimicrobial properties for food preservation","type":"article-journal","volume":"6"},"uris":["http://www.mendeley.com/documents/?uuid=66d85df7-f4f1-32aa-a29c-674e8cab1235"]}],"mendeley":{"formattedCitation":"[1–4]","manualFormatting":"(Flores-Contreras et al., 2024; Melenia et al., 2024; Olaniyan et al., 2025; Pratama, Addy, et al., 2024; Pratama, Piluharto, et al., 2024)","plainTextFormattedCitation":"[1–4]","previouslyFormattedCitation":"(Flores-Contreras et al., 2024; Melenia et al., 2024; Pratama, Addy, et al., 2024; Pratama, Piluharto, et al., 2024)"},"properties":{"noteIndex":0},"schema":"https://github.com/citation-style-language/schema/raw/master/csl-citation.json"}</w:instrText>
      </w:r>
      <w:r w:rsidRPr="00AC509D">
        <w:rPr>
          <w:rFonts w:ascii="Arial" w:eastAsia="Google Sans Text" w:hAnsi="Arial" w:cs="Arial"/>
          <w:color w:val="1B1C1D"/>
        </w:rPr>
        <w:fldChar w:fldCharType="separate"/>
      </w:r>
      <w:r w:rsidRPr="00AC509D">
        <w:rPr>
          <w:rFonts w:ascii="Arial" w:eastAsia="Google Sans Text" w:hAnsi="Arial" w:cs="Arial"/>
          <w:noProof/>
          <w:color w:val="1B1C1D"/>
        </w:rPr>
        <w:t>(Flores-Contreras et al., 2024; Melenia et al., 2024; Olaniyan et al., 2025; Pratama, Addy, et al., 2024; Pratama, Piluharto, et al., 2024)</w:t>
      </w:r>
      <w:r w:rsidRPr="00AC509D">
        <w:rPr>
          <w:rFonts w:ascii="Arial" w:eastAsia="Google Sans Text" w:hAnsi="Arial" w:cs="Arial"/>
          <w:color w:val="1B1C1D"/>
        </w:rPr>
        <w:fldChar w:fldCharType="end"/>
      </w:r>
      <w:r w:rsidRPr="00AC509D">
        <w:rPr>
          <w:rFonts w:ascii="Arial" w:eastAsia="Google Sans Text" w:hAnsi="Arial" w:cs="Arial"/>
          <w:color w:val="1B1C1D"/>
        </w:rPr>
        <w:t>. The ability to engineer materials at the nanoscale opens up novel applications in medicine, environmental remediation, and agriculture that were previously unattainable with raw biomass.</w:t>
      </w:r>
    </w:p>
    <w:p w14:paraId="1A78E767" w14:textId="77777777" w:rsidR="00AC509D" w:rsidRDefault="00AC509D" w:rsidP="00AC509D">
      <w:pPr>
        <w:pStyle w:val="Body"/>
        <w:spacing w:after="0"/>
        <w:rPr>
          <w:rFonts w:ascii="Arial" w:hAnsi="Arial" w:cs="Arial"/>
        </w:rPr>
      </w:pPr>
    </w:p>
    <w:p w14:paraId="50F61EE3" w14:textId="07A92C03" w:rsidR="00AC509D" w:rsidRPr="00AC509D" w:rsidRDefault="00AC509D" w:rsidP="00AC509D">
      <w:pPr>
        <w:pStyle w:val="Body"/>
        <w:spacing w:after="0"/>
        <w:rPr>
          <w:rFonts w:ascii="Arial" w:hAnsi="Arial" w:cs="Arial"/>
        </w:rPr>
      </w:pPr>
      <w:r w:rsidRPr="00AC509D">
        <w:rPr>
          <w:rFonts w:ascii="Arial" w:eastAsia="Google Sans Text" w:hAnsi="Arial" w:cs="Arial"/>
          <w:color w:val="1B1C1D"/>
        </w:rPr>
        <w:t xml:space="preserve">The synthesis of nanoparticles from bio-waste is widely considered a green approach, presenting a sustainable alternative to conventional physical and chemical manufacturing methods that often rely on hazardous solvents and produce toxic residues (Sidhu et al., 2025). This green synthesis significantly reduces the carbon footprint, energy consumption, and use of harsh chemicals, aligning perfectly with the principles of green chemistry </w:t>
      </w:r>
      <w:r w:rsidRPr="00AC509D">
        <w:rPr>
          <w:rFonts w:ascii="Arial" w:eastAsia="Google Sans Text" w:hAnsi="Arial" w:cs="Arial"/>
          <w:color w:val="1B1C1D"/>
        </w:rPr>
        <w:fldChar w:fldCharType="begin" w:fldLock="1"/>
      </w:r>
      <w:r w:rsidR="007A607C">
        <w:rPr>
          <w:rFonts w:ascii="Arial" w:eastAsia="Google Sans Text" w:hAnsi="Arial" w:cs="Arial"/>
          <w:color w:val="1B1C1D"/>
        </w:rPr>
        <w:instrText>ADDIN CSL_CITATION {"citationItems":[{"id":"ITEM-1","itemData":{"DOI":"10.1007/S44371-025-00152-9","ISBN":"0123456789","ISSN":"3005-1193","abstract":"Green chemistry is an interdisciplinary field that focuses on minimizing hazardous substances and promoting sustainable alternatives in chemical processes to conventional chemical processes and products. This review provides a comprehensive analysis of the fundamental principles, historical development, and practical applications of green chemistry with a particular emphasis on its role in advancing sustainable chemical synthesis, analytical methodologies, and industrial practices. Originating from the environmental activism of the 1960 s inspired by Rachel Carson's\"Silent Spring,\"green chemistry was formally established in the 1990 s through the 12 principles set by Paul Anastas and John C. Warner. These principles emphasize waste prevention, atomic economy, reducing hazardous chemicals, and using renewable raw materials. Green chemistry significantly impacts sectors such as pharmaceuticals, cosmetics, and education. In the pharmaceutical industry, it fosters environmentally safer analytical methods. The cosmetics sector benefits from biodegradable materials, while educational institutions implement sustainable waste management and laboratory practices. International conferences and academic publications have advanced global awareness of green chemistry, promoting sustainability goals like reducing environmental impacts, optimizing resource use, and minimizing waste. A key focus of this study is the green synthesis of nanoparticles which has emerged as a sustainable alternative to traditional synthesis methods that often rely on toxic reagents Plant-derived biomolecules serve as reducing and stabilizing agents in the synthesis of silver nanoparticles (AgNPs). These eco-friendly approaches eliminate the hazardous chemicals while yielding biocompatible nanoparticles with enhanced antimicrobial and catalytic properties, demonstrating their potential in nanotechnology and biomedical applications. Additionally, green analytical chemistry has revolutionized chemical monitoring by implementing solvent-free methodologies, real-time pollution tracking, and waste minimization techniques. The integration of green chemistry into academic and industrial settings has played a critical role in addressing global challenges such as environmental pollution, climate change, and resource depletion. This review highlights the necessity of widespread adoption of green chemistry principles to ensure economic sustainability, regulatory compliance, and scientific innovation. F…","author":[{"dropping-particle":"","family":"Kurul","given":"Fatma","non-dropping-particle":"","parse-names":false,"suffix":""},{"dropping-particle":"","family":"Doruk","given":"· Beyzanur","non-dropping-particle":"","parse-names":false,"suffix":""},{"dropping-particle":"","family":"Seda","given":"·","non-dropping-particle":"","parse-names":false,"suffix":""},{"dropping-particle":"","family":"Topkaya","given":"Nur","non-dropping-particle":"","parse-names":false,"suffix":""}],"container-title":"Discover Chemistry 2025 2:1","id":"ITEM-1","issue":"1","issued":{"date-parts":[["2025","4","7"]]},"page":"1-25","publisher":"Springer","title":"Principles of green chemistry: building a sustainable future","type":"article-journal","volume":"2"},"uris":["http://www.mendeley.com/documents/?uuid=e0b8da8d-fd8e-3c85-aa04-5a587b5dd45a"]}],"mendeley":{"formattedCitation":"[5]","plainTextFormattedCitation":"[5]","previouslyFormattedCitation":"(Kurul et al., 2025)"},"properties":{"noteIndex":0},"schema":"https://github.com/citation-style-language/schema/raw/master/csl-citation.json"}</w:instrText>
      </w:r>
      <w:r w:rsidRPr="00AC509D">
        <w:rPr>
          <w:rFonts w:ascii="Arial" w:eastAsia="Google Sans Text" w:hAnsi="Arial" w:cs="Arial"/>
          <w:color w:val="1B1C1D"/>
        </w:rPr>
        <w:fldChar w:fldCharType="separate"/>
      </w:r>
      <w:r w:rsidR="007A607C" w:rsidRPr="007A607C">
        <w:rPr>
          <w:rFonts w:ascii="Arial" w:eastAsia="Google Sans Text" w:hAnsi="Arial" w:cs="Arial"/>
          <w:noProof/>
          <w:color w:val="1B1C1D"/>
        </w:rPr>
        <w:t>[5]</w:t>
      </w:r>
      <w:r w:rsidRPr="00AC509D">
        <w:rPr>
          <w:rFonts w:ascii="Arial" w:eastAsia="Google Sans Text" w:hAnsi="Arial" w:cs="Arial"/>
          <w:color w:val="1B1C1D"/>
        </w:rPr>
        <w:fldChar w:fldCharType="end"/>
      </w:r>
      <w:r w:rsidRPr="00AC509D">
        <w:rPr>
          <w:rFonts w:ascii="Arial" w:eastAsia="Google Sans Text" w:hAnsi="Arial" w:cs="Arial"/>
          <w:color w:val="1B1C1D"/>
        </w:rPr>
        <w:t>. The resulting nanomaterials are being increasingly explored for a wide range of applications in sustainable agriculture. Among the most promising of these is their use in active food preservation and as delivery systems for agrochemicals. Polymeric nanoparticles, for example, can encapsulate fertilizers and pesticides, enabling controlled-release systems that can reduce agrochemical usage by up to 40% while improving crop yield (Sidhu et al., 2025). This review will provide a comprehensive analysis of the synthesis, characterization, and application of these novel nanomaterials, with a particular focus on their mechanisms of action and the critical challenges—including scalability, toxicity, and regulatory hurdles—that must be overcome for their successful implementation.</w:t>
      </w:r>
    </w:p>
    <w:p w14:paraId="71EEF603" w14:textId="77777777" w:rsidR="00790ADA" w:rsidRPr="00AC509D" w:rsidRDefault="00790ADA" w:rsidP="00441B6F">
      <w:pPr>
        <w:pStyle w:val="Body"/>
        <w:spacing w:after="0"/>
        <w:rPr>
          <w:rFonts w:ascii="Arial" w:hAnsi="Arial" w:cs="Arial"/>
        </w:rPr>
      </w:pPr>
    </w:p>
    <w:p w14:paraId="7760C513" w14:textId="0B2BB28B" w:rsidR="007F7B32" w:rsidRDefault="00902823" w:rsidP="00441B6F">
      <w:pPr>
        <w:pStyle w:val="AbstHead"/>
        <w:spacing w:after="0"/>
        <w:jc w:val="both"/>
        <w:rPr>
          <w:rFonts w:ascii="Arial" w:hAnsi="Arial" w:cs="Arial"/>
        </w:rPr>
      </w:pPr>
      <w:r>
        <w:rPr>
          <w:rFonts w:ascii="Arial" w:hAnsi="Arial" w:cs="Arial"/>
        </w:rPr>
        <w:t xml:space="preserve">2. </w:t>
      </w:r>
      <w:r w:rsidR="00AC509D" w:rsidRPr="00AC509D">
        <w:rPr>
          <w:rFonts w:ascii="Arial" w:hAnsi="Arial" w:cs="Arial"/>
        </w:rPr>
        <w:t>SYNTHESIS AND CHARACTERIZATION OF NANOPARTICLES</w:t>
      </w:r>
    </w:p>
    <w:p w14:paraId="567570FF" w14:textId="77777777" w:rsidR="00790ADA" w:rsidRPr="00FB3A86" w:rsidRDefault="00790ADA" w:rsidP="00441B6F">
      <w:pPr>
        <w:pStyle w:val="AbstHead"/>
        <w:spacing w:after="0"/>
        <w:jc w:val="both"/>
        <w:rPr>
          <w:rFonts w:ascii="Arial" w:hAnsi="Arial" w:cs="Arial"/>
        </w:rPr>
      </w:pPr>
    </w:p>
    <w:p w14:paraId="3340D596" w14:textId="77777777" w:rsidR="00E16584" w:rsidRDefault="00E16584" w:rsidP="00E16584">
      <w:pPr>
        <w:pStyle w:val="Body"/>
        <w:spacing w:after="0"/>
        <w:rPr>
          <w:rFonts w:ascii="Arial" w:eastAsia="Google Sans Text" w:hAnsi="Arial" w:cs="Arial"/>
          <w:color w:val="1B1C1D"/>
        </w:rPr>
      </w:pPr>
      <w:r w:rsidRPr="00E16584">
        <w:rPr>
          <w:rFonts w:ascii="Arial" w:eastAsia="Google Sans Text" w:hAnsi="Arial" w:cs="Arial"/>
          <w:color w:val="1B1C1D"/>
        </w:rPr>
        <w:t xml:space="preserve">The conversion of raw agricultural waste into functional nanomaterials is a sophisticated, multi-stage process that begins with essential pre-treatments to overcome the natural recalcitrance of lignocellulosic biomass. Before nano-synthesis, residues must be processed </w:t>
      </w:r>
      <w:r w:rsidRPr="00E16584">
        <w:rPr>
          <w:rFonts w:ascii="Arial" w:eastAsia="Google Sans Text" w:hAnsi="Arial" w:cs="Arial"/>
          <w:color w:val="1B1C1D"/>
        </w:rPr>
        <w:lastRenderedPageBreak/>
        <w:t xml:space="preserve">through physical methods like grinding, chemical techniques such as acid and alkaline hydrolysis, or biological routes using enzymes and microbes. Advanced green pre-treatment methods are gaining prominence, including the use of </w:t>
      </w:r>
      <w:proofErr w:type="spellStart"/>
      <w:r w:rsidRPr="00E16584">
        <w:rPr>
          <w:rFonts w:ascii="Arial" w:eastAsia="Google Sans Text" w:hAnsi="Arial" w:cs="Arial"/>
          <w:color w:val="1B1C1D"/>
        </w:rPr>
        <w:t>organosolvents</w:t>
      </w:r>
      <w:proofErr w:type="spellEnd"/>
      <w:r w:rsidRPr="00E16584">
        <w:rPr>
          <w:rFonts w:ascii="Arial" w:eastAsia="Google Sans Text" w:hAnsi="Arial" w:cs="Arial"/>
          <w:color w:val="1B1C1D"/>
        </w:rPr>
        <w:t xml:space="preserve"> (e.g., ethanol, acetic acid) which effectively fractionate biomass into cellulose, lignin, and hemicellulose with high purity and ease of solvent recovery (Olaniyan et al., 2025). Other innovative methods include steam explosion, which uses rapid decompression to break down biomass structure, and the use of Deep Eutectic Solvents (DESs), which are eco-friendly solvents that efficiently dissolve lignin and hemicellulose under mild conditions (Olaniyan et al., 2025). The choice of pre-treatment is vital; for instance, alkaline treatment is a common step for rice husk to remove organic impurities before the extraction of high-purity </w:t>
      </w:r>
      <w:proofErr w:type="spellStart"/>
      <w:r w:rsidRPr="00E16584">
        <w:rPr>
          <w:rFonts w:ascii="Arial" w:eastAsia="Google Sans Text" w:hAnsi="Arial" w:cs="Arial"/>
          <w:color w:val="1B1C1D"/>
        </w:rPr>
        <w:t>nanosilica</w:t>
      </w:r>
      <w:proofErr w:type="spellEnd"/>
      <w:r w:rsidRPr="00E16584">
        <w:rPr>
          <w:rFonts w:ascii="Arial" w:eastAsia="Google Sans Text" w:hAnsi="Arial" w:cs="Arial"/>
          <w:color w:val="1B1C1D"/>
        </w:rPr>
        <w:t>. Following this, nanoparticle synthesis occurs via two main strategies: top-down and bottom-up approaches (Figure 1).</w:t>
      </w:r>
    </w:p>
    <w:p w14:paraId="52940133" w14:textId="1035F54F" w:rsidR="00E16584" w:rsidRDefault="00E16584" w:rsidP="00E16584">
      <w:pPr>
        <w:pStyle w:val="Body"/>
        <w:spacing w:after="0"/>
        <w:rPr>
          <w:rFonts w:ascii="Arial" w:eastAsia="Google Sans Text" w:hAnsi="Arial" w:cs="Arial"/>
          <w:color w:val="1B1C1D"/>
        </w:rPr>
      </w:pPr>
    </w:p>
    <w:p w14:paraId="68AE58C0" w14:textId="77777777" w:rsidR="00E16584" w:rsidRPr="00E16584" w:rsidRDefault="00E16584" w:rsidP="00E16584">
      <w:pPr>
        <w:pBdr>
          <w:top w:val="nil"/>
          <w:left w:val="nil"/>
          <w:bottom w:val="nil"/>
          <w:right w:val="nil"/>
          <w:between w:val="nil"/>
        </w:pBdr>
        <w:spacing w:after="240" w:line="275" w:lineRule="auto"/>
        <w:jc w:val="center"/>
        <w:rPr>
          <w:rFonts w:ascii="Arial" w:eastAsia="Google Sans Text" w:hAnsi="Arial" w:cs="Arial"/>
          <w:color w:val="1B1C1D"/>
        </w:rPr>
      </w:pPr>
      <w:r w:rsidRPr="00E16584">
        <w:rPr>
          <w:rFonts w:ascii="Arial" w:hAnsi="Arial" w:cs="Arial"/>
          <w:noProof/>
        </w:rPr>
        <w:drawing>
          <wp:inline distT="0" distB="0" distL="0" distR="0" wp14:anchorId="38AB7706" wp14:editId="720858AB">
            <wp:extent cx="4524375" cy="302108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5310" cy="3028387"/>
                    </a:xfrm>
                    <a:prstGeom prst="rect">
                      <a:avLst/>
                    </a:prstGeom>
                    <a:noFill/>
                    <a:ln>
                      <a:noFill/>
                    </a:ln>
                  </pic:spPr>
                </pic:pic>
              </a:graphicData>
            </a:graphic>
          </wp:inline>
        </w:drawing>
      </w:r>
    </w:p>
    <w:p w14:paraId="038FA4A1" w14:textId="7DE71AA0" w:rsidR="00E16584" w:rsidRPr="00E16584" w:rsidRDefault="00E16584" w:rsidP="00700A76">
      <w:pPr>
        <w:pBdr>
          <w:top w:val="nil"/>
          <w:left w:val="nil"/>
          <w:bottom w:val="nil"/>
          <w:right w:val="nil"/>
          <w:between w:val="nil"/>
        </w:pBdr>
        <w:spacing w:after="240" w:line="275" w:lineRule="auto"/>
        <w:jc w:val="both"/>
        <w:rPr>
          <w:rFonts w:ascii="Arial" w:eastAsia="Google Sans Text" w:hAnsi="Arial" w:cs="Arial"/>
          <w:color w:val="1B1C1D"/>
        </w:rPr>
      </w:pPr>
      <w:r w:rsidRPr="00E16584">
        <w:rPr>
          <w:rFonts w:ascii="Arial" w:eastAsia="Google Sans Text" w:hAnsi="Arial" w:cs="Arial"/>
          <w:b/>
          <w:bCs/>
          <w:color w:val="1B1C1D"/>
        </w:rPr>
        <w:t xml:space="preserve">Fig 1.  </w:t>
      </w:r>
      <w:r w:rsidRPr="00E16584">
        <w:rPr>
          <w:rFonts w:ascii="Arial" w:eastAsia="Google Sans Text" w:hAnsi="Arial" w:cs="Arial"/>
          <w:color w:val="1B1C1D"/>
        </w:rPr>
        <w:t xml:space="preserve">Schematic of top-down and bottom-up approaches for nanoparticle synthesis. [Adapted with permission from </w:t>
      </w:r>
      <w:proofErr w:type="spellStart"/>
      <w:r w:rsidRPr="00E16584">
        <w:rPr>
          <w:rFonts w:ascii="Arial" w:eastAsia="Google Sans Text" w:hAnsi="Arial" w:cs="Arial"/>
          <w:color w:val="1B1C1D"/>
        </w:rPr>
        <w:t>Riseh</w:t>
      </w:r>
      <w:proofErr w:type="spellEnd"/>
      <w:r w:rsidRPr="00E16584">
        <w:rPr>
          <w:rFonts w:ascii="Arial" w:eastAsia="Google Sans Text" w:hAnsi="Arial" w:cs="Arial"/>
          <w:color w:val="1B1C1D"/>
        </w:rPr>
        <w:t xml:space="preserve"> &amp; </w:t>
      </w:r>
      <w:proofErr w:type="spellStart"/>
      <w:r w:rsidRPr="00E16584">
        <w:rPr>
          <w:rFonts w:ascii="Arial" w:eastAsia="Google Sans Text" w:hAnsi="Arial" w:cs="Arial"/>
          <w:color w:val="1B1C1D"/>
        </w:rPr>
        <w:t>Vazvani</w:t>
      </w:r>
      <w:proofErr w:type="spellEnd"/>
      <w:r w:rsidRPr="00E16584">
        <w:rPr>
          <w:rFonts w:ascii="Arial" w:eastAsia="Google Sans Text" w:hAnsi="Arial" w:cs="Arial"/>
          <w:color w:val="1B1C1D"/>
        </w:rPr>
        <w:t xml:space="preserve">, 2024] </w:t>
      </w:r>
      <w:r w:rsidRPr="00E16584">
        <w:rPr>
          <w:rFonts w:ascii="Arial" w:eastAsia="Google Sans Text" w:hAnsi="Arial" w:cs="Arial"/>
          <w:color w:val="1B1C1D"/>
        </w:rPr>
        <w:fldChar w:fldCharType="begin" w:fldLock="1"/>
      </w:r>
      <w:r w:rsidR="007A607C">
        <w:rPr>
          <w:rFonts w:ascii="Arial" w:eastAsia="Google Sans Text" w:hAnsi="Arial" w:cs="Arial"/>
          <w:color w:val="1B1C1D"/>
        </w:rPr>
        <w:instrText>ADDIN CSL_CITATION {"citationItems":[{"id":"ITEM-1","itemData":{"DOI":"10.1016/J.PLANA.2024.100111","ISSN":"2773-1111","abstract":"Nanotechnology holds significant promise for transforming the agricultural industry by enhancing efficiency and yield through the manipulation of materials at the nanoscale. Green synthesis of metal nanoparticles represents an innovative and environmentally friendly approach in agriculture that enhances crop yield and quality. Unlike traditional physical and chemical methods, which are costly and produce harmful by-products, green synthesis uses biological agents like plants, fungi, and bacteria, making the process more sustainable and cost-effective. Bacterial cells demonstrate superior efficiency in the green synthesis of nanoparticles compared to plant cells. Their effectiveness is attributed to their unique morphological features, surface structures, and the presence of exopolysaccharides, sugars, proteins, enzymes, and various functional groups (such as carboxyl, phosphate, and amide). Interaction between bacterial cells and nanotechnology presents a promising approach for advancing smart agriculture by enhancing soil fertility, plant protection, and nanoparticle synthesis efficiency. By entering the structure of a living organism as an external factor, nanoparticles can cause extensive changes in the physiology and function of the cell. Therefore, the presence of a biological mediating agent with potential mechanisms capable of reducing the negative effects of nanoparticles can increase their efficacy as a long-term factor and reduce concerns about the harmful effects of nanoparticles on nature and living cells. By activating the pathways of NADPH, glutathione, and biofilm formation, this living agent first moderates the harmful effects of nanoparticles and acts as a filter, then provides them for the cell as a healthy biological-nanotechnological agent through a process known as green synthesis. Integration of nanoparticles and PGPR offers a novel and efficient approach to increasing plant productivity and sustainability in agriculture.","author":[{"dropping-particle":"","family":"Saberi Riseh","given":"Roohallah","non-dropping-particle":"","parse-names":false,"suffix":""},{"dropping-particle":"","family":"Gholizadeh Vazvani","given":"Mozhgan","non-dropping-particle":"","parse-names":false,"suffix":""}],"container-title":"Plant Nano Biology","id":"ITEM-1","issued":{"date-parts":[["2024","11","1"]]},"page":"100111","publisher":"Elsevier","title":"Green synthesis of metal nanoparticles using plant growth promoting rhizobacteria and application in agriculture","type":"article-journal","volume":"10"},"uris":["http://www.mendeley.com/documents/?uuid=f50c9fe6-45e0-38af-92e0-5f66be64ed18"]}],"mendeley":{"formattedCitation":"[6]","manualFormatting":"(Riseh &amp; Vazvani, 2024)","plainTextFormattedCitation":"[6]","previouslyFormattedCitation":"(Saberi Riseh &amp; Gholizadeh Vazvani, 2024)"},"properties":{"noteIndex":0},"schema":"https://github.com/citation-style-language/schema/raw/master/csl-citation.json"}</w:instrText>
      </w:r>
      <w:r w:rsidRPr="00E16584">
        <w:rPr>
          <w:rFonts w:ascii="Arial" w:eastAsia="Google Sans Text" w:hAnsi="Arial" w:cs="Arial"/>
          <w:color w:val="1B1C1D"/>
        </w:rPr>
        <w:fldChar w:fldCharType="separate"/>
      </w:r>
      <w:r w:rsidRPr="00E16584">
        <w:rPr>
          <w:rFonts w:ascii="Arial" w:eastAsia="Google Sans Text" w:hAnsi="Arial" w:cs="Arial"/>
          <w:noProof/>
          <w:color w:val="1B1C1D"/>
        </w:rPr>
        <w:t>(Riseh &amp; Vazvani, 2024)</w:t>
      </w:r>
      <w:r w:rsidRPr="00E16584">
        <w:rPr>
          <w:rFonts w:ascii="Arial" w:eastAsia="Google Sans Text" w:hAnsi="Arial" w:cs="Arial"/>
          <w:color w:val="1B1C1D"/>
        </w:rPr>
        <w:fldChar w:fldCharType="end"/>
      </w:r>
    </w:p>
    <w:p w14:paraId="35FE1FDA" w14:textId="033CE7C4" w:rsidR="00E16584" w:rsidRPr="00E16584" w:rsidRDefault="00E16584" w:rsidP="00E16584">
      <w:pPr>
        <w:pStyle w:val="Body"/>
        <w:spacing w:after="0"/>
        <w:rPr>
          <w:rFonts w:ascii="Arial" w:hAnsi="Arial" w:cs="Arial"/>
        </w:rPr>
      </w:pPr>
      <w:r w:rsidRPr="00E16584">
        <w:rPr>
          <w:rFonts w:ascii="Arial" w:eastAsia="Google Sans Text" w:hAnsi="Arial" w:cs="Arial"/>
          <w:color w:val="1B1C1D"/>
        </w:rPr>
        <w:t xml:space="preserve">Top-down technologies involve the mechanical or chemical breakdown of bulk material into nanoscale particles. Key techniques include ball milling, a mechanical process that applies kinetic energy via rolling balls to wear down materials like wheat straw into nanocellulose, and electrospinning, which applies a high voltage to a polymer solution derived from biowaste, causing it to elongate into a conical "Taylor cone shape" and form nanofibers with high surface area (Sidhu et al., 2025). Bottom-up technologies, in contrast, construct nanoparticles from atomic or molecular units through controlled chemical and physical processes. Common methods include pyrolysis, a thermochemical process that degrades raw materials like groundnut shells in an oxygen-free environment to produce carbon-based nanoparticles; the hydrothermal technique, where synthesis of materials like carbon dots from corn cobs occurs in autoclaves under specific conditions of high temperature (120°C–550°C) and pressure (20–150 bar); and the sol-gel method, which produces a nano-scaled product like silica through hydrolysis and condensation reactions. A particularly promising bottom-up method is green synthesis, where aqueous extracts from fruit peels or leaves </w:t>
      </w:r>
      <w:r w:rsidRPr="00E16584">
        <w:rPr>
          <w:rFonts w:ascii="Arial" w:eastAsia="Google Sans Text" w:hAnsi="Arial" w:cs="Arial"/>
          <w:color w:val="1B1C1D"/>
        </w:rPr>
        <w:lastRenderedPageBreak/>
        <w:t>(e.g., avocado peel) act as natural reducing and capping agents to synthesize metallic nanoparticles like silver (Ag) and gold (Au) (Adebayo et al., 2019).</w:t>
      </w:r>
    </w:p>
    <w:p w14:paraId="19AC4303" w14:textId="77777777" w:rsidR="00954EE7" w:rsidRDefault="00E16584" w:rsidP="00954EE7">
      <w:pPr>
        <w:pStyle w:val="Body"/>
        <w:spacing w:after="0"/>
        <w:rPr>
          <w:rFonts w:ascii="Arial" w:eastAsia="Google Sans Text" w:hAnsi="Arial" w:cs="Arial"/>
          <w:color w:val="1B1C1D"/>
        </w:rPr>
      </w:pPr>
      <w:r w:rsidRPr="00E16584">
        <w:rPr>
          <w:rFonts w:ascii="Arial" w:eastAsia="Google Sans Text" w:hAnsi="Arial" w:cs="Arial"/>
          <w:color w:val="1B1C1D"/>
        </w:rPr>
        <w:t>Once synthesized, rigorous characterization is required to understand the nanoparticles' properties. This involves using techniques like Transmission Electron Microscopy (TEM) and Atomic Force Microscopy (AFM) to directly visualize morphology and crystalline structure. Dynamic Light Scattering (DLS) is used to measure the particle size distribution in a liquid medium, while spectroscopic methods like Fourier-Transform Infrared Spectroscopy (FTIR) and UV-Vis Spectroscopy analyze the chemical functional groups and optical properties, respectively. Furthermore, X-ray Diffraction (XRD) is crucial for determining the crystallinity and phase purity of the synthesized nanomaterials. Table 1 summarizes several key examples of nanomaterials synthesized from various agricultural wastes.</w:t>
      </w:r>
    </w:p>
    <w:p w14:paraId="760D9A1B" w14:textId="77777777" w:rsidR="00954EE7" w:rsidRDefault="00954EE7" w:rsidP="00954EE7">
      <w:pPr>
        <w:pStyle w:val="Body"/>
        <w:spacing w:after="0"/>
        <w:rPr>
          <w:rFonts w:ascii="Arial" w:eastAsia="Google Sans Text" w:hAnsi="Arial" w:cs="Arial"/>
          <w:color w:val="1B1C1D"/>
        </w:rPr>
      </w:pPr>
    </w:p>
    <w:p w14:paraId="0820C0CA" w14:textId="2E2D12F2" w:rsidR="00954EE7" w:rsidRDefault="00954EE7" w:rsidP="00954EE7">
      <w:pPr>
        <w:pStyle w:val="Body"/>
        <w:spacing w:after="0"/>
        <w:jc w:val="center"/>
        <w:rPr>
          <w:rFonts w:ascii="Arial" w:eastAsia="Google Sans Text" w:hAnsi="Arial" w:cs="Arial"/>
          <w:b/>
          <w:color w:val="1B1C1D"/>
        </w:rPr>
      </w:pPr>
      <w:r w:rsidRPr="00954EE7">
        <w:rPr>
          <w:rFonts w:ascii="Arial" w:eastAsia="Google Sans Text" w:hAnsi="Arial" w:cs="Arial"/>
          <w:b/>
          <w:color w:val="1B1C1D"/>
        </w:rPr>
        <w:t>Table 1. Nanoparticle Synthesis from Various Agricultural Wastes</w:t>
      </w:r>
    </w:p>
    <w:p w14:paraId="123C98EC" w14:textId="4C0EC077" w:rsidR="008231CE" w:rsidRDefault="008231CE" w:rsidP="00954EE7">
      <w:pPr>
        <w:pStyle w:val="Body"/>
        <w:spacing w:after="0"/>
        <w:jc w:val="center"/>
        <w:rPr>
          <w:rFonts w:ascii="Arial" w:eastAsia="Google Sans Text" w:hAnsi="Arial" w:cs="Arial"/>
          <w:b/>
          <w:color w:val="1B1C1D"/>
        </w:rPr>
      </w:pPr>
    </w:p>
    <w:tbl>
      <w:tblPr>
        <w:tblW w:w="810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95"/>
        <w:gridCol w:w="1662"/>
        <w:gridCol w:w="1667"/>
        <w:gridCol w:w="1763"/>
        <w:gridCol w:w="1617"/>
      </w:tblGrid>
      <w:tr w:rsidR="008231CE" w:rsidRPr="00DC3180" w14:paraId="536EA164" w14:textId="77777777" w:rsidTr="008231CE">
        <w:trPr>
          <w:jc w:val="center"/>
        </w:trPr>
        <w:tc>
          <w:tcPr>
            <w:tcW w:w="1395" w:type="dxa"/>
            <w:tcBorders>
              <w:bottom w:val="single" w:sz="4" w:space="0" w:color="auto"/>
            </w:tcBorders>
          </w:tcPr>
          <w:p w14:paraId="57399108" w14:textId="0D2ED8FA" w:rsidR="008231CE" w:rsidRPr="005525B6" w:rsidRDefault="008231CE" w:rsidP="008231CE">
            <w:pPr>
              <w:rPr>
                <w:rFonts w:ascii="Arial" w:eastAsia="Google Sans Text" w:hAnsi="Arial" w:cs="Arial"/>
                <w:b/>
                <w:color w:val="1B1C1D"/>
              </w:rPr>
            </w:pPr>
            <w:proofErr w:type="spellStart"/>
            <w:r w:rsidRPr="00954EE7">
              <w:rPr>
                <w:rFonts w:ascii="Arial" w:hAnsi="Arial" w:cs="Arial"/>
                <w:b/>
                <w:bCs/>
              </w:rPr>
              <w:t>Agro</w:t>
            </w:r>
            <w:proofErr w:type="spellEnd"/>
            <w:r w:rsidRPr="00954EE7">
              <w:rPr>
                <w:rFonts w:ascii="Arial" w:hAnsi="Arial" w:cs="Arial"/>
                <w:b/>
                <w:bCs/>
              </w:rPr>
              <w:t>-Waste Source</w:t>
            </w:r>
          </w:p>
        </w:tc>
        <w:tc>
          <w:tcPr>
            <w:tcW w:w="1662" w:type="dxa"/>
            <w:tcBorders>
              <w:bottom w:val="single" w:sz="4" w:space="0" w:color="auto"/>
            </w:tcBorders>
          </w:tcPr>
          <w:p w14:paraId="439B9854" w14:textId="71EBD1DD" w:rsidR="008231CE" w:rsidRPr="005525B6" w:rsidRDefault="008231CE" w:rsidP="008231CE">
            <w:pPr>
              <w:rPr>
                <w:rFonts w:ascii="Arial" w:eastAsia="Google Sans Text" w:hAnsi="Arial" w:cs="Arial"/>
                <w:b/>
                <w:color w:val="1B1C1D"/>
              </w:rPr>
            </w:pPr>
            <w:r w:rsidRPr="00954EE7">
              <w:rPr>
                <w:rFonts w:ascii="Arial" w:hAnsi="Arial" w:cs="Arial"/>
                <w:b/>
                <w:bCs/>
              </w:rPr>
              <w:t>Synthesis Method</w:t>
            </w:r>
          </w:p>
        </w:tc>
        <w:tc>
          <w:tcPr>
            <w:tcW w:w="1667" w:type="dxa"/>
            <w:tcBorders>
              <w:bottom w:val="single" w:sz="4" w:space="0" w:color="auto"/>
            </w:tcBorders>
          </w:tcPr>
          <w:p w14:paraId="432F96F9" w14:textId="7EDEEE86" w:rsidR="008231CE" w:rsidRPr="005525B6" w:rsidRDefault="008231CE" w:rsidP="008231CE">
            <w:pPr>
              <w:rPr>
                <w:rFonts w:ascii="Arial" w:eastAsia="Google Sans Text" w:hAnsi="Arial" w:cs="Arial"/>
                <w:b/>
                <w:color w:val="1B1C1D"/>
              </w:rPr>
            </w:pPr>
            <w:r w:rsidRPr="00954EE7">
              <w:rPr>
                <w:rFonts w:ascii="Arial" w:hAnsi="Arial" w:cs="Arial"/>
                <w:b/>
                <w:bCs/>
              </w:rPr>
              <w:t>Resulting Nanoparticle</w:t>
            </w:r>
          </w:p>
        </w:tc>
        <w:tc>
          <w:tcPr>
            <w:tcW w:w="1763" w:type="dxa"/>
            <w:tcBorders>
              <w:bottom w:val="single" w:sz="4" w:space="0" w:color="auto"/>
            </w:tcBorders>
          </w:tcPr>
          <w:p w14:paraId="13BF9ABD" w14:textId="49718E2E" w:rsidR="008231CE" w:rsidRPr="005525B6" w:rsidRDefault="008231CE" w:rsidP="008231CE">
            <w:pPr>
              <w:rPr>
                <w:rFonts w:ascii="Arial" w:eastAsia="Google Sans Text" w:hAnsi="Arial" w:cs="Arial"/>
                <w:b/>
                <w:color w:val="1B1C1D"/>
              </w:rPr>
            </w:pPr>
            <w:r w:rsidRPr="00954EE7">
              <w:rPr>
                <w:rFonts w:ascii="Arial" w:hAnsi="Arial" w:cs="Arial"/>
                <w:b/>
                <w:bCs/>
              </w:rPr>
              <w:t>Application</w:t>
            </w:r>
          </w:p>
        </w:tc>
        <w:tc>
          <w:tcPr>
            <w:tcW w:w="1617" w:type="dxa"/>
            <w:tcBorders>
              <w:bottom w:val="single" w:sz="4" w:space="0" w:color="auto"/>
            </w:tcBorders>
          </w:tcPr>
          <w:p w14:paraId="389FF4B1" w14:textId="24684C29" w:rsidR="008231CE" w:rsidRPr="005525B6" w:rsidRDefault="008231CE" w:rsidP="008231CE">
            <w:pPr>
              <w:rPr>
                <w:rFonts w:ascii="Arial" w:eastAsia="Google Sans Text" w:hAnsi="Arial" w:cs="Arial"/>
                <w:b/>
                <w:color w:val="1B1C1D"/>
              </w:rPr>
            </w:pPr>
            <w:r w:rsidRPr="00954EE7">
              <w:rPr>
                <w:rFonts w:ascii="Arial" w:hAnsi="Arial" w:cs="Arial"/>
                <w:b/>
                <w:bCs/>
              </w:rPr>
              <w:t>Reference</w:t>
            </w:r>
          </w:p>
        </w:tc>
      </w:tr>
      <w:tr w:rsidR="008231CE" w:rsidRPr="00DC3180" w14:paraId="74AF49E7" w14:textId="77777777" w:rsidTr="008231CE">
        <w:trPr>
          <w:trHeight w:val="773"/>
          <w:jc w:val="center"/>
        </w:trPr>
        <w:tc>
          <w:tcPr>
            <w:tcW w:w="1395" w:type="dxa"/>
            <w:tcBorders>
              <w:bottom w:val="nil"/>
            </w:tcBorders>
          </w:tcPr>
          <w:p w14:paraId="335F42A0" w14:textId="594696E8" w:rsidR="008231CE" w:rsidRPr="005525B6" w:rsidRDefault="008231CE" w:rsidP="008231CE">
            <w:pPr>
              <w:rPr>
                <w:rFonts w:ascii="Arial" w:eastAsia="Google Sans Text" w:hAnsi="Arial" w:cs="Arial"/>
                <w:color w:val="1B1C1D"/>
              </w:rPr>
            </w:pPr>
            <w:r w:rsidRPr="00954EE7">
              <w:rPr>
                <w:rFonts w:ascii="Arial" w:hAnsi="Arial" w:cs="Arial"/>
              </w:rPr>
              <w:t>Rice Husk</w:t>
            </w:r>
          </w:p>
        </w:tc>
        <w:tc>
          <w:tcPr>
            <w:tcW w:w="1662" w:type="dxa"/>
            <w:tcBorders>
              <w:bottom w:val="nil"/>
            </w:tcBorders>
          </w:tcPr>
          <w:p w14:paraId="66163062" w14:textId="503E8561" w:rsidR="008231CE" w:rsidRPr="005525B6" w:rsidRDefault="008231CE" w:rsidP="008231CE">
            <w:pPr>
              <w:rPr>
                <w:rFonts w:ascii="Arial" w:eastAsia="Google Sans Text" w:hAnsi="Arial" w:cs="Arial"/>
                <w:color w:val="1B1C1D"/>
              </w:rPr>
            </w:pPr>
            <w:r w:rsidRPr="00954EE7">
              <w:rPr>
                <w:rFonts w:ascii="Arial" w:hAnsi="Arial" w:cs="Arial"/>
              </w:rPr>
              <w:t>Thermo-chemical / Sol-gel</w:t>
            </w:r>
          </w:p>
        </w:tc>
        <w:tc>
          <w:tcPr>
            <w:tcW w:w="1667" w:type="dxa"/>
            <w:tcBorders>
              <w:bottom w:val="nil"/>
            </w:tcBorders>
          </w:tcPr>
          <w:p w14:paraId="386DBC9D" w14:textId="77777777" w:rsidR="008231CE" w:rsidRDefault="008231CE" w:rsidP="008231CE">
            <w:pPr>
              <w:rPr>
                <w:rFonts w:ascii="Arial" w:hAnsi="Arial" w:cs="Arial"/>
              </w:rPr>
            </w:pPr>
            <w:proofErr w:type="spellStart"/>
            <w:r w:rsidRPr="00954EE7">
              <w:rPr>
                <w:rFonts w:ascii="Arial" w:hAnsi="Arial" w:cs="Arial"/>
              </w:rPr>
              <w:t>Nanosilica</w:t>
            </w:r>
            <w:proofErr w:type="spellEnd"/>
            <w:r w:rsidRPr="00954EE7">
              <w:rPr>
                <w:rFonts w:ascii="Arial" w:hAnsi="Arial" w:cs="Arial"/>
              </w:rPr>
              <w:t xml:space="preserve"> </w:t>
            </w:r>
          </w:p>
          <w:p w14:paraId="7C4B0307" w14:textId="2A346E07" w:rsidR="008231CE" w:rsidRPr="005525B6" w:rsidRDefault="008231CE" w:rsidP="008231CE">
            <w:pPr>
              <w:rPr>
                <w:rFonts w:ascii="Arial" w:eastAsia="Google Sans Text" w:hAnsi="Arial" w:cs="Arial"/>
                <w:color w:val="1B1C1D"/>
              </w:rPr>
            </w:pPr>
            <w:r w:rsidRPr="00954EE7">
              <w:rPr>
                <w:rFonts w:ascii="Arial" w:hAnsi="Arial" w:cs="Arial"/>
              </w:rPr>
              <w:t>(SiO</w:t>
            </w:r>
            <w:r w:rsidRPr="00954EE7">
              <w:rPr>
                <w:rFonts w:ascii="Arial" w:hAnsi="Arial" w:cs="Arial"/>
                <w:vertAlign w:val="subscript"/>
              </w:rPr>
              <w:t>2</w:t>
            </w:r>
            <w:r w:rsidRPr="00954EE7">
              <w:rPr>
                <w:rFonts w:ascii="Arial" w:hAnsi="Arial" w:cs="Arial"/>
              </w:rPr>
              <w:t>​)</w:t>
            </w:r>
          </w:p>
        </w:tc>
        <w:tc>
          <w:tcPr>
            <w:tcW w:w="1763" w:type="dxa"/>
            <w:tcBorders>
              <w:bottom w:val="nil"/>
            </w:tcBorders>
          </w:tcPr>
          <w:p w14:paraId="64C0252B" w14:textId="6918F3A4" w:rsidR="008231CE" w:rsidRPr="005525B6" w:rsidRDefault="008231CE" w:rsidP="008231CE">
            <w:pPr>
              <w:rPr>
                <w:rFonts w:ascii="Arial" w:eastAsia="Google Sans Text" w:hAnsi="Arial" w:cs="Arial"/>
                <w:color w:val="1B1C1D"/>
              </w:rPr>
            </w:pPr>
            <w:r w:rsidRPr="00954EE7">
              <w:rPr>
                <w:rFonts w:ascii="Arial" w:hAnsi="Arial" w:cs="Arial"/>
              </w:rPr>
              <w:t>Battery</w:t>
            </w:r>
          </w:p>
        </w:tc>
        <w:tc>
          <w:tcPr>
            <w:tcW w:w="1617" w:type="dxa"/>
            <w:tcBorders>
              <w:bottom w:val="nil"/>
            </w:tcBorders>
          </w:tcPr>
          <w:p w14:paraId="3A5EC5C0" w14:textId="3D96C219" w:rsidR="008231CE" w:rsidRPr="005525B6" w:rsidRDefault="008231CE" w:rsidP="008231CE">
            <w:pPr>
              <w:rPr>
                <w:rFonts w:ascii="Arial" w:eastAsia="Google Sans Text" w:hAnsi="Arial" w:cs="Arial"/>
                <w:color w:val="1B1C1D"/>
              </w:rPr>
            </w:pPr>
            <w:r w:rsidRPr="00954EE7">
              <w:rPr>
                <w:rFonts w:ascii="Arial" w:hAnsi="Arial" w:cs="Arial"/>
              </w:rPr>
              <w:fldChar w:fldCharType="begin" w:fldLock="1"/>
            </w:r>
            <w:r w:rsidR="007A607C">
              <w:rPr>
                <w:rFonts w:ascii="Arial" w:hAnsi="Arial" w:cs="Arial"/>
              </w:rPr>
              <w:instrText>ADDIN CSL_CITATION {"citationItems":[{"id":"ITEM-1","itemData":{"DOI":"10.1021/ACS.JAFC.6B04777/ASSET/IMAGES/MEDIUM/JF-2016-04777U_0011.GIF","ISSN":"15205118","PMID":"28052201","abstract":"Silica-rich rice husk (RH) is an abundant and sustainable agricultural waste. The recovery of value-added products from RH or its ash to explore an economic way for the valorization of agricultural wastes has attracted wide attention. For instance, RH can be converted to biofuels and biochars simultaneously via thermochemical processes. In general, the applications of RH biochars include soil remediation, pollutant removal, silicon battery materials, and so forth. This review concludes recent progress in the synthesis of RH-derived silicon materials for lithium-ion battery (LIB) applications. Silica nanomaterials produced from RH are initially discussed. RH amorphous silica can also be fabricated to crystal silicon used for battery materials via widely used magnesiothermic reduction. However, the RH-derived Si nanoparticles suffer from a low Coulombic efficiency in the initial charge/discharge and limited cycle life as anode materials due to high surface reactions and low thermodynamic stability. The synthesis of Si materials with nano/microhierarchical structure would be an ideal way to improve their electrochemical performances. Embedding nano-Si into 3D conductive matrix is an effective way to improve the structural stability. Among the Si/carbon composite materials, carbon nanotubdes (CNTs) are a promising matrix due to the wired morphology, high electronic conductivity, and robust structure. Additionally, CNTs can easily form 3D cross-linked conducting networks, ensuring effective electron transportation among active particles. Si nanomaterials with microhierarchical structures in which CNTs are tightly intertwined between the RH-derived Si nanoparticles have been proven to be ideal LIB anode materials.","author":[{"dropping-particle":"","family":"Shen","given":"Yafei","non-dropping-particle":"","parse-names":false,"suffix":""}],"container-title":"Journal of Agricultural and Food Chemistry","id":"ITEM-1","issue":"5","issued":{"date-parts":[["2017","2","8"]]},"page":"995-1004","publisher":"American Chemical Society","title":"Rice Husk Silica-Derived Nanomaterials for Battery Applications: A Literature Review","type":"article-journal","volume":"65"},"uris":["http://www.mendeley.com/documents/?uuid=94040b80-aadb-301f-8688-0b7bc0480490"]}],"mendeley":{"formattedCitation":"[7]","plainTextFormattedCitation":"[7]","previouslyFormattedCitation":"(Shen, 2017)"},"properties":{"noteIndex":0},"schema":"https://github.com/citation-style-language/schema/raw/master/csl-citation.json"}</w:instrText>
            </w:r>
            <w:r w:rsidRPr="00954EE7">
              <w:rPr>
                <w:rFonts w:ascii="Arial" w:hAnsi="Arial" w:cs="Arial"/>
              </w:rPr>
              <w:fldChar w:fldCharType="separate"/>
            </w:r>
            <w:r w:rsidR="007A607C" w:rsidRPr="007A607C">
              <w:rPr>
                <w:rFonts w:ascii="Arial" w:hAnsi="Arial" w:cs="Arial"/>
                <w:noProof/>
              </w:rPr>
              <w:t>[7]</w:t>
            </w:r>
            <w:r w:rsidRPr="00954EE7">
              <w:rPr>
                <w:rFonts w:ascii="Arial" w:hAnsi="Arial" w:cs="Arial"/>
              </w:rPr>
              <w:fldChar w:fldCharType="end"/>
            </w:r>
          </w:p>
        </w:tc>
      </w:tr>
      <w:tr w:rsidR="008231CE" w:rsidRPr="00DC3180" w14:paraId="26526F57" w14:textId="77777777" w:rsidTr="008231CE">
        <w:trPr>
          <w:jc w:val="center"/>
        </w:trPr>
        <w:tc>
          <w:tcPr>
            <w:tcW w:w="1395" w:type="dxa"/>
            <w:tcBorders>
              <w:top w:val="nil"/>
              <w:bottom w:val="nil"/>
            </w:tcBorders>
          </w:tcPr>
          <w:p w14:paraId="53D9EBE3" w14:textId="041822F1" w:rsidR="008231CE" w:rsidRPr="005525B6" w:rsidRDefault="008231CE" w:rsidP="008231CE">
            <w:pPr>
              <w:rPr>
                <w:rFonts w:ascii="Arial" w:eastAsia="Google Sans Text" w:hAnsi="Arial" w:cs="Arial"/>
                <w:color w:val="1B1C1D"/>
              </w:rPr>
            </w:pPr>
            <w:r w:rsidRPr="00954EE7">
              <w:rPr>
                <w:rFonts w:ascii="Arial" w:hAnsi="Arial" w:cs="Arial"/>
              </w:rPr>
              <w:t>Sugarcane Bagasse</w:t>
            </w:r>
          </w:p>
        </w:tc>
        <w:tc>
          <w:tcPr>
            <w:tcW w:w="1662" w:type="dxa"/>
            <w:tcBorders>
              <w:top w:val="nil"/>
              <w:bottom w:val="nil"/>
            </w:tcBorders>
          </w:tcPr>
          <w:p w14:paraId="6F7EEDF6" w14:textId="48228205" w:rsidR="008231CE" w:rsidRPr="005525B6" w:rsidRDefault="008231CE" w:rsidP="008231CE">
            <w:pPr>
              <w:rPr>
                <w:rFonts w:ascii="Arial" w:eastAsia="Google Sans Text" w:hAnsi="Arial" w:cs="Arial"/>
                <w:color w:val="1B1C1D"/>
              </w:rPr>
            </w:pPr>
            <w:r w:rsidRPr="00954EE7">
              <w:rPr>
                <w:rFonts w:ascii="Arial" w:hAnsi="Arial" w:cs="Arial"/>
              </w:rPr>
              <w:t>Acid Hydrolysis, Homogenization</w:t>
            </w:r>
          </w:p>
        </w:tc>
        <w:tc>
          <w:tcPr>
            <w:tcW w:w="1667" w:type="dxa"/>
            <w:tcBorders>
              <w:top w:val="nil"/>
              <w:bottom w:val="nil"/>
            </w:tcBorders>
          </w:tcPr>
          <w:p w14:paraId="737BF30C" w14:textId="6EE2C8DD" w:rsidR="008231CE" w:rsidRPr="005525B6" w:rsidRDefault="008231CE" w:rsidP="008231CE">
            <w:pPr>
              <w:rPr>
                <w:rFonts w:ascii="Arial" w:eastAsia="Google Sans Text" w:hAnsi="Arial" w:cs="Arial"/>
                <w:color w:val="1B1C1D"/>
              </w:rPr>
            </w:pPr>
            <w:r w:rsidRPr="00954EE7">
              <w:rPr>
                <w:rFonts w:ascii="Arial" w:hAnsi="Arial" w:cs="Arial"/>
              </w:rPr>
              <w:t>Nanocellulose (CNCs/CNFs)</w:t>
            </w:r>
          </w:p>
        </w:tc>
        <w:tc>
          <w:tcPr>
            <w:tcW w:w="1763" w:type="dxa"/>
            <w:tcBorders>
              <w:top w:val="nil"/>
              <w:bottom w:val="nil"/>
            </w:tcBorders>
          </w:tcPr>
          <w:p w14:paraId="7527F6C9" w14:textId="0D40B854" w:rsidR="008231CE" w:rsidRPr="005525B6" w:rsidRDefault="008231CE" w:rsidP="008231CE">
            <w:pPr>
              <w:rPr>
                <w:rFonts w:ascii="Arial" w:eastAsia="Google Sans Text" w:hAnsi="Arial" w:cs="Arial"/>
                <w:color w:val="1B1C1D"/>
              </w:rPr>
            </w:pPr>
            <w:r w:rsidRPr="00954EE7">
              <w:rPr>
                <w:rFonts w:ascii="Arial" w:hAnsi="Arial" w:cs="Arial"/>
              </w:rPr>
              <w:t xml:space="preserve">Food packaging films, drug delivery </w:t>
            </w:r>
          </w:p>
        </w:tc>
        <w:tc>
          <w:tcPr>
            <w:tcW w:w="1617" w:type="dxa"/>
            <w:tcBorders>
              <w:top w:val="nil"/>
              <w:bottom w:val="nil"/>
            </w:tcBorders>
          </w:tcPr>
          <w:p w14:paraId="19337EB9" w14:textId="06EC33AE" w:rsidR="008231CE" w:rsidRPr="005525B6" w:rsidRDefault="008231CE" w:rsidP="008231CE">
            <w:pPr>
              <w:rPr>
                <w:rFonts w:ascii="Arial" w:eastAsia="Google Sans Text" w:hAnsi="Arial" w:cs="Arial"/>
                <w:color w:val="1B1C1D"/>
              </w:rPr>
            </w:pPr>
            <w:r w:rsidRPr="00954EE7">
              <w:rPr>
                <w:rFonts w:ascii="Arial" w:hAnsi="Arial" w:cs="Arial"/>
              </w:rPr>
              <w:t>(Reddy et al., 2021)</w:t>
            </w:r>
          </w:p>
        </w:tc>
      </w:tr>
      <w:tr w:rsidR="008231CE" w:rsidRPr="00DC3180" w14:paraId="2F4E7D69" w14:textId="77777777" w:rsidTr="008231CE">
        <w:trPr>
          <w:jc w:val="center"/>
        </w:trPr>
        <w:tc>
          <w:tcPr>
            <w:tcW w:w="1395" w:type="dxa"/>
            <w:tcBorders>
              <w:top w:val="nil"/>
              <w:bottom w:val="nil"/>
            </w:tcBorders>
          </w:tcPr>
          <w:p w14:paraId="006ECB33" w14:textId="2D01372B" w:rsidR="008231CE" w:rsidRPr="005525B6" w:rsidRDefault="008231CE" w:rsidP="008231CE">
            <w:pPr>
              <w:rPr>
                <w:rFonts w:ascii="Arial" w:eastAsia="Google Sans Text" w:hAnsi="Arial" w:cs="Arial"/>
                <w:color w:val="1B1C1D"/>
              </w:rPr>
            </w:pPr>
            <w:r w:rsidRPr="00954EE7">
              <w:rPr>
                <w:rFonts w:ascii="Arial" w:hAnsi="Arial" w:cs="Arial"/>
              </w:rPr>
              <w:t>Groundnut Shell</w:t>
            </w:r>
          </w:p>
        </w:tc>
        <w:tc>
          <w:tcPr>
            <w:tcW w:w="1662" w:type="dxa"/>
            <w:tcBorders>
              <w:top w:val="nil"/>
              <w:bottom w:val="nil"/>
            </w:tcBorders>
          </w:tcPr>
          <w:p w14:paraId="4ABF1950" w14:textId="2E87406D" w:rsidR="008231CE" w:rsidRPr="005525B6" w:rsidRDefault="008231CE" w:rsidP="008231CE">
            <w:pPr>
              <w:rPr>
                <w:rFonts w:ascii="Arial" w:eastAsia="Google Sans Text" w:hAnsi="Arial" w:cs="Arial"/>
                <w:color w:val="1B1C1D"/>
              </w:rPr>
            </w:pPr>
            <w:r w:rsidRPr="00954EE7">
              <w:rPr>
                <w:rFonts w:ascii="Arial" w:hAnsi="Arial" w:cs="Arial"/>
              </w:rPr>
              <w:t>Pyrolysis</w:t>
            </w:r>
          </w:p>
        </w:tc>
        <w:tc>
          <w:tcPr>
            <w:tcW w:w="1667" w:type="dxa"/>
            <w:tcBorders>
              <w:top w:val="nil"/>
              <w:bottom w:val="nil"/>
            </w:tcBorders>
          </w:tcPr>
          <w:p w14:paraId="203AE3A9" w14:textId="15BF6181" w:rsidR="008231CE" w:rsidRPr="005525B6" w:rsidRDefault="008231CE" w:rsidP="008231CE">
            <w:pPr>
              <w:rPr>
                <w:rFonts w:ascii="Arial" w:eastAsia="Google Sans Text" w:hAnsi="Arial" w:cs="Arial"/>
                <w:color w:val="1B1C1D"/>
              </w:rPr>
            </w:pPr>
            <w:r w:rsidRPr="00954EE7">
              <w:rPr>
                <w:rFonts w:ascii="Arial" w:hAnsi="Arial" w:cs="Arial"/>
              </w:rPr>
              <w:t>Carbon Nanoparticles</w:t>
            </w:r>
          </w:p>
        </w:tc>
        <w:tc>
          <w:tcPr>
            <w:tcW w:w="1763" w:type="dxa"/>
            <w:tcBorders>
              <w:top w:val="nil"/>
              <w:bottom w:val="nil"/>
            </w:tcBorders>
          </w:tcPr>
          <w:p w14:paraId="0E3C9CD2" w14:textId="6A0C4569" w:rsidR="008231CE" w:rsidRPr="005525B6" w:rsidRDefault="008231CE" w:rsidP="008231CE">
            <w:pPr>
              <w:rPr>
                <w:rFonts w:ascii="Arial" w:eastAsia="Google Sans Text" w:hAnsi="Arial" w:cs="Arial"/>
                <w:color w:val="1B1C1D"/>
              </w:rPr>
            </w:pPr>
            <w:r w:rsidRPr="00954EE7">
              <w:rPr>
                <w:rFonts w:ascii="Arial" w:hAnsi="Arial" w:cs="Arial"/>
              </w:rPr>
              <w:t>Antimicrobial agents</w:t>
            </w:r>
          </w:p>
        </w:tc>
        <w:tc>
          <w:tcPr>
            <w:tcW w:w="1617" w:type="dxa"/>
            <w:tcBorders>
              <w:top w:val="nil"/>
              <w:bottom w:val="nil"/>
            </w:tcBorders>
          </w:tcPr>
          <w:p w14:paraId="4658D046" w14:textId="73CFCC25" w:rsidR="008231CE" w:rsidRPr="005525B6" w:rsidRDefault="008231CE" w:rsidP="008231CE">
            <w:pPr>
              <w:rPr>
                <w:rFonts w:ascii="Arial" w:eastAsia="Google Sans Text" w:hAnsi="Arial" w:cs="Arial"/>
                <w:color w:val="1B1C1D"/>
              </w:rPr>
            </w:pPr>
            <w:r w:rsidRPr="00954EE7">
              <w:rPr>
                <w:rFonts w:ascii="Arial" w:hAnsi="Arial" w:cs="Arial"/>
              </w:rPr>
              <w:t>(</w:t>
            </w:r>
            <w:proofErr w:type="spellStart"/>
            <w:r w:rsidRPr="00954EE7">
              <w:rPr>
                <w:rFonts w:ascii="Arial" w:hAnsi="Arial" w:cs="Arial"/>
              </w:rPr>
              <w:t>Yallappa</w:t>
            </w:r>
            <w:proofErr w:type="spellEnd"/>
            <w:r w:rsidRPr="00954EE7">
              <w:rPr>
                <w:rFonts w:ascii="Arial" w:hAnsi="Arial" w:cs="Arial"/>
              </w:rPr>
              <w:t xml:space="preserve"> et al., 2017)</w:t>
            </w:r>
          </w:p>
        </w:tc>
      </w:tr>
      <w:tr w:rsidR="008231CE" w:rsidRPr="00DC3180" w14:paraId="3ECC4312" w14:textId="77777777" w:rsidTr="008231CE">
        <w:trPr>
          <w:jc w:val="center"/>
        </w:trPr>
        <w:tc>
          <w:tcPr>
            <w:tcW w:w="1395" w:type="dxa"/>
            <w:tcBorders>
              <w:top w:val="nil"/>
              <w:bottom w:val="nil"/>
            </w:tcBorders>
          </w:tcPr>
          <w:p w14:paraId="0BD97002" w14:textId="22AE2844" w:rsidR="008231CE" w:rsidRPr="005525B6" w:rsidRDefault="008231CE" w:rsidP="008231CE">
            <w:pPr>
              <w:rPr>
                <w:rFonts w:ascii="Arial" w:eastAsia="Google Sans Text" w:hAnsi="Arial" w:cs="Arial"/>
                <w:color w:val="1B1C1D"/>
              </w:rPr>
            </w:pPr>
            <w:r w:rsidRPr="00954EE7">
              <w:rPr>
                <w:rFonts w:ascii="Arial" w:hAnsi="Arial" w:cs="Arial"/>
              </w:rPr>
              <w:t>Avocado Peel Extract</w:t>
            </w:r>
          </w:p>
        </w:tc>
        <w:tc>
          <w:tcPr>
            <w:tcW w:w="1662" w:type="dxa"/>
            <w:tcBorders>
              <w:top w:val="nil"/>
              <w:bottom w:val="nil"/>
            </w:tcBorders>
          </w:tcPr>
          <w:p w14:paraId="649C4CB2" w14:textId="05D7A314" w:rsidR="008231CE" w:rsidRPr="005525B6" w:rsidRDefault="008231CE" w:rsidP="008231CE">
            <w:pPr>
              <w:rPr>
                <w:rFonts w:ascii="Arial" w:eastAsia="Google Sans Text" w:hAnsi="Arial" w:cs="Arial"/>
                <w:color w:val="1B1C1D"/>
              </w:rPr>
            </w:pPr>
            <w:r w:rsidRPr="00954EE7">
              <w:rPr>
                <w:rFonts w:ascii="Arial" w:hAnsi="Arial" w:cs="Arial"/>
              </w:rPr>
              <w:t>Green Synthesis (Reduction)</w:t>
            </w:r>
          </w:p>
        </w:tc>
        <w:tc>
          <w:tcPr>
            <w:tcW w:w="1667" w:type="dxa"/>
            <w:tcBorders>
              <w:top w:val="nil"/>
              <w:bottom w:val="nil"/>
            </w:tcBorders>
          </w:tcPr>
          <w:p w14:paraId="5B373E26" w14:textId="3C97DEA7" w:rsidR="008231CE" w:rsidRPr="005525B6" w:rsidRDefault="008231CE" w:rsidP="008231CE">
            <w:pPr>
              <w:rPr>
                <w:rFonts w:ascii="Arial" w:eastAsia="Google Sans Text" w:hAnsi="Arial" w:cs="Arial"/>
                <w:color w:val="1B1C1D"/>
              </w:rPr>
            </w:pPr>
            <w:r w:rsidRPr="00954EE7">
              <w:rPr>
                <w:rFonts w:ascii="Arial" w:hAnsi="Arial" w:cs="Arial"/>
              </w:rPr>
              <w:t>Silver (Ag) &amp; Gold (Au)</w:t>
            </w:r>
          </w:p>
        </w:tc>
        <w:tc>
          <w:tcPr>
            <w:tcW w:w="1763" w:type="dxa"/>
            <w:tcBorders>
              <w:top w:val="nil"/>
              <w:bottom w:val="nil"/>
            </w:tcBorders>
          </w:tcPr>
          <w:p w14:paraId="715830D0" w14:textId="294582D6" w:rsidR="008231CE" w:rsidRPr="005525B6" w:rsidRDefault="008231CE" w:rsidP="008231CE">
            <w:pPr>
              <w:rPr>
                <w:rFonts w:ascii="Arial" w:eastAsia="Google Sans Text" w:hAnsi="Arial" w:cs="Arial"/>
                <w:color w:val="1B1C1D"/>
              </w:rPr>
            </w:pPr>
            <w:r w:rsidRPr="00954EE7">
              <w:rPr>
                <w:rFonts w:ascii="Arial" w:hAnsi="Arial" w:cs="Arial"/>
              </w:rPr>
              <w:t>Antimicrobial coatings, sensors</w:t>
            </w:r>
          </w:p>
        </w:tc>
        <w:tc>
          <w:tcPr>
            <w:tcW w:w="1617" w:type="dxa"/>
            <w:tcBorders>
              <w:top w:val="nil"/>
              <w:bottom w:val="nil"/>
            </w:tcBorders>
          </w:tcPr>
          <w:p w14:paraId="5F5582D0" w14:textId="6AB9213C" w:rsidR="008231CE" w:rsidRPr="005525B6" w:rsidRDefault="008231CE" w:rsidP="008231CE">
            <w:pPr>
              <w:rPr>
                <w:rFonts w:ascii="Arial" w:eastAsia="Google Sans Text" w:hAnsi="Arial" w:cs="Arial"/>
                <w:color w:val="1B1C1D"/>
              </w:rPr>
            </w:pPr>
            <w:r w:rsidRPr="00954EE7">
              <w:rPr>
                <w:rFonts w:ascii="Arial" w:hAnsi="Arial" w:cs="Arial"/>
              </w:rPr>
              <w:t>(Adebayo et al., 2019)</w:t>
            </w:r>
          </w:p>
        </w:tc>
      </w:tr>
      <w:tr w:rsidR="008231CE" w:rsidRPr="00DC3180" w14:paraId="28EFABE1" w14:textId="77777777" w:rsidTr="008231CE">
        <w:trPr>
          <w:jc w:val="center"/>
        </w:trPr>
        <w:tc>
          <w:tcPr>
            <w:tcW w:w="1395" w:type="dxa"/>
            <w:tcBorders>
              <w:top w:val="nil"/>
              <w:bottom w:val="nil"/>
            </w:tcBorders>
          </w:tcPr>
          <w:p w14:paraId="4439156A" w14:textId="0E4B82A9" w:rsidR="008231CE" w:rsidRPr="005525B6" w:rsidRDefault="008231CE" w:rsidP="008231CE">
            <w:pPr>
              <w:rPr>
                <w:rFonts w:ascii="Arial" w:eastAsia="Google Sans Text" w:hAnsi="Arial" w:cs="Arial"/>
                <w:color w:val="1B1C1D"/>
              </w:rPr>
            </w:pPr>
            <w:r w:rsidRPr="00954EE7">
              <w:rPr>
                <w:rFonts w:ascii="Arial" w:hAnsi="Arial" w:cs="Arial"/>
              </w:rPr>
              <w:t>Potato Peel</w:t>
            </w:r>
          </w:p>
        </w:tc>
        <w:tc>
          <w:tcPr>
            <w:tcW w:w="1662" w:type="dxa"/>
            <w:tcBorders>
              <w:top w:val="nil"/>
              <w:bottom w:val="nil"/>
            </w:tcBorders>
          </w:tcPr>
          <w:p w14:paraId="7DB58FE9" w14:textId="5B3CDE4D" w:rsidR="008231CE" w:rsidRPr="005525B6" w:rsidRDefault="008231CE" w:rsidP="008231CE">
            <w:pPr>
              <w:rPr>
                <w:rFonts w:ascii="Arial" w:eastAsia="Google Sans Text" w:hAnsi="Arial" w:cs="Arial"/>
                <w:color w:val="1B1C1D"/>
              </w:rPr>
            </w:pPr>
            <w:r w:rsidRPr="00954EE7">
              <w:rPr>
                <w:rFonts w:ascii="Arial" w:hAnsi="Arial" w:cs="Arial"/>
              </w:rPr>
              <w:t>Alkaline treatment, Hydrolysis</w:t>
            </w:r>
          </w:p>
        </w:tc>
        <w:tc>
          <w:tcPr>
            <w:tcW w:w="1667" w:type="dxa"/>
            <w:tcBorders>
              <w:top w:val="nil"/>
              <w:bottom w:val="nil"/>
            </w:tcBorders>
          </w:tcPr>
          <w:p w14:paraId="395EE6D7" w14:textId="49291234" w:rsidR="008231CE" w:rsidRPr="005525B6" w:rsidRDefault="008231CE" w:rsidP="008231CE">
            <w:pPr>
              <w:rPr>
                <w:rFonts w:ascii="Arial" w:eastAsia="Google Sans Text" w:hAnsi="Arial" w:cs="Arial"/>
                <w:color w:val="1B1C1D"/>
              </w:rPr>
            </w:pPr>
            <w:r w:rsidRPr="00954EE7">
              <w:rPr>
                <w:rFonts w:ascii="Arial" w:hAnsi="Arial" w:cs="Arial"/>
              </w:rPr>
              <w:t>Cellulose Nanoparticles</w:t>
            </w:r>
          </w:p>
        </w:tc>
        <w:tc>
          <w:tcPr>
            <w:tcW w:w="1763" w:type="dxa"/>
            <w:tcBorders>
              <w:top w:val="nil"/>
              <w:bottom w:val="nil"/>
            </w:tcBorders>
          </w:tcPr>
          <w:p w14:paraId="08CA9010" w14:textId="47AC33C0" w:rsidR="008231CE" w:rsidRPr="005525B6" w:rsidRDefault="008231CE" w:rsidP="008231CE">
            <w:pPr>
              <w:rPr>
                <w:rFonts w:ascii="Arial" w:eastAsia="Google Sans Text" w:hAnsi="Arial" w:cs="Arial"/>
                <w:color w:val="1B1C1D"/>
              </w:rPr>
            </w:pPr>
            <w:r w:rsidRPr="00954EE7">
              <w:rPr>
                <w:rFonts w:ascii="Arial" w:hAnsi="Arial" w:cs="Arial"/>
              </w:rPr>
              <w:t>Active packaging films</w:t>
            </w:r>
          </w:p>
        </w:tc>
        <w:tc>
          <w:tcPr>
            <w:tcW w:w="1617" w:type="dxa"/>
            <w:tcBorders>
              <w:top w:val="nil"/>
              <w:bottom w:val="nil"/>
            </w:tcBorders>
          </w:tcPr>
          <w:p w14:paraId="5E057400" w14:textId="344A24F1" w:rsidR="008231CE" w:rsidRPr="005525B6" w:rsidRDefault="008231CE" w:rsidP="008231CE">
            <w:pPr>
              <w:rPr>
                <w:rFonts w:ascii="Arial" w:eastAsia="Google Sans Text" w:hAnsi="Arial" w:cs="Arial"/>
                <w:color w:val="1B1C1D"/>
              </w:rPr>
            </w:pPr>
            <w:r w:rsidRPr="00954EE7">
              <w:rPr>
                <w:rFonts w:ascii="Arial" w:hAnsi="Arial" w:cs="Arial"/>
              </w:rPr>
              <w:t>(Ramesh &amp; Radhakrishnan, 2019)</w:t>
            </w:r>
          </w:p>
        </w:tc>
      </w:tr>
      <w:tr w:rsidR="008231CE" w:rsidRPr="00DC3180" w14:paraId="4F25F2C0" w14:textId="77777777" w:rsidTr="008231CE">
        <w:trPr>
          <w:jc w:val="center"/>
        </w:trPr>
        <w:tc>
          <w:tcPr>
            <w:tcW w:w="1395" w:type="dxa"/>
            <w:tcBorders>
              <w:top w:val="nil"/>
              <w:bottom w:val="nil"/>
            </w:tcBorders>
          </w:tcPr>
          <w:p w14:paraId="2C65125C" w14:textId="7DDE9161" w:rsidR="008231CE" w:rsidRPr="00954EE7" w:rsidRDefault="008231CE" w:rsidP="008231CE">
            <w:pPr>
              <w:rPr>
                <w:rFonts w:ascii="Arial" w:hAnsi="Arial" w:cs="Arial"/>
              </w:rPr>
            </w:pPr>
            <w:r w:rsidRPr="00954EE7">
              <w:rPr>
                <w:rFonts w:ascii="Arial" w:hAnsi="Arial" w:cs="Arial"/>
              </w:rPr>
              <w:t>Corn Cob</w:t>
            </w:r>
          </w:p>
        </w:tc>
        <w:tc>
          <w:tcPr>
            <w:tcW w:w="1662" w:type="dxa"/>
            <w:tcBorders>
              <w:top w:val="nil"/>
              <w:bottom w:val="nil"/>
            </w:tcBorders>
          </w:tcPr>
          <w:p w14:paraId="405B0057" w14:textId="1B780360" w:rsidR="008231CE" w:rsidRPr="005525B6" w:rsidRDefault="008231CE" w:rsidP="008231CE">
            <w:pPr>
              <w:rPr>
                <w:rFonts w:ascii="Arial" w:eastAsia="Google Sans Text" w:hAnsi="Arial" w:cs="Arial"/>
                <w:color w:val="1B1C1D"/>
              </w:rPr>
            </w:pPr>
            <w:r w:rsidRPr="00954EE7">
              <w:rPr>
                <w:rFonts w:ascii="Arial" w:hAnsi="Arial" w:cs="Arial"/>
              </w:rPr>
              <w:t>Hydrothermal Carbonization</w:t>
            </w:r>
          </w:p>
        </w:tc>
        <w:tc>
          <w:tcPr>
            <w:tcW w:w="1667" w:type="dxa"/>
            <w:tcBorders>
              <w:top w:val="nil"/>
              <w:bottom w:val="nil"/>
            </w:tcBorders>
          </w:tcPr>
          <w:p w14:paraId="7E28E70A" w14:textId="66263AD6" w:rsidR="008231CE" w:rsidRPr="005525B6" w:rsidRDefault="008231CE" w:rsidP="008231CE">
            <w:pPr>
              <w:rPr>
                <w:rFonts w:ascii="Arial" w:eastAsia="Google Sans Text" w:hAnsi="Arial" w:cs="Arial"/>
                <w:color w:val="1B1C1D"/>
              </w:rPr>
            </w:pPr>
            <w:r w:rsidRPr="00954EE7">
              <w:rPr>
                <w:rFonts w:ascii="Arial" w:hAnsi="Arial" w:cs="Arial"/>
              </w:rPr>
              <w:t>Carbon Dots (CDs)</w:t>
            </w:r>
          </w:p>
        </w:tc>
        <w:tc>
          <w:tcPr>
            <w:tcW w:w="1763" w:type="dxa"/>
            <w:tcBorders>
              <w:top w:val="nil"/>
              <w:bottom w:val="nil"/>
            </w:tcBorders>
          </w:tcPr>
          <w:p w14:paraId="023457E2" w14:textId="63AC1016" w:rsidR="008231CE" w:rsidRPr="005525B6" w:rsidRDefault="008231CE" w:rsidP="008231CE">
            <w:pPr>
              <w:rPr>
                <w:rFonts w:ascii="Arial" w:eastAsia="Google Sans Text" w:hAnsi="Arial" w:cs="Arial"/>
                <w:color w:val="1B1C1D"/>
              </w:rPr>
            </w:pPr>
            <w:r w:rsidRPr="00954EE7">
              <w:rPr>
                <w:rFonts w:ascii="Arial" w:hAnsi="Arial" w:cs="Arial"/>
              </w:rPr>
              <w:t>Bioimaging, heavy metal sensing</w:t>
            </w:r>
          </w:p>
        </w:tc>
        <w:tc>
          <w:tcPr>
            <w:tcW w:w="1617" w:type="dxa"/>
            <w:tcBorders>
              <w:top w:val="nil"/>
              <w:bottom w:val="nil"/>
            </w:tcBorders>
          </w:tcPr>
          <w:p w14:paraId="2D1C2649" w14:textId="23EC089D" w:rsidR="008231CE" w:rsidRPr="005525B6" w:rsidRDefault="008231CE" w:rsidP="008231CE">
            <w:pPr>
              <w:rPr>
                <w:rFonts w:ascii="Arial" w:eastAsia="Google Sans Text" w:hAnsi="Arial" w:cs="Arial"/>
                <w:color w:val="1B1C1D"/>
              </w:rPr>
            </w:pPr>
            <w:r w:rsidRPr="00954EE7">
              <w:rPr>
                <w:rFonts w:ascii="Arial" w:hAnsi="Arial" w:cs="Arial"/>
              </w:rPr>
              <w:fldChar w:fldCharType="begin" w:fldLock="1"/>
            </w:r>
            <w:r w:rsidR="007A607C">
              <w:rPr>
                <w:rFonts w:ascii="Arial" w:hAnsi="Arial" w:cs="Arial"/>
              </w:rPr>
              <w:instrText>ADDIN CSL_CITATION {"citationItems":[{"id":"ITEM-1","itemData":{"DOI":"10.1016/J.MICROC.2021.106250","ISSN":"0026-265X","abstract":"Carbon quantum dots (CQDs) have diverse outstanding properties and potential application, but there are not many reports on the preparation of CQDs from agricultural waste without any addition of chemical reagent. Herein, a facile, economical and environmental route was developed for green synthesis of CQDs from corn stalk shell by hydrothermal approach in near-critical water. It's worth noting that this method converted the biomass, which is regarded as agricultural wastes, into the carbon nano-materials with brilliant potential. The prepared CQDs present the great fluorescence property, the remarkable stability and biocompatibility, demonstrating this method is appreciate to produce the CQDs. The as-prepared CQDs can be employed in detecting and bioimaging domain, displaying distinctive potential for application. The superiorities of low-cost, renewability and sustainability drive the synthesis and applications of CQDs derived from biomass.","author":[{"dropping-particle":"","family":"Li","given":"Zhiyong","non-dropping-particle":"","parse-names":false,"suffix":""},{"dropping-particle":"","family":"Wang","given":"Qinghui","non-dropping-particle":"","parse-names":false,"suffix":""},{"dropping-particle":"","family":"Zhou","given":"Zhengxin","non-dropping-particle":"","parse-names":false,"suffix":""},{"dropping-particle":"","family":"Zhao","given":"Shengnan","non-dropping-particle":"","parse-names":false,"suffix":""},{"dropping-particle":"","family":"Zhong","given":"Shuangling","non-dropping-particle":"","parse-names":false,"suffix":""},{"dropping-particle":"","family":"Xu","given":"Lifeng","non-dropping-particle":"","parse-names":false,"suffix":""},{"dropping-particle":"","family":"Gao","given":"Yan","non-dropping-particle":"","parse-names":false,"suffix":""},{"dropping-particle":"","family":"Cui","given":"Xuejun","non-dropping-particle":"","parse-names":false,"suffix":""}],"container-title":"Microchemical Journal","id":"ITEM-1","issued":{"date-parts":[["2021","7","1"]]},"page":"106250","publisher":"Elsevier","title":"Green synthesis of carbon quantum dots from corn stalk shell by hydrothermal approach in near-critical water and applications in detecting and bioimaging","type":"article-journal","volume":"166"},"uris":["http://www.mendeley.com/documents/?uuid=95ffc14f-dca0-3aa3-a8cf-6215e6ff766a"]}],"mendeley":{"formattedCitation":"[8]","plainTextFormattedCitation":"[8]","previouslyFormattedCitation":"(Li et al., 2021)"},"properties":{"noteIndex":0},"schema":"https://github.com/citation-style-language/schema/raw/master/csl-citation.json"}</w:instrText>
            </w:r>
            <w:r w:rsidRPr="00954EE7">
              <w:rPr>
                <w:rFonts w:ascii="Arial" w:hAnsi="Arial" w:cs="Arial"/>
              </w:rPr>
              <w:fldChar w:fldCharType="separate"/>
            </w:r>
            <w:r w:rsidR="007A607C" w:rsidRPr="007A607C">
              <w:rPr>
                <w:rFonts w:ascii="Arial" w:hAnsi="Arial" w:cs="Arial"/>
                <w:noProof/>
              </w:rPr>
              <w:t>[8]</w:t>
            </w:r>
            <w:r w:rsidRPr="00954EE7">
              <w:rPr>
                <w:rFonts w:ascii="Arial" w:hAnsi="Arial" w:cs="Arial"/>
              </w:rPr>
              <w:fldChar w:fldCharType="end"/>
            </w:r>
          </w:p>
        </w:tc>
      </w:tr>
      <w:tr w:rsidR="008231CE" w:rsidRPr="00DC3180" w14:paraId="6335BBDC" w14:textId="77777777" w:rsidTr="008231CE">
        <w:trPr>
          <w:jc w:val="center"/>
        </w:trPr>
        <w:tc>
          <w:tcPr>
            <w:tcW w:w="1395" w:type="dxa"/>
            <w:tcBorders>
              <w:top w:val="nil"/>
              <w:bottom w:val="nil"/>
            </w:tcBorders>
          </w:tcPr>
          <w:p w14:paraId="51983F80" w14:textId="1F74DC1D" w:rsidR="008231CE" w:rsidRPr="00954EE7" w:rsidRDefault="008231CE" w:rsidP="008231CE">
            <w:pPr>
              <w:rPr>
                <w:rFonts w:ascii="Arial" w:hAnsi="Arial" w:cs="Arial"/>
              </w:rPr>
            </w:pPr>
            <w:r w:rsidRPr="00954EE7">
              <w:rPr>
                <w:rFonts w:ascii="Arial" w:hAnsi="Arial" w:cs="Arial"/>
              </w:rPr>
              <w:t>Mulberry Leaves</w:t>
            </w:r>
          </w:p>
        </w:tc>
        <w:tc>
          <w:tcPr>
            <w:tcW w:w="1662" w:type="dxa"/>
            <w:tcBorders>
              <w:top w:val="nil"/>
              <w:bottom w:val="nil"/>
            </w:tcBorders>
          </w:tcPr>
          <w:p w14:paraId="052E2945" w14:textId="1330D2DC" w:rsidR="008231CE" w:rsidRPr="005525B6" w:rsidRDefault="008231CE" w:rsidP="008231CE">
            <w:pPr>
              <w:rPr>
                <w:rFonts w:ascii="Arial" w:eastAsia="Google Sans Text" w:hAnsi="Arial" w:cs="Arial"/>
                <w:color w:val="1B1C1D"/>
              </w:rPr>
            </w:pPr>
            <w:r w:rsidRPr="00954EE7">
              <w:rPr>
                <w:rFonts w:ascii="Arial" w:hAnsi="Arial" w:cs="Arial"/>
              </w:rPr>
              <w:t>Green Synthesis (Reduction)</w:t>
            </w:r>
          </w:p>
        </w:tc>
        <w:tc>
          <w:tcPr>
            <w:tcW w:w="1667" w:type="dxa"/>
            <w:tcBorders>
              <w:top w:val="nil"/>
              <w:bottom w:val="nil"/>
            </w:tcBorders>
          </w:tcPr>
          <w:p w14:paraId="56F1E1C1" w14:textId="5315F998" w:rsidR="008231CE" w:rsidRPr="005525B6" w:rsidRDefault="008231CE" w:rsidP="008231CE">
            <w:pPr>
              <w:rPr>
                <w:rFonts w:ascii="Arial" w:eastAsia="Google Sans Text" w:hAnsi="Arial" w:cs="Arial"/>
                <w:color w:val="1B1C1D"/>
              </w:rPr>
            </w:pPr>
            <w:r w:rsidRPr="00954EE7">
              <w:rPr>
                <w:rFonts w:ascii="Arial" w:hAnsi="Arial" w:cs="Arial"/>
              </w:rPr>
              <w:t>Titanium Dioxide (TiO</w:t>
            </w:r>
            <w:r w:rsidRPr="00954EE7">
              <w:rPr>
                <w:rFonts w:ascii="Arial" w:hAnsi="Arial" w:cs="Arial"/>
                <w:vertAlign w:val="subscript"/>
              </w:rPr>
              <w:t>2</w:t>
            </w:r>
            <w:r w:rsidRPr="00954EE7">
              <w:rPr>
                <w:rFonts w:ascii="Arial" w:hAnsi="Arial" w:cs="Arial"/>
              </w:rPr>
              <w:t>)</w:t>
            </w:r>
          </w:p>
        </w:tc>
        <w:tc>
          <w:tcPr>
            <w:tcW w:w="1763" w:type="dxa"/>
            <w:tcBorders>
              <w:top w:val="nil"/>
              <w:bottom w:val="nil"/>
            </w:tcBorders>
          </w:tcPr>
          <w:p w14:paraId="186E90F7" w14:textId="0D15147D" w:rsidR="008231CE" w:rsidRPr="005525B6" w:rsidRDefault="008231CE" w:rsidP="008231CE">
            <w:pPr>
              <w:rPr>
                <w:rFonts w:ascii="Arial" w:eastAsia="Google Sans Text" w:hAnsi="Arial" w:cs="Arial"/>
                <w:color w:val="1B1C1D"/>
              </w:rPr>
            </w:pPr>
            <w:r w:rsidRPr="00954EE7">
              <w:rPr>
                <w:rFonts w:ascii="Arial" w:hAnsi="Arial" w:cs="Arial"/>
              </w:rPr>
              <w:t xml:space="preserve">Functionalization of fabrics, photocatalysis </w:t>
            </w:r>
          </w:p>
        </w:tc>
        <w:tc>
          <w:tcPr>
            <w:tcW w:w="1617" w:type="dxa"/>
            <w:tcBorders>
              <w:top w:val="nil"/>
              <w:bottom w:val="nil"/>
            </w:tcBorders>
          </w:tcPr>
          <w:p w14:paraId="64BC2420" w14:textId="7CBFB1D5" w:rsidR="008231CE" w:rsidRPr="005525B6" w:rsidRDefault="008231CE" w:rsidP="008231CE">
            <w:pPr>
              <w:rPr>
                <w:rFonts w:ascii="Arial" w:eastAsia="Google Sans Text" w:hAnsi="Arial" w:cs="Arial"/>
                <w:color w:val="1B1C1D"/>
              </w:rPr>
            </w:pPr>
            <w:r w:rsidRPr="00954EE7">
              <w:rPr>
                <w:rFonts w:ascii="Arial" w:hAnsi="Arial" w:cs="Arial"/>
              </w:rPr>
              <w:t>(Akram et al., 2024)</w:t>
            </w:r>
          </w:p>
        </w:tc>
      </w:tr>
      <w:tr w:rsidR="008231CE" w:rsidRPr="00DC3180" w14:paraId="6A1A0885" w14:textId="77777777" w:rsidTr="008231CE">
        <w:trPr>
          <w:jc w:val="center"/>
        </w:trPr>
        <w:tc>
          <w:tcPr>
            <w:tcW w:w="1395" w:type="dxa"/>
            <w:tcBorders>
              <w:top w:val="nil"/>
              <w:bottom w:val="single" w:sz="4" w:space="0" w:color="auto"/>
            </w:tcBorders>
          </w:tcPr>
          <w:p w14:paraId="17DC9748" w14:textId="03C5CAAF" w:rsidR="008231CE" w:rsidRPr="00954EE7" w:rsidRDefault="008231CE" w:rsidP="008231CE">
            <w:pPr>
              <w:rPr>
                <w:rFonts w:ascii="Arial" w:hAnsi="Arial" w:cs="Arial"/>
              </w:rPr>
            </w:pPr>
            <w:r w:rsidRPr="00954EE7">
              <w:rPr>
                <w:rFonts w:ascii="Arial" w:hAnsi="Arial" w:cs="Arial"/>
              </w:rPr>
              <w:t>Palm oil boiler ash</w:t>
            </w:r>
          </w:p>
        </w:tc>
        <w:tc>
          <w:tcPr>
            <w:tcW w:w="1662" w:type="dxa"/>
            <w:tcBorders>
              <w:top w:val="nil"/>
              <w:bottom w:val="single" w:sz="4" w:space="0" w:color="auto"/>
            </w:tcBorders>
          </w:tcPr>
          <w:p w14:paraId="6E7F0048" w14:textId="611641F2" w:rsidR="008231CE" w:rsidRPr="005525B6" w:rsidRDefault="008231CE" w:rsidP="008231CE">
            <w:pPr>
              <w:rPr>
                <w:rFonts w:ascii="Arial" w:eastAsia="Google Sans Text" w:hAnsi="Arial" w:cs="Arial"/>
                <w:color w:val="1B1C1D"/>
              </w:rPr>
            </w:pPr>
            <w:r w:rsidRPr="00954EE7">
              <w:rPr>
                <w:rFonts w:ascii="Arial" w:hAnsi="Arial" w:cs="Arial"/>
              </w:rPr>
              <w:t>Calcination and Ball Mill</w:t>
            </w:r>
          </w:p>
        </w:tc>
        <w:tc>
          <w:tcPr>
            <w:tcW w:w="1667" w:type="dxa"/>
            <w:tcBorders>
              <w:top w:val="nil"/>
              <w:bottom w:val="single" w:sz="4" w:space="0" w:color="auto"/>
            </w:tcBorders>
          </w:tcPr>
          <w:p w14:paraId="6211D3F3" w14:textId="77777777" w:rsidR="00700A76" w:rsidRDefault="008231CE" w:rsidP="008231CE">
            <w:pPr>
              <w:rPr>
                <w:rFonts w:ascii="Arial" w:hAnsi="Arial" w:cs="Arial"/>
              </w:rPr>
            </w:pPr>
            <w:proofErr w:type="spellStart"/>
            <w:r w:rsidRPr="00954EE7">
              <w:rPr>
                <w:rFonts w:ascii="Arial" w:hAnsi="Arial" w:cs="Arial"/>
              </w:rPr>
              <w:t>Nanosilica</w:t>
            </w:r>
            <w:proofErr w:type="spellEnd"/>
            <w:r w:rsidRPr="00954EE7">
              <w:rPr>
                <w:rFonts w:ascii="Arial" w:hAnsi="Arial" w:cs="Arial"/>
              </w:rPr>
              <w:t xml:space="preserve"> </w:t>
            </w:r>
          </w:p>
          <w:p w14:paraId="193AB5E8" w14:textId="3932847F" w:rsidR="008231CE" w:rsidRPr="005525B6" w:rsidRDefault="008231CE" w:rsidP="008231CE">
            <w:pPr>
              <w:rPr>
                <w:rFonts w:ascii="Arial" w:eastAsia="Google Sans Text" w:hAnsi="Arial" w:cs="Arial"/>
                <w:color w:val="1B1C1D"/>
              </w:rPr>
            </w:pPr>
            <w:r w:rsidRPr="00954EE7">
              <w:rPr>
                <w:rFonts w:ascii="Arial" w:hAnsi="Arial" w:cs="Arial"/>
              </w:rPr>
              <w:t>(SiO</w:t>
            </w:r>
            <w:r w:rsidRPr="00954EE7">
              <w:rPr>
                <w:rFonts w:ascii="Arial" w:hAnsi="Arial" w:cs="Arial"/>
                <w:vertAlign w:val="subscript"/>
              </w:rPr>
              <w:t>2</w:t>
            </w:r>
            <w:r w:rsidRPr="00954EE7">
              <w:rPr>
                <w:rFonts w:ascii="Arial" w:hAnsi="Arial" w:cs="Arial"/>
              </w:rPr>
              <w:t>​)</w:t>
            </w:r>
          </w:p>
        </w:tc>
        <w:tc>
          <w:tcPr>
            <w:tcW w:w="1763" w:type="dxa"/>
            <w:tcBorders>
              <w:top w:val="nil"/>
              <w:bottom w:val="single" w:sz="4" w:space="0" w:color="auto"/>
            </w:tcBorders>
          </w:tcPr>
          <w:p w14:paraId="7C61408C" w14:textId="7099AF31" w:rsidR="008231CE" w:rsidRPr="005525B6" w:rsidRDefault="008231CE" w:rsidP="008231CE">
            <w:pPr>
              <w:rPr>
                <w:rFonts w:ascii="Arial" w:eastAsia="Google Sans Text" w:hAnsi="Arial" w:cs="Arial"/>
                <w:color w:val="1B1C1D"/>
              </w:rPr>
            </w:pPr>
            <w:r w:rsidRPr="00954EE7">
              <w:rPr>
                <w:rFonts w:ascii="Arial" w:hAnsi="Arial" w:cs="Arial"/>
              </w:rPr>
              <w:t xml:space="preserve">Functionalization of fabrics, photocatalysis </w:t>
            </w:r>
          </w:p>
        </w:tc>
        <w:tc>
          <w:tcPr>
            <w:tcW w:w="1617" w:type="dxa"/>
            <w:tcBorders>
              <w:top w:val="nil"/>
              <w:bottom w:val="single" w:sz="4" w:space="0" w:color="auto"/>
            </w:tcBorders>
          </w:tcPr>
          <w:p w14:paraId="39F62EB3" w14:textId="3E61357D" w:rsidR="008231CE" w:rsidRPr="005525B6" w:rsidRDefault="008231CE" w:rsidP="008231CE">
            <w:pPr>
              <w:rPr>
                <w:rFonts w:ascii="Arial" w:eastAsia="Google Sans Text" w:hAnsi="Arial" w:cs="Arial"/>
                <w:color w:val="1B1C1D"/>
              </w:rPr>
            </w:pPr>
            <w:r w:rsidRPr="00954EE7">
              <w:rPr>
                <w:rFonts w:ascii="Arial" w:hAnsi="Arial" w:cs="Arial"/>
              </w:rPr>
              <w:fldChar w:fldCharType="begin" w:fldLock="1"/>
            </w:r>
            <w:r w:rsidR="007A607C">
              <w:rPr>
                <w:rFonts w:ascii="Arial" w:hAnsi="Arial" w:cs="Arial"/>
              </w:rPr>
              <w:instrText>ADDIN CSL_CITATION {"citationItems":[{"id":"ITEM-1","itemData":{"DOI":"10.1016/J.CSCEE.2024.100946","ISSN":"2666-0164","abstract":"Superhydrophilic and self-cleaning coatings have attracted significant interest across various industries. While multiple approaches exist for creating such coatings, biomass is an environmentally friendly and cost-effective option such as palm oil boiler ash (OPBA). This study investigates the development of superhydrophilic cotton fabric coating and self-cleaning by combining SiO2-contained OPBA (SiO2-OPBA) with TiO2. SiO2-OPBA was synthesized from OPBA by calcining OPBA at 500 °C for 5 h then milled in a Ball Mill. Furthermore, OPBA was coprecipitated to produce dominant SiO2. Meanwhile, TiO2 was prepared using TiCl4 by sol-gel method. SiO2-OPBA and TiO2 are combined with the addition of maleic acid as a compatibilizer and sodium hypophosphite as a catalyst. Coating on the fabric using the dip-pad-dry-cure method. Characterization of coated fabrics by SEM, FTIR, contact angle testing, and self-cleaning activity. SEM characterization shows that SiO2/TiO2 agglomerates can fill the voids, preventing foreign particles from penetrating the fabric structure and limiting their deposition on the outer surface. No significant changes were observed from FTIR of coated fabrics compared to pure cotton fabrics, probably due to overlapping peaks of coating materials and cellulose bandwidth. Carbonyl esters were the major component in all samples. A significant reduction in the contact angle was observed after coating compared with the initial cotton fabric (63°). The Ti1Si1 and Ti1Si2 coated fabrics reached a contact angle of 0°. The presence of SiO2 in OPBA enhances the surface area of TiO2 particles, thereby improving the adsorption of stains and the overall self-cleaning mechanism.","author":[{"dropping-particle":"","family":"Frida","given":"Erna","non-dropping-particle":"","parse-names":false,"suffix":""},{"dropping-particle":"","family":"Ratnawulan","given":"","non-dropping-particle":"","parse-names":false,"suffix":""},{"dropping-particle":"","family":"Bukit","given":"Nurdin","non-dropping-particle":"","parse-names":false,"suffix":""},{"dropping-particle":"","family":"Bukit","given":"Bunga Fisikanta","non-dropping-particle":"","parse-names":false,"suffix":""},{"dropping-particle":"","family":"Taufiq","given":"Ahmad","non-dropping-particle":"","parse-names":false,"suffix":""},{"dropping-particle":"","family":"Pratama","given":"Agus Wedi","non-dropping-particle":"","parse-names":false,"suffix":""},{"dropping-particle":"","family":"Rahmawati","given":"Istiqomah","non-dropping-particle":"","parse-names":false,"suffix":""},{"dropping-particle":"","family":"Bukit","given":"Ferry Rahmat Astianta","non-dropping-particle":"","parse-names":false,"suffix":""}],"container-title":"Case Studies in Chemical and Environmental Engineering","id":"ITEM-1","issued":{"date-parts":[["2024","12","1"]]},"page":"100946","publisher":"Elsevier","title":"Superhydrophilic and self-cleaning properties of cotton fabric coated with oil palm boiler ash and titanium dioxide","type":"article-journal","volume":"10"},"uris":["http://www.mendeley.com/documents/?uuid=4773ff98-e201-3087-bc66-c953f503f514"]}],"mendeley":{"formattedCitation":"[9]","plainTextFormattedCitation":"[9]","previouslyFormattedCitation":"(Frida et al., 2024)"},"properties":{"noteIndex":0},"schema":"https://github.com/citation-style-language/schema/raw/master/csl-citation.json"}</w:instrText>
            </w:r>
            <w:r w:rsidRPr="00954EE7">
              <w:rPr>
                <w:rFonts w:ascii="Arial" w:hAnsi="Arial" w:cs="Arial"/>
              </w:rPr>
              <w:fldChar w:fldCharType="separate"/>
            </w:r>
            <w:r w:rsidR="007A607C" w:rsidRPr="007A607C">
              <w:rPr>
                <w:rFonts w:ascii="Arial" w:hAnsi="Arial" w:cs="Arial"/>
                <w:noProof/>
              </w:rPr>
              <w:t>[9]</w:t>
            </w:r>
            <w:r w:rsidRPr="00954EE7">
              <w:rPr>
                <w:rFonts w:ascii="Arial" w:hAnsi="Arial" w:cs="Arial"/>
              </w:rPr>
              <w:fldChar w:fldCharType="end"/>
            </w:r>
          </w:p>
        </w:tc>
      </w:tr>
    </w:tbl>
    <w:p w14:paraId="01B036CF" w14:textId="77777777" w:rsidR="00954EE7" w:rsidRPr="00E16584" w:rsidRDefault="00954EE7" w:rsidP="00E16584">
      <w:pPr>
        <w:pStyle w:val="Body"/>
        <w:spacing w:after="0"/>
        <w:rPr>
          <w:rFonts w:ascii="Arial" w:hAnsi="Arial" w:cs="Arial"/>
        </w:rPr>
      </w:pPr>
    </w:p>
    <w:p w14:paraId="4B659A01" w14:textId="77777777" w:rsidR="00790ADA" w:rsidRPr="00FB3A86" w:rsidRDefault="00790ADA" w:rsidP="00441B6F">
      <w:pPr>
        <w:pStyle w:val="Body"/>
        <w:spacing w:after="0"/>
        <w:rPr>
          <w:rFonts w:ascii="Arial" w:hAnsi="Arial" w:cs="Arial"/>
        </w:rPr>
      </w:pPr>
    </w:p>
    <w:p w14:paraId="13D1FEA5" w14:textId="082AD5D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954EE7" w:rsidRPr="00954EE7">
        <w:rPr>
          <w:rFonts w:ascii="Arial" w:hAnsi="Arial" w:cs="Arial"/>
        </w:rPr>
        <w:t>APPLICATION IN FOOD PRESERVATION AND SUSTAINABLE AGRICULTURE</w:t>
      </w:r>
    </w:p>
    <w:p w14:paraId="7A22B117" w14:textId="77777777" w:rsidR="00790ADA" w:rsidRPr="00FB3A86" w:rsidRDefault="00790ADA" w:rsidP="00441B6F">
      <w:pPr>
        <w:pStyle w:val="Head1"/>
        <w:spacing w:after="0"/>
        <w:jc w:val="both"/>
        <w:rPr>
          <w:rFonts w:ascii="Arial" w:hAnsi="Arial" w:cs="Arial"/>
        </w:rPr>
      </w:pPr>
    </w:p>
    <w:p w14:paraId="0BE23A53" w14:textId="5E4C8602" w:rsidR="00954EE7" w:rsidRPr="00954EE7" w:rsidRDefault="00954EE7" w:rsidP="00441B6F">
      <w:pPr>
        <w:pStyle w:val="Body"/>
        <w:spacing w:after="0"/>
        <w:rPr>
          <w:rFonts w:ascii="Arial" w:hAnsi="Arial" w:cs="Arial"/>
        </w:rPr>
      </w:pPr>
      <w:r w:rsidRPr="00954EE7">
        <w:rPr>
          <w:rFonts w:ascii="Arial" w:eastAsia="Google Sans Text" w:hAnsi="Arial" w:cs="Arial"/>
          <w:color w:val="1B1C1D"/>
        </w:rPr>
        <w:t xml:space="preserve">The unique properties of nanomaterials derived from agricultural waste make them highly suitable for a range of applications aimed at improving agricultural sustainability. While there is growing interest in their use as </w:t>
      </w:r>
      <w:proofErr w:type="spellStart"/>
      <w:r w:rsidRPr="00954EE7">
        <w:rPr>
          <w:rFonts w:ascii="Arial" w:eastAsia="Google Sans Text" w:hAnsi="Arial" w:cs="Arial"/>
          <w:color w:val="1B1C1D"/>
        </w:rPr>
        <w:t>nanofertilizers</w:t>
      </w:r>
      <w:proofErr w:type="spellEnd"/>
      <w:r w:rsidRPr="00954EE7">
        <w:rPr>
          <w:rFonts w:ascii="Arial" w:eastAsia="Google Sans Text" w:hAnsi="Arial" w:cs="Arial"/>
          <w:color w:val="1B1C1D"/>
        </w:rPr>
        <w:t xml:space="preserve"> and for soil remediation, their most extensively researched and developed application is in the field of food preservation through the creation of advanced nanocomposites for active packaging (Salama et al., 2020).</w:t>
      </w:r>
    </w:p>
    <w:p w14:paraId="522CE312" w14:textId="77777777" w:rsidR="00954EE7" w:rsidRDefault="00954EE7" w:rsidP="00441B6F">
      <w:pPr>
        <w:pStyle w:val="Body"/>
        <w:spacing w:after="0"/>
        <w:rPr>
          <w:rFonts w:ascii="Arial" w:hAnsi="Arial" w:cs="Arial"/>
        </w:rPr>
      </w:pPr>
    </w:p>
    <w:p w14:paraId="528C505E" w14:textId="591D2C00"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954EE7" w:rsidRPr="00954EE7">
        <w:rPr>
          <w:rFonts w:ascii="Arial" w:hAnsi="Arial" w:cs="Arial"/>
          <w:b/>
          <w:sz w:val="22"/>
        </w:rPr>
        <w:t>Active Food Packaging with Nanocomposites</w:t>
      </w:r>
    </w:p>
    <w:p w14:paraId="6BF4193C" w14:textId="77777777" w:rsidR="00505F06" w:rsidRDefault="00505F06" w:rsidP="00441B6F">
      <w:pPr>
        <w:pStyle w:val="Body"/>
        <w:spacing w:after="0"/>
        <w:rPr>
          <w:rFonts w:ascii="Arial" w:hAnsi="Arial" w:cs="Arial"/>
        </w:rPr>
      </w:pPr>
    </w:p>
    <w:p w14:paraId="377D62CD" w14:textId="1D5A6EED" w:rsidR="005525B6" w:rsidRDefault="005525B6" w:rsidP="005525B6">
      <w:pPr>
        <w:pStyle w:val="Body"/>
        <w:spacing w:after="0"/>
        <w:rPr>
          <w:rFonts w:ascii="Arial" w:eastAsia="Google Sans Text" w:hAnsi="Arial" w:cs="Arial"/>
          <w:color w:val="1B1C1D"/>
        </w:rPr>
      </w:pPr>
      <w:r w:rsidRPr="005525B6">
        <w:rPr>
          <w:rFonts w:ascii="Arial" w:eastAsia="Google Sans Text" w:hAnsi="Arial" w:cs="Arial"/>
          <w:color w:val="1B1C1D"/>
        </w:rPr>
        <w:lastRenderedPageBreak/>
        <w:t xml:space="preserve">The primary application for these nanomaterials is their incorporation as functional fillers into biopolymer matrices to create active food packaging. These nanocomposites are designed to go beyond passive containment, actively interacting with the food or its environment to extend shelf-life and improve safety (Figure 2). Nanoparticles such as nanocellulose, </w:t>
      </w:r>
      <w:proofErr w:type="spellStart"/>
      <w:r w:rsidRPr="005525B6">
        <w:rPr>
          <w:rFonts w:ascii="Arial" w:eastAsia="Google Sans Text" w:hAnsi="Arial" w:cs="Arial"/>
          <w:color w:val="1B1C1D"/>
        </w:rPr>
        <w:t>nanosilica</w:t>
      </w:r>
      <w:proofErr w:type="spellEnd"/>
      <w:r w:rsidRPr="005525B6">
        <w:rPr>
          <w:rFonts w:ascii="Arial" w:eastAsia="Google Sans Text" w:hAnsi="Arial" w:cs="Arial"/>
          <w:color w:val="1B1C1D"/>
        </w:rPr>
        <w:t xml:space="preserve">, and metallic nanoparticles are embedded into matrices like chitosan, cellulose, or polyvinyl alcohol (PVA) </w:t>
      </w:r>
      <w:r w:rsidRPr="005525B6">
        <w:rPr>
          <w:rFonts w:ascii="Arial" w:eastAsia="Google Sans Text" w:hAnsi="Arial" w:cs="Arial"/>
          <w:color w:val="1B1C1D"/>
        </w:rPr>
        <w:fldChar w:fldCharType="begin" w:fldLock="1"/>
      </w:r>
      <w:r w:rsidR="007A607C">
        <w:rPr>
          <w:rFonts w:ascii="Arial" w:eastAsia="Google Sans Text" w:hAnsi="Arial" w:cs="Arial"/>
          <w:color w:val="1B1C1D"/>
        </w:rPr>
        <w:instrText>ADDIN CSL_CITATION {"citationItems":[{"id":"ITEM-1","itemData":{"DOI":"10.1016/J.IJBIOMAC.2023.128373","ISSN":"0141-8130","PMID":"38000590","abstract":"There is at present an acute need for the construction of biopolymer-based smart packaging material that can be applied for the real-time visual monitoring of food freshness. Herein, a nano-sized substituted imidazolate material (SIM-1) with ammonia-sensitive and antibacterial ability was effectively manufactured and then anchored within corn starch/polyvinyl alcohol (CS/PVA) blend to construct biopolymeric smart active packaging material. The structure, physical and functional performances of CS/PVA-based films with different content of SIM-1 (0.5, 1.0 and 2.0 wt% on CS/PVA basis) were then explored in detail. Results revealed that the incorporated SIM-1 nanocrystals were equally anchored within the CS/PVA matrix owing to the establishment of potent hydrogen-bonding interactions, which produced an obvious improvement in the compatibility of CS/PVA blend film, as well as its mechanical strength, water/oxygen barrier and UV-screening performances. The constructed CS/PVA/SIM-1 blend films further demonstrated superior long-term color stability property, ammonia-sensitive and antibacterial functions. Furthermore, the CS/PVA/SIM-1 blend films were utilized for effectively monitoring the deterioration of shrimp via observable color alteration. The above findings suggested the potential applications of CS/PVA/SIM-1 blend films in smart active packaging.","author":[{"dropping-particle":"","family":"Huang","given":"Xiaopeng","non-dropping-particle":"","parse-names":false,"suffix":""},{"dropping-particle":"","family":"Wang","given":"Fangfang","non-dropping-particle":"","parse-names":false,"suffix":""},{"dropping-particle":"","family":"Hu","given":"Wenkai","non-dropping-particle":"","parse-names":false,"suffix":""},{"dropping-particle":"","family":"Zou","given":"Zhiming","non-dropping-particle":"","parse-names":false,"suffix":""},{"dropping-particle":"","family":"Tang","given":"Qun","non-dropping-particle":"","parse-names":false,"suffix":""},{"dropping-particle":"","family":"Li","given":"Heping","non-dropping-particle":"","parse-names":false,"suffix":""},{"dropping-particle":"","family":"Xu","given":"Lin","non-dropping-particle":"","parse-names":false,"suffix":""}],"container-title":"International Journal of Biological Macromolecules","id":"ITEM-1","issued":{"date-parts":[["2024","1","1"]]},"page":"128373","publisher":"Elsevier","title":"Smart packaging films based on corn starch/polyvinyl alcohol containing nano SIM-1 for monitoring food freshness","type":"article-journal","volume":"256"},"uris":["http://www.mendeley.com/documents/?uuid=4f63c16b-a7fb-3d6b-81e0-980259ca217b"]},{"id":"ITEM-2","itemData":{"DOI":"10.1016/J.CSCEE.2024.100776","ISSN":"2666-0164","abstract":"The growing global population challenges the food industry to ensure it remains safe for consumption. Food waste caused by imbalances between production and handling creates significant economic, environmental, and social risks. However, packaging technology innovation has emerged as a powerful tool, offering a solution by extending shelf life and maintaining food product quality. Consumers' increasing interest in eco-friendly packaging has driven research into renewable materials and low-toxicity bioactive components. Gallic acid, a promising phenolic compound, holds potential for food preservation and sustainable packaging development. Its antibacterial and antifungal properties against resistant microbes and biofilm formation, its ability to prevent lipid and protein oxidation, and its potential as a color indicator for monitoring food freshness all contribute to food preservation. Its incorporation into edible polymers offers a strategy for innovative edible packaging. Depending on the dosage and material composition, loading gallic acid within the polymer matrix can improve packaging properties, including UV barrier, mechanical strength, and water vapor and oxygen permeability. This article reviews the potential of gallic acid for developing biodegradable, active, intelligent, and edible packaging. Future directions include evaluating gallic acid's toxicity, dispersion within the matrix, pro-oxidative activity, compatibility with biodegradable polymers (especially those derived from agricultural by-products), migration into food products, and stability under different environmental conditions. The sustainability perspective (environment, economic, and social) is also discussed.","author":[{"dropping-particle":"","family":"Rahmawati","given":"Istiqomah","non-dropping-particle":"","parse-names":false,"suffix":""},{"dropping-particle":"","family":"Pratama","given":"Agus Wedi","non-dropping-particle":"","parse-names":false,"suffix":""},{"dropping-particle":"","family":"Pratama","given":"Silvia Abdi","non-dropping-particle":"","parse-names":false,"suffix":""},{"dropping-particle":"","family":"Khozin","given":"Muhamad Nur","non-dropping-particle":"","parse-names":false,"suffix":""},{"dropping-particle":"","family":"Firmanda","given":"Afrinal","non-dropping-particle":"","parse-names":false,"suffix":""},{"dropping-particle":"","family":"Irawan","given":"Fery Haidir","non-dropping-particle":"","parse-names":false,"suffix":""},{"dropping-particle":"","family":"Asranudin","given":"","non-dropping-particle":"","parse-names":false,"suffix":""},{"dropping-particle":"","family":"Ansori","given":"Arif Nur Muhammad","non-dropping-particle":"","parse-names":false,"suffix":""},{"dropping-particle":"","family":"Sucipto","given":"Teguh Hari","non-dropping-particle":"","parse-names":false,"suffix":""}],"container-title":"Case Studies in Chemical and Environmental Engineering","id":"ITEM-2","issued":{"date-parts":[["2024","12","1"]]},"page":"100776","publisher":"Elsevier","title":"Gallic acid: A promising bioactive agent for food preservation and sustainable packaging development","type":"article-journal","volume":"10"},"uris":["http://www.mendeley.com/documents/?uuid=579f9bdf-0da2-3d29-b7ae-c2d4a2cf6bba"]},{"id":"ITEM-3","itemData":{"DOI":"10.1021/ACSAPM.2C00001","ISSN":"26376105","abstract":"Hydrogels composed of biomaterials are promising drug delivery systems. In this study, we prepared an antibacterial hydrogel by incorporating the antimicrobial peptide nisin into bagasse cellulose nanofibrils, followed by mechanic shearing to obtain hydrogel microparticles as antimicrobial coatings for paper packaging. The concept of combining nisin with a hydrogel network helps to reduce the nisin depletion disadvantage in a nisin alone coating while achieving a prolonged antibacterial efficacy in application. First, antimicrobial hydrogels were constructed by electrostatic attraction between TEMPO-oxidized cellulose nanofibrils (TOCNF) and nisin. The rheological analysis confirmed that the hydrogel with a TOCNF/nisin ratio of 3:1 formed a good gel network accompanied by a high nisin loading efficiency. The obtained hydrogel exhibited controlled release of nisin in response to pH, with a slower rate at pH 7 than that of pH 5 and pH 9. Then, the obtained hydrogel has been processed to microparticles to facilitate its application as coating on paper packaging. Highly stable TOCNFs/nisin hydrogel microparticles were obtained under a water/hydrogel ratio of 4:1 and a mechanical shearing rate of 8000 rpm. The paper with hydrogel microparticles coating displayed an enhanced tensile strength by 14.67% compared to uncoated paper. As a packaging for cheese in storage at 4 °C for 7 days, the hydrogel microparticle coating paper can significantly reduce the growth of Listeria monocytogenes on the surface of cheese and show a sustained inhibition advantage over a nisin alone coating. The utilization of hydrogel microparticles as the coating slurry provides a versatile approach for paper treatment and endows the paper with a sustained release characteristic in actively preventing the bacterial proliferation on food surfaces during storage. The finding from this work is expected to broaden the application of nanocellulose and nisin into the field of food active packaging.","author":[{"dropping-particle":"","family":"Lu","given":"Peng","non-dropping-particle":"","parse-names":false,"suffix":""},{"dropping-particle":"","family":"Zhao","given":"Han","non-dropping-particle":"","parse-names":false,"suffix":""},{"dropping-particle":"","family":"Zheng","given":"Lu","non-dropping-particle":"","parse-names":false,"suffix":""},{"dropping-particle":"","family":"Duan","given":"Yujie","non-dropping-particle":"","parse-names":false,"suffix":""},{"dropping-particle":"","family":"Wu","given":"Min","non-dropping-particle":"","parse-names":false,"suffix":""},{"dropping-particle":"","family":"Yu","given":"Xinke","non-dropping-particle":"","parse-names":false,"suffix":""},{"dropping-particle":"","family":"Yang","given":"Yang","non-dropping-particle":"","parse-names":false,"suffix":""}],"container-title":"ACS Applied Polymer Materials","id":"ITEM-3","issue":"4","issued":{"date-parts":[["2022","4","8"]]},"page":"2664-2673","publisher":"American Chemical Society","title":"Nanocellulose/Nisin Hydrogel Microparticles as Sustained Antimicrobial Coatings for Paper Packaging","type":"article-journal","volume":"4"},"uris":["http://www.mendeley.com/documents/?uuid=37e1a4ee-c2c5-3675-a0a7-876d79249b7d"]}],"mendeley":{"formattedCitation":"[10–12]","plainTextFormattedCitation":"[10–12]","previouslyFormattedCitation":"(Huang et al., 2024; Lu et al., 2022; Rahmawati et al., 2024)"},"properties":{"noteIndex":0},"schema":"https://github.com/citation-style-language/schema/raw/master/csl-citation.json"}</w:instrText>
      </w:r>
      <w:r w:rsidRPr="005525B6">
        <w:rPr>
          <w:rFonts w:ascii="Arial" w:eastAsia="Google Sans Text" w:hAnsi="Arial" w:cs="Arial"/>
          <w:color w:val="1B1C1D"/>
        </w:rPr>
        <w:fldChar w:fldCharType="separate"/>
      </w:r>
      <w:r w:rsidR="007A607C" w:rsidRPr="007A607C">
        <w:rPr>
          <w:rFonts w:ascii="Arial" w:eastAsia="Google Sans Text" w:hAnsi="Arial" w:cs="Arial"/>
          <w:noProof/>
          <w:color w:val="1B1C1D"/>
        </w:rPr>
        <w:t>[10–12]</w:t>
      </w:r>
      <w:r w:rsidRPr="005525B6">
        <w:rPr>
          <w:rFonts w:ascii="Arial" w:eastAsia="Google Sans Text" w:hAnsi="Arial" w:cs="Arial"/>
          <w:color w:val="1B1C1D"/>
        </w:rPr>
        <w:fldChar w:fldCharType="end"/>
      </w:r>
      <w:r w:rsidRPr="005525B6">
        <w:rPr>
          <w:rFonts w:ascii="Arial" w:eastAsia="Google Sans Text" w:hAnsi="Arial" w:cs="Arial"/>
          <w:color w:val="1B1C1D"/>
        </w:rPr>
        <w:t>. The resulting films or edible coatings exhibit significantly enhanced properties. For instance, the high aspect ratio and crystalline nature of nanocellulose from sugarcane bagasse can create a tortuous path for gas molecules, drastically improving the oxygen and water vapor barrier properties of the film. Similarly, inorganic nanoparticles like titanium oxide (TiO</w:t>
      </w:r>
      <w:r w:rsidRPr="005525B6">
        <w:rPr>
          <w:rFonts w:ascii="Arial" w:eastAsia="Google Sans Text" w:hAnsi="Arial" w:cs="Arial"/>
          <w:color w:val="1B1C1D"/>
          <w:vertAlign w:val="subscript"/>
        </w:rPr>
        <w:t>2</w:t>
      </w:r>
      <w:r w:rsidRPr="005525B6">
        <w:rPr>
          <w:rFonts w:ascii="Arial" w:eastAsia="Google Sans Text" w:hAnsi="Arial" w:cs="Arial"/>
          <w:color w:val="1B1C1D"/>
        </w:rPr>
        <w:t>​) and zinc oxide (</w:t>
      </w:r>
      <w:proofErr w:type="spellStart"/>
      <w:r w:rsidRPr="005525B6">
        <w:rPr>
          <w:rFonts w:ascii="Arial" w:eastAsia="Google Sans Text" w:hAnsi="Arial" w:cs="Arial"/>
          <w:color w:val="1B1C1D"/>
        </w:rPr>
        <w:t>ZnO</w:t>
      </w:r>
      <w:proofErr w:type="spellEnd"/>
      <w:r w:rsidRPr="005525B6">
        <w:rPr>
          <w:rFonts w:ascii="Arial" w:eastAsia="Google Sans Text" w:hAnsi="Arial" w:cs="Arial"/>
          <w:color w:val="1B1C1D"/>
        </w:rPr>
        <w:t>) are excellent UV blockers, protecting food from light-induced degradation. Beyond barrier properties, the addition of these nanoparticles enhances the mechanical strength, flexibility, and thermal stability of the biopolymer films, making them more robust for practical packaging applications (Hu et al., 2022). The most critical function, however, is the potent antimicrobial activity conferred by many of these nanoparticles, which directly inhibits the growth of spoilage and pathogenic microorganisms.</w:t>
      </w:r>
    </w:p>
    <w:p w14:paraId="6C7ED01D" w14:textId="77777777" w:rsidR="00700A76" w:rsidRPr="005525B6" w:rsidRDefault="00700A76" w:rsidP="005525B6">
      <w:pPr>
        <w:pStyle w:val="Body"/>
        <w:spacing w:after="0"/>
        <w:rPr>
          <w:rFonts w:ascii="Arial" w:hAnsi="Arial" w:cs="Arial"/>
        </w:rPr>
      </w:pPr>
    </w:p>
    <w:p w14:paraId="60441D66" w14:textId="77777777" w:rsidR="005525B6" w:rsidRPr="005525B6" w:rsidRDefault="005525B6" w:rsidP="005525B6">
      <w:pPr>
        <w:pBdr>
          <w:top w:val="nil"/>
          <w:left w:val="nil"/>
          <w:bottom w:val="nil"/>
          <w:right w:val="nil"/>
          <w:between w:val="nil"/>
        </w:pBdr>
        <w:spacing w:line="275" w:lineRule="auto"/>
        <w:jc w:val="center"/>
        <w:rPr>
          <w:rFonts w:ascii="Arial" w:eastAsia="Google Sans Text" w:hAnsi="Arial" w:cs="Arial"/>
          <w:color w:val="1B1C1D"/>
        </w:rPr>
      </w:pPr>
      <w:r w:rsidRPr="005525B6">
        <w:rPr>
          <w:rFonts w:ascii="Arial" w:hAnsi="Arial" w:cs="Arial"/>
          <w:noProof/>
        </w:rPr>
        <w:drawing>
          <wp:inline distT="0" distB="0" distL="0" distR="0" wp14:anchorId="27061772" wp14:editId="2FBE40D0">
            <wp:extent cx="4899025" cy="260234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1033" cy="2656532"/>
                    </a:xfrm>
                    <a:prstGeom prst="rect">
                      <a:avLst/>
                    </a:prstGeom>
                    <a:noFill/>
                    <a:ln>
                      <a:noFill/>
                    </a:ln>
                  </pic:spPr>
                </pic:pic>
              </a:graphicData>
            </a:graphic>
          </wp:inline>
        </w:drawing>
      </w:r>
    </w:p>
    <w:p w14:paraId="1D050CD6" w14:textId="7116F948" w:rsidR="005525B6" w:rsidRPr="005525B6" w:rsidRDefault="005525B6" w:rsidP="005525B6">
      <w:pPr>
        <w:pStyle w:val="Body"/>
        <w:spacing w:after="0"/>
        <w:rPr>
          <w:rFonts w:ascii="Arial" w:hAnsi="Arial" w:cs="Arial"/>
        </w:rPr>
      </w:pPr>
      <w:r w:rsidRPr="005525B6">
        <w:rPr>
          <w:rFonts w:ascii="Arial" w:eastAsia="Google Sans Text" w:hAnsi="Arial" w:cs="Arial"/>
          <w:b/>
          <w:bCs/>
          <w:color w:val="1B1C1D"/>
        </w:rPr>
        <w:t xml:space="preserve">Fig 2. </w:t>
      </w:r>
      <w:r w:rsidRPr="005525B6">
        <w:rPr>
          <w:rFonts w:ascii="Arial" w:eastAsia="Google Sans Text" w:hAnsi="Arial" w:cs="Arial"/>
          <w:color w:val="1B1C1D"/>
        </w:rPr>
        <w:t xml:space="preserve">Illustration of nanoparticle fillers enhancing the film's barrier, mechanical, and antimicrobial properties to extend food shelf life and improve safety in an active and sustainable food packaging system [Adapted with permission from Shi et al., 2023] </w:t>
      </w:r>
      <w:r w:rsidRPr="005525B6">
        <w:rPr>
          <w:rFonts w:ascii="Arial" w:eastAsia="Google Sans Text" w:hAnsi="Arial" w:cs="Arial"/>
          <w:color w:val="1B1C1D"/>
        </w:rPr>
        <w:fldChar w:fldCharType="begin" w:fldLock="1"/>
      </w:r>
      <w:r w:rsidR="007A607C">
        <w:rPr>
          <w:rFonts w:ascii="Arial" w:eastAsia="Google Sans Text" w:hAnsi="Arial" w:cs="Arial"/>
          <w:color w:val="1B1C1D"/>
        </w:rPr>
        <w:instrText>ADDIN CSL_CITATION {"citationItems":[{"id":"ITEM-1","itemData":{"DOI":"10.1016/J.CARBPOL.2022.120323","ISSN":"0144-8617","PMID":"36446490","abstract":"Innovative food packaging techniques provide extrinsic systems for ensuring the quality and safety of food products. Recent research has focused on the development of multifunctional nanocomposites towards emerging active and sustainable food packaging (ASFP) systems. Specifically, diverse biomass-derived nanocomposite films (BNFs) are engineered via incorporating functional nanomaterials into the naturally-occurring biopolymers (e.g., polysaccharides and proteins). Such BNFs lead to minimum environmental risks compared to petroleum-derived materials, while exhibit improved physicochemical properties and functionalities, demonstrating great potential for ASFP. This review provides a summary of state-of-art BNFs based on their composition and application. We also highlight the advantages of BNFs for agricultural products. Particularly, the interactions between the biomass matrix and the nanomaterials are discussed to provide insightful rationales for designing high-performance BNFs. We envision that BNFs will not only be emerged as the dominant food packaging materials, but also contribute to the international trade and addressing the global food crisis.","author":[{"dropping-particle":"","family":"Shi","given":"Jiabo","non-dropping-particle":"","parse-names":false,"suffix":""},{"dropping-particle":"","family":"Zhang","given":"Ruizhen","non-dropping-particle":"","parse-names":false,"suffix":""},{"dropping-particle":"","family":"Liu","given":"Xiaochen","non-dropping-particle":"","parse-names":false,"suffix":""},{"dropping-particle":"","family":"Zhang","given":"Yuxuan","non-dropping-particle":"","parse-names":false,"suffix":""},{"dropping-particle":"","family":"Du","given":"Yuxin","non-dropping-particle":"","parse-names":false,"suffix":""},{"dropping-particle":"","family":"Dong","given":"Huahua","non-dropping-particle":"","parse-names":false,"suffix":""},{"dropping-particle":"","family":"Ma","given":"Yutian","non-dropping-particle":"","parse-names":false,"suffix":""},{"dropping-particle":"","family":"Li","given":"Xiaojie","non-dropping-particle":"","parse-names":false,"suffix":""},{"dropping-particle":"","family":"Cheung","given":"Peter C.K.","non-dropping-particle":"","parse-names":false,"suffix":""},{"dropping-particle":"","family":"Chen","given":"Feng","non-dropping-particle":"","parse-names":false,"suffix":""}],"container-title":"Carbohydrate Polymers","id":"ITEM-1","issued":{"date-parts":[["2023","2","1"]]},"page":"120323","publisher":"Elsevier","title":"Advances in multifunctional biomass-derived nanocomposite films for active and sustainable food packaging","type":"article-journal","volume":"301"},"uris":["http://www.mendeley.com/documents/?uuid=c11c2de6-f2c1-349c-b250-efd87894d2c3"]}],"mendeley":{"formattedCitation":"[13]","plainTextFormattedCitation":"[13]","previouslyFormattedCitation":"(Shi et al., 2023)"},"properties":{"noteIndex":0},"schema":"https://github.com/citation-style-language/schema/raw/master/csl-citation.json"}</w:instrText>
      </w:r>
      <w:r w:rsidRPr="005525B6">
        <w:rPr>
          <w:rFonts w:ascii="Arial" w:eastAsia="Google Sans Text" w:hAnsi="Arial" w:cs="Arial"/>
          <w:color w:val="1B1C1D"/>
        </w:rPr>
        <w:fldChar w:fldCharType="separate"/>
      </w:r>
      <w:r w:rsidR="007A607C" w:rsidRPr="007A607C">
        <w:rPr>
          <w:rFonts w:ascii="Arial" w:eastAsia="Google Sans Text" w:hAnsi="Arial" w:cs="Arial"/>
          <w:noProof/>
          <w:color w:val="1B1C1D"/>
        </w:rPr>
        <w:t>[13]</w:t>
      </w:r>
      <w:r w:rsidRPr="005525B6">
        <w:rPr>
          <w:rFonts w:ascii="Arial" w:eastAsia="Google Sans Text" w:hAnsi="Arial" w:cs="Arial"/>
          <w:color w:val="1B1C1D"/>
        </w:rPr>
        <w:fldChar w:fldCharType="end"/>
      </w:r>
      <w:r w:rsidRPr="005525B6">
        <w:rPr>
          <w:rFonts w:ascii="Arial" w:eastAsia="Google Sans Text" w:hAnsi="Arial" w:cs="Arial"/>
          <w:color w:val="1B1C1D"/>
        </w:rPr>
        <w:t>.</w:t>
      </w:r>
    </w:p>
    <w:p w14:paraId="3A3FEDE5" w14:textId="77777777" w:rsidR="005525B6" w:rsidRDefault="005525B6" w:rsidP="005525B6">
      <w:pPr>
        <w:pStyle w:val="Body"/>
        <w:spacing w:after="0"/>
        <w:rPr>
          <w:rFonts w:ascii="Arial" w:hAnsi="Arial" w:cs="Arial"/>
        </w:rPr>
      </w:pPr>
    </w:p>
    <w:p w14:paraId="41962D1A" w14:textId="2AD4E1D2" w:rsidR="005525B6" w:rsidRDefault="005525B6" w:rsidP="005525B6">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5525B6">
        <w:rPr>
          <w:rFonts w:ascii="Arial" w:hAnsi="Arial" w:cs="Arial"/>
          <w:b/>
          <w:sz w:val="22"/>
        </w:rPr>
        <w:t>Specific Applications in Agrochemical Delivery and Crop Protection</w:t>
      </w:r>
    </w:p>
    <w:p w14:paraId="394D2027" w14:textId="77777777" w:rsidR="005525B6" w:rsidRDefault="005525B6" w:rsidP="005525B6">
      <w:pPr>
        <w:pStyle w:val="Body"/>
        <w:spacing w:after="0"/>
        <w:rPr>
          <w:rFonts w:ascii="Arial" w:hAnsi="Arial" w:cs="Arial"/>
        </w:rPr>
      </w:pPr>
    </w:p>
    <w:p w14:paraId="3211C027" w14:textId="4FF215A4" w:rsidR="005525B6" w:rsidRDefault="005525B6" w:rsidP="00441B6F">
      <w:pPr>
        <w:pStyle w:val="Body"/>
        <w:spacing w:after="0"/>
        <w:rPr>
          <w:rFonts w:ascii="Arial" w:eastAsia="Google Sans Text" w:hAnsi="Arial" w:cs="Arial"/>
          <w:color w:val="1B1C1D"/>
        </w:rPr>
      </w:pPr>
      <w:r w:rsidRPr="005525B6">
        <w:rPr>
          <w:rFonts w:ascii="Arial" w:eastAsia="Google Sans Text" w:hAnsi="Arial" w:cs="Arial"/>
          <w:color w:val="1B1C1D"/>
        </w:rPr>
        <w:t xml:space="preserve">The versatility of these nanocomposites extends to the controlled delivery of agrochemicals, offering a more sustainable approach to crop protection. Polymeric nanoparticles (PNPs) made from biopolymers like chitosan and alginate can encapsulate fungicides, insecticides, and herbicides, providing a slow and sustained release of the active ingredients. This targeted delivery minimizes the amount of chemical needed, reduces environmental leaching, and improves efficacy. For example, nano-fungicides have shown significant promise. Chitosan-lactide copolymer nanoparticles loaded with the fungicide </w:t>
      </w:r>
      <w:proofErr w:type="spellStart"/>
      <w:r w:rsidRPr="005525B6">
        <w:rPr>
          <w:rFonts w:ascii="Arial" w:eastAsia="Google Sans Text" w:hAnsi="Arial" w:cs="Arial"/>
          <w:color w:val="1B1C1D"/>
        </w:rPr>
        <w:t>pyraclostrobin</w:t>
      </w:r>
      <w:proofErr w:type="spellEnd"/>
      <w:r w:rsidRPr="005525B6">
        <w:rPr>
          <w:rFonts w:ascii="Arial" w:eastAsia="Google Sans Text" w:hAnsi="Arial" w:cs="Arial"/>
          <w:color w:val="1B1C1D"/>
        </w:rPr>
        <w:t xml:space="preserve"> exhibited up to 85.1% inhibition against </w:t>
      </w:r>
      <w:r w:rsidRPr="005525B6">
        <w:rPr>
          <w:rFonts w:ascii="Arial" w:eastAsia="Google Sans Text" w:hAnsi="Arial" w:cs="Arial"/>
          <w:i/>
          <w:color w:val="1B1C1D"/>
        </w:rPr>
        <w:t>Colletotrichum gossypii</w:t>
      </w:r>
      <w:r w:rsidRPr="005525B6">
        <w:rPr>
          <w:rFonts w:ascii="Arial" w:eastAsia="Google Sans Text" w:hAnsi="Arial" w:cs="Arial"/>
          <w:color w:val="1B1C1D"/>
        </w:rPr>
        <w:t xml:space="preserve"> (Xu et al., 2014). Similarly, nano-insecticides have proven more effective than their conventional counterparts. A </w:t>
      </w:r>
      <w:proofErr w:type="spellStart"/>
      <w:r w:rsidRPr="005525B6">
        <w:rPr>
          <w:rFonts w:ascii="Arial" w:eastAsia="Google Sans Text" w:hAnsi="Arial" w:cs="Arial"/>
          <w:color w:val="1B1C1D"/>
        </w:rPr>
        <w:t>nanoformulation</w:t>
      </w:r>
      <w:proofErr w:type="spellEnd"/>
      <w:r w:rsidRPr="005525B6">
        <w:rPr>
          <w:rFonts w:ascii="Arial" w:eastAsia="Google Sans Text" w:hAnsi="Arial" w:cs="Arial"/>
          <w:color w:val="1B1C1D"/>
        </w:rPr>
        <w:t xml:space="preserve"> of methomyl and </w:t>
      </w:r>
      <w:proofErr w:type="spellStart"/>
      <w:r w:rsidRPr="005525B6">
        <w:rPr>
          <w:rFonts w:ascii="Arial" w:eastAsia="Google Sans Text" w:hAnsi="Arial" w:cs="Arial"/>
          <w:color w:val="1B1C1D"/>
        </w:rPr>
        <w:t>pyridalyl</w:t>
      </w:r>
      <w:proofErr w:type="spellEnd"/>
      <w:r w:rsidRPr="005525B6">
        <w:rPr>
          <w:rFonts w:ascii="Arial" w:eastAsia="Google Sans Text" w:hAnsi="Arial" w:cs="Arial"/>
          <w:color w:val="1B1C1D"/>
        </w:rPr>
        <w:t xml:space="preserve"> in a carboxymethyl chitosan and sodium alginate matrix resulted in only 1.6-2.3% fruit damage in tomatoes, compared to 3.5-7.4% damage with commercial formulations (Saini et al., 2015). Nano-herbicides also benefit from this </w:t>
      </w:r>
      <w:r w:rsidRPr="005525B6">
        <w:rPr>
          <w:rFonts w:ascii="Arial" w:eastAsia="Google Sans Text" w:hAnsi="Arial" w:cs="Arial"/>
          <w:color w:val="1B1C1D"/>
        </w:rPr>
        <w:lastRenderedPageBreak/>
        <w:t>technology; paraquat encapsulated in chitosan/tripolyphosphate nanoparticles showed high efficiency with delayed release and less soil penetration, making it more environmentally friendly (Grillo et al., 2014). Table 2 provides a summary of recent studies highlighting these applications.</w:t>
      </w:r>
    </w:p>
    <w:p w14:paraId="15351BD5" w14:textId="444E0D4D" w:rsidR="005525B6" w:rsidRPr="005525B6" w:rsidRDefault="005525B6" w:rsidP="00441B6F">
      <w:pPr>
        <w:pStyle w:val="Body"/>
        <w:spacing w:after="0"/>
        <w:rPr>
          <w:rFonts w:ascii="Arial" w:eastAsia="Google Sans Text" w:hAnsi="Arial" w:cs="Arial"/>
          <w:color w:val="1B1C1D"/>
        </w:rPr>
      </w:pPr>
    </w:p>
    <w:p w14:paraId="2268B03E" w14:textId="29B7F1AC" w:rsidR="005525B6" w:rsidRDefault="005525B6" w:rsidP="00700A76">
      <w:pPr>
        <w:pBdr>
          <w:top w:val="nil"/>
          <w:left w:val="nil"/>
          <w:bottom w:val="nil"/>
          <w:right w:val="nil"/>
          <w:between w:val="nil"/>
        </w:pBdr>
        <w:spacing w:line="275" w:lineRule="auto"/>
        <w:jc w:val="both"/>
        <w:rPr>
          <w:rFonts w:ascii="Arial" w:eastAsia="Google Sans Text" w:hAnsi="Arial" w:cs="Arial"/>
          <w:b/>
          <w:color w:val="1B1C1D"/>
        </w:rPr>
      </w:pPr>
      <w:r w:rsidRPr="005525B6">
        <w:rPr>
          <w:rFonts w:ascii="Arial" w:eastAsia="Google Sans Text" w:hAnsi="Arial" w:cs="Arial"/>
          <w:b/>
          <w:color w:val="1B1C1D"/>
        </w:rPr>
        <w:t>Table 2. Applications of Nanocomposites Derived from Agricultural Waste in Agrochemicals and Food Preservation</w:t>
      </w:r>
    </w:p>
    <w:p w14:paraId="10BF16B3" w14:textId="31E4EF26" w:rsidR="005525B6" w:rsidRDefault="005525B6" w:rsidP="005525B6">
      <w:pPr>
        <w:pBdr>
          <w:top w:val="nil"/>
          <w:left w:val="nil"/>
          <w:bottom w:val="nil"/>
          <w:right w:val="nil"/>
          <w:between w:val="nil"/>
        </w:pBdr>
        <w:spacing w:line="275" w:lineRule="auto"/>
        <w:jc w:val="center"/>
        <w:rPr>
          <w:rFonts w:ascii="Arial" w:eastAsia="Google Sans Text" w:hAnsi="Arial" w:cs="Arial"/>
          <w:b/>
          <w:color w:val="1B1C1D"/>
        </w:rPr>
      </w:pPr>
    </w:p>
    <w:tbl>
      <w:tblPr>
        <w:tblW w:w="827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84"/>
        <w:gridCol w:w="1735"/>
        <w:gridCol w:w="1406"/>
        <w:gridCol w:w="2050"/>
        <w:gridCol w:w="1299"/>
      </w:tblGrid>
      <w:tr w:rsidR="008231CE" w:rsidRPr="00DC3180" w14:paraId="4F98A1EE" w14:textId="77777777" w:rsidTr="008231CE">
        <w:trPr>
          <w:jc w:val="center"/>
        </w:trPr>
        <w:tc>
          <w:tcPr>
            <w:tcW w:w="1678" w:type="dxa"/>
            <w:tcBorders>
              <w:bottom w:val="single" w:sz="4" w:space="0" w:color="auto"/>
            </w:tcBorders>
          </w:tcPr>
          <w:p w14:paraId="076C01BD" w14:textId="02246868" w:rsidR="008231CE" w:rsidRPr="00DC3180" w:rsidRDefault="008231CE" w:rsidP="008231CE">
            <w:pPr>
              <w:rPr>
                <w:rFonts w:ascii="Arial" w:hAnsi="Arial"/>
                <w:b/>
              </w:rPr>
            </w:pPr>
            <w:r w:rsidRPr="005525B6">
              <w:rPr>
                <w:rFonts w:ascii="Arial" w:eastAsia="Google Sans Text" w:hAnsi="Arial" w:cs="Arial"/>
                <w:b/>
                <w:color w:val="1B1C1D"/>
              </w:rPr>
              <w:t xml:space="preserve">Nanomaterial from </w:t>
            </w:r>
            <w:proofErr w:type="spellStart"/>
            <w:r w:rsidRPr="005525B6">
              <w:rPr>
                <w:rFonts w:ascii="Arial" w:eastAsia="Google Sans Text" w:hAnsi="Arial" w:cs="Arial"/>
                <w:b/>
                <w:color w:val="1B1C1D"/>
              </w:rPr>
              <w:t>Agro</w:t>
            </w:r>
            <w:proofErr w:type="spellEnd"/>
            <w:r w:rsidRPr="005525B6">
              <w:rPr>
                <w:rFonts w:ascii="Arial" w:eastAsia="Google Sans Text" w:hAnsi="Arial" w:cs="Arial"/>
                <w:b/>
                <w:color w:val="1B1C1D"/>
              </w:rPr>
              <w:t>-Waste Source</w:t>
            </w:r>
          </w:p>
        </w:tc>
        <w:tc>
          <w:tcPr>
            <w:tcW w:w="1738" w:type="dxa"/>
            <w:tcBorders>
              <w:bottom w:val="single" w:sz="4" w:space="0" w:color="auto"/>
            </w:tcBorders>
          </w:tcPr>
          <w:p w14:paraId="6FD79127" w14:textId="52ADEE87" w:rsidR="008231CE" w:rsidRPr="00DC3180" w:rsidRDefault="008231CE" w:rsidP="008231CE">
            <w:pPr>
              <w:rPr>
                <w:rFonts w:ascii="Arial" w:hAnsi="Arial"/>
                <w:b/>
              </w:rPr>
            </w:pPr>
            <w:r w:rsidRPr="005525B6">
              <w:rPr>
                <w:rFonts w:ascii="Arial" w:eastAsia="Google Sans Text" w:hAnsi="Arial" w:cs="Arial"/>
                <w:b/>
                <w:color w:val="1B1C1D"/>
              </w:rPr>
              <w:t>Nanocomposite</w:t>
            </w:r>
          </w:p>
        </w:tc>
        <w:tc>
          <w:tcPr>
            <w:tcW w:w="1406" w:type="dxa"/>
            <w:tcBorders>
              <w:bottom w:val="single" w:sz="4" w:space="0" w:color="auto"/>
            </w:tcBorders>
          </w:tcPr>
          <w:p w14:paraId="651CD25C" w14:textId="5AD90B43" w:rsidR="008231CE" w:rsidRPr="00DC3180" w:rsidRDefault="008231CE" w:rsidP="008231CE">
            <w:pPr>
              <w:rPr>
                <w:rFonts w:ascii="Arial" w:hAnsi="Arial"/>
                <w:b/>
              </w:rPr>
            </w:pPr>
            <w:r w:rsidRPr="005525B6">
              <w:rPr>
                <w:rFonts w:ascii="Arial" w:eastAsia="Google Sans Text" w:hAnsi="Arial" w:cs="Arial"/>
                <w:b/>
                <w:color w:val="1B1C1D"/>
              </w:rPr>
              <w:t>Application</w:t>
            </w:r>
          </w:p>
        </w:tc>
        <w:tc>
          <w:tcPr>
            <w:tcW w:w="2135" w:type="dxa"/>
            <w:tcBorders>
              <w:bottom w:val="single" w:sz="4" w:space="0" w:color="auto"/>
            </w:tcBorders>
          </w:tcPr>
          <w:p w14:paraId="2EF91E41" w14:textId="0BA35DDD" w:rsidR="008231CE" w:rsidRPr="00DC3180" w:rsidRDefault="008231CE" w:rsidP="008231CE">
            <w:pPr>
              <w:rPr>
                <w:rFonts w:ascii="Arial" w:hAnsi="Arial"/>
                <w:b/>
                <w:bCs/>
              </w:rPr>
            </w:pPr>
            <w:r w:rsidRPr="005525B6">
              <w:rPr>
                <w:rFonts w:ascii="Arial" w:eastAsia="Google Sans Text" w:hAnsi="Arial" w:cs="Arial"/>
                <w:b/>
                <w:color w:val="1B1C1D"/>
              </w:rPr>
              <w:t>Results</w:t>
            </w:r>
          </w:p>
        </w:tc>
        <w:tc>
          <w:tcPr>
            <w:tcW w:w="1317" w:type="dxa"/>
            <w:tcBorders>
              <w:bottom w:val="single" w:sz="4" w:space="0" w:color="auto"/>
            </w:tcBorders>
          </w:tcPr>
          <w:p w14:paraId="0CB0AB31" w14:textId="6D20E5AD" w:rsidR="008231CE" w:rsidRPr="00DC3180" w:rsidRDefault="008231CE" w:rsidP="008231CE">
            <w:pPr>
              <w:rPr>
                <w:rFonts w:ascii="Arial" w:hAnsi="Arial"/>
                <w:b/>
                <w:bCs/>
              </w:rPr>
            </w:pPr>
            <w:r w:rsidRPr="005525B6">
              <w:rPr>
                <w:rFonts w:ascii="Arial" w:eastAsia="Google Sans Text" w:hAnsi="Arial" w:cs="Arial"/>
                <w:b/>
                <w:color w:val="1B1C1D"/>
              </w:rPr>
              <w:t>Reference</w:t>
            </w:r>
          </w:p>
        </w:tc>
      </w:tr>
      <w:tr w:rsidR="008231CE" w:rsidRPr="00DC3180" w14:paraId="74E840C5" w14:textId="77777777" w:rsidTr="008231CE">
        <w:trPr>
          <w:trHeight w:val="773"/>
          <w:jc w:val="center"/>
        </w:trPr>
        <w:tc>
          <w:tcPr>
            <w:tcW w:w="1678" w:type="dxa"/>
            <w:tcBorders>
              <w:bottom w:val="nil"/>
            </w:tcBorders>
          </w:tcPr>
          <w:p w14:paraId="5D9DFBF3" w14:textId="49C61C45" w:rsidR="008231CE" w:rsidRPr="00DC3180" w:rsidRDefault="008231CE" w:rsidP="008231CE">
            <w:pPr>
              <w:rPr>
                <w:rFonts w:ascii="Arial" w:hAnsi="Arial"/>
                <w:vanish/>
              </w:rPr>
            </w:pPr>
            <w:r w:rsidRPr="005525B6">
              <w:rPr>
                <w:rFonts w:ascii="Arial" w:eastAsia="Google Sans Text" w:hAnsi="Arial" w:cs="Arial"/>
                <w:color w:val="1B1C1D"/>
              </w:rPr>
              <w:t>Chitosan (from crustacean shells)</w:t>
            </w:r>
          </w:p>
        </w:tc>
        <w:tc>
          <w:tcPr>
            <w:tcW w:w="1738" w:type="dxa"/>
            <w:tcBorders>
              <w:bottom w:val="nil"/>
            </w:tcBorders>
          </w:tcPr>
          <w:p w14:paraId="618B0841" w14:textId="75A497B1" w:rsidR="008231CE" w:rsidRPr="00DC3180" w:rsidRDefault="008231CE" w:rsidP="008231CE">
            <w:pPr>
              <w:rPr>
                <w:rFonts w:ascii="Arial" w:hAnsi="Arial"/>
                <w:vanish/>
              </w:rPr>
            </w:pPr>
            <w:r w:rsidRPr="005525B6">
              <w:rPr>
                <w:rFonts w:ascii="Arial" w:eastAsia="Google Sans Text" w:hAnsi="Arial" w:cs="Arial"/>
                <w:color w:val="1B1C1D"/>
              </w:rPr>
              <w:t xml:space="preserve">Chitosan-lactide copolymer NPs with </w:t>
            </w:r>
            <w:proofErr w:type="spellStart"/>
            <w:r w:rsidRPr="005525B6">
              <w:rPr>
                <w:rFonts w:ascii="Arial" w:eastAsia="Google Sans Text" w:hAnsi="Arial" w:cs="Arial"/>
                <w:color w:val="1B1C1D"/>
              </w:rPr>
              <w:t>pyraclostrobin</w:t>
            </w:r>
            <w:proofErr w:type="spellEnd"/>
          </w:p>
        </w:tc>
        <w:tc>
          <w:tcPr>
            <w:tcW w:w="1406" w:type="dxa"/>
            <w:tcBorders>
              <w:bottom w:val="nil"/>
            </w:tcBorders>
          </w:tcPr>
          <w:p w14:paraId="41B4E899" w14:textId="5391F490" w:rsidR="008231CE" w:rsidRPr="00DC3180" w:rsidRDefault="008231CE" w:rsidP="008231CE">
            <w:pPr>
              <w:rPr>
                <w:rFonts w:ascii="Arial" w:hAnsi="Arial"/>
                <w:vanish/>
              </w:rPr>
            </w:pPr>
            <w:r w:rsidRPr="005525B6">
              <w:rPr>
                <w:rFonts w:ascii="Arial" w:eastAsia="Google Sans Text" w:hAnsi="Arial" w:cs="Arial"/>
                <w:color w:val="1B1C1D"/>
              </w:rPr>
              <w:t>Nano-fungicide for cotton</w:t>
            </w:r>
          </w:p>
        </w:tc>
        <w:tc>
          <w:tcPr>
            <w:tcW w:w="2135" w:type="dxa"/>
            <w:tcBorders>
              <w:bottom w:val="nil"/>
            </w:tcBorders>
          </w:tcPr>
          <w:p w14:paraId="779BE96D" w14:textId="1554AAB9" w:rsidR="008231CE" w:rsidRPr="00DC3180" w:rsidRDefault="008231CE" w:rsidP="008231CE">
            <w:pPr>
              <w:rPr>
                <w:rFonts w:ascii="Arial" w:hAnsi="Arial" w:cs="Arial"/>
              </w:rPr>
            </w:pPr>
            <w:r w:rsidRPr="005525B6">
              <w:rPr>
                <w:rFonts w:ascii="Arial" w:eastAsia="Google Sans Text" w:hAnsi="Arial" w:cs="Arial"/>
                <w:color w:val="1B1C1D"/>
              </w:rPr>
              <w:t xml:space="preserve">Showed 52.2-85.1% inhibition against </w:t>
            </w:r>
            <w:r w:rsidRPr="005525B6">
              <w:rPr>
                <w:rFonts w:ascii="Arial" w:eastAsia="Google Sans Text" w:hAnsi="Arial" w:cs="Arial"/>
                <w:i/>
                <w:color w:val="1B1C1D"/>
              </w:rPr>
              <w:t>Colletotrichum gossypii</w:t>
            </w:r>
            <w:r w:rsidRPr="005525B6">
              <w:rPr>
                <w:rFonts w:ascii="Arial" w:eastAsia="Google Sans Text" w:hAnsi="Arial" w:cs="Arial"/>
                <w:color w:val="1B1C1D"/>
              </w:rPr>
              <w:t>.</w:t>
            </w:r>
          </w:p>
        </w:tc>
        <w:tc>
          <w:tcPr>
            <w:tcW w:w="1317" w:type="dxa"/>
            <w:tcBorders>
              <w:bottom w:val="nil"/>
            </w:tcBorders>
          </w:tcPr>
          <w:p w14:paraId="63D46486" w14:textId="2217FD4F" w:rsidR="008231CE" w:rsidRPr="00DC3180" w:rsidRDefault="008231CE" w:rsidP="008231CE">
            <w:pPr>
              <w:rPr>
                <w:rFonts w:ascii="Arial" w:hAnsi="Arial" w:cs="Arial"/>
              </w:rPr>
            </w:pPr>
            <w:r w:rsidRPr="005525B6">
              <w:rPr>
                <w:rFonts w:ascii="Arial" w:eastAsia="Google Sans Text" w:hAnsi="Arial" w:cs="Arial"/>
                <w:color w:val="1B1C1D"/>
              </w:rPr>
              <w:t>(Xu et al., 2014)</w:t>
            </w:r>
          </w:p>
        </w:tc>
      </w:tr>
      <w:tr w:rsidR="008231CE" w:rsidRPr="00DC3180" w14:paraId="680E4347" w14:textId="77777777" w:rsidTr="008231CE">
        <w:trPr>
          <w:jc w:val="center"/>
        </w:trPr>
        <w:tc>
          <w:tcPr>
            <w:tcW w:w="1678" w:type="dxa"/>
            <w:tcBorders>
              <w:top w:val="nil"/>
              <w:bottom w:val="nil"/>
            </w:tcBorders>
          </w:tcPr>
          <w:p w14:paraId="34CCB30B" w14:textId="50376FA4" w:rsidR="008231CE" w:rsidRPr="00DC3180" w:rsidRDefault="008231CE" w:rsidP="008231CE">
            <w:pPr>
              <w:rPr>
                <w:rFonts w:ascii="Arial" w:hAnsi="Arial" w:cs="Arial"/>
              </w:rPr>
            </w:pPr>
            <w:r w:rsidRPr="005525B6">
              <w:rPr>
                <w:rFonts w:ascii="Arial" w:eastAsia="Google Sans Text" w:hAnsi="Arial" w:cs="Arial"/>
                <w:color w:val="1B1C1D"/>
              </w:rPr>
              <w:t>Grape Seed Extract</w:t>
            </w:r>
          </w:p>
        </w:tc>
        <w:tc>
          <w:tcPr>
            <w:tcW w:w="1738" w:type="dxa"/>
            <w:tcBorders>
              <w:top w:val="nil"/>
              <w:bottom w:val="nil"/>
            </w:tcBorders>
          </w:tcPr>
          <w:p w14:paraId="04324440" w14:textId="465C671F" w:rsidR="008231CE" w:rsidRPr="00DC3180" w:rsidRDefault="008231CE" w:rsidP="008231CE">
            <w:pPr>
              <w:rPr>
                <w:rFonts w:ascii="Arial" w:hAnsi="Arial" w:cs="Arial"/>
              </w:rPr>
            </w:pPr>
            <w:r w:rsidRPr="005525B6">
              <w:rPr>
                <w:rFonts w:ascii="Arial" w:eastAsia="Google Sans Text" w:hAnsi="Arial" w:cs="Arial"/>
                <w:color w:val="1B1C1D"/>
              </w:rPr>
              <w:t>Chitosan/</w:t>
            </w:r>
            <w:proofErr w:type="spellStart"/>
            <w:r w:rsidRPr="005525B6">
              <w:rPr>
                <w:rFonts w:ascii="Arial" w:eastAsia="Google Sans Text" w:hAnsi="Arial" w:cs="Arial"/>
                <w:color w:val="1B1C1D"/>
              </w:rPr>
              <w:t>AgNPs</w:t>
            </w:r>
            <w:proofErr w:type="spellEnd"/>
            <w:r w:rsidRPr="005525B6">
              <w:rPr>
                <w:rFonts w:ascii="Arial" w:eastAsia="Google Sans Text" w:hAnsi="Arial" w:cs="Arial"/>
                <w:color w:val="1B1C1D"/>
              </w:rPr>
              <w:t xml:space="preserve"> composite film</w:t>
            </w:r>
          </w:p>
        </w:tc>
        <w:tc>
          <w:tcPr>
            <w:tcW w:w="1406" w:type="dxa"/>
            <w:tcBorders>
              <w:top w:val="nil"/>
              <w:bottom w:val="nil"/>
            </w:tcBorders>
          </w:tcPr>
          <w:p w14:paraId="031B4961" w14:textId="21600F62" w:rsidR="008231CE" w:rsidRPr="00DC3180" w:rsidRDefault="008231CE" w:rsidP="008231CE">
            <w:pPr>
              <w:rPr>
                <w:rFonts w:ascii="Arial" w:hAnsi="Arial" w:cs="Arial"/>
              </w:rPr>
            </w:pPr>
            <w:r w:rsidRPr="005525B6">
              <w:rPr>
                <w:rFonts w:ascii="Arial" w:eastAsia="Google Sans Text" w:hAnsi="Arial" w:cs="Arial"/>
                <w:color w:val="1B1C1D"/>
              </w:rPr>
              <w:t>Grape preservation</w:t>
            </w:r>
          </w:p>
        </w:tc>
        <w:tc>
          <w:tcPr>
            <w:tcW w:w="2135" w:type="dxa"/>
            <w:tcBorders>
              <w:top w:val="nil"/>
              <w:bottom w:val="nil"/>
            </w:tcBorders>
          </w:tcPr>
          <w:p w14:paraId="2B2838EA" w14:textId="6C2640F7" w:rsidR="008231CE" w:rsidRPr="00DC3180" w:rsidRDefault="008231CE" w:rsidP="008231CE">
            <w:pPr>
              <w:rPr>
                <w:rFonts w:ascii="Arial" w:hAnsi="Arial" w:cs="Arial"/>
              </w:rPr>
            </w:pPr>
            <w:r w:rsidRPr="005525B6">
              <w:rPr>
                <w:rFonts w:ascii="Arial" w:eastAsia="Google Sans Text" w:hAnsi="Arial" w:cs="Arial"/>
                <w:color w:val="1B1C1D"/>
              </w:rPr>
              <w:t>Reduced decay percentage and weight loss; maintained titratable acidity; inhibited mold growth.</w:t>
            </w:r>
          </w:p>
        </w:tc>
        <w:tc>
          <w:tcPr>
            <w:tcW w:w="1317" w:type="dxa"/>
            <w:tcBorders>
              <w:top w:val="nil"/>
              <w:bottom w:val="nil"/>
            </w:tcBorders>
          </w:tcPr>
          <w:p w14:paraId="29D5C261" w14:textId="0D5D8310" w:rsidR="008231CE" w:rsidRPr="00DC3180" w:rsidRDefault="008231CE" w:rsidP="008231CE">
            <w:pPr>
              <w:rPr>
                <w:rFonts w:ascii="Arial" w:hAnsi="Arial" w:cs="Arial"/>
              </w:rPr>
            </w:pPr>
            <w:r w:rsidRPr="005525B6">
              <w:rPr>
                <w:rFonts w:ascii="Arial" w:eastAsia="Google Sans Text" w:hAnsi="Arial" w:cs="Arial"/>
                <w:color w:val="1B1C1D"/>
              </w:rPr>
              <w:t>(Zhao et al., 2022)</w:t>
            </w:r>
          </w:p>
        </w:tc>
      </w:tr>
      <w:tr w:rsidR="008231CE" w:rsidRPr="00DC3180" w14:paraId="4E6ED812" w14:textId="77777777" w:rsidTr="008231CE">
        <w:trPr>
          <w:jc w:val="center"/>
        </w:trPr>
        <w:tc>
          <w:tcPr>
            <w:tcW w:w="1678" w:type="dxa"/>
            <w:tcBorders>
              <w:top w:val="nil"/>
              <w:bottom w:val="nil"/>
            </w:tcBorders>
          </w:tcPr>
          <w:p w14:paraId="397AE249" w14:textId="79C2B89F" w:rsidR="008231CE" w:rsidRPr="00DC3180" w:rsidRDefault="008231CE" w:rsidP="008231CE">
            <w:pPr>
              <w:rPr>
                <w:rFonts w:ascii="Arial" w:hAnsi="Arial"/>
              </w:rPr>
            </w:pPr>
            <w:r w:rsidRPr="005525B6">
              <w:rPr>
                <w:rFonts w:ascii="Arial" w:eastAsia="Google Sans Text" w:hAnsi="Arial" w:cs="Arial"/>
                <w:color w:val="1B1C1D"/>
              </w:rPr>
              <w:t>Chitosan/Alginate</w:t>
            </w:r>
          </w:p>
        </w:tc>
        <w:tc>
          <w:tcPr>
            <w:tcW w:w="1738" w:type="dxa"/>
            <w:tcBorders>
              <w:top w:val="nil"/>
              <w:bottom w:val="nil"/>
            </w:tcBorders>
          </w:tcPr>
          <w:p w14:paraId="64D4D825" w14:textId="61ECF9FC" w:rsidR="008231CE" w:rsidRPr="00DC3180" w:rsidRDefault="008231CE" w:rsidP="008231CE">
            <w:pPr>
              <w:rPr>
                <w:rFonts w:ascii="Arial" w:hAnsi="Arial"/>
              </w:rPr>
            </w:pPr>
            <w:r w:rsidRPr="005525B6">
              <w:rPr>
                <w:rFonts w:ascii="Arial" w:eastAsia="Google Sans Text" w:hAnsi="Arial" w:cs="Arial"/>
                <w:color w:val="1B1C1D"/>
              </w:rPr>
              <w:t xml:space="preserve">Polymeric NPs with methomyl and </w:t>
            </w:r>
            <w:proofErr w:type="spellStart"/>
            <w:r w:rsidRPr="005525B6">
              <w:rPr>
                <w:rFonts w:ascii="Arial" w:eastAsia="Google Sans Text" w:hAnsi="Arial" w:cs="Arial"/>
                <w:color w:val="1B1C1D"/>
              </w:rPr>
              <w:t>pyridalyl</w:t>
            </w:r>
            <w:proofErr w:type="spellEnd"/>
          </w:p>
        </w:tc>
        <w:tc>
          <w:tcPr>
            <w:tcW w:w="1406" w:type="dxa"/>
            <w:tcBorders>
              <w:top w:val="nil"/>
              <w:bottom w:val="nil"/>
            </w:tcBorders>
          </w:tcPr>
          <w:p w14:paraId="0A3DE70E" w14:textId="7D3AD89F" w:rsidR="008231CE" w:rsidRPr="00DC3180" w:rsidRDefault="008231CE" w:rsidP="008231CE">
            <w:pPr>
              <w:rPr>
                <w:rFonts w:ascii="Arial" w:hAnsi="Arial"/>
              </w:rPr>
            </w:pPr>
            <w:r w:rsidRPr="005525B6">
              <w:rPr>
                <w:rFonts w:ascii="Arial" w:eastAsia="Google Sans Text" w:hAnsi="Arial" w:cs="Arial"/>
                <w:color w:val="1B1C1D"/>
              </w:rPr>
              <w:t>Nano-insecticide for tomatoes</w:t>
            </w:r>
          </w:p>
        </w:tc>
        <w:tc>
          <w:tcPr>
            <w:tcW w:w="2135" w:type="dxa"/>
            <w:tcBorders>
              <w:top w:val="nil"/>
              <w:bottom w:val="nil"/>
            </w:tcBorders>
          </w:tcPr>
          <w:p w14:paraId="703B1EAC" w14:textId="129721B2" w:rsidR="008231CE" w:rsidRPr="00DC3180" w:rsidRDefault="008231CE" w:rsidP="008231CE">
            <w:pPr>
              <w:rPr>
                <w:rFonts w:ascii="Arial" w:hAnsi="Arial" w:cs="Arial"/>
              </w:rPr>
            </w:pPr>
            <w:r w:rsidRPr="005525B6">
              <w:rPr>
                <w:rFonts w:ascii="Arial" w:eastAsia="Google Sans Text" w:hAnsi="Arial" w:cs="Arial"/>
                <w:color w:val="1B1C1D"/>
              </w:rPr>
              <w:t>Reduced fruit damage to 1.6-2.3% compared to 3.5-7.4% with commercial formulations.</w:t>
            </w:r>
          </w:p>
        </w:tc>
        <w:tc>
          <w:tcPr>
            <w:tcW w:w="1317" w:type="dxa"/>
            <w:tcBorders>
              <w:top w:val="nil"/>
              <w:bottom w:val="nil"/>
            </w:tcBorders>
          </w:tcPr>
          <w:p w14:paraId="6A992763" w14:textId="5779BB9A" w:rsidR="008231CE" w:rsidRPr="00DC3180" w:rsidRDefault="008231CE" w:rsidP="008231CE">
            <w:pPr>
              <w:rPr>
                <w:rFonts w:ascii="Arial" w:hAnsi="Arial" w:cs="Arial"/>
              </w:rPr>
            </w:pPr>
            <w:r w:rsidRPr="005525B6">
              <w:rPr>
                <w:rFonts w:ascii="Arial" w:eastAsia="Google Sans Text" w:hAnsi="Arial" w:cs="Arial"/>
                <w:color w:val="1B1C1D"/>
              </w:rPr>
              <w:t>(Saini et al., 2015)</w:t>
            </w:r>
          </w:p>
        </w:tc>
      </w:tr>
      <w:tr w:rsidR="008231CE" w:rsidRPr="00DC3180" w14:paraId="183D4222" w14:textId="77777777" w:rsidTr="008231CE">
        <w:trPr>
          <w:jc w:val="center"/>
        </w:trPr>
        <w:tc>
          <w:tcPr>
            <w:tcW w:w="1678" w:type="dxa"/>
            <w:tcBorders>
              <w:top w:val="nil"/>
              <w:bottom w:val="nil"/>
            </w:tcBorders>
          </w:tcPr>
          <w:p w14:paraId="6FBAB580" w14:textId="3E31A7FE" w:rsidR="008231CE" w:rsidRPr="00DC3180" w:rsidRDefault="008231CE" w:rsidP="008231CE">
            <w:pPr>
              <w:rPr>
                <w:rFonts w:ascii="Arial" w:hAnsi="Arial"/>
              </w:rPr>
            </w:pPr>
            <w:r w:rsidRPr="005525B6">
              <w:rPr>
                <w:rFonts w:ascii="Arial" w:eastAsia="Google Sans Text" w:hAnsi="Arial" w:cs="Arial"/>
                <w:color w:val="1B1C1D"/>
              </w:rPr>
              <w:t>Rice Husk (implied source)</w:t>
            </w:r>
          </w:p>
        </w:tc>
        <w:tc>
          <w:tcPr>
            <w:tcW w:w="1738" w:type="dxa"/>
            <w:tcBorders>
              <w:top w:val="nil"/>
              <w:bottom w:val="nil"/>
            </w:tcBorders>
          </w:tcPr>
          <w:p w14:paraId="269B53D1" w14:textId="5B3F1DB3" w:rsidR="008231CE" w:rsidRPr="00DC3180" w:rsidRDefault="008231CE" w:rsidP="008231CE">
            <w:pPr>
              <w:rPr>
                <w:rFonts w:ascii="Arial" w:hAnsi="Arial"/>
              </w:rPr>
            </w:pPr>
            <w:r w:rsidRPr="005525B6">
              <w:rPr>
                <w:rFonts w:ascii="Arial" w:eastAsia="Google Sans Text" w:hAnsi="Arial" w:cs="Arial"/>
                <w:color w:val="1B1C1D"/>
              </w:rPr>
              <w:t xml:space="preserve">Chitosan film with </w:t>
            </w:r>
            <w:proofErr w:type="spellStart"/>
            <w:r w:rsidRPr="005525B6">
              <w:rPr>
                <w:rFonts w:ascii="Arial" w:eastAsia="Google Sans Text" w:hAnsi="Arial" w:cs="Arial"/>
                <w:color w:val="1B1C1D"/>
              </w:rPr>
              <w:t>Nanosilica</w:t>
            </w:r>
            <w:proofErr w:type="spellEnd"/>
            <w:r w:rsidRPr="005525B6">
              <w:rPr>
                <w:rFonts w:ascii="Arial" w:eastAsia="Google Sans Text" w:hAnsi="Arial" w:cs="Arial"/>
                <w:color w:val="1B1C1D"/>
              </w:rPr>
              <w:t xml:space="preserve"> and Hop Extract</w:t>
            </w:r>
          </w:p>
        </w:tc>
        <w:tc>
          <w:tcPr>
            <w:tcW w:w="1406" w:type="dxa"/>
            <w:tcBorders>
              <w:top w:val="nil"/>
              <w:bottom w:val="nil"/>
            </w:tcBorders>
          </w:tcPr>
          <w:p w14:paraId="3BA4A1D1" w14:textId="55954A8A" w:rsidR="008231CE" w:rsidRPr="00DC3180" w:rsidRDefault="008231CE" w:rsidP="008231CE">
            <w:pPr>
              <w:rPr>
                <w:rFonts w:ascii="Arial" w:hAnsi="Arial"/>
              </w:rPr>
            </w:pPr>
            <w:r w:rsidRPr="005525B6">
              <w:rPr>
                <w:rFonts w:ascii="Arial" w:eastAsia="Google Sans Text" w:hAnsi="Arial" w:cs="Arial"/>
                <w:color w:val="1B1C1D"/>
              </w:rPr>
              <w:t>Active packaging film</w:t>
            </w:r>
          </w:p>
        </w:tc>
        <w:tc>
          <w:tcPr>
            <w:tcW w:w="2135" w:type="dxa"/>
            <w:tcBorders>
              <w:top w:val="nil"/>
              <w:bottom w:val="nil"/>
            </w:tcBorders>
          </w:tcPr>
          <w:p w14:paraId="5B633973" w14:textId="4AF454BF" w:rsidR="008231CE" w:rsidRPr="00DC3180" w:rsidRDefault="008231CE" w:rsidP="008231CE">
            <w:pPr>
              <w:rPr>
                <w:rFonts w:ascii="Arial" w:hAnsi="Arial" w:cs="Arial"/>
              </w:rPr>
            </w:pPr>
            <w:r w:rsidRPr="005525B6">
              <w:rPr>
                <w:rFonts w:ascii="Arial" w:eastAsia="Google Sans Text" w:hAnsi="Arial" w:cs="Arial"/>
                <w:color w:val="1B1C1D"/>
              </w:rPr>
              <w:t>Improved tensile strength, enhanced barrier against UV and water vapor, excellent antioxidant and antibacterial capability.</w:t>
            </w:r>
          </w:p>
        </w:tc>
        <w:tc>
          <w:tcPr>
            <w:tcW w:w="1317" w:type="dxa"/>
            <w:tcBorders>
              <w:top w:val="nil"/>
              <w:bottom w:val="nil"/>
            </w:tcBorders>
          </w:tcPr>
          <w:p w14:paraId="6E2A97E7" w14:textId="741EE506" w:rsidR="008231CE" w:rsidRPr="00DC3180" w:rsidRDefault="008231CE" w:rsidP="008231CE">
            <w:pPr>
              <w:rPr>
                <w:rFonts w:ascii="Arial" w:hAnsi="Arial" w:cs="Arial"/>
              </w:rPr>
            </w:pPr>
            <w:r w:rsidRPr="005525B6">
              <w:rPr>
                <w:rFonts w:ascii="Arial" w:eastAsia="Google Sans Text" w:hAnsi="Arial" w:cs="Arial"/>
                <w:color w:val="1B1C1D"/>
              </w:rPr>
              <w:t>(Cheng et al., 2021)</w:t>
            </w:r>
          </w:p>
        </w:tc>
      </w:tr>
      <w:tr w:rsidR="008231CE" w:rsidRPr="00DC3180" w14:paraId="13DA5936" w14:textId="77777777" w:rsidTr="008231CE">
        <w:trPr>
          <w:jc w:val="center"/>
        </w:trPr>
        <w:tc>
          <w:tcPr>
            <w:tcW w:w="1678" w:type="dxa"/>
            <w:tcBorders>
              <w:top w:val="nil"/>
              <w:bottom w:val="single" w:sz="4" w:space="0" w:color="auto"/>
            </w:tcBorders>
          </w:tcPr>
          <w:p w14:paraId="5847852D" w14:textId="12069B69" w:rsidR="008231CE" w:rsidRPr="00DC3180" w:rsidRDefault="008231CE" w:rsidP="008231CE">
            <w:pPr>
              <w:rPr>
                <w:rFonts w:ascii="Arial" w:hAnsi="Arial"/>
              </w:rPr>
            </w:pPr>
            <w:r w:rsidRPr="005525B6">
              <w:rPr>
                <w:rFonts w:ascii="Arial" w:eastAsia="Google Sans Text" w:hAnsi="Arial" w:cs="Arial"/>
                <w:color w:val="1B1C1D"/>
              </w:rPr>
              <w:t>Chitosan/Pectin</w:t>
            </w:r>
          </w:p>
        </w:tc>
        <w:tc>
          <w:tcPr>
            <w:tcW w:w="1738" w:type="dxa"/>
            <w:tcBorders>
              <w:top w:val="nil"/>
              <w:bottom w:val="single" w:sz="4" w:space="0" w:color="auto"/>
            </w:tcBorders>
          </w:tcPr>
          <w:p w14:paraId="6DA88ADA" w14:textId="1F633E1C" w:rsidR="008231CE" w:rsidRPr="00DC3180" w:rsidRDefault="008231CE" w:rsidP="008231CE">
            <w:pPr>
              <w:rPr>
                <w:rFonts w:ascii="Arial" w:hAnsi="Arial"/>
              </w:rPr>
            </w:pPr>
            <w:r w:rsidRPr="005525B6">
              <w:rPr>
                <w:rFonts w:ascii="Arial" w:eastAsia="Google Sans Text" w:hAnsi="Arial" w:cs="Arial"/>
                <w:color w:val="1B1C1D"/>
              </w:rPr>
              <w:t>Polymeric NPs with paraquat</w:t>
            </w:r>
          </w:p>
        </w:tc>
        <w:tc>
          <w:tcPr>
            <w:tcW w:w="1406" w:type="dxa"/>
            <w:tcBorders>
              <w:top w:val="nil"/>
              <w:bottom w:val="single" w:sz="4" w:space="0" w:color="auto"/>
            </w:tcBorders>
          </w:tcPr>
          <w:p w14:paraId="0749D248" w14:textId="5B5976DC" w:rsidR="008231CE" w:rsidRPr="00DC3180" w:rsidRDefault="008231CE" w:rsidP="008231CE">
            <w:pPr>
              <w:rPr>
                <w:rFonts w:ascii="Arial" w:hAnsi="Arial"/>
              </w:rPr>
            </w:pPr>
            <w:r w:rsidRPr="005525B6">
              <w:rPr>
                <w:rFonts w:ascii="Arial" w:eastAsia="Google Sans Text" w:hAnsi="Arial" w:cs="Arial"/>
                <w:color w:val="1B1C1D"/>
              </w:rPr>
              <w:t>Nano-herbicide for corn/brassica</w:t>
            </w:r>
          </w:p>
        </w:tc>
        <w:tc>
          <w:tcPr>
            <w:tcW w:w="2135" w:type="dxa"/>
            <w:tcBorders>
              <w:top w:val="nil"/>
              <w:bottom w:val="single" w:sz="4" w:space="0" w:color="auto"/>
            </w:tcBorders>
          </w:tcPr>
          <w:p w14:paraId="777FE64C" w14:textId="1A640E3D" w:rsidR="008231CE" w:rsidRPr="00DC3180" w:rsidRDefault="008231CE" w:rsidP="008231CE">
            <w:pPr>
              <w:rPr>
                <w:rFonts w:ascii="Arial" w:hAnsi="Arial" w:cs="Arial"/>
              </w:rPr>
            </w:pPr>
            <w:r w:rsidRPr="005525B6">
              <w:rPr>
                <w:rFonts w:ascii="Arial" w:eastAsia="Google Sans Text" w:hAnsi="Arial" w:cs="Arial"/>
                <w:color w:val="1B1C1D"/>
              </w:rPr>
              <w:t>Showed high herbicidal activity with delayed release and reduced soil penetration.</w:t>
            </w:r>
          </w:p>
        </w:tc>
        <w:tc>
          <w:tcPr>
            <w:tcW w:w="1317" w:type="dxa"/>
            <w:tcBorders>
              <w:top w:val="nil"/>
              <w:bottom w:val="single" w:sz="4" w:space="0" w:color="auto"/>
            </w:tcBorders>
          </w:tcPr>
          <w:p w14:paraId="22062254" w14:textId="60450E77" w:rsidR="008231CE" w:rsidRPr="00DC3180" w:rsidRDefault="008231CE" w:rsidP="008231CE">
            <w:pPr>
              <w:rPr>
                <w:rFonts w:ascii="Arial" w:hAnsi="Arial" w:cs="Arial"/>
              </w:rPr>
            </w:pPr>
            <w:r w:rsidRPr="005525B6">
              <w:rPr>
                <w:rFonts w:ascii="Arial" w:eastAsia="Google Sans Text" w:hAnsi="Arial" w:cs="Arial"/>
                <w:color w:val="1B1C1D"/>
              </w:rPr>
              <w:t>(Grillo et al., 2014)</w:t>
            </w:r>
          </w:p>
        </w:tc>
      </w:tr>
    </w:tbl>
    <w:p w14:paraId="4CA9047E" w14:textId="77777777" w:rsidR="00E053D0" w:rsidRDefault="00E053D0" w:rsidP="00441B6F">
      <w:pPr>
        <w:pStyle w:val="Body"/>
        <w:spacing w:after="0"/>
        <w:rPr>
          <w:rFonts w:ascii="Arial" w:hAnsi="Arial" w:cs="Arial"/>
        </w:rPr>
      </w:pPr>
    </w:p>
    <w:p w14:paraId="3383B057" w14:textId="2273D861" w:rsidR="00700A76" w:rsidRDefault="00700A76" w:rsidP="00700A76">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700A76">
        <w:rPr>
          <w:rFonts w:ascii="Arial" w:hAnsi="Arial" w:cs="Arial"/>
          <w:b/>
          <w:sz w:val="22"/>
        </w:rPr>
        <w:t>Other Applications in Sustainable Agriculture</w:t>
      </w:r>
    </w:p>
    <w:p w14:paraId="5E10CC66" w14:textId="77777777" w:rsidR="00700A76" w:rsidRDefault="00700A76" w:rsidP="00700A76">
      <w:pPr>
        <w:pStyle w:val="Body"/>
        <w:spacing w:after="0"/>
        <w:rPr>
          <w:rFonts w:ascii="Arial" w:hAnsi="Arial" w:cs="Arial"/>
        </w:rPr>
      </w:pPr>
    </w:p>
    <w:p w14:paraId="4A7F8ED7" w14:textId="42B21816"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 xml:space="preserve">Beyond food packaging and crop protection, these sustainably sourced nanomaterials are poised to make significant contributions to other areas of agriculture (Figure 3). </w:t>
      </w:r>
      <w:proofErr w:type="spellStart"/>
      <w:r w:rsidRPr="00700A76">
        <w:rPr>
          <w:rFonts w:ascii="Arial" w:eastAsia="Google Sans Text" w:hAnsi="Arial" w:cs="Arial"/>
          <w:color w:val="1B1C1D"/>
        </w:rPr>
        <w:t>Nanofertilizers</w:t>
      </w:r>
      <w:proofErr w:type="spellEnd"/>
      <w:r w:rsidRPr="00700A76">
        <w:rPr>
          <w:rFonts w:ascii="Arial" w:eastAsia="Google Sans Text" w:hAnsi="Arial" w:cs="Arial"/>
          <w:color w:val="1B1C1D"/>
        </w:rPr>
        <w:t xml:space="preserve">, for example, utilize nanoparticles like </w:t>
      </w:r>
      <w:proofErr w:type="spellStart"/>
      <w:r w:rsidRPr="00700A76">
        <w:rPr>
          <w:rFonts w:ascii="Arial" w:eastAsia="Google Sans Text" w:hAnsi="Arial" w:cs="Arial"/>
          <w:color w:val="1B1C1D"/>
        </w:rPr>
        <w:t>nanosilica</w:t>
      </w:r>
      <w:proofErr w:type="spellEnd"/>
      <w:r w:rsidRPr="00700A76">
        <w:rPr>
          <w:rFonts w:ascii="Arial" w:eastAsia="Google Sans Text" w:hAnsi="Arial" w:cs="Arial"/>
          <w:color w:val="1B1C1D"/>
        </w:rPr>
        <w:t xml:space="preserve"> from rice husks or chitosan from crustacean shells as carriers for essential nutrients (N, P, K). This nano-encapsulation allows for a slow, controlled release of nutrients directly to the plant, improving nutrient use efficiency and significantly reducing the runoff that causes water pollution. Similarly, polymeric nanoparticles can be used to manage abiotic stress. For example, O-Carboxymethyl chitosan nanoparticles have been shown to enhance water stress tolerance in maize by increasing chlorophyll content and antioxidant enzyme activity (Wu et al., 2024). Furthermore, carbon-based nanomaterials like biochar, produced from the pyrolysis of various biomass, are being used for soil remediation. Their high porosity and surface area </w:t>
      </w:r>
      <w:r w:rsidRPr="00700A76">
        <w:rPr>
          <w:rFonts w:ascii="Arial" w:eastAsia="Google Sans Text" w:hAnsi="Arial" w:cs="Arial"/>
          <w:color w:val="1B1C1D"/>
        </w:rPr>
        <w:lastRenderedPageBreak/>
        <w:t>enable them to effectively adsorb and immobilize heavy metals and organic pollutants, cleaning contaminated soils and improving overall soil health.</w:t>
      </w:r>
    </w:p>
    <w:p w14:paraId="4552CDCC" w14:textId="77777777" w:rsidR="00700A76" w:rsidRPr="00700A76" w:rsidRDefault="00700A76" w:rsidP="00700A76">
      <w:pPr>
        <w:pStyle w:val="Body"/>
        <w:spacing w:after="0"/>
        <w:rPr>
          <w:rFonts w:ascii="Arial" w:eastAsia="Google Sans Text" w:hAnsi="Arial" w:cs="Arial"/>
          <w:color w:val="1B1C1D"/>
        </w:rPr>
      </w:pPr>
    </w:p>
    <w:p w14:paraId="1A97AE2B" w14:textId="77777777" w:rsidR="00700A76" w:rsidRPr="00700A76" w:rsidRDefault="00700A76" w:rsidP="00700A76">
      <w:pPr>
        <w:pBdr>
          <w:top w:val="nil"/>
          <w:left w:val="nil"/>
          <w:bottom w:val="nil"/>
          <w:right w:val="nil"/>
          <w:between w:val="nil"/>
        </w:pBdr>
        <w:spacing w:line="275" w:lineRule="auto"/>
        <w:jc w:val="both"/>
        <w:rPr>
          <w:rFonts w:ascii="Arial" w:eastAsia="Google Sans Text" w:hAnsi="Arial" w:cs="Arial"/>
          <w:color w:val="1B1C1D"/>
        </w:rPr>
      </w:pPr>
      <w:r w:rsidRPr="00700A76">
        <w:rPr>
          <w:rFonts w:ascii="Arial" w:hAnsi="Arial" w:cs="Arial"/>
          <w:noProof/>
        </w:rPr>
        <w:drawing>
          <wp:inline distT="0" distB="0" distL="0" distR="0" wp14:anchorId="764768CE" wp14:editId="108F8BA7">
            <wp:extent cx="5186149" cy="3877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9107" cy="3887110"/>
                    </a:xfrm>
                    <a:prstGeom prst="rect">
                      <a:avLst/>
                    </a:prstGeom>
                    <a:noFill/>
                    <a:ln>
                      <a:noFill/>
                    </a:ln>
                  </pic:spPr>
                </pic:pic>
              </a:graphicData>
            </a:graphic>
          </wp:inline>
        </w:drawing>
      </w:r>
    </w:p>
    <w:p w14:paraId="1C772BB5" w14:textId="348C768D"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b/>
          <w:bCs/>
          <w:color w:val="1B1C1D"/>
        </w:rPr>
        <w:t xml:space="preserve">Fig 3. </w:t>
      </w:r>
      <w:r w:rsidRPr="00700A76">
        <w:rPr>
          <w:rFonts w:ascii="Arial" w:eastAsia="Google Sans Text" w:hAnsi="Arial" w:cs="Arial"/>
          <w:color w:val="1B1C1D"/>
        </w:rPr>
        <w:t xml:space="preserve">An overview of nanotechnology applications in sustainable agriculture, including </w:t>
      </w:r>
      <w:proofErr w:type="spellStart"/>
      <w:r w:rsidRPr="00700A76">
        <w:rPr>
          <w:rFonts w:ascii="Arial" w:eastAsia="Google Sans Text" w:hAnsi="Arial" w:cs="Arial"/>
          <w:color w:val="1B1C1D"/>
        </w:rPr>
        <w:t>nanofertilizers</w:t>
      </w:r>
      <w:proofErr w:type="spellEnd"/>
      <w:r w:rsidRPr="00700A76">
        <w:rPr>
          <w:rFonts w:ascii="Arial" w:eastAsia="Google Sans Text" w:hAnsi="Arial" w:cs="Arial"/>
          <w:color w:val="1B1C1D"/>
        </w:rPr>
        <w:t xml:space="preserve">, </w:t>
      </w:r>
      <w:proofErr w:type="spellStart"/>
      <w:r w:rsidRPr="00700A76">
        <w:rPr>
          <w:rFonts w:ascii="Arial" w:eastAsia="Google Sans Text" w:hAnsi="Arial" w:cs="Arial"/>
          <w:color w:val="1B1C1D"/>
        </w:rPr>
        <w:t>nanopesticides</w:t>
      </w:r>
      <w:proofErr w:type="spellEnd"/>
      <w:r w:rsidRPr="00700A76">
        <w:rPr>
          <w:rFonts w:ascii="Arial" w:eastAsia="Google Sans Text" w:hAnsi="Arial" w:cs="Arial"/>
          <w:color w:val="1B1C1D"/>
        </w:rPr>
        <w:t xml:space="preserve">, and </w:t>
      </w:r>
      <w:proofErr w:type="spellStart"/>
      <w:r w:rsidRPr="00700A76">
        <w:rPr>
          <w:rFonts w:ascii="Arial" w:eastAsia="Google Sans Text" w:hAnsi="Arial" w:cs="Arial"/>
          <w:color w:val="1B1C1D"/>
        </w:rPr>
        <w:t>nanosensors</w:t>
      </w:r>
      <w:proofErr w:type="spellEnd"/>
      <w:r w:rsidRPr="00700A76">
        <w:rPr>
          <w:rFonts w:ascii="Arial" w:eastAsia="Google Sans Text" w:hAnsi="Arial" w:cs="Arial"/>
          <w:color w:val="1B1C1D"/>
        </w:rPr>
        <w:t xml:space="preserve">, which improve crop performance through targeted delivery [Adapted with permission from Shah et al., 2024] </w:t>
      </w:r>
      <w:r w:rsidRPr="00700A76">
        <w:rPr>
          <w:rFonts w:ascii="Arial" w:eastAsia="Google Sans Text" w:hAnsi="Arial" w:cs="Arial"/>
          <w:color w:val="1B1C1D"/>
        </w:rPr>
        <w:fldChar w:fldCharType="begin" w:fldLock="1"/>
      </w:r>
      <w:r w:rsidR="007A607C">
        <w:rPr>
          <w:rFonts w:ascii="Arial" w:eastAsia="Google Sans Text" w:hAnsi="Arial" w:cs="Arial"/>
          <w:color w:val="1B1C1D"/>
        </w:rPr>
        <w:instrText>ADDIN CSL_CITATION {"citationItems":[{"id":"ITEM-1","itemData":{"DOI":"10.1016/J.SUSMAT.2023.E00809","ISSN":"2214-9937","abstract":"The world faces the latest challenges, such as an increasing population, climate change, declining soil quality, and food security, demanding innovative solutions for producing high-quality, larger-scale food products. One such solution is the integration of nanotechnology into agriculture. Recently, nanotechnology has been introduced in agricultural engineering, where nanomaterials are used to develop various technologies for sustainable agriculture applications. Nanotechnology catalyzes sustainable agriculture by infusing the agricultural landscape with efficiency, accuracy, eco-friendliness, and environmental stewardship. Nanotechnologies have infiltrated from the early germination of seeds to the final stages of food processing, encompassing upstream and downstream activities. At the seed level, nanoscale coatings enhance viability, disease resistance, nutrient uptake, the germination stage, and seed quality. Nanosensors and nanobiosensors monitor and manage crop health, water usage, and soil quality. As crops mature, nano-enabled delivery systems precisely apply fertilizers, pesticides, and growth regulators, minimizing waste and maximizing efficacy. Additionally, nanotechnology aids in food processing, improving food preservation, smart packaging, and quality control, reducing post-harvest losses and extending shelf life. It optimizes resource utilization, improves crop resilience, and reduces waste, offering a sustainable path to feed the growing global population—however, the analysis and integration of nanotechnology in agriculture open avenues for innovation and future advancements. Environmental issues, cost-effectiveness, soil health, and health risks associated with nanomaterials in agricultural practices are the main challenges that must be addressed. This review focuses on nanotechnology's potential to revolutionize agriculture by enhancing crop yield, quality, cost-effectiveness, soil health, and environmental sustainability. Embracing nanotechnology ensures food security and environmental stewardship for future generations, making it a crucial tool in addressing global agricultural challenges.","author":[{"dropping-particle":"","family":"Shah","given":"Mudasir Akbar","non-dropping-particle":"","parse-names":false,"suffix":""},{"dropping-particle":"","family":"Shahnaz","given":"Tasrin","non-dropping-particle":"","parse-names":false,"suffix":""},{"dropping-particle":"","family":"Zehab-ud-Din","given":"","non-dropping-particle":"","parse-names":false,"suffix":""},{"dropping-particle":"","family":"Masoodi","given":"J. H.","non-dropping-particle":"","parse-names":false,"suffix":""},{"dropping-particle":"","family":"Nazir","given":"Salik","non-dropping-particle":"","parse-names":false,"suffix":""},{"dropping-particle":"","family":"Qurashi","given":"Ahsanulhaq","non-dropping-particle":"","parse-names":false,"suffix":""},{"dropping-particle":"","family":"Ahmed","given":"Gasim Hayder","non-dropping-particle":"","parse-names":false,"suffix":""}],"container-title":"Sustainable Materials and Technologies","id":"ITEM-1","issued":{"date-parts":[["2024","4","1"]]},"page":"e00809","publisher":"Elsevier","title":"Application of nanotechnology in the agricultural and food processing industries: A review","type":"article-journal","volume":"39"},"uris":["http://www.mendeley.com/documents/?uuid=353691c6-6405-3355-b8f6-9434cf9b8103"]}],"mendeley":{"formattedCitation":"[14]","plainTextFormattedCitation":"[14]","previouslyFormattedCitation":"(Shah et al., 2024)"},"properties":{"noteIndex":0},"schema":"https://github.com/citation-style-language/schema/raw/master/csl-citation.json"}</w:instrText>
      </w:r>
      <w:r w:rsidRPr="00700A76">
        <w:rPr>
          <w:rFonts w:ascii="Arial" w:eastAsia="Google Sans Text" w:hAnsi="Arial" w:cs="Arial"/>
          <w:color w:val="1B1C1D"/>
        </w:rPr>
        <w:fldChar w:fldCharType="separate"/>
      </w:r>
      <w:r w:rsidR="007A607C" w:rsidRPr="007A607C">
        <w:rPr>
          <w:rFonts w:ascii="Arial" w:eastAsia="Google Sans Text" w:hAnsi="Arial" w:cs="Arial"/>
          <w:noProof/>
          <w:color w:val="1B1C1D"/>
        </w:rPr>
        <w:t>[14]</w:t>
      </w:r>
      <w:r w:rsidRPr="00700A76">
        <w:rPr>
          <w:rFonts w:ascii="Arial" w:eastAsia="Google Sans Text" w:hAnsi="Arial" w:cs="Arial"/>
          <w:color w:val="1B1C1D"/>
        </w:rPr>
        <w:fldChar w:fldCharType="end"/>
      </w:r>
      <w:r w:rsidRPr="00700A76">
        <w:rPr>
          <w:rFonts w:ascii="Arial" w:eastAsia="Google Sans Text" w:hAnsi="Arial" w:cs="Arial"/>
          <w:color w:val="1B1C1D"/>
        </w:rPr>
        <w:t>.</w:t>
      </w:r>
    </w:p>
    <w:p w14:paraId="4188A83F" w14:textId="77777777" w:rsidR="00700A76" w:rsidRPr="00700A76" w:rsidRDefault="00700A76" w:rsidP="00700A76">
      <w:pPr>
        <w:pStyle w:val="Body"/>
        <w:spacing w:after="0"/>
        <w:rPr>
          <w:rFonts w:ascii="Arial" w:hAnsi="Arial" w:cs="Arial"/>
        </w:rPr>
      </w:pPr>
    </w:p>
    <w:p w14:paraId="1E076360" w14:textId="211C50BF" w:rsidR="00B01FCD" w:rsidRDefault="00000F8F" w:rsidP="00441B6F">
      <w:pPr>
        <w:pStyle w:val="ConcHead"/>
        <w:spacing w:after="0"/>
        <w:jc w:val="both"/>
        <w:rPr>
          <w:rFonts w:ascii="Arial" w:hAnsi="Arial" w:cs="Arial"/>
        </w:rPr>
      </w:pPr>
      <w:r>
        <w:rPr>
          <w:rFonts w:ascii="Arial" w:hAnsi="Arial" w:cs="Arial"/>
        </w:rPr>
        <w:t xml:space="preserve">4. </w:t>
      </w:r>
      <w:r w:rsidR="00700A76" w:rsidRPr="00700A76">
        <w:rPr>
          <w:rFonts w:ascii="Arial" w:hAnsi="Arial" w:cs="Arial"/>
        </w:rPr>
        <w:t>MOLECULAR MECHANISMS OF ANTIMICROBIAL ACTION</w:t>
      </w:r>
    </w:p>
    <w:p w14:paraId="1C7C2628" w14:textId="77777777" w:rsidR="00790ADA" w:rsidRPr="00FB3A86" w:rsidRDefault="00790ADA" w:rsidP="00441B6F">
      <w:pPr>
        <w:pStyle w:val="ConcHead"/>
        <w:spacing w:after="0"/>
        <w:jc w:val="both"/>
        <w:rPr>
          <w:rFonts w:ascii="Arial" w:hAnsi="Arial" w:cs="Arial"/>
        </w:rPr>
      </w:pPr>
    </w:p>
    <w:p w14:paraId="309530C4" w14:textId="6E218375" w:rsidR="00700A76" w:rsidRPr="00700A76" w:rsidRDefault="00700A76" w:rsidP="00700A76">
      <w:pPr>
        <w:pStyle w:val="Body"/>
        <w:spacing w:after="0"/>
        <w:rPr>
          <w:rFonts w:ascii="Arial" w:hAnsi="Arial" w:cs="Arial"/>
        </w:rPr>
      </w:pPr>
      <w:r w:rsidRPr="00700A76">
        <w:rPr>
          <w:rFonts w:ascii="Arial" w:eastAsia="Google Sans Text" w:hAnsi="Arial" w:cs="Arial"/>
          <w:color w:val="1B1C1D"/>
        </w:rPr>
        <w:t>The efficacy of nanoparticles in food preservation stems from their ability to inhibit microbial growth through several molecular mechanisms, often acting on multiple cellular targets simultaneously, which helps prevent the development of antimicrobial resistance. A primary mechanism is the induction of oxidative stress through the generation of reactive oxygen species (ROS), which damage critical biomolecules like DNA, disrupt ATP synthesis, and ultimately lead to cell death. Nanoparticles also cause direct physical damage to microbial cells. Inorganic metallic nanoparticles, for instance, often possess a positive surface charge that facilitates an electrostatic interaction with the negatively charged bacterial cell wall, leading to membrane destabilization, increased permeability, and the leakage of essential intracellular contents (Sánchez-López et al., 2020). In addition to direct contact, many metallic nanoparticles release metal ions that can inactivate key enzymes and proteins, thereby disrupting vital metabolic pathways. While inorganic nanoparticles like silver (Ag), zinc oxide (</w:t>
      </w:r>
      <w:proofErr w:type="spellStart"/>
      <w:r w:rsidRPr="00700A76">
        <w:rPr>
          <w:rFonts w:ascii="Arial" w:eastAsia="Google Sans Text" w:hAnsi="Arial" w:cs="Arial"/>
          <w:color w:val="1B1C1D"/>
        </w:rPr>
        <w:t>ZnO</w:t>
      </w:r>
      <w:proofErr w:type="spellEnd"/>
      <w:r w:rsidRPr="00700A76">
        <w:rPr>
          <w:rFonts w:ascii="Arial" w:eastAsia="Google Sans Text" w:hAnsi="Arial" w:cs="Arial"/>
          <w:color w:val="1B1C1D"/>
        </w:rPr>
        <w:t>), and titanium oxide (TiO</w:t>
      </w:r>
      <w:r w:rsidRPr="00700A76">
        <w:rPr>
          <w:rFonts w:ascii="Arial" w:eastAsia="Google Sans Text" w:hAnsi="Arial" w:cs="Arial"/>
          <w:color w:val="1B1C1D"/>
          <w:vertAlign w:val="subscript"/>
        </w:rPr>
        <w:t>2​</w:t>
      </w:r>
      <w:r w:rsidRPr="00700A76">
        <w:rPr>
          <w:rFonts w:ascii="Arial" w:eastAsia="Google Sans Text" w:hAnsi="Arial" w:cs="Arial"/>
          <w:color w:val="1B1C1D"/>
        </w:rPr>
        <w:t>) exhibit strong, broad-spectrum antimicrobial activity on their own, organic nanoparticles such as pectin and cellulose often possess weak antimicrobial properties and must be conjugated with other active agents, like essential oils or metals, to be effective. The mechanisms by which these various nanoparticles are taken up by plants are illustrated in Figure 4.</w:t>
      </w:r>
    </w:p>
    <w:p w14:paraId="667CA7B1" w14:textId="77777777" w:rsidR="00700A76" w:rsidRPr="00700A76" w:rsidRDefault="00700A76" w:rsidP="00700A76">
      <w:pPr>
        <w:pBdr>
          <w:top w:val="nil"/>
          <w:left w:val="nil"/>
          <w:bottom w:val="nil"/>
          <w:right w:val="nil"/>
          <w:between w:val="nil"/>
        </w:pBdr>
        <w:spacing w:line="275" w:lineRule="auto"/>
        <w:jc w:val="both"/>
        <w:rPr>
          <w:rFonts w:ascii="Arial" w:eastAsia="Google Sans Text" w:hAnsi="Arial" w:cs="Arial"/>
          <w:color w:val="1B1C1D"/>
        </w:rPr>
      </w:pPr>
      <w:r w:rsidRPr="00700A76">
        <w:rPr>
          <w:rFonts w:ascii="Arial" w:eastAsia="Google Sans Text" w:hAnsi="Arial" w:cs="Arial"/>
          <w:noProof/>
          <w:color w:val="1B1C1D"/>
        </w:rPr>
        <w:lastRenderedPageBreak/>
        <w:drawing>
          <wp:inline distT="0" distB="0" distL="0" distR="0" wp14:anchorId="6BC3F37A" wp14:editId="739A6975">
            <wp:extent cx="5199797" cy="19004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8325" cy="1903598"/>
                    </a:xfrm>
                    <a:prstGeom prst="rect">
                      <a:avLst/>
                    </a:prstGeom>
                  </pic:spPr>
                </pic:pic>
              </a:graphicData>
            </a:graphic>
          </wp:inline>
        </w:drawing>
      </w:r>
    </w:p>
    <w:p w14:paraId="144D4926" w14:textId="260451D2"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b/>
          <w:bCs/>
          <w:color w:val="1B1C1D"/>
        </w:rPr>
        <w:t xml:space="preserve">Fig 4. </w:t>
      </w:r>
      <w:r w:rsidRPr="00700A76">
        <w:rPr>
          <w:rFonts w:ascii="Arial" w:eastAsia="Google Sans Text" w:hAnsi="Arial" w:cs="Arial"/>
          <w:color w:val="1B1C1D"/>
        </w:rPr>
        <w:t xml:space="preserve">Mechanisms of nanoparticle uptake and transport in plants for agricultural applications [Adapted with permission from Shah et al., 2024] </w:t>
      </w:r>
      <w:r w:rsidRPr="00700A76">
        <w:rPr>
          <w:rFonts w:ascii="Arial" w:eastAsia="Google Sans Text" w:hAnsi="Arial" w:cs="Arial"/>
          <w:color w:val="1B1C1D"/>
        </w:rPr>
        <w:fldChar w:fldCharType="begin" w:fldLock="1"/>
      </w:r>
      <w:r w:rsidR="007A607C">
        <w:rPr>
          <w:rFonts w:ascii="Arial" w:eastAsia="Google Sans Text" w:hAnsi="Arial" w:cs="Arial"/>
          <w:color w:val="1B1C1D"/>
        </w:rPr>
        <w:instrText>ADDIN CSL_CITATION {"citationItems":[{"id":"ITEM-1","itemData":{"DOI":"10.1016/J.SUSMAT.2023.E00809","ISSN":"2214-9937","abstract":"The world faces the latest challenges, such as an increasing population, climate change, declining soil quality, and food security, demanding innovative solutions for producing high-quality, larger-scale food products. One such solution is the integration of nanotechnology into agriculture. Recently, nanotechnology has been introduced in agricultural engineering, where nanomaterials are used to develop various technologies for sustainable agriculture applications. Nanotechnology catalyzes sustainable agriculture by infusing the agricultural landscape with efficiency, accuracy, eco-friendliness, and environmental stewardship. Nanotechnologies have infiltrated from the early germination of seeds to the final stages of food processing, encompassing upstream and downstream activities. At the seed level, nanoscale coatings enhance viability, disease resistance, nutrient uptake, the germination stage, and seed quality. Nanosensors and nanobiosensors monitor and manage crop health, water usage, and soil quality. As crops mature, nano-enabled delivery systems precisely apply fertilizers, pesticides, and growth regulators, minimizing waste and maximizing efficacy. Additionally, nanotechnology aids in food processing, improving food preservation, smart packaging, and quality control, reducing post-harvest losses and extending shelf life. It optimizes resource utilization, improves crop resilience, and reduces waste, offering a sustainable path to feed the growing global population—however, the analysis and integration of nanotechnology in agriculture open avenues for innovation and future advancements. Environmental issues, cost-effectiveness, soil health, and health risks associated with nanomaterials in agricultural practices are the main challenges that must be addressed. This review focuses on nanotechnology's potential to revolutionize agriculture by enhancing crop yield, quality, cost-effectiveness, soil health, and environmental sustainability. Embracing nanotechnology ensures food security and environmental stewardship for future generations, making it a crucial tool in addressing global agricultural challenges.","author":[{"dropping-particle":"","family":"Shah","given":"Mudasir Akbar","non-dropping-particle":"","parse-names":false,"suffix":""},{"dropping-particle":"","family":"Shahnaz","given":"Tasrin","non-dropping-particle":"","parse-names":false,"suffix":""},{"dropping-particle":"","family":"Zehab-ud-Din","given":"","non-dropping-particle":"","parse-names":false,"suffix":""},{"dropping-particle":"","family":"Masoodi","given":"J. H.","non-dropping-particle":"","parse-names":false,"suffix":""},{"dropping-particle":"","family":"Nazir","given":"Salik","non-dropping-particle":"","parse-names":false,"suffix":""},{"dropping-particle":"","family":"Qurashi","given":"Ahsanulhaq","non-dropping-particle":"","parse-names":false,"suffix":""},{"dropping-particle":"","family":"Ahmed","given":"Gasim Hayder","non-dropping-particle":"","parse-names":false,"suffix":""}],"container-title":"Sustainable Materials and Technologies","id":"ITEM-1","issued":{"date-parts":[["2024","4","1"]]},"page":"e00809","publisher":"Elsevier","title":"Application of nanotechnology in the agricultural and food processing industries: A review","type":"article-journal","volume":"39"},"uris":["http://www.mendeley.com/documents/?uuid=353691c6-6405-3355-b8f6-9434cf9b8103"]}],"mendeley":{"formattedCitation":"[14]","plainTextFormattedCitation":"[14]","previouslyFormattedCitation":"(Shah et al., 2024)"},"properties":{"noteIndex":0},"schema":"https://github.com/citation-style-language/schema/raw/master/csl-citation.json"}</w:instrText>
      </w:r>
      <w:r w:rsidRPr="00700A76">
        <w:rPr>
          <w:rFonts w:ascii="Arial" w:eastAsia="Google Sans Text" w:hAnsi="Arial" w:cs="Arial"/>
          <w:color w:val="1B1C1D"/>
        </w:rPr>
        <w:fldChar w:fldCharType="separate"/>
      </w:r>
      <w:r w:rsidR="007A607C" w:rsidRPr="007A607C">
        <w:rPr>
          <w:rFonts w:ascii="Arial" w:eastAsia="Google Sans Text" w:hAnsi="Arial" w:cs="Arial"/>
          <w:noProof/>
          <w:color w:val="1B1C1D"/>
        </w:rPr>
        <w:t>[14]</w:t>
      </w:r>
      <w:r w:rsidRPr="00700A76">
        <w:rPr>
          <w:rFonts w:ascii="Arial" w:eastAsia="Google Sans Text" w:hAnsi="Arial" w:cs="Arial"/>
          <w:color w:val="1B1C1D"/>
        </w:rPr>
        <w:fldChar w:fldCharType="end"/>
      </w:r>
      <w:r w:rsidRPr="00700A76">
        <w:rPr>
          <w:rFonts w:ascii="Arial" w:eastAsia="Google Sans Text" w:hAnsi="Arial" w:cs="Arial"/>
          <w:color w:val="1B1C1D"/>
        </w:rPr>
        <w:t>.</w:t>
      </w:r>
    </w:p>
    <w:p w14:paraId="0FA6B746" w14:textId="53CC209C" w:rsidR="00700A76" w:rsidRDefault="00700A76" w:rsidP="00700A76">
      <w:pPr>
        <w:pStyle w:val="Body"/>
        <w:spacing w:after="0"/>
        <w:rPr>
          <w:rFonts w:ascii="Arial" w:eastAsia="Google Sans Text" w:hAnsi="Arial" w:cs="Arial"/>
          <w:color w:val="1B1C1D"/>
        </w:rPr>
      </w:pPr>
    </w:p>
    <w:p w14:paraId="4A93B341" w14:textId="265EE9F7" w:rsidR="00700A76" w:rsidRDefault="00700A76" w:rsidP="00700A76">
      <w:pPr>
        <w:pStyle w:val="ConcHead"/>
        <w:spacing w:after="0"/>
        <w:jc w:val="both"/>
        <w:rPr>
          <w:rFonts w:ascii="Arial" w:hAnsi="Arial" w:cs="Arial"/>
        </w:rPr>
      </w:pPr>
      <w:r>
        <w:rPr>
          <w:rFonts w:ascii="Arial" w:hAnsi="Arial" w:cs="Arial"/>
        </w:rPr>
        <w:t xml:space="preserve">5. </w:t>
      </w:r>
      <w:r w:rsidRPr="00700A76">
        <w:rPr>
          <w:rFonts w:ascii="Arial" w:hAnsi="Arial" w:cs="Arial"/>
        </w:rPr>
        <w:t>MOLECULAR MECHANISMS OF ANTIMICROBIAL ACTION</w:t>
      </w:r>
    </w:p>
    <w:p w14:paraId="1F509B9B" w14:textId="77777777" w:rsidR="00700A76" w:rsidRPr="00FB3A86" w:rsidRDefault="00700A76" w:rsidP="00700A76">
      <w:pPr>
        <w:pStyle w:val="ConcHead"/>
        <w:spacing w:after="0"/>
        <w:jc w:val="both"/>
        <w:rPr>
          <w:rFonts w:ascii="Arial" w:hAnsi="Arial" w:cs="Arial"/>
        </w:rPr>
      </w:pPr>
    </w:p>
    <w:p w14:paraId="5E7CCCEC" w14:textId="77777777"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 xml:space="preserve">Despite their immense potential, the widespread application of </w:t>
      </w:r>
      <w:proofErr w:type="spellStart"/>
      <w:r w:rsidRPr="00700A76">
        <w:rPr>
          <w:rFonts w:ascii="Arial" w:eastAsia="Google Sans Text" w:hAnsi="Arial" w:cs="Arial"/>
          <w:color w:val="1B1C1D"/>
        </w:rPr>
        <w:t>agro</w:t>
      </w:r>
      <w:proofErr w:type="spellEnd"/>
      <w:r w:rsidRPr="00700A76">
        <w:rPr>
          <w:rFonts w:ascii="Arial" w:eastAsia="Google Sans Text" w:hAnsi="Arial" w:cs="Arial"/>
          <w:color w:val="1B1C1D"/>
        </w:rPr>
        <w:t xml:space="preserve">-waste-derived nanoparticles faces significant hurdles, particularly concerning synthesis, safety, and regulation. A major challenge is the heterogeneity of the raw material; agro-industrial waste has a highly variable chemical composition, which makes it difficult to standardize synthesis methods and obtain nanoparticles with consistent and predictable properties (Olaniyan et al., 2025). Scaling up production from the lab to an industrial level in a cost-effective manner while achieving high yields also remains a formidable obstacle. The most critical concern, however, is the potential toxicity and risk to human health and the environment. Nanoparticles possess unique properties different from their bulk forms, and their small size allows them to migrate from packaging into food, be absorbed by plants, and potentially enter the food chain. Reports suggest that higher doses of some PNPs could lead to a 10-15% reduction in soil microbial diversity (Sidhu et al., 2025). Nanoparticle toxicity is complex and depends on multiple factors, including size, shape, surface charge, and concentration. For example, studies have shown that spherical </w:t>
      </w:r>
      <w:proofErr w:type="spellStart"/>
      <w:r w:rsidRPr="00700A76">
        <w:rPr>
          <w:rFonts w:ascii="Arial" w:eastAsia="Google Sans Text" w:hAnsi="Arial" w:cs="Arial"/>
          <w:color w:val="1B1C1D"/>
        </w:rPr>
        <w:t>ZnO</w:t>
      </w:r>
      <w:proofErr w:type="spellEnd"/>
      <w:r w:rsidRPr="00700A76">
        <w:rPr>
          <w:rFonts w:ascii="Arial" w:eastAsia="Google Sans Text" w:hAnsi="Arial" w:cs="Arial"/>
          <w:color w:val="1B1C1D"/>
        </w:rPr>
        <w:t xml:space="preserve"> nanoparticles can be more toxic than their nanorod counterparts (Medici et al., 2021).</w:t>
      </w:r>
    </w:p>
    <w:p w14:paraId="47E1C16E" w14:textId="77777777" w:rsidR="00700A76" w:rsidRDefault="00700A76" w:rsidP="00700A76">
      <w:pPr>
        <w:pStyle w:val="Body"/>
        <w:spacing w:after="0"/>
        <w:rPr>
          <w:rFonts w:ascii="Arial" w:eastAsia="Google Sans Text" w:hAnsi="Arial" w:cs="Arial"/>
          <w:color w:val="1B1C1D"/>
        </w:rPr>
      </w:pPr>
    </w:p>
    <w:p w14:paraId="14768FA2" w14:textId="2E6DDDC6" w:rsidR="00700A76" w:rsidRP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Due to these risks, there is a pressing need for clear regulatory frameworks. Currently, guidelines for the use of nanomaterials in agriculture vary significantly across regions. In the United States, the EPA, FDA, and USDA oversee safety assessments and labeling. The European Union has a strict framework requiring mandatory labeling and traceability through agencies like EFSA and ECHA. Similarly, countries like India and China have established guidelines for the safety assessment and management of agricultural nanoproducts (Sidhu et al., 2025). However, these regulations often lag behind the rapid pace of innovation. Future research must prioritize the development of standardized green synthesis methods alongside comprehensive, long-term studies on the environmental fate and toxicological profiles of these promising materials to ensure their safe and sustainable integration into agricultural practices.</w:t>
      </w:r>
    </w:p>
    <w:p w14:paraId="1647645A" w14:textId="27CF2B63" w:rsidR="00790ADA" w:rsidRDefault="00790ADA" w:rsidP="00441B6F">
      <w:pPr>
        <w:pStyle w:val="Body"/>
        <w:spacing w:after="0"/>
        <w:rPr>
          <w:rFonts w:ascii="Arial" w:hAnsi="Arial" w:cs="Arial"/>
        </w:rPr>
      </w:pPr>
    </w:p>
    <w:p w14:paraId="6DC57EF2" w14:textId="40BA6222" w:rsidR="00700A76" w:rsidRDefault="00700A76" w:rsidP="00700A76">
      <w:pPr>
        <w:pStyle w:val="ConcHead"/>
        <w:spacing w:after="0"/>
        <w:jc w:val="both"/>
        <w:rPr>
          <w:rFonts w:ascii="Arial" w:hAnsi="Arial" w:cs="Arial"/>
        </w:rPr>
      </w:pPr>
      <w:r>
        <w:rPr>
          <w:rFonts w:ascii="Arial" w:hAnsi="Arial" w:cs="Arial"/>
        </w:rPr>
        <w:t xml:space="preserve">6. </w:t>
      </w:r>
      <w:r w:rsidRPr="00700A76">
        <w:rPr>
          <w:rFonts w:ascii="Arial" w:hAnsi="Arial" w:cs="Arial"/>
        </w:rPr>
        <w:t>CONCLUSION</w:t>
      </w:r>
    </w:p>
    <w:p w14:paraId="4CA3FEE0" w14:textId="77777777" w:rsidR="00700A76" w:rsidRPr="00FB3A86" w:rsidRDefault="00700A76" w:rsidP="00700A76">
      <w:pPr>
        <w:pStyle w:val="ConcHead"/>
        <w:spacing w:after="0"/>
        <w:jc w:val="both"/>
        <w:rPr>
          <w:rFonts w:ascii="Arial" w:hAnsi="Arial" w:cs="Arial"/>
        </w:rPr>
      </w:pPr>
    </w:p>
    <w:p w14:paraId="11B4ED0A" w14:textId="3EA04DCA" w:rsidR="00700A76" w:rsidRP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 xml:space="preserve">The valorization of agricultural waste through nanotechnology presents a powerful and sustainable solution to concurrent challenges in waste management, food security, and environmental protection. Green synthesis methods offer an eco-friendly and economically viable route to producing a wide array of organic, inorganic, and hybrid nanoparticles with significant potential to revolutionize agrotechnology. Their application in active food </w:t>
      </w:r>
      <w:r w:rsidRPr="00700A76">
        <w:rPr>
          <w:rFonts w:ascii="Arial" w:eastAsia="Google Sans Text" w:hAnsi="Arial" w:cs="Arial"/>
          <w:color w:val="1B1C1D"/>
        </w:rPr>
        <w:lastRenderedPageBreak/>
        <w:t>packaging and as controlled-release systems for agrochemicals can drastically improve food preservation, reduce waste, enhance crop protection, and promote soil health. However, the path to widespread commercialization is fraught with challenges. Issues of production scalability, cost-effectiveness, and, most importantly, the potential for nanotoxicity must be thoroughly addressed through continued interdisciplinary research and the establishment of clear, harmonized regulatory guidelines. Overcoming these hurdles will be key to unlocking the full potential of these materials and advancing a truly circular economy in the agricultural sector, contributing to a more sustainable and resilient global food system.</w:t>
      </w:r>
    </w:p>
    <w:p w14:paraId="4C5B06C3" w14:textId="77777777" w:rsidR="00700A76" w:rsidRPr="00FB3A86" w:rsidRDefault="00700A76" w:rsidP="00700A76">
      <w:pPr>
        <w:pStyle w:val="Body"/>
        <w:spacing w:after="0"/>
        <w:rPr>
          <w:rFonts w:ascii="Arial" w:hAnsi="Arial" w:cs="Arial"/>
        </w:rPr>
      </w:pPr>
    </w:p>
    <w:p w14:paraId="777FC0A9" w14:textId="77777777" w:rsidR="00371FB6" w:rsidRDefault="00371FB6" w:rsidP="00441B6F">
      <w:pPr>
        <w:pStyle w:val="ReferHead"/>
        <w:spacing w:after="0"/>
        <w:jc w:val="both"/>
        <w:rPr>
          <w:rFonts w:ascii="Arial" w:hAnsi="Arial" w:cs="Arial"/>
          <w:b w:val="0"/>
          <w:caps w:val="0"/>
          <w:sz w:val="20"/>
        </w:rPr>
      </w:pPr>
    </w:p>
    <w:p w14:paraId="7B0F0249" w14:textId="209C65EC" w:rsidR="00371FB6" w:rsidRDefault="007A607C" w:rsidP="00441B6F">
      <w:pPr>
        <w:pStyle w:val="ReferHead"/>
        <w:spacing w:after="0"/>
        <w:jc w:val="both"/>
        <w:rPr>
          <w:rFonts w:ascii="Arial" w:hAnsi="Arial" w:cs="Arial"/>
          <w:bCs/>
        </w:rPr>
      </w:pPr>
      <w:r w:rsidRPr="007A607C">
        <w:rPr>
          <w:rFonts w:ascii="Arial" w:hAnsi="Arial" w:cs="Arial"/>
          <w:bCs/>
        </w:rPr>
        <w:t>Declaration of Generative AI</w:t>
      </w:r>
    </w:p>
    <w:p w14:paraId="09D7A422" w14:textId="77777777" w:rsidR="00371FB6" w:rsidRPr="00371FB6" w:rsidRDefault="00371FB6" w:rsidP="00441B6F">
      <w:pPr>
        <w:pStyle w:val="ReferHead"/>
        <w:spacing w:after="0"/>
        <w:jc w:val="both"/>
        <w:rPr>
          <w:rFonts w:ascii="Arial" w:hAnsi="Arial" w:cs="Arial"/>
          <w:bCs/>
        </w:rPr>
      </w:pPr>
    </w:p>
    <w:p w14:paraId="1FA0652E" w14:textId="3C229119" w:rsidR="00860000" w:rsidRDefault="007A607C" w:rsidP="007A607C">
      <w:pPr>
        <w:pBdr>
          <w:top w:val="nil"/>
          <w:left w:val="nil"/>
          <w:bottom w:val="nil"/>
          <w:right w:val="nil"/>
          <w:between w:val="nil"/>
        </w:pBdr>
        <w:spacing w:line="275" w:lineRule="auto"/>
        <w:jc w:val="both"/>
        <w:rPr>
          <w:rFonts w:ascii="Arial" w:eastAsia="Google Sans Text" w:hAnsi="Arial" w:cs="Arial"/>
          <w:color w:val="1B1C1D"/>
        </w:rPr>
      </w:pPr>
      <w:r w:rsidRPr="007A607C">
        <w:rPr>
          <w:rFonts w:ascii="Arial" w:eastAsia="Google Sans Text" w:hAnsi="Arial" w:cs="Arial"/>
          <w:color w:val="1B1C1D"/>
        </w:rPr>
        <w:t>During the preparation of this work, the author used Gemini AI in order to refine the English. After using this tool/service, the authors reviewed and edited the content as needed and take full responsibility for the content of the publication.</w:t>
      </w:r>
    </w:p>
    <w:p w14:paraId="1525519D" w14:textId="77777777" w:rsidR="007A607C" w:rsidRPr="007A607C" w:rsidRDefault="007A607C" w:rsidP="007A607C">
      <w:pPr>
        <w:pBdr>
          <w:top w:val="nil"/>
          <w:left w:val="nil"/>
          <w:bottom w:val="nil"/>
          <w:right w:val="nil"/>
          <w:between w:val="nil"/>
        </w:pBdr>
        <w:spacing w:line="275" w:lineRule="auto"/>
        <w:jc w:val="both"/>
        <w:rPr>
          <w:rFonts w:ascii="Arial" w:eastAsia="Google Sans Text" w:hAnsi="Arial" w:cs="Arial"/>
          <w:color w:val="1B1C1D"/>
        </w:rPr>
      </w:pPr>
    </w:p>
    <w:p w14:paraId="675645D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3C12DED" w14:textId="77777777" w:rsidR="00790ADA" w:rsidRPr="007A607C" w:rsidRDefault="00790ADA" w:rsidP="00441B6F">
      <w:pPr>
        <w:pStyle w:val="ReferHead"/>
        <w:spacing w:after="0"/>
        <w:jc w:val="both"/>
        <w:rPr>
          <w:rFonts w:ascii="Arial" w:hAnsi="Arial" w:cs="Arial"/>
          <w:sz w:val="20"/>
        </w:rPr>
      </w:pPr>
    </w:p>
    <w:p w14:paraId="4C2029B9"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Adebayo, A. E., Oke, A. M., Lateef, A., et al. (2019). Biosynthesis of silver, gold and silver-gold alloy nanoparticles using </w:t>
      </w:r>
      <w:proofErr w:type="spellStart"/>
      <w:r w:rsidRPr="007A607C">
        <w:rPr>
          <w:rFonts w:ascii="Arial" w:eastAsia="Google Sans Text" w:hAnsi="Arial" w:cs="Arial"/>
          <w:color w:val="1B1C1D"/>
        </w:rPr>
        <w:t>Persea</w:t>
      </w:r>
      <w:proofErr w:type="spellEnd"/>
      <w:r w:rsidRPr="007A607C">
        <w:rPr>
          <w:rFonts w:ascii="Arial" w:eastAsia="Google Sans Text" w:hAnsi="Arial" w:cs="Arial"/>
          <w:color w:val="1B1C1D"/>
        </w:rPr>
        <w:t xml:space="preserve"> </w:t>
      </w:r>
      <w:proofErr w:type="spellStart"/>
      <w:r w:rsidRPr="007A607C">
        <w:rPr>
          <w:rFonts w:ascii="Arial" w:eastAsia="Google Sans Text" w:hAnsi="Arial" w:cs="Arial"/>
          <w:color w:val="1B1C1D"/>
        </w:rPr>
        <w:t>americana</w:t>
      </w:r>
      <w:proofErr w:type="spellEnd"/>
      <w:r w:rsidRPr="007A607C">
        <w:rPr>
          <w:rFonts w:ascii="Arial" w:eastAsia="Google Sans Text" w:hAnsi="Arial" w:cs="Arial"/>
          <w:color w:val="1B1C1D"/>
        </w:rPr>
        <w:t xml:space="preserve"> fruit peel aqueous extract for their biomedical properties. </w:t>
      </w:r>
      <w:r w:rsidRPr="007A607C">
        <w:rPr>
          <w:rFonts w:ascii="Arial" w:eastAsia="Google Sans Text" w:hAnsi="Arial" w:cs="Arial"/>
          <w:i/>
          <w:color w:val="1B1C1D"/>
        </w:rPr>
        <w:t>Nanotechnology for Environmental Engineering</w:t>
      </w:r>
      <w:r w:rsidRPr="007A607C">
        <w:rPr>
          <w:rFonts w:ascii="Arial" w:eastAsia="Google Sans Text" w:hAnsi="Arial" w:cs="Arial"/>
          <w:color w:val="1B1C1D"/>
        </w:rPr>
        <w:t>, 4(1), 13. https://doi.org/10.1007/s41204-019-0060-8</w:t>
      </w:r>
    </w:p>
    <w:p w14:paraId="08ED8BD5"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Akram, W., et al. (2024). Simultaneous synthesis and application of TiO</w:t>
      </w:r>
      <w:r w:rsidRPr="007A607C">
        <w:rPr>
          <w:rFonts w:ascii="Arial" w:eastAsia="Google Sans Text" w:hAnsi="Arial" w:cs="Arial"/>
          <w:color w:val="1B1C1D"/>
          <w:vertAlign w:val="subscript"/>
        </w:rPr>
        <w:t>2</w:t>
      </w:r>
      <w:r w:rsidRPr="007A607C">
        <w:rPr>
          <w:rFonts w:ascii="Arial" w:eastAsia="Google Sans Text" w:hAnsi="Arial" w:cs="Arial"/>
          <w:color w:val="1B1C1D"/>
        </w:rPr>
        <w:t xml:space="preserve"> nanoparticles using mulberry leaves for functionalization of organic cotton fabric. </w:t>
      </w:r>
      <w:r w:rsidRPr="007A607C">
        <w:rPr>
          <w:rFonts w:ascii="Arial" w:eastAsia="Google Sans Text" w:hAnsi="Arial" w:cs="Arial"/>
          <w:i/>
          <w:color w:val="1B1C1D"/>
        </w:rPr>
        <w:t>Journal of Cleaner Production</w:t>
      </w:r>
      <w:r w:rsidRPr="007A607C">
        <w:rPr>
          <w:rFonts w:ascii="Arial" w:eastAsia="Google Sans Text" w:hAnsi="Arial" w:cs="Arial"/>
          <w:color w:val="1B1C1D"/>
        </w:rPr>
        <w:t>, 440, 140939. https://doi.org/10.1016/j.jclepro.2024.140939</w:t>
      </w:r>
    </w:p>
    <w:p w14:paraId="1C1A13E4"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Cheng, J., Tian, B., Wang, J., Wang, Z., &amp; Liu, Y. (2021). Development of multifunctional films based on chitosan, nano silica and hops extracts. </w:t>
      </w:r>
      <w:r w:rsidRPr="007A607C">
        <w:rPr>
          <w:rFonts w:ascii="Arial" w:eastAsia="Google Sans Text" w:hAnsi="Arial" w:cs="Arial"/>
          <w:i/>
          <w:color w:val="1B1C1D"/>
        </w:rPr>
        <w:t>European Polymer Journal</w:t>
      </w:r>
      <w:r w:rsidRPr="007A607C">
        <w:rPr>
          <w:rFonts w:ascii="Arial" w:eastAsia="Google Sans Text" w:hAnsi="Arial" w:cs="Arial"/>
          <w:color w:val="1B1C1D"/>
        </w:rPr>
        <w:t>, 161, 110816. https://doi.org/10.1016/j.eurpolymj.2021.110816</w:t>
      </w:r>
    </w:p>
    <w:p w14:paraId="2F79DD6F"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Duque-Acevedo, M., Belmonte-Ureña, L. J., Cortés-García, F. J., &amp; Camacho-Ferre, F. (2020). Agricultural waste: Review of the evolution, approaches and perspectives on alternative uses. </w:t>
      </w:r>
      <w:r w:rsidRPr="007A607C">
        <w:rPr>
          <w:rFonts w:ascii="Arial" w:eastAsia="Google Sans Text" w:hAnsi="Arial" w:cs="Arial"/>
          <w:i/>
          <w:color w:val="1B1C1D"/>
        </w:rPr>
        <w:t>Global Ecology and Conservation</w:t>
      </w:r>
      <w:r w:rsidRPr="007A607C">
        <w:rPr>
          <w:rFonts w:ascii="Arial" w:eastAsia="Google Sans Text" w:hAnsi="Arial" w:cs="Arial"/>
          <w:color w:val="1B1C1D"/>
        </w:rPr>
        <w:t>, 22, e00902. https://doi.org/10.1016/j.gecco.2020.e00902</w:t>
      </w:r>
    </w:p>
    <w:p w14:paraId="7130A95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Flores-Contreras, E. A., González-González, R. B., Pablo Pizaña-Aranda, J. J., Parra-Arroyo, L., Rodríguez-Aguayo, A. A., Iñiguez-Moreno, M., González-Meza, G. M., Araújo, R. G., Ramírez-Gamboa, D., Parra-Saldívar, R., &amp; Melchor-Martínez, E. M. (2024). Agricultural waste as a sustainable source for nanoparticle synthesis and their antimicrobial properties for food preservation. Frontiers in Nanotechnology, 6, 1346069. https://doi.org/10.3389/FNANO.2024.1346069</w:t>
      </w:r>
    </w:p>
    <w:p w14:paraId="72DE3DE8"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Flores-Contreras, E. A., González-González, R. B., Pablo Pizaña-Aranda, J. J., Parra-Arroyo, L., Rodríguez-Aguayo, A. A., Iñiguez-Moreno, M., González-Meza, G. M., Araújo, R. G., Ramírez-Gamboa, D., Parra-Saldívar, R., &amp; Melchor-Martínez, E. M. (2024). Agricultural waste as a sustainable source for nanoparticle synthesis and their antimicrobial properties for food preservation. Frontiers in Nanotechnology, 6, 1346069. https://doi.org/10.3389/FNANO.2024.1346069/XML</w:t>
      </w:r>
    </w:p>
    <w:p w14:paraId="52F9E77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Frida, E., </w:t>
      </w:r>
      <w:proofErr w:type="spellStart"/>
      <w:r w:rsidRPr="007A607C">
        <w:rPr>
          <w:rFonts w:ascii="Arial" w:eastAsia="Google Sans Text" w:hAnsi="Arial" w:cs="Arial"/>
          <w:color w:val="1B1C1D"/>
        </w:rPr>
        <w:t>Ratnawulan</w:t>
      </w:r>
      <w:proofErr w:type="spellEnd"/>
      <w:r w:rsidRPr="007A607C">
        <w:rPr>
          <w:rFonts w:ascii="Arial" w:eastAsia="Google Sans Text" w:hAnsi="Arial" w:cs="Arial"/>
          <w:color w:val="1B1C1D"/>
        </w:rPr>
        <w:t xml:space="preserve">, Bukit, N., Bukit, B. F., Taufiq, A., Pratama, A. W., Rahmawati, I., &amp; Bukit, F. R. A. (2024). </w:t>
      </w:r>
      <w:proofErr w:type="spellStart"/>
      <w:r w:rsidRPr="007A607C">
        <w:rPr>
          <w:rFonts w:ascii="Arial" w:eastAsia="Google Sans Text" w:hAnsi="Arial" w:cs="Arial"/>
          <w:color w:val="1B1C1D"/>
        </w:rPr>
        <w:t>Superhydrophilic</w:t>
      </w:r>
      <w:proofErr w:type="spellEnd"/>
      <w:r w:rsidRPr="007A607C">
        <w:rPr>
          <w:rFonts w:ascii="Arial" w:eastAsia="Google Sans Text" w:hAnsi="Arial" w:cs="Arial"/>
          <w:color w:val="1B1C1D"/>
        </w:rPr>
        <w:t xml:space="preserve"> and self-cleaning properties of cotton fabric coated with oil palm boiler ash and titanium dioxide. Case Studies in Chemical and </w:t>
      </w:r>
      <w:r w:rsidRPr="007A607C">
        <w:rPr>
          <w:rFonts w:ascii="Arial" w:eastAsia="Google Sans Text" w:hAnsi="Arial" w:cs="Arial"/>
          <w:color w:val="1B1C1D"/>
        </w:rPr>
        <w:lastRenderedPageBreak/>
        <w:t>Environmental Engineering, 10, 100946. https://doi.org/10.1016/J.CSCEE.2024.100946</w:t>
      </w:r>
    </w:p>
    <w:p w14:paraId="58328A23"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Hu, W., Zou, Z., Li, H., Zhang, Z., Yu, J., &amp; Tang, Q. (2022). Fabrication of highly transparent and multifunctional polyvinyl alcohol/</w:t>
      </w:r>
      <w:proofErr w:type="gramStart"/>
      <w:r w:rsidRPr="007A607C">
        <w:rPr>
          <w:rFonts w:ascii="Arial" w:eastAsia="Google Sans Text" w:hAnsi="Arial" w:cs="Arial"/>
          <w:color w:val="1B1C1D"/>
        </w:rPr>
        <w:t>starch based</w:t>
      </w:r>
      <w:proofErr w:type="gramEnd"/>
      <w:r w:rsidRPr="007A607C">
        <w:rPr>
          <w:rFonts w:ascii="Arial" w:eastAsia="Google Sans Text" w:hAnsi="Arial" w:cs="Arial"/>
          <w:color w:val="1B1C1D"/>
        </w:rPr>
        <w:t xml:space="preserve"> nanocomposite films using zinc oxide nanoparticles as compatibilizers. </w:t>
      </w:r>
      <w:r w:rsidRPr="007A607C">
        <w:rPr>
          <w:rFonts w:ascii="Arial" w:eastAsia="Google Sans Text" w:hAnsi="Arial" w:cs="Arial"/>
          <w:i/>
          <w:color w:val="1B1C1D"/>
        </w:rPr>
        <w:t>International Journal of Biological Macromolecules</w:t>
      </w:r>
      <w:r w:rsidRPr="007A607C">
        <w:rPr>
          <w:rFonts w:ascii="Arial" w:eastAsia="Google Sans Text" w:hAnsi="Arial" w:cs="Arial"/>
          <w:color w:val="1B1C1D"/>
        </w:rPr>
        <w:t>, 204, 284-292. https://doi.org/10.1016/j.ijbiomac.2022.02.020</w:t>
      </w:r>
    </w:p>
    <w:p w14:paraId="25EA57DA"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Huang, X., Wang, F., Hu, W., Zou, Z., Tang, Q., Li, H., &amp; Xu, L. (2024). Smart packaging films based on corn starch/polyvinyl alcohol containing nano SIM-1 for monitoring food freshness. International Journal of Biological Macromolecules, 256, 128373. https://doi.org/10.1016/J.IJBIOMAC.2023.128373</w:t>
      </w:r>
    </w:p>
    <w:p w14:paraId="2A3918B1"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Kurul, F., Doruk, · Beyzanur, Seda, ·, &amp; </w:t>
      </w:r>
      <w:proofErr w:type="spellStart"/>
      <w:r w:rsidRPr="007A607C">
        <w:rPr>
          <w:rFonts w:ascii="Arial" w:eastAsia="Google Sans Text" w:hAnsi="Arial" w:cs="Arial"/>
          <w:color w:val="1B1C1D"/>
        </w:rPr>
        <w:t>Topkaya</w:t>
      </w:r>
      <w:proofErr w:type="spellEnd"/>
      <w:r w:rsidRPr="007A607C">
        <w:rPr>
          <w:rFonts w:ascii="Arial" w:eastAsia="Google Sans Text" w:hAnsi="Arial" w:cs="Arial"/>
          <w:color w:val="1B1C1D"/>
        </w:rPr>
        <w:t>, N. (2025). Principles of green chemistry: building a sustainable future. Discover Chemistry 2025 2:1, 2(1), 1–25. https://doi.org/10.1007/S44371-025-00152-9</w:t>
      </w:r>
    </w:p>
    <w:p w14:paraId="6B75179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Li, Z., Wang, Q., Zhou, Z., Zhao, S., Zhong, S., Xu, L., Gao, Y., &amp; Cui, X. (2021). Green synthesis of carbon quantum dots from corn stalk shell by hydrothermal approach in near-critical water and applications in detecting and bioimaging. Microchemical Journal, 166, 106250. https://doi.org/10.1016/J.MICROC.2021.106250</w:t>
      </w:r>
    </w:p>
    <w:p w14:paraId="0617CFA9"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Lu, P., Zhao, H., Zheng, L., Duan, Y., Wu, M., Yu, X., &amp; Yang, Y. (2022). Nanocellulose/Nisin Hydrogel Microparticles as Sustained Antimicrobial Coatings for Paper Packaging. ACS Applied Polymer Materials, 4(4), 2664–2673. https://doi.org/10.1021/ACSAPM.2C00001</w:t>
      </w:r>
    </w:p>
    <w:p w14:paraId="5A862FFA"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Medici, S., </w:t>
      </w:r>
      <w:proofErr w:type="spellStart"/>
      <w:r w:rsidRPr="007A607C">
        <w:rPr>
          <w:rFonts w:ascii="Arial" w:eastAsia="Google Sans Text" w:hAnsi="Arial" w:cs="Arial"/>
          <w:color w:val="1B1C1D"/>
        </w:rPr>
        <w:t>Peana</w:t>
      </w:r>
      <w:proofErr w:type="spellEnd"/>
      <w:r w:rsidRPr="007A607C">
        <w:rPr>
          <w:rFonts w:ascii="Arial" w:eastAsia="Google Sans Text" w:hAnsi="Arial" w:cs="Arial"/>
          <w:color w:val="1B1C1D"/>
        </w:rPr>
        <w:t xml:space="preserve">, M., Pelucelli, A., &amp; </w:t>
      </w:r>
      <w:proofErr w:type="spellStart"/>
      <w:r w:rsidRPr="007A607C">
        <w:rPr>
          <w:rFonts w:ascii="Arial" w:eastAsia="Google Sans Text" w:hAnsi="Arial" w:cs="Arial"/>
          <w:color w:val="1B1C1D"/>
        </w:rPr>
        <w:t>Zoroddu</w:t>
      </w:r>
      <w:proofErr w:type="spellEnd"/>
      <w:r w:rsidRPr="007A607C">
        <w:rPr>
          <w:rFonts w:ascii="Arial" w:eastAsia="Google Sans Text" w:hAnsi="Arial" w:cs="Arial"/>
          <w:color w:val="1B1C1D"/>
        </w:rPr>
        <w:t xml:space="preserve">, M. A. (2021). An updated overview on metal nanoparticles toxicity. </w:t>
      </w:r>
      <w:r w:rsidRPr="007A607C">
        <w:rPr>
          <w:rFonts w:ascii="Arial" w:eastAsia="Google Sans Text" w:hAnsi="Arial" w:cs="Arial"/>
          <w:i/>
          <w:color w:val="1B1C1D"/>
        </w:rPr>
        <w:t>Seminars in Cancer Biology</w:t>
      </w:r>
      <w:r w:rsidRPr="007A607C">
        <w:rPr>
          <w:rFonts w:ascii="Arial" w:eastAsia="Google Sans Text" w:hAnsi="Arial" w:cs="Arial"/>
          <w:color w:val="1B1C1D"/>
        </w:rPr>
        <w:t>, 76, 17-26. https://doi.org/10.1016/j.semcancer.2021.06.020</w:t>
      </w:r>
    </w:p>
    <w:p w14:paraId="68EB82C1"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Melenia, A. T., Jovita, S., Utami, D. I., Tamim, R., </w:t>
      </w:r>
      <w:proofErr w:type="spellStart"/>
      <w:r w:rsidRPr="007A607C">
        <w:rPr>
          <w:rFonts w:ascii="Arial" w:eastAsia="Google Sans Text" w:hAnsi="Arial" w:cs="Arial"/>
          <w:color w:val="1B1C1D"/>
        </w:rPr>
        <w:t>Holilah</w:t>
      </w:r>
      <w:proofErr w:type="spellEnd"/>
      <w:r w:rsidRPr="007A607C">
        <w:rPr>
          <w:rFonts w:ascii="Arial" w:eastAsia="Google Sans Text" w:hAnsi="Arial" w:cs="Arial"/>
          <w:color w:val="1B1C1D"/>
        </w:rPr>
        <w:t xml:space="preserve">, H., </w:t>
      </w:r>
      <w:proofErr w:type="spellStart"/>
      <w:r w:rsidRPr="007A607C">
        <w:rPr>
          <w:rFonts w:ascii="Arial" w:eastAsia="Google Sans Text" w:hAnsi="Arial" w:cs="Arial"/>
          <w:color w:val="1B1C1D"/>
        </w:rPr>
        <w:t>Bahruji</w:t>
      </w:r>
      <w:proofErr w:type="spellEnd"/>
      <w:r w:rsidRPr="007A607C">
        <w:rPr>
          <w:rFonts w:ascii="Arial" w:eastAsia="Google Sans Text" w:hAnsi="Arial" w:cs="Arial"/>
          <w:color w:val="1B1C1D"/>
        </w:rPr>
        <w:t xml:space="preserve">, H., Hamid, Z. A. A., </w:t>
      </w:r>
      <w:proofErr w:type="spellStart"/>
      <w:r w:rsidRPr="007A607C">
        <w:rPr>
          <w:rFonts w:ascii="Arial" w:eastAsia="Google Sans Text" w:hAnsi="Arial" w:cs="Arial"/>
          <w:color w:val="1B1C1D"/>
        </w:rPr>
        <w:t>Mubarok</w:t>
      </w:r>
      <w:proofErr w:type="spellEnd"/>
      <w:r w:rsidRPr="007A607C">
        <w:rPr>
          <w:rFonts w:ascii="Arial" w:eastAsia="Google Sans Text" w:hAnsi="Arial" w:cs="Arial"/>
          <w:color w:val="1B1C1D"/>
        </w:rPr>
        <w:t xml:space="preserve">, F., </w:t>
      </w:r>
      <w:proofErr w:type="spellStart"/>
      <w:r w:rsidRPr="007A607C">
        <w:rPr>
          <w:rFonts w:ascii="Arial" w:eastAsia="Google Sans Text" w:hAnsi="Arial" w:cs="Arial"/>
          <w:color w:val="1B1C1D"/>
        </w:rPr>
        <w:t>Widiyastuti</w:t>
      </w:r>
      <w:proofErr w:type="spellEnd"/>
      <w:r w:rsidRPr="007A607C">
        <w:rPr>
          <w:rFonts w:ascii="Arial" w:eastAsia="Google Sans Text" w:hAnsi="Arial" w:cs="Arial"/>
          <w:color w:val="1B1C1D"/>
        </w:rPr>
        <w:t xml:space="preserve">, W., Wibisono, A. T., </w:t>
      </w:r>
      <w:proofErr w:type="spellStart"/>
      <w:r w:rsidRPr="007A607C">
        <w:rPr>
          <w:rFonts w:ascii="Arial" w:eastAsia="Google Sans Text" w:hAnsi="Arial" w:cs="Arial"/>
          <w:color w:val="1B1C1D"/>
        </w:rPr>
        <w:t>Suprapto</w:t>
      </w:r>
      <w:proofErr w:type="spellEnd"/>
      <w:r w:rsidRPr="007A607C">
        <w:rPr>
          <w:rFonts w:ascii="Arial" w:eastAsia="Google Sans Text" w:hAnsi="Arial" w:cs="Arial"/>
          <w:color w:val="1B1C1D"/>
        </w:rPr>
        <w:t xml:space="preserve">, S., Jalil, A. A., &amp; </w:t>
      </w:r>
      <w:proofErr w:type="spellStart"/>
      <w:r w:rsidRPr="007A607C">
        <w:rPr>
          <w:rFonts w:ascii="Arial" w:eastAsia="Google Sans Text" w:hAnsi="Arial" w:cs="Arial"/>
          <w:color w:val="1B1C1D"/>
        </w:rPr>
        <w:t>Prasetyoko</w:t>
      </w:r>
      <w:proofErr w:type="spellEnd"/>
      <w:r w:rsidRPr="007A607C">
        <w:rPr>
          <w:rFonts w:ascii="Arial" w:eastAsia="Google Sans Text" w:hAnsi="Arial" w:cs="Arial"/>
          <w:color w:val="1B1C1D"/>
        </w:rPr>
        <w:t xml:space="preserve">, D. (2024). Nanocrystalline cellulose from </w:t>
      </w:r>
      <w:proofErr w:type="spellStart"/>
      <w:r w:rsidRPr="007A607C">
        <w:rPr>
          <w:rFonts w:ascii="Arial" w:eastAsia="Google Sans Text" w:hAnsi="Arial" w:cs="Arial"/>
          <w:color w:val="1B1C1D"/>
        </w:rPr>
        <w:t>Calophyllum</w:t>
      </w:r>
      <w:proofErr w:type="spellEnd"/>
      <w:r w:rsidRPr="007A607C">
        <w:rPr>
          <w:rFonts w:ascii="Arial" w:eastAsia="Google Sans Text" w:hAnsi="Arial" w:cs="Arial"/>
          <w:color w:val="1B1C1D"/>
        </w:rPr>
        <w:t xml:space="preserve"> </w:t>
      </w:r>
      <w:proofErr w:type="spellStart"/>
      <w:r w:rsidRPr="007A607C">
        <w:rPr>
          <w:rFonts w:ascii="Arial" w:eastAsia="Google Sans Text" w:hAnsi="Arial" w:cs="Arial"/>
          <w:color w:val="1B1C1D"/>
        </w:rPr>
        <w:t>inophyllum</w:t>
      </w:r>
      <w:proofErr w:type="spellEnd"/>
      <w:r w:rsidRPr="007A607C">
        <w:rPr>
          <w:rFonts w:ascii="Arial" w:eastAsia="Google Sans Text" w:hAnsi="Arial" w:cs="Arial"/>
          <w:color w:val="1B1C1D"/>
        </w:rPr>
        <w:t xml:space="preserve"> shells waste by adjusting organic acid hydrolysis and optimization of reaction parameters using response surface methodology. International Journal of Biological Macromolecules, 281, 135705. https://doi.org/10.1016/J.IJBIOMAC.2024.135705</w:t>
      </w:r>
    </w:p>
    <w:p w14:paraId="2E040666"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Olaniyan, O. F., </w:t>
      </w:r>
      <w:proofErr w:type="spellStart"/>
      <w:r w:rsidRPr="007A607C">
        <w:rPr>
          <w:rFonts w:ascii="Arial" w:eastAsia="Google Sans Text" w:hAnsi="Arial" w:cs="Arial"/>
          <w:color w:val="1B1C1D"/>
        </w:rPr>
        <w:t>Ariwaodo</w:t>
      </w:r>
      <w:proofErr w:type="spellEnd"/>
      <w:r w:rsidRPr="007A607C">
        <w:rPr>
          <w:rFonts w:ascii="Arial" w:eastAsia="Google Sans Text" w:hAnsi="Arial" w:cs="Arial"/>
          <w:color w:val="1B1C1D"/>
        </w:rPr>
        <w:t xml:space="preserve">, C. A., Ibrahim, S. O., </w:t>
      </w:r>
      <w:proofErr w:type="spellStart"/>
      <w:r w:rsidRPr="007A607C">
        <w:rPr>
          <w:rFonts w:ascii="Arial" w:eastAsia="Google Sans Text" w:hAnsi="Arial" w:cs="Arial"/>
          <w:color w:val="1B1C1D"/>
        </w:rPr>
        <w:t>Atolani</w:t>
      </w:r>
      <w:proofErr w:type="spellEnd"/>
      <w:r w:rsidRPr="007A607C">
        <w:rPr>
          <w:rFonts w:ascii="Arial" w:eastAsia="Google Sans Text" w:hAnsi="Arial" w:cs="Arial"/>
          <w:color w:val="1B1C1D"/>
        </w:rPr>
        <w:t xml:space="preserve">, O., &amp; </w:t>
      </w:r>
      <w:proofErr w:type="spellStart"/>
      <w:r w:rsidRPr="007A607C">
        <w:rPr>
          <w:rFonts w:ascii="Arial" w:eastAsia="Google Sans Text" w:hAnsi="Arial" w:cs="Arial"/>
          <w:color w:val="1B1C1D"/>
        </w:rPr>
        <w:t>Kambizi</w:t>
      </w:r>
      <w:proofErr w:type="spellEnd"/>
      <w:r w:rsidRPr="007A607C">
        <w:rPr>
          <w:rFonts w:ascii="Arial" w:eastAsia="Google Sans Text" w:hAnsi="Arial" w:cs="Arial"/>
          <w:color w:val="1B1C1D"/>
        </w:rPr>
        <w:t xml:space="preserve">, L. (2025). Advances in green synthesis and application of nanoparticles from crop residues: A comprehensive review. </w:t>
      </w:r>
      <w:r w:rsidRPr="007A607C">
        <w:rPr>
          <w:rFonts w:ascii="Arial" w:eastAsia="Google Sans Text" w:hAnsi="Arial" w:cs="Arial"/>
          <w:i/>
          <w:color w:val="1B1C1D"/>
        </w:rPr>
        <w:t>Scientific African</w:t>
      </w:r>
      <w:r w:rsidRPr="007A607C">
        <w:rPr>
          <w:rFonts w:ascii="Arial" w:eastAsia="Google Sans Text" w:hAnsi="Arial" w:cs="Arial"/>
          <w:color w:val="1B1C1D"/>
        </w:rPr>
        <w:t>, 28, e02654. https://doi.org/10.1016/j.sciaf.2025.e02654</w:t>
      </w:r>
    </w:p>
    <w:p w14:paraId="6B763A30"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Pratama, A. W., Addy, H. S., </w:t>
      </w:r>
      <w:proofErr w:type="spellStart"/>
      <w:r w:rsidRPr="007A607C">
        <w:rPr>
          <w:rFonts w:ascii="Arial" w:eastAsia="Google Sans Text" w:hAnsi="Arial" w:cs="Arial"/>
          <w:color w:val="1B1C1D"/>
        </w:rPr>
        <w:t>Widiastuti</w:t>
      </w:r>
      <w:proofErr w:type="spellEnd"/>
      <w:r w:rsidRPr="007A607C">
        <w:rPr>
          <w:rFonts w:ascii="Arial" w:eastAsia="Google Sans Text" w:hAnsi="Arial" w:cs="Arial"/>
          <w:color w:val="1B1C1D"/>
        </w:rPr>
        <w:t xml:space="preserve">, N., </w:t>
      </w:r>
      <w:proofErr w:type="spellStart"/>
      <w:r w:rsidRPr="007A607C">
        <w:rPr>
          <w:rFonts w:ascii="Arial" w:eastAsia="Google Sans Text" w:hAnsi="Arial" w:cs="Arial"/>
          <w:color w:val="1B1C1D"/>
        </w:rPr>
        <w:t>Widyanto</w:t>
      </w:r>
      <w:proofErr w:type="spellEnd"/>
      <w:r w:rsidRPr="007A607C">
        <w:rPr>
          <w:rFonts w:ascii="Arial" w:eastAsia="Google Sans Text" w:hAnsi="Arial" w:cs="Arial"/>
          <w:color w:val="1B1C1D"/>
        </w:rPr>
        <w:t xml:space="preserve">, A. R., </w:t>
      </w:r>
      <w:proofErr w:type="spellStart"/>
      <w:r w:rsidRPr="007A607C">
        <w:rPr>
          <w:rFonts w:ascii="Arial" w:eastAsia="Google Sans Text" w:hAnsi="Arial" w:cs="Arial"/>
          <w:color w:val="1B1C1D"/>
        </w:rPr>
        <w:t>Ratnasari</w:t>
      </w:r>
      <w:proofErr w:type="spellEnd"/>
      <w:r w:rsidRPr="007A607C">
        <w:rPr>
          <w:rFonts w:ascii="Arial" w:eastAsia="Google Sans Text" w:hAnsi="Arial" w:cs="Arial"/>
          <w:color w:val="1B1C1D"/>
        </w:rPr>
        <w:t xml:space="preserve">, A., </w:t>
      </w:r>
      <w:proofErr w:type="spellStart"/>
      <w:r w:rsidRPr="007A607C">
        <w:rPr>
          <w:rFonts w:ascii="Arial" w:eastAsia="Google Sans Text" w:hAnsi="Arial" w:cs="Arial"/>
          <w:color w:val="1B1C1D"/>
        </w:rPr>
        <w:t>Indarti</w:t>
      </w:r>
      <w:proofErr w:type="spellEnd"/>
      <w:r w:rsidRPr="007A607C">
        <w:rPr>
          <w:rFonts w:ascii="Arial" w:eastAsia="Google Sans Text" w:hAnsi="Arial" w:cs="Arial"/>
          <w:color w:val="1B1C1D"/>
        </w:rPr>
        <w:t xml:space="preserve">, D., &amp; </w:t>
      </w:r>
      <w:proofErr w:type="spellStart"/>
      <w:r w:rsidRPr="007A607C">
        <w:rPr>
          <w:rFonts w:ascii="Arial" w:eastAsia="Google Sans Text" w:hAnsi="Arial" w:cs="Arial"/>
          <w:color w:val="1B1C1D"/>
        </w:rPr>
        <w:t>Piluharto</w:t>
      </w:r>
      <w:proofErr w:type="spellEnd"/>
      <w:r w:rsidRPr="007A607C">
        <w:rPr>
          <w:rFonts w:ascii="Arial" w:eastAsia="Google Sans Text" w:hAnsi="Arial" w:cs="Arial"/>
          <w:color w:val="1B1C1D"/>
        </w:rPr>
        <w:t xml:space="preserve">, B. (2024). Cellulose Nanofibrils from Corncobs and Their Nanocomposite with </w:t>
      </w:r>
      <w:proofErr w:type="gramStart"/>
      <w:r w:rsidRPr="007A607C">
        <w:rPr>
          <w:rFonts w:ascii="Arial" w:eastAsia="Google Sans Text" w:hAnsi="Arial" w:cs="Arial"/>
          <w:color w:val="1B1C1D"/>
        </w:rPr>
        <w:t>Alginate :</w:t>
      </w:r>
      <w:proofErr w:type="gramEnd"/>
      <w:r w:rsidRPr="007A607C">
        <w:rPr>
          <w:rFonts w:ascii="Arial" w:eastAsia="Google Sans Text" w:hAnsi="Arial" w:cs="Arial"/>
          <w:color w:val="1B1C1D"/>
        </w:rPr>
        <w:t xml:space="preserve"> Study of Swelling Behavior. </w:t>
      </w:r>
      <w:proofErr w:type="spellStart"/>
      <w:r w:rsidRPr="007A607C">
        <w:rPr>
          <w:rFonts w:ascii="Arial" w:eastAsia="Google Sans Text" w:hAnsi="Arial" w:cs="Arial"/>
          <w:color w:val="1B1C1D"/>
        </w:rPr>
        <w:t>Biointerface</w:t>
      </w:r>
      <w:proofErr w:type="spellEnd"/>
      <w:r w:rsidRPr="007A607C">
        <w:rPr>
          <w:rFonts w:ascii="Arial" w:eastAsia="Google Sans Text" w:hAnsi="Arial" w:cs="Arial"/>
          <w:color w:val="1B1C1D"/>
        </w:rPr>
        <w:t xml:space="preserve"> Research in Applied Chemistry, 14(1), 4–21. https://doi.org/10.33263/BRIAC141.004</w:t>
      </w:r>
    </w:p>
    <w:p w14:paraId="31A33A0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Pratama, A. W., </w:t>
      </w:r>
      <w:proofErr w:type="spellStart"/>
      <w:r w:rsidRPr="007A607C">
        <w:rPr>
          <w:rFonts w:ascii="Arial" w:eastAsia="Google Sans Text" w:hAnsi="Arial" w:cs="Arial"/>
          <w:color w:val="1B1C1D"/>
        </w:rPr>
        <w:t>Piluharto</w:t>
      </w:r>
      <w:proofErr w:type="spellEnd"/>
      <w:r w:rsidRPr="007A607C">
        <w:rPr>
          <w:rFonts w:ascii="Arial" w:eastAsia="Google Sans Text" w:hAnsi="Arial" w:cs="Arial"/>
          <w:color w:val="1B1C1D"/>
        </w:rPr>
        <w:t xml:space="preserve">, B., Mahardika, M., </w:t>
      </w:r>
      <w:proofErr w:type="spellStart"/>
      <w:r w:rsidRPr="007A607C">
        <w:rPr>
          <w:rFonts w:ascii="Arial" w:eastAsia="Google Sans Text" w:hAnsi="Arial" w:cs="Arial"/>
          <w:color w:val="1B1C1D"/>
        </w:rPr>
        <w:t>Widiastuti</w:t>
      </w:r>
      <w:proofErr w:type="spellEnd"/>
      <w:r w:rsidRPr="007A607C">
        <w:rPr>
          <w:rFonts w:ascii="Arial" w:eastAsia="Google Sans Text" w:hAnsi="Arial" w:cs="Arial"/>
          <w:color w:val="1B1C1D"/>
        </w:rPr>
        <w:t xml:space="preserve">, N., </w:t>
      </w:r>
      <w:proofErr w:type="spellStart"/>
      <w:r w:rsidRPr="007A607C">
        <w:rPr>
          <w:rFonts w:ascii="Arial" w:eastAsia="Google Sans Text" w:hAnsi="Arial" w:cs="Arial"/>
          <w:color w:val="1B1C1D"/>
        </w:rPr>
        <w:t>Firmanda</w:t>
      </w:r>
      <w:proofErr w:type="spellEnd"/>
      <w:r w:rsidRPr="007A607C">
        <w:rPr>
          <w:rFonts w:ascii="Arial" w:eastAsia="Google Sans Text" w:hAnsi="Arial" w:cs="Arial"/>
          <w:color w:val="1B1C1D"/>
        </w:rPr>
        <w:t xml:space="preserve">, A., &amp; </w:t>
      </w:r>
      <w:proofErr w:type="spellStart"/>
      <w:r w:rsidRPr="007A607C">
        <w:rPr>
          <w:rFonts w:ascii="Arial" w:eastAsia="Google Sans Text" w:hAnsi="Arial" w:cs="Arial"/>
          <w:color w:val="1B1C1D"/>
        </w:rPr>
        <w:t>Norrrahim</w:t>
      </w:r>
      <w:proofErr w:type="spellEnd"/>
      <w:r w:rsidRPr="007A607C">
        <w:rPr>
          <w:rFonts w:ascii="Arial" w:eastAsia="Google Sans Text" w:hAnsi="Arial" w:cs="Arial"/>
          <w:color w:val="1B1C1D"/>
        </w:rPr>
        <w:t>, M. N. F. (2024). Comparative study of oxidized cellulose nanofibrils properties from diverse sources via TEMPO-mediated oxidation. Case Studies in Chemical and Environmental Engineering, 10, 100823. https://doi.org/10.1016/J.CSCEE.2024.100823</w:t>
      </w:r>
    </w:p>
    <w:p w14:paraId="5DF6CCE1"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Rahmawati, I., Pratama, A. W., Pratama, S. A., </w:t>
      </w:r>
      <w:proofErr w:type="spellStart"/>
      <w:r w:rsidRPr="007A607C">
        <w:rPr>
          <w:rFonts w:ascii="Arial" w:eastAsia="Google Sans Text" w:hAnsi="Arial" w:cs="Arial"/>
          <w:color w:val="1B1C1D"/>
        </w:rPr>
        <w:t>Khozin</w:t>
      </w:r>
      <w:proofErr w:type="spellEnd"/>
      <w:r w:rsidRPr="007A607C">
        <w:rPr>
          <w:rFonts w:ascii="Arial" w:eastAsia="Google Sans Text" w:hAnsi="Arial" w:cs="Arial"/>
          <w:color w:val="1B1C1D"/>
        </w:rPr>
        <w:t xml:space="preserve">, M. N., </w:t>
      </w:r>
      <w:proofErr w:type="spellStart"/>
      <w:r w:rsidRPr="007A607C">
        <w:rPr>
          <w:rFonts w:ascii="Arial" w:eastAsia="Google Sans Text" w:hAnsi="Arial" w:cs="Arial"/>
          <w:color w:val="1B1C1D"/>
        </w:rPr>
        <w:t>Firmanda</w:t>
      </w:r>
      <w:proofErr w:type="spellEnd"/>
      <w:r w:rsidRPr="007A607C">
        <w:rPr>
          <w:rFonts w:ascii="Arial" w:eastAsia="Google Sans Text" w:hAnsi="Arial" w:cs="Arial"/>
          <w:color w:val="1B1C1D"/>
        </w:rPr>
        <w:t xml:space="preserve">, A., Irawan, F. H., </w:t>
      </w:r>
      <w:proofErr w:type="spellStart"/>
      <w:r w:rsidRPr="007A607C">
        <w:rPr>
          <w:rFonts w:ascii="Arial" w:eastAsia="Google Sans Text" w:hAnsi="Arial" w:cs="Arial"/>
          <w:color w:val="1B1C1D"/>
        </w:rPr>
        <w:t>Asranudin</w:t>
      </w:r>
      <w:proofErr w:type="spellEnd"/>
      <w:r w:rsidRPr="007A607C">
        <w:rPr>
          <w:rFonts w:ascii="Arial" w:eastAsia="Google Sans Text" w:hAnsi="Arial" w:cs="Arial"/>
          <w:color w:val="1B1C1D"/>
        </w:rPr>
        <w:t xml:space="preserve">, </w:t>
      </w:r>
      <w:proofErr w:type="spellStart"/>
      <w:r w:rsidRPr="007A607C">
        <w:rPr>
          <w:rFonts w:ascii="Arial" w:eastAsia="Google Sans Text" w:hAnsi="Arial" w:cs="Arial"/>
          <w:color w:val="1B1C1D"/>
        </w:rPr>
        <w:t>Ansori</w:t>
      </w:r>
      <w:proofErr w:type="spellEnd"/>
      <w:r w:rsidRPr="007A607C">
        <w:rPr>
          <w:rFonts w:ascii="Arial" w:eastAsia="Google Sans Text" w:hAnsi="Arial" w:cs="Arial"/>
          <w:color w:val="1B1C1D"/>
        </w:rPr>
        <w:t xml:space="preserve">, A. N. M., &amp; Sucipto, T. H. (2024). Gallic acid: A promising bioactive agent for food preservation and sustainable packaging development. Case Studies in </w:t>
      </w:r>
      <w:r w:rsidRPr="007A607C">
        <w:rPr>
          <w:rFonts w:ascii="Arial" w:eastAsia="Google Sans Text" w:hAnsi="Arial" w:cs="Arial"/>
          <w:color w:val="1B1C1D"/>
        </w:rPr>
        <w:lastRenderedPageBreak/>
        <w:t>Chemical and Environmental Engineering, 10, 100776. https://doi.org/10.1016/J.CSCEE.2024.100776</w:t>
      </w:r>
    </w:p>
    <w:p w14:paraId="601EAA81"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Ramesh, S., &amp; Radhakrishnan, P. (2019). Cellulose nanoparticles from agro-industrial waste for the development of active packaging. </w:t>
      </w:r>
      <w:r w:rsidRPr="007A607C">
        <w:rPr>
          <w:rFonts w:ascii="Arial" w:eastAsia="Google Sans Text" w:hAnsi="Arial" w:cs="Arial"/>
          <w:i/>
          <w:color w:val="1B1C1D"/>
        </w:rPr>
        <w:t>Applied Surface Science</w:t>
      </w:r>
      <w:r w:rsidRPr="007A607C">
        <w:rPr>
          <w:rFonts w:ascii="Arial" w:eastAsia="Google Sans Text" w:hAnsi="Arial" w:cs="Arial"/>
          <w:color w:val="1B1C1D"/>
        </w:rPr>
        <w:t>, 484, 1274-1281. https://doi.org/10.1016/j.apsusc.2019.04.003</w:t>
      </w:r>
    </w:p>
    <w:p w14:paraId="137FFDBE"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Reddy, K. O., Maheswari, C. U., &amp; Shukla, M. (2021). A review on the valorization of sugarcane bagasse for the production of nanocellulose and its applications. </w:t>
      </w:r>
      <w:r w:rsidRPr="007A607C">
        <w:rPr>
          <w:rFonts w:ascii="Arial" w:eastAsia="Google Sans Text" w:hAnsi="Arial" w:cs="Arial"/>
          <w:i/>
          <w:color w:val="1B1C1D"/>
        </w:rPr>
        <w:t>Carbohydrate Polymers</w:t>
      </w:r>
      <w:r w:rsidRPr="007A607C">
        <w:rPr>
          <w:rFonts w:ascii="Arial" w:eastAsia="Google Sans Text" w:hAnsi="Arial" w:cs="Arial"/>
          <w:color w:val="1B1C1D"/>
        </w:rPr>
        <w:t>, 261, 117892. https://doi.org/10.1016/j.jece.2024.114900</w:t>
      </w:r>
    </w:p>
    <w:p w14:paraId="30362490"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Saberi Riseh, R., &amp; Gholizadeh Vazvani, M. (2024). Green synthesis of metal nanoparticles using plant growth promoting rhizobacteria and application in agriculture. Plant Nano Biology, 10, 100111. https://doi.org/10.1016/J.PLANA.2024.100111</w:t>
      </w:r>
    </w:p>
    <w:p w14:paraId="2825672E"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Sadh, P. K., Duhan, S., &amp; Duhan, J. S. (2018). Agro-industrial wastes and their utilization using solid state fermentation: a review. </w:t>
      </w:r>
      <w:r w:rsidRPr="007A607C">
        <w:rPr>
          <w:rFonts w:ascii="Arial" w:eastAsia="Google Sans Text" w:hAnsi="Arial" w:cs="Arial"/>
          <w:i/>
          <w:color w:val="1B1C1D"/>
        </w:rPr>
        <w:t>Bioresources and Bioprocessing</w:t>
      </w:r>
      <w:r w:rsidRPr="007A607C">
        <w:rPr>
          <w:rFonts w:ascii="Arial" w:eastAsia="Google Sans Text" w:hAnsi="Arial" w:cs="Arial"/>
          <w:color w:val="1B1C1D"/>
        </w:rPr>
        <w:t>, 5(1), 1-15. https://doi.org/10.1186/s40643-017-0187-z</w:t>
      </w:r>
    </w:p>
    <w:p w14:paraId="3DF41266"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Salama, H. E., &amp; Abdel Aziz, M. S. (2020). Optimized carboxymethyl cellulose and </w:t>
      </w:r>
      <w:proofErr w:type="spellStart"/>
      <w:r w:rsidRPr="007A607C">
        <w:rPr>
          <w:rFonts w:ascii="Arial" w:eastAsia="Google Sans Text" w:hAnsi="Arial" w:cs="Arial"/>
          <w:color w:val="1B1C1D"/>
        </w:rPr>
        <w:t>guanidinylated</w:t>
      </w:r>
      <w:proofErr w:type="spellEnd"/>
      <w:r w:rsidRPr="007A607C">
        <w:rPr>
          <w:rFonts w:ascii="Arial" w:eastAsia="Google Sans Text" w:hAnsi="Arial" w:cs="Arial"/>
          <w:color w:val="1B1C1D"/>
        </w:rPr>
        <w:t xml:space="preserve"> chitosan enriched with titanium oxide nanoparticles of improved UV barrier properties for the active packaging of green bell pepper. </w:t>
      </w:r>
      <w:r w:rsidRPr="007A607C">
        <w:rPr>
          <w:rFonts w:ascii="Arial" w:eastAsia="Google Sans Text" w:hAnsi="Arial" w:cs="Arial"/>
          <w:i/>
          <w:color w:val="1B1C1D"/>
        </w:rPr>
        <w:t>International Journal of Biological Macromolecules</w:t>
      </w:r>
      <w:r w:rsidRPr="007A607C">
        <w:rPr>
          <w:rFonts w:ascii="Arial" w:eastAsia="Google Sans Text" w:hAnsi="Arial" w:cs="Arial"/>
          <w:color w:val="1B1C1D"/>
        </w:rPr>
        <w:t>, 165, 1187-1197. https://doi.org/10.1016/j.ijbiomac.2020.09.254</w:t>
      </w:r>
    </w:p>
    <w:p w14:paraId="57729FDB"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Sánchez-López, E., Gomes, D., </w:t>
      </w:r>
      <w:proofErr w:type="spellStart"/>
      <w:r w:rsidRPr="007A607C">
        <w:rPr>
          <w:rFonts w:ascii="Arial" w:eastAsia="Google Sans Text" w:hAnsi="Arial" w:cs="Arial"/>
          <w:color w:val="1B1C1D"/>
        </w:rPr>
        <w:t>Esteruelas</w:t>
      </w:r>
      <w:proofErr w:type="spellEnd"/>
      <w:r w:rsidRPr="007A607C">
        <w:rPr>
          <w:rFonts w:ascii="Arial" w:eastAsia="Google Sans Text" w:hAnsi="Arial" w:cs="Arial"/>
          <w:color w:val="1B1C1D"/>
        </w:rPr>
        <w:t xml:space="preserve">, G., Bonilla, L., Lopez-Machado, A. L., Galindo, R., ... &amp; Souto, E. B. (2020). Metal-based nanoparticles as antimicrobial agents: an overview. </w:t>
      </w:r>
      <w:r w:rsidRPr="007A607C">
        <w:rPr>
          <w:rFonts w:ascii="Arial" w:eastAsia="Google Sans Text" w:hAnsi="Arial" w:cs="Arial"/>
          <w:i/>
          <w:color w:val="1B1C1D"/>
        </w:rPr>
        <w:t>Nanomaterials</w:t>
      </w:r>
      <w:r w:rsidRPr="007A607C">
        <w:rPr>
          <w:rFonts w:ascii="Arial" w:eastAsia="Google Sans Text" w:hAnsi="Arial" w:cs="Arial"/>
          <w:color w:val="1B1C1D"/>
        </w:rPr>
        <w:t>, 10(2), 292. https://doi.org/10.3390/nano10020292</w:t>
      </w:r>
    </w:p>
    <w:p w14:paraId="636B755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Shah, M. A., Shahnaz, T., </w:t>
      </w:r>
      <w:proofErr w:type="spellStart"/>
      <w:r w:rsidRPr="007A607C">
        <w:rPr>
          <w:rFonts w:ascii="Arial" w:eastAsia="Google Sans Text" w:hAnsi="Arial" w:cs="Arial"/>
          <w:color w:val="1B1C1D"/>
        </w:rPr>
        <w:t>Zehab</w:t>
      </w:r>
      <w:proofErr w:type="spellEnd"/>
      <w:r w:rsidRPr="007A607C">
        <w:rPr>
          <w:rFonts w:ascii="Arial" w:eastAsia="Google Sans Text" w:hAnsi="Arial" w:cs="Arial"/>
          <w:color w:val="1B1C1D"/>
        </w:rPr>
        <w:t>-</w:t>
      </w:r>
      <w:proofErr w:type="spellStart"/>
      <w:r w:rsidRPr="007A607C">
        <w:rPr>
          <w:rFonts w:ascii="Arial" w:eastAsia="Google Sans Text" w:hAnsi="Arial" w:cs="Arial"/>
          <w:color w:val="1B1C1D"/>
        </w:rPr>
        <w:t>ud</w:t>
      </w:r>
      <w:proofErr w:type="spellEnd"/>
      <w:r w:rsidRPr="007A607C">
        <w:rPr>
          <w:rFonts w:ascii="Arial" w:eastAsia="Google Sans Text" w:hAnsi="Arial" w:cs="Arial"/>
          <w:color w:val="1B1C1D"/>
        </w:rPr>
        <w:t xml:space="preserve">-Din, </w:t>
      </w:r>
      <w:proofErr w:type="spellStart"/>
      <w:r w:rsidRPr="007A607C">
        <w:rPr>
          <w:rFonts w:ascii="Arial" w:eastAsia="Google Sans Text" w:hAnsi="Arial" w:cs="Arial"/>
          <w:color w:val="1B1C1D"/>
        </w:rPr>
        <w:t>Masoodi</w:t>
      </w:r>
      <w:proofErr w:type="spellEnd"/>
      <w:r w:rsidRPr="007A607C">
        <w:rPr>
          <w:rFonts w:ascii="Arial" w:eastAsia="Google Sans Text" w:hAnsi="Arial" w:cs="Arial"/>
          <w:color w:val="1B1C1D"/>
        </w:rPr>
        <w:t>, J. H., Nazir, S., Qurashi, A., &amp; Ahmed, G. H. (2024). Application of nanotechnology in the agricultural and food processing industries: A review. Sustainable Materials and Technologies, 39, e00809. https://doi.org/10.1016/J.SUSMAT.2023.E00809</w:t>
      </w:r>
    </w:p>
    <w:p w14:paraId="2C8264B3"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Shen, Y. (2017). Rice Husk Silica-Derived Nanomaterials for Battery Applications: A Literature Review. Journal of Agricultural and Food Chemistry, 65(5), 995–1004. https://doi.org/10.1021/ACS.JAFC.6B04777</w:t>
      </w:r>
    </w:p>
    <w:p w14:paraId="215E00CB"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Shi, J., Zhang, R., Liu, X., Zhang, Y., Du, Y., Dong, H., Ma, Y., Li, X., Cheung, P. C. K., &amp; Chen, F. (2023). Advances in multifunctional biomass-derived nanocomposite films for active and sustainable food packaging. Carbohydrate Polymers, 301, 120323. https://doi.org/10.1016/J.CARBPOL.2022.120323</w:t>
      </w:r>
    </w:p>
    <w:p w14:paraId="2E513673"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Sidhu, A. K., Verma, N., Kaushal, P., Agrawal, S. B., &amp; Bhatia, S. (2025). Green synthesis of polymeric nanoparticles: agricultural applications and toxicological implications. </w:t>
      </w:r>
      <w:r w:rsidRPr="007A607C">
        <w:rPr>
          <w:rFonts w:ascii="Arial" w:eastAsia="Google Sans Text" w:hAnsi="Arial" w:cs="Arial"/>
          <w:i/>
          <w:color w:val="1B1C1D"/>
        </w:rPr>
        <w:t>Discover Applied Sciences</w:t>
      </w:r>
      <w:r w:rsidRPr="007A607C">
        <w:rPr>
          <w:rFonts w:ascii="Arial" w:eastAsia="Google Sans Text" w:hAnsi="Arial" w:cs="Arial"/>
          <w:color w:val="1B1C1D"/>
        </w:rPr>
        <w:t>, 7, 505. https://doi.org/10.1007/s42452-025-06877-7</w:t>
      </w:r>
    </w:p>
    <w:p w14:paraId="0FF7D025" w14:textId="77777777" w:rsid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proofErr w:type="spellStart"/>
      <w:r w:rsidRPr="007A607C">
        <w:rPr>
          <w:rFonts w:ascii="Arial" w:eastAsia="Google Sans Text" w:hAnsi="Arial" w:cs="Arial"/>
          <w:color w:val="1B1C1D"/>
        </w:rPr>
        <w:t>Yallappa</w:t>
      </w:r>
      <w:proofErr w:type="spellEnd"/>
      <w:r w:rsidRPr="007A607C">
        <w:rPr>
          <w:rFonts w:ascii="Arial" w:eastAsia="Google Sans Text" w:hAnsi="Arial" w:cs="Arial"/>
          <w:color w:val="1B1C1D"/>
        </w:rPr>
        <w:t xml:space="preserve">, S., Deepthi, D. R., Yashaswini, S., et al. (2017). Natural biowaste of Groundnut shell derived nanocarbons: synthesis, characterization and </w:t>
      </w:r>
      <w:proofErr w:type="spellStart"/>
      <w:r w:rsidRPr="007A607C">
        <w:rPr>
          <w:rFonts w:ascii="Arial" w:eastAsia="Google Sans Text" w:hAnsi="Arial" w:cs="Arial"/>
          <w:color w:val="1B1C1D"/>
        </w:rPr>
        <w:t>its</w:t>
      </w:r>
      <w:proofErr w:type="spellEnd"/>
      <w:r w:rsidRPr="007A607C">
        <w:rPr>
          <w:rFonts w:ascii="Arial" w:eastAsia="Google Sans Text" w:hAnsi="Arial" w:cs="Arial"/>
          <w:color w:val="1B1C1D"/>
        </w:rPr>
        <w:t xml:space="preserve"> in vitro antibacterial activity. </w:t>
      </w:r>
      <w:r w:rsidRPr="007A607C">
        <w:rPr>
          <w:rFonts w:ascii="Arial" w:eastAsia="Google Sans Text" w:hAnsi="Arial" w:cs="Arial"/>
          <w:i/>
          <w:color w:val="1B1C1D"/>
        </w:rPr>
        <w:t>Nano-Structures &amp; Nano-Objects</w:t>
      </w:r>
      <w:r w:rsidRPr="007A607C">
        <w:rPr>
          <w:rFonts w:ascii="Arial" w:eastAsia="Google Sans Text" w:hAnsi="Arial" w:cs="Arial"/>
          <w:color w:val="1B1C1D"/>
        </w:rPr>
        <w:t>, 12, 84-90. https://doi.org/10.1016/j.nanoso.2017.09.009</w:t>
      </w:r>
    </w:p>
    <w:p w14:paraId="53261A4E" w14:textId="4C87C75B"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Zhao, X., Tian, R., Zhou, J., &amp; Liu, Y. (2022). Multifunctional chitosan/grape seed extract/silver nanoparticle composite for food packaging application. </w:t>
      </w:r>
      <w:r w:rsidRPr="007A607C">
        <w:rPr>
          <w:rFonts w:ascii="Arial" w:eastAsia="Google Sans Text" w:hAnsi="Arial" w:cs="Arial"/>
          <w:i/>
          <w:color w:val="1B1C1D"/>
        </w:rPr>
        <w:t>International Journal of Biological Macromolecules</w:t>
      </w:r>
      <w:r w:rsidRPr="007A607C">
        <w:rPr>
          <w:rFonts w:ascii="Arial" w:eastAsia="Google Sans Text" w:hAnsi="Arial" w:cs="Arial"/>
          <w:color w:val="1B1C1D"/>
        </w:rPr>
        <w:t>, 207, 152-160. https://doi.org/10.1016/j.ijbiomac.2022.02.180</w:t>
      </w:r>
    </w:p>
    <w:p w14:paraId="1A5D0A58" w14:textId="77777777" w:rsidR="00790ADA" w:rsidRPr="00FB3A86" w:rsidRDefault="00790ADA" w:rsidP="00297A29">
      <w:pPr>
        <w:pStyle w:val="Body"/>
        <w:spacing w:after="0"/>
        <w:rPr>
          <w:rFonts w:ascii="Arial" w:hAnsi="Arial" w:cs="Arial"/>
        </w:rPr>
      </w:pPr>
    </w:p>
    <w:p w14:paraId="7E628118" w14:textId="6A333C9F" w:rsidR="004D4277" w:rsidRPr="00FB3A86" w:rsidRDefault="004D4277" w:rsidP="00441B6F">
      <w:pPr>
        <w:pStyle w:val="Appendix"/>
        <w:spacing w:after="0"/>
        <w:jc w:val="both"/>
        <w:rPr>
          <w:rFonts w:ascii="Arial" w:hAnsi="Arial" w:cs="Arial"/>
          <w:b w:val="0"/>
        </w:rPr>
        <w:sectPr w:rsidR="004D4277" w:rsidRPr="00FB3A86" w:rsidSect="00F457C6">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23FF7F97" w14:textId="77777777" w:rsidR="00B01FCD" w:rsidRPr="00FB3A86" w:rsidRDefault="00B01FCD" w:rsidP="00441B6F">
      <w:pPr>
        <w:pStyle w:val="Appendix"/>
        <w:spacing w:after="0"/>
        <w:jc w:val="both"/>
        <w:rPr>
          <w:rFonts w:ascii="Arial" w:hAnsi="Arial" w:cs="Arial"/>
          <w:b w:val="0"/>
        </w:rPr>
      </w:pPr>
    </w:p>
    <w:sectPr w:rsidR="00B01FCD" w:rsidRPr="00FB3A86" w:rsidSect="00F457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0FAA4" w14:textId="77777777" w:rsidR="00374556" w:rsidRDefault="00374556" w:rsidP="00C37E61">
      <w:r>
        <w:separator/>
      </w:r>
    </w:p>
  </w:endnote>
  <w:endnote w:type="continuationSeparator" w:id="0">
    <w:p w14:paraId="5F696AD9" w14:textId="77777777" w:rsidR="00374556" w:rsidRDefault="0037455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oogle Sans Tex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9C61" w14:textId="77777777" w:rsidR="00F457C6" w:rsidRDefault="00F45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3AA89" w14:textId="77777777" w:rsidR="00F457C6" w:rsidRDefault="00F457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B8E7" w14:textId="12CB6BB9" w:rsidR="00754C9A" w:rsidRPr="00F457C6" w:rsidRDefault="00754C9A" w:rsidP="00F457C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1B85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7FF23" w14:textId="77777777" w:rsidR="00374556" w:rsidRDefault="00374556" w:rsidP="00C37E61">
      <w:r>
        <w:separator/>
      </w:r>
    </w:p>
  </w:footnote>
  <w:footnote w:type="continuationSeparator" w:id="0">
    <w:p w14:paraId="1579C4E6" w14:textId="77777777" w:rsidR="00374556" w:rsidRDefault="0037455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CA8E" w14:textId="7D9B3222" w:rsidR="00F457C6" w:rsidRDefault="00F457C6">
    <w:pPr>
      <w:pStyle w:val="Header"/>
    </w:pPr>
    <w:r>
      <w:rPr>
        <w:noProof/>
      </w:rPr>
      <w:pict w14:anchorId="63E25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B802" w14:textId="75A03ABC" w:rsidR="00F457C6" w:rsidRDefault="00F457C6">
    <w:pPr>
      <w:pStyle w:val="Header"/>
    </w:pPr>
    <w:r>
      <w:rPr>
        <w:noProof/>
      </w:rPr>
      <w:pict w14:anchorId="420C8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709FF" w14:textId="29EFA8FA" w:rsidR="00296529" w:rsidRPr="00296529" w:rsidRDefault="00F457C6" w:rsidP="00296529">
    <w:pPr>
      <w:ind w:left="2160"/>
      <w:jc w:val="center"/>
      <w:rPr>
        <w:rFonts w:ascii="Times New Roman" w:eastAsia="Calibri" w:hAnsi="Times New Roman"/>
        <w:i/>
        <w:sz w:val="18"/>
        <w:szCs w:val="22"/>
      </w:rPr>
    </w:pPr>
    <w:r>
      <w:rPr>
        <w:noProof/>
      </w:rPr>
      <w:pict w14:anchorId="73E81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DD75A1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A932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1560E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32A3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B9562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C2BE33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11081" w14:textId="1771996B" w:rsidR="00F457C6" w:rsidRDefault="00F457C6">
    <w:pPr>
      <w:pStyle w:val="Header"/>
    </w:pPr>
    <w:r>
      <w:rPr>
        <w:noProof/>
      </w:rPr>
      <w:pict w14:anchorId="7DD2B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ABC6F" w14:textId="7BC91159" w:rsidR="00F457C6" w:rsidRDefault="00F457C6">
    <w:pPr>
      <w:pStyle w:val="Header"/>
    </w:pPr>
    <w:r>
      <w:rPr>
        <w:noProof/>
      </w:rPr>
      <w:pict w14:anchorId="493E7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3DBA" w14:textId="64FC8760" w:rsidR="00F457C6" w:rsidRDefault="00F457C6">
    <w:pPr>
      <w:pStyle w:val="Header"/>
    </w:pPr>
    <w:r>
      <w:rPr>
        <w:noProof/>
      </w:rPr>
      <w:pict w14:anchorId="3E372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E92"/>
    <w:rsid w:val="00030174"/>
    <w:rsid w:val="0004579C"/>
    <w:rsid w:val="000A47FA"/>
    <w:rsid w:val="000A65D3"/>
    <w:rsid w:val="000A7908"/>
    <w:rsid w:val="000B1E33"/>
    <w:rsid w:val="000C2438"/>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65FF"/>
    <w:rsid w:val="00200595"/>
    <w:rsid w:val="00204835"/>
    <w:rsid w:val="00231920"/>
    <w:rsid w:val="0023195C"/>
    <w:rsid w:val="0024282C"/>
    <w:rsid w:val="002460DC"/>
    <w:rsid w:val="00250985"/>
    <w:rsid w:val="002556F6"/>
    <w:rsid w:val="00283105"/>
    <w:rsid w:val="00284C4C"/>
    <w:rsid w:val="00287E68"/>
    <w:rsid w:val="00296529"/>
    <w:rsid w:val="00297A29"/>
    <w:rsid w:val="002B27FB"/>
    <w:rsid w:val="002B685A"/>
    <w:rsid w:val="002C57D2"/>
    <w:rsid w:val="002E0D56"/>
    <w:rsid w:val="00315186"/>
    <w:rsid w:val="0033343E"/>
    <w:rsid w:val="003512C2"/>
    <w:rsid w:val="00371FB6"/>
    <w:rsid w:val="0037455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565B"/>
    <w:rsid w:val="004D305E"/>
    <w:rsid w:val="004D4277"/>
    <w:rsid w:val="00502516"/>
    <w:rsid w:val="00505F06"/>
    <w:rsid w:val="00506828"/>
    <w:rsid w:val="0053056E"/>
    <w:rsid w:val="005525B6"/>
    <w:rsid w:val="00554FDA"/>
    <w:rsid w:val="00591619"/>
    <w:rsid w:val="005B05B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06E"/>
    <w:rsid w:val="006F11EC"/>
    <w:rsid w:val="0070082C"/>
    <w:rsid w:val="00700A76"/>
    <w:rsid w:val="00732F71"/>
    <w:rsid w:val="007369E6"/>
    <w:rsid w:val="00746E59"/>
    <w:rsid w:val="00754C9A"/>
    <w:rsid w:val="0075599A"/>
    <w:rsid w:val="00761D52"/>
    <w:rsid w:val="0077749E"/>
    <w:rsid w:val="00790ADA"/>
    <w:rsid w:val="007A607C"/>
    <w:rsid w:val="007D2288"/>
    <w:rsid w:val="007E088F"/>
    <w:rsid w:val="007F7B32"/>
    <w:rsid w:val="008006F7"/>
    <w:rsid w:val="00804BC2"/>
    <w:rsid w:val="0081431A"/>
    <w:rsid w:val="008231C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2080"/>
    <w:rsid w:val="00927834"/>
    <w:rsid w:val="009500A6"/>
    <w:rsid w:val="00954EE7"/>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509D"/>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680F"/>
    <w:rsid w:val="00D173F1"/>
    <w:rsid w:val="00D74CB0"/>
    <w:rsid w:val="00D8295D"/>
    <w:rsid w:val="00DC2A65"/>
    <w:rsid w:val="00DE15F0"/>
    <w:rsid w:val="00DE5663"/>
    <w:rsid w:val="00DE78AA"/>
    <w:rsid w:val="00E053D0"/>
    <w:rsid w:val="00E15994"/>
    <w:rsid w:val="00E16584"/>
    <w:rsid w:val="00E22972"/>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57C6"/>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771371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C24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link w:val="SubtitleChar"/>
    <w:uiPriority w:val="11"/>
    <w:qFormat/>
    <w:rsid w:val="00AC509D"/>
    <w:pPr>
      <w:keepNext/>
      <w:keepLines/>
      <w:widowControl w:val="0"/>
      <w:spacing w:before="360" w:after="80"/>
    </w:pPr>
    <w:rPr>
      <w:rFonts w:ascii="Georgia" w:eastAsia="Georgia" w:hAnsi="Georgia" w:cs="Georgia"/>
      <w:i/>
      <w:color w:val="666666"/>
      <w:sz w:val="48"/>
      <w:szCs w:val="48"/>
      <w:lang w:val="en-ID" w:eastAsia="en-ID"/>
    </w:rPr>
  </w:style>
  <w:style w:type="character" w:customStyle="1" w:styleId="SubtitleChar">
    <w:name w:val="Subtitle Char"/>
    <w:basedOn w:val="DefaultParagraphFont"/>
    <w:link w:val="Subtitle"/>
    <w:uiPriority w:val="11"/>
    <w:rsid w:val="00AC509D"/>
    <w:rPr>
      <w:rFonts w:ascii="Georgia" w:eastAsia="Georgia" w:hAnsi="Georgia" w:cs="Georgia"/>
      <w:i/>
      <w:color w:val="666666"/>
      <w:sz w:val="48"/>
      <w:szCs w:val="48"/>
      <w:lang w:val="en-ID" w:eastAsia="en-ID"/>
    </w:rPr>
  </w:style>
  <w:style w:type="character" w:customStyle="1" w:styleId="Heading3Char">
    <w:name w:val="Heading 3 Char"/>
    <w:basedOn w:val="DefaultParagraphFont"/>
    <w:link w:val="Heading3"/>
    <w:semiHidden/>
    <w:rsid w:val="000C243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C497C-69A9-425D-A98A-5C69C76C0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101</TotalTime>
  <Pages>11</Pages>
  <Words>11726</Words>
  <Characters>66839</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78409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2014-10-25T14:34:00Z</dcterms:created>
  <dcterms:modified xsi:type="dcterms:W3CDTF">2025-09-05T12:58:00Z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e597befa-56a7-44ee-9e5f-7ff7540c5af2</vt:lpwstr>
  </property>
  <property fmtid="{D5CDD505-2E9C-101B-9397-08002B2CF9AE}" pid="3" name="Mendeley Recent Style Id 0_1">
    <vt:lpwstr>https://csl.mendeley.com/styles/681033821/american-institute-of-physics</vt:lpwstr>
  </property>
  <property fmtid="{D5CDD505-2E9C-101B-9397-08002B2CF9AE}" pid="4" name="Mendeley Recent Style Name 0_1">
    <vt:lpwstr>AIP Publishing Style</vt:lpwstr>
  </property>
  <property fmtid="{D5CDD505-2E9C-101B-9397-08002B2CF9AE}" pid="5" name="Mendeley Recent Style Id 1_1">
    <vt:lpwstr>http://www.zotero.org/styles/alexandria-engineering-journal</vt:lpwstr>
  </property>
  <property fmtid="{D5CDD505-2E9C-101B-9397-08002B2CF9AE}" pid="6" name="Mendeley Recent Style Name 1_1">
    <vt:lpwstr>Alexandria Engineering Journal</vt:lpwstr>
  </property>
  <property fmtid="{D5CDD505-2E9C-101B-9397-08002B2CF9AE}" pid="7" name="Mendeley Recent Style Id 2_1">
    <vt:lpwstr>http://www.zotero.org/styles/american-institute-of-physics</vt:lpwstr>
  </property>
  <property fmtid="{D5CDD505-2E9C-101B-9397-08002B2CF9AE}" pid="8" name="Mendeley Recent Style Name 2_1">
    <vt:lpwstr>American Institute of Physics 4th edition</vt:lpwstr>
  </property>
  <property fmtid="{D5CDD505-2E9C-101B-9397-08002B2CF9AE}" pid="9" name="Mendeley Recent Style Id 3_1">
    <vt:lpwstr>http://www.zotero.org/styles/american-political-science-association</vt:lpwstr>
  </property>
  <property fmtid="{D5CDD505-2E9C-101B-9397-08002B2CF9AE}" pid="10" name="Mendeley Recent Style Name 3_1">
    <vt:lpwstr>American Political Science Association</vt:lpwstr>
  </property>
  <property fmtid="{D5CDD505-2E9C-101B-9397-08002B2CF9AE}" pid="11" name="Mendeley Recent Style Id 4_1">
    <vt:lpwstr>http://www.zotero.org/styles/apa</vt:lpwstr>
  </property>
  <property fmtid="{D5CDD505-2E9C-101B-9397-08002B2CF9AE}" pid="12" name="Mendeley Recent Style Name 4_1">
    <vt:lpwstr>American Psychological Association 7th edition</vt:lpwstr>
  </property>
  <property fmtid="{D5CDD505-2E9C-101B-9397-08002B2CF9AE}" pid="13" name="Mendeley Recent Style Id 5_1">
    <vt:lpwstr>http://www.zotero.org/styles/american-sociological-association</vt:lpwstr>
  </property>
  <property fmtid="{D5CDD505-2E9C-101B-9397-08002B2CF9AE}" pid="14" name="Mendeley Recent Style Name 5_1">
    <vt:lpwstr>American Sociological Association 6th edition</vt:lpwstr>
  </property>
  <property fmtid="{D5CDD505-2E9C-101B-9397-08002B2CF9AE}" pid="15" name="Mendeley Recent Style Id 6_1">
    <vt:lpwstr>http://www.zotero.org/styles/elsevier-with-titles</vt:lpwstr>
  </property>
  <property fmtid="{D5CDD505-2E9C-101B-9397-08002B2CF9AE}" pid="16" name="Mendeley Recent Style Name 6_1">
    <vt:lpwstr>Elsevier (numeric, with titles)</vt:lpwstr>
  </property>
  <property fmtid="{D5CDD505-2E9C-101B-9397-08002B2CF9AE}" pid="17" name="Mendeley Recent Style Id 7_1">
    <vt:lpwstr>https://csl.mendeley.com/styles/681033821/elsevier-with-titles-alphabetical</vt:lpwstr>
  </property>
  <property fmtid="{D5CDD505-2E9C-101B-9397-08002B2CF9AE}" pid="18" name="Mendeley Recent Style Name 7_1">
    <vt:lpwstr>Elsevier (numeric, with titles, sorted alphabetically) - Agus Wedi Pratama</vt:lpwstr>
  </property>
  <property fmtid="{D5CDD505-2E9C-101B-9397-08002B2CF9AE}" pid="19" name="Mendeley Recent Style Id 8_1">
    <vt:lpwstr>http://www.zotero.org/styles/elsevier-american-chemical-society</vt:lpwstr>
  </property>
  <property fmtid="{D5CDD505-2E9C-101B-9397-08002B2CF9AE}" pid="20" name="Mendeley Recent Style Name 8_1">
    <vt:lpwstr>Elsevier - American Chemical Society</vt:lpwstr>
  </property>
  <property fmtid="{D5CDD505-2E9C-101B-9397-08002B2CF9AE}" pid="21" name="Mendeley Recent Style Id 9_1">
    <vt:lpwstr>http://www.zotero.org/styles/elsevier-harvard2</vt:lpwstr>
  </property>
  <property fmtid="{D5CDD505-2E9C-101B-9397-08002B2CF9AE}" pid="22" name="Mendeley Recent Style Name 9_1">
    <vt:lpwstr>Elsevier - Harvard 2</vt:lpwstr>
  </property>
  <property fmtid="{D5CDD505-2E9C-101B-9397-08002B2CF9AE}" pid="23" name="Mendeley Document_1">
    <vt:lpwstr>True</vt:lpwstr>
  </property>
  <property fmtid="{D5CDD505-2E9C-101B-9397-08002B2CF9AE}" pid="24" name="Mendeley Unique User Id_1">
    <vt:lpwstr>4d68ba9d-bcd4-38cf-8b84-6c0f80e58b9c</vt:lpwstr>
  </property>
  <property fmtid="{D5CDD505-2E9C-101B-9397-08002B2CF9AE}" pid="25" name="Mendeley Citation Style_1">
    <vt:lpwstr>http://www.zotero.org/styles/elsevier-with-titles</vt:lpwstr>
  </property>
</Properties>
</file>