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94105" w:rsidRPr="00004C44" w:rsidRDefault="00C94105" w:rsidP="008B6600">
      <w:pPr>
        <w:spacing w:after="0" w:line="36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proofErr w:type="spellStart"/>
      <w:r w:rsidRPr="00004C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Heteropneustes</w:t>
      </w:r>
      <w:proofErr w:type="spellEnd"/>
      <w:r w:rsidR="00DA48EA" w:rsidRPr="00004C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 xml:space="preserve"> </w:t>
      </w:r>
      <w:proofErr w:type="spellStart"/>
      <w:r w:rsidRPr="00004C4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fossilis</w:t>
      </w:r>
      <w:proofErr w:type="spellEnd"/>
      <w:r w:rsidRPr="0000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(Stinging Catfish): Bridging Ethno</w:t>
      </w:r>
      <w:r w:rsidR="00004C44" w:rsidRPr="0000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-</w:t>
      </w:r>
      <w:r w:rsidRPr="00004C44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medicine and Biomedical Potential</w:t>
      </w:r>
    </w:p>
    <w:p w:rsidR="00DA48EA" w:rsidRDefault="00DA48EA" w:rsidP="00DA48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B24D72" w:rsidRPr="00004C44" w:rsidRDefault="00B24D72" w:rsidP="00DA48E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bookmarkStart w:id="0" w:name="_GoBack"/>
      <w:bookmarkEnd w:id="0"/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Abstract</w:t>
      </w:r>
    </w:p>
    <w:p w:rsidR="00C94105" w:rsidRPr="00004C44" w:rsidRDefault="008B6600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Heteropneustes</w:t>
      </w:r>
      <w:proofErr w:type="spellEnd"/>
      <w:r w:rsidR="00DA48EA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commonly known as the stinging catfish, has long been </w:t>
      </w:r>
      <w:r w:rsidR="00E66617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used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traditional medicine systems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inmany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South Asia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 countries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for its therapeutic properties. </w:t>
      </w: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H.</w:t>
      </w:r>
      <w:r w:rsidR="006346B2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is c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onsumed and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used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for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treating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anaemia, respiratory conditions, infl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ammation, and general debility and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hold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s a dual role as both nutritional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and a medicinal resource. Modern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iomedical research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now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increasingly validates these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traditional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claims, linking the fish’s therapeutic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properties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to its nutritional richness in protein, iron, and omega-3 fatty acids, along with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bioactive compounds with medicinal importance.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This review bridges traditional ethno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medicinal k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nowledge with modern scientific</w:t>
      </w:r>
      <w:r w:rsidR="00DA48EA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studies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presenting insights into its biochemical composition, pharmacological potential, and applications in nutraceuticals and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pharmaceuticals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While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several studies 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ighlight anti-inflammatory, antimicrobial, immunomodulatory, and regenerative properties,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there is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critical research gaps in clinical validation,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bioactive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compound characterization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quantification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and sustainable resource management. This paper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provides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 interdisciplinary approach to unlock the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therapeutic potential of 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thereby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preserving indigenous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knowledge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while advancing biomedical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research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Keywords:</w:t>
      </w:r>
      <w:r w:rsidR="00DA48EA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Traditional knowledge, B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io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medical potential, 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Pharmacological activity, B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ioa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ctive compounds, I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ndigenous health practices</w:t>
      </w:r>
    </w:p>
    <w:p w:rsidR="00C94105" w:rsidRPr="00004C44" w:rsidRDefault="00C94105" w:rsidP="008B66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DA48EA" w:rsidRPr="00004C44" w:rsidRDefault="00DA48EA" w:rsidP="008B6600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1. Introduction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Heteropneustes</w:t>
      </w:r>
      <w:proofErr w:type="spellEnd"/>
      <w:r w:rsidR="00DA48EA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commonly known as stinging catfish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(</w:t>
      </w:r>
      <w:proofErr w:type="spellStart"/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Ngachik</w:t>
      </w:r>
      <w:proofErr w:type="spellEnd"/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Manipuri)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is a freshwater catfish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widely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distributed across South and Southeast Asia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(Fig. 1)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This species is known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for its adaptability to low-oxygen environments and resilience in degraded habitats, 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widely cultivated for food security and livelihood support (</w:t>
      </w:r>
      <w:r w:rsidR="00997372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Shaikh et al., 2025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Traditional 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 xml:space="preserve">medical systems such as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Ayurveda, Siddha, and Unani, attribute therapeutic value to </w:t>
      </w: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recommending it for anaemia, postpartum recovery,</w:t>
      </w:r>
      <w:r w:rsidR="008B660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asthma and arthritis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r w:rsidR="00D20F60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Nasreen &amp; Borah, 2023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</w:p>
    <w:p w:rsidR="00D350D6" w:rsidRPr="00004C44" w:rsidRDefault="00DA48EA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noProof/>
          <w:color w:val="000000" w:themeColor="text1"/>
          <w:sz w:val="24"/>
          <w:szCs w:val="24"/>
          <w:lang w:eastAsia="en-IN"/>
        </w:rPr>
        <w:drawing>
          <wp:inline distT="0" distB="0" distL="0" distR="0">
            <wp:extent cx="2514881" cy="5527040"/>
            <wp:effectExtent l="0" t="1270" r="0" b="0"/>
            <wp:docPr id="1" name="Picture 1" descr="C:\Users\ajit2\Downloads\607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jit2\Downloads\60787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104" t="5302" r="9109" b="7872"/>
                    <a:stretch/>
                  </pic:blipFill>
                  <pic:spPr bwMode="auto">
                    <a:xfrm rot="16200000">
                      <a:off x="0" y="0"/>
                      <a:ext cx="2516221" cy="5529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350D6" w:rsidRPr="00004C44" w:rsidRDefault="00D350D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Figure 1. </w:t>
      </w:r>
      <w:r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="00DA48EA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proofErr w:type="spellStart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Ngachik</w:t>
      </w:r>
      <w:proofErr w:type="spell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Manipuri),</w:t>
      </w:r>
      <w:r w:rsidR="00E151F3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 freshwater species valued for food and traditional medicine.</w:t>
      </w:r>
    </w:p>
    <w:p w:rsidR="00C94105" w:rsidRPr="00004C44" w:rsidRDefault="00374296" w:rsidP="003742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ural and tribal communities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used this in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ethnomedicine, preparing decoctions, oils,</w:t>
      </w:r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boiling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powders to treat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several human ailments such as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respiratory disorders, inflammation, and wound infections (</w:t>
      </w:r>
      <w:proofErr w:type="spellStart"/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Basumatary</w:t>
      </w:r>
      <w:proofErr w:type="spellEnd"/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et al., 2023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; </w:t>
      </w:r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Nasreen &amp; Borah, 2023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Despite its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uses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indigenous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traditional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healing,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 depth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biomedical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studies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of 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has only recently gained momentum, exploring its proteins, micronutrients, antimicrobial peptides, and wound-healing enzymes (</w:t>
      </w:r>
      <w:r w:rsidR="00F72373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Lima et al., 2024; </w:t>
      </w:r>
      <w:r w:rsidR="007C1B2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Sultana et al., 2022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).This review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combines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evidence on </w:t>
      </w: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H.</w:t>
      </w:r>
      <w:r w:rsidR="007C1B24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7C1B24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taxonomy, traditional knowledge, biochemical composition, and biomedical potential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also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highlighting research gaps, sustainability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issues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and future opportunities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 pharmaceutical industry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.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2. Taxonomy and Biological Profile</w:t>
      </w:r>
    </w:p>
    <w:p w:rsidR="00C94105" w:rsidRPr="00004C44" w:rsidRDefault="0037429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H.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belongs to the order </w:t>
      </w:r>
      <w:proofErr w:type="spellStart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Siluriformes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is the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only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representative of the family </w:t>
      </w:r>
      <w:proofErr w:type="spellStart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Heteropneustidae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 w:rsidR="006346B2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 is a medium-sized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fish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mucus-covered, scale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less fish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morphologically,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with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pointed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pectoral fin spines capable of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inflicting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painful stings (</w:t>
      </w:r>
      <w:r w:rsidR="00F72373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Islam et al., 2021; </w:t>
      </w:r>
      <w:r w:rsidR="001D3145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Sultana &amp; Farha, 2022).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Its dual respiratory system with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gill and accessory air-breathing organs,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helps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lastRenderedPageBreak/>
        <w:t>survival in oxygen depleted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waters such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as swamps and shallow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stagnant ponds (</w:t>
      </w:r>
      <w:r w:rsidR="001D3145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Islam et al., 2021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</w:p>
    <w:p w:rsidR="00C94105" w:rsidRPr="00004C44" w:rsidRDefault="00374296" w:rsidP="003742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 is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mainly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distributed across India, Bangladesh, Nepal, Sri Lanka, and Myanmar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geographically,</w:t>
      </w:r>
      <w:r w:rsid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with introduced populations in Sou</w:t>
      </w:r>
      <w:r w:rsidR="001D314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theast Asia (Rahman et al., 2019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This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species con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tributes to nutrient cycling and have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high market demand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due to its used in traditional medicinal systems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especially for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 convalescent patients,</w:t>
      </w:r>
      <w:r w:rsidR="00437A5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children and the elders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r w:rsidR="001D314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Nasreen &amp; Borah, 2023; </w:t>
      </w:r>
      <w:r w:rsidR="001D3145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Samad et al., 2017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3. Traditional Knowledge and Ethno</w:t>
      </w:r>
      <w:r w:rsidR="00437A55"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-</w:t>
      </w: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medicinal Applications</w:t>
      </w:r>
    </w:p>
    <w:p w:rsidR="00C94105" w:rsidRPr="00004C44" w:rsidRDefault="003A1CF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Several t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ribal communities in Assam, Odisha, and Chhattisgarh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depend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on this species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for treating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asthma, skin ailments, and weakness (</w:t>
      </w:r>
      <w:r w:rsidR="0068302E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Altaf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et al., 2020; </w:t>
      </w:r>
      <w:r w:rsidR="005006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Nasreen &amp; Borah, 2023; Prakash &amp; Prakash 2021).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Cultural practices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are also reported such as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serving 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dishes to postpartum women for recovery and lactation support (</w:t>
      </w:r>
      <w:proofErr w:type="spellStart"/>
      <w:r w:rsidR="005006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Basumatary</w:t>
      </w:r>
      <w:proofErr w:type="spellEnd"/>
      <w:r w:rsidR="005006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et al., 2023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There are reports of using this fish species by fo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lk healers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for applying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fish oil or paste 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for the treatment of common cold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(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Kumar et al., 2015). </w:t>
      </w:r>
    </w:p>
    <w:p w:rsidR="003A1CF6" w:rsidRPr="00004C44" w:rsidRDefault="003A1CF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The p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reparation methods vary across cultures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tradition such as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boiled or curried for systemic use, oil and paste for topical 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application, and powdered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formulations 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for treating several human ailments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r w:rsidR="0068302E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Kumar et al., 2015; Nasreen &amp; Borah, 2023; Prakash &amp; Prakash 2021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).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From the traditional and biomedical point of view, </w:t>
      </w:r>
      <w:r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="006346B2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 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clearly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demonstrates 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its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advantages compared to other fishes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.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Across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many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traditions, the fish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represents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 symbolic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importance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of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providing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strength, vitality, and healing.</w:t>
      </w:r>
    </w:p>
    <w:p w:rsidR="00461F54" w:rsidRPr="00004C44" w:rsidRDefault="00C94105" w:rsidP="00461F5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4. Nutritional and Biochemical Composition</w:t>
      </w:r>
    </w:p>
    <w:p w:rsidR="00C94105" w:rsidRPr="00004C44" w:rsidRDefault="00C94105" w:rsidP="00461F54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6346B2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with its high</w:t>
      </w:r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protein content,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is 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considered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 high-quality source of essential amino acids including lysine, leucine, and methionine (</w:t>
      </w:r>
      <w:proofErr w:type="spellStart"/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Doloi</w:t>
      </w:r>
      <w:proofErr w:type="spellEnd"/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&amp; </w:t>
      </w:r>
      <w:proofErr w:type="spellStart"/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Basumatari</w:t>
      </w:r>
      <w:proofErr w:type="spellEnd"/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, 2022;</w:t>
      </w:r>
      <w:r w:rsidR="00E62F3C" w:rsidRPr="00004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E62F3C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Sultana et al., 2024). 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Lipids with around 3–5% and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include omega-3 and omega-6 fatty acids, 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which is important for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cardiovascular health and inflammation control (</w:t>
      </w:r>
      <w:r w:rsidR="00E62F3C" w:rsidRPr="00004C4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Hossain et al., 2024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).</w:t>
      </w:r>
      <w:r w:rsidR="00461F54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</w:t>
      </w:r>
      <w:r w:rsidR="00C23F96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23F96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also has 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</w:t>
      </w:r>
      <w:r w:rsidR="003A1CF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igh iron</w:t>
      </w:r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calcium, sodium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and phosphorus </w:t>
      </w:r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contents </w:t>
      </w:r>
      <w:proofErr w:type="gramStart"/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(</w:t>
      </w:r>
      <w:r w:rsidR="00461F54" w:rsidRPr="00004C44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further</w:t>
      </w:r>
      <w:proofErr w:type="gramEnd"/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C23F9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highlights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its relevance </w:t>
      </w:r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maintaining overall nutritional balance. </w:t>
      </w:r>
    </w:p>
    <w:p w:rsidR="00C94105" w:rsidRPr="00004C44" w:rsidRDefault="00004C44" w:rsidP="008B6600">
      <w:pPr>
        <w:spacing w:before="100" w:beforeAutospacing="1" w:after="100" w:afterAutospacing="1" w:line="360" w:lineRule="auto"/>
        <w:jc w:val="both"/>
        <w:outlineLvl w:val="3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5.</w:t>
      </w:r>
      <w:r w:rsidR="00C94105"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 xml:space="preserve"> </w:t>
      </w:r>
      <w:r w:rsidR="00461F54"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Pharmacological and Biomedical Studies</w:t>
      </w:r>
    </w:p>
    <w:p w:rsidR="008F3948" w:rsidRPr="00004C44" w:rsidRDefault="008F3948" w:rsidP="00004C44">
      <w:pPr>
        <w:spacing w:before="100" w:beforeAutospacing="1" w:after="100" w:afterAutospacing="1" w:line="360" w:lineRule="auto"/>
        <w:jc w:val="both"/>
        <w:rPr>
          <w:rStyle w:val="Emphasis"/>
          <w:rFonts w:ascii="Times New Roman" w:eastAsia="Times New Roman" w:hAnsi="Times New Roman" w:cs="Times New Roman"/>
          <w:i w:val="0"/>
          <w:iCs w:val="0"/>
          <w:color w:val="000000" w:themeColor="text1"/>
          <w:sz w:val="24"/>
          <w:szCs w:val="24"/>
          <w:lang w:eastAsia="en-IN"/>
        </w:rPr>
      </w:pPr>
      <w:r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lastRenderedPageBreak/>
        <w:t xml:space="preserve">Studies on </w:t>
      </w:r>
      <w:r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H. </w:t>
      </w:r>
      <w:proofErr w:type="spellStart"/>
      <w:r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fossilis</w:t>
      </w:r>
      <w:proofErr w:type="spellEnd"/>
      <w:r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indicates its pharmacological potential, particularly its immune-modulatory and antimicrobial properties. Mucus and immune tissues of </w:t>
      </w:r>
      <w:r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H. </w:t>
      </w:r>
      <w:proofErr w:type="spellStart"/>
      <w:r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fossilis</w:t>
      </w:r>
      <w:proofErr w:type="spellEnd"/>
      <w:r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are known contain antimicrobial peptides, which show strong activity against several bacterial pathogens (Zaccone et al., 2022). Studies have also reported that fish mucus has wound-healing property through epithelial regeneration and antimicrobial action (Sakthi &amp; Rajeswari, 2021. Although, it is generally regarded as safe, detailed toxicological study remain limited, and caution is advised for sensitive groups</w:t>
      </w:r>
      <w:r w:rsidR="009D30A3"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of people</w:t>
      </w:r>
      <w:r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such as renal patients.</w:t>
      </w:r>
      <w:r w:rsidR="00461F54"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461F54"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 xml:space="preserve">H. </w:t>
      </w:r>
      <w:proofErr w:type="spellStart"/>
      <w:r w:rsidR="00461F54" w:rsidRPr="00004C44">
        <w:rPr>
          <w:rStyle w:val="Emphasis"/>
          <w:rFonts w:ascii="Times New Roman" w:hAnsi="Times New Roman" w:cs="Times New Roman"/>
          <w:color w:val="000000" w:themeColor="text1"/>
          <w:sz w:val="24"/>
          <w:szCs w:val="24"/>
        </w:rPr>
        <w:t>fossilis</w:t>
      </w:r>
      <w:proofErr w:type="spellEnd"/>
      <w:r w:rsidR="00461F54"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 </w:t>
      </w:r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muscle and mucus is generally considered a good source of antioxidant peptides and antimicrobial compounds, thereby enhancing stress resistance and wound repair (</w:t>
      </w:r>
      <w:proofErr w:type="spellStart"/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Vaseem</w:t>
      </w:r>
      <w:proofErr w:type="spellEnd"/>
      <w:r w:rsidR="00461F54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2024). Mucus enzymes of this fish such as lysozyme and proteases provide antimicrobial and regenerative properties </w:t>
      </w:r>
      <w:r w:rsidR="00461F54" w:rsidRPr="00004C44">
        <w:rPr>
          <w:rStyle w:val="Emphasis"/>
          <w:rFonts w:ascii="Times New Roman" w:hAnsi="Times New Roman" w:cs="Times New Roman"/>
          <w:i w:val="0"/>
          <w:color w:val="000000" w:themeColor="text1"/>
          <w:sz w:val="24"/>
          <w:szCs w:val="24"/>
        </w:rPr>
        <w:t xml:space="preserve">(Zaccone et al., 2022). </w:t>
      </w:r>
    </w:p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6. Comparative Insights with Other Medicinal Fish</w:t>
      </w:r>
    </w:p>
    <w:p w:rsidR="00C23F96" w:rsidRPr="00004C44" w:rsidRDefault="00C23F96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="00DA48EA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showed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stronger antimicrobial properties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when compared to other fish such as </w:t>
      </w:r>
      <w:proofErr w:type="spellStart"/>
      <w:r w:rsidR="00E5597C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Clarias</w:t>
      </w:r>
      <w:proofErr w:type="spellEnd"/>
      <w:r w:rsidR="00DA48EA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="00E5597C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batrachus</w:t>
      </w:r>
      <w:proofErr w:type="spellEnd"/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,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due to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the presence of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mucus peptides,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however</w:t>
      </w:r>
      <w:r w:rsidR="00DA48EA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studies reports that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Channa</w:t>
      </w:r>
      <w:proofErr w:type="spellEnd"/>
      <w:r w:rsidR="00DA48EA"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striata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is</w:t>
      </w:r>
      <w:proofErr w:type="spellEnd"/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more effective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in wound healing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thorough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albumin and collagen precursors (</w:t>
      </w:r>
      <w:r w:rsidR="00E62F3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Bhatnagar et al., 2023</w:t>
      </w:r>
      <w:r w:rsidR="008F3948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; </w:t>
      </w:r>
      <w:r w:rsidR="008F3948" w:rsidRPr="00004C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Nasreen</w:t>
      </w:r>
      <w:r w:rsidR="008F3948" w:rsidRPr="00004C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, </w:t>
      </w:r>
      <w:r w:rsidR="008F3948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&amp;</w:t>
      </w:r>
      <w:r w:rsidR="008F3948" w:rsidRPr="00004C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Borah</w:t>
      </w:r>
      <w:r w:rsidR="008F3948" w:rsidRPr="00004C44">
        <w:rPr>
          <w:rFonts w:ascii="Times New Roman" w:hAnsi="Times New Roman" w:cs="Times New Roman"/>
          <w:bCs/>
          <w:color w:val="000000" w:themeColor="text1"/>
          <w:sz w:val="24"/>
          <w:szCs w:val="24"/>
          <w:shd w:val="clear" w:color="auto" w:fill="FFFFFF"/>
          <w:vertAlign w:val="superscript"/>
        </w:rPr>
        <w:t xml:space="preserve">,, </w:t>
      </w:r>
      <w:r w:rsidR="008F3948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2023)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(Table 1)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.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Hence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, </w:t>
      </w:r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occupies a distinct niche, </w:t>
      </w:r>
      <w:r w:rsidR="00E5597C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thereby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balancing systemic and topical therapeutic roles.</w:t>
      </w:r>
    </w:p>
    <w:p w:rsidR="00C23F96" w:rsidRPr="00004C44" w:rsidRDefault="00C23F96" w:rsidP="00C23F96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Table 1. Comparative overview of </w:t>
      </w:r>
      <w:r w:rsidRPr="00004C4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en-IN"/>
        </w:rPr>
        <w:t xml:space="preserve">H. 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and other medicinal fish species in traditional and biomedical contexts</w:t>
      </w:r>
    </w:p>
    <w:tbl>
      <w:tblPr>
        <w:tblW w:w="10632" w:type="dxa"/>
        <w:jc w:val="center"/>
        <w:tblCellSpacing w:w="15" w:type="dxa"/>
        <w:tblBorders>
          <w:top w:val="single" w:sz="4" w:space="0" w:color="auto"/>
          <w:bottom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83"/>
        <w:gridCol w:w="2943"/>
        <w:gridCol w:w="2181"/>
        <w:gridCol w:w="3125"/>
      </w:tblGrid>
      <w:tr w:rsidR="00004C44" w:rsidRPr="00004C44" w:rsidTr="00E01C18">
        <w:trPr>
          <w:tblHeader/>
          <w:tblCellSpacing w:w="15" w:type="dxa"/>
          <w:jc w:val="center"/>
        </w:trPr>
        <w:tc>
          <w:tcPr>
            <w:tcW w:w="2338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  <w:t>Parameter</w:t>
            </w:r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H. </w:t>
            </w: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fossilis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Clarias</w:t>
            </w:r>
            <w:proofErr w:type="spellEnd"/>
            <w:r w:rsidR="006346B2"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batrachus</w:t>
            </w:r>
            <w:proofErr w:type="spellEnd"/>
          </w:p>
        </w:tc>
        <w:tc>
          <w:tcPr>
            <w:tcW w:w="3080" w:type="dxa"/>
            <w:tcBorders>
              <w:top w:val="nil"/>
              <w:bottom w:val="single" w:sz="4" w:space="0" w:color="auto"/>
            </w:tcBorders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en-IN"/>
              </w:rPr>
            </w:pP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Channa</w:t>
            </w:r>
            <w:proofErr w:type="spellEnd"/>
            <w:r w:rsidR="006346B2"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 xml:space="preserve"> </w:t>
            </w:r>
            <w:proofErr w:type="spellStart"/>
            <w:r w:rsidRPr="00004C44">
              <w:rPr>
                <w:rFonts w:ascii="Times New Roman" w:eastAsia="Times New Roman" w:hAnsi="Times New Roman" w:cs="Times New Roman"/>
                <w:bCs/>
                <w:i/>
                <w:iCs/>
                <w:color w:val="000000" w:themeColor="text1"/>
                <w:sz w:val="24"/>
                <w:szCs w:val="24"/>
                <w:lang w:eastAsia="en-IN"/>
              </w:rPr>
              <w:t>striata</w:t>
            </w:r>
            <w:proofErr w:type="spellEnd"/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Major Traditional Uses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Anaemia, inflammation, postnatal care, respiratory ailments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Anaemia, fever, weakness, post-operative recovery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Wound healing, joint pain, post-surgical recovery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Key Nutrients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High iron, protein, omega-3 fatty acids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Iron, protein, omega-3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Albumin, glycine, proline, essential amino acids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Bioactive Compounds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Antimicrobial peptides, antioxidants, immunomodulators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Antioxidant peptides, moderate immune enhancers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Collagen-enhancing peptides, wound-healing factors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Antimicrobial Activity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Strong (against Gram+/- bacteria, fungi)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Moderate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Mild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lastRenderedPageBreak/>
              <w:t>Tissue Regeneration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Moderate to strong (wound healing, epithelialization)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Moderate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Strong (skin repair, muscle regeneration)</w:t>
            </w:r>
          </w:p>
        </w:tc>
      </w:tr>
      <w:tr w:rsidR="00004C44" w:rsidRPr="00004C44" w:rsidTr="00E01C18">
        <w:trPr>
          <w:tblCellSpacing w:w="15" w:type="dxa"/>
          <w:jc w:val="center"/>
        </w:trPr>
        <w:tc>
          <w:tcPr>
            <w:tcW w:w="2338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Respiratory Adaptability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Very high (air-breathing, low O₂ tolerance)</w:t>
            </w:r>
          </w:p>
        </w:tc>
        <w:tc>
          <w:tcPr>
            <w:tcW w:w="0" w:type="auto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High</w:t>
            </w:r>
          </w:p>
        </w:tc>
        <w:tc>
          <w:tcPr>
            <w:tcW w:w="3080" w:type="dxa"/>
            <w:vAlign w:val="center"/>
            <w:hideMark/>
          </w:tcPr>
          <w:p w:rsidR="00C23F96" w:rsidRPr="00004C44" w:rsidRDefault="00C23F96" w:rsidP="00E01C18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</w:pPr>
            <w:r w:rsidRPr="00004C44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IN"/>
              </w:rPr>
              <w:t>Moderate</w:t>
            </w:r>
          </w:p>
        </w:tc>
      </w:tr>
    </w:tbl>
    <w:p w:rsidR="00C94105" w:rsidRPr="00004C44" w:rsidRDefault="00C94105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7. Research Gaps and Challenges, Future Directions</w:t>
      </w:r>
    </w:p>
    <w:p w:rsidR="00E5597C" w:rsidRPr="00004C44" w:rsidRDefault="00E5597C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Pr="00004C44">
        <w:rPr>
          <w:rFonts w:ascii="Times New Roman" w:eastAsia="Times New Roman" w:hAnsi="Times New Roman" w:cs="Times New Roman"/>
          <w:bCs/>
          <w:i/>
          <w:color w:val="000000" w:themeColor="text1"/>
          <w:sz w:val="24"/>
          <w:szCs w:val="24"/>
          <w:lang w:eastAsia="en-IN"/>
        </w:rPr>
        <w:t>fossilis</w:t>
      </w:r>
      <w:proofErr w:type="spellEnd"/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faces many challenges despite its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growing biomedical interest.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The absence of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studies on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human clinical trials limits validation of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its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ethno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-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medicinal claims, while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less studies on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molecular characterization restricts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the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identification of bioactive compounds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of medicinal importance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. Future opportunities include developing peptide-based drugs and </w:t>
      </w:r>
      <w:proofErr w:type="spellStart"/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nano</w:t>
      </w:r>
      <w:proofErr w:type="spellEnd"/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-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formulations, nutraceuticals for anaemia and malnutrition, and conservation via 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captive breeding, 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aquaculture and genetic improvement. Interdisciplinary research for translating traditional knowledge into validated biomedical applications</w:t>
      </w:r>
      <w:r w:rsidR="00916591"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 xml:space="preserve"> will be crucial</w:t>
      </w:r>
      <w:r w:rsidRPr="00004C4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en-IN"/>
        </w:rPr>
        <w:t>.</w:t>
      </w:r>
    </w:p>
    <w:p w:rsidR="00C94105" w:rsidRPr="00004C44" w:rsidRDefault="00004C44" w:rsidP="008B6600">
      <w:pPr>
        <w:spacing w:before="100" w:beforeAutospacing="1" w:after="100" w:afterAutospacing="1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8</w:t>
      </w:r>
      <w:r w:rsidR="00C94105" w:rsidRPr="00004C44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en-IN"/>
        </w:rPr>
        <w:t>. Conclusion</w:t>
      </w:r>
    </w:p>
    <w:p w:rsidR="00C94105" w:rsidRDefault="00916591" w:rsidP="008B6600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H.</w:t>
      </w:r>
      <w:r w:rsidR="006346B2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6346B2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brings together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tradition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al knowledge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and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modern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science. Its role in ethno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-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medicine for anaemia, respiratory disorders, and wound healing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treatment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is now corroborated by 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new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biomedical findings, highlighting its proteins, fatty acids, antimicrobial peptides, and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immunomodulatory agents. 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espite</w:t>
      </w:r>
      <w:r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the available preliminary and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promising laboratory evidence, clinical validation, sustainable harvesting, and ethical frameworks remain critical challenges.Bridging these gaps requires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will require multi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disciplinary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approach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policy support, and conservation strategies.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By h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arnessing the biomedical potential of </w:t>
      </w:r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 xml:space="preserve">H. </w:t>
      </w:r>
      <w:proofErr w:type="spellStart"/>
      <w:r w:rsidR="00C94105" w:rsidRPr="00004C44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lang w:eastAsia="en-IN"/>
        </w:rPr>
        <w:t>fossilis</w:t>
      </w:r>
      <w:proofErr w:type="spellEnd"/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, </w:t>
      </w:r>
      <w:r w:rsidR="00C94105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>indigenous knowledge</w:t>
      </w:r>
      <w:r w:rsidR="00DA48EA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 </w:t>
      </w:r>
      <w:r w:rsidR="00D350D6" w:rsidRPr="00004C4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  <w:t xml:space="preserve">can be preserved </w:t>
      </w:r>
      <w:r w:rsidR="00D350D6" w:rsidRPr="00004C44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while supporting the development of natural medicines and functional foods for global health needs. </w:t>
      </w:r>
    </w:p>
    <w:p w:rsidR="00004C44" w:rsidRPr="00004C44" w:rsidRDefault="00004C44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D350D6" w:rsidRPr="00004C44" w:rsidRDefault="00D350D6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</w:pPr>
      <w:r w:rsidRPr="00004C4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IN"/>
        </w:rPr>
        <w:t>References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Ali Shaikh, K. H.,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Nighot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R., &amp; Mishra, S. (2025). Effect of hypoxia on physiological-biochemical blood parameters in the catfish,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Heteropnuestes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. Journal of Experimental Zoology India, 28(1). DOI: 10.51470/jez.2025.28.1.807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lastRenderedPageBreak/>
        <w:t xml:space="preserve">Altaf, M., Abbasi, A. M., Umair, M., Amjad, M. S., Irshad, K., &amp; Khan, A. M. (2020). The use of fish and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herptiles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in traditional folk therapies in three districts of Chenab riverine area in Punjab, Pakistan. Journal of Ethnobiology and Ethnomedicine, 16(1), 38.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Basumatary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G.,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Narzary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B.,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Khangembam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B. K. (2023). Diversity and traditional ethnozoological uses of ichthyofauna by the Bodo Tribes of Kokrajhar, Assam, Northeast India. Nusantara Bioscience, 15(1).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Bhatnagar, A., Kumari, S.,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Tyor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A. K. (2023). Assessment of bactericidal role of epidermal mucus of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and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Clarias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batrachus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(Asian cat fishes) against pathogenic microbial strains. Aquaculture and Fisheries, 8(1), 50-58.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Doloi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D.,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Basumatari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D. (2022). A Comparative Study on Total Muscle Protein Content of 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Anabas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testudineus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Labeo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gonius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Labeo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rohita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and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and to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analyze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their Electrophoretic Banding Pattern using SDS-PAGE. (2020). Int. J. Life Sci. Pharma Res, 10(3), L46-50.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Hossain, M. B., Islam, R., Hossain, M. K., Parvin, A.,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Saha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B., Nur, A. A. U. &amp; Arai, T. (2024). Minerals and fatty acid profile of small indigenous fish species from homestead ponds within a Sub-tropical coastal region.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Heliyon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10(2).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Islam, M. A., Hossain, M. Y., Rahman, M. A.,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RAhman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O.,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Sarmin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 S., Khatun, D., ... &amp; Parvin, M. F. (2021). Some biological aspects of Asian stinging catfish,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(Bloch, 1794) (Teleostei: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Siluriformes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) in a wetland ecosystem. Iranian Journal of Ichthyology, 8(1), 52-61.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Kumar, P., Verma, S. K.,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Subba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B. R. (2015). Traditional use of fish based ethnomedicine in the treatment of some diseases in Eastern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Tarai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of Nepal. Nepalese Journal of Biosciences, 5(1), 61-64.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Lima, M. A., Hossain, M. A., Islam, M. R., Mukul, M. N. A.,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Akter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T. (2024). Dietary zinc requirement of juvenile stinging catfish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based on growth performance, haematology, and tissue mineral composition.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Heliyon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10(7).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Nasreen, S. &amp; Borah, G.A. (2023). A Review on the Use of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and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Clarias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magur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in Assamese Traditional Medicine. Asian Journal of Biological and Life Sciences, 12(1),18-21. DOI:10.5530/ajbls.2023.12.3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Prakash, S., &amp; Prakash, S. (2021). Ethnomedicinal use of fishes by tribal communities in India: A review. Pharma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Innov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, 10(5), 1315-1321.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Rahman, M. A., Hasan, M. R., Hossain, M. Y., Islam, M. A., Khatun, D., Rahman, O. &amp; Khatun, H. (2019). Morphometric and meristic characteristics of the Asian stinging </w:t>
      </w: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lastRenderedPageBreak/>
        <w:t xml:space="preserve">catfish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(Bloch, 1794): A key for identification. Jordan Journal of Biological Sciences, 12(4), 467-470.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Sakthi, R. S., &amp; Rajeswari, S. U. (2021). Use of fish epidermal mucus as an antimicrobial agent–a review. Uttar Pradesh Journal of Zoology, 42(21), 1-13.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Samad, M. A.,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Nahiduzzama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Ashrafuzzaman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M., Rashid, M. A.,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Akter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 (2017). Culture of indigenous catfish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Shingi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(Bloch, 1794), with available low cost formulated feed in earthen ponds of Bangladesh. Journal of Coastal Life Medicine, 5(7), 288-292.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Sultana, S., &amp; Farha, F. (2022). A Male Hormone-Induced Changes in Growth Performance and Histopathology in the Stinging Catfish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(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Siluriformes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: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Heteropneustidae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) Under Laboratory Conditions. Journal of Bio-Science, 30(1), 131-141.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Sultana, S., Khan, M. N., Hossain, M. S., Dai, J., Rahman, M. S.,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Salimullah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 (2022). Community structure and functional annotations of the skin microbiome in healthy and diseased catfish,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. Frontiers in Microbiology, 13, 856014.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Sultana, N., Rana, M. J., &amp; Khan, M. A. (2024). Analysis of Proximate Composition of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Shingi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Fish (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) Fed with Poultry Offal Protein-Rich Formulated Feed under Captive Conditions. Asian Journal of Biology, 20(11), 64-72.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Umamageshwari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M., Rajeswari, S. &amp; U.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Sivasakthi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R. (2022). Biochemical Composition, Mineral Content and FTIR analysis on five different tissues of fresh water </w:t>
      </w:r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fish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Heteropneustes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in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Tenkasi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district.  Journal of Xi’an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Shiyou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University, 18 (8). 556-570 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Vaseem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H. (2024). Investigation of antioxidant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defense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system, digestive enzymes and histopathological alterations in intestine of catfish,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Hetropneustes</w:t>
      </w:r>
      <w:proofErr w:type="spellEnd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 xml:space="preserve"> </w:t>
      </w:r>
      <w:proofErr w:type="spellStart"/>
      <w:r w:rsidRPr="003C61FD">
        <w:rPr>
          <w:rFonts w:ascii="Times New Roman" w:eastAsia="Times New Roman" w:hAnsi="Times New Roman" w:cs="Times New Roman"/>
          <w:i/>
          <w:color w:val="000000" w:themeColor="text1"/>
          <w:lang w:eastAsia="en-IN"/>
        </w:rPr>
        <w:t>fossilis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exposed to antibiotic norfloxacin. Ecological Frontiers, 44(4), 839-849.</w:t>
      </w:r>
    </w:p>
    <w:p w:rsidR="00004C44" w:rsidRPr="003C61FD" w:rsidRDefault="00004C44" w:rsidP="003C61FD">
      <w:pPr>
        <w:pStyle w:val="ListParagraph"/>
        <w:numPr>
          <w:ilvl w:val="0"/>
          <w:numId w:val="5"/>
        </w:num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en-IN"/>
        </w:rPr>
      </w:pPr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Zaccone, G.,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Capillo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G., Fernandes, J. M. O., Kiron, V.,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Lauriano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E. R.,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Alesci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A. &amp;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Aragona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, M. (2022). Expression of the antimicrobial peptide </w:t>
      </w:r>
      <w:proofErr w:type="spellStart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>piscidin</w:t>
      </w:r>
      <w:proofErr w:type="spellEnd"/>
      <w:r w:rsidRPr="003C61FD">
        <w:rPr>
          <w:rFonts w:ascii="Times New Roman" w:eastAsia="Times New Roman" w:hAnsi="Times New Roman" w:cs="Times New Roman"/>
          <w:color w:val="000000" w:themeColor="text1"/>
          <w:lang w:eastAsia="en-IN"/>
        </w:rPr>
        <w:t xml:space="preserve"> 1 and neuropeptides in fish gill and skin: A potential participation in neuro-immune interaction. Marine drugs, 20(2), 145.</w:t>
      </w:r>
    </w:p>
    <w:p w:rsidR="00004C44" w:rsidRPr="00004C44" w:rsidRDefault="00004C44" w:rsidP="008B6600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IN"/>
        </w:rPr>
      </w:pPr>
    </w:p>
    <w:p w:rsidR="00AE1FCB" w:rsidRPr="00004C44" w:rsidRDefault="00AE1FCB" w:rsidP="00AE1FCB">
      <w:pPr>
        <w:spacing w:before="100" w:beforeAutospacing="1" w:after="100" w:afterAutospacing="1" w:line="48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</w:p>
    <w:sectPr w:rsidR="00AE1FCB" w:rsidRPr="00004C44" w:rsidSect="00D3568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4527" w:rsidRDefault="00A94527" w:rsidP="00B24D72">
      <w:pPr>
        <w:spacing w:after="0" w:line="240" w:lineRule="auto"/>
      </w:pPr>
      <w:r>
        <w:separator/>
      </w:r>
    </w:p>
  </w:endnote>
  <w:endnote w:type="continuationSeparator" w:id="0">
    <w:p w:rsidR="00A94527" w:rsidRDefault="00A94527" w:rsidP="00B24D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B24D7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B24D7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B24D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4527" w:rsidRDefault="00A94527" w:rsidP="00B24D72">
      <w:pPr>
        <w:spacing w:after="0" w:line="240" w:lineRule="auto"/>
      </w:pPr>
      <w:r>
        <w:separator/>
      </w:r>
    </w:p>
  </w:footnote>
  <w:footnote w:type="continuationSeparator" w:id="0">
    <w:p w:rsidR="00A94527" w:rsidRDefault="00A94527" w:rsidP="00B24D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B24D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44532" o:spid="_x0000_s2050" type="#_x0000_t136" style="position:absolute;margin-left:0;margin-top:0;width:535.8pt;height:100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B24D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44533" o:spid="_x0000_s2051" type="#_x0000_t136" style="position:absolute;margin-left:0;margin-top:0;width:535.8pt;height:100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4D72" w:rsidRDefault="00B24D72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16344531" o:spid="_x0000_s2049" type="#_x0000_t136" style="position:absolute;margin-left:0;margin-top:0;width:535.8pt;height:100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UNDER PEER REVIEW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5B668C"/>
    <w:multiLevelType w:val="hybridMultilevel"/>
    <w:tmpl w:val="B01A7C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D8560BA"/>
    <w:multiLevelType w:val="multilevel"/>
    <w:tmpl w:val="0D107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4555845"/>
    <w:multiLevelType w:val="hybridMultilevel"/>
    <w:tmpl w:val="0FF8F9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2E61BD"/>
    <w:multiLevelType w:val="multilevel"/>
    <w:tmpl w:val="CFE2A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E0E4184"/>
    <w:multiLevelType w:val="hybridMultilevel"/>
    <w:tmpl w:val="181075FA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E54316D"/>
    <w:multiLevelType w:val="hybridMultilevel"/>
    <w:tmpl w:val="A96068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8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4105"/>
    <w:rsid w:val="00004C44"/>
    <w:rsid w:val="001A78FB"/>
    <w:rsid w:val="001D3145"/>
    <w:rsid w:val="00374296"/>
    <w:rsid w:val="00383A26"/>
    <w:rsid w:val="003A1CF6"/>
    <w:rsid w:val="003C61FD"/>
    <w:rsid w:val="00437A55"/>
    <w:rsid w:val="00461F54"/>
    <w:rsid w:val="00500605"/>
    <w:rsid w:val="00613CB5"/>
    <w:rsid w:val="006346B2"/>
    <w:rsid w:val="00637B6C"/>
    <w:rsid w:val="0068302E"/>
    <w:rsid w:val="007A1FED"/>
    <w:rsid w:val="007C1B24"/>
    <w:rsid w:val="00822346"/>
    <w:rsid w:val="008B6600"/>
    <w:rsid w:val="008F3948"/>
    <w:rsid w:val="00916591"/>
    <w:rsid w:val="00997372"/>
    <w:rsid w:val="009D30A3"/>
    <w:rsid w:val="00A94527"/>
    <w:rsid w:val="00AE1FCB"/>
    <w:rsid w:val="00B24D72"/>
    <w:rsid w:val="00C23F96"/>
    <w:rsid w:val="00C94105"/>
    <w:rsid w:val="00D20F60"/>
    <w:rsid w:val="00D350D6"/>
    <w:rsid w:val="00D35680"/>
    <w:rsid w:val="00DA48EA"/>
    <w:rsid w:val="00E151F3"/>
    <w:rsid w:val="00E5597C"/>
    <w:rsid w:val="00E62F3C"/>
    <w:rsid w:val="00E66617"/>
    <w:rsid w:val="00F72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66901FD2"/>
  <w15:docId w15:val="{5F23D5F2-FA7F-4495-B097-03698344D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35680"/>
  </w:style>
  <w:style w:type="paragraph" w:styleId="Heading1">
    <w:name w:val="heading 1"/>
    <w:basedOn w:val="Normal"/>
    <w:link w:val="Heading1Char"/>
    <w:uiPriority w:val="9"/>
    <w:qFormat/>
    <w:rsid w:val="00C9410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styleId="Heading3">
    <w:name w:val="heading 3"/>
    <w:basedOn w:val="Normal"/>
    <w:link w:val="Heading3Char"/>
    <w:uiPriority w:val="9"/>
    <w:qFormat/>
    <w:rsid w:val="00C9410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paragraph" w:styleId="Heading4">
    <w:name w:val="heading 4"/>
    <w:basedOn w:val="Normal"/>
    <w:link w:val="Heading4Char"/>
    <w:uiPriority w:val="9"/>
    <w:qFormat/>
    <w:rsid w:val="00C9410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4105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customStyle="1" w:styleId="Heading3Char">
    <w:name w:val="Heading 3 Char"/>
    <w:basedOn w:val="DefaultParagraphFont"/>
    <w:link w:val="Heading3"/>
    <w:uiPriority w:val="9"/>
    <w:rsid w:val="00C94105"/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customStyle="1" w:styleId="Heading4Char">
    <w:name w:val="Heading 4 Char"/>
    <w:basedOn w:val="DefaultParagraphFont"/>
    <w:link w:val="Heading4"/>
    <w:uiPriority w:val="9"/>
    <w:rsid w:val="00C94105"/>
    <w:rPr>
      <w:rFonts w:ascii="Times New Roman" w:eastAsia="Times New Roman" w:hAnsi="Times New Roman" w:cs="Times New Roman"/>
      <w:b/>
      <w:bCs/>
      <w:sz w:val="24"/>
      <w:szCs w:val="24"/>
      <w:lang w:eastAsia="en-IN"/>
    </w:rPr>
  </w:style>
  <w:style w:type="paragraph" w:styleId="NormalWeb">
    <w:name w:val="Normal (Web)"/>
    <w:basedOn w:val="Normal"/>
    <w:uiPriority w:val="99"/>
    <w:semiHidden/>
    <w:unhideWhenUsed/>
    <w:rsid w:val="00C941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styleId="Strong">
    <w:name w:val="Strong"/>
    <w:basedOn w:val="DefaultParagraphFont"/>
    <w:uiPriority w:val="22"/>
    <w:qFormat/>
    <w:rsid w:val="00C94105"/>
    <w:rPr>
      <w:b/>
      <w:bCs/>
    </w:rPr>
  </w:style>
  <w:style w:type="character" w:styleId="Emphasis">
    <w:name w:val="Emphasis"/>
    <w:basedOn w:val="DefaultParagraphFont"/>
    <w:uiPriority w:val="20"/>
    <w:qFormat/>
    <w:rsid w:val="00C94105"/>
    <w:rPr>
      <w:i/>
      <w:iCs/>
    </w:rPr>
  </w:style>
  <w:style w:type="paragraph" w:styleId="ListParagraph">
    <w:name w:val="List Paragraph"/>
    <w:basedOn w:val="Normal"/>
    <w:uiPriority w:val="34"/>
    <w:qFormat/>
    <w:rsid w:val="00383A26"/>
    <w:pPr>
      <w:spacing w:after="0" w:line="240" w:lineRule="auto"/>
      <w:ind w:left="720"/>
      <w:contextualSpacing/>
    </w:pPr>
    <w:rPr>
      <w:rFonts w:eastAsiaTheme="minorEastAsia"/>
      <w:kern w:val="2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48EA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4D72"/>
  </w:style>
  <w:style w:type="paragraph" w:styleId="Footer">
    <w:name w:val="footer"/>
    <w:basedOn w:val="Normal"/>
    <w:link w:val="FooterChar"/>
    <w:uiPriority w:val="99"/>
    <w:unhideWhenUsed/>
    <w:rsid w:val="00B24D7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4D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24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2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282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2125</Words>
  <Characters>12119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ajit2486@outlook.com</dc:creator>
  <cp:keywords/>
  <dc:description/>
  <cp:lastModifiedBy>SDI 1084</cp:lastModifiedBy>
  <cp:revision>3</cp:revision>
  <dcterms:created xsi:type="dcterms:W3CDTF">2025-09-16T17:35:00Z</dcterms:created>
  <dcterms:modified xsi:type="dcterms:W3CDTF">2025-09-18T13:17:00Z</dcterms:modified>
</cp:coreProperties>
</file>