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6CA3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D70DE9" w14:textId="77777777" w:rsidR="00E3527A" w:rsidRPr="00E3527A" w:rsidRDefault="00AA4C11" w:rsidP="00E3527A">
      <w:pPr>
        <w:rPr>
          <w:rFonts w:ascii="Calibri" w:eastAsia="Calibri" w:hAnsi="Calibri" w:cs="Times New Roman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E3527A" w:rsidRPr="00E3527A">
        <w:rPr>
          <w:rFonts w:ascii="Calibri" w:eastAsia="Calibri" w:hAnsi="Calibri" w:cs="Times New Roman"/>
          <w:lang w:val="en-US"/>
        </w:rPr>
        <w:t>1)Table 3 the last row:</w:t>
      </w:r>
    </w:p>
    <w:p w14:paraId="643D8D5E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‘</w:t>
      </w:r>
    </w:p>
    <w:tbl>
      <w:tblPr>
        <w:tblpPr w:leftFromText="180" w:rightFromText="180" w:tblpXSpec="center" w:tblpY="600"/>
        <w:tblW w:w="5373" w:type="pct"/>
        <w:tblLook w:val="04A0" w:firstRow="1" w:lastRow="0" w:firstColumn="1" w:lastColumn="0" w:noHBand="0" w:noVBand="1"/>
      </w:tblPr>
      <w:tblGrid>
        <w:gridCol w:w="1279"/>
        <w:gridCol w:w="1287"/>
        <w:gridCol w:w="1279"/>
        <w:gridCol w:w="1287"/>
        <w:gridCol w:w="1279"/>
        <w:gridCol w:w="1264"/>
        <w:gridCol w:w="1279"/>
        <w:gridCol w:w="1264"/>
        <w:gridCol w:w="1287"/>
        <w:gridCol w:w="1264"/>
        <w:gridCol w:w="1287"/>
      </w:tblGrid>
      <w:tr w:rsidR="00E3527A" w:rsidRPr="00E3527A" w14:paraId="1A324DC6" w14:textId="77777777" w:rsidTr="002D693A">
        <w:trPr>
          <w:trHeight w:val="148"/>
        </w:trPr>
        <w:tc>
          <w:tcPr>
            <w:tcW w:w="43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865344E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bookmarkStart w:id="0" w:name="_Hlk168740114"/>
            <w:r w:rsidRPr="00E3527A">
              <w:rPr>
                <w:rFonts w:ascii="Times New Roman" w:eastAsia="Calibri" w:hAnsi="Times New Roman" w:cs="Times New Roman"/>
                <w:lang w:val="ru-RU"/>
              </w:rPr>
              <w:t>88.05±0.25</w:t>
            </w:r>
            <w:bookmarkEnd w:id="0"/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D94500E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66.05±2.75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b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DCFFA02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65.85±0.25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c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EB6FF29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63.55±0.65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d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D6798F8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60.95±3.95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e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A642A19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48.50±0.50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FAFF046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88.20±3.00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BA19C8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1FF8F02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43.00±1.00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g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41E2BFF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48.10±1.10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48AC19C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42.00±1.00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g</w:t>
            </w:r>
          </w:p>
        </w:tc>
      </w:tr>
    </w:tbl>
    <w:p w14:paraId="16DE5F14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 xml:space="preserve">Should be changed to: </w:t>
      </w:r>
    </w:p>
    <w:tbl>
      <w:tblPr>
        <w:tblpPr w:leftFromText="180" w:rightFromText="180" w:tblpXSpec="center" w:tblpY="600"/>
        <w:tblW w:w="5373" w:type="pct"/>
        <w:tblLook w:val="04A0" w:firstRow="1" w:lastRow="0" w:firstColumn="1" w:lastColumn="0" w:noHBand="0" w:noVBand="1"/>
      </w:tblPr>
      <w:tblGrid>
        <w:gridCol w:w="1279"/>
        <w:gridCol w:w="1287"/>
        <w:gridCol w:w="1279"/>
        <w:gridCol w:w="1287"/>
        <w:gridCol w:w="1279"/>
        <w:gridCol w:w="1264"/>
        <w:gridCol w:w="1279"/>
        <w:gridCol w:w="1264"/>
        <w:gridCol w:w="1287"/>
        <w:gridCol w:w="1264"/>
        <w:gridCol w:w="1287"/>
      </w:tblGrid>
      <w:tr w:rsidR="00E3527A" w:rsidRPr="00E3527A" w14:paraId="152BCB27" w14:textId="77777777" w:rsidTr="002D693A">
        <w:trPr>
          <w:trHeight w:val="148"/>
        </w:trPr>
        <w:tc>
          <w:tcPr>
            <w:tcW w:w="45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BF233F1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88.05±0.25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5BF8EC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66.05±2.75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b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0D617D3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65.85±0.25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c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05CF330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63.55±0.65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d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8EA43B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60.95±3.95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e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E35988E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48.50±0.50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92A52D4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88.20±3.00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7B887A6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D38D615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43.00±1.00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g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87990E2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48.10±1.10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f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AB82337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42.00±1.00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g</w:t>
            </w:r>
          </w:p>
        </w:tc>
      </w:tr>
    </w:tbl>
    <w:p w14:paraId="4C1D464C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88.05±0.25a   66.05±2.75b   65.85±0.25</w:t>
      </w:r>
      <w:r w:rsidRPr="00E3527A">
        <w:rPr>
          <w:rFonts w:ascii="Calibri" w:eastAsia="Calibri" w:hAnsi="Calibri" w:cs="Times New Roman"/>
          <w:color w:val="FF0000"/>
          <w:lang w:val="en-US"/>
        </w:rPr>
        <w:t xml:space="preserve">b  </w:t>
      </w:r>
      <w:r w:rsidRPr="00E3527A">
        <w:rPr>
          <w:rFonts w:ascii="Calibri" w:eastAsia="Calibri" w:hAnsi="Calibri" w:cs="Times New Roman"/>
          <w:lang w:val="en-US"/>
        </w:rPr>
        <w:t>63.55±0.65</w:t>
      </w:r>
      <w:r w:rsidRPr="00E3527A">
        <w:rPr>
          <w:rFonts w:ascii="Calibri" w:eastAsia="Calibri" w:hAnsi="Calibri" w:cs="Times New Roman"/>
          <w:color w:val="FF0000"/>
          <w:lang w:val="en-US"/>
        </w:rPr>
        <w:t>c</w:t>
      </w:r>
      <w:r w:rsidRPr="00E3527A">
        <w:rPr>
          <w:rFonts w:ascii="Calibri" w:eastAsia="Calibri" w:hAnsi="Calibri" w:cs="Times New Roman"/>
          <w:lang w:val="en-US"/>
        </w:rPr>
        <w:tab/>
        <w:t>60.95±3.95</w:t>
      </w:r>
      <w:r w:rsidRPr="00E3527A">
        <w:rPr>
          <w:rFonts w:ascii="Calibri" w:eastAsia="Calibri" w:hAnsi="Calibri" w:cs="Times New Roman"/>
          <w:color w:val="FF0000"/>
          <w:lang w:val="en-US"/>
        </w:rPr>
        <w:t>bc</w:t>
      </w:r>
      <w:r w:rsidRPr="00E3527A">
        <w:rPr>
          <w:rFonts w:ascii="Calibri" w:eastAsia="Calibri" w:hAnsi="Calibri" w:cs="Times New Roman"/>
          <w:lang w:val="en-US"/>
        </w:rPr>
        <w:tab/>
        <w:t>48.50±0.50</w:t>
      </w:r>
      <w:r w:rsidRPr="00E3527A">
        <w:rPr>
          <w:rFonts w:ascii="Calibri" w:eastAsia="Calibri" w:hAnsi="Calibri" w:cs="Times New Roman"/>
          <w:color w:val="FF0000"/>
          <w:lang w:val="en-US"/>
        </w:rPr>
        <w:t>d</w:t>
      </w:r>
      <w:r w:rsidRPr="00E3527A">
        <w:rPr>
          <w:rFonts w:ascii="Calibri" w:eastAsia="Calibri" w:hAnsi="Calibri" w:cs="Times New Roman"/>
          <w:lang w:val="en-US"/>
        </w:rPr>
        <w:tab/>
        <w:t>88.20±3.00a</w:t>
      </w:r>
      <w:r w:rsidRPr="00E3527A">
        <w:rPr>
          <w:rFonts w:ascii="Calibri" w:eastAsia="Calibri" w:hAnsi="Calibri" w:cs="Times New Roman"/>
          <w:lang w:val="en-US"/>
        </w:rPr>
        <w:tab/>
        <w:t>48.00±1.00</w:t>
      </w:r>
      <w:r w:rsidRPr="00E3527A">
        <w:rPr>
          <w:rFonts w:ascii="Calibri" w:eastAsia="Calibri" w:hAnsi="Calibri" w:cs="Times New Roman"/>
          <w:color w:val="FF0000"/>
          <w:lang w:val="en-US"/>
        </w:rPr>
        <w:t>d</w:t>
      </w:r>
      <w:r w:rsidRPr="00E3527A">
        <w:rPr>
          <w:rFonts w:ascii="Calibri" w:eastAsia="Calibri" w:hAnsi="Calibri" w:cs="Times New Roman"/>
          <w:lang w:val="en-US"/>
        </w:rPr>
        <w:tab/>
        <w:t>43.00±1.00</w:t>
      </w:r>
      <w:r w:rsidRPr="00E3527A">
        <w:rPr>
          <w:rFonts w:ascii="Calibri" w:eastAsia="Calibri" w:hAnsi="Calibri" w:cs="Times New Roman"/>
          <w:color w:val="FF0000"/>
          <w:lang w:val="en-US"/>
        </w:rPr>
        <w:t>e</w:t>
      </w:r>
      <w:r w:rsidRPr="00E3527A">
        <w:rPr>
          <w:rFonts w:ascii="Calibri" w:eastAsia="Calibri" w:hAnsi="Calibri" w:cs="Times New Roman"/>
          <w:lang w:val="en-US"/>
        </w:rPr>
        <w:tab/>
        <w:t>48.10±1.10</w:t>
      </w:r>
      <w:r w:rsidRPr="00E3527A">
        <w:rPr>
          <w:rFonts w:ascii="Calibri" w:eastAsia="Calibri" w:hAnsi="Calibri" w:cs="Times New Roman"/>
          <w:color w:val="FF0000"/>
          <w:lang w:val="en-US"/>
        </w:rPr>
        <w:t>d</w:t>
      </w:r>
      <w:r w:rsidRPr="00E3527A">
        <w:rPr>
          <w:rFonts w:ascii="Calibri" w:eastAsia="Calibri" w:hAnsi="Calibri" w:cs="Times New Roman"/>
          <w:lang w:val="en-US"/>
        </w:rPr>
        <w:tab/>
        <w:t>42.00±1.00e</w:t>
      </w:r>
    </w:p>
    <w:p w14:paraId="1A1EB51E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Please, check statistics on Tables 3,4,5 and 6!!!!</w:t>
      </w:r>
    </w:p>
    <w:p w14:paraId="2716FBC5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2) Table 7 Mistakes with statistics Seems that the below version is correct5=. Check!!!!</w:t>
      </w:r>
    </w:p>
    <w:p w14:paraId="37C56D10" w14:textId="77777777" w:rsidR="00E3527A" w:rsidRPr="00E3527A" w:rsidRDefault="00E3527A" w:rsidP="00E3527A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lang w:val="en-US"/>
        </w:rPr>
      </w:pPr>
      <w:r w:rsidRPr="00E3527A">
        <w:rPr>
          <w:rFonts w:ascii="Times New Roman" w:eastAsia="Calibri" w:hAnsi="Times New Roman" w:cs="Times New Roman"/>
          <w:b/>
          <w:bCs/>
          <w:i/>
          <w:iCs/>
          <w:lang w:val="en-US"/>
        </w:rPr>
        <w:t>Table 7: Antagonistic potential (mm) of yeasts isolated from palm wine and burukutu against enteric pathogens</w:t>
      </w: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622"/>
        <w:gridCol w:w="4508"/>
        <w:gridCol w:w="2160"/>
        <w:gridCol w:w="3510"/>
      </w:tblGrid>
      <w:tr w:rsidR="00E3527A" w:rsidRPr="00E3527A" w14:paraId="60530A66" w14:textId="77777777" w:rsidTr="002D693A">
        <w:trPr>
          <w:trHeight w:val="400"/>
          <w:tblHeader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</w:tcBorders>
            <w:noWrap/>
            <w:vAlign w:val="bottom"/>
            <w:hideMark/>
          </w:tcPr>
          <w:p w14:paraId="2BF5D701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b/>
                <w:bCs/>
                <w:lang w:val="ru-RU"/>
              </w:rPr>
              <w:t>S/N</w:t>
            </w:r>
          </w:p>
        </w:tc>
        <w:tc>
          <w:tcPr>
            <w:tcW w:w="4508" w:type="dxa"/>
            <w:vMerge w:val="restart"/>
            <w:tcBorders>
              <w:top w:val="single" w:sz="4" w:space="0" w:color="auto"/>
            </w:tcBorders>
            <w:vAlign w:val="bottom"/>
          </w:tcPr>
          <w:p w14:paraId="11461330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b/>
                <w:bCs/>
                <w:lang w:val="ru-RU"/>
              </w:rPr>
              <w:t>Yeast isolates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5AD966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b/>
                <w:bCs/>
                <w:lang w:val="ru-RU"/>
              </w:rPr>
              <w:t>Diameter of Inhibition (mm)</w:t>
            </w:r>
          </w:p>
        </w:tc>
      </w:tr>
      <w:tr w:rsidR="00E3527A" w:rsidRPr="00E3527A" w14:paraId="75882DE5" w14:textId="77777777" w:rsidTr="002D693A">
        <w:trPr>
          <w:trHeight w:val="400"/>
          <w:tblHeader/>
          <w:jc w:val="center"/>
        </w:trPr>
        <w:tc>
          <w:tcPr>
            <w:tcW w:w="622" w:type="dxa"/>
            <w:vMerge/>
            <w:tcBorders>
              <w:bottom w:val="single" w:sz="4" w:space="0" w:color="auto"/>
            </w:tcBorders>
            <w:noWrap/>
            <w:vAlign w:val="bottom"/>
            <w:hideMark/>
          </w:tcPr>
          <w:p w14:paraId="6CC2DDEB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4508" w:type="dxa"/>
            <w:vMerge/>
            <w:tcBorders>
              <w:bottom w:val="single" w:sz="4" w:space="0" w:color="auto"/>
            </w:tcBorders>
            <w:vAlign w:val="bottom"/>
          </w:tcPr>
          <w:p w14:paraId="0AC86BAC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5D75D28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b/>
                <w:bCs/>
                <w:i/>
                <w:iCs/>
                <w:lang w:val="ru-RU"/>
              </w:rPr>
              <w:t>Escherichia coli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1D9FCB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s-US"/>
              </w:rPr>
            </w:pPr>
            <w:r w:rsidRPr="00E3527A">
              <w:rPr>
                <w:rFonts w:ascii="Times New Roman" w:eastAsia="Calibri" w:hAnsi="Times New Roman" w:cs="Times New Roman"/>
                <w:b/>
                <w:bCs/>
                <w:i/>
                <w:iCs/>
                <w:lang w:val="es-US"/>
              </w:rPr>
              <w:t>Salmonella enterica</w:t>
            </w:r>
            <w:r w:rsidRPr="00E3527A">
              <w:rPr>
                <w:rFonts w:ascii="Times New Roman" w:eastAsia="Calibri" w:hAnsi="Times New Roman" w:cs="Times New Roman"/>
                <w:b/>
                <w:bCs/>
                <w:lang w:val="es-US"/>
              </w:rPr>
              <w:t xml:space="preserve"> subsp. </w:t>
            </w:r>
            <w:r w:rsidRPr="00E3527A">
              <w:rPr>
                <w:rFonts w:ascii="Times New Roman" w:eastAsia="Calibri" w:hAnsi="Times New Roman" w:cs="Times New Roman"/>
                <w:b/>
                <w:bCs/>
                <w:i/>
                <w:iCs/>
                <w:lang w:val="es-US"/>
              </w:rPr>
              <w:t>enterica</w:t>
            </w:r>
            <w:r w:rsidRPr="00E3527A">
              <w:rPr>
                <w:rFonts w:ascii="Times New Roman" w:eastAsia="Calibri" w:hAnsi="Times New Roman" w:cs="Times New Roman"/>
                <w:b/>
                <w:bCs/>
                <w:lang w:val="es-US"/>
              </w:rPr>
              <w:t xml:space="preserve"> serovar Typhimurium</w:t>
            </w:r>
          </w:p>
        </w:tc>
      </w:tr>
      <w:tr w:rsidR="00E3527A" w:rsidRPr="00E3527A" w14:paraId="5F695ED9" w14:textId="77777777" w:rsidTr="002D693A">
        <w:trPr>
          <w:trHeight w:val="433"/>
          <w:jc w:val="center"/>
        </w:trPr>
        <w:tc>
          <w:tcPr>
            <w:tcW w:w="622" w:type="dxa"/>
            <w:tcBorders>
              <w:top w:val="single" w:sz="4" w:space="0" w:color="auto"/>
            </w:tcBorders>
            <w:noWrap/>
            <w:vAlign w:val="center"/>
          </w:tcPr>
          <w:p w14:paraId="0455B3D7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</w:tcBorders>
            <w:vAlign w:val="center"/>
          </w:tcPr>
          <w:p w14:paraId="66E0E624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 xml:space="preserve">Saccharomyces cerevisiae TEMD14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E9E544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19.10±0.14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0D5B04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19.50±0.35</w:t>
            </w:r>
            <w:r w:rsidRPr="00E3527A">
              <w:rPr>
                <w:rFonts w:ascii="Times New Roman" w:eastAsia="Calibri" w:hAnsi="Times New Roman" w:cs="Times New Roman"/>
                <w:color w:val="FF0000"/>
                <w:vertAlign w:val="superscript"/>
                <w:lang w:val="en-US"/>
              </w:rPr>
              <w:t>a</w:t>
            </w:r>
          </w:p>
        </w:tc>
      </w:tr>
      <w:tr w:rsidR="00E3527A" w:rsidRPr="00E3527A" w14:paraId="02C109D8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6868A616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4508" w:type="dxa"/>
            <w:vAlign w:val="center"/>
          </w:tcPr>
          <w:p w14:paraId="11B8927B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Saccharomyces cerevisiae UTAD1488</w:t>
            </w:r>
          </w:p>
        </w:tc>
        <w:tc>
          <w:tcPr>
            <w:tcW w:w="2160" w:type="dxa"/>
            <w:noWrap/>
            <w:vAlign w:val="bottom"/>
            <w:hideMark/>
          </w:tcPr>
          <w:p w14:paraId="70D82F27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16.90±0.14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 xml:space="preserve"> a</w:t>
            </w:r>
          </w:p>
        </w:tc>
        <w:tc>
          <w:tcPr>
            <w:tcW w:w="3510" w:type="dxa"/>
            <w:noWrap/>
            <w:vAlign w:val="bottom"/>
            <w:hideMark/>
          </w:tcPr>
          <w:p w14:paraId="3095ED65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16.05±0.12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</w:tr>
      <w:tr w:rsidR="00E3527A" w:rsidRPr="00E3527A" w14:paraId="007CFAF2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42A36841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4508" w:type="dxa"/>
            <w:vAlign w:val="center"/>
          </w:tcPr>
          <w:p w14:paraId="11E355B8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Saccharomyces cerevisiae Epagri26PP</w:t>
            </w:r>
          </w:p>
        </w:tc>
        <w:tc>
          <w:tcPr>
            <w:tcW w:w="2160" w:type="dxa"/>
            <w:noWrap/>
            <w:vAlign w:val="bottom"/>
            <w:hideMark/>
          </w:tcPr>
          <w:p w14:paraId="595C1EA0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15.30±0.00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3E0FD577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13.05±0.42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b</w:t>
            </w:r>
          </w:p>
        </w:tc>
      </w:tr>
      <w:tr w:rsidR="00E3527A" w:rsidRPr="00E3527A" w14:paraId="4E9CA353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55B3B8AE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4508" w:type="dxa"/>
            <w:vAlign w:val="center"/>
          </w:tcPr>
          <w:p w14:paraId="6AC0CFD7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Saccharomyces cerevisiae CTBRL78a</w:t>
            </w:r>
          </w:p>
        </w:tc>
        <w:tc>
          <w:tcPr>
            <w:tcW w:w="2160" w:type="dxa"/>
            <w:noWrap/>
            <w:vAlign w:val="bottom"/>
            <w:hideMark/>
          </w:tcPr>
          <w:p w14:paraId="01F24E3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13.15±0.37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47B0398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12.75±0.42</w:t>
            </w:r>
            <w:r w:rsidRPr="00E3527A">
              <w:rPr>
                <w:rFonts w:ascii="Times New Roman" w:eastAsia="Calibri" w:hAnsi="Times New Roman" w:cs="Times New Roman"/>
                <w:color w:val="FF0000"/>
                <w:vertAlign w:val="superscript"/>
                <w:lang w:val="en-US"/>
              </w:rPr>
              <w:t>a</w:t>
            </w:r>
          </w:p>
        </w:tc>
      </w:tr>
      <w:tr w:rsidR="00E3527A" w:rsidRPr="00E3527A" w14:paraId="4F908C01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6A329478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4508" w:type="dxa"/>
            <w:vAlign w:val="center"/>
          </w:tcPr>
          <w:p w14:paraId="3176C052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Saccharomyces cerevisiae AZ71</w:t>
            </w:r>
          </w:p>
        </w:tc>
        <w:tc>
          <w:tcPr>
            <w:tcW w:w="2160" w:type="dxa"/>
            <w:noWrap/>
            <w:vAlign w:val="bottom"/>
            <w:hideMark/>
          </w:tcPr>
          <w:p w14:paraId="33BCE5E1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16.55±0.17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70CBA547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15.05±0.37</w:t>
            </w:r>
            <w:r w:rsidRPr="00E3527A">
              <w:rPr>
                <w:rFonts w:ascii="Times New Roman" w:eastAsia="Calibri" w:hAnsi="Times New Roman" w:cs="Times New Roman"/>
                <w:color w:val="FF0000"/>
                <w:vertAlign w:val="superscript"/>
                <w:lang w:val="en-US"/>
              </w:rPr>
              <w:t>b</w:t>
            </w:r>
          </w:p>
        </w:tc>
      </w:tr>
      <w:tr w:rsidR="00E3527A" w:rsidRPr="00E3527A" w14:paraId="2B3182FF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7757DBE6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4508" w:type="dxa"/>
            <w:vAlign w:val="center"/>
          </w:tcPr>
          <w:p w14:paraId="009C0915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Pichia kudriavzevii 2Y48</w:t>
            </w:r>
          </w:p>
        </w:tc>
        <w:tc>
          <w:tcPr>
            <w:tcW w:w="2160" w:type="dxa"/>
            <w:noWrap/>
            <w:vAlign w:val="bottom"/>
            <w:hideMark/>
          </w:tcPr>
          <w:p w14:paraId="7D152E49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4.05±0.12</w:t>
            </w:r>
            <w:r w:rsidRPr="00E3527A">
              <w:rPr>
                <w:rFonts w:ascii="Times New Roman" w:eastAsia="Calibri" w:hAnsi="Times New Roman" w:cs="Times New Roman"/>
                <w:color w:val="FF0000"/>
                <w:vertAlign w:val="superscript"/>
                <w:lang w:val="en-US"/>
              </w:rPr>
              <w:t>b</w:t>
            </w:r>
          </w:p>
        </w:tc>
        <w:tc>
          <w:tcPr>
            <w:tcW w:w="3510" w:type="dxa"/>
            <w:noWrap/>
            <w:vAlign w:val="bottom"/>
            <w:hideMark/>
          </w:tcPr>
          <w:p w14:paraId="309DA78C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5.50±0.10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</w:tr>
      <w:tr w:rsidR="00E3527A" w:rsidRPr="00E3527A" w14:paraId="6434219A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257B4203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4508" w:type="dxa"/>
            <w:vAlign w:val="center"/>
          </w:tcPr>
          <w:p w14:paraId="04A02A9C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Saccharomyces cerevisiae YL2SF9-5</w:t>
            </w:r>
          </w:p>
        </w:tc>
        <w:tc>
          <w:tcPr>
            <w:tcW w:w="2160" w:type="dxa"/>
            <w:noWrap/>
            <w:vAlign w:val="bottom"/>
            <w:hideMark/>
          </w:tcPr>
          <w:p w14:paraId="0F8F5B05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19.40±0.09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09A39913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17.70±0.25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b</w:t>
            </w:r>
          </w:p>
        </w:tc>
      </w:tr>
      <w:tr w:rsidR="00E3527A" w:rsidRPr="00E3527A" w14:paraId="1442E087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3EF9F786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4508" w:type="dxa"/>
            <w:vAlign w:val="center"/>
          </w:tcPr>
          <w:p w14:paraId="16999CB5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Pichia kudriavzevii K74</w:t>
            </w:r>
          </w:p>
        </w:tc>
        <w:tc>
          <w:tcPr>
            <w:tcW w:w="2160" w:type="dxa"/>
            <w:noWrap/>
            <w:vAlign w:val="bottom"/>
            <w:hideMark/>
          </w:tcPr>
          <w:p w14:paraId="1E1D9B1B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4.35±0.17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70D41BFE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6.80±0.25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b</w:t>
            </w:r>
          </w:p>
        </w:tc>
      </w:tr>
      <w:tr w:rsidR="00E3527A" w:rsidRPr="00E3527A" w14:paraId="1686F103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64AC5B41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</w:tc>
        <w:tc>
          <w:tcPr>
            <w:tcW w:w="4508" w:type="dxa"/>
            <w:vAlign w:val="center"/>
          </w:tcPr>
          <w:p w14:paraId="4335C001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Trichosporon asahii SDBR-S3-09</w:t>
            </w:r>
          </w:p>
        </w:tc>
        <w:tc>
          <w:tcPr>
            <w:tcW w:w="2160" w:type="dxa"/>
            <w:noWrap/>
            <w:vAlign w:val="bottom"/>
            <w:hideMark/>
          </w:tcPr>
          <w:p w14:paraId="0013B5B7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0.00±0.00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0F2EEEAC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0.00±0.00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</w:tr>
      <w:tr w:rsidR="00E3527A" w:rsidRPr="00E3527A" w14:paraId="31BC24F7" w14:textId="77777777" w:rsidTr="002D693A">
        <w:trPr>
          <w:trHeight w:val="433"/>
          <w:jc w:val="center"/>
        </w:trPr>
        <w:tc>
          <w:tcPr>
            <w:tcW w:w="622" w:type="dxa"/>
            <w:noWrap/>
            <w:vAlign w:val="center"/>
          </w:tcPr>
          <w:p w14:paraId="51D8CDE2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4508" w:type="dxa"/>
            <w:vAlign w:val="center"/>
          </w:tcPr>
          <w:p w14:paraId="055F3DED" w14:textId="77777777" w:rsidR="00E3527A" w:rsidRPr="00E3527A" w:rsidRDefault="00E3527A" w:rsidP="00E3527A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i/>
                <w:iCs/>
                <w:lang w:val="ru-RU"/>
              </w:rPr>
              <w:t>Trichosporon asahii T100</w:t>
            </w:r>
          </w:p>
        </w:tc>
        <w:tc>
          <w:tcPr>
            <w:tcW w:w="2160" w:type="dxa"/>
            <w:noWrap/>
            <w:vAlign w:val="bottom"/>
            <w:hideMark/>
          </w:tcPr>
          <w:p w14:paraId="31D760CD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7.60±0.20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  <w:tc>
          <w:tcPr>
            <w:tcW w:w="3510" w:type="dxa"/>
            <w:noWrap/>
            <w:vAlign w:val="bottom"/>
            <w:hideMark/>
          </w:tcPr>
          <w:p w14:paraId="2EA958B0" w14:textId="77777777" w:rsidR="00E3527A" w:rsidRPr="00E3527A" w:rsidRDefault="00E3527A" w:rsidP="00E352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3527A">
              <w:rPr>
                <w:rFonts w:ascii="Times New Roman" w:eastAsia="Calibri" w:hAnsi="Times New Roman" w:cs="Times New Roman"/>
                <w:lang w:val="ru-RU"/>
              </w:rPr>
              <w:t>6.60±0.20</w:t>
            </w:r>
            <w:r w:rsidRPr="00E352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a</w:t>
            </w:r>
          </w:p>
        </w:tc>
      </w:tr>
    </w:tbl>
    <w:p w14:paraId="19E2E715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3)Table 8 There are no ‘+’ in the Table. May be, the Table should be deleted?</w:t>
      </w:r>
    </w:p>
    <w:p w14:paraId="30C7D1D1" w14:textId="77777777" w:rsidR="00E3527A" w:rsidRPr="00E3527A" w:rsidRDefault="00E3527A" w:rsidP="00E3527A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E3527A">
        <w:rPr>
          <w:rFonts w:ascii="Calibri" w:eastAsia="Calibri" w:hAnsi="Calibri" w:cs="Times New Roman"/>
          <w:lang w:val="en-US"/>
        </w:rPr>
        <w:t>4)Table 8 ‘</w:t>
      </w:r>
      <w:r w:rsidRPr="00E3527A">
        <w:rPr>
          <w:rFonts w:ascii="Times New Roman" w:eastAsia="Calibri" w:hAnsi="Times New Roman" w:cs="Times New Roman"/>
          <w:lang w:val="en-US"/>
        </w:rPr>
        <w:t>Heamolytic activity’- change to ‘H</w:t>
      </w:r>
      <w:r w:rsidRPr="00E3527A">
        <w:rPr>
          <w:rFonts w:ascii="Times New Roman" w:eastAsia="Calibri" w:hAnsi="Times New Roman" w:cs="Times New Roman"/>
          <w:color w:val="FF0000"/>
          <w:lang w:val="en-US"/>
        </w:rPr>
        <w:t>emolytic</w:t>
      </w:r>
      <w:r w:rsidRPr="00E3527A">
        <w:rPr>
          <w:rFonts w:ascii="Times New Roman" w:eastAsia="Calibri" w:hAnsi="Times New Roman" w:cs="Times New Roman"/>
          <w:lang w:val="en-US"/>
        </w:rPr>
        <w:t xml:space="preserve"> activity</w:t>
      </w:r>
    </w:p>
    <w:p w14:paraId="6A8C7E08" w14:textId="7CC919CF" w:rsidR="0047546F" w:rsidRPr="0047546F" w:rsidRDefault="0047546F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2ACBEA6D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6BED1230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564785" w14:textId="77777777" w:rsidR="00E3527A" w:rsidRPr="00637D20" w:rsidRDefault="00E3527A" w:rsidP="00E3527A">
      <w:pPr>
        <w:rPr>
          <w:rFonts w:ascii="Arial" w:hAnsi="Arial" w:cs="Arial"/>
          <w:bCs/>
          <w:sz w:val="20"/>
          <w:szCs w:val="20"/>
        </w:rPr>
      </w:pPr>
      <w:bookmarkStart w:id="1" w:name="_Hlk206840608"/>
      <w:r w:rsidRPr="00637D20">
        <w:rPr>
          <w:rFonts w:ascii="Arial" w:hAnsi="Arial" w:cs="Arial"/>
          <w:bCs/>
          <w:sz w:val="20"/>
          <w:szCs w:val="20"/>
        </w:rPr>
        <w:t>Dr. Golubkina Nadezhda Alexandrovna, All-Russian Institute of Vegetable Breeding And Seeds Production, Russia</w:t>
      </w:r>
      <w:bookmarkEnd w:id="1"/>
    </w:p>
    <w:p w14:paraId="5DB3C0D5" w14:textId="77777777" w:rsidR="00E3527A" w:rsidRPr="0047546F" w:rsidRDefault="00E3527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00DFBD4B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E3527A"/>
    <w:rsid w:val="00E8282A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8A1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2025-08-27T11:17:00Z</dcterms:modified>
</cp:coreProperties>
</file>