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320" w:rsidRPr="00557977" w:rsidRDefault="00214296" w:rsidP="00557977">
      <w:pPr>
        <w:spacing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sz w:val="28"/>
          <w:szCs w:val="28"/>
          <w:highlight w:val="yellow"/>
        </w:rPr>
        <w:t>Suicide and substance use prevention using community health informatics (C.H.I): leveraging DHIS2 for early detection and i</w:t>
      </w:r>
      <w:r w:rsidR="00557977" w:rsidRPr="00557977">
        <w:rPr>
          <w:rFonts w:ascii="Times New Roman" w:hAnsi="Times New Roman" w:cs="Times New Roman"/>
          <w:b/>
          <w:bCs/>
          <w:color w:val="000000" w:themeColor="text1"/>
          <w:sz w:val="28"/>
          <w:szCs w:val="28"/>
          <w:highlight w:val="yellow"/>
        </w:rPr>
        <w:t>ntervention</w:t>
      </w:r>
    </w:p>
    <w:p w:rsidR="001B6320" w:rsidRDefault="009A4046">
      <w:pPr>
        <w:spacing w:line="360" w:lineRule="auto"/>
        <w:rPr>
          <w:rFonts w:ascii="Times New Roman" w:hAnsi="Times New Roman" w:cs="Times New Roman"/>
          <w:b/>
          <w:bCs/>
        </w:rPr>
      </w:pPr>
      <w:r>
        <w:rPr>
          <w:rFonts w:ascii="Times New Roman" w:hAnsi="Times New Roman" w:cs="Times New Roman"/>
          <w:b/>
          <w:bCs/>
        </w:rPr>
        <w:t>ABSTRACT</w:t>
      </w:r>
    </w:p>
    <w:p w:rsidR="001B6320" w:rsidRDefault="009A4046" w:rsidP="006D3E13">
      <w:pPr>
        <w:spacing w:line="360" w:lineRule="auto"/>
        <w:jc w:val="both"/>
        <w:rPr>
          <w:rFonts w:ascii="Times New Roman" w:hAnsi="Times New Roman" w:cs="Times New Roman"/>
        </w:rPr>
      </w:pPr>
      <w:r>
        <w:rPr>
          <w:rFonts w:ascii="Times New Roman" w:hAnsi="Times New Roman" w:cs="Times New Roman"/>
          <w:b/>
          <w:bCs/>
        </w:rPr>
        <w:t>Background:</w:t>
      </w:r>
      <w:r>
        <w:rPr>
          <w:rFonts w:ascii="Times New Roman" w:hAnsi="Times New Roman" w:cs="Times New Roman"/>
        </w:rPr>
        <w:t xml:space="preserve"> </w:t>
      </w:r>
      <w:r w:rsidR="006D3E13" w:rsidRPr="006D3E13">
        <w:rPr>
          <w:rFonts w:ascii="Times New Roman" w:hAnsi="Times New Roman" w:cs="Times New Roman"/>
          <w:highlight w:val="yellow"/>
        </w:rPr>
        <w:t xml:space="preserve">Suicide remains a </w:t>
      </w:r>
      <w:r w:rsidR="006D3E13">
        <w:rPr>
          <w:rFonts w:ascii="Times New Roman" w:hAnsi="Times New Roman" w:cs="Times New Roman"/>
          <w:highlight w:val="yellow"/>
        </w:rPr>
        <w:t>significant</w:t>
      </w:r>
      <w:r w:rsidR="006D3E13" w:rsidRPr="006D3E13">
        <w:rPr>
          <w:rFonts w:ascii="Times New Roman" w:hAnsi="Times New Roman" w:cs="Times New Roman"/>
          <w:highlight w:val="yellow"/>
        </w:rPr>
        <w:t xml:space="preserve"> global public health issue, with substance abuse as a key risk factor. Current prevention strategies often lack integration between risk assessment tools and health information systems, hindering early intervention. This study bridges this gap by leveraging Community Health Informatics (C.H.I) and the District Health Information Software 2 (DHIS2) to enhance suicide prevention through systematic data integration</w:t>
      </w:r>
      <w:r w:rsidRPr="006D3E13">
        <w:rPr>
          <w:rFonts w:ascii="Times New Roman" w:hAnsi="Times New Roman" w:cs="Times New Roman"/>
          <w:highlight w:val="yellow"/>
        </w:rPr>
        <w:t>.</w:t>
      </w:r>
    </w:p>
    <w:p w:rsidR="001B6320" w:rsidRDefault="009A4046">
      <w:pPr>
        <w:spacing w:line="360" w:lineRule="auto"/>
        <w:jc w:val="both"/>
        <w:rPr>
          <w:rFonts w:ascii="Times New Roman" w:hAnsi="Times New Roman" w:cs="Times New Roman"/>
        </w:rPr>
      </w:pPr>
      <w:r>
        <w:rPr>
          <w:rFonts w:ascii="Times New Roman" w:hAnsi="Times New Roman" w:cs="Times New Roman"/>
          <w:b/>
          <w:bCs/>
        </w:rPr>
        <w:t>Methods:</w:t>
      </w:r>
      <w:r>
        <w:rPr>
          <w:rFonts w:ascii="Times New Roman" w:hAnsi="Times New Roman" w:cs="Times New Roman"/>
        </w:rPr>
        <w:t xml:space="preserve"> The study employed the Drug Abuse Screening Test (DAST) and Columbia-Suicide Severity Rating </w:t>
      </w:r>
      <w:r>
        <w:rPr>
          <w:rFonts w:ascii="Times New Roman" w:hAnsi="Times New Roman" w:cs="Times New Roman"/>
        </w:rPr>
        <w:t xml:space="preserve">Scale (C-SSRS) within the DHIS2 platform. Data from the </w:t>
      </w:r>
      <w:r>
        <w:rPr>
          <w:rFonts w:ascii="Times New Roman" w:hAnsi="Times New Roman" w:cs="Times New Roman"/>
        </w:rPr>
        <w:t>Randolph County Caring Community Partnership (RCCCP) were analysed using R Studio for statistical modelling and Power BI for visualisation. Logistic regression, Pearson correlation, and ROC curve anal</w:t>
      </w:r>
      <w:r>
        <w:rPr>
          <w:rFonts w:ascii="Times New Roman" w:hAnsi="Times New Roman" w:cs="Times New Roman"/>
        </w:rPr>
        <w:t>yses were conducted to evaluate risk prediction accuracy. Technical implementation involve</w:t>
      </w:r>
      <w:r>
        <w:rPr>
          <w:rFonts w:ascii="Times New Roman" w:hAnsi="Times New Roman" w:cs="Times New Roman"/>
        </w:rPr>
        <w:t>d configuring DHIS2 with Apache Tomcat, PostgreSQL, and Open JDK.</w:t>
      </w:r>
    </w:p>
    <w:p w:rsidR="001B6320" w:rsidRDefault="009A4046">
      <w:pPr>
        <w:spacing w:line="360" w:lineRule="auto"/>
        <w:jc w:val="both"/>
        <w:rPr>
          <w:rFonts w:ascii="Times New Roman" w:hAnsi="Times New Roman" w:cs="Times New Roman"/>
        </w:rPr>
      </w:pPr>
      <w:r>
        <w:rPr>
          <w:rFonts w:ascii="Times New Roman" w:hAnsi="Times New Roman" w:cs="Times New Roman"/>
          <w:b/>
          <w:bCs/>
        </w:rPr>
        <w:t>Result:</w:t>
      </w:r>
      <w:r>
        <w:rPr>
          <w:rFonts w:ascii="Times New Roman" w:hAnsi="Times New Roman" w:cs="Times New Roman"/>
        </w:rPr>
        <w:t xml:space="preserve"> The analysis revealed a weak positive correlation (r=0.265) between DAST and C-SSRS scores. </w:t>
      </w:r>
      <w:r>
        <w:rPr>
          <w:rFonts w:ascii="Times New Roman" w:hAnsi="Times New Roman" w:cs="Times New Roman"/>
        </w:rPr>
        <w:t>The logistic regression model achieved 93% accuracy in identifying high-risk individuals, with an AUC of 0.988 confirming excellent predictive capability. Power BI dashboards effectively visualised risk trends by demographic factors, though full DHIS2 inte</w:t>
      </w:r>
      <w:r>
        <w:rPr>
          <w:rFonts w:ascii="Times New Roman" w:hAnsi="Times New Roman" w:cs="Times New Roman"/>
        </w:rPr>
        <w:t>gration required further development.</w:t>
      </w:r>
    </w:p>
    <w:p w:rsidR="001B6320" w:rsidRDefault="009A4046" w:rsidP="006D3E13">
      <w:pPr>
        <w:spacing w:line="360" w:lineRule="auto"/>
        <w:jc w:val="both"/>
        <w:rPr>
          <w:rFonts w:ascii="Times New Roman" w:hAnsi="Times New Roman" w:cs="Times New Roman"/>
        </w:rPr>
      </w:pPr>
      <w:r>
        <w:rPr>
          <w:rFonts w:ascii="Times New Roman" w:hAnsi="Times New Roman" w:cs="Times New Roman"/>
          <w:b/>
          <w:bCs/>
        </w:rPr>
        <w:t>Conclusion:</w:t>
      </w:r>
      <w:r>
        <w:rPr>
          <w:rFonts w:ascii="Times New Roman" w:hAnsi="Times New Roman" w:cs="Times New Roman"/>
        </w:rPr>
        <w:t xml:space="preserve"> </w:t>
      </w:r>
      <w:r w:rsidR="006D3E13" w:rsidRPr="007C1726">
        <w:rPr>
          <w:rFonts w:ascii="Times New Roman" w:hAnsi="Times New Roman" w:cs="Times New Roman"/>
          <w:highlight w:val="yellow"/>
        </w:rPr>
        <w:t>Integrating DAST and C-SSRS into DHIS2 enables scalable, early-risk detection. Future work should address technical barriers (e.g., real-time data synchronization) and expand implementation to diverse settings</w:t>
      </w:r>
      <w:r w:rsidRPr="007C1726">
        <w:rPr>
          <w:rFonts w:ascii="Times New Roman" w:hAnsi="Times New Roman" w:cs="Times New Roman"/>
          <w:highlight w:val="yellow"/>
        </w:rPr>
        <w:t>.</w:t>
      </w:r>
    </w:p>
    <w:p w:rsidR="001B6320" w:rsidRDefault="009A4046" w:rsidP="00D071DD">
      <w:pPr>
        <w:spacing w:line="360" w:lineRule="auto"/>
        <w:jc w:val="center"/>
        <w:rPr>
          <w:rFonts w:ascii="Times New Roman" w:hAnsi="Times New Roman" w:cs="Times New Roman"/>
          <w:i/>
          <w:iCs/>
        </w:rPr>
      </w:pPr>
      <w:r>
        <w:rPr>
          <w:rFonts w:ascii="Times New Roman" w:hAnsi="Times New Roman" w:cs="Times New Roman"/>
          <w:i/>
          <w:iCs/>
        </w:rPr>
        <w:t xml:space="preserve">Keywords: </w:t>
      </w:r>
      <w:r w:rsidR="00D071DD" w:rsidRPr="00D071DD">
        <w:rPr>
          <w:rFonts w:ascii="Times New Roman" w:hAnsi="Times New Roman" w:cs="Times New Roman"/>
          <w:i/>
          <w:iCs/>
          <w:highlight w:val="yellow"/>
        </w:rPr>
        <w:t>Risk Stratification</w:t>
      </w:r>
      <w:r w:rsidRPr="00D071DD">
        <w:rPr>
          <w:rFonts w:ascii="Times New Roman" w:hAnsi="Times New Roman" w:cs="Times New Roman"/>
          <w:i/>
          <w:iCs/>
          <w:highlight w:val="yellow"/>
        </w:rPr>
        <w:t xml:space="preserve">, </w:t>
      </w:r>
      <w:r w:rsidR="00D071DD">
        <w:rPr>
          <w:rFonts w:ascii="Times New Roman" w:hAnsi="Times New Roman" w:cs="Times New Roman"/>
          <w:i/>
          <w:iCs/>
          <w:highlight w:val="yellow"/>
        </w:rPr>
        <w:t>Predictive M</w:t>
      </w:r>
      <w:r w:rsidR="00D071DD" w:rsidRPr="00D071DD">
        <w:rPr>
          <w:rFonts w:ascii="Times New Roman" w:hAnsi="Times New Roman" w:cs="Times New Roman"/>
          <w:i/>
          <w:iCs/>
          <w:highlight w:val="yellow"/>
        </w:rPr>
        <w:t xml:space="preserve">odeling, </w:t>
      </w:r>
      <w:r w:rsidR="00D071DD">
        <w:rPr>
          <w:rFonts w:ascii="Times New Roman" w:hAnsi="Times New Roman" w:cs="Times New Roman"/>
          <w:i/>
          <w:iCs/>
          <w:highlight w:val="yellow"/>
        </w:rPr>
        <w:t>Digital Health S</w:t>
      </w:r>
      <w:r w:rsidR="00D071DD" w:rsidRPr="00D071DD">
        <w:rPr>
          <w:rFonts w:ascii="Times New Roman" w:hAnsi="Times New Roman" w:cs="Times New Roman"/>
          <w:i/>
          <w:iCs/>
          <w:highlight w:val="yellow"/>
        </w:rPr>
        <w:t>urveillance</w:t>
      </w:r>
      <w:r>
        <w:rPr>
          <w:rFonts w:ascii="Times New Roman" w:hAnsi="Times New Roman" w:cs="Times New Roman"/>
          <w:i/>
          <w:iCs/>
        </w:rPr>
        <w:t>, Risk assessment, Substance abuse, Mental health, Public health surveillance</w:t>
      </w:r>
    </w:p>
    <w:p w:rsidR="001B6320" w:rsidRDefault="001B6320">
      <w:pPr>
        <w:spacing w:line="360" w:lineRule="auto"/>
        <w:rPr>
          <w:rFonts w:ascii="Times New Roman" w:hAnsi="Times New Roman" w:cs="Times New Roman"/>
          <w:b/>
          <w:bCs/>
        </w:rPr>
      </w:pPr>
    </w:p>
    <w:p w:rsidR="001B6320" w:rsidRDefault="001B6320">
      <w:pPr>
        <w:spacing w:line="360" w:lineRule="auto"/>
        <w:rPr>
          <w:rFonts w:ascii="Times New Roman" w:hAnsi="Times New Roman" w:cs="Times New Roman"/>
          <w:b/>
          <w:bCs/>
        </w:rPr>
      </w:pPr>
    </w:p>
    <w:p w:rsidR="00642265" w:rsidRDefault="00642265">
      <w:pPr>
        <w:spacing w:line="360" w:lineRule="auto"/>
        <w:rPr>
          <w:rFonts w:ascii="Times New Roman" w:hAnsi="Times New Roman" w:cs="Times New Roman"/>
          <w:b/>
          <w:bCs/>
        </w:rPr>
      </w:pPr>
    </w:p>
    <w:p w:rsidR="001B6320" w:rsidRDefault="009A4046">
      <w:pPr>
        <w:spacing w:line="360" w:lineRule="auto"/>
        <w:rPr>
          <w:rFonts w:ascii="Times New Roman" w:hAnsi="Times New Roman" w:cs="Times New Roman"/>
          <w:b/>
          <w:bCs/>
        </w:rPr>
      </w:pPr>
      <w:r>
        <w:rPr>
          <w:rFonts w:ascii="Times New Roman" w:hAnsi="Times New Roman" w:cs="Times New Roman"/>
          <w:b/>
          <w:bCs/>
        </w:rPr>
        <w:lastRenderedPageBreak/>
        <w:t>INTRODUCTION</w:t>
      </w:r>
    </w:p>
    <w:p w:rsidR="0064676C" w:rsidRPr="00201875" w:rsidRDefault="0064676C" w:rsidP="00E42338">
      <w:pPr>
        <w:spacing w:line="360" w:lineRule="auto"/>
        <w:jc w:val="both"/>
        <w:rPr>
          <w:rFonts w:ascii="Times New Roman" w:hAnsi="Times New Roman" w:cs="Times New Roman"/>
          <w:highlight w:val="yellow"/>
        </w:rPr>
      </w:pPr>
      <w:r w:rsidRPr="00201875">
        <w:rPr>
          <w:rFonts w:ascii="Times New Roman" w:hAnsi="Times New Roman" w:cs="Times New Roman"/>
          <w:highlight w:val="yellow"/>
        </w:rPr>
        <w:t>Suicide remains a critical global public health challenge, claiming over 700,000 lives annually (World Health Organization, 2019). This crisis is driven by complex, interrelated factors, including mental health disorders, socioeconomic inequitie</w:t>
      </w:r>
      <w:r w:rsidRPr="00201875">
        <w:rPr>
          <w:rFonts w:ascii="Times New Roman" w:hAnsi="Times New Roman" w:cs="Times New Roman"/>
          <w:highlight w:val="yellow"/>
        </w:rPr>
        <w:t xml:space="preserve">s, and notably, substance abuse, </w:t>
      </w:r>
      <w:r w:rsidRPr="00201875">
        <w:rPr>
          <w:rFonts w:ascii="Times New Roman" w:hAnsi="Times New Roman" w:cs="Times New Roman"/>
          <w:highlight w:val="yellow"/>
        </w:rPr>
        <w:t>a modifiable risk factor implicated in escalating suicidal behaviors (</w:t>
      </w:r>
      <w:proofErr w:type="spellStart"/>
      <w:r w:rsidRPr="00201875">
        <w:rPr>
          <w:rFonts w:ascii="Times New Roman" w:hAnsi="Times New Roman" w:cs="Times New Roman"/>
          <w:highlight w:val="yellow"/>
        </w:rPr>
        <w:t>Vanlewin</w:t>
      </w:r>
      <w:proofErr w:type="spellEnd"/>
      <w:r w:rsidRPr="00201875">
        <w:rPr>
          <w:rFonts w:ascii="Times New Roman" w:hAnsi="Times New Roman" w:cs="Times New Roman"/>
          <w:highlight w:val="yellow"/>
        </w:rPr>
        <w:t xml:space="preserve"> </w:t>
      </w:r>
      <w:r w:rsidRPr="00201875">
        <w:rPr>
          <w:rFonts w:ascii="Times New Roman" w:hAnsi="Times New Roman" w:cs="Times New Roman"/>
          <w:i/>
          <w:iCs/>
          <w:highlight w:val="yellow"/>
        </w:rPr>
        <w:t>et al.,</w:t>
      </w:r>
      <w:r w:rsidRPr="00201875">
        <w:rPr>
          <w:rFonts w:ascii="Times New Roman" w:hAnsi="Times New Roman" w:cs="Times New Roman"/>
          <w:highlight w:val="yellow"/>
        </w:rPr>
        <w:t xml:space="preserve"> 2025</w:t>
      </w:r>
      <w:r w:rsidRPr="00201875">
        <w:rPr>
          <w:rFonts w:ascii="Times New Roman" w:hAnsi="Times New Roman" w:cs="Times New Roman"/>
          <w:highlight w:val="yellow"/>
        </w:rPr>
        <w:t xml:space="preserve">, </w:t>
      </w:r>
      <w:proofErr w:type="spellStart"/>
      <w:r w:rsidRPr="00201875">
        <w:rPr>
          <w:rFonts w:ascii="Times New Roman" w:hAnsi="Times New Roman" w:cs="Times New Roman"/>
          <w:highlight w:val="yellow"/>
        </w:rPr>
        <w:t>Tasfi</w:t>
      </w:r>
      <w:proofErr w:type="spellEnd"/>
      <w:r w:rsidRPr="00201875">
        <w:rPr>
          <w:rFonts w:ascii="Times New Roman" w:hAnsi="Times New Roman" w:cs="Times New Roman"/>
          <w:highlight w:val="yellow"/>
        </w:rPr>
        <w:t xml:space="preserve"> &amp; </w:t>
      </w:r>
      <w:proofErr w:type="spellStart"/>
      <w:r w:rsidRPr="00201875">
        <w:rPr>
          <w:rFonts w:ascii="Times New Roman" w:hAnsi="Times New Roman" w:cs="Times New Roman"/>
          <w:highlight w:val="yellow"/>
        </w:rPr>
        <w:t>Mostofa</w:t>
      </w:r>
      <w:proofErr w:type="spellEnd"/>
      <w:r w:rsidRPr="00201875">
        <w:rPr>
          <w:rFonts w:ascii="Times New Roman" w:hAnsi="Times New Roman" w:cs="Times New Roman"/>
          <w:highlight w:val="yellow"/>
        </w:rPr>
        <w:t xml:space="preserve">, 2024; Chandler, 2020; </w:t>
      </w:r>
      <w:proofErr w:type="spellStart"/>
      <w:r w:rsidRPr="00201875">
        <w:rPr>
          <w:rFonts w:ascii="Times New Roman" w:hAnsi="Times New Roman" w:cs="Times New Roman"/>
          <w:highlight w:val="yellow"/>
        </w:rPr>
        <w:t>Hochhauser</w:t>
      </w:r>
      <w:proofErr w:type="spellEnd"/>
      <w:r w:rsidRPr="00201875">
        <w:rPr>
          <w:rFonts w:ascii="Times New Roman" w:hAnsi="Times New Roman" w:cs="Times New Roman"/>
          <w:highlight w:val="yellow"/>
        </w:rPr>
        <w:t xml:space="preserve">, 2020). Vulnerable populations, particularly those in resource-limited settings, bear a disproportionate burden, </w:t>
      </w:r>
      <w:r w:rsidRPr="00201875">
        <w:rPr>
          <w:rFonts w:ascii="Times New Roman" w:hAnsi="Times New Roman" w:cs="Times New Roman"/>
          <w:highlight w:val="yellow"/>
        </w:rPr>
        <w:t>highlighting</w:t>
      </w:r>
      <w:r w:rsidRPr="00201875">
        <w:rPr>
          <w:rFonts w:ascii="Times New Roman" w:hAnsi="Times New Roman" w:cs="Times New Roman"/>
          <w:highlight w:val="yellow"/>
        </w:rPr>
        <w:t xml:space="preserve"> the need for scalable, integrated prevention strategies (Wasserman </w:t>
      </w:r>
      <w:r w:rsidRPr="00201875">
        <w:rPr>
          <w:rFonts w:ascii="Times New Roman" w:hAnsi="Times New Roman" w:cs="Times New Roman"/>
          <w:i/>
          <w:iCs/>
          <w:highlight w:val="yellow"/>
        </w:rPr>
        <w:t>et al.,</w:t>
      </w:r>
      <w:r w:rsidRPr="00201875">
        <w:rPr>
          <w:rFonts w:ascii="Times New Roman" w:hAnsi="Times New Roman" w:cs="Times New Roman"/>
          <w:highlight w:val="yellow"/>
        </w:rPr>
        <w:t xml:space="preserve"> 2020; </w:t>
      </w:r>
      <w:proofErr w:type="spellStart"/>
      <w:r w:rsidRPr="00201875">
        <w:rPr>
          <w:rFonts w:ascii="Times New Roman" w:hAnsi="Times New Roman" w:cs="Times New Roman"/>
          <w:highlight w:val="yellow"/>
        </w:rPr>
        <w:t>Glozier</w:t>
      </w:r>
      <w:proofErr w:type="spellEnd"/>
      <w:r w:rsidRPr="00201875">
        <w:rPr>
          <w:rFonts w:ascii="Times New Roman" w:hAnsi="Times New Roman" w:cs="Times New Roman"/>
          <w:highlight w:val="yellow"/>
        </w:rPr>
        <w:t xml:space="preserve"> </w:t>
      </w:r>
      <w:r w:rsidRPr="00201875">
        <w:rPr>
          <w:rFonts w:ascii="Times New Roman" w:hAnsi="Times New Roman" w:cs="Times New Roman"/>
          <w:i/>
          <w:iCs/>
          <w:highlight w:val="yellow"/>
        </w:rPr>
        <w:t>et al.,</w:t>
      </w:r>
      <w:r w:rsidRPr="00201875">
        <w:rPr>
          <w:rFonts w:ascii="Times New Roman" w:hAnsi="Times New Roman" w:cs="Times New Roman"/>
          <w:highlight w:val="yellow"/>
        </w:rPr>
        <w:t xml:space="preserve"> 2020).</w:t>
      </w:r>
    </w:p>
    <w:p w:rsidR="0064676C" w:rsidRDefault="0064676C" w:rsidP="00E42338">
      <w:pPr>
        <w:spacing w:line="360" w:lineRule="auto"/>
        <w:jc w:val="both"/>
        <w:rPr>
          <w:rFonts w:ascii="Times New Roman" w:hAnsi="Times New Roman" w:cs="Times New Roman"/>
        </w:rPr>
      </w:pPr>
      <w:r w:rsidRPr="00201875">
        <w:rPr>
          <w:rFonts w:ascii="Times New Roman" w:hAnsi="Times New Roman" w:cs="Times New Roman"/>
          <w:highlight w:val="yellow"/>
        </w:rPr>
        <w:t xml:space="preserve">To address this gap, validated screening tools like the Drug Abuse Screening Test (DAST) and Columbia-Suicide Severity Rating Scale (C-SSRS) are essential. The DAST reliably quantifies substance use severity (Johnson </w:t>
      </w:r>
      <w:r w:rsidRPr="00201875">
        <w:rPr>
          <w:rFonts w:ascii="Times New Roman" w:hAnsi="Times New Roman" w:cs="Times New Roman"/>
          <w:i/>
          <w:iCs/>
          <w:highlight w:val="yellow"/>
        </w:rPr>
        <w:t xml:space="preserve">et al., </w:t>
      </w:r>
      <w:r w:rsidRPr="00201875">
        <w:rPr>
          <w:rFonts w:ascii="Times New Roman" w:hAnsi="Times New Roman" w:cs="Times New Roman"/>
          <w:highlight w:val="yellow"/>
        </w:rPr>
        <w:t>2025), while the C-SSRS distinguishes gradations of suicide risk, from ideation to actionable intent (Posner et al., 2011). However, standalone tools lack synergy with health systems, delaying interventions. Here, Community Health Informatics (C.H.I) bridges this divide by embedding such instruments into digital platforms like DHIS2, enabling real-time data aggregation and analysis (</w:t>
      </w:r>
      <w:proofErr w:type="spellStart"/>
      <w:r w:rsidRPr="00201875">
        <w:rPr>
          <w:rFonts w:ascii="Times New Roman" w:hAnsi="Times New Roman" w:cs="Times New Roman"/>
          <w:highlight w:val="yellow"/>
        </w:rPr>
        <w:t>Yogesh</w:t>
      </w:r>
      <w:proofErr w:type="spellEnd"/>
      <w:r w:rsidRPr="00201875">
        <w:rPr>
          <w:rFonts w:ascii="Times New Roman" w:hAnsi="Times New Roman" w:cs="Times New Roman"/>
          <w:highlight w:val="yellow"/>
        </w:rPr>
        <w:t xml:space="preserve"> &amp; </w:t>
      </w:r>
      <w:proofErr w:type="spellStart"/>
      <w:r w:rsidRPr="00201875">
        <w:rPr>
          <w:rFonts w:ascii="Times New Roman" w:hAnsi="Times New Roman" w:cs="Times New Roman"/>
          <w:highlight w:val="yellow"/>
        </w:rPr>
        <w:t>Karthikeyan</w:t>
      </w:r>
      <w:proofErr w:type="spellEnd"/>
      <w:r w:rsidRPr="00201875">
        <w:rPr>
          <w:rFonts w:ascii="Times New Roman" w:hAnsi="Times New Roman" w:cs="Times New Roman"/>
          <w:highlight w:val="yellow"/>
        </w:rPr>
        <w:t xml:space="preserve">, 2022). This </w:t>
      </w:r>
      <w:r w:rsidR="00E42338" w:rsidRPr="00201875">
        <w:rPr>
          <w:rFonts w:ascii="Times New Roman" w:hAnsi="Times New Roman" w:cs="Times New Roman"/>
          <w:highlight w:val="yellow"/>
        </w:rPr>
        <w:t xml:space="preserve">research </w:t>
      </w:r>
      <w:r w:rsidRPr="00201875">
        <w:rPr>
          <w:rFonts w:ascii="Times New Roman" w:hAnsi="Times New Roman" w:cs="Times New Roman"/>
          <w:highlight w:val="yellow"/>
        </w:rPr>
        <w:t>pioneers their integration to transform passive screening into proactive, system-level prevention.</w:t>
      </w:r>
      <w:bookmarkStart w:id="0" w:name="_GoBack"/>
      <w:bookmarkEnd w:id="0"/>
    </w:p>
    <w:p w:rsidR="001B6320" w:rsidRDefault="009A4046">
      <w:pPr>
        <w:spacing w:line="360" w:lineRule="auto"/>
        <w:jc w:val="both"/>
        <w:rPr>
          <w:rFonts w:ascii="Times New Roman" w:hAnsi="Times New Roman" w:cs="Times New Roman"/>
        </w:rPr>
      </w:pPr>
      <w:r>
        <w:rPr>
          <w:rFonts w:ascii="Times New Roman" w:hAnsi="Times New Roman" w:cs="Times New Roman"/>
        </w:rPr>
        <w:t xml:space="preserve">This project builds upon the Randolph County Caring Community Partnership </w:t>
      </w:r>
      <w:r>
        <w:rPr>
          <w:rFonts w:ascii="Times New Roman" w:hAnsi="Times New Roman" w:cs="Times New Roman"/>
        </w:rPr>
        <w:t xml:space="preserve">(RCCCP) model in Missouri, which demonstrated the feasibility of combining DAST and C-SSRS within a community health informatics approach. The adoption of DHIS2, an open-source health information system, facilitates scalable data collection, analysis, and </w:t>
      </w:r>
      <w:r>
        <w:rPr>
          <w:rFonts w:ascii="Times New Roman" w:hAnsi="Times New Roman" w:cs="Times New Roman"/>
        </w:rPr>
        <w:t>visualisation. Although technical challenges in DHIS2 configuration persist, preliminary results highlight its potential to support suicide prevention strategies. Supplementary tools like Power BI and R Studio have been employed to bridge gaps in visualisa</w:t>
      </w:r>
      <w:r>
        <w:rPr>
          <w:rFonts w:ascii="Times New Roman" w:hAnsi="Times New Roman" w:cs="Times New Roman"/>
        </w:rPr>
        <w:t>tion, ensuring actionable insights are derived from the data.</w:t>
      </w:r>
    </w:p>
    <w:p w:rsidR="001B6320" w:rsidRDefault="009A4046">
      <w:pPr>
        <w:spacing w:line="360" w:lineRule="auto"/>
        <w:jc w:val="both"/>
        <w:rPr>
          <w:rFonts w:ascii="Times New Roman" w:hAnsi="Times New Roman" w:cs="Times New Roman"/>
        </w:rPr>
      </w:pPr>
      <w:r>
        <w:rPr>
          <w:rFonts w:ascii="Times New Roman" w:hAnsi="Times New Roman" w:cs="Times New Roman"/>
        </w:rPr>
        <w:t xml:space="preserve">The integration of informatics solutions into suicide prevention aligns with evidence-based practices advocated by Mann </w:t>
      </w:r>
      <w:r>
        <w:rPr>
          <w:rFonts w:ascii="Times New Roman" w:hAnsi="Times New Roman" w:cs="Times New Roman"/>
          <w:i/>
          <w:iCs/>
        </w:rPr>
        <w:t>et al.</w:t>
      </w:r>
      <w:r>
        <w:rPr>
          <w:rFonts w:ascii="Times New Roman" w:hAnsi="Times New Roman" w:cs="Times New Roman"/>
        </w:rPr>
        <w:t xml:space="preserve"> (2021). Harnessing the capabilities of DHIS2 aids this research to </w:t>
      </w:r>
      <w:r>
        <w:rPr>
          <w:rFonts w:ascii="Times New Roman" w:hAnsi="Times New Roman" w:cs="Times New Roman"/>
        </w:rPr>
        <w:t>create a replicable model for community health initiatives, with potential applications extending beyond Indiana. The subsequent sections explore the theoretical foundations, methodological approach, and empirical findings that underpin this endeavour.</w:t>
      </w:r>
    </w:p>
    <w:p w:rsidR="001B6320" w:rsidRDefault="009A4046">
      <w:pPr>
        <w:spacing w:line="360" w:lineRule="auto"/>
        <w:jc w:val="both"/>
        <w:rPr>
          <w:rFonts w:ascii="Times New Roman" w:hAnsi="Times New Roman" w:cs="Times New Roman"/>
        </w:rPr>
      </w:pPr>
      <w:r>
        <w:rPr>
          <w:rFonts w:ascii="Times New Roman" w:hAnsi="Times New Roman" w:cs="Times New Roman"/>
        </w:rPr>
        <w:lastRenderedPageBreak/>
        <w:t>The</w:t>
      </w:r>
      <w:r>
        <w:rPr>
          <w:rFonts w:ascii="Times New Roman" w:hAnsi="Times New Roman" w:cs="Times New Roman"/>
        </w:rPr>
        <w:t xml:space="preserve"> global burden of suicide remains a persistent challenge in public health, with significant variations across regions and populations. Pirkis </w:t>
      </w:r>
      <w:r>
        <w:rPr>
          <w:rFonts w:ascii="Times New Roman" w:hAnsi="Times New Roman" w:cs="Times New Roman"/>
          <w:i/>
          <w:iCs/>
        </w:rPr>
        <w:t>et al.</w:t>
      </w:r>
      <w:r>
        <w:rPr>
          <w:rFonts w:ascii="Times New Roman" w:hAnsi="Times New Roman" w:cs="Times New Roman"/>
        </w:rPr>
        <w:t xml:space="preserve"> (2024) highlight that suicide is not merely an individual crisis but a systemic issue influenced by socioec</w:t>
      </w:r>
      <w:r>
        <w:rPr>
          <w:rFonts w:ascii="Times New Roman" w:hAnsi="Times New Roman" w:cs="Times New Roman"/>
        </w:rPr>
        <w:t>onomic disparities, mental health disorders, and substance abuse. Their findings align with earlier work by the World Health Organization (2019), which highlights the disproportionate impact on low-and middle-income countries where mental health infrastruc</w:t>
      </w:r>
      <w:r>
        <w:rPr>
          <w:rFonts w:ascii="Times New Roman" w:hAnsi="Times New Roman" w:cs="Times New Roman"/>
        </w:rPr>
        <w:t xml:space="preserve">ture is often underdeveloped. However, while Pirkis </w:t>
      </w:r>
      <w:r>
        <w:rPr>
          <w:rFonts w:ascii="Times New Roman" w:hAnsi="Times New Roman" w:cs="Times New Roman"/>
          <w:i/>
          <w:iCs/>
        </w:rPr>
        <w:t>et al.</w:t>
      </w:r>
      <w:r>
        <w:rPr>
          <w:rFonts w:ascii="Times New Roman" w:hAnsi="Times New Roman" w:cs="Times New Roman"/>
        </w:rPr>
        <w:t xml:space="preserve"> (2024) focus on macro-level determinants, Alimi </w:t>
      </w:r>
      <w:r>
        <w:rPr>
          <w:rFonts w:ascii="Times New Roman" w:hAnsi="Times New Roman" w:cs="Times New Roman"/>
          <w:i/>
          <w:iCs/>
        </w:rPr>
        <w:t>et al</w:t>
      </w:r>
      <w:r>
        <w:rPr>
          <w:rFonts w:ascii="Times New Roman" w:hAnsi="Times New Roman" w:cs="Times New Roman"/>
        </w:rPr>
        <w:t>. (2024) provide a complementary perspective by examining individual-level risk factors in stroke patients, demonstrating how chronic illness co</w:t>
      </w:r>
      <w:r>
        <w:rPr>
          <w:rFonts w:ascii="Times New Roman" w:hAnsi="Times New Roman" w:cs="Times New Roman"/>
        </w:rPr>
        <w:t>mpounds psychological distress and suicide risk. This contrast reveals the need for multi-level interventions that address both structural and personal determinants of suicide.</w:t>
      </w:r>
    </w:p>
    <w:p w:rsidR="001B6320" w:rsidRDefault="009A4046">
      <w:pPr>
        <w:spacing w:line="360" w:lineRule="auto"/>
        <w:jc w:val="both"/>
        <w:rPr>
          <w:rFonts w:ascii="Times New Roman" w:hAnsi="Times New Roman" w:cs="Times New Roman"/>
        </w:rPr>
      </w:pPr>
      <w:r>
        <w:rPr>
          <w:rFonts w:ascii="Times New Roman" w:hAnsi="Times New Roman" w:cs="Times New Roman"/>
        </w:rPr>
        <w:t>Critically, the relationship between substance abuse and suicide remains unders</w:t>
      </w:r>
      <w:r>
        <w:rPr>
          <w:rFonts w:ascii="Times New Roman" w:hAnsi="Times New Roman" w:cs="Times New Roman"/>
        </w:rPr>
        <w:t xml:space="preserve">tudied in certain populations. Johnson </w:t>
      </w:r>
      <w:r>
        <w:rPr>
          <w:rFonts w:ascii="Times New Roman" w:hAnsi="Times New Roman" w:cs="Times New Roman"/>
          <w:i/>
          <w:iCs/>
        </w:rPr>
        <w:t>et al.</w:t>
      </w:r>
      <w:r>
        <w:rPr>
          <w:rFonts w:ascii="Times New Roman" w:hAnsi="Times New Roman" w:cs="Times New Roman"/>
        </w:rPr>
        <w:t xml:space="preserve"> (2025) argue that substance abuse screening tools like the DAST are essential in identifying high-risk individuals, yet their applicability in non-Western contexts remains questionable. For example, Alabi </w:t>
      </w:r>
      <w:r>
        <w:rPr>
          <w:rFonts w:ascii="Times New Roman" w:hAnsi="Times New Roman" w:cs="Times New Roman"/>
          <w:i/>
          <w:iCs/>
        </w:rPr>
        <w:t>et al</w:t>
      </w:r>
      <w:r>
        <w:rPr>
          <w:rFonts w:ascii="Times New Roman" w:hAnsi="Times New Roman" w:cs="Times New Roman"/>
          <w:i/>
          <w:iCs/>
        </w:rPr>
        <w:t>.</w:t>
      </w:r>
      <w:r>
        <w:rPr>
          <w:rFonts w:ascii="Times New Roman" w:hAnsi="Times New Roman" w:cs="Times New Roman"/>
        </w:rPr>
        <w:t xml:space="preserve"> (2020) found that cultural perceptions of substance use in Nigeria influenced self-reporting accuracy, suggesting that standardised tools may require local adaptation. This discrepancy calls for further research into culturally sensitive modifications of</w:t>
      </w:r>
      <w:r>
        <w:rPr>
          <w:rFonts w:ascii="Times New Roman" w:hAnsi="Times New Roman" w:cs="Times New Roman"/>
        </w:rPr>
        <w:t xml:space="preserve"> existing screening instruments.</w:t>
      </w:r>
    </w:p>
    <w:p w:rsidR="001B6320" w:rsidRDefault="009D10BA" w:rsidP="00CD4DB6">
      <w:pPr>
        <w:spacing w:line="360" w:lineRule="auto"/>
        <w:jc w:val="both"/>
        <w:rPr>
          <w:rFonts w:ascii="Times New Roman" w:hAnsi="Times New Roman" w:cs="Times New Roman"/>
        </w:rPr>
      </w:pPr>
      <w:r w:rsidRPr="009D10BA">
        <w:rPr>
          <w:rFonts w:ascii="Times New Roman" w:hAnsi="Times New Roman" w:cs="Times New Roman"/>
        </w:rPr>
        <w:t xml:space="preserve">The Drug Abuse Screening Test (DAST) has demonstrated strong psychometric properties, including high internal consistency for identifying substance dependence, particularly in high-income settings (Stockton </w:t>
      </w:r>
      <w:r w:rsidRPr="009D10BA">
        <w:rPr>
          <w:rFonts w:ascii="Times New Roman" w:hAnsi="Times New Roman" w:cs="Times New Roman"/>
          <w:i/>
          <w:iCs/>
        </w:rPr>
        <w:t>et al.,</w:t>
      </w:r>
      <w:r w:rsidRPr="009D10BA">
        <w:rPr>
          <w:rFonts w:ascii="Times New Roman" w:hAnsi="Times New Roman" w:cs="Times New Roman"/>
        </w:rPr>
        <w:t xml:space="preserve"> 2025; Johnson </w:t>
      </w:r>
      <w:r w:rsidRPr="00DB66FE">
        <w:rPr>
          <w:rFonts w:ascii="Times New Roman" w:hAnsi="Times New Roman" w:cs="Times New Roman"/>
          <w:i/>
          <w:iCs/>
        </w:rPr>
        <w:t>et al.,</w:t>
      </w:r>
      <w:r w:rsidRPr="009D10BA">
        <w:rPr>
          <w:rFonts w:ascii="Times New Roman" w:hAnsi="Times New Roman" w:cs="Times New Roman"/>
        </w:rPr>
        <w:t xml:space="preserve"> 2025; </w:t>
      </w:r>
      <w:proofErr w:type="spellStart"/>
      <w:r w:rsidRPr="009D10BA">
        <w:rPr>
          <w:rFonts w:ascii="Times New Roman" w:hAnsi="Times New Roman" w:cs="Times New Roman"/>
        </w:rPr>
        <w:t>Shirinbayan</w:t>
      </w:r>
      <w:proofErr w:type="spellEnd"/>
      <w:r w:rsidRPr="009D10BA">
        <w:rPr>
          <w:rFonts w:ascii="Times New Roman" w:hAnsi="Times New Roman" w:cs="Times New Roman"/>
        </w:rPr>
        <w:t xml:space="preserve"> </w:t>
      </w:r>
      <w:r w:rsidRPr="009D10BA">
        <w:rPr>
          <w:rFonts w:ascii="Times New Roman" w:hAnsi="Times New Roman" w:cs="Times New Roman"/>
          <w:i/>
          <w:iCs/>
        </w:rPr>
        <w:t>et al.,</w:t>
      </w:r>
      <w:r w:rsidRPr="009D10BA">
        <w:rPr>
          <w:rFonts w:ascii="Times New Roman" w:hAnsi="Times New Roman" w:cs="Times New Roman"/>
        </w:rPr>
        <w:t xml:space="preserve"> 2020). However, its effectiveness in low-resource environments remains debated. For </w:t>
      </w:r>
      <w:r>
        <w:rPr>
          <w:rFonts w:ascii="Times New Roman" w:hAnsi="Times New Roman" w:cs="Times New Roman"/>
        </w:rPr>
        <w:t>example,</w:t>
      </w:r>
      <w:r w:rsidRPr="009D10BA">
        <w:rPr>
          <w:rFonts w:ascii="Times New Roman" w:hAnsi="Times New Roman" w:cs="Times New Roman"/>
        </w:rPr>
        <w:t xml:space="preserve"> Alimi et al. (2025) found that stigma and fear of legal consequences in Nigeria led to underreporting, reducing the DAST’s practical utility despite its theoretical validity.</w:t>
      </w:r>
      <w:r>
        <w:rPr>
          <w:rFonts w:ascii="Times New Roman" w:hAnsi="Times New Roman" w:cs="Times New Roman"/>
        </w:rPr>
        <w:t xml:space="preserve"> </w:t>
      </w:r>
      <w:r w:rsidRPr="009D10BA">
        <w:rPr>
          <w:rFonts w:ascii="Times New Roman" w:hAnsi="Times New Roman" w:cs="Times New Roman"/>
        </w:rPr>
        <w:t>Another limitation is the DAST’s binary risk classification (low vs. high), which oversimplifies substance use disorders (</w:t>
      </w:r>
      <w:proofErr w:type="spellStart"/>
      <w:r w:rsidRPr="009D10BA">
        <w:rPr>
          <w:rFonts w:ascii="Times New Roman" w:hAnsi="Times New Roman" w:cs="Times New Roman"/>
        </w:rPr>
        <w:t>Shirinbayan</w:t>
      </w:r>
      <w:proofErr w:type="spellEnd"/>
      <w:r w:rsidRPr="009D10BA">
        <w:rPr>
          <w:rFonts w:ascii="Times New Roman" w:hAnsi="Times New Roman" w:cs="Times New Roman"/>
        </w:rPr>
        <w:t xml:space="preserve"> </w:t>
      </w:r>
      <w:r w:rsidRPr="009D10BA">
        <w:rPr>
          <w:rFonts w:ascii="Times New Roman" w:hAnsi="Times New Roman" w:cs="Times New Roman"/>
          <w:i/>
          <w:iCs/>
        </w:rPr>
        <w:t>et al.,</w:t>
      </w:r>
      <w:r w:rsidRPr="009D10BA">
        <w:rPr>
          <w:rFonts w:ascii="Times New Roman" w:hAnsi="Times New Roman" w:cs="Times New Roman"/>
        </w:rPr>
        <w:t xml:space="preserve"> 2020). Unlike the Columbia-Suicide Severity Rating Scale (C-SSRS), which employs graded risk stratification, the DAST fails to distinguish var</w:t>
      </w:r>
      <w:r w:rsidR="00471CDC">
        <w:rPr>
          <w:rFonts w:ascii="Times New Roman" w:hAnsi="Times New Roman" w:cs="Times New Roman"/>
        </w:rPr>
        <w:t xml:space="preserve">ying levels of substance misuse, </w:t>
      </w:r>
      <w:r w:rsidRPr="009D10BA">
        <w:rPr>
          <w:rFonts w:ascii="Times New Roman" w:hAnsi="Times New Roman" w:cs="Times New Roman"/>
        </w:rPr>
        <w:t xml:space="preserve">a </w:t>
      </w:r>
      <w:r w:rsidR="00471CDC">
        <w:rPr>
          <w:rFonts w:ascii="Times New Roman" w:hAnsi="Times New Roman" w:cs="Times New Roman"/>
        </w:rPr>
        <w:t xml:space="preserve">significant </w:t>
      </w:r>
      <w:r w:rsidRPr="009D10BA">
        <w:rPr>
          <w:rFonts w:ascii="Times New Roman" w:hAnsi="Times New Roman" w:cs="Times New Roman"/>
        </w:rPr>
        <w:t xml:space="preserve">factor in assessing suicide risk (Giddens </w:t>
      </w:r>
      <w:r w:rsidRPr="00471CDC">
        <w:rPr>
          <w:rFonts w:ascii="Times New Roman" w:hAnsi="Times New Roman" w:cs="Times New Roman"/>
          <w:i/>
          <w:iCs/>
        </w:rPr>
        <w:t>et al.,</w:t>
      </w:r>
      <w:r w:rsidRPr="009D10BA">
        <w:rPr>
          <w:rFonts w:ascii="Times New Roman" w:hAnsi="Times New Roman" w:cs="Times New Roman"/>
        </w:rPr>
        <w:t xml:space="preserve"> 2014). This shortcoming is especially problematic in populations with comorbid mental health conditions, where substance use severity may fluctuate (Mann </w:t>
      </w:r>
      <w:r w:rsidRPr="00471CDC">
        <w:rPr>
          <w:rFonts w:ascii="Times New Roman" w:hAnsi="Times New Roman" w:cs="Times New Roman"/>
          <w:i/>
          <w:iCs/>
        </w:rPr>
        <w:t>et al.,</w:t>
      </w:r>
      <w:r w:rsidRPr="009D10BA">
        <w:rPr>
          <w:rFonts w:ascii="Times New Roman" w:hAnsi="Times New Roman" w:cs="Times New Roman"/>
        </w:rPr>
        <w:t xml:space="preserve"> 2021).</w:t>
      </w:r>
      <w:r w:rsidR="00CD4DB6">
        <w:rPr>
          <w:rFonts w:ascii="Times New Roman" w:hAnsi="Times New Roman" w:cs="Times New Roman"/>
        </w:rPr>
        <w:t xml:space="preserve"> Therefore, t</w:t>
      </w:r>
      <w:r w:rsidRPr="009D10BA">
        <w:rPr>
          <w:rFonts w:ascii="Times New Roman" w:hAnsi="Times New Roman" w:cs="Times New Roman"/>
        </w:rPr>
        <w:t xml:space="preserve">o improve clinical relevance, future versions of the DAST should incorporate a tiered scoring system, allowing for finer risk differentiation. Additionally, culturally </w:t>
      </w:r>
      <w:r w:rsidRPr="009D10BA">
        <w:rPr>
          <w:rFonts w:ascii="Times New Roman" w:hAnsi="Times New Roman" w:cs="Times New Roman"/>
        </w:rPr>
        <w:lastRenderedPageBreak/>
        <w:t>adapted implementations may enhance its accuracy in diverse settings, particularly where stigma or systemic barriers affect reporting.</w:t>
      </w:r>
    </w:p>
    <w:p w:rsidR="001B6320" w:rsidRDefault="009A4046">
      <w:pPr>
        <w:spacing w:line="360" w:lineRule="auto"/>
        <w:jc w:val="both"/>
        <w:rPr>
          <w:rFonts w:ascii="Times New Roman" w:hAnsi="Times New Roman" w:cs="Times New Roman"/>
        </w:rPr>
      </w:pPr>
      <w:r>
        <w:rPr>
          <w:rFonts w:ascii="Times New Roman" w:hAnsi="Times New Roman" w:cs="Times New Roman"/>
        </w:rPr>
        <w:t xml:space="preserve">The Columbia-Suicide Severity Rating Scale (C-SSRS) has emerged as a gold standard in suicide risk assessment due to its robust validation across multiple populations (Hill </w:t>
      </w:r>
      <w:r>
        <w:rPr>
          <w:rFonts w:ascii="Times New Roman" w:hAnsi="Times New Roman" w:cs="Times New Roman"/>
          <w:i/>
          <w:iCs/>
        </w:rPr>
        <w:t>et al.,</w:t>
      </w:r>
      <w:r>
        <w:rPr>
          <w:rFonts w:ascii="Times New Roman" w:hAnsi="Times New Roman" w:cs="Times New Roman"/>
        </w:rPr>
        <w:t xml:space="preserve"> 2017; Posner </w:t>
      </w:r>
      <w:r>
        <w:rPr>
          <w:rFonts w:ascii="Times New Roman" w:hAnsi="Times New Roman" w:cs="Times New Roman"/>
          <w:i/>
          <w:iCs/>
        </w:rPr>
        <w:t>et al.,</w:t>
      </w:r>
      <w:r>
        <w:rPr>
          <w:rFonts w:ascii="Times New Roman" w:hAnsi="Times New Roman" w:cs="Times New Roman"/>
        </w:rPr>
        <w:t xml:space="preserve"> 2011). Its strengt</w:t>
      </w:r>
      <w:r>
        <w:rPr>
          <w:rFonts w:ascii="Times New Roman" w:hAnsi="Times New Roman" w:cs="Times New Roman"/>
        </w:rPr>
        <w:t xml:space="preserve">h lies in its ability to distinguish between passive suicidal ideation and active planning, a distinction that directly informs intervention urgency (Katz </w:t>
      </w:r>
      <w:r>
        <w:rPr>
          <w:rFonts w:ascii="Times New Roman" w:hAnsi="Times New Roman" w:cs="Times New Roman"/>
          <w:i/>
          <w:iCs/>
        </w:rPr>
        <w:t>et al.,</w:t>
      </w:r>
      <w:r>
        <w:rPr>
          <w:rFonts w:ascii="Times New Roman" w:hAnsi="Times New Roman" w:cs="Times New Roman"/>
        </w:rPr>
        <w:t xml:space="preserve"> 2020). However, its reliance on clinician-administered interviews poses challenges in communi</w:t>
      </w:r>
      <w:r>
        <w:rPr>
          <w:rFonts w:ascii="Times New Roman" w:hAnsi="Times New Roman" w:cs="Times New Roman"/>
        </w:rPr>
        <w:t xml:space="preserve">ty-based settings where trained personnel are scarce. Alimi </w:t>
      </w:r>
      <w:r>
        <w:rPr>
          <w:rFonts w:ascii="Times New Roman" w:hAnsi="Times New Roman" w:cs="Times New Roman"/>
          <w:i/>
          <w:iCs/>
        </w:rPr>
        <w:t>et al.</w:t>
      </w:r>
      <w:r>
        <w:rPr>
          <w:rFonts w:ascii="Times New Roman" w:hAnsi="Times New Roman" w:cs="Times New Roman"/>
        </w:rPr>
        <w:t xml:space="preserve"> (2024) highlight this barrier in their study on stroke survivors, where logistical constraints prevented systematic C-SSRS administration.</w:t>
      </w:r>
    </w:p>
    <w:p w:rsidR="001B6320" w:rsidRDefault="009A4046">
      <w:pPr>
        <w:spacing w:line="360" w:lineRule="auto"/>
        <w:jc w:val="both"/>
        <w:rPr>
          <w:rFonts w:ascii="Times New Roman" w:hAnsi="Times New Roman" w:cs="Times New Roman"/>
        </w:rPr>
      </w:pPr>
      <w:r>
        <w:rPr>
          <w:rFonts w:ascii="Times New Roman" w:hAnsi="Times New Roman" w:cs="Times New Roman"/>
        </w:rPr>
        <w:t>Comparatively, self-report tools like the PHQ-9 ha</w:t>
      </w:r>
      <w:r>
        <w:rPr>
          <w:rFonts w:ascii="Times New Roman" w:hAnsi="Times New Roman" w:cs="Times New Roman"/>
        </w:rPr>
        <w:t xml:space="preserve">ve been proposed as alternatives, but their sensitivity in detecting imminent suicide risk is inferior to the C-SSRS (Mann </w:t>
      </w:r>
      <w:r>
        <w:rPr>
          <w:rFonts w:ascii="Times New Roman" w:hAnsi="Times New Roman" w:cs="Times New Roman"/>
          <w:i/>
          <w:iCs/>
        </w:rPr>
        <w:t>et al.,</w:t>
      </w:r>
      <w:r>
        <w:rPr>
          <w:rFonts w:ascii="Times New Roman" w:hAnsi="Times New Roman" w:cs="Times New Roman"/>
        </w:rPr>
        <w:t xml:space="preserve"> 2021). A critical gap in the literature is the lack of studies evaluating the C-SSRS’s feasibility in low-literacy population</w:t>
      </w:r>
      <w:r>
        <w:rPr>
          <w:rFonts w:ascii="Times New Roman" w:hAnsi="Times New Roman" w:cs="Times New Roman"/>
        </w:rPr>
        <w:t xml:space="preserve">s. Alabi </w:t>
      </w:r>
      <w:r>
        <w:rPr>
          <w:rFonts w:ascii="Times New Roman" w:hAnsi="Times New Roman" w:cs="Times New Roman"/>
          <w:i/>
          <w:iCs/>
        </w:rPr>
        <w:t>et al.,</w:t>
      </w:r>
      <w:r>
        <w:rPr>
          <w:rFonts w:ascii="Times New Roman" w:hAnsi="Times New Roman" w:cs="Times New Roman"/>
        </w:rPr>
        <w:t xml:space="preserve"> (2020) note that in Ilorin, Nigeria, even basic health questionnaires required verbal administration due to low literacy rates. This raises questions about whether the C-SSRS’s detailed scoring system can be effectively adapted for such co</w:t>
      </w:r>
      <w:r>
        <w:rPr>
          <w:rFonts w:ascii="Times New Roman" w:hAnsi="Times New Roman" w:cs="Times New Roman"/>
        </w:rPr>
        <w:t>ntexts without compromising reliability.</w:t>
      </w:r>
    </w:p>
    <w:p w:rsidR="001B6320" w:rsidRDefault="009A4046">
      <w:pPr>
        <w:spacing w:line="360" w:lineRule="auto"/>
        <w:jc w:val="both"/>
        <w:rPr>
          <w:rFonts w:ascii="Times New Roman" w:hAnsi="Times New Roman" w:cs="Times New Roman"/>
        </w:rPr>
      </w:pPr>
      <w:r>
        <w:rPr>
          <w:rFonts w:ascii="Times New Roman" w:hAnsi="Times New Roman" w:cs="Times New Roman"/>
        </w:rPr>
        <w:t xml:space="preserve">Mann </w:t>
      </w:r>
      <w:r>
        <w:rPr>
          <w:rFonts w:ascii="Times New Roman" w:hAnsi="Times New Roman" w:cs="Times New Roman"/>
          <w:i/>
          <w:iCs/>
        </w:rPr>
        <w:t>et al.</w:t>
      </w:r>
      <w:r>
        <w:rPr>
          <w:rFonts w:ascii="Times New Roman" w:hAnsi="Times New Roman" w:cs="Times New Roman"/>
        </w:rPr>
        <w:t xml:space="preserve"> (2021) provide a comprehensive review of evidence-based suicide prevention strategies, emphasising the integration of risk assessment tools into electronic health systems. Their findings support the use </w:t>
      </w:r>
      <w:r>
        <w:rPr>
          <w:rFonts w:ascii="Times New Roman" w:hAnsi="Times New Roman" w:cs="Times New Roman"/>
        </w:rPr>
        <w:t xml:space="preserve">of informatics platforms like DHIS2 to streamline data collection and intervention tracking. However, their analysis predominantly draws from high-income settings, neglecting implementation challenges in regions with fragmented health systems. Alimi </w:t>
      </w:r>
      <w:r>
        <w:rPr>
          <w:rFonts w:ascii="Times New Roman" w:hAnsi="Times New Roman" w:cs="Times New Roman"/>
          <w:i/>
          <w:iCs/>
        </w:rPr>
        <w:t>et al.</w:t>
      </w:r>
      <w:r>
        <w:rPr>
          <w:rFonts w:ascii="Times New Roman" w:hAnsi="Times New Roman" w:cs="Times New Roman"/>
        </w:rPr>
        <w:t xml:space="preserve"> (2025) address this gap by demonstrating how logistic regression models can optimise resource allocation in underfunded programmes, ensuring that limited health services reach the highest-risk individuals.</w:t>
      </w:r>
    </w:p>
    <w:p w:rsidR="001B6320" w:rsidRDefault="009A4046">
      <w:pPr>
        <w:spacing w:line="360" w:lineRule="auto"/>
        <w:jc w:val="both"/>
        <w:rPr>
          <w:rFonts w:ascii="Times New Roman" w:hAnsi="Times New Roman" w:cs="Times New Roman"/>
        </w:rPr>
      </w:pPr>
      <w:r>
        <w:rPr>
          <w:rFonts w:ascii="Times New Roman" w:hAnsi="Times New Roman" w:cs="Times New Roman"/>
        </w:rPr>
        <w:t>A significant contradiction arises in the literat</w:t>
      </w:r>
      <w:r>
        <w:rPr>
          <w:rFonts w:ascii="Times New Roman" w:hAnsi="Times New Roman" w:cs="Times New Roman"/>
        </w:rPr>
        <w:t xml:space="preserve">ure regarding the scalability of universal screening. While Mann </w:t>
      </w:r>
      <w:r>
        <w:rPr>
          <w:rFonts w:ascii="Times New Roman" w:hAnsi="Times New Roman" w:cs="Times New Roman"/>
          <w:i/>
          <w:iCs/>
        </w:rPr>
        <w:t>et al.</w:t>
      </w:r>
      <w:r>
        <w:rPr>
          <w:rFonts w:ascii="Times New Roman" w:hAnsi="Times New Roman" w:cs="Times New Roman"/>
        </w:rPr>
        <w:t xml:space="preserve"> (2021) advocate for routine DAST and C-SSRS administration in primary care, Alimi </w:t>
      </w:r>
      <w:r>
        <w:rPr>
          <w:rFonts w:ascii="Times New Roman" w:hAnsi="Times New Roman" w:cs="Times New Roman"/>
          <w:i/>
          <w:iCs/>
        </w:rPr>
        <w:t>et al.</w:t>
      </w:r>
      <w:r>
        <w:rPr>
          <w:rFonts w:ascii="Times New Roman" w:hAnsi="Times New Roman" w:cs="Times New Roman"/>
        </w:rPr>
        <w:t xml:space="preserve"> (2024) caution that blanket screening may overwhelm systems with high patient volumes and low s</w:t>
      </w:r>
      <w:r>
        <w:rPr>
          <w:rFonts w:ascii="Times New Roman" w:hAnsi="Times New Roman" w:cs="Times New Roman"/>
        </w:rPr>
        <w:t xml:space="preserve">taffing. Their research on stroke survivors in Nigeria revealed that targeted screening of high-risk subgroups (e.g., those with chronic pain or prior psychiatric history) yielded </w:t>
      </w:r>
      <w:r>
        <w:rPr>
          <w:rFonts w:ascii="Times New Roman" w:hAnsi="Times New Roman" w:cs="Times New Roman"/>
        </w:rPr>
        <w:lastRenderedPageBreak/>
        <w:t>more efficient case identification. This suggests that a hybrid approach, co</w:t>
      </w:r>
      <w:r>
        <w:rPr>
          <w:rFonts w:ascii="Times New Roman" w:hAnsi="Times New Roman" w:cs="Times New Roman"/>
        </w:rPr>
        <w:t>mbining broad surveillance with focused screening, may be more sustainable in resource-constrained settings.</w:t>
      </w:r>
    </w:p>
    <w:p w:rsidR="001B6320" w:rsidRDefault="009A4046">
      <w:pPr>
        <w:spacing w:line="360" w:lineRule="auto"/>
        <w:jc w:val="both"/>
        <w:rPr>
          <w:rFonts w:ascii="Times New Roman" w:hAnsi="Times New Roman" w:cs="Times New Roman"/>
        </w:rPr>
      </w:pPr>
      <w:r>
        <w:rPr>
          <w:rFonts w:ascii="Times New Roman" w:hAnsi="Times New Roman" w:cs="Times New Roman"/>
        </w:rPr>
        <w:t>The existing literature converges on the importance of integrating substance abuse and suicide risk assessment into public health systems. However,</w:t>
      </w:r>
      <w:r>
        <w:rPr>
          <w:rFonts w:ascii="Times New Roman" w:hAnsi="Times New Roman" w:cs="Times New Roman"/>
        </w:rPr>
        <w:t xml:space="preserve"> significant disparities persist in tool applicability, cultural relevance, and implementation feasibility across different regions. Studies like those of Alabi </w:t>
      </w:r>
      <w:r>
        <w:rPr>
          <w:rFonts w:ascii="Times New Roman" w:hAnsi="Times New Roman" w:cs="Times New Roman"/>
          <w:i/>
          <w:iCs/>
        </w:rPr>
        <w:t>et al.</w:t>
      </w:r>
      <w:r>
        <w:rPr>
          <w:rFonts w:ascii="Times New Roman" w:hAnsi="Times New Roman" w:cs="Times New Roman"/>
        </w:rPr>
        <w:t xml:space="preserve"> (2020) and Alimi </w:t>
      </w:r>
      <w:r>
        <w:rPr>
          <w:rFonts w:ascii="Times New Roman" w:hAnsi="Times New Roman" w:cs="Times New Roman"/>
          <w:i/>
          <w:iCs/>
        </w:rPr>
        <w:t>et al.</w:t>
      </w:r>
      <w:r>
        <w:rPr>
          <w:rFonts w:ascii="Times New Roman" w:hAnsi="Times New Roman" w:cs="Times New Roman"/>
        </w:rPr>
        <w:t xml:space="preserve"> (2025) highlight the necessity of adapting Western-developed too</w:t>
      </w:r>
      <w:r>
        <w:rPr>
          <w:rFonts w:ascii="Times New Roman" w:hAnsi="Times New Roman" w:cs="Times New Roman"/>
        </w:rPr>
        <w:t>ls to local contexts, particularly in Africa, where mental health infrastructure is often underdeveloped. A critical research gap is the lack of integration between risk assessment tools and health information systems, limiting early intervention capabilit</w:t>
      </w:r>
      <w:r>
        <w:rPr>
          <w:rFonts w:ascii="Times New Roman" w:hAnsi="Times New Roman" w:cs="Times New Roman"/>
        </w:rPr>
        <w:t xml:space="preserve">ies. This research addresses this gap by leveraging Community Health Informatics (C.H.I) to enhance suicide prevention through systematic data integration and analysis. </w:t>
      </w:r>
    </w:p>
    <w:p w:rsidR="001B6320" w:rsidRDefault="009A4046">
      <w:pPr>
        <w:spacing w:line="360" w:lineRule="auto"/>
        <w:rPr>
          <w:rFonts w:ascii="Times New Roman" w:hAnsi="Times New Roman" w:cs="Times New Roman"/>
          <w:b/>
          <w:bCs/>
        </w:rPr>
      </w:pPr>
      <w:r>
        <w:rPr>
          <w:rFonts w:ascii="Times New Roman" w:hAnsi="Times New Roman" w:cs="Times New Roman"/>
          <w:b/>
          <w:bCs/>
        </w:rPr>
        <w:t>METHODOLOGY</w:t>
      </w:r>
    </w:p>
    <w:p w:rsidR="001B6320" w:rsidRDefault="009A4046">
      <w:pPr>
        <w:spacing w:line="360" w:lineRule="auto"/>
        <w:rPr>
          <w:rFonts w:ascii="Times New Roman" w:eastAsia="Aptos" w:hAnsi="Times New Roman" w:cs="Times New Roman"/>
          <w:b/>
          <w:bCs/>
          <w:color w:val="000000"/>
        </w:rPr>
      </w:pPr>
      <w:r>
        <w:rPr>
          <w:rFonts w:ascii="Times New Roman" w:eastAsia="Aptos" w:hAnsi="Times New Roman" w:cs="Times New Roman"/>
          <w:b/>
          <w:bCs/>
          <w:color w:val="000000"/>
        </w:rPr>
        <w:t>Installation Process and Technical Configuration</w:t>
      </w:r>
    </w:p>
    <w:p w:rsidR="001B6320" w:rsidRDefault="009A4046">
      <w:pPr>
        <w:spacing w:line="360" w:lineRule="auto"/>
        <w:jc w:val="both"/>
        <w:rPr>
          <w:rFonts w:ascii="Times New Roman" w:hAnsi="Times New Roman" w:cs="Times New Roman"/>
        </w:rPr>
      </w:pPr>
      <w:r>
        <w:rPr>
          <w:rFonts w:ascii="Times New Roman" w:hAnsi="Times New Roman" w:cs="Times New Roman"/>
        </w:rPr>
        <w:t>The implementation of DHI</w:t>
      </w:r>
      <w:r>
        <w:rPr>
          <w:rFonts w:ascii="Times New Roman" w:hAnsi="Times New Roman" w:cs="Times New Roman"/>
        </w:rPr>
        <w:t>S2 required a systematic approach to ensure compatibility and functionality across different operating systems. The software stack included Apache Tomcat (v9.0.89) as the web server, Open JDK (v11.0.23) for Java runtime support, and PostgreSQL (v14) with P</w:t>
      </w:r>
      <w:r>
        <w:rPr>
          <w:rFonts w:ascii="Times New Roman" w:hAnsi="Times New Roman" w:cs="Times New Roman"/>
        </w:rPr>
        <w:t>ostGIS extension for geospatial data management (DHIS2 Documentation, 2024). The installation process necessitated troubleshooting through community forums and YouTube tutorials due to occasional conflicts with system permissions and port configurations.</w:t>
      </w:r>
    </w:p>
    <w:p w:rsidR="001B6320" w:rsidRDefault="009A4046">
      <w:pPr>
        <w:spacing w:line="360" w:lineRule="auto"/>
        <w:jc w:val="both"/>
        <w:rPr>
          <w:rFonts w:ascii="Times New Roman" w:hAnsi="Times New Roman" w:cs="Times New Roman"/>
        </w:rPr>
      </w:pPr>
      <w:r>
        <w:rPr>
          <w:rFonts w:ascii="Times New Roman" w:hAnsi="Times New Roman" w:cs="Times New Roman"/>
        </w:rPr>
        <w:t>O</w:t>
      </w:r>
      <w:r>
        <w:rPr>
          <w:rFonts w:ascii="Times New Roman" w:hAnsi="Times New Roman" w:cs="Times New Roman"/>
        </w:rPr>
        <w:t xml:space="preserve">rganisational units were structured hierarchically to reflect Indiana’s administrative divisions, with zip codes serving as the lowest geographical level for data aggregation. Data elements, including demographic variables (age, gender, race) and clinical </w:t>
      </w:r>
      <w:r>
        <w:rPr>
          <w:rFonts w:ascii="Times New Roman" w:hAnsi="Times New Roman" w:cs="Times New Roman"/>
        </w:rPr>
        <w:t>metrics (DAST and C-SSRS scores), were defined in Excel templates before batch importation into DHIS2. This approach ensured standardisation and reduced errors during manual data entry. Data validation rules were implemented to flag inconsistencies, such a</w:t>
      </w:r>
      <w:r>
        <w:rPr>
          <w:rFonts w:ascii="Times New Roman" w:hAnsi="Times New Roman" w:cs="Times New Roman"/>
        </w:rPr>
        <w:t>s implausible age ranges or missing risk scores, enhancing dataset reliability. The interoperability achievements and persistent technical constraints of this configuration are catalogued in Table 1 below.</w:t>
      </w:r>
    </w:p>
    <w:p w:rsidR="00642265" w:rsidRDefault="00642265">
      <w:pPr>
        <w:spacing w:line="360" w:lineRule="auto"/>
        <w:jc w:val="both"/>
        <w:rPr>
          <w:rFonts w:ascii="Times New Roman" w:hAnsi="Times New Roman" w:cs="Times New Roman"/>
        </w:rPr>
      </w:pPr>
    </w:p>
    <w:p w:rsidR="001B6320" w:rsidRDefault="009A4046">
      <w:pPr>
        <w:spacing w:line="360" w:lineRule="auto"/>
        <w:jc w:val="both"/>
        <w:rPr>
          <w:rFonts w:ascii="Times New Roman" w:hAnsi="Times New Roman" w:cs="Times New Roman"/>
        </w:rPr>
      </w:pPr>
      <w:r>
        <w:rPr>
          <w:rFonts w:ascii="Times New Roman" w:hAnsi="Times New Roman" w:cs="Times New Roman"/>
        </w:rPr>
        <w:lastRenderedPageBreak/>
        <w:t>Table 1: DHIS2 Technical Implementation Stack</w:t>
      </w:r>
    </w:p>
    <w:tbl>
      <w:tblPr>
        <w:tblW w:w="5000" w:type="pct"/>
        <w:tblCellMar>
          <w:left w:w="0" w:type="dxa"/>
          <w:right w:w="0" w:type="dxa"/>
        </w:tblCellMar>
        <w:tblLook w:val="0600" w:firstRow="0" w:lastRow="0" w:firstColumn="0" w:lastColumn="0" w:noHBand="1" w:noVBand="1"/>
      </w:tblPr>
      <w:tblGrid>
        <w:gridCol w:w="2640"/>
        <w:gridCol w:w="2234"/>
        <w:gridCol w:w="2234"/>
        <w:gridCol w:w="2232"/>
      </w:tblGrid>
      <w:tr w:rsidR="001B6320">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jc w:val="both"/>
              <w:rPr>
                <w:rFonts w:ascii="Times New Roman" w:hAnsi="Times New Roman" w:cs="Times New Roman"/>
                <w:b/>
                <w:bCs/>
              </w:rPr>
            </w:pPr>
            <w:r>
              <w:rPr>
                <w:rFonts w:ascii="Times New Roman" w:hAnsi="Times New Roman" w:cs="Times New Roman"/>
                <w:b/>
                <w:bCs/>
              </w:rPr>
              <w:t>Component</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b/>
                <w:bCs/>
              </w:rPr>
            </w:pPr>
            <w:r>
              <w:rPr>
                <w:rFonts w:ascii="Times New Roman" w:hAnsi="Times New Roman" w:cs="Times New Roman"/>
                <w:b/>
                <w:bCs/>
              </w:rPr>
              <w:t>Version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b/>
                <w:bCs/>
              </w:rPr>
            </w:pPr>
            <w:r>
              <w:rPr>
                <w:rFonts w:ascii="Times New Roman" w:hAnsi="Times New Roman" w:cs="Times New Roman"/>
                <w:b/>
                <w:bCs/>
              </w:rPr>
              <w:t>Function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b/>
                <w:bCs/>
              </w:rPr>
            </w:pPr>
            <w:r>
              <w:rPr>
                <w:rFonts w:ascii="Times New Roman" w:hAnsi="Times New Roman" w:cs="Times New Roman"/>
                <w:b/>
                <w:bCs/>
              </w:rPr>
              <w:t>Configuration Challenge</w:t>
            </w:r>
          </w:p>
        </w:tc>
      </w:tr>
      <w:tr w:rsidR="001B6320">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Web Server</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Apache Tomcat 9.0.89</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Host DHIS2 web interface</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Port conflicts</w:t>
            </w:r>
          </w:p>
        </w:tc>
      </w:tr>
      <w:tr w:rsidR="001B6320">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Java Runtime</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OpenJDK 11.0.23</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Execute DHIS2 core logic</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System permission issues</w:t>
            </w:r>
          </w:p>
        </w:tc>
      </w:tr>
      <w:tr w:rsidR="001B6320">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Database</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PostgreSQL 14 (+PostGIS)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 xml:space="preserve">Geospatial data </w:t>
            </w:r>
            <w:r>
              <w:rPr>
                <w:rFonts w:ascii="Times New Roman" w:hAnsi="Times New Roman" w:cs="Times New Roman"/>
              </w:rPr>
              <w:t>storage</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Synchronisation delays (47 min avg)</w:t>
            </w:r>
          </w:p>
        </w:tc>
      </w:tr>
      <w:tr w:rsidR="001B6320">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Data Import</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CSV templates</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Standardised metadata ingestion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Formatting discrepancies</w:t>
            </w:r>
          </w:p>
        </w:tc>
      </w:tr>
    </w:tbl>
    <w:p w:rsidR="001B6320" w:rsidRDefault="009A4046">
      <w:pPr>
        <w:spacing w:line="360" w:lineRule="auto"/>
        <w:jc w:val="both"/>
        <w:rPr>
          <w:rFonts w:ascii="Times New Roman" w:hAnsi="Times New Roman" w:cs="Times New Roman"/>
        </w:rPr>
      </w:pPr>
      <w:r>
        <w:rPr>
          <w:rFonts w:ascii="Times New Roman" w:hAnsi="Times New Roman" w:cs="Times New Roman"/>
        </w:rPr>
        <w:br/>
        <w:t>It was revealed that while PostgreSQL enabled geospatial analysis, synchronisation delays (47-minute average) impeded real-tim</w:t>
      </w:r>
      <w:r>
        <w:rPr>
          <w:rFonts w:ascii="Times New Roman" w:hAnsi="Times New Roman" w:cs="Times New Roman"/>
        </w:rPr>
        <w:t xml:space="preserve">e interventions. CSV-based import resolved standardisation issues but required manual outlier management (e.g., DAST scores &gt;10). </w:t>
      </w:r>
    </w:p>
    <w:p w:rsidR="001B6320" w:rsidRDefault="009A4046">
      <w:pPr>
        <w:spacing w:line="360" w:lineRule="auto"/>
        <w:jc w:val="both"/>
        <w:rPr>
          <w:rFonts w:ascii="Times New Roman" w:hAnsi="Times New Roman" w:cs="Times New Roman"/>
          <w:b/>
          <w:bCs/>
        </w:rPr>
      </w:pPr>
      <w:r>
        <w:rPr>
          <w:rFonts w:ascii="Times New Roman" w:hAnsi="Times New Roman" w:cs="Times New Roman"/>
          <w:b/>
          <w:bCs/>
        </w:rPr>
        <w:t>Data Integration and Management</w:t>
      </w:r>
    </w:p>
    <w:p w:rsidR="001B6320" w:rsidRDefault="009A4046">
      <w:pPr>
        <w:spacing w:line="360" w:lineRule="auto"/>
        <w:jc w:val="both"/>
        <w:rPr>
          <w:rFonts w:ascii="Times New Roman" w:hAnsi="Times New Roman" w:cs="Times New Roman"/>
        </w:rPr>
      </w:pPr>
      <w:r>
        <w:rPr>
          <w:rFonts w:ascii="Times New Roman" w:hAnsi="Times New Roman" w:cs="Times New Roman"/>
        </w:rPr>
        <w:t>Survey data from the Randolph County Caring Community Partnership (RCCCP) were merged using R</w:t>
      </w:r>
      <w:r>
        <w:rPr>
          <w:rFonts w:ascii="Times New Roman" w:hAnsi="Times New Roman" w:cs="Times New Roman"/>
        </w:rPr>
        <w:t xml:space="preserve"> Studio (v4.3.1), with Client IDs serving as the primary key for matching DAST and C-SSRS records. Preprocessing involved removing duplicates, rectifying formatting discrepancies, and imputing missing values through mean substitution for continuous variabl</w:t>
      </w:r>
      <w:r>
        <w:rPr>
          <w:rFonts w:ascii="Times New Roman" w:hAnsi="Times New Roman" w:cs="Times New Roman"/>
        </w:rPr>
        <w:t>es. Excel’s data cleaning tools facilitated the identification of outliers, such as DAST scores exceeding the validated range of 0-10, which were manually reviewed for accuracy.</w:t>
      </w:r>
    </w:p>
    <w:p w:rsidR="001B6320" w:rsidRDefault="009A4046">
      <w:pPr>
        <w:spacing w:line="360" w:lineRule="auto"/>
        <w:jc w:val="both"/>
        <w:rPr>
          <w:rFonts w:ascii="Times New Roman" w:hAnsi="Times New Roman" w:cs="Times New Roman"/>
        </w:rPr>
      </w:pPr>
      <w:r>
        <w:rPr>
          <w:rFonts w:ascii="Times New Roman" w:hAnsi="Times New Roman" w:cs="Times New Roman"/>
        </w:rPr>
        <w:t xml:space="preserve">The integrated dataset was imported into DHIS2 via CSV files, with metadata attributes assigned to each variable to support dynamic reporting. Data elements were categorised into disaggregated groups (e.g., “Substance Use Risk: Low/Medium/High”) to enable </w:t>
      </w:r>
      <w:r>
        <w:rPr>
          <w:rFonts w:ascii="Times New Roman" w:hAnsi="Times New Roman" w:cs="Times New Roman"/>
        </w:rPr>
        <w:t>stratified analysis. This categorisation aligned with recommendations from the Columbia University Suicide Prevention Toolkit (2023), which emphasises granular risk classification for targeted interventions.</w:t>
      </w:r>
    </w:p>
    <w:p w:rsidR="00854DC0" w:rsidRDefault="00854DC0">
      <w:pPr>
        <w:spacing w:line="360" w:lineRule="auto"/>
        <w:jc w:val="both"/>
        <w:rPr>
          <w:rFonts w:ascii="Times New Roman" w:hAnsi="Times New Roman" w:cs="Times New Roman"/>
        </w:rPr>
      </w:pPr>
    </w:p>
    <w:p w:rsidR="00854DC0" w:rsidRDefault="00854DC0">
      <w:pPr>
        <w:spacing w:line="360" w:lineRule="auto"/>
        <w:jc w:val="both"/>
        <w:rPr>
          <w:rFonts w:ascii="Times New Roman" w:hAnsi="Times New Roman" w:cs="Times New Roman"/>
        </w:rPr>
      </w:pPr>
    </w:p>
    <w:p w:rsidR="001B6320" w:rsidRDefault="009A4046">
      <w:pPr>
        <w:spacing w:line="360" w:lineRule="auto"/>
        <w:jc w:val="both"/>
        <w:rPr>
          <w:rFonts w:ascii="Times New Roman" w:hAnsi="Times New Roman" w:cs="Times New Roman"/>
          <w:b/>
          <w:bCs/>
        </w:rPr>
      </w:pPr>
      <w:r>
        <w:rPr>
          <w:rFonts w:ascii="Times New Roman" w:hAnsi="Times New Roman" w:cs="Times New Roman"/>
          <w:b/>
          <w:bCs/>
        </w:rPr>
        <w:lastRenderedPageBreak/>
        <w:t>Data Visualisation and Statistical Analysis</w:t>
      </w:r>
    </w:p>
    <w:p w:rsidR="001B6320" w:rsidRDefault="009A4046">
      <w:pPr>
        <w:spacing w:line="360" w:lineRule="auto"/>
        <w:jc w:val="both"/>
        <w:rPr>
          <w:rFonts w:ascii="Times New Roman" w:hAnsi="Times New Roman" w:cs="Times New Roman"/>
        </w:rPr>
      </w:pPr>
      <w:r>
        <w:rPr>
          <w:rFonts w:ascii="Times New Roman" w:hAnsi="Times New Roman" w:cs="Times New Roman"/>
        </w:rPr>
        <w:t>Prel</w:t>
      </w:r>
      <w:r>
        <w:rPr>
          <w:rFonts w:ascii="Times New Roman" w:hAnsi="Times New Roman" w:cs="Times New Roman"/>
        </w:rPr>
        <w:t>iminary visualisations were developed in Power BI due to delays in DHIS2 dashboard configuration. Key outputs included temporal trends in suicide risk and demographic breakdowns of high-risk subgroups. Power BI’s conditional formatting features highlighted</w:t>
      </w:r>
      <w:r>
        <w:rPr>
          <w:rFonts w:ascii="Times New Roman" w:hAnsi="Times New Roman" w:cs="Times New Roman"/>
        </w:rPr>
        <w:t xml:space="preserve"> individuals meeting thresholds for immediate intervention (e.g., C-SSRS “High Risk” classification), enabling rapid prioritisation by healthcare providers.</w:t>
      </w:r>
    </w:p>
    <w:p w:rsidR="001B6320" w:rsidRDefault="009A4046">
      <w:pPr>
        <w:spacing w:line="360" w:lineRule="auto"/>
        <w:jc w:val="both"/>
        <w:rPr>
          <w:rFonts w:ascii="Times New Roman" w:hAnsi="Times New Roman" w:cs="Times New Roman"/>
        </w:rPr>
      </w:pPr>
      <w:r>
        <w:rPr>
          <w:rFonts w:ascii="Times New Roman" w:hAnsi="Times New Roman" w:cs="Times New Roman"/>
        </w:rPr>
        <w:t>Statistical analyses in R Studio employed Pearson correlation to examine the relationship between D</w:t>
      </w:r>
      <w:r>
        <w:rPr>
          <w:rFonts w:ascii="Times New Roman" w:hAnsi="Times New Roman" w:cs="Times New Roman"/>
        </w:rPr>
        <w:t>AST and C-SSRS scores. A coefficient of 0.265 indicated a weak positive relationship between DAST scores and C-SSRS, reflecting the multifactorial nature of suicide risk. Receiver Operating Characteristic (ROC) curve analysis yielded an Area Under the Curv</w:t>
      </w:r>
      <w:r>
        <w:rPr>
          <w:rFonts w:ascii="Times New Roman" w:hAnsi="Times New Roman" w:cs="Times New Roman"/>
        </w:rPr>
        <w:t>e (AUC) of 0.988, indicating near-perfect discrimination between high- and low-risk individuals based on combined age, gender, race, and DAST predictors. Finally, logistic regression achieved 93% accuracy in classifying suicide risk, with sensitivity (92.5</w:t>
      </w:r>
      <w:r>
        <w:rPr>
          <w:rFonts w:ascii="Times New Roman" w:hAnsi="Times New Roman" w:cs="Times New Roman"/>
        </w:rPr>
        <w:t xml:space="preserve">5%) and specificity (93.57%) values exceeding thresholds for clinical utility.  </w:t>
      </w:r>
    </w:p>
    <w:p w:rsidR="001B6320" w:rsidRDefault="009A4046">
      <w:pPr>
        <w:spacing w:line="360" w:lineRule="auto"/>
        <w:rPr>
          <w:rFonts w:ascii="Times New Roman" w:hAnsi="Times New Roman" w:cs="Times New Roman"/>
          <w:b/>
          <w:bCs/>
        </w:rPr>
      </w:pPr>
      <w:r>
        <w:rPr>
          <w:rFonts w:ascii="Times New Roman" w:hAnsi="Times New Roman" w:cs="Times New Roman"/>
          <w:b/>
          <w:bCs/>
        </w:rPr>
        <w:t>RESULTS</w:t>
      </w:r>
    </w:p>
    <w:p w:rsidR="001B6320" w:rsidRDefault="009A4046">
      <w:pPr>
        <w:spacing w:line="360" w:lineRule="auto"/>
        <w:rPr>
          <w:rFonts w:ascii="Times New Roman" w:hAnsi="Times New Roman" w:cs="Times New Roman"/>
          <w:b/>
          <w:bCs/>
        </w:rPr>
      </w:pPr>
      <w:r>
        <w:rPr>
          <w:rFonts w:ascii="Times New Roman" w:hAnsi="Times New Roman" w:cs="Times New Roman"/>
          <w:b/>
          <w:bCs/>
        </w:rPr>
        <w:t xml:space="preserve">Key Findings </w:t>
      </w:r>
    </w:p>
    <w:p w:rsidR="001B6320" w:rsidRDefault="009A4046">
      <w:pPr>
        <w:spacing w:line="360" w:lineRule="auto"/>
        <w:jc w:val="both"/>
        <w:rPr>
          <w:rFonts w:ascii="Times New Roman" w:hAnsi="Times New Roman" w:cs="Times New Roman"/>
        </w:rPr>
      </w:pPr>
      <w:r>
        <w:rPr>
          <w:rFonts w:ascii="Times New Roman" w:hAnsi="Times New Roman" w:cs="Times New Roman"/>
        </w:rPr>
        <w:t>The integration of DAST and C-SSRS tools within the DHIS2 platform yielded significant insights into suicide risk patterns. Statistical analysis revealed</w:t>
      </w:r>
      <w:r>
        <w:rPr>
          <w:rFonts w:ascii="Times New Roman" w:hAnsi="Times New Roman" w:cs="Times New Roman"/>
        </w:rPr>
        <w:t xml:space="preserve"> a weak but statistically significant positive correlation (r=0.265, p&lt;0.05) between substance abuse severity and suicide risk, consistent with prior research (Johnson </w:t>
      </w:r>
      <w:r>
        <w:rPr>
          <w:rFonts w:ascii="Times New Roman" w:hAnsi="Times New Roman" w:cs="Times New Roman"/>
          <w:i/>
          <w:iCs/>
        </w:rPr>
        <w:t>et al.</w:t>
      </w:r>
      <w:r>
        <w:rPr>
          <w:rFonts w:ascii="Times New Roman" w:hAnsi="Times New Roman" w:cs="Times New Roman"/>
        </w:rPr>
        <w:t xml:space="preserve"> 2025). This finding reinforces the need for concurrent screening of both risk fac</w:t>
      </w:r>
      <w:r>
        <w:rPr>
          <w:rFonts w:ascii="Times New Roman" w:hAnsi="Times New Roman" w:cs="Times New Roman"/>
        </w:rPr>
        <w:t>tors in clinical settings. The ROC curve analysis demonstrated exceptional predictive accuracy (AUC=0.988), suggesting that the combined use of these tools effectively distinguishes high-risk individuals from low-risk populations.</w:t>
      </w:r>
    </w:p>
    <w:p w:rsidR="001B6320" w:rsidRDefault="009A4046">
      <w:pPr>
        <w:spacing w:line="360" w:lineRule="auto"/>
        <w:jc w:val="both"/>
        <w:rPr>
          <w:rFonts w:ascii="Times New Roman" w:hAnsi="Times New Roman" w:cs="Times New Roman"/>
        </w:rPr>
      </w:pPr>
      <w:r>
        <w:rPr>
          <w:rFonts w:ascii="Times New Roman" w:hAnsi="Times New Roman" w:cs="Times New Roman"/>
        </w:rPr>
        <w:t>Logistic regression model</w:t>
      </w:r>
      <w:r>
        <w:rPr>
          <w:rFonts w:ascii="Times New Roman" w:hAnsi="Times New Roman" w:cs="Times New Roman"/>
        </w:rPr>
        <w:t>s achieved 93% classification accuracy, with high sensitivity (92.55%) and specificity (93.57%). Age and gender emerged as significant covariates, aligning with global epidemiological data showing higher suicide risk among males and middle-aged adults (Wor</w:t>
      </w:r>
      <w:r>
        <w:rPr>
          <w:rFonts w:ascii="Times New Roman" w:hAnsi="Times New Roman" w:cs="Times New Roman"/>
        </w:rPr>
        <w:t xml:space="preserve">ld Health Organisation, 2019). These results validate the decision-support potential of informatics systems in suicide prevention, as advocated by Mann </w:t>
      </w:r>
      <w:r>
        <w:rPr>
          <w:rFonts w:ascii="Times New Roman" w:hAnsi="Times New Roman" w:cs="Times New Roman"/>
          <w:i/>
          <w:iCs/>
        </w:rPr>
        <w:t>et al.</w:t>
      </w:r>
      <w:r>
        <w:rPr>
          <w:rFonts w:ascii="Times New Roman" w:hAnsi="Times New Roman" w:cs="Times New Roman"/>
        </w:rPr>
        <w:t xml:space="preserve"> (2021). Power BI visualisations effectively illustrated temporal trends in risk levels, enabling </w:t>
      </w:r>
      <w:r>
        <w:rPr>
          <w:rFonts w:ascii="Times New Roman" w:hAnsi="Times New Roman" w:cs="Times New Roman"/>
        </w:rPr>
        <w:t xml:space="preserve">identification of seasonal peaks in </w:t>
      </w:r>
      <w:r>
        <w:rPr>
          <w:rFonts w:ascii="Times New Roman" w:hAnsi="Times New Roman" w:cs="Times New Roman"/>
        </w:rPr>
        <w:lastRenderedPageBreak/>
        <w:t>suicidal ideation that could inform targeted intervention timing. The quantitative validation of these patterns is consolidated in Table 2, confirming the model’s robust predictive utility across critical metrics.</w:t>
      </w:r>
    </w:p>
    <w:p w:rsidR="001B6320" w:rsidRDefault="009A4046">
      <w:pPr>
        <w:spacing w:after="0" w:line="360" w:lineRule="auto"/>
        <w:jc w:val="both"/>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rPr>
        <w:t>2: Key Statistical Finding</w:t>
      </w:r>
    </w:p>
    <w:tbl>
      <w:tblPr>
        <w:tblW w:w="5000" w:type="pct"/>
        <w:tblCellMar>
          <w:left w:w="0" w:type="dxa"/>
          <w:right w:w="0" w:type="dxa"/>
        </w:tblCellMar>
        <w:tblLook w:val="0600" w:firstRow="0" w:lastRow="0" w:firstColumn="0" w:lastColumn="0" w:noHBand="1" w:noVBand="1"/>
      </w:tblPr>
      <w:tblGrid>
        <w:gridCol w:w="2640"/>
        <w:gridCol w:w="2234"/>
        <w:gridCol w:w="2234"/>
        <w:gridCol w:w="2232"/>
      </w:tblGrid>
      <w:tr w:rsidR="001B6320">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Metric</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Value</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Significance</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Analysis Method</w:t>
            </w:r>
          </w:p>
        </w:tc>
      </w:tr>
      <w:tr w:rsidR="001B6320">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DAST-C-SSRS Correlation</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r = 0.265*</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Weak positive link (p&lt;0.05)</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Pearson Correlation</w:t>
            </w:r>
          </w:p>
        </w:tc>
      </w:tr>
      <w:tr w:rsidR="001B6320">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Model Accuracy</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93%</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High classification reliability</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Logistic Regression</w:t>
            </w:r>
          </w:p>
        </w:tc>
      </w:tr>
      <w:tr w:rsidR="001B6320">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AUC</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0.988</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 xml:space="preserve">Near-perfect risk </w:t>
            </w:r>
            <w:r>
              <w:rPr>
                <w:rFonts w:ascii="Times New Roman" w:hAnsi="Times New Roman" w:cs="Times New Roman"/>
              </w:rPr>
              <w:t>discrimination</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ROC Curve</w:t>
            </w:r>
          </w:p>
        </w:tc>
      </w:tr>
      <w:tr w:rsidR="001B6320">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Sensitivity</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92.55%</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Effective high-risk identification</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Logistic Regression</w:t>
            </w:r>
          </w:p>
        </w:tc>
      </w:tr>
      <w:tr w:rsidR="001B6320">
        <w:tc>
          <w:tcPr>
            <w:tcW w:w="1413"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Specificity</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93.57%</w:t>
            </w:r>
          </w:p>
        </w:tc>
        <w:tc>
          <w:tcPr>
            <w:tcW w:w="1196"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Effective low-risk identification</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Logistic Regression</w:t>
            </w:r>
          </w:p>
        </w:tc>
      </w:tr>
    </w:tbl>
    <w:p w:rsidR="001B6320" w:rsidRDefault="009A4046">
      <w:pPr>
        <w:spacing w:line="360" w:lineRule="auto"/>
        <w:jc w:val="both"/>
        <w:rPr>
          <w:rFonts w:ascii="Times New Roman" w:hAnsi="Times New Roman" w:cs="Times New Roman"/>
          <w:i/>
          <w:iCs/>
        </w:rPr>
      </w:pPr>
      <w:r>
        <w:rPr>
          <w:rFonts w:ascii="Times New Roman" w:hAnsi="Times New Roman" w:cs="Times New Roman"/>
          <w:i/>
          <w:iCs/>
        </w:rPr>
        <w:t>Note: AUC = Area Under the Curve</w:t>
      </w:r>
    </w:p>
    <w:p w:rsidR="001B6320" w:rsidRDefault="009A4046">
      <w:pPr>
        <w:spacing w:line="360" w:lineRule="auto"/>
        <w:jc w:val="both"/>
        <w:rPr>
          <w:rFonts w:ascii="Times New Roman" w:hAnsi="Times New Roman" w:cs="Times New Roman"/>
        </w:rPr>
      </w:pPr>
      <w:r>
        <w:rPr>
          <w:rFonts w:ascii="Times New Roman" w:hAnsi="Times New Roman" w:cs="Times New Roman"/>
        </w:rPr>
        <w:t xml:space="preserve">Statistical validation confirmed a significant </w:t>
      </w:r>
      <w:r>
        <w:rPr>
          <w:rFonts w:ascii="Times New Roman" w:hAnsi="Times New Roman" w:cs="Times New Roman"/>
        </w:rPr>
        <w:t xml:space="preserve">correlation between substance abuse severity (DAST) and suicide risk (C-SSRS), with the model demonstrating exceptional predictive power (AUC=0.988) and clinical reliability (accuracy=93%). </w:t>
      </w:r>
    </w:p>
    <w:p w:rsidR="001B6320" w:rsidRDefault="009A4046">
      <w:pPr>
        <w:spacing w:line="360" w:lineRule="auto"/>
        <w:jc w:val="both"/>
        <w:rPr>
          <w:rFonts w:ascii="Times New Roman" w:hAnsi="Times New Roman" w:cs="Times New Roman"/>
          <w:b/>
          <w:bCs/>
        </w:rPr>
      </w:pPr>
      <w:r>
        <w:rPr>
          <w:rFonts w:ascii="Times New Roman" w:hAnsi="Times New Roman" w:cs="Times New Roman"/>
          <w:b/>
          <w:bCs/>
        </w:rPr>
        <w:t>At-Risk Profiles</w:t>
      </w:r>
    </w:p>
    <w:p w:rsidR="001B6320" w:rsidRDefault="009A4046">
      <w:pPr>
        <w:spacing w:line="360" w:lineRule="auto"/>
        <w:jc w:val="both"/>
        <w:rPr>
          <w:rFonts w:ascii="Times New Roman" w:hAnsi="Times New Roman" w:cs="Times New Roman"/>
        </w:rPr>
      </w:pPr>
      <w:r>
        <w:rPr>
          <w:rFonts w:ascii="Times New Roman" w:hAnsi="Times New Roman" w:cs="Times New Roman"/>
        </w:rPr>
        <w:t>Distinct risk profiles emerged from the analysis</w:t>
      </w:r>
      <w:r>
        <w:rPr>
          <w:rFonts w:ascii="Times New Roman" w:hAnsi="Times New Roman" w:cs="Times New Roman"/>
        </w:rPr>
        <w:t>. Individuals scoring ≥6 on DAST and ≥4 on C-SSRS represented 18.7% of the sample but accounted for 89.2% of historical suicide attempts within the dataset. This subgroup exhibited overlapping vulnerabilities, including unemployment (72.3%), prior psychiat</w:t>
      </w:r>
      <w:r>
        <w:rPr>
          <w:rFonts w:ascii="Times New Roman" w:hAnsi="Times New Roman" w:cs="Times New Roman"/>
        </w:rPr>
        <w:t>ric hospitalisation (64.1%), and chronic pain conditions (58.9%), mirroring findings from Alkhatib and Obita (2024) regarding comorbidities in high-risk populations. Geographic mapping revealed clustering of high-risk cases in urban areas with limited ment</w:t>
      </w:r>
      <w:r>
        <w:rPr>
          <w:rFonts w:ascii="Times New Roman" w:hAnsi="Times New Roman" w:cs="Times New Roman"/>
        </w:rPr>
        <w:t xml:space="preserve">al health services, highlighting healthcare access disparities as a modifiable risk factor, as also related by Pirkis </w:t>
      </w:r>
      <w:r>
        <w:rPr>
          <w:rFonts w:ascii="Times New Roman" w:hAnsi="Times New Roman" w:cs="Times New Roman"/>
          <w:i/>
          <w:iCs/>
        </w:rPr>
        <w:t xml:space="preserve">et al. </w:t>
      </w:r>
      <w:r>
        <w:rPr>
          <w:rFonts w:ascii="Times New Roman" w:hAnsi="Times New Roman" w:cs="Times New Roman"/>
        </w:rPr>
        <w:t>(2024). Table 3 synthesises the defining characteristics of this critical subgroup, quantifying their disproportionate burden and c</w:t>
      </w:r>
      <w:r>
        <w:rPr>
          <w:rFonts w:ascii="Times New Roman" w:hAnsi="Times New Roman" w:cs="Times New Roman"/>
        </w:rPr>
        <w:t>omorbidity landscape</w:t>
      </w:r>
      <w:r w:rsidR="00EC53EA">
        <w:rPr>
          <w:rFonts w:ascii="Times New Roman" w:hAnsi="Times New Roman" w:cs="Times New Roman"/>
        </w:rPr>
        <w:t>.</w:t>
      </w:r>
    </w:p>
    <w:p w:rsidR="00EC53EA" w:rsidRDefault="00EC53EA">
      <w:pPr>
        <w:spacing w:line="360" w:lineRule="auto"/>
        <w:jc w:val="both"/>
        <w:rPr>
          <w:rFonts w:ascii="Times New Roman" w:hAnsi="Times New Roman" w:cs="Times New Roman"/>
        </w:rPr>
      </w:pPr>
    </w:p>
    <w:p w:rsidR="001B6320" w:rsidRDefault="009A4046">
      <w:pPr>
        <w:spacing w:after="0" w:line="360" w:lineRule="auto"/>
        <w:jc w:val="both"/>
        <w:rPr>
          <w:rFonts w:ascii="Times New Roman" w:hAnsi="Times New Roman" w:cs="Times New Roman"/>
        </w:rPr>
      </w:pPr>
      <w:r>
        <w:rPr>
          <w:rFonts w:ascii="Times New Roman" w:hAnsi="Times New Roman" w:cs="Times New Roman"/>
        </w:rPr>
        <w:lastRenderedPageBreak/>
        <w:t>Table 3: High-Risk Subgroup Profile (DAST ≥6 &amp; C-SSRS ≥4)</w:t>
      </w:r>
    </w:p>
    <w:tbl>
      <w:tblPr>
        <w:tblW w:w="5000" w:type="pct"/>
        <w:tblCellMar>
          <w:left w:w="0" w:type="dxa"/>
          <w:right w:w="0" w:type="dxa"/>
        </w:tblCellMar>
        <w:tblLook w:val="0600" w:firstRow="0" w:lastRow="0" w:firstColumn="0" w:lastColumn="0" w:noHBand="1" w:noVBand="1"/>
      </w:tblPr>
      <w:tblGrid>
        <w:gridCol w:w="3474"/>
        <w:gridCol w:w="2933"/>
        <w:gridCol w:w="2933"/>
      </w:tblGrid>
      <w:tr w:rsidR="001B6320">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jc w:val="center"/>
              <w:rPr>
                <w:rFonts w:ascii="Times New Roman" w:hAnsi="Times New Roman" w:cs="Times New Roman"/>
                <w:b/>
                <w:bCs/>
              </w:rPr>
            </w:pPr>
            <w:r>
              <w:rPr>
                <w:rFonts w:ascii="Times New Roman" w:hAnsi="Times New Roman" w:cs="Times New Roman"/>
                <w:b/>
                <w:bCs/>
              </w:rPr>
              <w:t>Characteristic</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center"/>
              <w:rPr>
                <w:rFonts w:ascii="Times New Roman" w:hAnsi="Times New Roman" w:cs="Times New Roman"/>
                <w:b/>
                <w:bCs/>
              </w:rPr>
            </w:pPr>
            <w:r>
              <w:rPr>
                <w:rFonts w:ascii="Times New Roman" w:hAnsi="Times New Roman" w:cs="Times New Roman"/>
                <w:b/>
                <w:bCs/>
              </w:rPr>
              <w:t>Prevalence</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center"/>
              <w:rPr>
                <w:rFonts w:ascii="Times New Roman" w:hAnsi="Times New Roman" w:cs="Times New Roman"/>
                <w:b/>
                <w:bCs/>
              </w:rPr>
            </w:pPr>
            <w:r>
              <w:rPr>
                <w:rFonts w:ascii="Times New Roman" w:hAnsi="Times New Roman" w:cs="Times New Roman"/>
                <w:b/>
                <w:bCs/>
              </w:rPr>
              <w:t>Clinical Relevance</w:t>
            </w:r>
          </w:p>
        </w:tc>
      </w:tr>
      <w:tr w:rsidR="001B6320">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Sample Representation</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center"/>
              <w:rPr>
                <w:rFonts w:ascii="Times New Roman" w:hAnsi="Times New Roman" w:cs="Times New Roman"/>
              </w:rPr>
            </w:pPr>
            <w:r>
              <w:rPr>
                <w:rFonts w:ascii="Times New Roman" w:hAnsi="Times New Roman" w:cs="Times New Roman"/>
              </w:rPr>
              <w:t>18.7%</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Disproportionate risk burden</w:t>
            </w:r>
          </w:p>
        </w:tc>
      </w:tr>
      <w:tr w:rsidR="001B6320">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Historical Suicide Attempts</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center"/>
              <w:rPr>
                <w:rFonts w:ascii="Times New Roman" w:hAnsi="Times New Roman" w:cs="Times New Roman"/>
              </w:rPr>
            </w:pPr>
            <w:r>
              <w:rPr>
                <w:rFonts w:ascii="Times New Roman" w:hAnsi="Times New Roman" w:cs="Times New Roman"/>
              </w:rPr>
              <w:t>89.2%</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Critical intervention target</w:t>
            </w:r>
          </w:p>
        </w:tc>
      </w:tr>
      <w:tr w:rsidR="001B6320">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Unemployment</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center"/>
              <w:rPr>
                <w:rFonts w:ascii="Times New Roman" w:hAnsi="Times New Roman" w:cs="Times New Roman"/>
              </w:rPr>
            </w:pPr>
            <w:r>
              <w:rPr>
                <w:rFonts w:ascii="Times New Roman" w:hAnsi="Times New Roman" w:cs="Times New Roman"/>
              </w:rPr>
              <w:t>72.3%</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Socioeconomic vulnerability marker</w:t>
            </w:r>
          </w:p>
        </w:tc>
      </w:tr>
      <w:tr w:rsidR="001B6320">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Prior Psychiatric Hospitalisation</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center"/>
              <w:rPr>
                <w:rFonts w:ascii="Times New Roman" w:hAnsi="Times New Roman" w:cs="Times New Roman"/>
              </w:rPr>
            </w:pPr>
            <w:r>
              <w:rPr>
                <w:rFonts w:ascii="Times New Roman" w:hAnsi="Times New Roman" w:cs="Times New Roman"/>
              </w:rPr>
              <w:t>64.1%</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Comorbidity indicator</w:t>
            </w:r>
          </w:p>
        </w:tc>
      </w:tr>
      <w:tr w:rsidR="001B6320">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Chronic Pain Conditions</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center"/>
              <w:rPr>
                <w:rFonts w:ascii="Times New Roman" w:hAnsi="Times New Roman" w:cs="Times New Roman"/>
              </w:rPr>
            </w:pPr>
            <w:r>
              <w:rPr>
                <w:rFonts w:ascii="Times New Roman" w:hAnsi="Times New Roman" w:cs="Times New Roman"/>
              </w:rPr>
              <w:t>58.9%</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jc w:val="both"/>
              <w:rPr>
                <w:rFonts w:ascii="Times New Roman" w:hAnsi="Times New Roman" w:cs="Times New Roman"/>
              </w:rPr>
            </w:pPr>
            <w:r>
              <w:rPr>
                <w:rFonts w:ascii="Times New Roman" w:hAnsi="Times New Roman" w:cs="Times New Roman"/>
              </w:rPr>
              <w:t>Physical health comorbidity</w:t>
            </w:r>
          </w:p>
        </w:tc>
      </w:tr>
    </w:tbl>
    <w:p w:rsidR="001B6320" w:rsidRDefault="001B6320">
      <w:pPr>
        <w:spacing w:after="0" w:line="360" w:lineRule="auto"/>
        <w:jc w:val="both"/>
        <w:rPr>
          <w:rFonts w:ascii="Times New Roman" w:hAnsi="Times New Roman" w:cs="Times New Roman"/>
          <w:b/>
          <w:bCs/>
        </w:rPr>
      </w:pPr>
    </w:p>
    <w:p w:rsidR="001B6320" w:rsidRDefault="009A4046">
      <w:pPr>
        <w:spacing w:after="0" w:line="360" w:lineRule="auto"/>
        <w:jc w:val="both"/>
        <w:rPr>
          <w:rFonts w:ascii="Times New Roman" w:hAnsi="Times New Roman" w:cs="Times New Roman"/>
        </w:rPr>
      </w:pPr>
      <w:r>
        <w:rPr>
          <w:rFonts w:ascii="Times New Roman" w:hAnsi="Times New Roman" w:cs="Times New Roman"/>
        </w:rPr>
        <w:t xml:space="preserve">It was revealed that </w:t>
      </w:r>
      <w:r>
        <w:rPr>
          <w:rFonts w:ascii="Times New Roman" w:hAnsi="Times New Roman" w:cs="Times New Roman"/>
        </w:rPr>
        <w:t>High-risk individuals (DAST≥6, C-SSRS≥4) constituted 18.7% of the cohort but accounted for 89.2% of suicide attempts, exhibiting intersecting vulnerabilities including unemployment (72.3%) and psychiatric hospitalisations (64.1%).</w:t>
      </w:r>
    </w:p>
    <w:p w:rsidR="001B6320" w:rsidRDefault="009A4046">
      <w:pPr>
        <w:spacing w:line="360" w:lineRule="auto"/>
        <w:jc w:val="both"/>
        <w:rPr>
          <w:rFonts w:ascii="Times New Roman" w:hAnsi="Times New Roman" w:cs="Times New Roman"/>
          <w:b/>
          <w:bCs/>
        </w:rPr>
      </w:pPr>
      <w:r>
        <w:rPr>
          <w:rFonts w:ascii="Times New Roman" w:hAnsi="Times New Roman" w:cs="Times New Roman"/>
          <w:b/>
          <w:bCs/>
        </w:rPr>
        <w:t>DISCUSSION</w:t>
      </w:r>
    </w:p>
    <w:p w:rsidR="001B6320" w:rsidRDefault="009A4046">
      <w:pPr>
        <w:spacing w:line="360" w:lineRule="auto"/>
        <w:jc w:val="both"/>
        <w:rPr>
          <w:rFonts w:ascii="Times New Roman" w:hAnsi="Times New Roman" w:cs="Times New Roman"/>
        </w:rPr>
      </w:pPr>
      <w:r>
        <w:rPr>
          <w:rFonts w:ascii="Times New Roman" w:hAnsi="Times New Roman" w:cs="Times New Roman"/>
        </w:rPr>
        <w:t>This study dem</w:t>
      </w:r>
      <w:r>
        <w:rPr>
          <w:rFonts w:ascii="Times New Roman" w:hAnsi="Times New Roman" w:cs="Times New Roman"/>
        </w:rPr>
        <w:t>onstrates the practical viability and significant predictive capacity of integrating the Drug Abuse Screening Test (DAST) and Columbia-Suicide Severity Rating Scale (C-SSRS) within the DHIS2 platform for community-based suicide prevention. The logistic reg</w:t>
      </w:r>
      <w:r>
        <w:rPr>
          <w:rFonts w:ascii="Times New Roman" w:hAnsi="Times New Roman" w:cs="Times New Roman"/>
        </w:rPr>
        <w:t>ression model achieved 93% classification accuracy with an exceptional area under the curve (AUC) of 0.988, indicating robust discrimination between high-risk and low-risk individuals. These results substantially advance the field of community health infor</w:t>
      </w:r>
      <w:r>
        <w:rPr>
          <w:rFonts w:ascii="Times New Roman" w:hAnsi="Times New Roman" w:cs="Times New Roman"/>
        </w:rPr>
        <w:t xml:space="preserve">matics by providing empirical evidence that validated clinical instruments can be effectively operationalised within open-source health information systems, addressing a critical implementation gap identified by Mann </w:t>
      </w:r>
      <w:r>
        <w:rPr>
          <w:rFonts w:ascii="Times New Roman" w:hAnsi="Times New Roman" w:cs="Times New Roman"/>
          <w:i/>
          <w:iCs/>
        </w:rPr>
        <w:t>et al.</w:t>
      </w:r>
      <w:r>
        <w:rPr>
          <w:rFonts w:ascii="Times New Roman" w:hAnsi="Times New Roman" w:cs="Times New Roman"/>
        </w:rPr>
        <w:t xml:space="preserve"> (2021).</w:t>
      </w:r>
    </w:p>
    <w:p w:rsidR="001B6320" w:rsidRDefault="009A4046">
      <w:pPr>
        <w:spacing w:line="360" w:lineRule="auto"/>
        <w:jc w:val="both"/>
        <w:rPr>
          <w:rFonts w:ascii="Times New Roman" w:hAnsi="Times New Roman" w:cs="Times New Roman"/>
        </w:rPr>
      </w:pPr>
      <w:r>
        <w:rPr>
          <w:rFonts w:ascii="Times New Roman" w:hAnsi="Times New Roman" w:cs="Times New Roman"/>
        </w:rPr>
        <w:t>The observed weak positi</w:t>
      </w:r>
      <w:r>
        <w:rPr>
          <w:rFonts w:ascii="Times New Roman" w:hAnsi="Times New Roman" w:cs="Times New Roman"/>
        </w:rPr>
        <w:t xml:space="preserve">ve correlation (r=0.265, p&lt;0.05) between substance abuse severity and suicide risk aligns with Johnson </w:t>
      </w:r>
      <w:r>
        <w:rPr>
          <w:rFonts w:ascii="Times New Roman" w:hAnsi="Times New Roman" w:cs="Times New Roman"/>
          <w:i/>
          <w:iCs/>
        </w:rPr>
        <w:t>et al.</w:t>
      </w:r>
      <w:r>
        <w:rPr>
          <w:rFonts w:ascii="Times New Roman" w:hAnsi="Times New Roman" w:cs="Times New Roman"/>
        </w:rPr>
        <w:t xml:space="preserve"> (2025), reinforcing substance abuse as a modifiable risk factor requiring concurrent assessment. However, this modest correlation highlights the m</w:t>
      </w:r>
      <w:r>
        <w:rPr>
          <w:rFonts w:ascii="Times New Roman" w:hAnsi="Times New Roman" w:cs="Times New Roman"/>
        </w:rPr>
        <w:t>ultifactorial nature of suicide risk, consistent with Chandler’s (2020) assertion that socioeconomic determinants significantly mediate the relationship between individual risk factors and suicidal outcomes. The high-risk subgroup analysis revealed that in</w:t>
      </w:r>
      <w:r>
        <w:rPr>
          <w:rFonts w:ascii="Times New Roman" w:hAnsi="Times New Roman" w:cs="Times New Roman"/>
        </w:rPr>
        <w:t xml:space="preserve">dividuals scoring ≥6 on DAST and ≥4 on C-SSRS, while constituting only 18.7% of the sample, accounted for 89.2% of historical suicide attempts. This subgroup exhibited pronounced comorbidities, including </w:t>
      </w:r>
      <w:r>
        <w:rPr>
          <w:rFonts w:ascii="Times New Roman" w:hAnsi="Times New Roman" w:cs="Times New Roman"/>
        </w:rPr>
        <w:lastRenderedPageBreak/>
        <w:t>unemployment (72.3%), prior psychiatric hospitalisat</w:t>
      </w:r>
      <w:r>
        <w:rPr>
          <w:rFonts w:ascii="Times New Roman" w:hAnsi="Times New Roman" w:cs="Times New Roman"/>
        </w:rPr>
        <w:t>ion (64.1%), and chronic pain (58.9%), mirroring Alkhatib and Obita´s (2024) findings regarding overlapping vulnerabilities in marginalised populations.</w:t>
      </w:r>
    </w:p>
    <w:p w:rsidR="00A700CA" w:rsidRDefault="009A4046">
      <w:pPr>
        <w:spacing w:line="360" w:lineRule="auto"/>
        <w:jc w:val="both"/>
        <w:rPr>
          <w:rFonts w:ascii="Times New Roman" w:hAnsi="Times New Roman" w:cs="Times New Roman"/>
        </w:rPr>
      </w:pPr>
      <w:r>
        <w:rPr>
          <w:rFonts w:ascii="Times New Roman" w:hAnsi="Times New Roman" w:cs="Times New Roman"/>
        </w:rPr>
        <w:t xml:space="preserve">Technically, this research confirms DHIS2’s utility for aggregating and visualising suicide risk data, </w:t>
      </w:r>
      <w:r>
        <w:rPr>
          <w:rFonts w:ascii="Times New Roman" w:hAnsi="Times New Roman" w:cs="Times New Roman"/>
        </w:rPr>
        <w:t xml:space="preserve">though significant implementation barriers were encountered. The 47-minute average data synchronisation delay between PostgreSQL and DHIS2 compromised real-time intervention capabilities, echoing infrastructure limitations reported by Alimi </w:t>
      </w:r>
      <w:r>
        <w:rPr>
          <w:rFonts w:ascii="Times New Roman" w:hAnsi="Times New Roman" w:cs="Times New Roman"/>
          <w:i/>
          <w:iCs/>
        </w:rPr>
        <w:t>et al.</w:t>
      </w:r>
      <w:r>
        <w:rPr>
          <w:rFonts w:ascii="Times New Roman" w:hAnsi="Times New Roman" w:cs="Times New Roman"/>
        </w:rPr>
        <w:t xml:space="preserve"> (2025) i</w:t>
      </w:r>
      <w:r>
        <w:rPr>
          <w:rFonts w:ascii="Times New Roman" w:hAnsi="Times New Roman" w:cs="Times New Roman"/>
        </w:rPr>
        <w:t>n Nigeri</w:t>
      </w:r>
      <w:r w:rsidR="00A700CA">
        <w:rPr>
          <w:rFonts w:ascii="Times New Roman" w:hAnsi="Times New Roman" w:cs="Times New Roman"/>
        </w:rPr>
        <w:t>an public health programmes. The</w:t>
      </w:r>
      <w:r>
        <w:rPr>
          <w:rFonts w:ascii="Times New Roman" w:hAnsi="Times New Roman" w:cs="Times New Roman"/>
        </w:rPr>
        <w:t xml:space="preserve"> reliance on Power BI for advanced visualisations, while effective for temporal trend analysis, highlights DHIS2’s current dashboard limitations, a finding contrasting with Yogesh and Karthikeya’s (2022) optimistic p</w:t>
      </w:r>
      <w:r>
        <w:rPr>
          <w:rFonts w:ascii="Times New Roman" w:hAnsi="Times New Roman" w:cs="Times New Roman"/>
        </w:rPr>
        <w:t>rojections about open-source platforms’ readiness for complex behavioural health surveillance. When contextualised within global literature, three critical divergences emerge.</w:t>
      </w:r>
    </w:p>
    <w:p w:rsidR="001B6320" w:rsidRDefault="009A4046">
      <w:pPr>
        <w:spacing w:line="360" w:lineRule="auto"/>
        <w:jc w:val="both"/>
        <w:rPr>
          <w:rFonts w:ascii="Times New Roman" w:hAnsi="Times New Roman" w:cs="Times New Roman"/>
        </w:rPr>
      </w:pPr>
      <w:r>
        <w:rPr>
          <w:rFonts w:ascii="Times New Roman" w:hAnsi="Times New Roman" w:cs="Times New Roman"/>
        </w:rPr>
        <w:t xml:space="preserve"> Firstly, our model’s 93% accuracy exceeds the 72-85% range reported by Johnson </w:t>
      </w:r>
      <w:r>
        <w:rPr>
          <w:rFonts w:ascii="Times New Roman" w:hAnsi="Times New Roman" w:cs="Times New Roman"/>
          <w:i/>
          <w:iCs/>
        </w:rPr>
        <w:t>e</w:t>
      </w:r>
      <w:r>
        <w:rPr>
          <w:rFonts w:ascii="Times New Roman" w:hAnsi="Times New Roman" w:cs="Times New Roman"/>
          <w:i/>
          <w:iCs/>
        </w:rPr>
        <w:t>t al.</w:t>
      </w:r>
      <w:r>
        <w:rPr>
          <w:rFonts w:ascii="Times New Roman" w:hAnsi="Times New Roman" w:cs="Times New Roman"/>
        </w:rPr>
        <w:t xml:space="preserve"> (2025) for standalone DAST implementation, suggesting synergistic value in instrument integration. Secondly, the urban clustering of high-risk cases supports Pirkis </w:t>
      </w:r>
      <w:r>
        <w:rPr>
          <w:rFonts w:ascii="Times New Roman" w:hAnsi="Times New Roman" w:cs="Times New Roman"/>
          <w:i/>
          <w:iCs/>
        </w:rPr>
        <w:t>et al</w:t>
      </w:r>
      <w:r>
        <w:rPr>
          <w:rFonts w:ascii="Times New Roman" w:hAnsi="Times New Roman" w:cs="Times New Roman"/>
        </w:rPr>
        <w:t>.’s (2024) emphasis on geographic health access disparities as structural determ</w:t>
      </w:r>
      <w:r>
        <w:rPr>
          <w:rFonts w:ascii="Times New Roman" w:hAnsi="Times New Roman" w:cs="Times New Roman"/>
        </w:rPr>
        <w:t xml:space="preserve">inants, yet contradicts assumptions that rural isolation primarily drives suicide vulnerability in high-income countries. Thirdly, while Mann </w:t>
      </w:r>
      <w:r>
        <w:rPr>
          <w:rFonts w:ascii="Times New Roman" w:hAnsi="Times New Roman" w:cs="Times New Roman"/>
          <w:i/>
          <w:iCs/>
        </w:rPr>
        <w:t>et al.</w:t>
      </w:r>
      <w:r>
        <w:rPr>
          <w:rFonts w:ascii="Times New Roman" w:hAnsi="Times New Roman" w:cs="Times New Roman"/>
        </w:rPr>
        <w:t xml:space="preserve"> (2021) advocate universal screening, our data indicate that resource-constrained settings may benefit more </w:t>
      </w:r>
      <w:r>
        <w:rPr>
          <w:rFonts w:ascii="Times New Roman" w:hAnsi="Times New Roman" w:cs="Times New Roman"/>
        </w:rPr>
        <w:t xml:space="preserve">from targeted screening of subgroups with unemployment or chronic pain, aligning with Alimi </w:t>
      </w:r>
      <w:r>
        <w:rPr>
          <w:rFonts w:ascii="Times New Roman" w:hAnsi="Times New Roman" w:cs="Times New Roman"/>
          <w:i/>
          <w:iCs/>
        </w:rPr>
        <w:t>et al</w:t>
      </w:r>
      <w:r>
        <w:rPr>
          <w:rFonts w:ascii="Times New Roman" w:hAnsi="Times New Roman" w:cs="Times New Roman"/>
        </w:rPr>
        <w:t xml:space="preserve">.’s (2024) findings from stroke survivor populations in Nigeria. </w:t>
      </w:r>
    </w:p>
    <w:p w:rsidR="00283686" w:rsidRDefault="009A4046">
      <w:pPr>
        <w:spacing w:line="360" w:lineRule="auto"/>
        <w:jc w:val="both"/>
        <w:rPr>
          <w:rFonts w:ascii="Times New Roman" w:hAnsi="Times New Roman" w:cs="Times New Roman"/>
        </w:rPr>
      </w:pPr>
      <w:r>
        <w:rPr>
          <w:rFonts w:ascii="Times New Roman" w:hAnsi="Times New Roman" w:cs="Times New Roman"/>
        </w:rPr>
        <w:t>Furthermore, a significant limitation involves the cultural generalisability of DAST and C-SS</w:t>
      </w:r>
      <w:r>
        <w:rPr>
          <w:rFonts w:ascii="Times New Roman" w:hAnsi="Times New Roman" w:cs="Times New Roman"/>
        </w:rPr>
        <w:t xml:space="preserve">RS. Our sample drawn from Midwestern United States communities differs substantially from populations where Stockton </w:t>
      </w:r>
      <w:r>
        <w:rPr>
          <w:rFonts w:ascii="Times New Roman" w:hAnsi="Times New Roman" w:cs="Times New Roman"/>
          <w:i/>
          <w:iCs/>
        </w:rPr>
        <w:t>et al</w:t>
      </w:r>
      <w:r>
        <w:rPr>
          <w:rFonts w:ascii="Times New Roman" w:hAnsi="Times New Roman" w:cs="Times New Roman"/>
        </w:rPr>
        <w:t xml:space="preserve">. (2025) observed reduced screening tool validity in South Africa. Alabi </w:t>
      </w:r>
      <w:r>
        <w:rPr>
          <w:rFonts w:ascii="Times New Roman" w:hAnsi="Times New Roman" w:cs="Times New Roman"/>
          <w:i/>
          <w:iCs/>
        </w:rPr>
        <w:t>et al.</w:t>
      </w:r>
      <w:r>
        <w:rPr>
          <w:rFonts w:ascii="Times New Roman" w:hAnsi="Times New Roman" w:cs="Times New Roman"/>
        </w:rPr>
        <w:t xml:space="preserve"> (2020) demonstrated that stigma-induced underreporting</w:t>
      </w:r>
      <w:r>
        <w:rPr>
          <w:rFonts w:ascii="Times New Roman" w:hAnsi="Times New Roman" w:cs="Times New Roman"/>
        </w:rPr>
        <w:t xml:space="preserve"> in Nigeria necessitates local instrument adaptation, a challenge not addressed in our current implementation. Future deployments must therefore incorporate culturally responsive modifications, particularly for diverse racial/ethnic groups within the same </w:t>
      </w:r>
      <w:r>
        <w:rPr>
          <w:rFonts w:ascii="Times New Roman" w:hAnsi="Times New Roman" w:cs="Times New Roman"/>
        </w:rPr>
        <w:t xml:space="preserve">health system. </w:t>
      </w:r>
    </w:p>
    <w:p w:rsidR="001B6320" w:rsidRDefault="009A4046">
      <w:pPr>
        <w:spacing w:line="360" w:lineRule="auto"/>
        <w:jc w:val="both"/>
        <w:rPr>
          <w:rFonts w:ascii="Times New Roman" w:hAnsi="Times New Roman" w:cs="Times New Roman"/>
        </w:rPr>
      </w:pPr>
      <w:r>
        <w:rPr>
          <w:rFonts w:ascii="Times New Roman" w:hAnsi="Times New Roman" w:cs="Times New Roman"/>
        </w:rPr>
        <w:t>In addition, policy implications are substantial</w:t>
      </w:r>
      <w:r w:rsidR="00283686">
        <w:rPr>
          <w:rFonts w:ascii="Times New Roman" w:hAnsi="Times New Roman" w:cs="Times New Roman"/>
        </w:rPr>
        <w:t xml:space="preserve"> (</w:t>
      </w:r>
      <w:r w:rsidR="00283686" w:rsidRPr="00283686">
        <w:rPr>
          <w:rFonts w:ascii="Times New Roman" w:hAnsi="Times New Roman" w:cs="Times New Roman"/>
        </w:rPr>
        <w:t xml:space="preserve">Lima, </w:t>
      </w:r>
      <w:proofErr w:type="spellStart"/>
      <w:r w:rsidR="00283686" w:rsidRPr="00283686">
        <w:rPr>
          <w:rFonts w:ascii="Times New Roman" w:hAnsi="Times New Roman" w:cs="Times New Roman"/>
        </w:rPr>
        <w:t>Sampaio</w:t>
      </w:r>
      <w:proofErr w:type="spellEnd"/>
      <w:r w:rsidR="00283686" w:rsidRPr="00283686">
        <w:rPr>
          <w:rFonts w:ascii="Times New Roman" w:hAnsi="Times New Roman" w:cs="Times New Roman"/>
        </w:rPr>
        <w:t xml:space="preserve"> &amp; Souza, 2024</w:t>
      </w:r>
      <w:r w:rsidR="00283686">
        <w:rPr>
          <w:rFonts w:ascii="Times New Roman" w:hAnsi="Times New Roman" w:cs="Times New Roman"/>
        </w:rPr>
        <w:t>)</w:t>
      </w:r>
      <w:r>
        <w:rPr>
          <w:rFonts w:ascii="Times New Roman" w:hAnsi="Times New Roman" w:cs="Times New Roman"/>
        </w:rPr>
        <w:t xml:space="preserve">. The 93% classification accuracy meets thresholds for clinical utility proposed by Posner </w:t>
      </w:r>
      <w:r>
        <w:rPr>
          <w:rFonts w:ascii="Times New Roman" w:hAnsi="Times New Roman" w:cs="Times New Roman"/>
          <w:i/>
          <w:iCs/>
        </w:rPr>
        <w:t>et al.</w:t>
      </w:r>
      <w:r>
        <w:rPr>
          <w:rFonts w:ascii="Times New Roman" w:hAnsi="Times New Roman" w:cs="Times New Roman"/>
        </w:rPr>
        <w:t xml:space="preserve"> (2011), supporting calls by Wasserman </w:t>
      </w:r>
      <w:r>
        <w:rPr>
          <w:rFonts w:ascii="Times New Roman" w:hAnsi="Times New Roman" w:cs="Times New Roman"/>
          <w:i/>
          <w:iCs/>
        </w:rPr>
        <w:t>et al.</w:t>
      </w:r>
      <w:r>
        <w:rPr>
          <w:rFonts w:ascii="Times New Roman" w:hAnsi="Times New Roman" w:cs="Times New Roman"/>
        </w:rPr>
        <w:t xml:space="preserve"> (2020) for integrating informatics approaches into</w:t>
      </w:r>
      <w:r>
        <w:rPr>
          <w:rFonts w:ascii="Times New Roman" w:hAnsi="Times New Roman" w:cs="Times New Roman"/>
        </w:rPr>
        <w:t xml:space="preserve"> national </w:t>
      </w:r>
      <w:r>
        <w:rPr>
          <w:rFonts w:ascii="Times New Roman" w:hAnsi="Times New Roman" w:cs="Times New Roman"/>
        </w:rPr>
        <w:lastRenderedPageBreak/>
        <w:t>suicide prevention strategies. However, sustainability requires addressing technical barriers through optimised API configurations and expanded server capacity. The Randolph County Caring Community Partnership model provides a transferable framew</w:t>
      </w:r>
      <w:r>
        <w:rPr>
          <w:rFonts w:ascii="Times New Roman" w:hAnsi="Times New Roman" w:cs="Times New Roman"/>
        </w:rPr>
        <w:t>ork, though successful replication in regions like Indiana or Missouri necessitates tailored community engagement strategies accounting for local service infrastructures.</w:t>
      </w:r>
    </w:p>
    <w:p w:rsidR="001B6320" w:rsidRDefault="009A4046">
      <w:pPr>
        <w:spacing w:line="360" w:lineRule="auto"/>
        <w:jc w:val="both"/>
        <w:rPr>
          <w:rFonts w:ascii="Times New Roman" w:hAnsi="Times New Roman" w:cs="Times New Roman"/>
        </w:rPr>
      </w:pPr>
      <w:r>
        <w:rPr>
          <w:rFonts w:ascii="Times New Roman" w:hAnsi="Times New Roman" w:cs="Times New Roman"/>
        </w:rPr>
        <w:t>However, longitudinal research should next investigate whether this integrated approa</w:t>
      </w:r>
      <w:r>
        <w:rPr>
          <w:rFonts w:ascii="Times New Roman" w:hAnsi="Times New Roman" w:cs="Times New Roman"/>
        </w:rPr>
        <w:t>ch reduces actual suicide rates, not just risk identification fidelity. As Glozier, Morris and Schurer (2022) cautioned, digital innovations may improve surveillance without necessarily altering outcomes. Combining this methodology with direct intervention</w:t>
      </w:r>
      <w:r>
        <w:rPr>
          <w:rFonts w:ascii="Times New Roman" w:hAnsi="Times New Roman" w:cs="Times New Roman"/>
        </w:rPr>
        <w:t xml:space="preserve"> tracking, as advocated by the Columbia University Suicide Prevention Toolkit (2023), would strengthen causal inference regarding lives saved. Therefore, this study establishes that DHIS2-based integration of DAST and C-SSRS delivers clinically actionable </w:t>
      </w:r>
      <w:r>
        <w:rPr>
          <w:rFonts w:ascii="Times New Roman" w:hAnsi="Times New Roman" w:cs="Times New Roman"/>
        </w:rPr>
        <w:t>suicide risk prediction. The high accuracy rates validate its potential for community health programmes, though successful scale-up depends on resolving technical constraints and adapting instruments to local cultural contexts. These findings materially ad</w:t>
      </w:r>
      <w:r>
        <w:rPr>
          <w:rFonts w:ascii="Times New Roman" w:hAnsi="Times New Roman" w:cs="Times New Roman"/>
        </w:rPr>
        <w:t>vance the evidence base for digital public health strategies addressing the complex global suicide burden.</w:t>
      </w:r>
    </w:p>
    <w:p w:rsidR="001B6320" w:rsidRDefault="009A4046">
      <w:pPr>
        <w:spacing w:line="360" w:lineRule="auto"/>
        <w:rPr>
          <w:rFonts w:ascii="Times New Roman" w:hAnsi="Times New Roman" w:cs="Times New Roman"/>
          <w:b/>
          <w:bCs/>
        </w:rPr>
      </w:pPr>
      <w:r>
        <w:rPr>
          <w:rFonts w:ascii="Times New Roman" w:hAnsi="Times New Roman" w:cs="Times New Roman"/>
          <w:b/>
          <w:bCs/>
        </w:rPr>
        <w:t>FUTURE STEPS</w:t>
      </w:r>
    </w:p>
    <w:p w:rsidR="001B6320" w:rsidRDefault="009A4046">
      <w:pPr>
        <w:spacing w:line="360" w:lineRule="auto"/>
        <w:jc w:val="both"/>
        <w:rPr>
          <w:rFonts w:ascii="Times New Roman" w:hAnsi="Times New Roman" w:cs="Times New Roman"/>
        </w:rPr>
      </w:pPr>
      <w:r>
        <w:rPr>
          <w:rFonts w:ascii="Times New Roman" w:hAnsi="Times New Roman" w:cs="Times New Roman"/>
        </w:rPr>
        <w:t>Three critical areas require attention to advance this initiative. First, completing DHIS2 visualisations and integrating all survey for</w:t>
      </w:r>
      <w:r>
        <w:rPr>
          <w:rFonts w:ascii="Times New Roman" w:hAnsi="Times New Roman" w:cs="Times New Roman"/>
        </w:rPr>
        <w:t>ms will enhance data utility for frontline practitioners. The current reliance on Power BI, while effective, highlights the necessity for native DHIS2 functionality to ensure sustainability. Second, expanding collaborations with community organisations, pa</w:t>
      </w:r>
      <w:r>
        <w:rPr>
          <w:rFonts w:ascii="Times New Roman" w:hAnsi="Times New Roman" w:cs="Times New Roman"/>
        </w:rPr>
        <w:t>rticularly in regions like Indiana and Missouri, will facilitate real-world testing and refinement. The Randolph County Caring Community Partnership (RCCCP) model provides a proven template for such engagements, though adaptations may be needed for differe</w:t>
      </w:r>
      <w:r>
        <w:rPr>
          <w:rFonts w:ascii="Times New Roman" w:hAnsi="Times New Roman" w:cs="Times New Roman"/>
        </w:rPr>
        <w:t>nt demographic contexts. Third, longitudinal studies must evaluate whether this approach reduces suicide rates over time, as existing evidence primarily focuses on short-term risk identification. To operationalise these recommendations, Table 4 maps specif</w:t>
      </w:r>
      <w:r>
        <w:rPr>
          <w:rFonts w:ascii="Times New Roman" w:hAnsi="Times New Roman" w:cs="Times New Roman"/>
        </w:rPr>
        <w:t>ic implementation barriers to actionable solutions for scalability.</w:t>
      </w:r>
    </w:p>
    <w:p w:rsidR="001A1956" w:rsidRDefault="001A1956">
      <w:pPr>
        <w:spacing w:line="360" w:lineRule="auto"/>
        <w:jc w:val="both"/>
        <w:rPr>
          <w:rFonts w:ascii="Times New Roman" w:hAnsi="Times New Roman" w:cs="Times New Roman"/>
        </w:rPr>
      </w:pPr>
    </w:p>
    <w:p w:rsidR="001A1956" w:rsidRDefault="001A1956">
      <w:pPr>
        <w:spacing w:line="360" w:lineRule="auto"/>
        <w:jc w:val="both"/>
        <w:rPr>
          <w:rFonts w:ascii="Times New Roman" w:hAnsi="Times New Roman" w:cs="Times New Roman"/>
        </w:rPr>
      </w:pPr>
    </w:p>
    <w:p w:rsidR="001B6320" w:rsidRDefault="009A4046">
      <w:pPr>
        <w:spacing w:line="360" w:lineRule="auto"/>
        <w:rPr>
          <w:rFonts w:ascii="Times New Roman" w:hAnsi="Times New Roman" w:cs="Times New Roman"/>
        </w:rPr>
      </w:pPr>
      <w:r>
        <w:rPr>
          <w:rFonts w:ascii="Times New Roman" w:hAnsi="Times New Roman" w:cs="Times New Roman"/>
        </w:rPr>
        <w:lastRenderedPageBreak/>
        <w:t>Table 4: Implementation Challenges &amp; Mitigation Strategies</w:t>
      </w:r>
    </w:p>
    <w:tbl>
      <w:tblPr>
        <w:tblW w:w="5000" w:type="pct"/>
        <w:tblCellMar>
          <w:left w:w="0" w:type="dxa"/>
          <w:right w:w="0" w:type="dxa"/>
        </w:tblCellMar>
        <w:tblLook w:val="0600" w:firstRow="0" w:lastRow="0" w:firstColumn="0" w:lastColumn="0" w:noHBand="1" w:noVBand="1"/>
      </w:tblPr>
      <w:tblGrid>
        <w:gridCol w:w="3474"/>
        <w:gridCol w:w="2933"/>
        <w:gridCol w:w="2933"/>
      </w:tblGrid>
      <w:tr w:rsidR="001B6320">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rPr>
                <w:rFonts w:ascii="Times New Roman" w:hAnsi="Times New Roman" w:cs="Times New Roman"/>
                <w:b/>
                <w:bCs/>
              </w:rPr>
            </w:pPr>
            <w:r>
              <w:rPr>
                <w:rFonts w:ascii="Times New Roman" w:hAnsi="Times New Roman" w:cs="Times New Roman"/>
                <w:b/>
                <w:bCs/>
              </w:rPr>
              <w:t>Challenge</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b/>
                <w:bCs/>
              </w:rPr>
            </w:pPr>
            <w:r>
              <w:rPr>
                <w:rFonts w:ascii="Times New Roman" w:hAnsi="Times New Roman" w:cs="Times New Roman"/>
                <w:b/>
                <w:bCs/>
              </w:rPr>
              <w:t>Impact</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b/>
                <w:bCs/>
              </w:rPr>
            </w:pPr>
            <w:r>
              <w:rPr>
                <w:rFonts w:ascii="Times New Roman" w:hAnsi="Times New Roman" w:cs="Times New Roman"/>
                <w:b/>
                <w:bCs/>
              </w:rPr>
              <w:t>Mitigation Strategy</w:t>
            </w:r>
          </w:p>
        </w:tc>
      </w:tr>
      <w:tr w:rsidR="001B6320">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Delayed data synchronisation</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Hindered real-time interventions</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Optimise</w:t>
            </w:r>
            <w:r>
              <w:rPr>
                <w:rFonts w:ascii="Times New Roman" w:hAnsi="Times New Roman" w:cs="Times New Roman"/>
              </w:rPr>
              <w:t xml:space="preserve"> PostgreSQL-DHIS2 API calls</w:t>
            </w:r>
          </w:p>
        </w:tc>
      </w:tr>
      <w:tr w:rsidR="001B6320">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Power BI dependency for visuals</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Reduced system interoperability</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Develop native DHIS2 dashboards</w:t>
            </w:r>
          </w:p>
        </w:tc>
      </w:tr>
      <w:tr w:rsidR="001B6320">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Limited high-risk subgroup sampling</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Generalizability concerns</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Expand partnerships (Indiana/Missouri)</w:t>
            </w:r>
          </w:p>
        </w:tc>
      </w:tr>
      <w:tr w:rsidR="001B6320">
        <w:tc>
          <w:tcPr>
            <w:tcW w:w="1860" w:type="pct"/>
            <w:tcBorders>
              <w:top w:val="single" w:sz="8" w:space="0" w:color="000000"/>
              <w:left w:val="single" w:sz="8" w:space="0" w:color="000000"/>
              <w:bottom w:val="single" w:sz="8" w:space="0" w:color="000000"/>
              <w:right w:val="single" w:sz="8" w:space="0" w:color="000000"/>
            </w:tcBorders>
            <w:shd w:val="clear" w:color="auto" w:fill="auto"/>
            <w:tcMar>
              <w:top w:w="100" w:type="dxa"/>
              <w:left w:w="144"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 xml:space="preserve">Cross-cultural tool </w:t>
            </w:r>
            <w:r>
              <w:rPr>
                <w:rFonts w:ascii="Times New Roman" w:hAnsi="Times New Roman" w:cs="Times New Roman"/>
              </w:rPr>
              <w:t>applicability</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Implementation barriers in LMICs</w:t>
            </w:r>
          </w:p>
        </w:tc>
        <w:tc>
          <w:tcPr>
            <w:tcW w:w="157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1B6320" w:rsidRDefault="009A4046">
            <w:pPr>
              <w:spacing w:after="0" w:line="240" w:lineRule="auto"/>
              <w:rPr>
                <w:rFonts w:ascii="Times New Roman" w:hAnsi="Times New Roman" w:cs="Times New Roman"/>
              </w:rPr>
            </w:pPr>
            <w:r>
              <w:rPr>
                <w:rFonts w:ascii="Times New Roman" w:hAnsi="Times New Roman" w:cs="Times New Roman"/>
              </w:rPr>
              <w:t>Localize DAST/C-SSRS scoring thresholds</w:t>
            </w:r>
          </w:p>
        </w:tc>
      </w:tr>
    </w:tbl>
    <w:p w:rsidR="001B6320" w:rsidRDefault="009A4046">
      <w:pPr>
        <w:spacing w:line="360" w:lineRule="auto"/>
        <w:rPr>
          <w:rFonts w:ascii="Times New Roman" w:hAnsi="Times New Roman" w:cs="Times New Roman"/>
        </w:rPr>
      </w:pPr>
      <w:r>
        <w:rPr>
          <w:rFonts w:ascii="Times New Roman" w:hAnsi="Times New Roman" w:cs="Times New Roman"/>
        </w:rPr>
        <w:br/>
        <w:t>The technical barriers centred on data synchronisation and visualisation limitations, necessitating DHIS2-native dashboard development. Cross-cultural adaptation of to</w:t>
      </w:r>
      <w:r>
        <w:rPr>
          <w:rFonts w:ascii="Times New Roman" w:hAnsi="Times New Roman" w:cs="Times New Roman"/>
        </w:rPr>
        <w:t>ols (e.g., DAST thresholds) is critical for LMIC scalability.</w:t>
      </w:r>
    </w:p>
    <w:p w:rsidR="001B6320" w:rsidRDefault="009A4046">
      <w:pPr>
        <w:spacing w:line="360" w:lineRule="auto"/>
        <w:rPr>
          <w:rFonts w:ascii="Times New Roman" w:hAnsi="Times New Roman" w:cs="Times New Roman"/>
          <w:b/>
          <w:bCs/>
        </w:rPr>
      </w:pPr>
      <w:r>
        <w:rPr>
          <w:rFonts w:ascii="Times New Roman" w:hAnsi="Times New Roman" w:cs="Times New Roman"/>
          <w:b/>
          <w:bCs/>
        </w:rPr>
        <w:t>Scalability and Policy Implications</w:t>
      </w:r>
    </w:p>
    <w:p w:rsidR="001B6320" w:rsidRDefault="009A4046">
      <w:pPr>
        <w:spacing w:line="360" w:lineRule="auto"/>
        <w:rPr>
          <w:rFonts w:ascii="Times New Roman" w:hAnsi="Times New Roman" w:cs="Times New Roman"/>
        </w:rPr>
      </w:pPr>
      <w:r>
        <w:rPr>
          <w:rFonts w:ascii="Times New Roman" w:hAnsi="Times New Roman" w:cs="Times New Roman"/>
        </w:rPr>
        <w:t>The research framework aligns with global calls for data-driven public health strategies (World Health Organisation, 2019</w:t>
      </w:r>
      <w:r>
        <w:rPr>
          <w:rFonts w:ascii="Times New Roman" w:hAnsi="Times New Roman" w:cs="Times New Roman"/>
        </w:rPr>
        <w:t>). Policymakers should consider mandating the integration of DHIS2-based suicide surveillance into national health programmes, particularly in high-risk areas. Future research should also explore machine learning applications to refine risk prediction mode</w:t>
      </w:r>
      <w:r>
        <w:rPr>
          <w:rFonts w:ascii="Times New Roman" w:hAnsi="Times New Roman" w:cs="Times New Roman"/>
        </w:rPr>
        <w:t>ls, building on the current logistic regression findings.</w:t>
      </w:r>
    </w:p>
    <w:p w:rsidR="001B6320" w:rsidRDefault="009A4046">
      <w:pPr>
        <w:spacing w:line="360" w:lineRule="auto"/>
        <w:rPr>
          <w:rFonts w:ascii="Times New Roman" w:hAnsi="Times New Roman" w:cs="Times New Roman"/>
          <w:b/>
          <w:bCs/>
        </w:rPr>
      </w:pPr>
      <w:r>
        <w:rPr>
          <w:rFonts w:ascii="Times New Roman" w:hAnsi="Times New Roman" w:cs="Times New Roman"/>
          <w:b/>
          <w:bCs/>
        </w:rPr>
        <w:t>CONCLUSION</w:t>
      </w:r>
    </w:p>
    <w:p w:rsidR="001B6320" w:rsidRDefault="009A4046">
      <w:pPr>
        <w:spacing w:line="360" w:lineRule="auto"/>
        <w:jc w:val="both"/>
        <w:rPr>
          <w:rFonts w:ascii="Times New Roman" w:hAnsi="Times New Roman" w:cs="Times New Roman"/>
        </w:rPr>
      </w:pPr>
      <w:r>
        <w:rPr>
          <w:rFonts w:ascii="Times New Roman" w:hAnsi="Times New Roman" w:cs="Times New Roman"/>
        </w:rPr>
        <w:t>This project establishes the viability of integrating DAST and C-SSRS tools within DHIS2 for suicide prevention, demonstrating improved risk detection capabilities. The statistical models</w:t>
      </w:r>
      <w:r>
        <w:rPr>
          <w:rFonts w:ascii="Times New Roman" w:hAnsi="Times New Roman" w:cs="Times New Roman"/>
        </w:rPr>
        <w:t xml:space="preserve"> achieved 93% accuracy in identifying high-risk individuals, validating the approach´s effectiveness. However, technical implementation challenges mirror those observed in low-resource settings, where digital health systems often face adoption barriers. Th</w:t>
      </w:r>
      <w:r>
        <w:rPr>
          <w:rFonts w:ascii="Times New Roman" w:hAnsi="Times New Roman" w:cs="Times New Roman"/>
        </w:rPr>
        <w:t>ese findings highlight both the potential of health informatics in suicide prevention and the need for enhanced technical support to ensure successful deployment across diverse healthcare systems. Therefore, the project´s outcomes justify further investmen</w:t>
      </w:r>
      <w:r>
        <w:rPr>
          <w:rFonts w:ascii="Times New Roman" w:hAnsi="Times New Roman" w:cs="Times New Roman"/>
        </w:rPr>
        <w:t xml:space="preserve">t in DHIS2-based suicide prevention frameworks. </w:t>
      </w:r>
    </w:p>
    <w:p w:rsidR="001B6320" w:rsidRDefault="009A4046">
      <w:pPr>
        <w:spacing w:line="360" w:lineRule="auto"/>
        <w:jc w:val="both"/>
        <w:rPr>
          <w:rFonts w:ascii="Times New Roman" w:hAnsi="Times New Roman" w:cs="Times New Roman"/>
        </w:rPr>
      </w:pPr>
      <w:r>
        <w:rPr>
          <w:rFonts w:ascii="Times New Roman" w:hAnsi="Times New Roman" w:cs="Times New Roman"/>
        </w:rPr>
        <w:lastRenderedPageBreak/>
        <w:t>Technical limitations impeded full DHIS2 integration, particularly in visualising real-time risk alerts. Data synchronisation delays between PostgreSQL and DHIS2 averaged 47 minutes, rendering time-sensitive</w:t>
      </w:r>
      <w:r>
        <w:rPr>
          <w:rFonts w:ascii="Times New Roman" w:hAnsi="Times New Roman" w:cs="Times New Roman"/>
        </w:rPr>
        <w:t xml:space="preserve"> interventions impractical. Comparative analysis showed Power BI provided superior visualisation capabilities during the project timeline, though lacking DHIS2’s interoperability with electronic health records. These implementation barriers echo challenges</w:t>
      </w:r>
      <w:r>
        <w:rPr>
          <w:rFonts w:ascii="Times New Roman" w:hAnsi="Times New Roman" w:cs="Times New Roman"/>
        </w:rPr>
        <w:t xml:space="preserve"> whereby health informatics systems frequently encounter infrastructure limitations. </w:t>
      </w:r>
    </w:p>
    <w:p w:rsidR="001B6320" w:rsidRDefault="009A4046">
      <w:pPr>
        <w:jc w:val="both"/>
        <w:outlineLvl w:val="0"/>
        <w:rPr>
          <w:rFonts w:ascii="Arial" w:hAnsi="Arial"/>
        </w:rPr>
      </w:pPr>
      <w:r>
        <w:rPr>
          <w:rFonts w:ascii="Arial" w:hAnsi="Arial"/>
          <w:b/>
          <w:bCs/>
        </w:rPr>
        <w:t>COMPETING INTERESTS DISCLAIMER:</w:t>
      </w:r>
    </w:p>
    <w:p w:rsidR="001B6320" w:rsidRDefault="009A4046">
      <w:r>
        <w:t>Authors have declared that they have no known competing financial interests OR non-financial interests OR personal relationships that coul</w:t>
      </w:r>
      <w:r>
        <w:t>d have appeared to influence the work reported in this paper.</w:t>
      </w:r>
    </w:p>
    <w:p w:rsidR="001B6320" w:rsidRPr="00530B44" w:rsidRDefault="009A4046">
      <w:pPr>
        <w:rPr>
          <w:b/>
          <w:bCs/>
        </w:rPr>
      </w:pPr>
      <w:r w:rsidRPr="00530B44">
        <w:rPr>
          <w:b/>
          <w:bCs/>
        </w:rPr>
        <w:t>Disclaimer (Artificial intelligence)</w:t>
      </w:r>
    </w:p>
    <w:p w:rsidR="001B6320" w:rsidRPr="00530B44" w:rsidRDefault="009A4046">
      <w:r w:rsidRPr="00530B44">
        <w:t>Author(s) hereby declare that NO generative AI technologies such as Large Language Models (ChatGPT, COPILOT, etc.) and text-to-image generators ha</w:t>
      </w:r>
      <w:r w:rsidRPr="00530B44">
        <w:t xml:space="preserve">ve been used during the writing or editing of this manuscript. </w:t>
      </w:r>
    </w:p>
    <w:p w:rsidR="001B6320" w:rsidRDefault="001B6320">
      <w:pPr>
        <w:spacing w:line="360" w:lineRule="auto"/>
        <w:rPr>
          <w:rFonts w:ascii="Times New Roman" w:hAnsi="Times New Roman" w:cs="Times New Roman"/>
        </w:rPr>
      </w:pPr>
    </w:p>
    <w:p w:rsidR="001B6320" w:rsidRDefault="009A4046">
      <w:pPr>
        <w:spacing w:line="360" w:lineRule="auto"/>
        <w:rPr>
          <w:rFonts w:ascii="Times New Roman" w:hAnsi="Times New Roman" w:cs="Times New Roman"/>
          <w:b/>
          <w:bCs/>
        </w:rPr>
      </w:pPr>
      <w:r>
        <w:rPr>
          <w:rFonts w:ascii="Times New Roman" w:hAnsi="Times New Roman" w:cs="Times New Roman"/>
          <w:b/>
          <w:bCs/>
        </w:rPr>
        <w:t>REFERENCES</w:t>
      </w:r>
    </w:p>
    <w:p w:rsidR="001B6320" w:rsidRDefault="009A4046">
      <w:pPr>
        <w:pStyle w:val="NormalWeb"/>
        <w:spacing w:line="360" w:lineRule="auto"/>
      </w:pPr>
      <w:r>
        <w:t>Alimi, R.A., Idowu, O.A., Akindahunsi, T., Dawo</w:t>
      </w:r>
      <w:r>
        <w:t xml:space="preserve">tola, T.B. and Lamidi, W.A. (2024). Determinants of some risk factors affecting stroke patients´ survival. </w:t>
      </w:r>
      <w:r>
        <w:rPr>
          <w:rStyle w:val="Emphasis"/>
          <w:rFonts w:eastAsia="SimSun"/>
        </w:rPr>
        <w:t>International Journal of Science and Research Archive</w:t>
      </w:r>
      <w:r>
        <w:t xml:space="preserve">, 13(01), pp.493–502. Available at: </w:t>
      </w:r>
      <w:hyperlink r:id="rId6" w:history="1">
        <w:r>
          <w:rPr>
            <w:rStyle w:val="Hyperlink"/>
          </w:rPr>
          <w:t>h</w:t>
        </w:r>
        <w:r>
          <w:rPr>
            <w:rStyle w:val="Hyperlink"/>
          </w:rPr>
          <w:t>ttps://doi.org/10.30574/ijsra.2024.13.1.1692</w:t>
        </w:r>
      </w:hyperlink>
      <w:r>
        <w:t xml:space="preserve"> [Accessed 15 July 2025].</w:t>
      </w:r>
    </w:p>
    <w:p w:rsidR="001B6320" w:rsidRDefault="009A4046">
      <w:pPr>
        <w:pStyle w:val="NormalWeb"/>
        <w:spacing w:line="360" w:lineRule="auto"/>
      </w:pPr>
      <w:r>
        <w:t xml:space="preserve">Alkhatib, A. and Obita, G. (2024). Childhood obesity and its comorbidities in high-risk minority populations: Prevalence, prevention and lifestyle intervention guidelines. </w:t>
      </w:r>
      <w:r>
        <w:rPr>
          <w:rStyle w:val="Emphasis"/>
          <w:rFonts w:eastAsia="SimSun"/>
        </w:rPr>
        <w:t>Nutrients</w:t>
      </w:r>
      <w:r>
        <w:t xml:space="preserve">, </w:t>
      </w:r>
      <w:r>
        <w:t>16(11), p.1730. Available at: https://doi.org/10.3390/nu16111730 [Accessed 17 July 2025].</w:t>
      </w:r>
    </w:p>
    <w:p w:rsidR="001B6320" w:rsidRDefault="009A4046">
      <w:pPr>
        <w:pStyle w:val="NormalWeb"/>
        <w:spacing w:line="360" w:lineRule="auto"/>
      </w:pPr>
      <w:r>
        <w:t xml:space="preserve">Chandler, A. (2020). Socioeconomic inequalities of suicide: Sociological and psychological intersections. </w:t>
      </w:r>
      <w:r>
        <w:rPr>
          <w:rStyle w:val="Emphasis"/>
          <w:rFonts w:eastAsia="SimSun"/>
        </w:rPr>
        <w:t>European Journal of Social Theory</w:t>
      </w:r>
      <w:r>
        <w:t>, 23(1), pp.33-51.</w:t>
      </w:r>
    </w:p>
    <w:p w:rsidR="001B6320" w:rsidRDefault="009A4046">
      <w:pPr>
        <w:pStyle w:val="NormalWeb"/>
        <w:spacing w:line="360" w:lineRule="auto"/>
      </w:pPr>
      <w:r>
        <w:t>Christen</w:t>
      </w:r>
      <w:r>
        <w:t xml:space="preserve">sen, H.B., Hail, L. and Leuz, C. (2021). Mandatory CSR and sustainability reporting: Economic analysis and literature review. </w:t>
      </w:r>
      <w:r>
        <w:rPr>
          <w:rStyle w:val="Emphasis"/>
          <w:rFonts w:eastAsia="SimSun"/>
        </w:rPr>
        <w:t>Review of Accounting Studies</w:t>
      </w:r>
      <w:r>
        <w:t xml:space="preserve">, 26(3), pp.1176–1248. Available at: </w:t>
      </w:r>
      <w:hyperlink r:id="rId7" w:history="1">
        <w:r>
          <w:rPr>
            <w:rStyle w:val="Hyperlink"/>
          </w:rPr>
          <w:t>https://d</w:t>
        </w:r>
        <w:r>
          <w:rPr>
            <w:rStyle w:val="Hyperlink"/>
          </w:rPr>
          <w:t>oi.org/10.1007/s11142-021-09609-5</w:t>
        </w:r>
      </w:hyperlink>
      <w:r>
        <w:t xml:space="preserve"> [Accessed 18 July 2025].</w:t>
      </w:r>
    </w:p>
    <w:p w:rsidR="001B6320" w:rsidRDefault="009A4046">
      <w:pPr>
        <w:pStyle w:val="NormalWeb"/>
        <w:spacing w:line="360" w:lineRule="auto"/>
      </w:pPr>
      <w:r>
        <w:lastRenderedPageBreak/>
        <w:t>David, M.L., Olapade, E.O., Uzor, D.C., Oshinyemi, F., Metuh, E.C. and Alimi, R.A. (2024). Epidemiological insights into diabetes, hypertension, and cardiovascular diseases: Implications for pub</w:t>
      </w:r>
      <w:r>
        <w:t xml:space="preserve">lic health nutrition. </w:t>
      </w:r>
      <w:r>
        <w:rPr>
          <w:rStyle w:val="Emphasis"/>
          <w:rFonts w:eastAsia="SimSun"/>
        </w:rPr>
        <w:t>Journal of Disease and Global Health</w:t>
      </w:r>
      <w:r>
        <w:t xml:space="preserve">, 17(01), pp.23–34. Available at: </w:t>
      </w:r>
      <w:hyperlink r:id="rId8" w:history="1">
        <w:r>
          <w:rPr>
            <w:rStyle w:val="Hyperlink"/>
          </w:rPr>
          <w:t>https://doi.org/10.56557/jodagh/2024/v17i18911</w:t>
        </w:r>
      </w:hyperlink>
      <w:r>
        <w:t xml:space="preserve"> [Accessed 19 July 2025].</w:t>
      </w:r>
    </w:p>
    <w:p w:rsidR="003C4912" w:rsidRDefault="003C4912">
      <w:pPr>
        <w:pStyle w:val="NormalWeb"/>
        <w:spacing w:line="360" w:lineRule="auto"/>
      </w:pPr>
      <w:r>
        <w:t>D</w:t>
      </w:r>
      <w:r w:rsidRPr="003C4912">
        <w:t xml:space="preserve">e Lima, D.F., de Souza, D.C. and </w:t>
      </w:r>
      <w:proofErr w:type="spellStart"/>
      <w:r w:rsidRPr="003C4912">
        <w:t>Sampaio</w:t>
      </w:r>
      <w:proofErr w:type="spellEnd"/>
      <w:r w:rsidRPr="003C4912">
        <w:t xml:space="preserve">, A.A., 2024. Mortality rates from suicide among Brazilian teachers: base year 2020. </w:t>
      </w:r>
      <w:proofErr w:type="spellStart"/>
      <w:r w:rsidRPr="00EB6E29">
        <w:rPr>
          <w:i/>
          <w:iCs/>
        </w:rPr>
        <w:t>Olhar</w:t>
      </w:r>
      <w:proofErr w:type="spellEnd"/>
      <w:r w:rsidRPr="00EB6E29">
        <w:rPr>
          <w:i/>
          <w:iCs/>
        </w:rPr>
        <w:t xml:space="preserve"> de Professor</w:t>
      </w:r>
      <w:r w:rsidRPr="003C4912">
        <w:t>, 27, pp.01-22.</w:t>
      </w:r>
    </w:p>
    <w:p w:rsidR="001B6320" w:rsidRDefault="009A4046">
      <w:pPr>
        <w:pStyle w:val="NormalWeb"/>
        <w:spacing w:line="360" w:lineRule="auto"/>
      </w:pPr>
      <w:r>
        <w:t xml:space="preserve">Eccles, R.G., Ioannou, I. and Serafeim, G. (2014). The impact of corporate sustainability on organizational processes and performance. </w:t>
      </w:r>
      <w:r>
        <w:rPr>
          <w:rStyle w:val="Emphasis"/>
          <w:rFonts w:eastAsia="SimSun"/>
        </w:rPr>
        <w:t>Management Science</w:t>
      </w:r>
      <w:r>
        <w:t xml:space="preserve">, 60(11), pp.2835–2857. Available at: </w:t>
      </w:r>
      <w:hyperlink r:id="rId9" w:tgtFrame="_new" w:history="1">
        <w:r>
          <w:rPr>
            <w:rStyle w:val="Hyperlink"/>
            <w:rFonts w:eastAsia="SimSun"/>
          </w:rPr>
          <w:t>http:</w:t>
        </w:r>
        <w:r>
          <w:rPr>
            <w:rStyle w:val="Hyperlink"/>
            <w:rFonts w:eastAsia="SimSun"/>
          </w:rPr>
          <w:t>//www.jstor.org/stable/24550546</w:t>
        </w:r>
      </w:hyperlink>
      <w:r>
        <w:t xml:space="preserve"> [Accessed 18 July 2025].</w:t>
      </w:r>
    </w:p>
    <w:p w:rsidR="001B6320" w:rsidRDefault="009A4046">
      <w:pPr>
        <w:pStyle w:val="NormalWeb"/>
        <w:spacing w:line="360" w:lineRule="auto"/>
      </w:pPr>
      <w:r>
        <w:t xml:space="preserve">Esang, M. and Ahmed, S. (2018). A closer look at substance use and suicide. </w:t>
      </w:r>
      <w:r>
        <w:rPr>
          <w:rStyle w:val="Emphasis"/>
          <w:rFonts w:eastAsia="SimSun"/>
        </w:rPr>
        <w:t>American Journal of Psychiatry Residents´ Journal</w:t>
      </w:r>
      <w:r>
        <w:t>, 13(6), pp.6-8.</w:t>
      </w:r>
    </w:p>
    <w:p w:rsidR="001B6320" w:rsidRDefault="009A4046">
      <w:pPr>
        <w:pStyle w:val="NormalWeb"/>
        <w:spacing w:line="360" w:lineRule="auto"/>
      </w:pPr>
      <w:r>
        <w:t>Giddens, J.M., Sheehan, K.H. and Sheehan, D.V. (2014).</w:t>
      </w:r>
      <w:r>
        <w:t xml:space="preserve"> The Columbia-Suicide Severity Rating Scale (C-SSRS): Has the “Gold Standard” become a liability? </w:t>
      </w:r>
      <w:r>
        <w:rPr>
          <w:rStyle w:val="Emphasis"/>
          <w:rFonts w:eastAsia="SimSun"/>
        </w:rPr>
        <w:t>Innovations in Clinical Neuroscience</w:t>
      </w:r>
      <w:r>
        <w:t>, 11(9–10), pp.66-80.</w:t>
      </w:r>
    </w:p>
    <w:p w:rsidR="001B6320" w:rsidRDefault="009A4046">
      <w:pPr>
        <w:pStyle w:val="NormalWeb"/>
        <w:spacing w:line="360" w:lineRule="auto"/>
      </w:pPr>
      <w:r>
        <w:t>Glozier</w:t>
      </w:r>
      <w:r>
        <w:t xml:space="preserve">, N., Morris, R. and Schurer, S. (2022). What happened to the predicted COVID-19-induced suicide epidemic, and why?. </w:t>
      </w:r>
      <w:r>
        <w:rPr>
          <w:rStyle w:val="Emphasis"/>
          <w:rFonts w:eastAsia="SimSun"/>
        </w:rPr>
        <w:t>Australian &amp; New Zealand Journal of Psychiatry</w:t>
      </w:r>
      <w:r>
        <w:t xml:space="preserve">, 57(1), pp.11–16. Available at: </w:t>
      </w:r>
      <w:hyperlink r:id="rId10" w:history="1">
        <w:r>
          <w:rPr>
            <w:rStyle w:val="Hyperlink"/>
          </w:rPr>
          <w:t>https</w:t>
        </w:r>
        <w:r>
          <w:rPr>
            <w:rStyle w:val="Hyperlink"/>
          </w:rPr>
          <w:t>://doi.org/10.1177/00048674221131500</w:t>
        </w:r>
      </w:hyperlink>
      <w:r>
        <w:t xml:space="preserve"> [Accessed 16 July 2025].</w:t>
      </w:r>
    </w:p>
    <w:p w:rsidR="001B6320" w:rsidRDefault="009A4046">
      <w:pPr>
        <w:pStyle w:val="NormalWeb"/>
        <w:spacing w:line="360" w:lineRule="auto"/>
      </w:pPr>
      <w:r>
        <w:t>Hill, R.M., Hatkevich, C.E., Kazimi, I. and Sharp, C. (2017). The Columbia-Suicide Severity Rating Scale: Associations between interrupted, aborted, and actual suicide attempts among adolesce</w:t>
      </w:r>
      <w:r>
        <w:t xml:space="preserve">nt inpatients. </w:t>
      </w:r>
      <w:r>
        <w:rPr>
          <w:rStyle w:val="Emphasis"/>
          <w:rFonts w:eastAsia="SimSun"/>
        </w:rPr>
        <w:t>Psychiatry Research</w:t>
      </w:r>
      <w:r>
        <w:t xml:space="preserve">, 255, pp.338–340. Available at: </w:t>
      </w:r>
      <w:hyperlink r:id="rId11" w:tgtFrame="_new" w:history="1">
        <w:r>
          <w:rPr>
            <w:rStyle w:val="Hyperlink"/>
            <w:rFonts w:eastAsia="SimSun"/>
          </w:rPr>
          <w:t>https://doi.org/10.1016/j.psychres.2017.06.014</w:t>
        </w:r>
      </w:hyperlink>
      <w:r>
        <w:t xml:space="preserve"> [Accessed 17 July 2025].</w:t>
      </w:r>
    </w:p>
    <w:p w:rsidR="001B6320" w:rsidRDefault="009A4046">
      <w:pPr>
        <w:pStyle w:val="NormalWeb"/>
        <w:spacing w:line="360" w:lineRule="auto"/>
      </w:pPr>
      <w:r>
        <w:t>Hochhauser, S., Rao, S., England-Kennedy, E.</w:t>
      </w:r>
      <w:r>
        <w:t xml:space="preserve"> et al. (2020). Why social justice matters: A context for suicide prevention efforts. </w:t>
      </w:r>
      <w:r>
        <w:rPr>
          <w:rStyle w:val="Emphasis"/>
          <w:rFonts w:eastAsia="SimSun"/>
        </w:rPr>
        <w:t>International Journal for Equity in Health</w:t>
      </w:r>
      <w:r>
        <w:t xml:space="preserve">, 19, 76. Available at: </w:t>
      </w:r>
      <w:hyperlink r:id="rId12" w:tgtFrame="_new" w:history="1">
        <w:r>
          <w:rPr>
            <w:rStyle w:val="Hyperlink"/>
            <w:rFonts w:eastAsia="SimSun"/>
          </w:rPr>
          <w:t>https://doi.org/10.1186/s12939-020-011</w:t>
        </w:r>
        <w:r>
          <w:rPr>
            <w:rStyle w:val="Hyperlink"/>
            <w:rFonts w:eastAsia="SimSun"/>
          </w:rPr>
          <w:t>73-9</w:t>
        </w:r>
      </w:hyperlink>
      <w:r>
        <w:t xml:space="preserve"> [Accessed 18 July 2025].</w:t>
      </w:r>
    </w:p>
    <w:p w:rsidR="001B6320" w:rsidRDefault="009A4046">
      <w:pPr>
        <w:pStyle w:val="NormalWeb"/>
        <w:spacing w:line="360" w:lineRule="auto"/>
      </w:pPr>
      <w:r>
        <w:t xml:space="preserve">Interian, A., Chesin, M., Kline, A., Miller, R., St Hill, L., Latorre, M., Shcherbakov, A., King, A. and Stanley, B. (2018). Use of the Columbia-Suicide Severity Rating Scale (C-SSRS) to classify </w:t>
      </w:r>
      <w:r>
        <w:lastRenderedPageBreak/>
        <w:t xml:space="preserve">suicidal behaviors. </w:t>
      </w:r>
      <w:r>
        <w:rPr>
          <w:rStyle w:val="Emphasis"/>
          <w:rFonts w:eastAsia="SimSun"/>
        </w:rPr>
        <w:t>Archive</w:t>
      </w:r>
      <w:r>
        <w:rPr>
          <w:rStyle w:val="Emphasis"/>
          <w:rFonts w:eastAsia="SimSun"/>
        </w:rPr>
        <w:t>s of Suicide Research</w:t>
      </w:r>
      <w:r>
        <w:t xml:space="preserve">, 22(2), pp.278–294. Available at: </w:t>
      </w:r>
      <w:hyperlink r:id="rId13" w:history="1">
        <w:r>
          <w:rPr>
            <w:rStyle w:val="Hyperlink"/>
          </w:rPr>
          <w:t>https://doi.org/10.1080/13811118.2017.1334610</w:t>
        </w:r>
      </w:hyperlink>
      <w:r>
        <w:t xml:space="preserve"> [Accessed 19 July 2025].</w:t>
      </w:r>
    </w:p>
    <w:p w:rsidR="001B6320" w:rsidRDefault="009A4046">
      <w:pPr>
        <w:pStyle w:val="NormalWeb"/>
        <w:spacing w:line="360" w:lineRule="auto"/>
      </w:pPr>
      <w:r>
        <w:t>Johnson, E., Barstack, S., Xu, Y., Wise, H., Erford, B.T., Chang, C</w:t>
      </w:r>
      <w:r>
        <w:t xml:space="preserve">. and Delmonico, D. (2025). Psychometric synthesis of the Drug Abuse Screening Test (DAST) versions. </w:t>
      </w:r>
      <w:r>
        <w:rPr>
          <w:rStyle w:val="Emphasis"/>
          <w:rFonts w:eastAsia="SimSun"/>
        </w:rPr>
        <w:t>Measurement and Evaluation in Counseling and Development</w:t>
      </w:r>
      <w:r>
        <w:t xml:space="preserve">, pp.1–14. Available at: </w:t>
      </w:r>
      <w:hyperlink r:id="rId14" w:tgtFrame="_new" w:history="1">
        <w:r>
          <w:rPr>
            <w:rStyle w:val="Hyperlink"/>
            <w:rFonts w:eastAsia="SimSun"/>
          </w:rPr>
          <w:t>https</w:t>
        </w:r>
        <w:r>
          <w:rPr>
            <w:rStyle w:val="Hyperlink"/>
            <w:rFonts w:eastAsia="SimSun"/>
          </w:rPr>
          <w:t>://doi.org/10.1080/07481756.2024.2399199</w:t>
        </w:r>
      </w:hyperlink>
      <w:r>
        <w:t xml:space="preserve"> [Accessed 16 July 2025].</w:t>
      </w:r>
    </w:p>
    <w:p w:rsidR="001B6320" w:rsidRDefault="009A4046">
      <w:pPr>
        <w:pStyle w:val="NormalWeb"/>
        <w:spacing w:line="360" w:lineRule="auto"/>
      </w:pPr>
      <w:r>
        <w:t>Jones, A.A., Hard, G., Gray, J., Apsley, H.B. and Santos-Lozada, A.R. (2023). The role of substance use disorders on suicidal ideation, planning, and attempts: A nationally representative</w:t>
      </w:r>
      <w:r>
        <w:t xml:space="preserve"> study of adolescents and adults in the United States, 2020. </w:t>
      </w:r>
      <w:r>
        <w:rPr>
          <w:rStyle w:val="Emphasis"/>
          <w:rFonts w:eastAsia="SimSun"/>
        </w:rPr>
        <w:t>Substance Abuse: Research and Treatment</w:t>
      </w:r>
      <w:r>
        <w:t xml:space="preserve">, 17. Available at: </w:t>
      </w:r>
      <w:hyperlink r:id="rId15" w:history="1">
        <w:r>
          <w:rPr>
            <w:rStyle w:val="Hyperlink"/>
          </w:rPr>
          <w:t>https://doi.org/10.1177/11782218231216233</w:t>
        </w:r>
      </w:hyperlink>
      <w:r>
        <w:t xml:space="preserve"> [Accessed 19 July 2025].</w:t>
      </w:r>
    </w:p>
    <w:p w:rsidR="001B6320" w:rsidRDefault="009A4046">
      <w:pPr>
        <w:pStyle w:val="NormalWeb"/>
        <w:spacing w:line="360" w:lineRule="auto"/>
      </w:pPr>
      <w:r>
        <w:t>Katz, I., B</w:t>
      </w:r>
      <w:r>
        <w:t xml:space="preserve">arry, C.N., Cooper, S.A., Kasprow, W.J. and Hoff, R.A. (2020). Use of the Columbia‐Suicide Severity Rating Scale (C‐SSRS) in a large sample of veterans receiving mental health services in the Veterans Health Administration. </w:t>
      </w:r>
      <w:r>
        <w:rPr>
          <w:rStyle w:val="Emphasis"/>
          <w:rFonts w:eastAsia="SimSun"/>
        </w:rPr>
        <w:t>Suicide and Life‐Threatening Beh</w:t>
      </w:r>
      <w:r>
        <w:rPr>
          <w:rStyle w:val="Emphasis"/>
          <w:rFonts w:eastAsia="SimSun"/>
        </w:rPr>
        <w:t>avior</w:t>
      </w:r>
      <w:r>
        <w:t xml:space="preserve">, 50(1), pp.111–121. Available at: </w:t>
      </w:r>
      <w:hyperlink r:id="rId16" w:history="1">
        <w:r>
          <w:rPr>
            <w:rStyle w:val="Hyperlink"/>
          </w:rPr>
          <w:t>https://doi.org/10.1111/sltb.12584</w:t>
        </w:r>
      </w:hyperlink>
      <w:r>
        <w:t xml:space="preserve"> [Accessed 18 July 2025].</w:t>
      </w:r>
    </w:p>
    <w:p w:rsidR="001B6320" w:rsidRDefault="009A4046">
      <w:pPr>
        <w:pStyle w:val="NormalWeb"/>
        <w:spacing w:line="360" w:lineRule="auto"/>
      </w:pPr>
      <w:r>
        <w:t>Mann, J.J., Michel, C.A. and Auerbach, R.P. (2021). Improving suicide prevention through evidence-based s</w:t>
      </w:r>
      <w:r>
        <w:t xml:space="preserve">trategies: A systematic review. </w:t>
      </w:r>
      <w:r>
        <w:rPr>
          <w:rStyle w:val="Emphasis"/>
          <w:rFonts w:eastAsia="SimSun"/>
        </w:rPr>
        <w:t>American Journal of Psychiatry</w:t>
      </w:r>
      <w:r>
        <w:t xml:space="preserve">, 178(7), pp.611–624. Available at: </w:t>
      </w:r>
      <w:hyperlink r:id="rId17" w:history="1">
        <w:r>
          <w:rPr>
            <w:rStyle w:val="Hyperlink"/>
          </w:rPr>
          <w:t>https://doi.org/10.1176/appi.ajp.2020.20060864</w:t>
        </w:r>
      </w:hyperlink>
      <w:r>
        <w:t xml:space="preserve"> [Accessed 18 July 2025].</w:t>
      </w:r>
    </w:p>
    <w:p w:rsidR="001B6320" w:rsidRDefault="009A4046">
      <w:pPr>
        <w:pStyle w:val="NormalWeb"/>
        <w:spacing w:line="360" w:lineRule="auto"/>
      </w:pPr>
      <w:r>
        <w:t>Pirkis, J., Dandona, R.</w:t>
      </w:r>
      <w:r>
        <w:t xml:space="preserve">, Silverman, M., Khan, M. and Hawton, K. (2024). Preventing suicide: A public health approach to a global problem. </w:t>
      </w:r>
      <w:r>
        <w:rPr>
          <w:rStyle w:val="Emphasis"/>
          <w:rFonts w:eastAsia="SimSun"/>
        </w:rPr>
        <w:t>The Lancet Public Health</w:t>
      </w:r>
      <w:r>
        <w:t xml:space="preserve">, 9(10), pp.e787–e795. Available at: </w:t>
      </w:r>
      <w:hyperlink r:id="rId18" w:history="1">
        <w:r>
          <w:rPr>
            <w:rStyle w:val="Hyperlink"/>
          </w:rPr>
          <w:t>https://doi.org/10.10</w:t>
        </w:r>
        <w:r>
          <w:rPr>
            <w:rStyle w:val="Hyperlink"/>
          </w:rPr>
          <w:t>16/S2468-2667(24)00149-X</w:t>
        </w:r>
      </w:hyperlink>
      <w:r>
        <w:t xml:space="preserve"> [Accessed 19 July 2025].</w:t>
      </w:r>
    </w:p>
    <w:p w:rsidR="001B6320" w:rsidRDefault="009A4046">
      <w:pPr>
        <w:pStyle w:val="NormalWeb"/>
        <w:spacing w:line="360" w:lineRule="auto"/>
      </w:pPr>
      <w:r>
        <w:t>Posner, K., Brown, G.K., Stanley, B., Brent, D.A., Yershova, K.V., Oquendo, M.A., Currier, G.W., Melvin, G.A., Greenhill, L., Shen, S. and Mann, J.J. (2011). The Columbia–Suicide Severity Rating Scale: I</w:t>
      </w:r>
      <w:r>
        <w:t xml:space="preserve">nitial validity and internal consistency findings from three multisite studies with adolescents and adults. </w:t>
      </w:r>
      <w:r>
        <w:rPr>
          <w:rStyle w:val="Emphasis"/>
          <w:rFonts w:eastAsia="SimSun"/>
        </w:rPr>
        <w:t>The American Journal of Psychiatry</w:t>
      </w:r>
      <w:r>
        <w:t xml:space="preserve">, 168(12), pp.1266–1277. Available at: </w:t>
      </w:r>
      <w:hyperlink r:id="rId19" w:tgtFrame="_new" w:history="1">
        <w:r>
          <w:rPr>
            <w:rStyle w:val="Hyperlink"/>
            <w:rFonts w:eastAsia="SimSun"/>
          </w:rPr>
          <w:t>https</w:t>
        </w:r>
        <w:r>
          <w:rPr>
            <w:rStyle w:val="Hyperlink"/>
            <w:rFonts w:eastAsia="SimSun"/>
          </w:rPr>
          <w:t>://doi.org/10.1176/appi.ajp.2011.10111704</w:t>
        </w:r>
      </w:hyperlink>
      <w:r>
        <w:t xml:space="preserve"> [Accessed 18 July 2025].</w:t>
      </w:r>
    </w:p>
    <w:p w:rsidR="001B6320" w:rsidRDefault="009A4046">
      <w:pPr>
        <w:pStyle w:val="NormalWeb"/>
        <w:spacing w:line="360" w:lineRule="auto"/>
      </w:pPr>
      <w:r>
        <w:lastRenderedPageBreak/>
        <w:t>Shirinbayan, P., Salavati, M., Soleimani, F., Saeedi, A., Asghari-Jafarabadi, M., Hemmati-Garakani, S. and Vameghi, R. (2020). The psychometric properties of the Drug Abuse Screening Tes</w:t>
      </w:r>
      <w:r>
        <w:t xml:space="preserve">t. </w:t>
      </w:r>
      <w:r>
        <w:rPr>
          <w:rStyle w:val="Emphasis"/>
          <w:rFonts w:eastAsia="SimSun"/>
        </w:rPr>
        <w:t>Addiction and Health</w:t>
      </w:r>
      <w:r>
        <w:t xml:space="preserve">, 12(1), pp.25-33. Available at: </w:t>
      </w:r>
      <w:hyperlink r:id="rId20" w:history="1">
        <w:r>
          <w:rPr>
            <w:rStyle w:val="Hyperlink"/>
          </w:rPr>
          <w:t>https://doi.org/10.22122/ahj.v12i1.256</w:t>
        </w:r>
      </w:hyperlink>
      <w:r>
        <w:t xml:space="preserve"> [Accessed 17 July 2025].</w:t>
      </w:r>
    </w:p>
    <w:p w:rsidR="001B6320" w:rsidRDefault="009A4046">
      <w:pPr>
        <w:pStyle w:val="NormalWeb"/>
        <w:spacing w:line="360" w:lineRule="auto"/>
      </w:pPr>
      <w:r>
        <w:t>Stockton, M.A., Mazinyo, E.W., Mlanjeni, L., Ngcelwane, N., Nogemane, K., Nobatyi</w:t>
      </w:r>
      <w:r>
        <w:t xml:space="preserve">, P., Sweetland, A.C., Basaraba, C., Greene, M.C., Bezuidenhout, C. and Grobler, C. (2025). Validation of screening instruments for alcohol and substance use disorders among men and women in Eastern Cape, South Africa. </w:t>
      </w:r>
      <w:r>
        <w:rPr>
          <w:rStyle w:val="Emphasis"/>
          <w:rFonts w:eastAsia="SimSun"/>
        </w:rPr>
        <w:t>Drug and Alcohol Dependence</w:t>
      </w:r>
      <w:r>
        <w:t>, 268, p.1</w:t>
      </w:r>
      <w:r>
        <w:t xml:space="preserve">12559. Available at: </w:t>
      </w:r>
      <w:hyperlink r:id="rId21" w:tgtFrame="_new" w:history="1">
        <w:r>
          <w:rPr>
            <w:rStyle w:val="Hyperlink"/>
            <w:rFonts w:eastAsia="SimSun"/>
          </w:rPr>
          <w:t>https://doi.org/10.1016/j.drugalcdep.2025.112559</w:t>
        </w:r>
      </w:hyperlink>
      <w:r>
        <w:t xml:space="preserve"> [Accessed 16 July 2025].</w:t>
      </w:r>
    </w:p>
    <w:p w:rsidR="001B6320" w:rsidRDefault="009A4046">
      <w:pPr>
        <w:pStyle w:val="NormalWeb"/>
        <w:spacing w:line="360" w:lineRule="auto"/>
      </w:pPr>
      <w:r>
        <w:t xml:space="preserve">Suicide Worldwide in 2019: Global Health Estimates (2019). </w:t>
      </w:r>
      <w:r>
        <w:rPr>
          <w:rStyle w:val="Emphasis"/>
          <w:rFonts w:eastAsia="SimSun"/>
        </w:rPr>
        <w:t>World Health Organization</w:t>
      </w:r>
      <w:r>
        <w:t xml:space="preserve">. </w:t>
      </w:r>
      <w:r>
        <w:t xml:space="preserve">Available at: </w:t>
      </w:r>
      <w:hyperlink r:id="rId22" w:tgtFrame="_new" w:history="1">
        <w:r>
          <w:rPr>
            <w:rStyle w:val="Hyperlink"/>
            <w:rFonts w:eastAsia="SimSun"/>
          </w:rPr>
          <w:t>https://iris.who.int/bitstream/handle/10665/341728/9789240026643-eng.pdf</w:t>
        </w:r>
      </w:hyperlink>
      <w:r>
        <w:t xml:space="preserve"> [Accessed 15 July 2025].</w:t>
      </w:r>
    </w:p>
    <w:p w:rsidR="001B6320" w:rsidRDefault="009A4046">
      <w:pPr>
        <w:pStyle w:val="NormalWeb"/>
        <w:spacing w:line="360" w:lineRule="auto"/>
      </w:pPr>
      <w:r>
        <w:t>Tasfi, J.T. and Mostofa, S.M. (2024). Underst</w:t>
      </w:r>
      <w:r>
        <w:t xml:space="preserve">anding complex causes of suicidal behaviour among graduates in Bangladesh. </w:t>
      </w:r>
      <w:r>
        <w:rPr>
          <w:rStyle w:val="Emphasis"/>
          <w:rFonts w:eastAsia="SimSun"/>
        </w:rPr>
        <w:t>BMC Public Health</w:t>
      </w:r>
      <w:r>
        <w:t xml:space="preserve">, 24(1), p.560. Available at: </w:t>
      </w:r>
      <w:hyperlink r:id="rId23" w:history="1">
        <w:r>
          <w:rPr>
            <w:rStyle w:val="Hyperlink"/>
          </w:rPr>
          <w:t>https://doi.org/10.1186/s12889-024-17989-x</w:t>
        </w:r>
      </w:hyperlink>
      <w:r>
        <w:t xml:space="preserve"> [Accessed 15 July 2025].</w:t>
      </w:r>
    </w:p>
    <w:p w:rsidR="007D717A" w:rsidRPr="007D717A" w:rsidRDefault="007D717A" w:rsidP="007D717A">
      <w:pPr>
        <w:pStyle w:val="NormalWeb"/>
        <w:spacing w:line="360" w:lineRule="auto"/>
        <w:rPr>
          <w:lang w:val="en-GB"/>
        </w:rPr>
      </w:pPr>
      <w:proofErr w:type="spellStart"/>
      <w:r w:rsidRPr="007D717A">
        <w:rPr>
          <w:lang w:val="en-GB"/>
        </w:rPr>
        <w:t>Vanlewin</w:t>
      </w:r>
      <w:proofErr w:type="spellEnd"/>
      <w:r w:rsidRPr="007D717A">
        <w:rPr>
          <w:lang w:val="en-GB"/>
        </w:rPr>
        <w:t xml:space="preserve">, O., </w:t>
      </w:r>
      <w:proofErr w:type="spellStart"/>
      <w:r w:rsidRPr="007D717A">
        <w:rPr>
          <w:lang w:val="en-GB"/>
        </w:rPr>
        <w:t>Hutson</w:t>
      </w:r>
      <w:proofErr w:type="spellEnd"/>
      <w:r w:rsidRPr="007D717A">
        <w:rPr>
          <w:lang w:val="en-GB"/>
        </w:rPr>
        <w:t xml:space="preserve">, A., Abrams, C., Boston, C., &amp; Cecil, D. (2025). Demographic Characteristics Influencing Knowledge Regarding Resources Available for Prevention of Suicide among College of Medical Science Students at the University of Guyana. </w:t>
      </w:r>
      <w:r w:rsidRPr="007D717A">
        <w:rPr>
          <w:i/>
          <w:iCs/>
          <w:lang w:val="en-GB"/>
        </w:rPr>
        <w:t>Asian Journal of Medicine and Health</w:t>
      </w:r>
      <w:r w:rsidRPr="007D717A">
        <w:rPr>
          <w:lang w:val="en-GB"/>
        </w:rPr>
        <w:t>, 23(7), 15</w:t>
      </w:r>
      <w:r>
        <w:rPr>
          <w:lang w:val="en-GB"/>
        </w:rPr>
        <w:t>-</w:t>
      </w:r>
      <w:r w:rsidRPr="007D717A">
        <w:rPr>
          <w:lang w:val="en-GB"/>
        </w:rPr>
        <w:t xml:space="preserve">27. </w:t>
      </w:r>
      <w:hyperlink r:id="rId24" w:history="1">
        <w:r w:rsidRPr="00BD00D5">
          <w:rPr>
            <w:rStyle w:val="Hyperlink"/>
            <w:lang w:val="en-GB"/>
          </w:rPr>
          <w:t>https://doi.org/10.9734/ajmah/2025/v23i71260</w:t>
        </w:r>
      </w:hyperlink>
      <w:r>
        <w:rPr>
          <w:lang w:val="en-GB"/>
        </w:rPr>
        <w:t xml:space="preserve">  </w:t>
      </w:r>
      <w:r>
        <w:t xml:space="preserve">[Accessed </w:t>
      </w:r>
      <w:proofErr w:type="gramStart"/>
      <w:r>
        <w:t xml:space="preserve">4 </w:t>
      </w:r>
      <w:r>
        <w:t xml:space="preserve"> </w:t>
      </w:r>
      <w:r>
        <w:t>August</w:t>
      </w:r>
      <w:proofErr w:type="gramEnd"/>
      <w:r>
        <w:t xml:space="preserve"> </w:t>
      </w:r>
      <w:r>
        <w:t>2025].</w:t>
      </w:r>
    </w:p>
    <w:p w:rsidR="001B6320" w:rsidRDefault="009A4046">
      <w:pPr>
        <w:pStyle w:val="NormalWeb"/>
        <w:spacing w:line="360" w:lineRule="auto"/>
      </w:pPr>
      <w:r>
        <w:t>Wasserm</w:t>
      </w:r>
      <w:r>
        <w:t xml:space="preserve">an, D., Iosue, M., Wuestefeld, A. and Carli, V. (2020). Adaptation of evidence-based suicide prevention strategies during and after the COVID-19 pandemic. </w:t>
      </w:r>
      <w:r>
        <w:rPr>
          <w:rStyle w:val="Emphasis"/>
          <w:rFonts w:eastAsia="SimSun"/>
        </w:rPr>
        <w:t>World Psychiatry</w:t>
      </w:r>
      <w:r>
        <w:t xml:space="preserve">, 19, pp.294-306. Available at: </w:t>
      </w:r>
      <w:hyperlink r:id="rId25" w:tgtFrame="_new" w:history="1">
        <w:r>
          <w:rPr>
            <w:rStyle w:val="Hyperlink"/>
            <w:rFonts w:eastAsia="SimSun"/>
          </w:rPr>
          <w:t>https://doi.org/10.1002/wps.20801</w:t>
        </w:r>
      </w:hyperlink>
      <w:r>
        <w:t xml:space="preserve"> [Accessed 17 July 2025].</w:t>
      </w:r>
    </w:p>
    <w:p w:rsidR="001B6320" w:rsidRDefault="009A4046">
      <w:pPr>
        <w:pStyle w:val="NormalWeb"/>
        <w:spacing w:line="360" w:lineRule="auto"/>
      </w:pPr>
      <w:r>
        <w:t xml:space="preserve">Yogesh, M.J. and Karthikeyan, J. (2022). Health informatics: Engaging modern healthcare units: A brief overview. </w:t>
      </w:r>
      <w:r>
        <w:rPr>
          <w:rStyle w:val="Emphasis"/>
          <w:rFonts w:eastAsia="SimSun"/>
        </w:rPr>
        <w:t>Frontiers in Public Health</w:t>
      </w:r>
      <w:r>
        <w:t xml:space="preserve">, 10, p.854688. Available at: </w:t>
      </w:r>
      <w:hyperlink r:id="rId26" w:history="1">
        <w:r>
          <w:rPr>
            <w:rStyle w:val="Hyperlink"/>
          </w:rPr>
          <w:t>https://doi.org/10.3389/fpubh.2022.854688</w:t>
        </w:r>
      </w:hyperlink>
      <w:r>
        <w:t xml:space="preserve"> [Accessed 19 July 2025].</w:t>
      </w:r>
    </w:p>
    <w:sectPr w:rsidR="001B6320">
      <w:headerReference w:type="even" r:id="rId27"/>
      <w:headerReference w:type="default" r:id="rId28"/>
      <w:footerReference w:type="even" r:id="rId29"/>
      <w:footerReference w:type="default" r:id="rId30"/>
      <w:head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046" w:rsidRDefault="009A4046">
      <w:pPr>
        <w:spacing w:after="0" w:line="240" w:lineRule="auto"/>
      </w:pPr>
      <w:r>
        <w:separator/>
      </w:r>
    </w:p>
  </w:endnote>
  <w:endnote w:type="continuationSeparator" w:id="0">
    <w:p w:rsidR="009A4046" w:rsidRDefault="009A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320" w:rsidRDefault="001B63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320" w:rsidRDefault="001B6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046" w:rsidRDefault="009A4046">
      <w:pPr>
        <w:spacing w:after="0" w:line="240" w:lineRule="auto"/>
      </w:pPr>
      <w:r>
        <w:separator/>
      </w:r>
    </w:p>
  </w:footnote>
  <w:footnote w:type="continuationSeparator" w:id="0">
    <w:p w:rsidR="009A4046" w:rsidRDefault="009A40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320" w:rsidRDefault="00557977">
    <w:pPr>
      <w:pStyle w:val="Header"/>
    </w:pPr>
    <w:r>
      <w:rPr>
        <w:noProof/>
        <w:lang w:eastAsia="en-US"/>
      </w:rPr>
      <mc:AlternateContent>
        <mc:Choice Requires="wps">
          <w:drawing>
            <wp:anchor distT="0" distB="0" distL="0" distR="0" simplePos="0" relativeHeight="251657728" behindDoc="1" locked="0" layoutInCell="0" allowOverlap="1">
              <wp:simplePos x="0" y="0"/>
              <wp:positionH relativeFrom="margin">
                <wp:align>center</wp:align>
              </wp:positionH>
              <wp:positionV relativeFrom="margin">
                <wp:align>center</wp:align>
              </wp:positionV>
              <wp:extent cx="7541895" cy="837565"/>
              <wp:effectExtent l="0" t="2495550" r="0" b="23152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57977" w:rsidRDefault="00557977" w:rsidP="00557977">
                          <w:pPr>
                            <w:pStyle w:val="NormalWeb"/>
                            <w:spacing w:before="0" w:beforeAutospacing="0" w:after="0" w:afterAutospacing="0"/>
                            <w:jc w:val="center"/>
                          </w:pPr>
                          <w:r>
                            <w:rPr>
                              <w:rFonts w:ascii="Aptos" w:hAnsi="Aptos"/>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0;width:593.85pt;height:65.95pt;rotation:-45;z-index:-251658752;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" o:allowincell="f" filled="f" stroked="f">
              <v:stroke joinstyle="round"/>
              <o:lock v:ext="edit" shapetype="t"/>
              <v:textbox style="mso-fit-shape-to-text:t">
                <w:txbxContent>
                  <w:p w:rsidR="00557977" w:rsidRDefault="00557977" w:rsidP="00557977">
                    <w:pPr>
                      <w:pStyle w:val="NormalWeb"/>
                      <w:spacing w:before="0" w:beforeAutospacing="0" w:after="0" w:afterAutospacing="0"/>
                      <w:jc w:val="center"/>
                    </w:pPr>
                    <w:r>
                      <w:rPr>
                        <w:rFonts w:ascii="Aptos" w:hAnsi="Aptos"/>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320" w:rsidRDefault="00557977">
    <w:pPr>
      <w:pStyle w:val="Header"/>
    </w:pPr>
    <w:r>
      <w:rPr>
        <w:noProof/>
        <w:lang w:eastAsia="en-US"/>
      </w:rPr>
      <mc:AlternateContent>
        <mc:Choice Requires="wps">
          <w:drawing>
            <wp:anchor distT="0" distB="0" distL="0" distR="0" simplePos="0" relativeHeight="251658752" behindDoc="1" locked="0" layoutInCell="0" allowOverlap="1">
              <wp:simplePos x="0" y="0"/>
              <wp:positionH relativeFrom="margin">
                <wp:align>center</wp:align>
              </wp:positionH>
              <wp:positionV relativeFrom="margin">
                <wp:align>center</wp:align>
              </wp:positionV>
              <wp:extent cx="7541895" cy="837565"/>
              <wp:effectExtent l="0" t="2495550" r="0" b="23152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57977" w:rsidRDefault="00557977" w:rsidP="00557977">
                          <w:pPr>
                            <w:pStyle w:val="NormalWeb"/>
                            <w:spacing w:before="0" w:beforeAutospacing="0" w:after="0" w:afterAutospacing="0"/>
                            <w:jc w:val="center"/>
                          </w:pPr>
                          <w:r>
                            <w:rPr>
                              <w:rFonts w:ascii="Aptos" w:hAnsi="Aptos"/>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0;margin-top:0;width:593.85pt;height:65.95pt;rotation:-45;z-index:-251657728;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" o:allowincell="f" filled="f" stroked="f">
              <v:stroke joinstyle="round"/>
              <o:lock v:ext="edit" shapetype="t"/>
              <v:textbox style="mso-fit-shape-to-text:t">
                <w:txbxContent>
                  <w:p w:rsidR="00557977" w:rsidRDefault="00557977" w:rsidP="00557977">
                    <w:pPr>
                      <w:pStyle w:val="NormalWeb"/>
                      <w:spacing w:before="0" w:beforeAutospacing="0" w:after="0" w:afterAutospacing="0"/>
                      <w:jc w:val="center"/>
                    </w:pPr>
                    <w:r>
                      <w:rPr>
                        <w:rFonts w:ascii="Aptos" w:hAnsi="Aptos"/>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320" w:rsidRDefault="00557977">
    <w:pPr>
      <w:pStyle w:val="Header"/>
    </w:pPr>
    <w:r>
      <w:rPr>
        <w:noProof/>
        <w:lang w:eastAsia="en-US"/>
      </w:rPr>
      <mc:AlternateContent>
        <mc:Choice Requires="wps">
          <w:drawing>
            <wp:anchor distT="0" distB="0" distL="0" distR="0" simplePos="0" relativeHeight="251656704" behindDoc="1" locked="0" layoutInCell="0" allowOverlap="1">
              <wp:simplePos x="0" y="0"/>
              <wp:positionH relativeFrom="margin">
                <wp:align>center</wp:align>
              </wp:positionH>
              <wp:positionV relativeFrom="margin">
                <wp:align>center</wp:align>
              </wp:positionV>
              <wp:extent cx="7541895" cy="837565"/>
              <wp:effectExtent l="0" t="2495550" r="0" b="23152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57977" w:rsidRDefault="00557977" w:rsidP="00557977">
                          <w:pPr>
                            <w:pStyle w:val="NormalWeb"/>
                            <w:spacing w:before="0" w:beforeAutospacing="0" w:after="0" w:afterAutospacing="0"/>
                            <w:jc w:val="center"/>
                          </w:pPr>
                          <w:r>
                            <w:rPr>
                              <w:rFonts w:ascii="Aptos" w:hAnsi="Aptos"/>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0;margin-top:0;width:593.85pt;height:65.95pt;rotation:-45;z-index:-251659776;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" o:allowincell="f" filled="f" stroked="f">
              <v:stroke joinstyle="round"/>
              <o:lock v:ext="edit" shapetype="t"/>
              <v:textbox style="mso-fit-shape-to-text:t">
                <w:txbxContent>
                  <w:p w:rsidR="00557977" w:rsidRDefault="00557977" w:rsidP="00557977">
                    <w:pPr>
                      <w:pStyle w:val="NormalWeb"/>
                      <w:spacing w:before="0" w:beforeAutospacing="0" w:after="0" w:afterAutospacing="0"/>
                      <w:jc w:val="center"/>
                    </w:pPr>
                    <w:r>
                      <w:rPr>
                        <w:rFonts w:ascii="Aptos" w:hAnsi="Aptos"/>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20"/>
    <w:rsid w:val="001A1956"/>
    <w:rsid w:val="001B6320"/>
    <w:rsid w:val="00201875"/>
    <w:rsid w:val="00214296"/>
    <w:rsid w:val="00222DF3"/>
    <w:rsid w:val="00283686"/>
    <w:rsid w:val="003C4912"/>
    <w:rsid w:val="00471CDC"/>
    <w:rsid w:val="00530B44"/>
    <w:rsid w:val="00557977"/>
    <w:rsid w:val="00642265"/>
    <w:rsid w:val="0064676C"/>
    <w:rsid w:val="006D3E13"/>
    <w:rsid w:val="007C1726"/>
    <w:rsid w:val="007D717A"/>
    <w:rsid w:val="00854DC0"/>
    <w:rsid w:val="009A4046"/>
    <w:rsid w:val="009D10BA"/>
    <w:rsid w:val="00A37494"/>
    <w:rsid w:val="00A700CA"/>
    <w:rsid w:val="00CD4DB6"/>
    <w:rsid w:val="00D071DD"/>
    <w:rsid w:val="00DB66FE"/>
    <w:rsid w:val="00E42338"/>
    <w:rsid w:val="00EB6E29"/>
    <w:rsid w:val="00EC53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8A363F-CFDF-4DD8-8B11-43EA27F1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SimSun" w:hAnsi="Aptos" w:cs="Arial"/>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s="Times New Roman"/>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hAnsi="Aptos Display" w:cs="Times New Roman"/>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rFonts w:cs="Times New Roman"/>
      <w:color w:val="0F4761"/>
      <w:sz w:val="28"/>
      <w:szCs w:val="28"/>
    </w:rPr>
  </w:style>
  <w:style w:type="paragraph" w:styleId="Heading4">
    <w:name w:val="heading 4"/>
    <w:basedOn w:val="Normal"/>
    <w:next w:val="Normal"/>
    <w:link w:val="Heading4Char"/>
    <w:uiPriority w:val="9"/>
    <w:qFormat/>
    <w:pPr>
      <w:keepNext/>
      <w:keepLines/>
      <w:spacing w:before="80" w:after="40"/>
      <w:outlineLvl w:val="3"/>
    </w:pPr>
    <w:rPr>
      <w:rFonts w:cs="Times New Roman"/>
      <w:i/>
      <w:iCs/>
      <w:color w:val="0F4761"/>
    </w:rPr>
  </w:style>
  <w:style w:type="paragraph" w:styleId="Heading5">
    <w:name w:val="heading 5"/>
    <w:basedOn w:val="Normal"/>
    <w:next w:val="Normal"/>
    <w:link w:val="Heading5Char"/>
    <w:uiPriority w:val="9"/>
    <w:qFormat/>
    <w:pPr>
      <w:keepNext/>
      <w:keepLines/>
      <w:spacing w:before="80" w:after="40"/>
      <w:outlineLvl w:val="4"/>
    </w:pPr>
    <w:rPr>
      <w:rFonts w:cs="Times New Roman"/>
      <w:color w:val="0F4761"/>
    </w:rPr>
  </w:style>
  <w:style w:type="paragraph" w:styleId="Heading6">
    <w:name w:val="heading 6"/>
    <w:basedOn w:val="Normal"/>
    <w:next w:val="Normal"/>
    <w:link w:val="Heading6Char"/>
    <w:uiPriority w:val="9"/>
    <w:qFormat/>
    <w:pPr>
      <w:keepNext/>
      <w:keepLines/>
      <w:spacing w:before="40" w:after="0"/>
      <w:outlineLvl w:val="5"/>
    </w:pPr>
    <w:rPr>
      <w:rFonts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cs="Times New Roman"/>
      <w:color w:val="595959"/>
    </w:rPr>
  </w:style>
  <w:style w:type="paragraph" w:styleId="Heading8">
    <w:name w:val="heading 8"/>
    <w:basedOn w:val="Normal"/>
    <w:next w:val="Normal"/>
    <w:link w:val="Heading8Char"/>
    <w:uiPriority w:val="9"/>
    <w:qFormat/>
    <w:pPr>
      <w:keepNext/>
      <w:keepLines/>
      <w:spacing w:after="0"/>
      <w:outlineLvl w:val="7"/>
    </w:pPr>
    <w:rPr>
      <w:rFonts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Times New Roma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Times New Roman"/>
      <w:color w:val="0F4761"/>
      <w:sz w:val="32"/>
      <w:szCs w:val="32"/>
    </w:rPr>
  </w:style>
  <w:style w:type="character" w:customStyle="1" w:styleId="Heading3Char">
    <w:name w:val="Heading 3 Char"/>
    <w:basedOn w:val="DefaultParagraphFont"/>
    <w:link w:val="Heading3"/>
    <w:uiPriority w:val="9"/>
    <w:rPr>
      <w:rFonts w:eastAsia="SimSun" w:cs="Times New Roman"/>
      <w:color w:val="0F4761"/>
      <w:sz w:val="28"/>
      <w:szCs w:val="28"/>
    </w:rPr>
  </w:style>
  <w:style w:type="character" w:customStyle="1" w:styleId="Heading4Char">
    <w:name w:val="Heading 4 Char"/>
    <w:basedOn w:val="DefaultParagraphFont"/>
    <w:link w:val="Heading4"/>
    <w:uiPriority w:val="9"/>
    <w:rPr>
      <w:rFonts w:eastAsia="SimSun" w:cs="Times New Roman"/>
      <w:i/>
      <w:iCs/>
      <w:color w:val="0F4761"/>
    </w:rPr>
  </w:style>
  <w:style w:type="character" w:customStyle="1" w:styleId="Heading5Char">
    <w:name w:val="Heading 5 Char"/>
    <w:basedOn w:val="DefaultParagraphFont"/>
    <w:link w:val="Heading5"/>
    <w:uiPriority w:val="9"/>
    <w:rPr>
      <w:rFonts w:eastAsia="SimSun" w:cs="Times New Roman"/>
      <w:color w:val="0F4761"/>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character" w:customStyle="1" w:styleId="TitleChar">
    <w:name w:val="Title Char"/>
    <w:basedOn w:val="DefaultParagraphFont"/>
    <w:link w:val="Title"/>
    <w:uiPriority w:val="10"/>
    <w:rPr>
      <w:rFonts w:ascii="Aptos Display" w:eastAsia="SimSun" w:hAnsi="Aptos Display" w:cs="Times New Roman"/>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Aptos Display" w:hAnsi="Aptos Display" w:cs="Times New Roman"/>
      <w:spacing w:val="-10"/>
      <w:kern w:val="28"/>
      <w:sz w:val="56"/>
      <w:szCs w:val="56"/>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Subtitle">
    <w:name w:val="Subtitle"/>
    <w:basedOn w:val="Normal"/>
    <w:next w:val="Normal"/>
    <w:link w:val="SubtitleChar"/>
    <w:uiPriority w:val="11"/>
    <w:qFormat/>
    <w:pPr>
      <w:numPr>
        <w:ilvl w:val="1"/>
      </w:numPr>
    </w:pPr>
    <w:rPr>
      <w:rFonts w:cs="Times New Roman"/>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lang w:eastAsia="en-U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customStyle="1" w:styleId="UnresolvedMention">
    <w:name w:val="Unresolved Mention"/>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580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3811118.2017.1334610" TargetMode="External"/><Relationship Id="rId18" Type="http://schemas.openxmlformats.org/officeDocument/2006/relationships/hyperlink" Target="https://doi.org/10.1016/S2468-2667(24)00149-X" TargetMode="External"/><Relationship Id="rId26" Type="http://schemas.openxmlformats.org/officeDocument/2006/relationships/hyperlink" Target="https://doi.org/10.3389/fpubh.2022.854688" TargetMode="External"/><Relationship Id="rId3" Type="http://schemas.openxmlformats.org/officeDocument/2006/relationships/webSettings" Target="webSettings.xml"/><Relationship Id="rId21" Type="http://schemas.openxmlformats.org/officeDocument/2006/relationships/hyperlink" Target="https://doi.org/10.1016/j.drugalcdep.2025.112559" TargetMode="External"/><Relationship Id="rId7" Type="http://schemas.openxmlformats.org/officeDocument/2006/relationships/hyperlink" Target="https://doi.org/10.1007/s11142-021-09609-5" TargetMode="External"/><Relationship Id="rId12" Type="http://schemas.openxmlformats.org/officeDocument/2006/relationships/hyperlink" Target="https://doi.org/10.1186/s12939-020-01173-9" TargetMode="External"/><Relationship Id="rId17" Type="http://schemas.openxmlformats.org/officeDocument/2006/relationships/hyperlink" Target="https://doi.org/10.1176/appi.ajp.2020.20060864" TargetMode="External"/><Relationship Id="rId25" Type="http://schemas.openxmlformats.org/officeDocument/2006/relationships/hyperlink" Target="https://doi.org/10.1002/wps.20801"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111/sltb.12584" TargetMode="External"/><Relationship Id="rId20" Type="http://schemas.openxmlformats.org/officeDocument/2006/relationships/hyperlink" Target="https://doi.org/10.22122/ahj.v12i1.256"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oi.org/10.30574/ijsra.2024.13.1.1692" TargetMode="External"/><Relationship Id="rId11" Type="http://schemas.openxmlformats.org/officeDocument/2006/relationships/hyperlink" Target="https://doi.org/10.1016/j.psychres.2017.06.014" TargetMode="External"/><Relationship Id="rId24" Type="http://schemas.openxmlformats.org/officeDocument/2006/relationships/hyperlink" Target="https://doi.org/10.9734/ajmah/2025/v23i71260"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177/11782218231216233" TargetMode="External"/><Relationship Id="rId23" Type="http://schemas.openxmlformats.org/officeDocument/2006/relationships/hyperlink" Target="https://doi.org/10.1186/s12889-024-17989-x" TargetMode="External"/><Relationship Id="rId28" Type="http://schemas.openxmlformats.org/officeDocument/2006/relationships/header" Target="header2.xml"/><Relationship Id="rId10" Type="http://schemas.openxmlformats.org/officeDocument/2006/relationships/hyperlink" Target="https://doi.org/10.1177/00048674221131500" TargetMode="External"/><Relationship Id="rId19" Type="http://schemas.openxmlformats.org/officeDocument/2006/relationships/hyperlink" Target="https://doi.org/10.1176/appi.ajp.2011.10111704"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jstor.org/stable/24550546" TargetMode="External"/><Relationship Id="rId14" Type="http://schemas.openxmlformats.org/officeDocument/2006/relationships/hyperlink" Target="https://doi.org/10.1080/07481756.2024.2399199" TargetMode="External"/><Relationship Id="rId22" Type="http://schemas.openxmlformats.org/officeDocument/2006/relationships/hyperlink" Target="https://iris.who.int/bitstream/handle/10665/341728/9789240026643-eng.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56557/jodagh/2024/v17i18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4729</Words>
  <Characters>32301</Characters>
  <Application>Microsoft Office Word</Application>
  <DocSecurity>0</DocSecurity>
  <Lines>547</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Adepoju, Adekola George</dc:creator>
  <cp:lastModifiedBy>Microsoft account</cp:lastModifiedBy>
  <cp:revision>26</cp:revision>
  <cp:lastPrinted>2025-03-31T22:46:00Z</cp:lastPrinted>
  <dcterms:created xsi:type="dcterms:W3CDTF">2025-08-04T21:14:00Z</dcterms:created>
  <dcterms:modified xsi:type="dcterms:W3CDTF">2025-08-04T23:15:00Z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90b89eed-4a81-4858-bc43-04016424cd82</vt:lpwstr>
  </property>
  <property fmtid="{D5CDD505-2E9C-101B-9397-08002B2CF9AE}" pid="3" name="ICV">
    <vt:lpwstr>e7667a32ac224efabf61edeea1ae910c</vt:lpwstr>
  </property>
</Properties>
</file>