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DC95" w14:textId="0857C82C" w:rsidR="00955A6B" w:rsidRDefault="006E0848" w:rsidP="00EF2D93">
      <w:pPr>
        <w:pStyle w:val="NoSpacing"/>
        <w:spacing w:line="480" w:lineRule="auto"/>
        <w:jc w:val="both"/>
        <w:rPr>
          <w:rFonts w:ascii="Times New Roman" w:hAnsi="Times New Roman"/>
          <w:b/>
          <w:sz w:val="24"/>
          <w:szCs w:val="24"/>
        </w:rPr>
      </w:pPr>
      <w:bookmarkStart w:id="0" w:name="_Hlk204061918"/>
      <w:bookmarkStart w:id="1" w:name="_GoBack"/>
      <w:bookmarkEnd w:id="1"/>
      <w:r w:rsidRPr="006E0848">
        <w:rPr>
          <w:rFonts w:ascii="Times New Roman" w:hAnsi="Times New Roman"/>
          <w:b/>
          <w:sz w:val="24"/>
          <w:szCs w:val="24"/>
        </w:rPr>
        <w:t>Biochemical assessment of hepatic function following co-administration of Odogwu Bitters and Goko Cleanser in male Wistar rats: A preliminary study</w:t>
      </w:r>
    </w:p>
    <w:p w14:paraId="55CA9FD0" w14:textId="77777777" w:rsidR="00A55A22" w:rsidRDefault="00A55A22" w:rsidP="00EF2D93">
      <w:pPr>
        <w:pStyle w:val="NoSpacing"/>
        <w:spacing w:line="480" w:lineRule="auto"/>
        <w:jc w:val="both"/>
        <w:rPr>
          <w:rFonts w:ascii="Times New Roman" w:hAnsi="Times New Roman"/>
          <w:b/>
          <w:sz w:val="24"/>
          <w:szCs w:val="24"/>
        </w:rPr>
      </w:pPr>
    </w:p>
    <w:bookmarkEnd w:id="0"/>
    <w:p w14:paraId="12999C63" w14:textId="09A3960C" w:rsidR="006E0848" w:rsidRDefault="00A55A22" w:rsidP="00EF2D93">
      <w:pPr>
        <w:pStyle w:val="NoSpacing"/>
        <w:spacing w:line="480" w:lineRule="auto"/>
        <w:jc w:val="both"/>
        <w:rPr>
          <w:rFonts w:ascii="Times New Roman" w:hAnsi="Times New Roman"/>
          <w:b/>
          <w:bCs/>
          <w:sz w:val="24"/>
          <w:szCs w:val="24"/>
        </w:rPr>
      </w:pPr>
      <w:r w:rsidRPr="00A55A22">
        <w:rPr>
          <w:rFonts w:ascii="Times New Roman" w:hAnsi="Times New Roman"/>
          <w:b/>
          <w:bCs/>
          <w:sz w:val="24"/>
          <w:szCs w:val="24"/>
          <w:highlight w:val="yellow"/>
        </w:rPr>
        <w:t>Type of Article: Original Research Article</w:t>
      </w:r>
      <w:r>
        <w:rPr>
          <w:rFonts w:ascii="Times New Roman" w:hAnsi="Times New Roman"/>
          <w:b/>
          <w:bCs/>
          <w:sz w:val="24"/>
          <w:szCs w:val="24"/>
        </w:rPr>
        <w:t xml:space="preserve"> </w:t>
      </w:r>
    </w:p>
    <w:p w14:paraId="4D7C86EE" w14:textId="77777777" w:rsidR="00A55A22" w:rsidRDefault="00A55A22" w:rsidP="00EF2D93">
      <w:pPr>
        <w:pStyle w:val="NoSpacing"/>
        <w:spacing w:line="480" w:lineRule="auto"/>
        <w:jc w:val="both"/>
        <w:rPr>
          <w:rFonts w:ascii="Times New Roman" w:hAnsi="Times New Roman"/>
          <w:b/>
          <w:bCs/>
          <w:sz w:val="24"/>
          <w:szCs w:val="24"/>
        </w:rPr>
      </w:pPr>
    </w:p>
    <w:p w14:paraId="0B0EA103" w14:textId="0AED5257" w:rsidR="00B07E1C" w:rsidRPr="00F2137B" w:rsidRDefault="00B07E1C" w:rsidP="00EF2D93">
      <w:pPr>
        <w:pStyle w:val="NoSpacing"/>
        <w:spacing w:line="480" w:lineRule="auto"/>
        <w:jc w:val="both"/>
        <w:rPr>
          <w:rFonts w:ascii="Times New Roman" w:hAnsi="Times New Roman"/>
          <w:b/>
          <w:bCs/>
          <w:sz w:val="24"/>
          <w:szCs w:val="24"/>
        </w:rPr>
      </w:pPr>
      <w:r>
        <w:rPr>
          <w:rFonts w:ascii="Times New Roman" w:hAnsi="Times New Roman"/>
          <w:b/>
          <w:bCs/>
          <w:sz w:val="24"/>
          <w:szCs w:val="24"/>
        </w:rPr>
        <w:t>Abstract</w:t>
      </w:r>
    </w:p>
    <w:p w14:paraId="24F14AFE"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Background:</w:t>
      </w:r>
      <w:r w:rsidRPr="008E0AA8">
        <w:rPr>
          <w:rFonts w:ascii="Times New Roman" w:hAnsi="Times New Roman" w:cs="Times New Roman"/>
          <w:sz w:val="24"/>
          <w:szCs w:val="24"/>
          <w:lang w:val="en-GB"/>
        </w:rPr>
        <w:t xml:space="preserve"> The liver is highly vulnerable to herbal-induced toxicity due to its central role in metabolizing xenobiotics. In Nigeria, Odogwu Bitters and Goko Cleanser are widely consumed herbal mixtures, often used concurrently for purported health benefits. However, their combined hepatotoxic potential remains underexplored.</w:t>
      </w:r>
    </w:p>
    <w:p w14:paraId="57D6C12C" w14:textId="4B978FA4"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Objective:</w:t>
      </w:r>
      <w:r w:rsidRPr="008E0AA8">
        <w:rPr>
          <w:rFonts w:ascii="Times New Roman" w:hAnsi="Times New Roman" w:cs="Times New Roman"/>
          <w:sz w:val="24"/>
          <w:szCs w:val="24"/>
          <w:lang w:val="en-GB"/>
        </w:rPr>
        <w:t xml:space="preserve"> This preliminary study evaluated the effects of co-administered Odogwu Bitters and Goko Cleanser on hepatic enzyme biomarkers</w:t>
      </w:r>
      <w:r w:rsidR="00D17B38">
        <w:rPr>
          <w:rFonts w:ascii="Times New Roman" w:hAnsi="Times New Roman" w:cs="Times New Roman"/>
          <w:sz w:val="24"/>
          <w:szCs w:val="24"/>
          <w:lang w:val="en-GB"/>
        </w:rPr>
        <w:t xml:space="preserve"> – </w:t>
      </w:r>
      <w:r w:rsidRPr="008E0AA8">
        <w:rPr>
          <w:rFonts w:ascii="Times New Roman" w:hAnsi="Times New Roman" w:cs="Times New Roman"/>
          <w:sz w:val="24"/>
          <w:szCs w:val="24"/>
          <w:lang w:val="en-GB"/>
        </w:rPr>
        <w:t>alanine aminotransferase (ALT), aspartate aminotransferase (AST), and alkaline phosphatase (ALP)</w:t>
      </w:r>
      <w:r w:rsidR="00D17B38">
        <w:rPr>
          <w:rFonts w:ascii="Times New Roman" w:hAnsi="Times New Roman" w:cs="Times New Roman"/>
          <w:sz w:val="24"/>
          <w:szCs w:val="24"/>
          <w:lang w:val="en-GB"/>
        </w:rPr>
        <w:t xml:space="preserve"> </w:t>
      </w:r>
      <w:r w:rsidRPr="008E0AA8">
        <w:rPr>
          <w:rFonts w:ascii="Times New Roman" w:hAnsi="Times New Roman" w:cs="Times New Roman"/>
          <w:sz w:val="24"/>
          <w:szCs w:val="24"/>
          <w:lang w:val="en-GB"/>
        </w:rPr>
        <w:t>in adult male Wistar rats.</w:t>
      </w:r>
    </w:p>
    <w:p w14:paraId="64BD9916" w14:textId="540B2EFC"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Methods:</w:t>
      </w:r>
      <w:r w:rsidRPr="008E0AA8">
        <w:rPr>
          <w:rFonts w:ascii="Times New Roman" w:hAnsi="Times New Roman" w:cs="Times New Roman"/>
          <w:sz w:val="24"/>
          <w:szCs w:val="24"/>
          <w:lang w:val="en-GB"/>
        </w:rPr>
        <w:t xml:space="preserve"> F</w:t>
      </w:r>
      <w:r w:rsidR="00D17B38">
        <w:rPr>
          <w:rFonts w:ascii="Times New Roman" w:hAnsi="Times New Roman" w:cs="Times New Roman"/>
          <w:sz w:val="24"/>
          <w:szCs w:val="24"/>
          <w:lang w:val="en-GB"/>
        </w:rPr>
        <w:t>ifty</w:t>
      </w:r>
      <w:r w:rsidRPr="008E0AA8">
        <w:rPr>
          <w:rFonts w:ascii="Times New Roman" w:hAnsi="Times New Roman" w:cs="Times New Roman"/>
          <w:sz w:val="24"/>
          <w:szCs w:val="24"/>
          <w:lang w:val="en-GB"/>
        </w:rPr>
        <w:t xml:space="preserve"> male Wistar rats (150–200 g) were assigned to ten groups and orally treated with graded doses of the herbal drinks</w:t>
      </w:r>
      <w:r w:rsidR="00EE2424">
        <w:rPr>
          <w:rFonts w:ascii="Times New Roman" w:hAnsi="Times New Roman" w:cs="Times New Roman"/>
          <w:sz w:val="24"/>
          <w:szCs w:val="24"/>
          <w:lang w:val="en-GB"/>
        </w:rPr>
        <w:t xml:space="preserve">, </w:t>
      </w:r>
      <w:r w:rsidR="00EE2424" w:rsidRPr="008E0AA8">
        <w:rPr>
          <w:rFonts w:ascii="Times New Roman" w:hAnsi="Times New Roman" w:cs="Times New Roman"/>
          <w:sz w:val="24"/>
          <w:szCs w:val="24"/>
          <w:lang w:val="en-GB"/>
        </w:rPr>
        <w:t xml:space="preserve">either individually or in combination, </w:t>
      </w:r>
      <w:r w:rsidRPr="008E0AA8">
        <w:rPr>
          <w:rFonts w:ascii="Times New Roman" w:hAnsi="Times New Roman" w:cs="Times New Roman"/>
          <w:sz w:val="24"/>
          <w:szCs w:val="24"/>
          <w:lang w:val="en-GB"/>
        </w:rPr>
        <w:t xml:space="preserve">for 42 days. Serum levels of ALT, AST, and ALP were measured using standard enzymatic protocols. Relative liver weights were also determined. Data were </w:t>
      </w:r>
      <w:r w:rsidR="00D17B38" w:rsidRPr="008E0AA8">
        <w:rPr>
          <w:rFonts w:ascii="Times New Roman" w:hAnsi="Times New Roman" w:cs="Times New Roman"/>
          <w:sz w:val="24"/>
          <w:szCs w:val="24"/>
          <w:lang w:val="en-GB"/>
        </w:rPr>
        <w:t>analysed</w:t>
      </w:r>
      <w:r w:rsidRPr="008E0AA8">
        <w:rPr>
          <w:rFonts w:ascii="Times New Roman" w:hAnsi="Times New Roman" w:cs="Times New Roman"/>
          <w:sz w:val="24"/>
          <w:szCs w:val="24"/>
          <w:lang w:val="en-GB"/>
        </w:rPr>
        <w:t xml:space="preserve"> using one-way ANOVA followed by post hoc tests at a 95% confidence level.</w:t>
      </w:r>
    </w:p>
    <w:p w14:paraId="58A6D49B"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Results:</w:t>
      </w:r>
      <w:r w:rsidRPr="008E0AA8">
        <w:rPr>
          <w:rFonts w:ascii="Times New Roman" w:hAnsi="Times New Roman" w:cs="Times New Roman"/>
          <w:sz w:val="24"/>
          <w:szCs w:val="24"/>
          <w:lang w:val="en-GB"/>
        </w:rPr>
        <w:t xml:space="preserve"> Significant increases in serum ALT and ALP were observed in several experimental groups compared to the control, indicating hepatocellular and biliary dysfunction. AST levels exhibited a biphasic pattern, with both elevations and reductions across different groups. Changes in relative liver weights were not statistically significant.</w:t>
      </w:r>
    </w:p>
    <w:p w14:paraId="13372291" w14:textId="77777777"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lastRenderedPageBreak/>
        <w:t>Conclusion:</w:t>
      </w:r>
      <w:r w:rsidRPr="008E0AA8">
        <w:rPr>
          <w:rFonts w:ascii="Times New Roman" w:hAnsi="Times New Roman" w:cs="Times New Roman"/>
          <w:sz w:val="24"/>
          <w:szCs w:val="24"/>
          <w:lang w:val="en-GB"/>
        </w:rPr>
        <w:t xml:space="preserve"> Subchronic co-administration of Odogwu Bitters and Goko Cleanser may impair hepatic function, as evidenced by altered liver enzyme profiles. These findings raise safety concerns regarding their unregulated combined use and underscore the need for further toxicological investigations.</w:t>
      </w:r>
    </w:p>
    <w:p w14:paraId="30539C26" w14:textId="77777777" w:rsidR="008E0AA8" w:rsidRDefault="008E0AA8" w:rsidP="008E0AA8">
      <w:pPr>
        <w:pStyle w:val="NoSpacing"/>
        <w:spacing w:line="480" w:lineRule="auto"/>
        <w:jc w:val="both"/>
        <w:rPr>
          <w:rFonts w:ascii="Times New Roman" w:hAnsi="Times New Roman" w:cs="Times New Roman"/>
          <w:b/>
          <w:bCs/>
          <w:sz w:val="24"/>
          <w:szCs w:val="24"/>
          <w:lang w:val="en-GB"/>
        </w:rPr>
      </w:pPr>
    </w:p>
    <w:p w14:paraId="4535C980" w14:textId="4A54BFEC" w:rsidR="008E0AA8" w:rsidRPr="008E0AA8" w:rsidRDefault="008E0AA8" w:rsidP="008E0AA8">
      <w:pPr>
        <w:pStyle w:val="NoSpacing"/>
        <w:spacing w:line="480" w:lineRule="auto"/>
        <w:jc w:val="both"/>
        <w:rPr>
          <w:rFonts w:ascii="Times New Roman" w:hAnsi="Times New Roman" w:cs="Times New Roman"/>
          <w:sz w:val="24"/>
          <w:szCs w:val="24"/>
          <w:lang w:val="en-GB"/>
        </w:rPr>
      </w:pPr>
      <w:r w:rsidRPr="008E0AA8">
        <w:rPr>
          <w:rFonts w:ascii="Times New Roman" w:hAnsi="Times New Roman" w:cs="Times New Roman"/>
          <w:b/>
          <w:bCs/>
          <w:sz w:val="24"/>
          <w:szCs w:val="24"/>
          <w:lang w:val="en-GB"/>
        </w:rPr>
        <w:t>Keywords:</w:t>
      </w:r>
      <w:r w:rsidRPr="008E0AA8">
        <w:rPr>
          <w:rFonts w:ascii="Times New Roman" w:hAnsi="Times New Roman" w:cs="Times New Roman"/>
          <w:sz w:val="24"/>
          <w:szCs w:val="24"/>
          <w:lang w:val="en-GB"/>
        </w:rPr>
        <w:t xml:space="preserve"> Herbal toxicity; Liver enzymes; Odogwu Bitters; Goko Cleanser; ALT; AST; ALP; Hepatotoxicity; Wistar rats; Subchronic exposure</w:t>
      </w:r>
    </w:p>
    <w:p w14:paraId="516BEB02" w14:textId="77777777" w:rsidR="005154C4" w:rsidRDefault="005154C4" w:rsidP="005154C4">
      <w:pPr>
        <w:pStyle w:val="NoSpacing"/>
        <w:spacing w:line="480" w:lineRule="auto"/>
        <w:jc w:val="both"/>
        <w:rPr>
          <w:rFonts w:ascii="Times New Roman" w:hAnsi="Times New Roman" w:cs="Times New Roman"/>
          <w:bCs/>
          <w:sz w:val="24"/>
          <w:szCs w:val="24"/>
        </w:rPr>
      </w:pPr>
    </w:p>
    <w:p w14:paraId="7677E7A4" w14:textId="471D7DB2" w:rsidR="005B69A7" w:rsidRPr="00F2137B" w:rsidRDefault="00B712AE" w:rsidP="001323DB">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INTRODUCTION</w:t>
      </w:r>
    </w:p>
    <w:p w14:paraId="5A4A4CED" w14:textId="37FF3082" w:rsidR="006624D0" w:rsidRDefault="006624D0" w:rsidP="001323DB">
      <w:pPr>
        <w:pStyle w:val="NoSpacing"/>
        <w:spacing w:line="480" w:lineRule="auto"/>
        <w:jc w:val="both"/>
        <w:rPr>
          <w:rStyle w:val="relative"/>
          <w:rFonts w:ascii="Times New Roman" w:hAnsi="Times New Roman" w:cs="Times New Roman"/>
          <w:sz w:val="24"/>
          <w:szCs w:val="24"/>
        </w:rPr>
      </w:pPr>
      <w:r w:rsidRPr="0030475B">
        <w:rPr>
          <w:rStyle w:val="relative"/>
          <w:rFonts w:ascii="Times New Roman" w:hAnsi="Times New Roman" w:cs="Times New Roman"/>
          <w:sz w:val="24"/>
          <w:szCs w:val="24"/>
        </w:rPr>
        <w:t xml:space="preserve">The liver is the primary organ for </w:t>
      </w:r>
      <w:r w:rsidR="0030475B" w:rsidRPr="0030475B">
        <w:rPr>
          <w:rStyle w:val="relative"/>
          <w:rFonts w:ascii="Times New Roman" w:hAnsi="Times New Roman" w:cs="Times New Roman"/>
          <w:sz w:val="24"/>
          <w:szCs w:val="24"/>
        </w:rPr>
        <w:t>metabolism</w:t>
      </w:r>
      <w:r w:rsidRPr="0030475B">
        <w:rPr>
          <w:rStyle w:val="relative"/>
          <w:rFonts w:ascii="Times New Roman" w:hAnsi="Times New Roman" w:cs="Times New Roman"/>
          <w:sz w:val="24"/>
          <w:szCs w:val="24"/>
        </w:rPr>
        <w:t xml:space="preserve"> and detoxification of xenobiotics, making it particularly susceptible to damage from orally consumed herbal formulations</w:t>
      </w:r>
      <w:r w:rsidR="00872B3F">
        <w:rPr>
          <w:rStyle w:val="relative"/>
          <w:rFonts w:ascii="Times New Roman" w:hAnsi="Times New Roman" w:cs="Times New Roman"/>
          <w:sz w:val="24"/>
          <w:szCs w:val="24"/>
        </w:rPr>
        <w:t xml:space="preserve"> [1]</w:t>
      </w:r>
      <w:r w:rsidRPr="0030475B">
        <w:rPr>
          <w:rStyle w:val="relative"/>
          <w:rFonts w:ascii="Times New Roman" w:hAnsi="Times New Roman" w:cs="Times New Roman"/>
          <w:sz w:val="24"/>
          <w:szCs w:val="24"/>
        </w:rPr>
        <w:t>. Liver enzyme biomarkers</w:t>
      </w:r>
      <w:r w:rsidR="00C024B1">
        <w:rPr>
          <w:rStyle w:val="relative"/>
          <w:rFonts w:ascii="Times New Roman" w:hAnsi="Times New Roman" w:cs="Times New Roman"/>
          <w:sz w:val="24"/>
          <w:szCs w:val="24"/>
        </w:rPr>
        <w:t xml:space="preserve"> – </w:t>
      </w:r>
      <w:r w:rsidRPr="0030475B">
        <w:rPr>
          <w:rStyle w:val="relative"/>
          <w:rFonts w:ascii="Times New Roman" w:hAnsi="Times New Roman" w:cs="Times New Roman"/>
          <w:sz w:val="24"/>
          <w:szCs w:val="24"/>
        </w:rPr>
        <w:t>alanine aminotransferase (ALT), aspartate aminotransferase (AST), and alkaline phosphatase (ALP)</w:t>
      </w:r>
      <w:r w:rsidR="00C024B1">
        <w:rPr>
          <w:rStyle w:val="relative"/>
          <w:rFonts w:ascii="Times New Roman" w:hAnsi="Times New Roman" w:cs="Times New Roman"/>
          <w:sz w:val="24"/>
          <w:szCs w:val="24"/>
        </w:rPr>
        <w:t xml:space="preserve"> </w:t>
      </w:r>
      <w:r w:rsidRPr="0030475B">
        <w:rPr>
          <w:rStyle w:val="relative"/>
          <w:rFonts w:ascii="Times New Roman" w:hAnsi="Times New Roman" w:cs="Times New Roman"/>
          <w:sz w:val="24"/>
          <w:szCs w:val="24"/>
        </w:rPr>
        <w:t>are widely used to assess hepatocellular injury and biliary dysfunction in toxicological studies</w:t>
      </w:r>
      <w:r w:rsidR="00872B3F">
        <w:rPr>
          <w:rStyle w:val="relative"/>
          <w:rFonts w:ascii="Times New Roman" w:hAnsi="Times New Roman" w:cs="Times New Roman"/>
          <w:sz w:val="24"/>
          <w:szCs w:val="24"/>
        </w:rPr>
        <w:t xml:space="preserve"> [2]</w:t>
      </w:r>
      <w:r w:rsidRPr="0030475B">
        <w:rPr>
          <w:rStyle w:val="relative"/>
          <w:rFonts w:ascii="Times New Roman" w:hAnsi="Times New Roman" w:cs="Times New Roman"/>
          <w:sz w:val="24"/>
          <w:szCs w:val="24"/>
        </w:rPr>
        <w:t>. Elevated levels of these enzymes typically reflect damage to hepatocyte membranes and cholestasis</w:t>
      </w:r>
      <w:r w:rsidR="00DE694F">
        <w:rPr>
          <w:rStyle w:val="relative"/>
          <w:rFonts w:ascii="Times New Roman" w:hAnsi="Times New Roman" w:cs="Times New Roman"/>
          <w:sz w:val="24"/>
          <w:szCs w:val="24"/>
        </w:rPr>
        <w:t xml:space="preserve"> [3]</w:t>
      </w:r>
      <w:r w:rsidRPr="0030475B">
        <w:rPr>
          <w:rStyle w:val="relative"/>
          <w:rFonts w:ascii="Times New Roman" w:hAnsi="Times New Roman" w:cs="Times New Roman"/>
          <w:sz w:val="24"/>
          <w:szCs w:val="24"/>
        </w:rPr>
        <w:t>.</w:t>
      </w:r>
    </w:p>
    <w:p w14:paraId="39EF493E" w14:textId="77777777" w:rsidR="0030475B" w:rsidRPr="0030475B" w:rsidRDefault="0030475B" w:rsidP="001323DB">
      <w:pPr>
        <w:pStyle w:val="NoSpacing"/>
        <w:spacing w:line="480" w:lineRule="auto"/>
        <w:jc w:val="both"/>
        <w:rPr>
          <w:rFonts w:ascii="Times New Roman" w:eastAsia="Times New Roman" w:hAnsi="Times New Roman" w:cs="Times New Roman"/>
          <w:sz w:val="24"/>
          <w:szCs w:val="24"/>
        </w:rPr>
      </w:pPr>
    </w:p>
    <w:p w14:paraId="09BD8FA6" w14:textId="77777777" w:rsidR="00C03ED3" w:rsidRPr="00E471F4" w:rsidRDefault="006624D0" w:rsidP="00C03ED3">
      <w:pPr>
        <w:pStyle w:val="NoSpacing"/>
        <w:spacing w:line="480" w:lineRule="auto"/>
        <w:jc w:val="both"/>
        <w:rPr>
          <w:lang w:val="en-GB"/>
        </w:rPr>
      </w:pPr>
      <w:r w:rsidRPr="00C535BC">
        <w:rPr>
          <w:rStyle w:val="relative"/>
          <w:rFonts w:ascii="Times New Roman" w:hAnsi="Times New Roman" w:cs="Times New Roman"/>
          <w:sz w:val="24"/>
          <w:szCs w:val="24"/>
        </w:rPr>
        <w:t>In Nigeria, there is a widespread belief in the inherent safety of herbal preparations</w:t>
      </w:r>
      <w:r w:rsidR="00C535BC" w:rsidRPr="00C535BC">
        <w:rPr>
          <w:rStyle w:val="relative"/>
          <w:rFonts w:ascii="Times New Roman" w:hAnsi="Times New Roman" w:cs="Times New Roman"/>
          <w:sz w:val="24"/>
          <w:szCs w:val="24"/>
        </w:rPr>
        <w:t xml:space="preserve"> [4]</w:t>
      </w:r>
      <w:r w:rsidRPr="00C535BC">
        <w:rPr>
          <w:rStyle w:val="relative"/>
          <w:rFonts w:ascii="Times New Roman" w:hAnsi="Times New Roman" w:cs="Times New Roman"/>
          <w:sz w:val="24"/>
          <w:szCs w:val="24"/>
        </w:rPr>
        <w:t xml:space="preserve">. </w:t>
      </w:r>
      <w:r w:rsidR="00EC3E03">
        <w:rPr>
          <w:rStyle w:val="relative"/>
          <w:rFonts w:ascii="Times New Roman" w:hAnsi="Times New Roman" w:cs="Times New Roman"/>
          <w:sz w:val="24"/>
          <w:szCs w:val="24"/>
        </w:rPr>
        <w:t xml:space="preserve">This is why there are so many herbal drinks marketed all over the country. </w:t>
      </w:r>
      <w:r w:rsidRPr="00C535BC">
        <w:rPr>
          <w:rStyle w:val="relative"/>
          <w:rFonts w:ascii="Times New Roman" w:hAnsi="Times New Roman" w:cs="Times New Roman"/>
          <w:sz w:val="24"/>
          <w:szCs w:val="24"/>
        </w:rPr>
        <w:t xml:space="preserve">Among the most widely consumed are </w:t>
      </w:r>
      <w:r w:rsidRPr="00C535BC">
        <w:rPr>
          <w:rStyle w:val="Strong"/>
          <w:rFonts w:ascii="Times New Roman" w:hAnsi="Times New Roman" w:cs="Times New Roman"/>
          <w:b w:val="0"/>
          <w:bCs w:val="0"/>
          <w:sz w:val="24"/>
          <w:szCs w:val="24"/>
        </w:rPr>
        <w:t>Odogwu Bitters</w:t>
      </w:r>
      <w:r w:rsidRPr="00C535BC">
        <w:rPr>
          <w:rStyle w:val="relative"/>
          <w:rFonts w:ascii="Times New Roman" w:hAnsi="Times New Roman" w:cs="Times New Roman"/>
          <w:b/>
          <w:bCs/>
          <w:sz w:val="24"/>
          <w:szCs w:val="24"/>
        </w:rPr>
        <w:t xml:space="preserve"> </w:t>
      </w:r>
      <w:r w:rsidRPr="00C535BC">
        <w:rPr>
          <w:rStyle w:val="relative"/>
          <w:rFonts w:ascii="Times New Roman" w:hAnsi="Times New Roman" w:cs="Times New Roman"/>
          <w:sz w:val="24"/>
          <w:szCs w:val="24"/>
        </w:rPr>
        <w:t xml:space="preserve">and </w:t>
      </w:r>
      <w:r w:rsidRPr="00C535BC">
        <w:rPr>
          <w:rStyle w:val="Strong"/>
          <w:rFonts w:ascii="Times New Roman" w:hAnsi="Times New Roman" w:cs="Times New Roman"/>
          <w:b w:val="0"/>
          <w:bCs w:val="0"/>
          <w:sz w:val="24"/>
          <w:szCs w:val="24"/>
        </w:rPr>
        <w:t>Goko Cleanser</w:t>
      </w:r>
      <w:r w:rsidRPr="00C535BC">
        <w:rPr>
          <w:rStyle w:val="relative"/>
          <w:rFonts w:ascii="Times New Roman" w:hAnsi="Times New Roman" w:cs="Times New Roman"/>
          <w:sz w:val="24"/>
          <w:szCs w:val="24"/>
        </w:rPr>
        <w:t xml:space="preserve">, </w:t>
      </w:r>
      <w:r w:rsidR="00E471F4" w:rsidRPr="00E471F4">
        <w:rPr>
          <w:rFonts w:ascii="Times New Roman" w:hAnsi="Times New Roman" w:cs="Times New Roman"/>
          <w:sz w:val="24"/>
          <w:szCs w:val="24"/>
          <w:lang w:val="en-GB"/>
        </w:rPr>
        <w:t>both of which are marketed for a wide range of perceived health benefits including detoxification, digestive support, and sexual enhancement</w:t>
      </w:r>
      <w:r w:rsidR="00E471F4">
        <w:rPr>
          <w:lang w:val="en-GB"/>
        </w:rPr>
        <w:t xml:space="preserve"> </w:t>
      </w:r>
      <w:r w:rsidR="00EC3E03">
        <w:rPr>
          <w:rStyle w:val="relative"/>
          <w:rFonts w:ascii="Times New Roman" w:hAnsi="Times New Roman" w:cs="Times New Roman"/>
          <w:sz w:val="24"/>
          <w:szCs w:val="24"/>
        </w:rPr>
        <w:t>[5]</w:t>
      </w:r>
      <w:r w:rsidRPr="00C535BC">
        <w:rPr>
          <w:rStyle w:val="relative"/>
          <w:rFonts w:ascii="Times New Roman" w:hAnsi="Times New Roman" w:cs="Times New Roman"/>
          <w:sz w:val="24"/>
          <w:szCs w:val="24"/>
        </w:rPr>
        <w:t>.</w:t>
      </w:r>
      <w:r w:rsidR="000975AD">
        <w:rPr>
          <w:rStyle w:val="relative"/>
          <w:rFonts w:ascii="Times New Roman" w:hAnsi="Times New Roman" w:cs="Times New Roman"/>
          <w:sz w:val="24"/>
          <w:szCs w:val="24"/>
        </w:rPr>
        <w:t xml:space="preserve"> </w:t>
      </w:r>
      <w:r w:rsidR="000975AD" w:rsidRPr="000975AD">
        <w:rPr>
          <w:rFonts w:ascii="Times New Roman" w:hAnsi="Times New Roman" w:cs="Times New Roman"/>
          <w:sz w:val="24"/>
          <w:szCs w:val="24"/>
          <w:lang w:val="en-GB"/>
        </w:rPr>
        <w:t>These two formulations are often used concurrently despite limited toxicological data supporting their combined safety.</w:t>
      </w:r>
      <w:r w:rsidR="00C03ED3">
        <w:rPr>
          <w:rFonts w:ascii="Times New Roman" w:hAnsi="Times New Roman" w:cs="Times New Roman"/>
          <w:sz w:val="24"/>
          <w:szCs w:val="24"/>
          <w:lang w:val="en-GB"/>
        </w:rPr>
        <w:t xml:space="preserve"> </w:t>
      </w:r>
      <w:r w:rsidR="00C03ED3" w:rsidRPr="004C3FE3">
        <w:rPr>
          <w:rFonts w:ascii="Times New Roman" w:hAnsi="Times New Roman" w:cs="Times New Roman"/>
          <w:sz w:val="24"/>
          <w:szCs w:val="24"/>
        </w:rPr>
        <w:t>Notably, in parts of southeastern Nigeria, particularly in towns like Nnewi, these herbal mixtures are typically consumed by local artisans twice daily</w:t>
      </w:r>
      <w:r w:rsidR="00C03ED3">
        <w:rPr>
          <w:rFonts w:ascii="Times New Roman" w:hAnsi="Times New Roman" w:cs="Times New Roman"/>
          <w:sz w:val="24"/>
          <w:szCs w:val="24"/>
        </w:rPr>
        <w:t xml:space="preserve"> – </w:t>
      </w:r>
      <w:r w:rsidR="00C03ED3" w:rsidRPr="004C3FE3">
        <w:rPr>
          <w:rFonts w:ascii="Times New Roman" w:hAnsi="Times New Roman" w:cs="Times New Roman"/>
          <w:sz w:val="24"/>
          <w:szCs w:val="24"/>
        </w:rPr>
        <w:t xml:space="preserve">once in </w:t>
      </w:r>
      <w:r w:rsidR="00C03ED3" w:rsidRPr="004C3FE3">
        <w:rPr>
          <w:rFonts w:ascii="Times New Roman" w:hAnsi="Times New Roman" w:cs="Times New Roman"/>
          <w:sz w:val="24"/>
          <w:szCs w:val="24"/>
        </w:rPr>
        <w:lastRenderedPageBreak/>
        <w:t xml:space="preserve">the early morning before commencing work and again in the evening after the day’s activities. This culturally rooted pattern reflects beliefs that </w:t>
      </w:r>
      <w:r w:rsidR="00C03ED3">
        <w:rPr>
          <w:rFonts w:ascii="Times New Roman" w:hAnsi="Times New Roman" w:cs="Times New Roman"/>
          <w:sz w:val="24"/>
          <w:szCs w:val="24"/>
        </w:rPr>
        <w:t xml:space="preserve">these herbal </w:t>
      </w:r>
      <w:r w:rsidR="00C03ED3" w:rsidRPr="004C3FE3">
        <w:rPr>
          <w:rFonts w:ascii="Times New Roman" w:hAnsi="Times New Roman" w:cs="Times New Roman"/>
          <w:sz w:val="24"/>
          <w:szCs w:val="24"/>
        </w:rPr>
        <w:t>drinks enhance strength, relieve fatigue, and promote general wellbeing.</w:t>
      </w:r>
    </w:p>
    <w:p w14:paraId="630A94CA" w14:textId="24DE3EF7" w:rsidR="000975AD" w:rsidRDefault="006624D0" w:rsidP="001323DB">
      <w:pPr>
        <w:pStyle w:val="NoSpacing"/>
        <w:spacing w:line="480" w:lineRule="auto"/>
        <w:jc w:val="both"/>
        <w:rPr>
          <w:rStyle w:val="relative"/>
          <w:rFonts w:ascii="Times New Roman" w:hAnsi="Times New Roman" w:cs="Times New Roman"/>
          <w:sz w:val="24"/>
          <w:szCs w:val="24"/>
        </w:rPr>
      </w:pPr>
      <w:r w:rsidRPr="00C535BC">
        <w:rPr>
          <w:rStyle w:val="relative"/>
          <w:rFonts w:ascii="Times New Roman" w:hAnsi="Times New Roman" w:cs="Times New Roman"/>
          <w:sz w:val="24"/>
          <w:szCs w:val="24"/>
        </w:rPr>
        <w:t xml:space="preserve"> </w:t>
      </w:r>
    </w:p>
    <w:p w14:paraId="5819410F" w14:textId="77777777" w:rsidR="00C03ED3" w:rsidRPr="00C03ED3" w:rsidRDefault="00C03ED3" w:rsidP="00C03ED3">
      <w:pPr>
        <w:pStyle w:val="NoSpacing"/>
        <w:spacing w:line="480" w:lineRule="auto"/>
        <w:jc w:val="both"/>
        <w:rPr>
          <w:rFonts w:ascii="Times New Roman" w:hAnsi="Times New Roman" w:cs="Times New Roman"/>
          <w:sz w:val="24"/>
          <w:szCs w:val="24"/>
          <w:lang w:val="en-GB"/>
        </w:rPr>
      </w:pPr>
      <w:r w:rsidRPr="00C03ED3">
        <w:rPr>
          <w:rFonts w:ascii="Times New Roman" w:hAnsi="Times New Roman" w:cs="Times New Roman"/>
          <w:sz w:val="24"/>
          <w:szCs w:val="24"/>
          <w:lang w:val="en-GB"/>
        </w:rPr>
        <w:t>Phytochemical analyses of these products have identified multiple bioactive constituents. Goko Cleanser herbal mixture has been reported to contain phytochemical constituents such as saponins, flavonoids, and tannins [6], while Odogwu Bitters includes alkaloids, saponins, flavonoids, and terpenoids in varying proportions [7]. Although these compounds are associated with therapeutic benefits, they may also exhibit toxicological effects depending on dosage and duration of exposure.</w:t>
      </w:r>
    </w:p>
    <w:p w14:paraId="59263C3D" w14:textId="77777777" w:rsidR="0030475B" w:rsidRPr="00C535BC" w:rsidRDefault="0030475B" w:rsidP="001323DB">
      <w:pPr>
        <w:pStyle w:val="NoSpacing"/>
        <w:spacing w:line="480" w:lineRule="auto"/>
        <w:jc w:val="both"/>
        <w:rPr>
          <w:rStyle w:val="relative"/>
          <w:rFonts w:ascii="Times New Roman" w:hAnsi="Times New Roman" w:cs="Times New Roman"/>
          <w:sz w:val="24"/>
          <w:szCs w:val="24"/>
        </w:rPr>
      </w:pPr>
    </w:p>
    <w:p w14:paraId="73A5E7D6" w14:textId="5D986B55" w:rsidR="006624D0" w:rsidRPr="00C535BC"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t xml:space="preserve">Recently, </w:t>
      </w:r>
      <w:r w:rsidRPr="00EC3E03">
        <w:rPr>
          <w:rStyle w:val="Strong"/>
          <w:rFonts w:ascii="Times New Roman" w:hAnsi="Times New Roman" w:cs="Times New Roman"/>
          <w:b w:val="0"/>
          <w:bCs w:val="0"/>
          <w:sz w:val="24"/>
          <w:szCs w:val="24"/>
        </w:rPr>
        <w:t xml:space="preserve">Onyejike et al. </w:t>
      </w:r>
      <w:r w:rsidRPr="00C535BC">
        <w:rPr>
          <w:rStyle w:val="relative"/>
          <w:rFonts w:ascii="Times New Roman" w:hAnsi="Times New Roman" w:cs="Times New Roman"/>
          <w:sz w:val="24"/>
          <w:szCs w:val="24"/>
        </w:rPr>
        <w:t xml:space="preserve">conducted a </w:t>
      </w:r>
      <w:r w:rsidRPr="00EC3E03">
        <w:rPr>
          <w:rStyle w:val="Strong"/>
          <w:rFonts w:ascii="Times New Roman" w:hAnsi="Times New Roman" w:cs="Times New Roman"/>
          <w:b w:val="0"/>
          <w:bCs w:val="0"/>
          <w:sz w:val="24"/>
          <w:szCs w:val="24"/>
        </w:rPr>
        <w:t>preliminary study</w:t>
      </w:r>
      <w:r w:rsidRPr="00C535BC">
        <w:rPr>
          <w:rStyle w:val="relative"/>
          <w:rFonts w:ascii="Times New Roman" w:hAnsi="Times New Roman" w:cs="Times New Roman"/>
          <w:sz w:val="24"/>
          <w:szCs w:val="24"/>
        </w:rPr>
        <w:t xml:space="preserve"> on the biochemical and nephrotoxic effects of co-administered Odogwu Bitters and Goko Cleanser in male Wistar rats. Their findings demonstrated significant increases in renal biomarkers (urea and creatinine), highlighting potential organ-specific toxicity</w:t>
      </w:r>
      <w:r w:rsidR="00EC3E03">
        <w:rPr>
          <w:rStyle w:val="relative"/>
          <w:rFonts w:ascii="Times New Roman" w:hAnsi="Times New Roman" w:cs="Times New Roman"/>
          <w:sz w:val="24"/>
          <w:szCs w:val="24"/>
        </w:rPr>
        <w:t xml:space="preserve"> [5]</w:t>
      </w:r>
      <w:r w:rsidRPr="00C535BC">
        <w:rPr>
          <w:rFonts w:ascii="Times New Roman" w:hAnsi="Times New Roman" w:cs="Times New Roman"/>
          <w:sz w:val="24"/>
          <w:szCs w:val="24"/>
        </w:rPr>
        <w:t xml:space="preserve">. </w:t>
      </w:r>
      <w:r w:rsidRPr="00C535BC">
        <w:rPr>
          <w:rStyle w:val="relative"/>
          <w:rFonts w:ascii="Times New Roman" w:hAnsi="Times New Roman" w:cs="Times New Roman"/>
          <w:sz w:val="24"/>
          <w:szCs w:val="24"/>
        </w:rPr>
        <w:t xml:space="preserve">In parallel, </w:t>
      </w:r>
      <w:r w:rsidR="00EC3E03">
        <w:rPr>
          <w:rStyle w:val="relative"/>
          <w:rFonts w:ascii="Times New Roman" w:hAnsi="Times New Roman" w:cs="Times New Roman"/>
          <w:sz w:val="24"/>
          <w:szCs w:val="24"/>
        </w:rPr>
        <w:t xml:space="preserve">another study </w:t>
      </w:r>
      <w:r w:rsidRPr="00C535BC">
        <w:rPr>
          <w:rStyle w:val="relative"/>
          <w:rFonts w:ascii="Times New Roman" w:hAnsi="Times New Roman" w:cs="Times New Roman"/>
          <w:sz w:val="24"/>
          <w:szCs w:val="24"/>
        </w:rPr>
        <w:t>evaluated the effects of these formulations on kidney histopathology and observed no structural damage</w:t>
      </w:r>
      <w:r w:rsidR="008674BA">
        <w:rPr>
          <w:rStyle w:val="relative"/>
          <w:rFonts w:ascii="Times New Roman" w:hAnsi="Times New Roman" w:cs="Times New Roman"/>
          <w:sz w:val="24"/>
          <w:szCs w:val="24"/>
        </w:rPr>
        <w:t xml:space="preserve"> [</w:t>
      </w:r>
      <w:r w:rsidR="00C03ED3">
        <w:rPr>
          <w:rStyle w:val="relative"/>
          <w:rFonts w:ascii="Times New Roman" w:hAnsi="Times New Roman" w:cs="Times New Roman"/>
          <w:sz w:val="24"/>
          <w:szCs w:val="24"/>
        </w:rPr>
        <w:t>7</w:t>
      </w:r>
      <w:r w:rsidR="008674BA">
        <w:rPr>
          <w:rStyle w:val="relative"/>
          <w:rFonts w:ascii="Times New Roman" w:hAnsi="Times New Roman" w:cs="Times New Roman"/>
          <w:sz w:val="24"/>
          <w:szCs w:val="24"/>
        </w:rPr>
        <w:t>].</w:t>
      </w:r>
      <w:r w:rsidR="006148EC">
        <w:rPr>
          <w:rStyle w:val="relative"/>
          <w:rFonts w:ascii="Times New Roman" w:hAnsi="Times New Roman" w:cs="Times New Roman"/>
          <w:sz w:val="24"/>
          <w:szCs w:val="24"/>
        </w:rPr>
        <w:t xml:space="preserve"> </w:t>
      </w:r>
      <w:r w:rsidRPr="00C535BC">
        <w:rPr>
          <w:rStyle w:val="relative"/>
          <w:rFonts w:ascii="Times New Roman" w:hAnsi="Times New Roman" w:cs="Times New Roman"/>
          <w:sz w:val="24"/>
          <w:szCs w:val="24"/>
        </w:rPr>
        <w:t>Beyond renal outcomes, other studies</w:t>
      </w:r>
      <w:r w:rsidR="008674BA">
        <w:rPr>
          <w:rStyle w:val="relative"/>
          <w:rFonts w:ascii="Times New Roman" w:hAnsi="Times New Roman" w:cs="Times New Roman"/>
          <w:sz w:val="24"/>
          <w:szCs w:val="24"/>
        </w:rPr>
        <w:t xml:space="preserve"> – </w:t>
      </w:r>
      <w:r w:rsidRPr="00C535BC">
        <w:rPr>
          <w:rStyle w:val="relative"/>
          <w:rFonts w:ascii="Times New Roman" w:hAnsi="Times New Roman" w:cs="Times New Roman"/>
          <w:sz w:val="24"/>
          <w:szCs w:val="24"/>
        </w:rPr>
        <w:t>such as those examining Goko Cleanser alone</w:t>
      </w:r>
      <w:r w:rsidR="008674BA">
        <w:rPr>
          <w:rStyle w:val="relative"/>
          <w:rFonts w:ascii="Times New Roman" w:hAnsi="Times New Roman" w:cs="Times New Roman"/>
          <w:sz w:val="24"/>
          <w:szCs w:val="24"/>
        </w:rPr>
        <w:t xml:space="preserve"> </w:t>
      </w:r>
      <w:r w:rsidRPr="00C535BC">
        <w:rPr>
          <w:rStyle w:val="relative"/>
          <w:rFonts w:ascii="Times New Roman" w:hAnsi="Times New Roman" w:cs="Times New Roman"/>
          <w:sz w:val="24"/>
          <w:szCs w:val="24"/>
        </w:rPr>
        <w:t xml:space="preserve">have reported </w:t>
      </w:r>
      <w:r w:rsidRPr="008674BA">
        <w:rPr>
          <w:rStyle w:val="Strong"/>
          <w:rFonts w:ascii="Times New Roman" w:hAnsi="Times New Roman" w:cs="Times New Roman"/>
          <w:b w:val="0"/>
          <w:bCs w:val="0"/>
          <w:sz w:val="24"/>
          <w:szCs w:val="24"/>
        </w:rPr>
        <w:t>hepatic microarchitectural alterations</w:t>
      </w:r>
      <w:r w:rsidRPr="00C535BC">
        <w:rPr>
          <w:rStyle w:val="relative"/>
          <w:rFonts w:ascii="Times New Roman" w:hAnsi="Times New Roman" w:cs="Times New Roman"/>
          <w:sz w:val="24"/>
          <w:szCs w:val="24"/>
        </w:rPr>
        <w:t xml:space="preserve"> including lobular inflammation and mild necrosis in female Wistar rats</w:t>
      </w:r>
      <w:r w:rsidR="008674BA">
        <w:rPr>
          <w:rStyle w:val="relative"/>
          <w:rFonts w:ascii="Times New Roman" w:hAnsi="Times New Roman" w:cs="Times New Roman"/>
          <w:sz w:val="24"/>
          <w:szCs w:val="24"/>
        </w:rPr>
        <w:t xml:space="preserve"> [</w:t>
      </w:r>
      <w:r w:rsidR="00C03ED3">
        <w:rPr>
          <w:rStyle w:val="relative"/>
          <w:rFonts w:ascii="Times New Roman" w:hAnsi="Times New Roman" w:cs="Times New Roman"/>
          <w:sz w:val="24"/>
          <w:szCs w:val="24"/>
        </w:rPr>
        <w:t>8</w:t>
      </w:r>
      <w:r w:rsidR="008674BA">
        <w:rPr>
          <w:rStyle w:val="relative"/>
          <w:rFonts w:ascii="Times New Roman" w:hAnsi="Times New Roman" w:cs="Times New Roman"/>
          <w:sz w:val="24"/>
          <w:szCs w:val="24"/>
        </w:rPr>
        <w:t>]</w:t>
      </w:r>
      <w:r w:rsidRPr="00C535BC">
        <w:rPr>
          <w:rFonts w:ascii="Times New Roman" w:hAnsi="Times New Roman" w:cs="Times New Roman"/>
          <w:sz w:val="24"/>
          <w:szCs w:val="24"/>
        </w:rPr>
        <w:t xml:space="preserve">. </w:t>
      </w:r>
      <w:r w:rsidRPr="00C535BC">
        <w:rPr>
          <w:rStyle w:val="relative"/>
          <w:rFonts w:ascii="Times New Roman" w:hAnsi="Times New Roman" w:cs="Times New Roman"/>
          <w:sz w:val="24"/>
          <w:szCs w:val="24"/>
        </w:rPr>
        <w:t>Additionally, findings from overdose studies in the Niger Delta region documented significant elevations in AST, ALT, and ALP following high-dose administration of Goko Cleanser and other bitters, signaling hepatic stress under overdose conditions</w:t>
      </w:r>
      <w:r w:rsidRPr="00C535BC">
        <w:rPr>
          <w:rFonts w:ascii="Times New Roman" w:hAnsi="Times New Roman" w:cs="Times New Roman"/>
          <w:sz w:val="24"/>
          <w:szCs w:val="24"/>
        </w:rPr>
        <w:t xml:space="preserve"> </w:t>
      </w:r>
      <w:r w:rsidR="00C37918">
        <w:rPr>
          <w:rStyle w:val="ms-1"/>
          <w:rFonts w:ascii="Times New Roman" w:hAnsi="Times New Roman" w:cs="Times New Roman"/>
          <w:sz w:val="24"/>
          <w:szCs w:val="24"/>
        </w:rPr>
        <w:t>[</w:t>
      </w:r>
      <w:r w:rsidR="00C03ED3">
        <w:rPr>
          <w:rStyle w:val="ms-1"/>
          <w:rFonts w:ascii="Times New Roman" w:hAnsi="Times New Roman" w:cs="Times New Roman"/>
          <w:sz w:val="24"/>
          <w:szCs w:val="24"/>
        </w:rPr>
        <w:t>9</w:t>
      </w:r>
      <w:r w:rsidR="00C37918">
        <w:rPr>
          <w:rStyle w:val="ms-1"/>
          <w:rFonts w:ascii="Times New Roman" w:hAnsi="Times New Roman" w:cs="Times New Roman"/>
          <w:sz w:val="24"/>
          <w:szCs w:val="24"/>
        </w:rPr>
        <w:t>].</w:t>
      </w:r>
    </w:p>
    <w:p w14:paraId="6002B1B6" w14:textId="77777777" w:rsidR="0030475B" w:rsidRPr="00C535BC" w:rsidRDefault="0030475B" w:rsidP="001323DB">
      <w:pPr>
        <w:pStyle w:val="NoSpacing"/>
        <w:spacing w:line="480" w:lineRule="auto"/>
        <w:jc w:val="both"/>
        <w:rPr>
          <w:rStyle w:val="relative"/>
          <w:rFonts w:ascii="Times New Roman" w:hAnsi="Times New Roman" w:cs="Times New Roman"/>
          <w:sz w:val="24"/>
          <w:szCs w:val="24"/>
        </w:rPr>
      </w:pPr>
    </w:p>
    <w:p w14:paraId="5B6521F5" w14:textId="3BB7E020" w:rsidR="0030475B"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lastRenderedPageBreak/>
        <w:t xml:space="preserve">Despite </w:t>
      </w:r>
      <w:r w:rsidR="0075441E" w:rsidRPr="00C535BC">
        <w:rPr>
          <w:rStyle w:val="relative"/>
          <w:rFonts w:ascii="Times New Roman" w:hAnsi="Times New Roman" w:cs="Times New Roman"/>
          <w:sz w:val="24"/>
          <w:szCs w:val="24"/>
        </w:rPr>
        <w:t>th</w:t>
      </w:r>
      <w:r w:rsidR="0075441E">
        <w:rPr>
          <w:rStyle w:val="relative"/>
          <w:rFonts w:ascii="Times New Roman" w:hAnsi="Times New Roman" w:cs="Times New Roman"/>
          <w:sz w:val="24"/>
          <w:szCs w:val="24"/>
        </w:rPr>
        <w:t>is</w:t>
      </w:r>
      <w:r w:rsidR="00C37918">
        <w:rPr>
          <w:rStyle w:val="relative"/>
          <w:rFonts w:ascii="Times New Roman" w:hAnsi="Times New Roman" w:cs="Times New Roman"/>
          <w:sz w:val="24"/>
          <w:szCs w:val="24"/>
        </w:rPr>
        <w:t xml:space="preserve"> </w:t>
      </w:r>
      <w:r w:rsidRPr="00C535BC">
        <w:rPr>
          <w:rStyle w:val="relative"/>
          <w:rFonts w:ascii="Times New Roman" w:hAnsi="Times New Roman" w:cs="Times New Roman"/>
          <w:sz w:val="24"/>
          <w:szCs w:val="24"/>
        </w:rPr>
        <w:t xml:space="preserve">emerging data, no study to date has biochemically evaluated </w:t>
      </w:r>
      <w:r w:rsidRPr="00C37918">
        <w:rPr>
          <w:rStyle w:val="Strong"/>
          <w:rFonts w:ascii="Times New Roman" w:hAnsi="Times New Roman" w:cs="Times New Roman"/>
          <w:b w:val="0"/>
          <w:bCs w:val="0"/>
          <w:sz w:val="24"/>
          <w:szCs w:val="24"/>
        </w:rPr>
        <w:t>hepatic enzyme responses (ALP, AST, ALT)</w:t>
      </w:r>
      <w:r w:rsidRPr="00C535BC">
        <w:rPr>
          <w:rStyle w:val="relative"/>
          <w:rFonts w:ascii="Times New Roman" w:hAnsi="Times New Roman" w:cs="Times New Roman"/>
          <w:sz w:val="24"/>
          <w:szCs w:val="24"/>
        </w:rPr>
        <w:t xml:space="preserve"> following </w:t>
      </w:r>
      <w:r w:rsidRPr="00C37918">
        <w:rPr>
          <w:rStyle w:val="Strong"/>
          <w:rFonts w:ascii="Times New Roman" w:hAnsi="Times New Roman" w:cs="Times New Roman"/>
          <w:b w:val="0"/>
          <w:bCs w:val="0"/>
          <w:sz w:val="24"/>
          <w:szCs w:val="24"/>
        </w:rPr>
        <w:t>co-administration</w:t>
      </w:r>
      <w:r w:rsidRPr="00C535BC">
        <w:rPr>
          <w:rStyle w:val="relative"/>
          <w:rFonts w:ascii="Times New Roman" w:hAnsi="Times New Roman" w:cs="Times New Roman"/>
          <w:sz w:val="24"/>
          <w:szCs w:val="24"/>
        </w:rPr>
        <w:t xml:space="preserve"> of Odogwu Bitters and Goko Cleanser. Given the liver’s central role in metabolic processing and the popularity of concurrent usage, there is an urgent need to characterize potential hepatotoxic effects of these products, even under normal dosing conditions.</w:t>
      </w:r>
      <w:r w:rsidR="001E0590">
        <w:rPr>
          <w:rStyle w:val="relative"/>
          <w:rFonts w:ascii="Times New Roman" w:hAnsi="Times New Roman" w:cs="Times New Roman"/>
          <w:sz w:val="24"/>
          <w:szCs w:val="24"/>
        </w:rPr>
        <w:t xml:space="preserve"> </w:t>
      </w:r>
      <w:r w:rsidR="006148EC" w:rsidRPr="006148EC">
        <w:rPr>
          <w:rFonts w:ascii="Times New Roman" w:hAnsi="Times New Roman" w:cs="Times New Roman"/>
          <w:sz w:val="24"/>
          <w:szCs w:val="24"/>
          <w:highlight w:val="yellow"/>
        </w:rPr>
        <w:t>Although these formulations are widely consumed and often considered part of traditional health practices, the regulatory oversight of herbal medicines in Nigeria is limited. While the National Agency for Food and Drug Administration and Control (NAFDAC) requires herbal products to be registered, the process largely focuses on labeling and basic safety documentation without demanding extensive toxicological or clinical evidence</w:t>
      </w:r>
      <w:r w:rsidR="006148EC">
        <w:rPr>
          <w:rFonts w:ascii="Times New Roman" w:hAnsi="Times New Roman" w:cs="Times New Roman"/>
          <w:sz w:val="24"/>
          <w:szCs w:val="24"/>
          <w:highlight w:val="yellow"/>
        </w:rPr>
        <w:t xml:space="preserve"> [10]</w:t>
      </w:r>
      <w:r w:rsidR="006148EC" w:rsidRPr="006148EC">
        <w:rPr>
          <w:rFonts w:ascii="Times New Roman" w:hAnsi="Times New Roman" w:cs="Times New Roman"/>
          <w:sz w:val="24"/>
          <w:szCs w:val="24"/>
          <w:highlight w:val="yellow"/>
        </w:rPr>
        <w:t>. Consequently, many herbal mixtures</w:t>
      </w:r>
      <w:r w:rsidR="006148EC">
        <w:rPr>
          <w:rFonts w:ascii="Times New Roman" w:hAnsi="Times New Roman" w:cs="Times New Roman"/>
          <w:sz w:val="24"/>
          <w:szCs w:val="24"/>
          <w:highlight w:val="yellow"/>
        </w:rPr>
        <w:t xml:space="preserve"> – </w:t>
      </w:r>
      <w:r w:rsidR="006148EC" w:rsidRPr="006148EC">
        <w:rPr>
          <w:rFonts w:ascii="Times New Roman" w:hAnsi="Times New Roman" w:cs="Times New Roman"/>
          <w:sz w:val="24"/>
          <w:szCs w:val="24"/>
          <w:highlight w:val="yellow"/>
        </w:rPr>
        <w:t>whether traditionally used or commercially marketed</w:t>
      </w:r>
      <w:r w:rsidR="006148EC">
        <w:rPr>
          <w:rFonts w:ascii="Times New Roman" w:hAnsi="Times New Roman" w:cs="Times New Roman"/>
          <w:sz w:val="24"/>
          <w:szCs w:val="24"/>
          <w:highlight w:val="yellow"/>
        </w:rPr>
        <w:t xml:space="preserve"> – </w:t>
      </w:r>
      <w:r w:rsidR="006148EC" w:rsidRPr="006148EC">
        <w:rPr>
          <w:rFonts w:ascii="Times New Roman" w:hAnsi="Times New Roman" w:cs="Times New Roman"/>
          <w:sz w:val="24"/>
          <w:szCs w:val="24"/>
          <w:highlight w:val="yellow"/>
        </w:rPr>
        <w:t>circulate with minimal scientific validation. This study is therefore timely in contributing to the evidence base needed to inform both public health awareness and regulatory attention.</w:t>
      </w:r>
    </w:p>
    <w:p w14:paraId="482A2683" w14:textId="77777777" w:rsidR="006148EC" w:rsidRPr="00C535BC" w:rsidRDefault="006148EC" w:rsidP="001323DB">
      <w:pPr>
        <w:pStyle w:val="NoSpacing"/>
        <w:spacing w:line="480" w:lineRule="auto"/>
        <w:jc w:val="both"/>
        <w:rPr>
          <w:rStyle w:val="relative"/>
          <w:rFonts w:ascii="Times New Roman" w:hAnsi="Times New Roman" w:cs="Times New Roman"/>
          <w:sz w:val="24"/>
          <w:szCs w:val="24"/>
        </w:rPr>
      </w:pPr>
    </w:p>
    <w:p w14:paraId="48D5F06C" w14:textId="4E27EC4D" w:rsidR="006624D0" w:rsidRPr="00C535BC" w:rsidRDefault="006624D0" w:rsidP="001323DB">
      <w:pPr>
        <w:pStyle w:val="NoSpacing"/>
        <w:spacing w:line="480" w:lineRule="auto"/>
        <w:jc w:val="both"/>
        <w:rPr>
          <w:rFonts w:ascii="Times New Roman" w:hAnsi="Times New Roman" w:cs="Times New Roman"/>
          <w:sz w:val="24"/>
          <w:szCs w:val="24"/>
        </w:rPr>
      </w:pPr>
      <w:r w:rsidRPr="00C535BC">
        <w:rPr>
          <w:rStyle w:val="relative"/>
          <w:rFonts w:ascii="Times New Roman" w:hAnsi="Times New Roman" w:cs="Times New Roman"/>
          <w:sz w:val="24"/>
          <w:szCs w:val="24"/>
        </w:rPr>
        <w:t xml:space="preserve">Therefore, the current </w:t>
      </w:r>
      <w:r w:rsidRPr="00C37918">
        <w:rPr>
          <w:rStyle w:val="Strong"/>
          <w:rFonts w:ascii="Times New Roman" w:hAnsi="Times New Roman" w:cs="Times New Roman"/>
          <w:b w:val="0"/>
          <w:bCs w:val="0"/>
          <w:sz w:val="24"/>
          <w:szCs w:val="24"/>
        </w:rPr>
        <w:t>preliminary study</w:t>
      </w:r>
      <w:r w:rsidRPr="00C535BC">
        <w:rPr>
          <w:rStyle w:val="relative"/>
          <w:rFonts w:ascii="Times New Roman" w:hAnsi="Times New Roman" w:cs="Times New Roman"/>
          <w:sz w:val="24"/>
          <w:szCs w:val="24"/>
        </w:rPr>
        <w:t xml:space="preserve"> was designed to assess hepatic function by measuring serum ALP, AST, and ALT levels in adult male Wistar rats following co-administration of Odogwu Bitters and Goko Cleanser. It aims to provide baseline evidence of their hepatotoxic potential and to inform risk-benefit considerations and regulatory oversight of commonly used herbal formulations.</w:t>
      </w:r>
    </w:p>
    <w:p w14:paraId="53F3531C" w14:textId="77777777" w:rsidR="0024011E" w:rsidRPr="00F2137B" w:rsidRDefault="0024011E" w:rsidP="001323DB">
      <w:pPr>
        <w:pStyle w:val="NoSpacing"/>
        <w:spacing w:line="480" w:lineRule="auto"/>
        <w:jc w:val="both"/>
        <w:rPr>
          <w:rFonts w:ascii="Times New Roman" w:eastAsia="TimesNewRoman" w:hAnsi="Times New Roman" w:cs="Times New Roman"/>
          <w:sz w:val="24"/>
          <w:szCs w:val="24"/>
        </w:rPr>
      </w:pPr>
    </w:p>
    <w:p w14:paraId="3552A5A2" w14:textId="1CFF4CA6" w:rsidR="005B69A7" w:rsidRPr="00F2137B" w:rsidRDefault="005B69A7" w:rsidP="001323DB">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MATERIALS AND METHOD</w:t>
      </w:r>
    </w:p>
    <w:p w14:paraId="3436B604" w14:textId="1C66924F" w:rsidR="00F2137B" w:rsidRPr="00F2137B" w:rsidRDefault="00460C0A" w:rsidP="001323DB">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Ethics Approval</w:t>
      </w:r>
    </w:p>
    <w:p w14:paraId="0BBA3158" w14:textId="26CAD2DC" w:rsidR="001323DB" w:rsidRPr="001323DB" w:rsidRDefault="001323DB" w:rsidP="001323DB">
      <w:pPr>
        <w:pStyle w:val="NoSpacing"/>
        <w:spacing w:line="480" w:lineRule="auto"/>
        <w:jc w:val="both"/>
        <w:rPr>
          <w:rFonts w:ascii="Times New Roman" w:hAnsi="Times New Roman" w:cs="Times New Roman"/>
          <w:sz w:val="24"/>
          <w:szCs w:val="24"/>
        </w:rPr>
      </w:pPr>
      <w:r w:rsidRPr="001323DB">
        <w:rPr>
          <w:rFonts w:ascii="Times New Roman" w:hAnsi="Times New Roman" w:cs="Times New Roman"/>
          <w:sz w:val="24"/>
          <w:szCs w:val="24"/>
        </w:rPr>
        <w:t xml:space="preserve">The ethical approval was obtained from the ethical committee of Faculty of Basic Medical Sciences, College of Health Sciences, Nnamdi Azikiwe University, Nnewi Campus, Anambra </w:t>
      </w:r>
      <w:r w:rsidRPr="001323DB">
        <w:rPr>
          <w:rFonts w:ascii="Times New Roman" w:hAnsi="Times New Roman" w:cs="Times New Roman"/>
          <w:sz w:val="24"/>
          <w:szCs w:val="24"/>
        </w:rPr>
        <w:lastRenderedPageBreak/>
        <w:t>State, with the approval number of NAU/CHS/NC/FMBS/574 which was dated on the 8th of August 2023.</w:t>
      </w:r>
    </w:p>
    <w:p w14:paraId="49E04373" w14:textId="77777777" w:rsidR="00EB7144" w:rsidRPr="001323DB" w:rsidRDefault="00EB7144" w:rsidP="001323DB">
      <w:pPr>
        <w:pStyle w:val="NoSpacing"/>
        <w:spacing w:line="480" w:lineRule="auto"/>
        <w:jc w:val="both"/>
        <w:rPr>
          <w:rFonts w:ascii="Times New Roman" w:hAnsi="Times New Roman" w:cs="Times New Roman"/>
          <w:sz w:val="24"/>
          <w:szCs w:val="24"/>
        </w:rPr>
      </w:pPr>
    </w:p>
    <w:p w14:paraId="14650482" w14:textId="77777777" w:rsidR="005154C4" w:rsidRDefault="00460C0A" w:rsidP="005B1A8D">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Materials</w:t>
      </w:r>
    </w:p>
    <w:p w14:paraId="04AD2AE6" w14:textId="2144EDE4"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This study involved f</w:t>
      </w:r>
      <w:r>
        <w:rPr>
          <w:rFonts w:ascii="Times New Roman" w:hAnsi="Times New Roman" w:cs="Times New Roman"/>
          <w:sz w:val="24"/>
          <w:szCs w:val="24"/>
          <w:lang w:val="en-GB"/>
        </w:rPr>
        <w:t>ifty</w:t>
      </w:r>
      <w:r w:rsidRPr="00071C7C">
        <w:rPr>
          <w:rFonts w:ascii="Times New Roman" w:hAnsi="Times New Roman" w:cs="Times New Roman"/>
          <w:sz w:val="24"/>
          <w:szCs w:val="24"/>
          <w:lang w:val="en-GB"/>
        </w:rPr>
        <w:t xml:space="preserve"> (</w:t>
      </w:r>
      <w:r w:rsidR="00E76AA5">
        <w:rPr>
          <w:rFonts w:ascii="Times New Roman" w:hAnsi="Times New Roman" w:cs="Times New Roman"/>
          <w:sz w:val="24"/>
          <w:szCs w:val="24"/>
          <w:lang w:val="en-GB"/>
        </w:rPr>
        <w:t>5</w:t>
      </w:r>
      <w:r w:rsidRPr="00071C7C">
        <w:rPr>
          <w:rFonts w:ascii="Times New Roman" w:hAnsi="Times New Roman" w:cs="Times New Roman"/>
          <w:sz w:val="24"/>
          <w:szCs w:val="24"/>
          <w:lang w:val="en-GB"/>
        </w:rPr>
        <w:t xml:space="preserve">0) male </w:t>
      </w:r>
      <w:r w:rsidR="00E76AA5">
        <w:rPr>
          <w:rFonts w:ascii="Times New Roman" w:hAnsi="Times New Roman" w:cs="Times New Roman"/>
          <w:sz w:val="24"/>
          <w:szCs w:val="24"/>
          <w:lang w:val="en-GB"/>
        </w:rPr>
        <w:t xml:space="preserve">adult </w:t>
      </w:r>
      <w:r w:rsidRPr="00071C7C">
        <w:rPr>
          <w:rFonts w:ascii="Times New Roman" w:hAnsi="Times New Roman" w:cs="Times New Roman"/>
          <w:sz w:val="24"/>
          <w:szCs w:val="24"/>
          <w:lang w:val="en-GB"/>
        </w:rPr>
        <w:t>Wistar rats, each weighing between 1</w:t>
      </w:r>
      <w:r w:rsidR="00E76AA5">
        <w:rPr>
          <w:rFonts w:ascii="Times New Roman" w:hAnsi="Times New Roman" w:cs="Times New Roman"/>
          <w:sz w:val="24"/>
          <w:szCs w:val="24"/>
          <w:lang w:val="en-GB"/>
        </w:rPr>
        <w:t>50</w:t>
      </w:r>
      <w:r w:rsidRPr="00071C7C">
        <w:rPr>
          <w:rFonts w:ascii="Times New Roman" w:hAnsi="Times New Roman" w:cs="Times New Roman"/>
          <w:sz w:val="24"/>
          <w:szCs w:val="24"/>
          <w:lang w:val="en-GB"/>
        </w:rPr>
        <w:t xml:space="preserve"> g and 2</w:t>
      </w:r>
      <w:r w:rsidR="00E76AA5">
        <w:rPr>
          <w:rFonts w:ascii="Times New Roman" w:hAnsi="Times New Roman" w:cs="Times New Roman"/>
          <w:sz w:val="24"/>
          <w:szCs w:val="24"/>
          <w:lang w:val="en-GB"/>
        </w:rPr>
        <w:t>0</w:t>
      </w:r>
      <w:r w:rsidRPr="00071C7C">
        <w:rPr>
          <w:rFonts w:ascii="Times New Roman" w:hAnsi="Times New Roman" w:cs="Times New Roman"/>
          <w:sz w:val="24"/>
          <w:szCs w:val="24"/>
          <w:lang w:val="en-GB"/>
        </w:rPr>
        <w:t>0 g</w:t>
      </w:r>
      <w:r w:rsidR="00EE2424">
        <w:rPr>
          <w:rFonts w:ascii="Times New Roman" w:hAnsi="Times New Roman" w:cs="Times New Roman"/>
          <w:sz w:val="24"/>
          <w:szCs w:val="24"/>
          <w:lang w:val="en-GB"/>
        </w:rPr>
        <w:t xml:space="preserve">. </w:t>
      </w:r>
      <w:r w:rsidRPr="00071C7C">
        <w:rPr>
          <w:rFonts w:ascii="Times New Roman" w:hAnsi="Times New Roman" w:cs="Times New Roman"/>
          <w:sz w:val="24"/>
          <w:szCs w:val="24"/>
          <w:lang w:val="en-GB"/>
        </w:rPr>
        <w:t xml:space="preserve">The animals were obtained from a private breeder located in Nsukka, Enugu State, Nigeria. Upon arrival at the laboratory, the rats were allowed to acclimate for two weeks, during which they had free access to food and clean water. Before transportation, a </w:t>
      </w:r>
      <w:r w:rsidR="00E76AA5">
        <w:rPr>
          <w:rFonts w:ascii="Times New Roman" w:hAnsi="Times New Roman" w:cs="Times New Roman"/>
          <w:sz w:val="24"/>
          <w:szCs w:val="24"/>
          <w:lang w:val="en-GB"/>
        </w:rPr>
        <w:t>v</w:t>
      </w:r>
      <w:r w:rsidRPr="00071C7C">
        <w:rPr>
          <w:rFonts w:ascii="Times New Roman" w:hAnsi="Times New Roman" w:cs="Times New Roman"/>
          <w:sz w:val="24"/>
          <w:szCs w:val="24"/>
          <w:lang w:val="en-GB"/>
        </w:rPr>
        <w:t>eterinarian verified the health status of the rats, and they were conveyed to the research site under ethical and humane conditions.</w:t>
      </w:r>
    </w:p>
    <w:p w14:paraId="1B36E640" w14:textId="77777777" w:rsidR="00071C7C" w:rsidRDefault="00071C7C" w:rsidP="00071C7C">
      <w:pPr>
        <w:pStyle w:val="NoSpacing"/>
        <w:spacing w:line="480" w:lineRule="auto"/>
        <w:jc w:val="both"/>
        <w:rPr>
          <w:rFonts w:ascii="Times New Roman" w:hAnsi="Times New Roman" w:cs="Times New Roman"/>
          <w:sz w:val="24"/>
          <w:szCs w:val="24"/>
          <w:lang w:val="en-GB"/>
        </w:rPr>
      </w:pPr>
    </w:p>
    <w:p w14:paraId="02537B1F" w14:textId="07852DB3"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The animals were housed in roomy, stainless-steel cages with proper ventilation and maintained at ambient room temperature. A regular 12-hour light/dark cycle was observed throughout the experiment. The health of the animals was closely monitored, and they were fed with a standard commercial diet while being supplied with fresh drinking water daily. Cage cleanliness was ensured by replacing the sawdust bedding daily and maintaining overall hygiene to prevent contamination or disease.</w:t>
      </w:r>
    </w:p>
    <w:p w14:paraId="39A1995C" w14:textId="77777777" w:rsidR="00071C7C" w:rsidRDefault="00071C7C" w:rsidP="00071C7C">
      <w:pPr>
        <w:pStyle w:val="NoSpacing"/>
        <w:spacing w:line="480" w:lineRule="auto"/>
        <w:jc w:val="both"/>
        <w:rPr>
          <w:rFonts w:ascii="Times New Roman" w:hAnsi="Times New Roman" w:cs="Times New Roman"/>
          <w:sz w:val="24"/>
          <w:szCs w:val="24"/>
          <w:lang w:val="en-GB"/>
        </w:rPr>
      </w:pPr>
    </w:p>
    <w:p w14:paraId="57A70544" w14:textId="471EBD18" w:rsidR="00071C7C" w:rsidRPr="00071C7C" w:rsidRDefault="00071C7C" w:rsidP="00071C7C">
      <w:pPr>
        <w:pStyle w:val="NoSpacing"/>
        <w:spacing w:line="480" w:lineRule="auto"/>
        <w:jc w:val="both"/>
        <w:rPr>
          <w:rFonts w:ascii="Times New Roman" w:hAnsi="Times New Roman" w:cs="Times New Roman"/>
          <w:sz w:val="24"/>
          <w:szCs w:val="24"/>
          <w:lang w:val="en-GB"/>
        </w:rPr>
      </w:pPr>
      <w:r w:rsidRPr="00071C7C">
        <w:rPr>
          <w:rFonts w:ascii="Times New Roman" w:hAnsi="Times New Roman" w:cs="Times New Roman"/>
          <w:sz w:val="24"/>
          <w:szCs w:val="24"/>
          <w:lang w:val="en-GB"/>
        </w:rPr>
        <w:t>The herbal formulations used in the research</w:t>
      </w:r>
      <w:r w:rsidR="00E76AA5">
        <w:rPr>
          <w:rFonts w:ascii="Times New Roman" w:hAnsi="Times New Roman" w:cs="Times New Roman"/>
          <w:sz w:val="24"/>
          <w:szCs w:val="24"/>
          <w:lang w:val="en-GB"/>
        </w:rPr>
        <w:t xml:space="preserve"> – </w:t>
      </w:r>
      <w:r w:rsidRPr="00071C7C">
        <w:rPr>
          <w:rFonts w:ascii="Times New Roman" w:hAnsi="Times New Roman" w:cs="Times New Roman"/>
          <w:sz w:val="24"/>
          <w:szCs w:val="24"/>
          <w:lang w:val="en-GB"/>
        </w:rPr>
        <w:t>Odogwu Bitters and Goko Cleanser Herbal Mixture</w:t>
      </w:r>
      <w:r w:rsidR="00E76AA5">
        <w:rPr>
          <w:rFonts w:ascii="Times New Roman" w:hAnsi="Times New Roman" w:cs="Times New Roman"/>
          <w:sz w:val="24"/>
          <w:szCs w:val="24"/>
          <w:lang w:val="en-GB"/>
        </w:rPr>
        <w:t xml:space="preserve"> </w:t>
      </w:r>
      <w:r w:rsidRPr="00071C7C">
        <w:rPr>
          <w:rFonts w:ascii="Times New Roman" w:hAnsi="Times New Roman" w:cs="Times New Roman"/>
          <w:sz w:val="24"/>
          <w:szCs w:val="24"/>
          <w:lang w:val="en-GB"/>
        </w:rPr>
        <w:t xml:space="preserve">were procured in 200 mL bottles from licensed vendors at Nkwo Market, Nnewi, Anambra State, Nigeria. The animals’ feed, Top Feeds Grower’s Mash Super-Deluxe, was produced by Eastern Premier Feed Mills Limited, a division of Premier Feed Mills Company Limited, Plateau State, Nigeria. Distilled water for the study was supplied by the Department of </w:t>
      </w:r>
      <w:r w:rsidR="00E76AA5">
        <w:rPr>
          <w:rFonts w:ascii="Times New Roman" w:hAnsi="Times New Roman" w:cs="Times New Roman"/>
          <w:sz w:val="24"/>
          <w:szCs w:val="24"/>
          <w:lang w:val="en-GB"/>
        </w:rPr>
        <w:lastRenderedPageBreak/>
        <w:t>Human Biochemistry</w:t>
      </w:r>
      <w:r w:rsidRPr="00071C7C">
        <w:rPr>
          <w:rFonts w:ascii="Times New Roman" w:hAnsi="Times New Roman" w:cs="Times New Roman"/>
          <w:sz w:val="24"/>
          <w:szCs w:val="24"/>
          <w:lang w:val="en-GB"/>
        </w:rPr>
        <w:t>, Nnamdi Azikiwe University. All chemicals and reagents used were of analytical grade and sourced from Syntron Bioresearch Inc., USA.</w:t>
      </w:r>
    </w:p>
    <w:p w14:paraId="31D2A505" w14:textId="77777777" w:rsidR="001112C4" w:rsidRPr="001112C4" w:rsidRDefault="001112C4" w:rsidP="00E6591C">
      <w:pPr>
        <w:pStyle w:val="NoSpacing"/>
        <w:spacing w:line="360" w:lineRule="auto"/>
        <w:jc w:val="both"/>
        <w:rPr>
          <w:rFonts w:ascii="Times New Roman" w:hAnsi="Times New Roman" w:cs="Times New Roman"/>
          <w:sz w:val="24"/>
          <w:szCs w:val="24"/>
          <w:lang w:val="en-GB"/>
        </w:rPr>
      </w:pPr>
    </w:p>
    <w:p w14:paraId="34ABB6B4" w14:textId="18CD6C22" w:rsidR="00460C0A" w:rsidRPr="00460C0A" w:rsidRDefault="00460C0A" w:rsidP="00EF2D93">
      <w:pPr>
        <w:pStyle w:val="NoSpacing"/>
        <w:spacing w:line="480" w:lineRule="auto"/>
        <w:jc w:val="both"/>
        <w:rPr>
          <w:rFonts w:ascii="Times New Roman" w:hAnsi="Times New Roman" w:cs="Times New Roman"/>
          <w:sz w:val="24"/>
          <w:szCs w:val="24"/>
        </w:rPr>
      </w:pPr>
      <w:r w:rsidRPr="00460C0A">
        <w:rPr>
          <w:rFonts w:ascii="Times New Roman" w:hAnsi="Times New Roman" w:cs="Times New Roman"/>
          <w:b/>
          <w:bCs/>
          <w:sz w:val="24"/>
          <w:szCs w:val="24"/>
        </w:rPr>
        <w:t>Methods</w:t>
      </w:r>
    </w:p>
    <w:p w14:paraId="65C7A8F2" w14:textId="703858C4" w:rsidR="00F2137B" w:rsidRDefault="00460C0A" w:rsidP="00EF2D93">
      <w:pPr>
        <w:pStyle w:val="NoSpacing"/>
        <w:spacing w:line="480" w:lineRule="auto"/>
        <w:jc w:val="both"/>
        <w:rPr>
          <w:rFonts w:ascii="Times New Roman" w:hAnsi="Times New Roman" w:cs="Times New Roman"/>
          <w:b/>
          <w:bCs/>
          <w:sz w:val="24"/>
          <w:szCs w:val="24"/>
        </w:rPr>
      </w:pPr>
      <w:r w:rsidRPr="00460C0A">
        <w:rPr>
          <w:rFonts w:ascii="Times New Roman" w:hAnsi="Times New Roman" w:cs="Times New Roman"/>
          <w:b/>
          <w:bCs/>
          <w:sz w:val="24"/>
          <w:szCs w:val="24"/>
        </w:rPr>
        <w:t>Study Duration</w:t>
      </w:r>
    </w:p>
    <w:p w14:paraId="6A25A787" w14:textId="69C216B2" w:rsidR="00E6591C" w:rsidRDefault="00E6591C" w:rsidP="00E6591C">
      <w:pPr>
        <w:pStyle w:val="NoSpacing"/>
        <w:spacing w:line="480" w:lineRule="auto"/>
        <w:jc w:val="both"/>
        <w:rPr>
          <w:rFonts w:ascii="Times New Roman" w:hAnsi="Times New Roman"/>
          <w:sz w:val="24"/>
          <w:szCs w:val="24"/>
          <w:lang w:val="en-GB"/>
        </w:rPr>
      </w:pPr>
      <w:r w:rsidRPr="00E6591C">
        <w:rPr>
          <w:rFonts w:ascii="Times New Roman" w:hAnsi="Times New Roman"/>
          <w:sz w:val="24"/>
          <w:szCs w:val="24"/>
        </w:rPr>
        <w:t>The experimental study was conducted over a three-month period, divided into distinct phases to ensure methodological accuracy. The first two weeks were dedicated to the determination of the median lethal dose (LD₅₀) of the herbal preparations and the acclimatization of the animals to laboratory conditions. This was followed by a six-week treatment phase during which the animals received oral administration of the herbal formulations. Subsequently, a two-week period was allocated for sample collection and biochemical analyses. The final two weeks were used for data processing, statistical analysis, and interpretation of results</w:t>
      </w:r>
      <w:r>
        <w:rPr>
          <w:rFonts w:ascii="Times New Roman" w:hAnsi="Times New Roman"/>
          <w:sz w:val="24"/>
          <w:szCs w:val="24"/>
        </w:rPr>
        <w:t>.</w:t>
      </w:r>
    </w:p>
    <w:p w14:paraId="598880DF" w14:textId="4198C3C7" w:rsidR="0012365B" w:rsidRPr="0012365B" w:rsidRDefault="0012365B" w:rsidP="00542CF2">
      <w:pPr>
        <w:pStyle w:val="NoSpacing"/>
        <w:spacing w:line="360" w:lineRule="auto"/>
        <w:jc w:val="both"/>
        <w:rPr>
          <w:rFonts w:ascii="Times New Roman" w:hAnsi="Times New Roman" w:cs="Times New Roman"/>
          <w:sz w:val="24"/>
          <w:szCs w:val="24"/>
        </w:rPr>
      </w:pPr>
    </w:p>
    <w:p w14:paraId="2F8DE936" w14:textId="77777777" w:rsidR="00E6591C" w:rsidRPr="009A0AF8" w:rsidRDefault="00E6591C" w:rsidP="00E6591C">
      <w:pPr>
        <w:pStyle w:val="NoSpacing"/>
        <w:spacing w:line="480" w:lineRule="auto"/>
        <w:jc w:val="both"/>
        <w:rPr>
          <w:rFonts w:ascii="Times New Roman" w:hAnsi="Times New Roman" w:cs="Times New Roman"/>
          <w:b/>
          <w:bCs/>
          <w:sz w:val="24"/>
          <w:szCs w:val="24"/>
          <w:lang w:val="en-GB"/>
        </w:rPr>
      </w:pPr>
      <w:r w:rsidRPr="009A0AF8">
        <w:rPr>
          <w:rFonts w:ascii="Times New Roman" w:hAnsi="Times New Roman" w:cs="Times New Roman"/>
          <w:b/>
          <w:bCs/>
          <w:sz w:val="24"/>
          <w:szCs w:val="24"/>
          <w:lang w:val="en-GB"/>
        </w:rPr>
        <w:t>Acute Toxicity Test</w:t>
      </w:r>
    </w:p>
    <w:p w14:paraId="3AACF0C1" w14:textId="0C6E0294" w:rsidR="00E6591C"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t xml:space="preserve">The acute oral toxicity of Odogwu Bitters and Goko Cleanser was evaluated in accordance with </w:t>
      </w:r>
      <w:bookmarkStart w:id="2" w:name="_Hlk204197777"/>
      <w:r w:rsidRPr="00E6591C">
        <w:rPr>
          <w:rFonts w:ascii="Times New Roman" w:hAnsi="Times New Roman" w:cs="Times New Roman"/>
          <w:sz w:val="24"/>
          <w:szCs w:val="24"/>
          <w:lang w:val="en-GB"/>
        </w:rPr>
        <w:t>OECD</w:t>
      </w:r>
      <w:bookmarkEnd w:id="2"/>
      <w:r w:rsidRPr="00E6591C">
        <w:rPr>
          <w:rFonts w:ascii="Times New Roman" w:hAnsi="Times New Roman" w:cs="Times New Roman"/>
          <w:sz w:val="24"/>
          <w:szCs w:val="24"/>
          <w:lang w:val="en-GB"/>
        </w:rPr>
        <w:t xml:space="preserve"> Guideline 425 (Up-and-Down Procedure), which allows accurate LD₅₀ estimation with minimal animal use</w:t>
      </w:r>
      <w:r>
        <w:rPr>
          <w:rFonts w:ascii="Times New Roman" w:hAnsi="Times New Roman" w:cs="Times New Roman"/>
          <w:sz w:val="24"/>
          <w:szCs w:val="24"/>
          <w:lang w:val="en-GB"/>
        </w:rPr>
        <w:t xml:space="preserve"> [</w:t>
      </w:r>
      <w:r w:rsidR="00C03ED3">
        <w:rPr>
          <w:rFonts w:ascii="Times New Roman" w:hAnsi="Times New Roman" w:cs="Times New Roman"/>
          <w:sz w:val="24"/>
          <w:szCs w:val="24"/>
          <w:lang w:val="en-GB"/>
        </w:rPr>
        <w:t>1</w:t>
      </w:r>
      <w:r w:rsidR="004E0BC5">
        <w:rPr>
          <w:rFonts w:ascii="Times New Roman" w:hAnsi="Times New Roman" w:cs="Times New Roman"/>
          <w:sz w:val="24"/>
          <w:szCs w:val="24"/>
          <w:lang w:val="en-GB"/>
        </w:rPr>
        <w:t>1</w:t>
      </w:r>
      <w:r>
        <w:rPr>
          <w:rFonts w:ascii="Times New Roman" w:hAnsi="Times New Roman" w:cs="Times New Roman"/>
          <w:sz w:val="24"/>
          <w:szCs w:val="24"/>
          <w:lang w:val="en-GB"/>
        </w:rPr>
        <w:t>]</w:t>
      </w:r>
      <w:r w:rsidRPr="00E6591C">
        <w:rPr>
          <w:rFonts w:ascii="Times New Roman" w:hAnsi="Times New Roman" w:cs="Times New Roman"/>
          <w:sz w:val="24"/>
          <w:szCs w:val="24"/>
          <w:lang w:val="en-GB"/>
        </w:rPr>
        <w:t>.</w:t>
      </w:r>
    </w:p>
    <w:p w14:paraId="138FF530" w14:textId="77777777" w:rsidR="00E6591C" w:rsidRPr="00E6591C" w:rsidRDefault="00E6591C" w:rsidP="00542CF2">
      <w:pPr>
        <w:pStyle w:val="NoSpacing"/>
        <w:spacing w:line="276" w:lineRule="auto"/>
        <w:jc w:val="both"/>
        <w:rPr>
          <w:rFonts w:ascii="Times New Roman" w:hAnsi="Times New Roman" w:cs="Times New Roman"/>
          <w:sz w:val="24"/>
          <w:szCs w:val="24"/>
          <w:lang w:val="en-GB"/>
        </w:rPr>
      </w:pPr>
    </w:p>
    <w:p w14:paraId="179D029E" w14:textId="77777777" w:rsidR="00E6591C" w:rsidRPr="00E6591C" w:rsidRDefault="00E6591C" w:rsidP="00E6591C">
      <w:pPr>
        <w:pStyle w:val="NoSpacing"/>
        <w:spacing w:line="480" w:lineRule="auto"/>
        <w:jc w:val="both"/>
        <w:rPr>
          <w:rFonts w:ascii="Times New Roman" w:hAnsi="Times New Roman" w:cs="Times New Roman"/>
          <w:b/>
          <w:bCs/>
          <w:sz w:val="24"/>
          <w:szCs w:val="24"/>
          <w:lang w:val="en-GB"/>
        </w:rPr>
      </w:pPr>
      <w:r w:rsidRPr="00E6591C">
        <w:rPr>
          <w:rFonts w:ascii="Times New Roman" w:hAnsi="Times New Roman" w:cs="Times New Roman"/>
          <w:b/>
          <w:bCs/>
          <w:sz w:val="24"/>
          <w:szCs w:val="24"/>
          <w:lang w:val="en-GB"/>
        </w:rPr>
        <w:t>Odogwu Bitters</w:t>
      </w:r>
    </w:p>
    <w:p w14:paraId="77A66D54" w14:textId="77777777" w:rsidR="004E0BC5"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t>In Phase I, nine male Wistar rats were divided into three groups (n=3) and administered 10, 100, and 1000 mg/kg of Odogwu Bitters. No signs of toxicity or mortality were observed after 24 hours.</w:t>
      </w:r>
    </w:p>
    <w:p w14:paraId="5FC03B7D" w14:textId="77777777" w:rsidR="004E0BC5" w:rsidRDefault="004E0BC5" w:rsidP="00E6591C">
      <w:pPr>
        <w:pStyle w:val="NoSpacing"/>
        <w:spacing w:line="480" w:lineRule="auto"/>
        <w:jc w:val="both"/>
        <w:rPr>
          <w:rFonts w:ascii="Times New Roman" w:hAnsi="Times New Roman" w:cs="Times New Roman"/>
          <w:sz w:val="24"/>
          <w:szCs w:val="24"/>
          <w:lang w:val="en-GB"/>
        </w:rPr>
      </w:pPr>
    </w:p>
    <w:p w14:paraId="532EB4F9" w14:textId="46BD1AF6" w:rsidR="00E6591C" w:rsidRPr="00E6591C" w:rsidRDefault="00E6591C" w:rsidP="00E6591C">
      <w:pPr>
        <w:pStyle w:val="NoSpacing"/>
        <w:spacing w:line="480" w:lineRule="auto"/>
        <w:jc w:val="both"/>
        <w:rPr>
          <w:rFonts w:ascii="Times New Roman" w:hAnsi="Times New Roman" w:cs="Times New Roman"/>
          <w:sz w:val="24"/>
          <w:szCs w:val="24"/>
          <w:lang w:val="en-GB"/>
        </w:rPr>
      </w:pPr>
      <w:r w:rsidRPr="00E6591C">
        <w:rPr>
          <w:rFonts w:ascii="Times New Roman" w:hAnsi="Times New Roman" w:cs="Times New Roman"/>
          <w:sz w:val="24"/>
          <w:szCs w:val="24"/>
          <w:lang w:val="en-GB"/>
        </w:rPr>
        <w:lastRenderedPageBreak/>
        <w:t>In Phase II, four rats received higher single doses: 1200, 1600, 2900, and 5000 mg/kg. No adverse effects were noted at 1200 and 1600 mg/kg, but mortality occurred at 2900 mg/kg (within 24 h) and 5000 mg/kg (within 12 h). The LD₅₀ was calculated as:</w:t>
      </w:r>
    </w:p>
    <w:p w14:paraId="75DDC0CB" w14:textId="77777777" w:rsidR="00E6591C" w:rsidRPr="009A0AF8" w:rsidRDefault="00E6591C" w:rsidP="00E6591C">
      <w:pPr>
        <w:pStyle w:val="NoSpacing"/>
        <w:spacing w:line="480" w:lineRule="auto"/>
        <w:jc w:val="both"/>
        <w:rPr>
          <w:rFonts w:ascii="Times New Roman" w:hAnsi="Times New Roman"/>
          <w:sz w:val="24"/>
          <w:szCs w:val="24"/>
          <w:lang w:val="en-GB"/>
        </w:rPr>
      </w:pPr>
      <w:r w:rsidRPr="009A0AF8">
        <w:rPr>
          <w:rFonts w:ascii="Times New Roman" w:hAnsi="Times New Roman"/>
          <w:sz w:val="24"/>
          <w:szCs w:val="24"/>
          <w:lang w:val="en-GB"/>
        </w:rPr>
        <w:t>LD</w:t>
      </w:r>
      <w:r w:rsidRPr="009A0AF8">
        <w:rPr>
          <w:rFonts w:ascii="Times New Roman" w:hAnsi="Times New Roman"/>
          <w:sz w:val="24"/>
          <w:szCs w:val="24"/>
          <w:vertAlign w:val="subscript"/>
          <w:lang w:val="en-GB"/>
        </w:rPr>
        <w:t>50</w:t>
      </w:r>
      <w:r w:rsidRPr="009A0AF8">
        <w:rPr>
          <w:rFonts w:ascii="Times New Roman" w:hAnsi="Times New Roman"/>
          <w:sz w:val="24"/>
          <w:szCs w:val="24"/>
          <w:lang w:val="en-GB"/>
        </w:rPr>
        <w:t xml:space="preserve"> = √1600×2900=2154.17mg/kg </w:t>
      </w:r>
    </w:p>
    <w:p w14:paraId="573A13AC" w14:textId="77777777" w:rsidR="00E6591C" w:rsidRPr="009A0AF8" w:rsidRDefault="00E6591C" w:rsidP="001A47D8">
      <w:pPr>
        <w:pStyle w:val="NoSpacing"/>
        <w:spacing w:line="360" w:lineRule="auto"/>
        <w:jc w:val="both"/>
        <w:rPr>
          <w:rFonts w:ascii="Times New Roman" w:hAnsi="Times New Roman" w:cs="Times New Roman"/>
          <w:b/>
          <w:bCs/>
          <w:sz w:val="24"/>
          <w:szCs w:val="24"/>
          <w:lang w:val="en-GB"/>
        </w:rPr>
      </w:pPr>
    </w:p>
    <w:p w14:paraId="6A1184EC" w14:textId="5CCBE0D9" w:rsidR="00E6591C" w:rsidRPr="009A0AF8" w:rsidRDefault="00E6591C" w:rsidP="00E6591C">
      <w:pPr>
        <w:pStyle w:val="NoSpacing"/>
        <w:spacing w:line="480" w:lineRule="auto"/>
        <w:jc w:val="both"/>
        <w:rPr>
          <w:rFonts w:ascii="Times New Roman" w:hAnsi="Times New Roman" w:cs="Times New Roman"/>
          <w:sz w:val="24"/>
          <w:szCs w:val="24"/>
          <w:lang w:val="en-GB"/>
        </w:rPr>
      </w:pPr>
      <w:r w:rsidRPr="009A0AF8">
        <w:rPr>
          <w:rFonts w:ascii="Times New Roman" w:hAnsi="Times New Roman" w:cs="Times New Roman"/>
          <w:b/>
          <w:bCs/>
          <w:sz w:val="24"/>
          <w:szCs w:val="24"/>
          <w:lang w:val="en-GB"/>
        </w:rPr>
        <w:t>Goko Cleanser</w:t>
      </w:r>
    </w:p>
    <w:p w14:paraId="3B866A6D" w14:textId="77777777" w:rsidR="001A47D8" w:rsidRDefault="001A47D8" w:rsidP="00E6591C">
      <w:pPr>
        <w:pStyle w:val="NoSpacing"/>
        <w:spacing w:line="480" w:lineRule="auto"/>
        <w:jc w:val="both"/>
        <w:rPr>
          <w:rFonts w:ascii="Times New Roman" w:hAnsi="Times New Roman" w:cs="Times New Roman"/>
          <w:sz w:val="24"/>
          <w:szCs w:val="24"/>
        </w:rPr>
      </w:pPr>
      <w:r w:rsidRPr="001A47D8">
        <w:rPr>
          <w:rFonts w:ascii="Times New Roman" w:hAnsi="Times New Roman" w:cs="Times New Roman"/>
          <w:sz w:val="24"/>
          <w:szCs w:val="24"/>
        </w:rPr>
        <w:t>Similarly, nine rats were tested in Phase I at 10, 100, and 1000 mg/kg doses with no toxicity observed. In Phase II, higher doses of 1200, 2600, 3900, and 5000 mg/kg were tested. Mortality occurred at 3900 mg/kg (48 h) and 5000 mg/kg (24 h), yielding:</w:t>
      </w:r>
    </w:p>
    <w:p w14:paraId="4C70C4F6" w14:textId="77777777" w:rsidR="00E6591C" w:rsidRPr="009A0AF8" w:rsidRDefault="00E6591C" w:rsidP="00E6591C">
      <w:pPr>
        <w:pStyle w:val="NoSpacing"/>
        <w:spacing w:line="480" w:lineRule="auto"/>
        <w:jc w:val="both"/>
        <w:rPr>
          <w:rFonts w:ascii="Times New Roman" w:hAnsi="Times New Roman"/>
          <w:sz w:val="24"/>
          <w:szCs w:val="24"/>
          <w:lang w:val="en-GB"/>
        </w:rPr>
      </w:pPr>
      <w:r w:rsidRPr="009A0AF8">
        <w:rPr>
          <w:rFonts w:ascii="Times New Roman" w:hAnsi="Times New Roman"/>
          <w:sz w:val="24"/>
          <w:szCs w:val="24"/>
          <w:lang w:val="en-GB"/>
        </w:rPr>
        <w:t>LD</w:t>
      </w:r>
      <w:r w:rsidRPr="009A0AF8">
        <w:rPr>
          <w:rFonts w:ascii="Times New Roman" w:hAnsi="Times New Roman"/>
          <w:sz w:val="24"/>
          <w:szCs w:val="24"/>
          <w:vertAlign w:val="subscript"/>
          <w:lang w:val="en-GB"/>
        </w:rPr>
        <w:t>50</w:t>
      </w:r>
      <w:r w:rsidRPr="009A0AF8">
        <w:rPr>
          <w:rFonts w:ascii="Times New Roman" w:hAnsi="Times New Roman"/>
          <w:sz w:val="24"/>
          <w:szCs w:val="24"/>
          <w:lang w:val="en-GB"/>
        </w:rPr>
        <w:t xml:space="preserve"> of Goko Cleanser = √2600 X 3900 = 3184.34mg/kg</w:t>
      </w:r>
    </w:p>
    <w:p w14:paraId="1D40E870" w14:textId="77777777" w:rsidR="00E6591C" w:rsidRPr="009A0AF8" w:rsidRDefault="00E6591C" w:rsidP="00E6591C">
      <w:pPr>
        <w:pStyle w:val="NoSpacing"/>
        <w:spacing w:line="480" w:lineRule="auto"/>
        <w:jc w:val="both"/>
        <w:rPr>
          <w:rFonts w:ascii="Times New Roman" w:hAnsi="Times New Roman" w:cs="Times New Roman"/>
          <w:sz w:val="24"/>
          <w:szCs w:val="24"/>
          <w:lang w:val="en-GB"/>
        </w:rPr>
      </w:pPr>
    </w:p>
    <w:p w14:paraId="645FF154" w14:textId="77777777" w:rsidR="001A47D8" w:rsidRPr="001A47D8" w:rsidRDefault="001A47D8" w:rsidP="001A47D8">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These LD₅₀ values indicate moderate acute toxicity for both products at high doses.</w:t>
      </w:r>
    </w:p>
    <w:p w14:paraId="16402947" w14:textId="77777777" w:rsidR="001A47D8" w:rsidRPr="001A47D8" w:rsidRDefault="001A47D8" w:rsidP="001A47D8">
      <w:pPr>
        <w:pStyle w:val="NoSpacing"/>
        <w:spacing w:line="480" w:lineRule="auto"/>
        <w:jc w:val="both"/>
        <w:rPr>
          <w:rFonts w:ascii="Times New Roman" w:hAnsi="Times New Roman" w:cs="Times New Roman"/>
          <w:sz w:val="24"/>
          <w:szCs w:val="24"/>
        </w:rPr>
      </w:pPr>
      <w:r w:rsidRPr="001A47D8">
        <w:rPr>
          <w:rFonts w:ascii="Times New Roman" w:hAnsi="Times New Roman" w:cs="Times New Roman"/>
          <w:sz w:val="24"/>
          <w:szCs w:val="24"/>
          <w:lang w:val="en-GB"/>
        </w:rPr>
        <w:t xml:space="preserve">To correlate with the subchronic phase (which used volume-based dosing), </w:t>
      </w:r>
      <w:r w:rsidRPr="001A47D8">
        <w:rPr>
          <w:rFonts w:ascii="Times New Roman" w:hAnsi="Times New Roman" w:cs="Times New Roman"/>
          <w:sz w:val="24"/>
          <w:szCs w:val="24"/>
        </w:rPr>
        <w:t>The stock concentrations of both herbal products were standardized to 50 mg/mL following oven-drying at 50 °C (200 mL of each yielding 5 g residue). Using a rat body weight range of 150–200 g, the administered volumes were recalculated to the following dose ranges (mg/kg):</w:t>
      </w:r>
    </w:p>
    <w:p w14:paraId="35B9FDE2" w14:textId="77777777" w:rsidR="009A5EFE" w:rsidRPr="009A5EFE" w:rsidRDefault="001A47D8" w:rsidP="009A5EFE">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b/>
          <w:bCs/>
          <w:sz w:val="24"/>
          <w:szCs w:val="24"/>
          <w:lang w:val="en-GB"/>
        </w:rPr>
        <w:t>Odogwu Bitters:</w:t>
      </w:r>
    </w:p>
    <w:p w14:paraId="4C2D0AD7" w14:textId="433EF7FE"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0.2 mL = 50.00–66.67 mg/kg</w:t>
      </w:r>
    </w:p>
    <w:p w14:paraId="3416B715" w14:textId="14A11A3E"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0.4 mL = 100.00–133.33 mg/kg</w:t>
      </w:r>
    </w:p>
    <w:p w14:paraId="5BB6254F" w14:textId="77777777" w:rsidR="009A5EFE" w:rsidRDefault="001A47D8" w:rsidP="009A5EFE">
      <w:pPr>
        <w:pStyle w:val="NoSpacing"/>
        <w:numPr>
          <w:ilvl w:val="0"/>
          <w:numId w:val="11"/>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0.8 mL = 200.00–266.67 mg/kg</w:t>
      </w:r>
    </w:p>
    <w:p w14:paraId="778691A2" w14:textId="2C8093E3" w:rsidR="009A5EFE" w:rsidRPr="009A5EFE" w:rsidRDefault="001A47D8" w:rsidP="009A5EFE">
      <w:pPr>
        <w:pStyle w:val="NoSpacing"/>
        <w:spacing w:line="480" w:lineRule="auto"/>
        <w:jc w:val="both"/>
        <w:rPr>
          <w:rFonts w:ascii="Times New Roman" w:hAnsi="Times New Roman" w:cs="Times New Roman"/>
          <w:sz w:val="24"/>
          <w:szCs w:val="24"/>
          <w:lang w:val="en-GB"/>
        </w:rPr>
      </w:pPr>
      <w:r w:rsidRPr="001A47D8">
        <w:rPr>
          <w:rFonts w:ascii="Times New Roman" w:hAnsi="Times New Roman" w:cs="Times New Roman"/>
          <w:b/>
          <w:bCs/>
          <w:sz w:val="24"/>
          <w:szCs w:val="24"/>
          <w:lang w:val="en-GB"/>
        </w:rPr>
        <w:t>Goko Cleanser</w:t>
      </w:r>
    </w:p>
    <w:p w14:paraId="6735ACFE" w14:textId="77777777" w:rsidR="009A5EFE"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0.2 mL = 50.00–66.67 mg/kg</w:t>
      </w:r>
    </w:p>
    <w:p w14:paraId="533E7801" w14:textId="77777777" w:rsidR="009A5EFE"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0.5 mL = 125.00–166.67 mg/kg</w:t>
      </w:r>
    </w:p>
    <w:p w14:paraId="56439EB2" w14:textId="6D549F32" w:rsidR="001A47D8" w:rsidRPr="001A47D8" w:rsidRDefault="001A47D8" w:rsidP="009A5EFE">
      <w:pPr>
        <w:pStyle w:val="NoSpacing"/>
        <w:numPr>
          <w:ilvl w:val="0"/>
          <w:numId w:val="12"/>
        </w:numPr>
        <w:spacing w:line="480" w:lineRule="auto"/>
        <w:jc w:val="both"/>
        <w:rPr>
          <w:rFonts w:ascii="Times New Roman" w:hAnsi="Times New Roman" w:cs="Times New Roman"/>
          <w:sz w:val="24"/>
          <w:szCs w:val="24"/>
          <w:lang w:val="en-GB"/>
        </w:rPr>
      </w:pPr>
      <w:r w:rsidRPr="001A47D8">
        <w:rPr>
          <w:rFonts w:ascii="Times New Roman" w:hAnsi="Times New Roman" w:cs="Times New Roman"/>
          <w:sz w:val="24"/>
          <w:szCs w:val="24"/>
          <w:lang w:val="en-GB"/>
        </w:rPr>
        <w:t>0.9 mL = 225.00–300.00 mg/kg</w:t>
      </w:r>
    </w:p>
    <w:p w14:paraId="75B498A2" w14:textId="77777777" w:rsidR="00577831" w:rsidRPr="004C3FE3" w:rsidRDefault="001A47D8" w:rsidP="00577831">
      <w:pPr>
        <w:pStyle w:val="NoSpacing"/>
        <w:spacing w:line="480" w:lineRule="auto"/>
        <w:jc w:val="both"/>
        <w:rPr>
          <w:rFonts w:ascii="Times New Roman" w:hAnsi="Times New Roman"/>
          <w:sz w:val="24"/>
          <w:szCs w:val="24"/>
          <w:lang w:val="en-GB"/>
        </w:rPr>
      </w:pPr>
      <w:r w:rsidRPr="001A47D8">
        <w:rPr>
          <w:rFonts w:ascii="Times New Roman" w:hAnsi="Times New Roman" w:cs="Times New Roman"/>
          <w:sz w:val="24"/>
          <w:szCs w:val="24"/>
          <w:lang w:val="en-GB"/>
        </w:rPr>
        <w:lastRenderedPageBreak/>
        <w:t>This allowed direct comparison with the LD₅₀ values obtained from the acute toxicity phase.</w:t>
      </w:r>
      <w:r w:rsidR="00577831">
        <w:rPr>
          <w:rFonts w:ascii="Times New Roman" w:hAnsi="Times New Roman" w:cs="Times New Roman"/>
          <w:sz w:val="24"/>
          <w:szCs w:val="24"/>
          <w:lang w:val="en-GB"/>
        </w:rPr>
        <w:t xml:space="preserve"> </w:t>
      </w:r>
      <w:r w:rsidR="00577831" w:rsidRPr="004C3FE3">
        <w:rPr>
          <w:rFonts w:ascii="Times New Roman" w:hAnsi="Times New Roman"/>
          <w:sz w:val="24"/>
          <w:szCs w:val="24"/>
          <w:lang w:val="en-GB"/>
        </w:rPr>
        <w:t>The dosage adjustment according to body weight ensured precise exposure levels suitable for toxicological evaluation.</w:t>
      </w:r>
    </w:p>
    <w:p w14:paraId="4D03F28D" w14:textId="77777777" w:rsidR="00577831" w:rsidRDefault="00577831" w:rsidP="00EF2D93">
      <w:pPr>
        <w:pStyle w:val="NoSpacing"/>
        <w:spacing w:line="480" w:lineRule="auto"/>
        <w:jc w:val="both"/>
        <w:rPr>
          <w:rFonts w:ascii="Times New Roman" w:hAnsi="Times New Roman" w:cs="Times New Roman"/>
          <w:sz w:val="24"/>
          <w:szCs w:val="24"/>
          <w:lang w:val="en-GB"/>
        </w:rPr>
      </w:pPr>
    </w:p>
    <w:p w14:paraId="2DD99F05" w14:textId="279CFF89"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t xml:space="preserve">Experimental </w:t>
      </w:r>
      <w:r w:rsidR="004C3FE3">
        <w:rPr>
          <w:rFonts w:ascii="Times New Roman" w:hAnsi="Times New Roman"/>
          <w:b/>
          <w:bCs/>
          <w:sz w:val="24"/>
          <w:szCs w:val="24"/>
        </w:rPr>
        <w:t>protocol</w:t>
      </w:r>
    </w:p>
    <w:p w14:paraId="102E89C8" w14:textId="674F4A4D" w:rsidR="004C3FE3" w:rsidRDefault="004C3FE3" w:rsidP="00EF2D93">
      <w:pPr>
        <w:pStyle w:val="NoSpacing"/>
        <w:spacing w:line="480" w:lineRule="auto"/>
        <w:jc w:val="both"/>
        <w:rPr>
          <w:rFonts w:ascii="Times New Roman" w:hAnsi="Times New Roman"/>
          <w:bCs/>
          <w:sz w:val="24"/>
          <w:szCs w:val="24"/>
        </w:rPr>
      </w:pPr>
      <w:r w:rsidRPr="004C3FE3">
        <w:rPr>
          <w:rFonts w:ascii="Times New Roman" w:hAnsi="Times New Roman"/>
          <w:bCs/>
          <w:sz w:val="24"/>
          <w:szCs w:val="24"/>
        </w:rPr>
        <w:t xml:space="preserve">Following a two-week acclimatization period, adult male Wistar rats (150–200 g) were weighed using a precision digital scale (maximum capacity: </w:t>
      </w:r>
      <w:r>
        <w:rPr>
          <w:rFonts w:ascii="Times New Roman" w:hAnsi="Times New Roman"/>
          <w:bCs/>
          <w:sz w:val="24"/>
          <w:szCs w:val="24"/>
        </w:rPr>
        <w:t>6</w:t>
      </w:r>
      <w:r w:rsidRPr="004C3FE3">
        <w:rPr>
          <w:rFonts w:ascii="Times New Roman" w:hAnsi="Times New Roman"/>
          <w:bCs/>
          <w:sz w:val="24"/>
          <w:szCs w:val="24"/>
        </w:rPr>
        <w:t> kg). The animals were then randomly assigned into ten experimental groups (A to J), with f</w:t>
      </w:r>
      <w:r>
        <w:rPr>
          <w:rFonts w:ascii="Times New Roman" w:hAnsi="Times New Roman"/>
          <w:bCs/>
          <w:sz w:val="24"/>
          <w:szCs w:val="24"/>
        </w:rPr>
        <w:t>ive</w:t>
      </w:r>
      <w:r w:rsidRPr="004C3FE3">
        <w:rPr>
          <w:rFonts w:ascii="Times New Roman" w:hAnsi="Times New Roman"/>
          <w:bCs/>
          <w:sz w:val="24"/>
          <w:szCs w:val="24"/>
        </w:rPr>
        <w:t xml:space="preserve"> rats per group (n = </w:t>
      </w:r>
      <w:r>
        <w:rPr>
          <w:rFonts w:ascii="Times New Roman" w:hAnsi="Times New Roman"/>
          <w:bCs/>
          <w:sz w:val="24"/>
          <w:szCs w:val="24"/>
        </w:rPr>
        <w:t>5</w:t>
      </w:r>
      <w:r w:rsidRPr="004C3FE3">
        <w:rPr>
          <w:rFonts w:ascii="Times New Roman" w:hAnsi="Times New Roman"/>
          <w:bCs/>
          <w:sz w:val="24"/>
          <w:szCs w:val="24"/>
        </w:rPr>
        <w:t xml:space="preserve">). Herbal formulations were administered </w:t>
      </w:r>
      <w:r w:rsidRPr="004C3FE3">
        <w:rPr>
          <w:rFonts w:ascii="Times New Roman" w:hAnsi="Times New Roman"/>
          <w:sz w:val="24"/>
          <w:szCs w:val="24"/>
        </w:rPr>
        <w:t>orally by gavage</w:t>
      </w:r>
      <w:r w:rsidRPr="004C3FE3">
        <w:rPr>
          <w:rFonts w:ascii="Times New Roman" w:hAnsi="Times New Roman"/>
          <w:bCs/>
          <w:sz w:val="24"/>
          <w:szCs w:val="24"/>
        </w:rPr>
        <w:t xml:space="preserve"> using a syringe fitted with a flexible cannula, twice daily</w:t>
      </w:r>
      <w:r w:rsidR="00577831">
        <w:rPr>
          <w:rFonts w:ascii="Times New Roman" w:hAnsi="Times New Roman"/>
          <w:bCs/>
          <w:sz w:val="24"/>
          <w:szCs w:val="24"/>
        </w:rPr>
        <w:t xml:space="preserve"> – </w:t>
      </w:r>
      <w:r w:rsidRPr="004C3FE3">
        <w:rPr>
          <w:rFonts w:ascii="Times New Roman" w:hAnsi="Times New Roman"/>
          <w:bCs/>
          <w:sz w:val="24"/>
          <w:szCs w:val="24"/>
        </w:rPr>
        <w:t>once in the morning (6:00–8:00 a.m.) and once in the evening (5:00–7:00 p.m.).</w:t>
      </w:r>
      <w:r>
        <w:rPr>
          <w:rFonts w:ascii="Times New Roman" w:hAnsi="Times New Roman"/>
          <w:bCs/>
          <w:sz w:val="24"/>
          <w:szCs w:val="24"/>
        </w:rPr>
        <w:t xml:space="preserve"> </w:t>
      </w:r>
      <w:r w:rsidRPr="004C3FE3">
        <w:rPr>
          <w:rFonts w:ascii="Times New Roman" w:hAnsi="Times New Roman"/>
          <w:bCs/>
          <w:sz w:val="24"/>
          <w:szCs w:val="24"/>
        </w:rPr>
        <w:t>These administration times were selected to simulate the habitual consumption pattern of these herbal drinks among local artisan populations.</w:t>
      </w:r>
    </w:p>
    <w:p w14:paraId="157F9352" w14:textId="77777777" w:rsidR="004C3FE3" w:rsidRDefault="004C3FE3" w:rsidP="00EF2D93">
      <w:pPr>
        <w:pStyle w:val="NoSpacing"/>
        <w:spacing w:line="480" w:lineRule="auto"/>
        <w:jc w:val="both"/>
        <w:rPr>
          <w:rFonts w:ascii="Times New Roman" w:hAnsi="Times New Roman"/>
          <w:bCs/>
          <w:sz w:val="24"/>
          <w:szCs w:val="24"/>
        </w:rPr>
      </w:pPr>
    </w:p>
    <w:p w14:paraId="3337C1C1" w14:textId="78957448" w:rsidR="004C3FE3" w:rsidRDefault="004C3FE3" w:rsidP="004C3FE3">
      <w:pPr>
        <w:pStyle w:val="NoSpacing"/>
        <w:spacing w:line="480" w:lineRule="auto"/>
        <w:jc w:val="both"/>
        <w:rPr>
          <w:rFonts w:ascii="Times New Roman" w:hAnsi="Times New Roman"/>
          <w:sz w:val="24"/>
          <w:szCs w:val="24"/>
          <w:lang w:val="en-GB"/>
        </w:rPr>
      </w:pPr>
      <w:r w:rsidRPr="004C3FE3">
        <w:rPr>
          <w:rFonts w:ascii="Times New Roman" w:hAnsi="Times New Roman"/>
          <w:sz w:val="24"/>
          <w:szCs w:val="24"/>
          <w:lang w:val="en-GB"/>
        </w:rPr>
        <w:t>Odogwu Bitters was administered in the morning, while Goko Cleanser was given in the evening. This treatment protocol continued for a total of 42 consecutive days. Group A served as the control and received only water and rat chow. Groups B, C, and D received 0.2 mL, 0.4 mL, and 0.8 mL of Odogwu Bitters daily</w:t>
      </w:r>
      <w:r w:rsidR="00577831">
        <w:rPr>
          <w:rFonts w:ascii="Times New Roman" w:hAnsi="Times New Roman"/>
          <w:sz w:val="24"/>
          <w:szCs w:val="24"/>
          <w:lang w:val="en-GB"/>
        </w:rPr>
        <w:t xml:space="preserve">. </w:t>
      </w:r>
      <w:r w:rsidRPr="004C3FE3">
        <w:rPr>
          <w:rFonts w:ascii="Times New Roman" w:hAnsi="Times New Roman"/>
          <w:sz w:val="24"/>
          <w:szCs w:val="24"/>
          <w:lang w:val="en-GB"/>
        </w:rPr>
        <w:t>Groups E, F, and G received Goko Cleanser at doses of 0.2 mL, 0.5 mL, and 0.9 mL per day</w:t>
      </w:r>
      <w:r w:rsidR="00577831">
        <w:rPr>
          <w:rFonts w:ascii="Times New Roman" w:hAnsi="Times New Roman"/>
          <w:sz w:val="24"/>
          <w:szCs w:val="24"/>
          <w:lang w:val="en-GB"/>
        </w:rPr>
        <w:t xml:space="preserve">. </w:t>
      </w:r>
      <w:r w:rsidRPr="004C3FE3">
        <w:rPr>
          <w:rFonts w:ascii="Times New Roman" w:hAnsi="Times New Roman"/>
          <w:sz w:val="24"/>
          <w:szCs w:val="24"/>
          <w:lang w:val="en-GB"/>
        </w:rPr>
        <w:t>Groups H, I, and J were co-treatment groups. Group H received 0.2 mL each of Odogwu Bitters and Goko Cleanser daily, Group I was treated with 0.4 mL of Odogwu Bitters and 0.5 mL of Goko Cleanser</w:t>
      </w:r>
      <w:r w:rsidR="00577831">
        <w:rPr>
          <w:rFonts w:ascii="Times New Roman" w:hAnsi="Times New Roman"/>
          <w:sz w:val="24"/>
          <w:szCs w:val="24"/>
          <w:lang w:val="en-GB"/>
        </w:rPr>
        <w:t xml:space="preserve">, and </w:t>
      </w:r>
      <w:r w:rsidRPr="004C3FE3">
        <w:rPr>
          <w:rFonts w:ascii="Times New Roman" w:hAnsi="Times New Roman"/>
          <w:sz w:val="24"/>
          <w:szCs w:val="24"/>
          <w:lang w:val="en-GB"/>
        </w:rPr>
        <w:t>Group J received the highest combined doses of 0.8 mL Odogwu Bitters and 0.9 mL Goko Cleanser.</w:t>
      </w:r>
    </w:p>
    <w:p w14:paraId="59F81644" w14:textId="77777777" w:rsidR="001323DB" w:rsidRPr="00E97300" w:rsidRDefault="001323DB" w:rsidP="00EF2D93">
      <w:pPr>
        <w:pStyle w:val="NoSpacing"/>
        <w:spacing w:line="480" w:lineRule="auto"/>
        <w:jc w:val="both"/>
        <w:rPr>
          <w:rFonts w:ascii="Times New Roman" w:hAnsi="Times New Roman"/>
          <w:bCs/>
          <w:sz w:val="24"/>
          <w:szCs w:val="24"/>
        </w:rPr>
      </w:pPr>
    </w:p>
    <w:p w14:paraId="673B6514" w14:textId="333CACEC"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t>Animal Euthanasia</w:t>
      </w:r>
    </w:p>
    <w:p w14:paraId="5AF3505B" w14:textId="6D39FEB6" w:rsidR="00E97300" w:rsidRDefault="00D43921" w:rsidP="00EF2D93">
      <w:pPr>
        <w:pStyle w:val="NoSpacing"/>
        <w:spacing w:line="480" w:lineRule="auto"/>
        <w:jc w:val="both"/>
        <w:rPr>
          <w:rFonts w:ascii="Times New Roman" w:hAnsi="Times New Roman"/>
          <w:bCs/>
          <w:sz w:val="24"/>
          <w:szCs w:val="24"/>
        </w:rPr>
      </w:pPr>
      <w:r w:rsidRPr="00D43921">
        <w:rPr>
          <w:rFonts w:ascii="Times New Roman" w:hAnsi="Times New Roman"/>
          <w:bCs/>
          <w:sz w:val="24"/>
          <w:szCs w:val="24"/>
        </w:rPr>
        <w:lastRenderedPageBreak/>
        <w:t>Euthanasia procedures strictly followed the ethical and animal welfare standards approved by Nnamdi Azikiwe University. The rats were humanely sacrificed through CO₂ gas overdose, administered as an inhalant anesthetic. The gas flow was controlled to replace 10–30% of the chamber volume per minute to minimize animal discomfort. Loss of consciousness was confirmed by the absence of respiratory and cardiac function, and death was further verified by checking for absent reflexes, including the corneal reflex. Animal remains were subsequently handled and discarded according to institutional biosafety regulations.</w:t>
      </w:r>
    </w:p>
    <w:p w14:paraId="08A5AB4E" w14:textId="77777777" w:rsidR="00E3610E" w:rsidRPr="00E97300" w:rsidRDefault="00E3610E" w:rsidP="00EF2D93">
      <w:pPr>
        <w:pStyle w:val="NoSpacing"/>
        <w:spacing w:line="480" w:lineRule="auto"/>
        <w:jc w:val="both"/>
        <w:rPr>
          <w:rFonts w:ascii="Times New Roman" w:hAnsi="Times New Roman"/>
          <w:bCs/>
          <w:sz w:val="24"/>
          <w:szCs w:val="24"/>
        </w:rPr>
      </w:pPr>
    </w:p>
    <w:p w14:paraId="435E8DB9" w14:textId="1A6E417E" w:rsidR="00E97300" w:rsidRPr="00E97300" w:rsidRDefault="00E97300" w:rsidP="00EF2D93">
      <w:pPr>
        <w:pStyle w:val="NoSpacing"/>
        <w:spacing w:line="480" w:lineRule="auto"/>
        <w:jc w:val="both"/>
        <w:rPr>
          <w:rFonts w:ascii="Times New Roman" w:hAnsi="Times New Roman"/>
          <w:b/>
          <w:bCs/>
          <w:sz w:val="24"/>
          <w:szCs w:val="24"/>
        </w:rPr>
      </w:pPr>
      <w:r w:rsidRPr="00E97300">
        <w:rPr>
          <w:rFonts w:ascii="Times New Roman" w:hAnsi="Times New Roman"/>
          <w:b/>
          <w:bCs/>
          <w:sz w:val="24"/>
          <w:szCs w:val="24"/>
        </w:rPr>
        <w:t xml:space="preserve">Blood </w:t>
      </w:r>
      <w:r w:rsidR="00377664">
        <w:rPr>
          <w:rFonts w:ascii="Times New Roman" w:hAnsi="Times New Roman"/>
          <w:b/>
          <w:bCs/>
          <w:sz w:val="24"/>
          <w:szCs w:val="24"/>
        </w:rPr>
        <w:t>c</w:t>
      </w:r>
      <w:r w:rsidRPr="00E97300">
        <w:rPr>
          <w:rFonts w:ascii="Times New Roman" w:hAnsi="Times New Roman"/>
          <w:b/>
          <w:bCs/>
          <w:sz w:val="24"/>
          <w:szCs w:val="24"/>
        </w:rPr>
        <w:t xml:space="preserve">ollection </w:t>
      </w:r>
    </w:p>
    <w:p w14:paraId="4E3D0D02" w14:textId="052DB880" w:rsidR="00377664" w:rsidRPr="00377664" w:rsidRDefault="00377664" w:rsidP="00377664">
      <w:pPr>
        <w:pStyle w:val="NoSpacing"/>
        <w:spacing w:line="480" w:lineRule="auto"/>
        <w:jc w:val="both"/>
        <w:rPr>
          <w:rFonts w:ascii="Times New Roman" w:hAnsi="Times New Roman"/>
          <w:bCs/>
          <w:sz w:val="24"/>
          <w:szCs w:val="24"/>
          <w:lang w:val="en-GB"/>
        </w:rPr>
      </w:pPr>
      <w:r w:rsidRPr="00377664">
        <w:rPr>
          <w:rFonts w:ascii="Times New Roman" w:hAnsi="Times New Roman"/>
          <w:bCs/>
          <w:sz w:val="24"/>
          <w:szCs w:val="24"/>
          <w:lang w:val="en-GB"/>
        </w:rPr>
        <w:t xml:space="preserve">Blood samples were obtained via ocular puncture and transferred into clean, sterile plastic tubes. The samples were allowed to clot undisturbed for approximately 30 minutes. Once clotting was complete, they were centrifuged at 2500 rpm for 10 minutes using an 800D Electric Centrifuge (maximum speed: 4000 rpm; 6 × 20 mL rotor capacity). </w:t>
      </w:r>
      <w:r w:rsidRPr="00377664">
        <w:rPr>
          <w:rFonts w:ascii="Times New Roman" w:hAnsi="Times New Roman"/>
          <w:bCs/>
          <w:sz w:val="24"/>
          <w:szCs w:val="24"/>
        </w:rPr>
        <w:t>The resulting serum was carefully separated and stored in a refrigerator until used for the evaluation of liver enzymes</w:t>
      </w:r>
      <w:r>
        <w:rPr>
          <w:rFonts w:ascii="Times New Roman" w:hAnsi="Times New Roman"/>
          <w:bCs/>
          <w:sz w:val="24"/>
          <w:szCs w:val="24"/>
        </w:rPr>
        <w:t xml:space="preserve"> – </w:t>
      </w:r>
      <w:r w:rsidRPr="00377664">
        <w:rPr>
          <w:rFonts w:ascii="Times New Roman" w:hAnsi="Times New Roman"/>
          <w:bCs/>
          <w:sz w:val="24"/>
          <w:szCs w:val="24"/>
        </w:rPr>
        <w:t>alkaline phosphatase (ALP), alanine aminotransferase (ALT), and aspartate aminotransferase (AST).</w:t>
      </w:r>
    </w:p>
    <w:p w14:paraId="12F31E53" w14:textId="0714A174" w:rsidR="00E97300" w:rsidRPr="00E97300" w:rsidRDefault="00E97300" w:rsidP="00EF2D93">
      <w:pPr>
        <w:pStyle w:val="NoSpacing"/>
        <w:spacing w:line="480" w:lineRule="auto"/>
        <w:jc w:val="both"/>
        <w:rPr>
          <w:rFonts w:ascii="Times New Roman" w:hAnsi="Times New Roman"/>
          <w:bCs/>
          <w:sz w:val="24"/>
          <w:szCs w:val="24"/>
        </w:rPr>
      </w:pPr>
    </w:p>
    <w:p w14:paraId="0A7A9A67" w14:textId="7F4E9817" w:rsidR="003C3155" w:rsidRPr="00E30C9A" w:rsidRDefault="003C3155" w:rsidP="003C3155">
      <w:pPr>
        <w:pStyle w:val="NoSpacing"/>
        <w:spacing w:line="480" w:lineRule="auto"/>
        <w:jc w:val="both"/>
        <w:rPr>
          <w:rFonts w:ascii="Times New Roman" w:hAnsi="Times New Roman" w:cs="Times New Roman"/>
          <w:b/>
          <w:sz w:val="24"/>
          <w:szCs w:val="24"/>
        </w:rPr>
      </w:pPr>
      <w:r w:rsidRPr="00E30C9A">
        <w:rPr>
          <w:rFonts w:ascii="Times New Roman" w:hAnsi="Times New Roman" w:cs="Times New Roman"/>
          <w:b/>
          <w:sz w:val="24"/>
          <w:szCs w:val="24"/>
        </w:rPr>
        <w:t>Biochemical analysis</w:t>
      </w:r>
    </w:p>
    <w:p w14:paraId="3AAF51A8" w14:textId="273A6BE0" w:rsidR="0035484A" w:rsidRP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t xml:space="preserve">Serum levels of alanine aminotransferase (ALT), aspartate aminotransferase (AST), and alkaline phosphatase (ALP) were determined to assess hepatocellular injury and liver function. These enzymes are well-established indicators of hepatic integrity in toxicological studies involving rodent models </w:t>
      </w:r>
      <w:r w:rsidR="00E972F8">
        <w:rPr>
          <w:rFonts w:ascii="Times New Roman" w:hAnsi="Times New Roman" w:cs="Times New Roman"/>
          <w:sz w:val="24"/>
          <w:szCs w:val="24"/>
          <w:lang w:val="en-GB"/>
        </w:rPr>
        <w:t>[1</w:t>
      </w:r>
      <w:r w:rsidR="004E0BC5">
        <w:rPr>
          <w:rFonts w:ascii="Times New Roman" w:hAnsi="Times New Roman" w:cs="Times New Roman"/>
          <w:sz w:val="24"/>
          <w:szCs w:val="24"/>
          <w:lang w:val="en-GB"/>
        </w:rPr>
        <w:t>2</w:t>
      </w:r>
      <w:r w:rsidR="00E972F8">
        <w:rPr>
          <w:rFonts w:ascii="Times New Roman" w:hAnsi="Times New Roman" w:cs="Times New Roman"/>
          <w:sz w:val="24"/>
          <w:szCs w:val="24"/>
          <w:lang w:val="en-GB"/>
        </w:rPr>
        <w:t>,</w:t>
      </w:r>
      <w:r w:rsidR="000C553A">
        <w:rPr>
          <w:rFonts w:ascii="Times New Roman" w:hAnsi="Times New Roman" w:cs="Times New Roman"/>
          <w:sz w:val="24"/>
          <w:szCs w:val="24"/>
          <w:lang w:val="en-GB"/>
        </w:rPr>
        <w:t xml:space="preserve"> </w:t>
      </w:r>
      <w:r w:rsidR="00E972F8">
        <w:rPr>
          <w:rFonts w:ascii="Times New Roman" w:hAnsi="Times New Roman" w:cs="Times New Roman"/>
          <w:sz w:val="24"/>
          <w:szCs w:val="24"/>
          <w:lang w:val="en-GB"/>
        </w:rPr>
        <w:t>1</w:t>
      </w:r>
      <w:r w:rsidR="004E0BC5">
        <w:rPr>
          <w:rFonts w:ascii="Times New Roman" w:hAnsi="Times New Roman" w:cs="Times New Roman"/>
          <w:sz w:val="24"/>
          <w:szCs w:val="24"/>
          <w:lang w:val="en-GB"/>
        </w:rPr>
        <w:t>3</w:t>
      </w:r>
      <w:r w:rsidR="00E972F8">
        <w:rPr>
          <w:rFonts w:ascii="Times New Roman" w:hAnsi="Times New Roman" w:cs="Times New Roman"/>
          <w:sz w:val="24"/>
          <w:szCs w:val="24"/>
          <w:lang w:val="en-GB"/>
        </w:rPr>
        <w:t>]</w:t>
      </w:r>
      <w:r w:rsidRPr="0035484A">
        <w:rPr>
          <w:rFonts w:ascii="Times New Roman" w:hAnsi="Times New Roman" w:cs="Times New Roman"/>
          <w:sz w:val="24"/>
          <w:szCs w:val="24"/>
          <w:lang w:val="en-GB"/>
        </w:rPr>
        <w:t>.</w:t>
      </w:r>
    </w:p>
    <w:p w14:paraId="3F0B20FF" w14:textId="77777777" w:rsidR="008E0AA8" w:rsidRDefault="008E0AA8" w:rsidP="0035484A">
      <w:pPr>
        <w:pStyle w:val="NoSpacing"/>
        <w:spacing w:line="480" w:lineRule="auto"/>
        <w:jc w:val="both"/>
        <w:rPr>
          <w:rFonts w:ascii="Times New Roman" w:hAnsi="Times New Roman" w:cs="Times New Roman"/>
          <w:sz w:val="24"/>
          <w:szCs w:val="24"/>
          <w:lang w:val="en-GB"/>
        </w:rPr>
      </w:pPr>
    </w:p>
    <w:p w14:paraId="72DC7E48" w14:textId="7D413591" w:rsid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lastRenderedPageBreak/>
        <w:t>ALT and AST were assayed using the Reitman and Frankel colorimetric method, which involves transamination reactions that produce pyruvate or oxaloacetate, subsequently forming hydrazones with 2,4-dinitrophenylhydrazine and quantified spectrophotometrically at 546 nm</w:t>
      </w:r>
      <w:r w:rsidR="000C553A">
        <w:rPr>
          <w:rFonts w:ascii="Times New Roman" w:hAnsi="Times New Roman" w:cs="Times New Roman"/>
          <w:sz w:val="24"/>
          <w:szCs w:val="24"/>
          <w:lang w:val="en-GB"/>
        </w:rPr>
        <w:t xml:space="preserve"> [1</w:t>
      </w:r>
      <w:r w:rsidR="004E0BC5">
        <w:rPr>
          <w:rFonts w:ascii="Times New Roman" w:hAnsi="Times New Roman" w:cs="Times New Roman"/>
          <w:sz w:val="24"/>
          <w:szCs w:val="24"/>
          <w:lang w:val="en-GB"/>
        </w:rPr>
        <w:t>4</w:t>
      </w:r>
      <w:r w:rsidR="000C553A">
        <w:rPr>
          <w:rFonts w:ascii="Times New Roman" w:hAnsi="Times New Roman" w:cs="Times New Roman"/>
          <w:sz w:val="24"/>
          <w:szCs w:val="24"/>
          <w:lang w:val="en-GB"/>
        </w:rPr>
        <w:t>]</w:t>
      </w:r>
      <w:r w:rsidRPr="0035484A">
        <w:rPr>
          <w:rFonts w:ascii="Times New Roman" w:hAnsi="Times New Roman" w:cs="Times New Roman"/>
          <w:sz w:val="24"/>
          <w:szCs w:val="24"/>
          <w:lang w:val="en-GB"/>
        </w:rPr>
        <w:t xml:space="preserve">. ALP activity was measured using the Kind and King method, in which the enzyme </w:t>
      </w:r>
      <w:r w:rsidR="003D7DB7" w:rsidRPr="0035484A">
        <w:rPr>
          <w:rFonts w:ascii="Times New Roman" w:hAnsi="Times New Roman" w:cs="Times New Roman"/>
          <w:sz w:val="24"/>
          <w:szCs w:val="24"/>
          <w:lang w:val="en-GB"/>
        </w:rPr>
        <w:t>hydrolyses</w:t>
      </w:r>
      <w:r w:rsidRPr="0035484A">
        <w:rPr>
          <w:rFonts w:ascii="Times New Roman" w:hAnsi="Times New Roman" w:cs="Times New Roman"/>
          <w:sz w:val="24"/>
          <w:szCs w:val="24"/>
          <w:lang w:val="en-GB"/>
        </w:rPr>
        <w:t xml:space="preserve"> p-nitrophenyl phosphate to form p-nitrophenol, a yellow-</w:t>
      </w:r>
      <w:r w:rsidR="003D7DB7" w:rsidRPr="0035484A">
        <w:rPr>
          <w:rFonts w:ascii="Times New Roman" w:hAnsi="Times New Roman" w:cs="Times New Roman"/>
          <w:sz w:val="24"/>
          <w:szCs w:val="24"/>
          <w:lang w:val="en-GB"/>
        </w:rPr>
        <w:t>coloured</w:t>
      </w:r>
      <w:r w:rsidRPr="0035484A">
        <w:rPr>
          <w:rFonts w:ascii="Times New Roman" w:hAnsi="Times New Roman" w:cs="Times New Roman"/>
          <w:sz w:val="24"/>
          <w:szCs w:val="24"/>
          <w:lang w:val="en-GB"/>
        </w:rPr>
        <w:t xml:space="preserve"> product detected at 405 nm </w:t>
      </w:r>
      <w:r w:rsidR="000C553A">
        <w:rPr>
          <w:rFonts w:ascii="Times New Roman" w:hAnsi="Times New Roman" w:cs="Times New Roman"/>
          <w:sz w:val="24"/>
          <w:szCs w:val="24"/>
          <w:lang w:val="en-GB"/>
        </w:rPr>
        <w:t>[1</w:t>
      </w:r>
      <w:r w:rsidR="004E0BC5">
        <w:rPr>
          <w:rFonts w:ascii="Times New Roman" w:hAnsi="Times New Roman" w:cs="Times New Roman"/>
          <w:sz w:val="24"/>
          <w:szCs w:val="24"/>
          <w:lang w:val="en-GB"/>
        </w:rPr>
        <w:t>5</w:t>
      </w:r>
      <w:r w:rsidR="000C553A">
        <w:rPr>
          <w:rFonts w:ascii="Times New Roman" w:hAnsi="Times New Roman" w:cs="Times New Roman"/>
          <w:sz w:val="24"/>
          <w:szCs w:val="24"/>
          <w:lang w:val="en-GB"/>
        </w:rPr>
        <w:t>]</w:t>
      </w:r>
      <w:r w:rsidRPr="0035484A">
        <w:rPr>
          <w:rFonts w:ascii="Times New Roman" w:hAnsi="Times New Roman" w:cs="Times New Roman"/>
          <w:sz w:val="24"/>
          <w:szCs w:val="24"/>
          <w:lang w:val="en-GB"/>
        </w:rPr>
        <w:t>.</w:t>
      </w:r>
    </w:p>
    <w:p w14:paraId="1B03420B" w14:textId="77777777" w:rsidR="0035484A" w:rsidRPr="0035484A" w:rsidRDefault="0035484A" w:rsidP="0035484A">
      <w:pPr>
        <w:pStyle w:val="NoSpacing"/>
        <w:spacing w:line="480" w:lineRule="auto"/>
        <w:jc w:val="both"/>
        <w:rPr>
          <w:rFonts w:ascii="Times New Roman" w:hAnsi="Times New Roman" w:cs="Times New Roman"/>
          <w:sz w:val="24"/>
          <w:szCs w:val="24"/>
          <w:lang w:val="en-GB"/>
        </w:rPr>
      </w:pPr>
    </w:p>
    <w:p w14:paraId="0FE591B6" w14:textId="0FFCAD87" w:rsidR="0035484A" w:rsidRPr="0035484A" w:rsidRDefault="0035484A" w:rsidP="0035484A">
      <w:pPr>
        <w:pStyle w:val="NoSpacing"/>
        <w:spacing w:line="480" w:lineRule="auto"/>
        <w:jc w:val="both"/>
        <w:rPr>
          <w:rFonts w:ascii="Times New Roman" w:hAnsi="Times New Roman" w:cs="Times New Roman"/>
          <w:sz w:val="24"/>
          <w:szCs w:val="24"/>
          <w:lang w:val="en-GB"/>
        </w:rPr>
      </w:pPr>
      <w:r w:rsidRPr="0035484A">
        <w:rPr>
          <w:rFonts w:ascii="Times New Roman" w:hAnsi="Times New Roman" w:cs="Times New Roman"/>
          <w:sz w:val="24"/>
          <w:szCs w:val="24"/>
          <w:lang w:val="en-GB"/>
        </w:rPr>
        <w:t>All assays were performed using commercially available diagnostic kits (Randox</w:t>
      </w:r>
      <w:r w:rsidR="003D7DB7">
        <w:rPr>
          <w:rFonts w:ascii="Times New Roman" w:hAnsi="Times New Roman" w:cs="Times New Roman"/>
          <w:sz w:val="24"/>
          <w:szCs w:val="24"/>
          <w:lang w:val="en-GB"/>
        </w:rPr>
        <w:t>)</w:t>
      </w:r>
      <w:r w:rsidRPr="0035484A">
        <w:rPr>
          <w:rFonts w:ascii="Times New Roman" w:hAnsi="Times New Roman" w:cs="Times New Roman"/>
          <w:sz w:val="24"/>
          <w:szCs w:val="24"/>
          <w:lang w:val="en-GB"/>
        </w:rPr>
        <w:t>, and procedures followed the manufacturers’ instructions. Enzyme concentrations were expressed in U/L, and absorbance readings were taken using a digital spectrophotometer.</w:t>
      </w:r>
    </w:p>
    <w:p w14:paraId="050FC221" w14:textId="77777777" w:rsidR="003C3155" w:rsidRDefault="003C3155" w:rsidP="00EF2D93">
      <w:pPr>
        <w:pStyle w:val="NoSpacing"/>
        <w:spacing w:line="480" w:lineRule="auto"/>
        <w:jc w:val="both"/>
        <w:rPr>
          <w:rFonts w:ascii="Times New Roman" w:hAnsi="Times New Roman" w:cs="Times New Roman"/>
          <w:b/>
          <w:bCs/>
          <w:sz w:val="24"/>
          <w:szCs w:val="24"/>
        </w:rPr>
      </w:pPr>
    </w:p>
    <w:p w14:paraId="19F20130" w14:textId="2451BD66" w:rsidR="00EB5825" w:rsidRPr="00F2137B" w:rsidRDefault="00EB5825" w:rsidP="00EF2D93">
      <w:pPr>
        <w:pStyle w:val="NoSpacing"/>
        <w:spacing w:line="480" w:lineRule="auto"/>
        <w:jc w:val="both"/>
        <w:rPr>
          <w:rFonts w:ascii="Times New Roman" w:hAnsi="Times New Roman" w:cs="Times New Roman"/>
          <w:b/>
          <w:bCs/>
          <w:sz w:val="24"/>
          <w:szCs w:val="24"/>
        </w:rPr>
      </w:pPr>
      <w:r w:rsidRPr="00F2137B">
        <w:rPr>
          <w:rFonts w:ascii="Times New Roman" w:hAnsi="Times New Roman" w:cs="Times New Roman"/>
          <w:b/>
          <w:bCs/>
          <w:sz w:val="24"/>
          <w:szCs w:val="24"/>
        </w:rPr>
        <w:t>Data Analysis</w:t>
      </w:r>
    </w:p>
    <w:p w14:paraId="1A25B8FF" w14:textId="07F2C8E2" w:rsidR="00534171" w:rsidRDefault="00713AFF" w:rsidP="00EF2D93">
      <w:pPr>
        <w:pStyle w:val="NoSpacing"/>
        <w:spacing w:line="480" w:lineRule="auto"/>
        <w:jc w:val="both"/>
        <w:rPr>
          <w:rFonts w:ascii="Times New Roman" w:hAnsi="Times New Roman" w:cs="Times New Roman"/>
          <w:bCs/>
          <w:sz w:val="24"/>
          <w:szCs w:val="24"/>
        </w:rPr>
      </w:pPr>
      <w:r w:rsidRPr="00713AFF">
        <w:rPr>
          <w:rFonts w:ascii="Times New Roman" w:hAnsi="Times New Roman" w:cs="Times New Roman"/>
          <w:bCs/>
          <w:sz w:val="24"/>
          <w:szCs w:val="24"/>
        </w:rPr>
        <w:t xml:space="preserve">The data collected in this study were analyzed using </w:t>
      </w:r>
      <w:bookmarkStart w:id="3" w:name="_Hlk204197876"/>
      <w:r w:rsidRPr="00713AFF">
        <w:rPr>
          <w:rFonts w:ascii="Times New Roman" w:hAnsi="Times New Roman" w:cs="Times New Roman"/>
          <w:bCs/>
          <w:sz w:val="24"/>
          <w:szCs w:val="24"/>
        </w:rPr>
        <w:t xml:space="preserve">IBM SPSS </w:t>
      </w:r>
      <w:bookmarkEnd w:id="3"/>
      <w:r w:rsidRPr="00713AFF">
        <w:rPr>
          <w:rFonts w:ascii="Times New Roman" w:hAnsi="Times New Roman" w:cs="Times New Roman"/>
          <w:bCs/>
          <w:sz w:val="24"/>
          <w:szCs w:val="24"/>
        </w:rPr>
        <w:t>version 25. Descriptive statistics, such as the mean and standard deviation, were used to summarize the results. To compare differences between the control and treatment groups, a one-way analysis of variance (ANOVA) was carried out, followed by a post hoc test to identify specific group differences. A p-value of less than 0.05 was considered statistically significant.</w:t>
      </w:r>
    </w:p>
    <w:p w14:paraId="199B2044" w14:textId="77777777" w:rsidR="00713AFF" w:rsidRDefault="00713AFF" w:rsidP="00EF2D93">
      <w:pPr>
        <w:pStyle w:val="NoSpacing"/>
        <w:spacing w:line="480" w:lineRule="auto"/>
        <w:jc w:val="both"/>
        <w:rPr>
          <w:rFonts w:ascii="Times New Roman" w:hAnsi="Times New Roman" w:cs="Times New Roman"/>
          <w:bCs/>
          <w:sz w:val="24"/>
          <w:szCs w:val="24"/>
        </w:rPr>
      </w:pPr>
    </w:p>
    <w:p w14:paraId="4A84A0C6" w14:textId="4C01AA52" w:rsidR="00486046" w:rsidRPr="00F2137B" w:rsidRDefault="00486046" w:rsidP="00EF2D93">
      <w:pPr>
        <w:pStyle w:val="NoSpacing"/>
        <w:spacing w:line="480" w:lineRule="auto"/>
        <w:jc w:val="both"/>
        <w:rPr>
          <w:rFonts w:ascii="Times New Roman" w:hAnsi="Times New Roman" w:cs="Times New Roman"/>
          <w:b/>
          <w:sz w:val="24"/>
          <w:szCs w:val="24"/>
        </w:rPr>
      </w:pPr>
      <w:r w:rsidRPr="00F2137B">
        <w:rPr>
          <w:rFonts w:ascii="Times New Roman" w:hAnsi="Times New Roman" w:cs="Times New Roman"/>
          <w:b/>
          <w:sz w:val="24"/>
          <w:szCs w:val="24"/>
        </w:rPr>
        <w:t>RESULTS</w:t>
      </w:r>
    </w:p>
    <w:p w14:paraId="7B7BC090" w14:textId="592B34B9" w:rsidR="000B18E6" w:rsidRDefault="000B18E6" w:rsidP="001F2B25">
      <w:pPr>
        <w:pStyle w:val="NoSpacing"/>
        <w:spacing w:line="480" w:lineRule="auto"/>
        <w:jc w:val="both"/>
        <w:rPr>
          <w:rFonts w:ascii="Times New Roman" w:hAnsi="Times New Roman"/>
          <w:b/>
          <w:bCs/>
          <w:sz w:val="24"/>
          <w:szCs w:val="24"/>
        </w:rPr>
      </w:pPr>
      <w:bookmarkStart w:id="4" w:name="_Hlk182974115"/>
      <w:r w:rsidRPr="000B18E6">
        <w:rPr>
          <w:rFonts w:ascii="Times New Roman" w:hAnsi="Times New Roman"/>
          <w:b/>
          <w:bCs/>
          <w:sz w:val="24"/>
          <w:szCs w:val="24"/>
        </w:rPr>
        <w:t>Serum hepatic enzyme activities (</w:t>
      </w:r>
      <w:bookmarkStart w:id="5" w:name="_Hlk204197904"/>
      <w:r w:rsidRPr="000B18E6">
        <w:rPr>
          <w:rFonts w:ascii="Times New Roman" w:hAnsi="Times New Roman"/>
          <w:b/>
          <w:bCs/>
          <w:sz w:val="24"/>
          <w:szCs w:val="24"/>
        </w:rPr>
        <w:t>ALT, AST, ALP</w:t>
      </w:r>
      <w:bookmarkEnd w:id="5"/>
      <w:r w:rsidRPr="000B18E6">
        <w:rPr>
          <w:rFonts w:ascii="Times New Roman" w:hAnsi="Times New Roman"/>
          <w:b/>
          <w:bCs/>
          <w:sz w:val="24"/>
          <w:szCs w:val="24"/>
        </w:rPr>
        <w:t>)</w:t>
      </w:r>
    </w:p>
    <w:p w14:paraId="473C5DF4" w14:textId="6AB9F869"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Serum levels of alanine aminotransferase (ALT), aspartate aminotransferase (AST), and alkaline phosphatase (ALP) were assessed to evaluate hepatic function</w:t>
      </w:r>
      <w:r>
        <w:rPr>
          <w:rFonts w:ascii="Times New Roman" w:hAnsi="Times New Roman" w:cs="Times New Roman"/>
          <w:sz w:val="24"/>
          <w:szCs w:val="24"/>
          <w:lang w:val="en-GB"/>
        </w:rPr>
        <w:t xml:space="preserve"> (Table 1)</w:t>
      </w:r>
      <w:r w:rsidRPr="001F2B25">
        <w:rPr>
          <w:rFonts w:ascii="Times New Roman" w:hAnsi="Times New Roman" w:cs="Times New Roman"/>
          <w:sz w:val="24"/>
          <w:szCs w:val="24"/>
          <w:lang w:val="en-GB"/>
        </w:rPr>
        <w:t xml:space="preserve">. ALT levels were elevated across all treated groups compared to the control group (Group A). However, the </w:t>
      </w:r>
      <w:r w:rsidRPr="001F2B25">
        <w:rPr>
          <w:rFonts w:ascii="Times New Roman" w:hAnsi="Times New Roman" w:cs="Times New Roman"/>
          <w:sz w:val="24"/>
          <w:szCs w:val="24"/>
          <w:lang w:val="en-GB"/>
        </w:rPr>
        <w:lastRenderedPageBreak/>
        <w:t>increases observed in Groups B, C, and F were not statistically significant (p &gt; 0.05), whereas those in Groups D, E, G, H, I, and J were statistically significant (p &lt; 0.05).</w:t>
      </w:r>
    </w:p>
    <w:p w14:paraId="506A4F21" w14:textId="77777777" w:rsidR="001F2B25" w:rsidRDefault="001F2B25" w:rsidP="001F2B25">
      <w:pPr>
        <w:pStyle w:val="NoSpacing"/>
        <w:spacing w:line="480" w:lineRule="auto"/>
        <w:jc w:val="both"/>
        <w:rPr>
          <w:rFonts w:ascii="Times New Roman" w:hAnsi="Times New Roman" w:cs="Times New Roman"/>
          <w:sz w:val="24"/>
          <w:szCs w:val="24"/>
          <w:lang w:val="en-GB"/>
        </w:rPr>
      </w:pPr>
    </w:p>
    <w:p w14:paraId="71ED2C95" w14:textId="1546990D"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For AST, mean serum levels were higher in Groups B, C, G, and I, and lower in Groups D, E, F, H, and J relative to the control. Statistically significant differences (p &lt; 0.05) were observed in Groups C, E, G, H, I, and J, while the variations in Groups B, D, and F were not significant (p &gt; 0.05).</w:t>
      </w:r>
    </w:p>
    <w:p w14:paraId="2628B5D6" w14:textId="77777777" w:rsidR="001F2B25" w:rsidRDefault="001F2B25" w:rsidP="001F2B25">
      <w:pPr>
        <w:pStyle w:val="NoSpacing"/>
        <w:spacing w:line="480" w:lineRule="auto"/>
        <w:jc w:val="both"/>
        <w:rPr>
          <w:rFonts w:ascii="Times New Roman" w:hAnsi="Times New Roman" w:cs="Times New Roman"/>
          <w:sz w:val="24"/>
          <w:szCs w:val="24"/>
          <w:lang w:val="en-GB"/>
        </w:rPr>
      </w:pPr>
    </w:p>
    <w:p w14:paraId="32D45341" w14:textId="196A82CD" w:rsidR="001F2B25" w:rsidRPr="001F2B25" w:rsidRDefault="001F2B25" w:rsidP="001F2B25">
      <w:pPr>
        <w:pStyle w:val="NoSpacing"/>
        <w:spacing w:line="480" w:lineRule="auto"/>
        <w:jc w:val="both"/>
        <w:rPr>
          <w:rFonts w:ascii="Times New Roman" w:hAnsi="Times New Roman" w:cs="Times New Roman"/>
          <w:sz w:val="24"/>
          <w:szCs w:val="24"/>
          <w:lang w:val="en-GB"/>
        </w:rPr>
      </w:pPr>
      <w:r w:rsidRPr="001F2B25">
        <w:rPr>
          <w:rFonts w:ascii="Times New Roman" w:hAnsi="Times New Roman" w:cs="Times New Roman"/>
          <w:sz w:val="24"/>
          <w:szCs w:val="24"/>
          <w:lang w:val="en-GB"/>
        </w:rPr>
        <w:t>ALP levels were generally elevated in all experimental groups compared to the control. The increases observed in Groups D, E, F, G, and I were statistically significant (p &lt; 0.05), whereas the differences in Groups B, C, H, and J were not (p &gt; 0.05).</w:t>
      </w:r>
    </w:p>
    <w:p w14:paraId="06C3FE70" w14:textId="77777777" w:rsidR="001F2B25" w:rsidRDefault="001F2B25" w:rsidP="004641B3">
      <w:pPr>
        <w:pStyle w:val="NoSpacing"/>
        <w:spacing w:line="480" w:lineRule="auto"/>
        <w:jc w:val="both"/>
        <w:rPr>
          <w:rFonts w:ascii="Times New Roman" w:hAnsi="Times New Roman"/>
          <w:b/>
          <w:bCs/>
          <w:sz w:val="24"/>
          <w:szCs w:val="24"/>
          <w:lang w:val="en-GB"/>
        </w:rPr>
      </w:pPr>
    </w:p>
    <w:p w14:paraId="53C66A33" w14:textId="64316B6F" w:rsidR="004641B3" w:rsidRPr="009A0AF8" w:rsidRDefault="004641B3" w:rsidP="004641B3">
      <w:pPr>
        <w:pStyle w:val="NoSpacing"/>
        <w:spacing w:line="480" w:lineRule="auto"/>
        <w:jc w:val="both"/>
        <w:rPr>
          <w:rFonts w:ascii="Times New Roman" w:hAnsi="Times New Roman"/>
          <w:b/>
          <w:bCs/>
          <w:sz w:val="24"/>
          <w:szCs w:val="24"/>
          <w:lang w:val="en-GB"/>
        </w:rPr>
      </w:pPr>
      <w:r w:rsidRPr="009A0AF8">
        <w:rPr>
          <w:rFonts w:ascii="Times New Roman" w:hAnsi="Times New Roman"/>
          <w:b/>
          <w:bCs/>
          <w:sz w:val="24"/>
          <w:szCs w:val="24"/>
          <w:lang w:val="en-GB"/>
        </w:rPr>
        <w:t xml:space="preserve">Relative </w:t>
      </w:r>
      <w:r w:rsidR="000B18E6">
        <w:rPr>
          <w:rFonts w:ascii="Times New Roman" w:hAnsi="Times New Roman"/>
          <w:b/>
          <w:bCs/>
          <w:sz w:val="24"/>
          <w:szCs w:val="24"/>
          <w:lang w:val="en-GB"/>
        </w:rPr>
        <w:t>liver</w:t>
      </w:r>
      <w:r w:rsidRPr="009A0AF8">
        <w:rPr>
          <w:rFonts w:ascii="Times New Roman" w:hAnsi="Times New Roman"/>
          <w:b/>
          <w:bCs/>
          <w:sz w:val="24"/>
          <w:szCs w:val="24"/>
          <w:lang w:val="en-GB"/>
        </w:rPr>
        <w:t xml:space="preserve"> weight</w:t>
      </w:r>
    </w:p>
    <w:bookmarkEnd w:id="4"/>
    <w:p w14:paraId="4A39B45A" w14:textId="39317E24" w:rsidR="00713AFF" w:rsidRPr="00713AFF" w:rsidRDefault="000B18E6" w:rsidP="00713AFF">
      <w:pPr>
        <w:pStyle w:val="NoSpacing"/>
        <w:spacing w:line="480" w:lineRule="auto"/>
        <w:jc w:val="both"/>
        <w:rPr>
          <w:rFonts w:ascii="Times New Roman" w:hAnsi="Times New Roman" w:cs="Times New Roman"/>
          <w:sz w:val="24"/>
          <w:szCs w:val="24"/>
          <w:lang w:val="en-GB"/>
        </w:rPr>
      </w:pPr>
      <w:r w:rsidRPr="000B18E6">
        <w:rPr>
          <w:rFonts w:ascii="Times New Roman" w:hAnsi="Times New Roman" w:cs="Times New Roman"/>
          <w:sz w:val="24"/>
          <w:szCs w:val="24"/>
        </w:rPr>
        <w:t>The mean relative liver weights were elevated in Groups B, C, D, E, G, and I, and reduced in Groups F, H, and J compared to the control group (Group A). However, these differences were not statistically significant (p &gt; 0.05) across all experimental groups</w:t>
      </w:r>
      <w:r w:rsidR="00C03ED3">
        <w:rPr>
          <w:rFonts w:ascii="Times New Roman" w:hAnsi="Times New Roman" w:cs="Times New Roman"/>
          <w:sz w:val="24"/>
          <w:szCs w:val="24"/>
        </w:rPr>
        <w:t xml:space="preserve"> (Table 2; Figure 1)</w:t>
      </w:r>
      <w:r w:rsidRPr="000B18E6">
        <w:rPr>
          <w:rFonts w:ascii="Times New Roman" w:hAnsi="Times New Roman" w:cs="Times New Roman"/>
          <w:sz w:val="24"/>
          <w:szCs w:val="24"/>
        </w:rPr>
        <w:t>.</w:t>
      </w:r>
    </w:p>
    <w:p w14:paraId="27190EEB" w14:textId="77777777" w:rsidR="00713AFF" w:rsidRDefault="00713AFF" w:rsidP="00EF2D93">
      <w:pPr>
        <w:spacing w:line="480" w:lineRule="auto"/>
        <w:jc w:val="both"/>
        <w:rPr>
          <w:rFonts w:ascii="Times New Roman" w:hAnsi="Times New Roman" w:cs="Times New Roman"/>
          <w:b/>
          <w:bCs/>
          <w:sz w:val="24"/>
          <w:szCs w:val="24"/>
        </w:rPr>
      </w:pPr>
    </w:p>
    <w:p w14:paraId="07D3F660" w14:textId="6E75899E" w:rsidR="00836048" w:rsidRDefault="00836048" w:rsidP="00EF2D93">
      <w:pPr>
        <w:spacing w:line="480" w:lineRule="auto"/>
        <w:jc w:val="both"/>
        <w:rPr>
          <w:rFonts w:ascii="Times New Roman" w:hAnsi="Times New Roman" w:cs="Times New Roman"/>
          <w:b/>
          <w:bCs/>
          <w:sz w:val="24"/>
          <w:szCs w:val="24"/>
        </w:rPr>
      </w:pPr>
      <w:r w:rsidRPr="00F2137B">
        <w:rPr>
          <w:rFonts w:ascii="Times New Roman" w:hAnsi="Times New Roman" w:cs="Times New Roman"/>
          <w:b/>
          <w:bCs/>
          <w:sz w:val="24"/>
          <w:szCs w:val="24"/>
        </w:rPr>
        <w:t>DISCUSSION, CONCLUSIONS AND RECOMMENDATIONS</w:t>
      </w:r>
    </w:p>
    <w:p w14:paraId="41AC3E04" w14:textId="349CC85C" w:rsidR="00836048" w:rsidRDefault="00836048" w:rsidP="00EF2D93">
      <w:pPr>
        <w:pStyle w:val="NoSpacing"/>
        <w:spacing w:line="480" w:lineRule="auto"/>
        <w:jc w:val="both"/>
        <w:rPr>
          <w:rFonts w:ascii="Times New Roman" w:hAnsi="Times New Roman"/>
          <w:b/>
          <w:bCs/>
          <w:sz w:val="24"/>
          <w:szCs w:val="24"/>
          <w:lang w:val="en-GB"/>
        </w:rPr>
      </w:pPr>
      <w:r w:rsidRPr="0049601B">
        <w:rPr>
          <w:rFonts w:ascii="Times New Roman" w:hAnsi="Times New Roman"/>
          <w:b/>
          <w:bCs/>
          <w:sz w:val="24"/>
          <w:szCs w:val="24"/>
          <w:lang w:val="en-GB"/>
        </w:rPr>
        <w:t>Discussion</w:t>
      </w:r>
    </w:p>
    <w:p w14:paraId="11255CC3" w14:textId="4F7B2A1F" w:rsid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The liver plays a central role in the detoxification of xenobiotics, including herbal formulations. Liver enzymes</w:t>
      </w:r>
      <w:r w:rsidR="005570D1">
        <w:rPr>
          <w:rFonts w:ascii="Times New Roman" w:hAnsi="Times New Roman"/>
          <w:sz w:val="24"/>
          <w:szCs w:val="24"/>
          <w:lang w:val="en-GB"/>
        </w:rPr>
        <w:t xml:space="preserve"> – </w:t>
      </w:r>
      <w:r w:rsidRPr="00C03ED3">
        <w:rPr>
          <w:rFonts w:ascii="Times New Roman" w:hAnsi="Times New Roman"/>
          <w:sz w:val="24"/>
          <w:szCs w:val="24"/>
          <w:lang w:val="en-GB"/>
        </w:rPr>
        <w:t>ALT, AST, and ALP</w:t>
      </w:r>
      <w:r w:rsidR="005570D1">
        <w:rPr>
          <w:rFonts w:ascii="Times New Roman" w:hAnsi="Times New Roman"/>
          <w:sz w:val="24"/>
          <w:szCs w:val="24"/>
          <w:lang w:val="en-GB"/>
        </w:rPr>
        <w:t xml:space="preserve"> </w:t>
      </w:r>
      <w:r w:rsidRPr="00C03ED3">
        <w:rPr>
          <w:rFonts w:ascii="Times New Roman" w:hAnsi="Times New Roman"/>
          <w:sz w:val="24"/>
          <w:szCs w:val="24"/>
          <w:lang w:val="en-GB"/>
        </w:rPr>
        <w:t xml:space="preserve">serve as reliable indicators of hepatic function, with their elevation suggesting hepatocellular injury or cholestasis </w:t>
      </w:r>
      <w:r w:rsidR="000758B6">
        <w:rPr>
          <w:rFonts w:ascii="Times New Roman" w:hAnsi="Times New Roman"/>
          <w:sz w:val="24"/>
          <w:szCs w:val="24"/>
          <w:lang w:val="en-GB"/>
        </w:rPr>
        <w:t>[1</w:t>
      </w:r>
      <w:r w:rsidR="004E0BC5">
        <w:rPr>
          <w:rFonts w:ascii="Times New Roman" w:hAnsi="Times New Roman"/>
          <w:sz w:val="24"/>
          <w:szCs w:val="24"/>
          <w:lang w:val="en-GB"/>
        </w:rPr>
        <w:t>2</w:t>
      </w:r>
      <w:r w:rsidR="000758B6">
        <w:rPr>
          <w:rFonts w:ascii="Times New Roman" w:hAnsi="Times New Roman"/>
          <w:sz w:val="24"/>
          <w:szCs w:val="24"/>
          <w:lang w:val="en-GB"/>
        </w:rPr>
        <w:t>, 1</w:t>
      </w:r>
      <w:r w:rsidR="004E0BC5">
        <w:rPr>
          <w:rFonts w:ascii="Times New Roman" w:hAnsi="Times New Roman"/>
          <w:sz w:val="24"/>
          <w:szCs w:val="24"/>
          <w:lang w:val="en-GB"/>
        </w:rPr>
        <w:t>3</w:t>
      </w:r>
      <w:r w:rsidR="000758B6">
        <w:rPr>
          <w:rFonts w:ascii="Times New Roman" w:hAnsi="Times New Roman"/>
          <w:sz w:val="24"/>
          <w:szCs w:val="24"/>
          <w:lang w:val="en-GB"/>
        </w:rPr>
        <w:t>]</w:t>
      </w:r>
      <w:r w:rsidRPr="00C03ED3">
        <w:rPr>
          <w:rFonts w:ascii="Times New Roman" w:hAnsi="Times New Roman"/>
          <w:sz w:val="24"/>
          <w:szCs w:val="24"/>
          <w:lang w:val="en-GB"/>
        </w:rPr>
        <w:t xml:space="preserve">. In this study, elevated levels of ALT and ALP were observed in several experimental groups co-administered Odogwu Bitters </w:t>
      </w:r>
      <w:r w:rsidRPr="00C03ED3">
        <w:rPr>
          <w:rFonts w:ascii="Times New Roman" w:hAnsi="Times New Roman"/>
          <w:sz w:val="24"/>
          <w:szCs w:val="24"/>
          <w:lang w:val="en-GB"/>
        </w:rPr>
        <w:lastRenderedPageBreak/>
        <w:t>and Goko Cleanser, suggesting potential hepatocellular damage and biliary dysfunction. AST levels showed a biphasic response, with some groups exhibiting increases and others showing declines, which may indicate differential hepatocellular involvement or adaptive responses.</w:t>
      </w:r>
    </w:p>
    <w:p w14:paraId="03947B10" w14:textId="77777777" w:rsidR="00171212" w:rsidRDefault="00171212" w:rsidP="00C03ED3">
      <w:pPr>
        <w:pStyle w:val="NoSpacing"/>
        <w:spacing w:line="480" w:lineRule="auto"/>
        <w:jc w:val="both"/>
        <w:rPr>
          <w:rFonts w:ascii="Times New Roman" w:hAnsi="Times New Roman"/>
          <w:sz w:val="24"/>
          <w:szCs w:val="24"/>
          <w:lang w:val="en-GB"/>
        </w:rPr>
      </w:pPr>
    </w:p>
    <w:p w14:paraId="61645697" w14:textId="131D50BE" w:rsidR="00C03ED3" w:rsidRPr="00C03ED3" w:rsidRDefault="00171212" w:rsidP="00C03ED3">
      <w:pPr>
        <w:pStyle w:val="NoSpacing"/>
        <w:spacing w:line="480" w:lineRule="auto"/>
        <w:jc w:val="both"/>
        <w:rPr>
          <w:rFonts w:ascii="Times New Roman" w:hAnsi="Times New Roman"/>
          <w:sz w:val="24"/>
          <w:szCs w:val="24"/>
          <w:lang w:val="en-GB"/>
        </w:rPr>
      </w:pPr>
      <w:r w:rsidRPr="00171212">
        <w:rPr>
          <w:rFonts w:ascii="Times New Roman" w:hAnsi="Times New Roman"/>
          <w:sz w:val="24"/>
          <w:szCs w:val="24"/>
          <w:highlight w:val="yellow"/>
          <w:lang w:val="en-GB"/>
        </w:rPr>
        <w:t>The observed biphasic response in AST levels</w:t>
      </w:r>
      <w:r w:rsidRPr="00AC3506">
        <w:rPr>
          <w:rFonts w:ascii="Times New Roman" w:hAnsi="Times New Roman"/>
          <w:sz w:val="24"/>
          <w:szCs w:val="24"/>
          <w:highlight w:val="yellow"/>
          <w:lang w:val="en-GB"/>
        </w:rPr>
        <w:t xml:space="preserve"> – </w:t>
      </w:r>
      <w:r w:rsidRPr="00171212">
        <w:rPr>
          <w:rFonts w:ascii="Times New Roman" w:hAnsi="Times New Roman"/>
          <w:sz w:val="24"/>
          <w:szCs w:val="24"/>
          <w:highlight w:val="yellow"/>
          <w:lang w:val="en-GB"/>
        </w:rPr>
        <w:t xml:space="preserve">elevations in some groups and reductions in others </w:t>
      </w:r>
      <w:r w:rsidRPr="00AC3506">
        <w:rPr>
          <w:rFonts w:ascii="Times New Roman" w:hAnsi="Times New Roman"/>
          <w:sz w:val="24"/>
          <w:szCs w:val="24"/>
          <w:highlight w:val="yellow"/>
          <w:lang w:val="en-GB"/>
        </w:rPr>
        <w:t xml:space="preserve">– </w:t>
      </w:r>
      <w:r w:rsidRPr="00171212">
        <w:rPr>
          <w:rFonts w:ascii="Times New Roman" w:hAnsi="Times New Roman"/>
          <w:sz w:val="24"/>
          <w:szCs w:val="24"/>
          <w:highlight w:val="yellow"/>
          <w:lang w:val="en-GB"/>
        </w:rPr>
        <w:t>may reflect complex hepatic dynamics under the influence of mixed phytochemical exposures. AST is present in both the cytosol and mitochondria of hepatocytes</w:t>
      </w:r>
      <w:r w:rsidRPr="00AC3506">
        <w:rPr>
          <w:rFonts w:ascii="Times New Roman" w:hAnsi="Times New Roman"/>
          <w:sz w:val="24"/>
          <w:szCs w:val="24"/>
          <w:highlight w:val="yellow"/>
          <w:lang w:val="en-GB"/>
        </w:rPr>
        <w:t xml:space="preserve"> [1</w:t>
      </w:r>
      <w:r w:rsidR="004E0BC5">
        <w:rPr>
          <w:rFonts w:ascii="Times New Roman" w:hAnsi="Times New Roman"/>
          <w:sz w:val="24"/>
          <w:szCs w:val="24"/>
          <w:highlight w:val="yellow"/>
          <w:lang w:val="en-GB"/>
        </w:rPr>
        <w:t>6</w:t>
      </w:r>
      <w:r w:rsidRPr="00AC3506">
        <w:rPr>
          <w:rFonts w:ascii="Times New Roman" w:hAnsi="Times New Roman"/>
          <w:sz w:val="24"/>
          <w:szCs w:val="24"/>
          <w:highlight w:val="yellow"/>
          <w:lang w:val="en-GB"/>
        </w:rPr>
        <w:t>]</w:t>
      </w:r>
      <w:r w:rsidRPr="00171212">
        <w:rPr>
          <w:rFonts w:ascii="Times New Roman" w:hAnsi="Times New Roman"/>
          <w:sz w:val="24"/>
          <w:szCs w:val="24"/>
          <w:highlight w:val="yellow"/>
          <w:lang w:val="en-GB"/>
        </w:rPr>
        <w:t>, and its release can indicate either reversible cell membrane damage or deeper mitochondrial injury</w:t>
      </w:r>
      <w:r w:rsidR="00AC3506">
        <w:rPr>
          <w:rFonts w:ascii="Times New Roman" w:hAnsi="Times New Roman"/>
          <w:sz w:val="24"/>
          <w:szCs w:val="24"/>
          <w:highlight w:val="yellow"/>
          <w:lang w:val="en-GB"/>
        </w:rPr>
        <w:t xml:space="preserve"> [1</w:t>
      </w:r>
      <w:r w:rsidR="004E0BC5">
        <w:rPr>
          <w:rFonts w:ascii="Times New Roman" w:hAnsi="Times New Roman"/>
          <w:sz w:val="24"/>
          <w:szCs w:val="24"/>
          <w:highlight w:val="yellow"/>
          <w:lang w:val="en-GB"/>
        </w:rPr>
        <w:t>7</w:t>
      </w:r>
      <w:r w:rsidR="00AC3506">
        <w:rPr>
          <w:rFonts w:ascii="Times New Roman" w:hAnsi="Times New Roman"/>
          <w:sz w:val="24"/>
          <w:szCs w:val="24"/>
          <w:highlight w:val="yellow"/>
          <w:lang w:val="en-GB"/>
        </w:rPr>
        <w:t>]</w:t>
      </w:r>
      <w:r w:rsidRPr="00171212">
        <w:rPr>
          <w:rFonts w:ascii="Times New Roman" w:hAnsi="Times New Roman"/>
          <w:sz w:val="24"/>
          <w:szCs w:val="24"/>
          <w:highlight w:val="yellow"/>
          <w:lang w:val="en-GB"/>
        </w:rPr>
        <w:t>. Mild elevations in AST, especially in lower-dose groups, could suggest transient, adaptive metabolic stress or early enzyme induction. In contrast, reductions in AST levels in some higher-dose or combination groups may indicate enzyme inhibition, hepatic mitochondrial exhaustion, or disruption of normal enzyme synthesis. Alternatively, a suppressed AST response could reflect compensatory metabolic downregulation following prolonged subchronic exposure. These contrasting effects underscore the need for mechanistic studies</w:t>
      </w:r>
      <w:r w:rsidRPr="00AC3506">
        <w:rPr>
          <w:rFonts w:ascii="Times New Roman" w:hAnsi="Times New Roman"/>
          <w:sz w:val="24"/>
          <w:szCs w:val="24"/>
          <w:highlight w:val="yellow"/>
          <w:lang w:val="en-GB"/>
        </w:rPr>
        <w:t xml:space="preserve"> – i</w:t>
      </w:r>
      <w:r w:rsidRPr="00171212">
        <w:rPr>
          <w:rFonts w:ascii="Times New Roman" w:hAnsi="Times New Roman"/>
          <w:sz w:val="24"/>
          <w:szCs w:val="24"/>
          <w:highlight w:val="yellow"/>
          <w:lang w:val="en-GB"/>
        </w:rPr>
        <w:t>ncluding oxidative stress markers and mitochondrial assays</w:t>
      </w:r>
      <w:r w:rsidRPr="00AC3506">
        <w:rPr>
          <w:rFonts w:ascii="Times New Roman" w:hAnsi="Times New Roman"/>
          <w:sz w:val="24"/>
          <w:szCs w:val="24"/>
          <w:highlight w:val="yellow"/>
          <w:lang w:val="en-GB"/>
        </w:rPr>
        <w:t xml:space="preserve"> – </w:t>
      </w:r>
      <w:r w:rsidRPr="00171212">
        <w:rPr>
          <w:rFonts w:ascii="Times New Roman" w:hAnsi="Times New Roman"/>
          <w:sz w:val="24"/>
          <w:szCs w:val="24"/>
          <w:highlight w:val="yellow"/>
          <w:lang w:val="en-GB"/>
        </w:rPr>
        <w:t>to clarify whether these changes signify early adaptation, progressing toxicity, or phytochemical interactions affecting enzyme regulation.</w:t>
      </w:r>
      <w:r w:rsidR="00AC3506">
        <w:rPr>
          <w:rFonts w:ascii="Times New Roman" w:hAnsi="Times New Roman"/>
          <w:sz w:val="24"/>
          <w:szCs w:val="24"/>
          <w:lang w:val="en-GB"/>
        </w:rPr>
        <w:t xml:space="preserve"> </w:t>
      </w:r>
      <w:r w:rsidR="00C03ED3" w:rsidRPr="00C03ED3">
        <w:rPr>
          <w:rFonts w:ascii="Times New Roman" w:hAnsi="Times New Roman"/>
          <w:sz w:val="24"/>
          <w:szCs w:val="24"/>
          <w:lang w:val="en-GB"/>
        </w:rPr>
        <w:t xml:space="preserve">These findings are consistent with previous toxicological reports where exposure to complex herbal mixtures produced elevations in liver biomarkers </w:t>
      </w:r>
      <w:r w:rsidR="000758B6">
        <w:rPr>
          <w:rFonts w:ascii="Times New Roman" w:hAnsi="Times New Roman"/>
          <w:sz w:val="24"/>
          <w:szCs w:val="24"/>
          <w:lang w:val="en-GB"/>
        </w:rPr>
        <w:t>[2]</w:t>
      </w:r>
      <w:r w:rsidR="00C03ED3" w:rsidRPr="00C03ED3">
        <w:rPr>
          <w:rFonts w:ascii="Times New Roman" w:hAnsi="Times New Roman"/>
          <w:sz w:val="24"/>
          <w:szCs w:val="24"/>
          <w:lang w:val="en-GB"/>
        </w:rPr>
        <w:t>. Although no histopathological evaluation was included in the present study, the observed enzyme perturbations may reflect early biochemical evidence of liver dysfunction, even in the absence of structural damage.</w:t>
      </w:r>
    </w:p>
    <w:p w14:paraId="5CA753D8" w14:textId="77777777" w:rsidR="008E0AA8" w:rsidRDefault="008E0AA8" w:rsidP="00C03ED3">
      <w:pPr>
        <w:pStyle w:val="NoSpacing"/>
        <w:spacing w:line="480" w:lineRule="auto"/>
        <w:jc w:val="both"/>
        <w:rPr>
          <w:rFonts w:ascii="Times New Roman" w:hAnsi="Times New Roman"/>
          <w:sz w:val="24"/>
          <w:szCs w:val="24"/>
          <w:lang w:val="en-GB"/>
        </w:rPr>
      </w:pPr>
    </w:p>
    <w:p w14:paraId="615AD012" w14:textId="4D3060D9"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Prior studies have primarily focused on the nephrotoxic effects of these herbal mixtures. For instance, Onyejike et al. reported increased urea and creatinine levels in male Wistar rats co-</w:t>
      </w:r>
      <w:r w:rsidRPr="00C03ED3">
        <w:rPr>
          <w:rFonts w:ascii="Times New Roman" w:hAnsi="Times New Roman"/>
          <w:sz w:val="24"/>
          <w:szCs w:val="24"/>
          <w:lang w:val="en-GB"/>
        </w:rPr>
        <w:lastRenderedPageBreak/>
        <w:t xml:space="preserve">administered Odogwu Bitters and Goko Cleanser, highlighting their potential renal toxicity </w:t>
      </w:r>
      <w:r w:rsidR="0093035D">
        <w:rPr>
          <w:rFonts w:ascii="Times New Roman" w:hAnsi="Times New Roman"/>
          <w:sz w:val="24"/>
          <w:szCs w:val="24"/>
          <w:lang w:val="en-GB"/>
        </w:rPr>
        <w:t>[5]</w:t>
      </w:r>
      <w:r w:rsidRPr="00C03ED3">
        <w:rPr>
          <w:rFonts w:ascii="Times New Roman" w:hAnsi="Times New Roman"/>
          <w:sz w:val="24"/>
          <w:szCs w:val="24"/>
          <w:lang w:val="en-GB"/>
        </w:rPr>
        <w:t xml:space="preserve">. Similarly, Obiesie et al. documented biochemical alterations following co-administration, though their emphasis remained on kidney health </w:t>
      </w:r>
      <w:r w:rsidR="0093035D">
        <w:rPr>
          <w:rFonts w:ascii="Times New Roman" w:hAnsi="Times New Roman"/>
          <w:sz w:val="24"/>
          <w:szCs w:val="24"/>
          <w:lang w:val="en-GB"/>
        </w:rPr>
        <w:t>[7]</w:t>
      </w:r>
      <w:r w:rsidRPr="00C03ED3">
        <w:rPr>
          <w:rFonts w:ascii="Times New Roman" w:hAnsi="Times New Roman"/>
          <w:sz w:val="24"/>
          <w:szCs w:val="24"/>
          <w:lang w:val="en-GB"/>
        </w:rPr>
        <w:t xml:space="preserve">. In contrast, Onyejike et al. (2018) reported microarchitectural changes in the liver following administration of Goko Cleanser alone, supporting the potential hepatotoxicity of at least one of the two formulations </w:t>
      </w:r>
      <w:r w:rsidR="0093035D">
        <w:rPr>
          <w:rFonts w:ascii="Times New Roman" w:hAnsi="Times New Roman"/>
          <w:sz w:val="24"/>
          <w:szCs w:val="24"/>
          <w:lang w:val="en-GB"/>
        </w:rPr>
        <w:t>[8]</w:t>
      </w:r>
      <w:r w:rsidRPr="00C03ED3">
        <w:rPr>
          <w:rFonts w:ascii="Times New Roman" w:hAnsi="Times New Roman"/>
          <w:sz w:val="24"/>
          <w:szCs w:val="24"/>
          <w:lang w:val="en-GB"/>
        </w:rPr>
        <w:t>.</w:t>
      </w:r>
    </w:p>
    <w:p w14:paraId="66C4DCA0" w14:textId="77777777" w:rsidR="008E0AA8" w:rsidRDefault="008E0AA8" w:rsidP="00C03ED3">
      <w:pPr>
        <w:pStyle w:val="NoSpacing"/>
        <w:spacing w:line="480" w:lineRule="auto"/>
        <w:jc w:val="both"/>
        <w:rPr>
          <w:rFonts w:ascii="Times New Roman" w:hAnsi="Times New Roman"/>
          <w:sz w:val="24"/>
          <w:szCs w:val="24"/>
          <w:lang w:val="en-GB"/>
        </w:rPr>
      </w:pPr>
    </w:p>
    <w:p w14:paraId="73ED2DFC" w14:textId="18DDF2DB"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Furthermore, overdose reports from South-Southern Nigeria, such as those by Elechi-Amadi et al., have documented elevated AST, ALT, and ALP levels among habitual consumers of bitters, aligning with the biochemical trends observed in this experimental model </w:t>
      </w:r>
      <w:r w:rsidR="0093035D">
        <w:rPr>
          <w:rFonts w:ascii="Times New Roman" w:hAnsi="Times New Roman"/>
          <w:sz w:val="24"/>
          <w:szCs w:val="24"/>
          <w:lang w:val="en-GB"/>
        </w:rPr>
        <w:t>[9]</w:t>
      </w:r>
      <w:r w:rsidRPr="00C03ED3">
        <w:rPr>
          <w:rFonts w:ascii="Times New Roman" w:hAnsi="Times New Roman"/>
          <w:sz w:val="24"/>
          <w:szCs w:val="24"/>
          <w:lang w:val="en-GB"/>
        </w:rPr>
        <w:t>. These observations underscore the systemic implications of habitual or combined usage of such herbal formulations.</w:t>
      </w:r>
    </w:p>
    <w:p w14:paraId="1E258743" w14:textId="77777777" w:rsidR="008E0AA8" w:rsidRDefault="008E0AA8" w:rsidP="00C03ED3">
      <w:pPr>
        <w:pStyle w:val="NoSpacing"/>
        <w:spacing w:line="480" w:lineRule="auto"/>
        <w:jc w:val="both"/>
        <w:rPr>
          <w:rFonts w:ascii="Times New Roman" w:hAnsi="Times New Roman"/>
          <w:sz w:val="24"/>
          <w:szCs w:val="24"/>
          <w:lang w:val="en-GB"/>
        </w:rPr>
      </w:pPr>
    </w:p>
    <w:p w14:paraId="34F5A66A" w14:textId="4CD1B780"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 xml:space="preserve">Phytochemical analyses have identified key bioactive components in both herbal mixtures. Goko Cleanser contains constituents such as saponins, flavonoids, and tannins </w:t>
      </w:r>
      <w:r w:rsidR="0093035D">
        <w:rPr>
          <w:rFonts w:ascii="Times New Roman" w:hAnsi="Times New Roman"/>
          <w:sz w:val="24"/>
          <w:szCs w:val="24"/>
          <w:lang w:val="en-GB"/>
        </w:rPr>
        <w:t>[6]</w:t>
      </w:r>
      <w:r w:rsidRPr="00C03ED3">
        <w:rPr>
          <w:rFonts w:ascii="Times New Roman" w:hAnsi="Times New Roman"/>
          <w:sz w:val="24"/>
          <w:szCs w:val="24"/>
          <w:lang w:val="en-GB"/>
        </w:rPr>
        <w:t xml:space="preserve">, while Odogwu Bitters includes alkaloids, saponins, flavonoids, and terpenoids in varying concentrations </w:t>
      </w:r>
      <w:r w:rsidR="0093035D">
        <w:rPr>
          <w:rFonts w:ascii="Times New Roman" w:hAnsi="Times New Roman"/>
          <w:sz w:val="24"/>
          <w:szCs w:val="24"/>
          <w:lang w:val="en-GB"/>
        </w:rPr>
        <w:t>[7]</w:t>
      </w:r>
      <w:r w:rsidRPr="00C03ED3">
        <w:rPr>
          <w:rFonts w:ascii="Times New Roman" w:hAnsi="Times New Roman"/>
          <w:sz w:val="24"/>
          <w:szCs w:val="24"/>
          <w:lang w:val="en-GB"/>
        </w:rPr>
        <w:t>. While these compounds may have therapeutic potential, their combination or prolonged intake may also contribute to toxicological outcomes observed in this study.</w:t>
      </w:r>
      <w:r w:rsidR="0093035D">
        <w:rPr>
          <w:rFonts w:ascii="Times New Roman" w:hAnsi="Times New Roman"/>
          <w:sz w:val="24"/>
          <w:szCs w:val="24"/>
          <w:lang w:val="en-GB"/>
        </w:rPr>
        <w:t xml:space="preserve"> </w:t>
      </w:r>
      <w:r w:rsidRPr="00C03ED3">
        <w:rPr>
          <w:rFonts w:ascii="Times New Roman" w:hAnsi="Times New Roman"/>
          <w:sz w:val="24"/>
          <w:szCs w:val="24"/>
          <w:lang w:val="en-GB"/>
        </w:rPr>
        <w:t>The variations in enzyme responses across different groups may reflect dose-dependent toxicity or herb-herb interactions that affect metabolic clearance pathways. The precise phytochemical constituents responsible for these effects remain unidentified, highlighting the need for phytoprofiling and mechanistic studies.</w:t>
      </w:r>
    </w:p>
    <w:p w14:paraId="12C46133" w14:textId="77777777" w:rsidR="008E0AA8" w:rsidRDefault="008E0AA8" w:rsidP="00C03ED3">
      <w:pPr>
        <w:pStyle w:val="NoSpacing"/>
        <w:spacing w:line="480" w:lineRule="auto"/>
        <w:jc w:val="both"/>
        <w:rPr>
          <w:rFonts w:ascii="Times New Roman" w:hAnsi="Times New Roman"/>
          <w:sz w:val="24"/>
          <w:szCs w:val="24"/>
          <w:lang w:val="en-GB"/>
        </w:rPr>
      </w:pPr>
    </w:p>
    <w:p w14:paraId="4EFE1117" w14:textId="519D1891"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lastRenderedPageBreak/>
        <w:t>In addition to biochemical changes, the study also evaluated the relative liver weights of the animals. Although increases in liver weight were observed in groups B, C, D, E, G, and I, and decreases in groups F, H, and J, none of these differences reached statistical significance when compared to the control. These findings suggest that while functional enzyme changes were evident, they were not accompanied by marked morphological alterations in liver size. However, it is important to note that relative organ weight alone is not a definitive marker of toxicity, and such data should be interpreted in conjunction with biochemical and histological results.</w:t>
      </w:r>
    </w:p>
    <w:p w14:paraId="5CD7ABA9" w14:textId="77777777" w:rsidR="00E471F4" w:rsidRPr="00E471F4" w:rsidRDefault="00E471F4" w:rsidP="00EF2D93">
      <w:pPr>
        <w:pStyle w:val="NoSpacing"/>
        <w:spacing w:line="480" w:lineRule="auto"/>
        <w:jc w:val="both"/>
        <w:rPr>
          <w:rFonts w:ascii="Times New Roman" w:hAnsi="Times New Roman"/>
          <w:sz w:val="24"/>
          <w:szCs w:val="24"/>
          <w:lang w:val="en-GB"/>
        </w:rPr>
      </w:pPr>
    </w:p>
    <w:p w14:paraId="26DA5083" w14:textId="101F4FFC" w:rsidR="00836048" w:rsidRPr="00836048" w:rsidRDefault="00836048" w:rsidP="00EF2D93">
      <w:pPr>
        <w:pStyle w:val="NoSpacing"/>
        <w:spacing w:line="480" w:lineRule="auto"/>
        <w:jc w:val="both"/>
        <w:rPr>
          <w:rFonts w:ascii="Times New Roman" w:hAnsi="Times New Roman"/>
          <w:b/>
          <w:bCs/>
          <w:sz w:val="24"/>
          <w:szCs w:val="24"/>
        </w:rPr>
      </w:pPr>
      <w:r w:rsidRPr="00836048">
        <w:rPr>
          <w:rFonts w:ascii="Times New Roman" w:hAnsi="Times New Roman"/>
          <w:b/>
          <w:bCs/>
          <w:sz w:val="24"/>
          <w:szCs w:val="24"/>
        </w:rPr>
        <w:t>Conclusion</w:t>
      </w:r>
    </w:p>
    <w:p w14:paraId="61C59E87" w14:textId="2FD1C189" w:rsidR="00C03ED3" w:rsidRPr="00C03ED3" w:rsidRDefault="00C03ED3" w:rsidP="00C03ED3">
      <w:pPr>
        <w:pStyle w:val="NoSpacing"/>
        <w:spacing w:line="480" w:lineRule="auto"/>
        <w:jc w:val="both"/>
        <w:rPr>
          <w:rFonts w:ascii="Times New Roman" w:hAnsi="Times New Roman"/>
          <w:sz w:val="24"/>
          <w:szCs w:val="24"/>
          <w:lang w:val="en-GB"/>
        </w:rPr>
      </w:pPr>
      <w:r w:rsidRPr="00C03ED3">
        <w:rPr>
          <w:rFonts w:ascii="Times New Roman" w:hAnsi="Times New Roman"/>
          <w:sz w:val="24"/>
          <w:szCs w:val="24"/>
          <w:lang w:val="en-GB"/>
        </w:rPr>
        <w:t>This preliminary study demonstrates that co-administration of Odogwu Bitters and Goko Cleanser may impair hepatic function, as indicated by elevated serum ALT, AST, and ALP levels. Although overt histological assessments were not conducted, the biochemical findings point to possible hepatocellular and cholestatic disturbances even under subchronic exposure conditions. These outcomes raise safety concerns regarding the unregulated concurrent consumption of herbal formulations promoted for detoxification and sexual wellness.</w:t>
      </w:r>
      <w:r w:rsidR="0003685A">
        <w:rPr>
          <w:rFonts w:ascii="Times New Roman" w:hAnsi="Times New Roman"/>
          <w:sz w:val="24"/>
          <w:szCs w:val="24"/>
          <w:lang w:val="en-GB"/>
        </w:rPr>
        <w:t xml:space="preserve"> </w:t>
      </w:r>
      <w:r w:rsidR="0003685A" w:rsidRPr="0003685A">
        <w:rPr>
          <w:rFonts w:ascii="Times New Roman" w:hAnsi="Times New Roman"/>
          <w:sz w:val="24"/>
          <w:szCs w:val="24"/>
          <w:highlight w:val="yellow"/>
        </w:rPr>
        <w:t>While these products are widely accepted within traditional medicine practices, their increasing availability through commercial outlets is not matched by rigorous scientific evaluation or consistent regulatory oversight. This underscores the need for enhanced toxicological research and improved public health awareness regarding the safety of commonly consumed herbal mixtures, especially when used in combination or over extended periods.</w:t>
      </w:r>
    </w:p>
    <w:p w14:paraId="20D76D58" w14:textId="77777777" w:rsidR="00836048" w:rsidRDefault="00836048" w:rsidP="00AA4205">
      <w:pPr>
        <w:pStyle w:val="NoSpacing"/>
        <w:jc w:val="both"/>
        <w:rPr>
          <w:rFonts w:ascii="Times New Roman" w:hAnsi="Times New Roman"/>
          <w:sz w:val="24"/>
          <w:szCs w:val="24"/>
        </w:rPr>
      </w:pPr>
    </w:p>
    <w:p w14:paraId="5F1BA6AC" w14:textId="77777777" w:rsidR="00E471F4" w:rsidRPr="00E471F4" w:rsidRDefault="00E471F4" w:rsidP="00E471F4">
      <w:pPr>
        <w:pStyle w:val="NoSpacing"/>
        <w:spacing w:line="480" w:lineRule="auto"/>
        <w:jc w:val="both"/>
        <w:rPr>
          <w:rFonts w:ascii="Times New Roman" w:hAnsi="Times New Roman"/>
          <w:b/>
          <w:bCs/>
          <w:sz w:val="24"/>
          <w:szCs w:val="24"/>
          <w:lang w:val="en-GB"/>
        </w:rPr>
      </w:pPr>
      <w:r w:rsidRPr="00E471F4">
        <w:rPr>
          <w:rFonts w:ascii="Times New Roman" w:hAnsi="Times New Roman"/>
          <w:b/>
          <w:bCs/>
          <w:sz w:val="24"/>
          <w:szCs w:val="24"/>
          <w:lang w:val="en-GB"/>
        </w:rPr>
        <w:t>Limitations</w:t>
      </w:r>
    </w:p>
    <w:p w14:paraId="0CD83E57" w14:textId="76460F55" w:rsidR="008E0AA8" w:rsidRDefault="00E004CC" w:rsidP="00E471F4">
      <w:pPr>
        <w:pStyle w:val="NoSpacing"/>
        <w:spacing w:line="480" w:lineRule="auto"/>
        <w:jc w:val="both"/>
        <w:rPr>
          <w:rFonts w:ascii="Times New Roman" w:hAnsi="Times New Roman"/>
          <w:sz w:val="24"/>
          <w:szCs w:val="24"/>
        </w:rPr>
      </w:pPr>
      <w:r w:rsidRPr="00E004CC">
        <w:rPr>
          <w:rFonts w:ascii="Times New Roman" w:hAnsi="Times New Roman"/>
          <w:sz w:val="24"/>
          <w:szCs w:val="24"/>
        </w:rPr>
        <w:t xml:space="preserve">While the study involved a subchronic exposure design with graded dosing and combination groups, it is classified as a preliminary study due to the absence of liver histopathology, </w:t>
      </w:r>
      <w:r w:rsidRPr="00E004CC">
        <w:rPr>
          <w:rFonts w:ascii="Times New Roman" w:hAnsi="Times New Roman"/>
          <w:sz w:val="24"/>
          <w:szCs w:val="24"/>
        </w:rPr>
        <w:lastRenderedPageBreak/>
        <w:t>relatively small sample size per group (n=5), and lack of phytochemical profiling of the test substances. These factors limit the depth of mechanistic insight and generalizability. Moreover, the exclusive use of male rats and omission of a recovery phase restrict the assessment of sex-based variation and reversibility. Together, these limitations justify the "preliminary" designation, although the study offers important initial evidence of potential hepatotoxicity.</w:t>
      </w:r>
    </w:p>
    <w:p w14:paraId="6B2367EF" w14:textId="77777777" w:rsidR="00E004CC" w:rsidRPr="00E004CC" w:rsidRDefault="00E004CC" w:rsidP="00E471F4">
      <w:pPr>
        <w:pStyle w:val="NoSpacing"/>
        <w:spacing w:line="480" w:lineRule="auto"/>
        <w:jc w:val="both"/>
        <w:rPr>
          <w:rFonts w:ascii="Times New Roman" w:hAnsi="Times New Roman"/>
          <w:sz w:val="24"/>
          <w:szCs w:val="24"/>
          <w:lang w:val="en-GB"/>
        </w:rPr>
      </w:pPr>
    </w:p>
    <w:p w14:paraId="6A617BC8" w14:textId="12D191EF" w:rsidR="00E471F4" w:rsidRPr="00E471F4" w:rsidRDefault="00E471F4" w:rsidP="00E471F4">
      <w:pPr>
        <w:pStyle w:val="NoSpacing"/>
        <w:spacing w:line="480" w:lineRule="auto"/>
        <w:jc w:val="both"/>
        <w:rPr>
          <w:rFonts w:ascii="Times New Roman" w:hAnsi="Times New Roman"/>
          <w:b/>
          <w:bCs/>
          <w:sz w:val="24"/>
          <w:szCs w:val="24"/>
          <w:lang w:val="en-GB"/>
        </w:rPr>
      </w:pPr>
      <w:r w:rsidRPr="00E471F4">
        <w:rPr>
          <w:rFonts w:ascii="Times New Roman" w:hAnsi="Times New Roman"/>
          <w:b/>
          <w:bCs/>
          <w:sz w:val="24"/>
          <w:szCs w:val="24"/>
          <w:lang w:val="en-GB"/>
        </w:rPr>
        <w:t>Recommendations</w:t>
      </w:r>
    </w:p>
    <w:p w14:paraId="15F37D14"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Further studies should incorporate histological evaluations to corroborate biochemical data.</w:t>
      </w:r>
    </w:p>
    <w:p w14:paraId="39123837"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Detailed phytochemical analyses are needed to identify specific compounds responsible for observed effects.</w:t>
      </w:r>
    </w:p>
    <w:p w14:paraId="0B03688E"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Future research should include both sexes and extend exposure durations to simulate chronic use.</w:t>
      </w:r>
    </w:p>
    <w:p w14:paraId="1CCEC982" w14:textId="77777777" w:rsidR="00C03ED3" w:rsidRPr="00C03ED3" w:rsidRDefault="00C03ED3" w:rsidP="00C03ED3">
      <w:pPr>
        <w:pStyle w:val="NoSpacing"/>
        <w:numPr>
          <w:ilvl w:val="0"/>
          <w:numId w:val="17"/>
        </w:numPr>
        <w:spacing w:line="480" w:lineRule="auto"/>
        <w:jc w:val="both"/>
        <w:rPr>
          <w:rFonts w:ascii="Times New Roman" w:hAnsi="Times New Roman"/>
          <w:sz w:val="24"/>
          <w:szCs w:val="24"/>
          <w:lang w:val="en-GB"/>
        </w:rPr>
      </w:pPr>
      <w:r w:rsidRPr="00C03ED3">
        <w:rPr>
          <w:rFonts w:ascii="Times New Roman" w:hAnsi="Times New Roman"/>
          <w:sz w:val="24"/>
          <w:szCs w:val="24"/>
          <w:lang w:val="en-GB"/>
        </w:rPr>
        <w:t>Public health education on the risks of concurrent herbal intake should be intensified.</w:t>
      </w:r>
    </w:p>
    <w:p w14:paraId="6444CF21" w14:textId="77777777" w:rsidR="00E471F4" w:rsidRDefault="00E471F4" w:rsidP="00EF2D93">
      <w:pPr>
        <w:pStyle w:val="NoSpacing"/>
        <w:spacing w:line="480" w:lineRule="auto"/>
        <w:jc w:val="both"/>
        <w:rPr>
          <w:rFonts w:ascii="Times New Roman" w:hAnsi="Times New Roman"/>
          <w:sz w:val="24"/>
          <w:szCs w:val="24"/>
        </w:rPr>
      </w:pPr>
    </w:p>
    <w:p w14:paraId="3A865E86" w14:textId="77777777" w:rsidR="004E0CA2" w:rsidRPr="00A8677E" w:rsidRDefault="004E0CA2" w:rsidP="004E0CA2">
      <w:pPr>
        <w:pStyle w:val="NoSpacing"/>
        <w:spacing w:line="480" w:lineRule="auto"/>
        <w:jc w:val="both"/>
        <w:rPr>
          <w:rFonts w:ascii="Times New Roman" w:hAnsi="Times New Roman" w:cs="Times New Roman"/>
          <w:b/>
          <w:bCs/>
          <w:sz w:val="24"/>
          <w:szCs w:val="24"/>
        </w:rPr>
      </w:pPr>
      <w:r w:rsidRPr="00A8677E">
        <w:rPr>
          <w:rFonts w:ascii="Times New Roman" w:hAnsi="Times New Roman" w:cs="Times New Roman"/>
          <w:b/>
          <w:bCs/>
          <w:sz w:val="24"/>
          <w:szCs w:val="24"/>
        </w:rPr>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5774"/>
      </w:tblGrid>
      <w:tr w:rsidR="005F258F" w:rsidRPr="005F258F" w14:paraId="652F6E5E" w14:textId="77777777">
        <w:trPr>
          <w:tblCellSpacing w:w="15" w:type="dxa"/>
        </w:trPr>
        <w:tc>
          <w:tcPr>
            <w:tcW w:w="0" w:type="auto"/>
            <w:vAlign w:val="center"/>
            <w:hideMark/>
          </w:tcPr>
          <w:p w14:paraId="293BD8EE"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ALT</w:t>
            </w:r>
          </w:p>
        </w:tc>
        <w:tc>
          <w:tcPr>
            <w:tcW w:w="0" w:type="auto"/>
            <w:vAlign w:val="center"/>
            <w:hideMark/>
          </w:tcPr>
          <w:p w14:paraId="77FDF867"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Alanine aminotransferase</w:t>
            </w:r>
          </w:p>
        </w:tc>
      </w:tr>
      <w:tr w:rsidR="005F258F" w:rsidRPr="005F258F" w14:paraId="33335928" w14:textId="77777777">
        <w:trPr>
          <w:tblCellSpacing w:w="15" w:type="dxa"/>
        </w:trPr>
        <w:tc>
          <w:tcPr>
            <w:tcW w:w="0" w:type="auto"/>
            <w:vAlign w:val="center"/>
            <w:hideMark/>
          </w:tcPr>
          <w:p w14:paraId="67A9FC2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ALP</w:t>
            </w:r>
          </w:p>
        </w:tc>
        <w:tc>
          <w:tcPr>
            <w:tcW w:w="0" w:type="auto"/>
            <w:vAlign w:val="center"/>
            <w:hideMark/>
          </w:tcPr>
          <w:p w14:paraId="7F3BC64C"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Alkaline phosphatase</w:t>
            </w:r>
          </w:p>
        </w:tc>
      </w:tr>
      <w:tr w:rsidR="005F258F" w:rsidRPr="005F258F" w14:paraId="4E05726D" w14:textId="77777777">
        <w:trPr>
          <w:tblCellSpacing w:w="15" w:type="dxa"/>
        </w:trPr>
        <w:tc>
          <w:tcPr>
            <w:tcW w:w="0" w:type="auto"/>
            <w:vAlign w:val="center"/>
            <w:hideMark/>
          </w:tcPr>
          <w:p w14:paraId="53F01DA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ANOVA</w:t>
            </w:r>
          </w:p>
        </w:tc>
        <w:tc>
          <w:tcPr>
            <w:tcW w:w="0" w:type="auto"/>
            <w:vAlign w:val="center"/>
            <w:hideMark/>
          </w:tcPr>
          <w:p w14:paraId="3DADC258"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Analysis of variance</w:t>
            </w:r>
          </w:p>
        </w:tc>
      </w:tr>
      <w:tr w:rsidR="005F258F" w:rsidRPr="005F258F" w14:paraId="05B6D79B" w14:textId="77777777">
        <w:trPr>
          <w:tblCellSpacing w:w="15" w:type="dxa"/>
        </w:trPr>
        <w:tc>
          <w:tcPr>
            <w:tcW w:w="0" w:type="auto"/>
            <w:vAlign w:val="center"/>
            <w:hideMark/>
          </w:tcPr>
          <w:p w14:paraId="42038BE0"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AST</w:t>
            </w:r>
          </w:p>
        </w:tc>
        <w:tc>
          <w:tcPr>
            <w:tcW w:w="0" w:type="auto"/>
            <w:vAlign w:val="center"/>
            <w:hideMark/>
          </w:tcPr>
          <w:p w14:paraId="1D19E6C5"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Aspartate aminotransferase</w:t>
            </w:r>
          </w:p>
        </w:tc>
      </w:tr>
      <w:tr w:rsidR="005F258F" w:rsidRPr="005F258F" w14:paraId="2931F3A1" w14:textId="77777777">
        <w:trPr>
          <w:tblCellSpacing w:w="15" w:type="dxa"/>
        </w:trPr>
        <w:tc>
          <w:tcPr>
            <w:tcW w:w="0" w:type="auto"/>
            <w:vAlign w:val="center"/>
            <w:hideMark/>
          </w:tcPr>
          <w:p w14:paraId="527A0616"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IBM</w:t>
            </w:r>
          </w:p>
        </w:tc>
        <w:tc>
          <w:tcPr>
            <w:tcW w:w="0" w:type="auto"/>
            <w:vAlign w:val="center"/>
            <w:hideMark/>
          </w:tcPr>
          <w:p w14:paraId="2E485D59"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International Business Machines Corporation</w:t>
            </w:r>
          </w:p>
        </w:tc>
      </w:tr>
      <w:tr w:rsidR="005F258F" w:rsidRPr="005F258F" w14:paraId="2A064A88" w14:textId="77777777">
        <w:trPr>
          <w:tblCellSpacing w:w="15" w:type="dxa"/>
        </w:trPr>
        <w:tc>
          <w:tcPr>
            <w:tcW w:w="0" w:type="auto"/>
            <w:vAlign w:val="center"/>
            <w:hideMark/>
          </w:tcPr>
          <w:p w14:paraId="7C5C2839"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Inc</w:t>
            </w:r>
          </w:p>
        </w:tc>
        <w:tc>
          <w:tcPr>
            <w:tcW w:w="0" w:type="auto"/>
            <w:vAlign w:val="center"/>
            <w:hideMark/>
          </w:tcPr>
          <w:p w14:paraId="7680108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Incorporated</w:t>
            </w:r>
          </w:p>
        </w:tc>
      </w:tr>
      <w:tr w:rsidR="005F258F" w:rsidRPr="005F258F" w14:paraId="2D974C35" w14:textId="77777777">
        <w:trPr>
          <w:tblCellSpacing w:w="15" w:type="dxa"/>
        </w:trPr>
        <w:tc>
          <w:tcPr>
            <w:tcW w:w="0" w:type="auto"/>
            <w:vAlign w:val="center"/>
            <w:hideMark/>
          </w:tcPr>
          <w:p w14:paraId="4E660E42"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lastRenderedPageBreak/>
              <w:t>LD</w:t>
            </w:r>
          </w:p>
        </w:tc>
        <w:tc>
          <w:tcPr>
            <w:tcW w:w="0" w:type="auto"/>
            <w:vAlign w:val="center"/>
            <w:hideMark/>
          </w:tcPr>
          <w:p w14:paraId="3C3DE56D"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Lethal dose</w:t>
            </w:r>
          </w:p>
        </w:tc>
      </w:tr>
      <w:tr w:rsidR="005F258F" w:rsidRPr="005F258F" w14:paraId="3F4D070B" w14:textId="77777777">
        <w:trPr>
          <w:tblCellSpacing w:w="15" w:type="dxa"/>
        </w:trPr>
        <w:tc>
          <w:tcPr>
            <w:tcW w:w="0" w:type="auto"/>
            <w:vAlign w:val="center"/>
            <w:hideMark/>
          </w:tcPr>
          <w:p w14:paraId="20535D48"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LSD</w:t>
            </w:r>
          </w:p>
        </w:tc>
        <w:tc>
          <w:tcPr>
            <w:tcW w:w="0" w:type="auto"/>
            <w:vAlign w:val="center"/>
            <w:hideMark/>
          </w:tcPr>
          <w:p w14:paraId="392E4655"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Least significant difference</w:t>
            </w:r>
          </w:p>
        </w:tc>
      </w:tr>
      <w:tr w:rsidR="005F258F" w:rsidRPr="005F258F" w14:paraId="2843C97B" w14:textId="77777777">
        <w:trPr>
          <w:tblCellSpacing w:w="15" w:type="dxa"/>
        </w:trPr>
        <w:tc>
          <w:tcPr>
            <w:tcW w:w="0" w:type="auto"/>
            <w:vAlign w:val="center"/>
            <w:hideMark/>
          </w:tcPr>
          <w:p w14:paraId="0913F483"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OECD</w:t>
            </w:r>
          </w:p>
        </w:tc>
        <w:tc>
          <w:tcPr>
            <w:tcW w:w="0" w:type="auto"/>
            <w:vAlign w:val="center"/>
            <w:hideMark/>
          </w:tcPr>
          <w:p w14:paraId="5D97EBF4"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Organisation for Economic Co-operation and Development</w:t>
            </w:r>
          </w:p>
        </w:tc>
      </w:tr>
      <w:tr w:rsidR="005F258F" w:rsidRPr="005F258F" w14:paraId="69494300" w14:textId="77777777">
        <w:trPr>
          <w:tblCellSpacing w:w="15" w:type="dxa"/>
        </w:trPr>
        <w:tc>
          <w:tcPr>
            <w:tcW w:w="0" w:type="auto"/>
            <w:vAlign w:val="center"/>
            <w:hideMark/>
          </w:tcPr>
          <w:p w14:paraId="4B95455B"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rpm</w:t>
            </w:r>
          </w:p>
        </w:tc>
        <w:tc>
          <w:tcPr>
            <w:tcW w:w="0" w:type="auto"/>
            <w:vAlign w:val="center"/>
            <w:hideMark/>
          </w:tcPr>
          <w:p w14:paraId="38928D73"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Revolutions per minute</w:t>
            </w:r>
          </w:p>
        </w:tc>
      </w:tr>
      <w:tr w:rsidR="005F258F" w:rsidRPr="005F258F" w14:paraId="5F0CA541" w14:textId="77777777">
        <w:trPr>
          <w:tblCellSpacing w:w="15" w:type="dxa"/>
        </w:trPr>
        <w:tc>
          <w:tcPr>
            <w:tcW w:w="0" w:type="auto"/>
            <w:vAlign w:val="center"/>
            <w:hideMark/>
          </w:tcPr>
          <w:p w14:paraId="3A9C491E"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SD</w:t>
            </w:r>
          </w:p>
        </w:tc>
        <w:tc>
          <w:tcPr>
            <w:tcW w:w="0" w:type="auto"/>
            <w:vAlign w:val="center"/>
            <w:hideMark/>
          </w:tcPr>
          <w:p w14:paraId="18ADCFE1"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Standard deviation</w:t>
            </w:r>
          </w:p>
        </w:tc>
      </w:tr>
      <w:tr w:rsidR="005F258F" w:rsidRPr="005F258F" w14:paraId="3E61BDBD" w14:textId="77777777">
        <w:trPr>
          <w:tblCellSpacing w:w="15" w:type="dxa"/>
        </w:trPr>
        <w:tc>
          <w:tcPr>
            <w:tcW w:w="0" w:type="auto"/>
            <w:vAlign w:val="center"/>
            <w:hideMark/>
          </w:tcPr>
          <w:p w14:paraId="032CA980"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SEM</w:t>
            </w:r>
          </w:p>
        </w:tc>
        <w:tc>
          <w:tcPr>
            <w:tcW w:w="0" w:type="auto"/>
            <w:vAlign w:val="center"/>
            <w:hideMark/>
          </w:tcPr>
          <w:p w14:paraId="636F42C7"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Standard error of mean</w:t>
            </w:r>
          </w:p>
        </w:tc>
      </w:tr>
      <w:tr w:rsidR="005F258F" w:rsidRPr="005F258F" w14:paraId="2B3DB692" w14:textId="77777777">
        <w:trPr>
          <w:tblCellSpacing w:w="15" w:type="dxa"/>
        </w:trPr>
        <w:tc>
          <w:tcPr>
            <w:tcW w:w="0" w:type="auto"/>
            <w:vAlign w:val="center"/>
            <w:hideMark/>
          </w:tcPr>
          <w:p w14:paraId="46B8C64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SPSS</w:t>
            </w:r>
          </w:p>
        </w:tc>
        <w:tc>
          <w:tcPr>
            <w:tcW w:w="0" w:type="auto"/>
            <w:vAlign w:val="center"/>
            <w:hideMark/>
          </w:tcPr>
          <w:p w14:paraId="399BDB6D"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Statistical Package for the Social Sciences</w:t>
            </w:r>
          </w:p>
        </w:tc>
      </w:tr>
      <w:tr w:rsidR="005F258F" w:rsidRPr="005F258F" w14:paraId="472C8E7F" w14:textId="77777777">
        <w:trPr>
          <w:tblCellSpacing w:w="15" w:type="dxa"/>
        </w:trPr>
        <w:tc>
          <w:tcPr>
            <w:tcW w:w="0" w:type="auto"/>
            <w:vAlign w:val="center"/>
            <w:hideMark/>
          </w:tcPr>
          <w:p w14:paraId="7991CDEF"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USA</w:t>
            </w:r>
          </w:p>
        </w:tc>
        <w:tc>
          <w:tcPr>
            <w:tcW w:w="0" w:type="auto"/>
            <w:vAlign w:val="center"/>
            <w:hideMark/>
          </w:tcPr>
          <w:p w14:paraId="6996544A" w14:textId="77777777" w:rsidR="005F258F" w:rsidRPr="005F258F" w:rsidRDefault="005F258F" w:rsidP="005F258F">
            <w:pPr>
              <w:pStyle w:val="NoSpacing"/>
              <w:spacing w:line="480" w:lineRule="auto"/>
              <w:jc w:val="both"/>
              <w:rPr>
                <w:rFonts w:ascii="Times New Roman" w:hAnsi="Times New Roman" w:cs="Times New Roman"/>
                <w:sz w:val="24"/>
                <w:szCs w:val="24"/>
                <w:lang w:val="en-GB"/>
              </w:rPr>
            </w:pPr>
            <w:r w:rsidRPr="005F258F">
              <w:rPr>
                <w:rFonts w:ascii="Times New Roman" w:hAnsi="Times New Roman" w:cs="Times New Roman"/>
                <w:sz w:val="24"/>
                <w:szCs w:val="24"/>
                <w:lang w:val="en-GB"/>
              </w:rPr>
              <w:t>United States of America</w:t>
            </w:r>
          </w:p>
        </w:tc>
      </w:tr>
    </w:tbl>
    <w:p w14:paraId="6AAC0316" w14:textId="77777777" w:rsidR="00F303E3" w:rsidRDefault="00F303E3" w:rsidP="004E0CA2">
      <w:pPr>
        <w:pStyle w:val="NoSpacing"/>
        <w:spacing w:line="480" w:lineRule="auto"/>
        <w:jc w:val="both"/>
        <w:rPr>
          <w:rFonts w:ascii="Times New Roman" w:hAnsi="Times New Roman" w:cs="Times New Roman"/>
          <w:bCs/>
          <w:sz w:val="24"/>
          <w:szCs w:val="24"/>
        </w:rPr>
      </w:pPr>
    </w:p>
    <w:p w14:paraId="09006139" w14:textId="77777777" w:rsidR="004E0CA2" w:rsidRPr="0072587F" w:rsidRDefault="004E0CA2" w:rsidP="004E0CA2">
      <w:pPr>
        <w:pStyle w:val="NoSpacing"/>
        <w:spacing w:line="480" w:lineRule="auto"/>
        <w:jc w:val="both"/>
        <w:rPr>
          <w:rFonts w:ascii="Times New Roman" w:hAnsi="Times New Roman"/>
          <w:b/>
          <w:sz w:val="24"/>
          <w:szCs w:val="24"/>
        </w:rPr>
      </w:pPr>
      <w:r w:rsidRPr="0072587F">
        <w:rPr>
          <w:rFonts w:ascii="Times New Roman" w:hAnsi="Times New Roman"/>
          <w:b/>
          <w:sz w:val="24"/>
          <w:szCs w:val="24"/>
        </w:rPr>
        <w:t>Declarations</w:t>
      </w:r>
    </w:p>
    <w:p w14:paraId="6E9E88D1" w14:textId="77777777" w:rsidR="004E0CA2" w:rsidRDefault="004E0CA2" w:rsidP="004E0CA2">
      <w:pPr>
        <w:pStyle w:val="NoSpacing"/>
        <w:spacing w:line="480" w:lineRule="auto"/>
        <w:jc w:val="both"/>
        <w:rPr>
          <w:rFonts w:ascii="Times New Roman" w:hAnsi="Times New Roman"/>
          <w:sz w:val="24"/>
          <w:szCs w:val="24"/>
        </w:rPr>
      </w:pPr>
      <w:r w:rsidRPr="0072587F">
        <w:rPr>
          <w:rFonts w:ascii="Times New Roman" w:hAnsi="Times New Roman"/>
          <w:sz w:val="24"/>
          <w:szCs w:val="24"/>
        </w:rPr>
        <w:t xml:space="preserve">This research article is an original article. It has not been submitted for review to another journal and has not been published in any journal or conference proceedings. </w:t>
      </w:r>
    </w:p>
    <w:p w14:paraId="52F3B435" w14:textId="77777777" w:rsidR="004E0CA2" w:rsidRDefault="004E0CA2" w:rsidP="004E0CA2">
      <w:pPr>
        <w:pStyle w:val="NoSpacing"/>
        <w:spacing w:line="480" w:lineRule="auto"/>
        <w:jc w:val="both"/>
        <w:rPr>
          <w:rFonts w:ascii="Times New Roman" w:hAnsi="Times New Roman"/>
          <w:sz w:val="24"/>
          <w:szCs w:val="24"/>
        </w:rPr>
      </w:pPr>
    </w:p>
    <w:p w14:paraId="6A553FE0" w14:textId="77777777" w:rsidR="004E0CA2" w:rsidRPr="0072587F" w:rsidRDefault="004E0CA2" w:rsidP="004E0CA2">
      <w:pPr>
        <w:pStyle w:val="NoSpacing"/>
        <w:spacing w:line="480" w:lineRule="auto"/>
        <w:jc w:val="both"/>
        <w:rPr>
          <w:rFonts w:ascii="Times New Roman" w:hAnsi="Times New Roman"/>
          <w:sz w:val="24"/>
          <w:szCs w:val="24"/>
        </w:rPr>
      </w:pPr>
      <w:r w:rsidRPr="0072587F">
        <w:rPr>
          <w:rFonts w:ascii="Times New Roman" w:hAnsi="Times New Roman"/>
          <w:sz w:val="24"/>
          <w:szCs w:val="24"/>
        </w:rPr>
        <w:t>The products used for this research are</w:t>
      </w:r>
      <w:r>
        <w:rPr>
          <w:rFonts w:ascii="Times New Roman" w:hAnsi="Times New Roman"/>
          <w:sz w:val="24"/>
          <w:szCs w:val="24"/>
        </w:rPr>
        <w:t xml:space="preserve"> </w:t>
      </w:r>
      <w:r w:rsidRPr="0072587F">
        <w:rPr>
          <w:rFonts w:ascii="Times New Roman" w:hAnsi="Times New Roman"/>
          <w:sz w:val="24"/>
          <w:szCs w:val="24"/>
        </w:rPr>
        <w:t>commonly and predominantly used products in</w:t>
      </w:r>
      <w:r>
        <w:rPr>
          <w:rFonts w:ascii="Times New Roman" w:hAnsi="Times New Roman"/>
          <w:sz w:val="24"/>
          <w:szCs w:val="24"/>
        </w:rPr>
        <w:t xml:space="preserve"> </w:t>
      </w:r>
      <w:r w:rsidRPr="0072587F">
        <w:rPr>
          <w:rFonts w:ascii="Times New Roman" w:hAnsi="Times New Roman"/>
          <w:sz w:val="24"/>
          <w:szCs w:val="24"/>
        </w:rPr>
        <w:t>our area of research and country. There is</w:t>
      </w:r>
      <w:r>
        <w:rPr>
          <w:rFonts w:ascii="Times New Roman" w:hAnsi="Times New Roman"/>
          <w:sz w:val="24"/>
          <w:szCs w:val="24"/>
        </w:rPr>
        <w:t xml:space="preserve"> </w:t>
      </w:r>
      <w:r w:rsidRPr="0072587F">
        <w:rPr>
          <w:rFonts w:ascii="Times New Roman" w:hAnsi="Times New Roman"/>
          <w:sz w:val="24"/>
          <w:szCs w:val="24"/>
        </w:rPr>
        <w:t>absolutely no conflict of interest between the</w:t>
      </w:r>
      <w:r>
        <w:rPr>
          <w:rFonts w:ascii="Times New Roman" w:hAnsi="Times New Roman"/>
          <w:sz w:val="24"/>
          <w:szCs w:val="24"/>
        </w:rPr>
        <w:t xml:space="preserve"> </w:t>
      </w:r>
      <w:r w:rsidRPr="0072587F">
        <w:rPr>
          <w:rFonts w:ascii="Times New Roman" w:hAnsi="Times New Roman"/>
          <w:sz w:val="24"/>
          <w:szCs w:val="24"/>
        </w:rPr>
        <w:t>authors and producers of the products because</w:t>
      </w:r>
      <w:r>
        <w:rPr>
          <w:rFonts w:ascii="Times New Roman" w:hAnsi="Times New Roman"/>
          <w:sz w:val="24"/>
          <w:szCs w:val="24"/>
        </w:rPr>
        <w:t xml:space="preserve"> </w:t>
      </w:r>
      <w:r w:rsidRPr="0072587F">
        <w:rPr>
          <w:rFonts w:ascii="Times New Roman" w:hAnsi="Times New Roman"/>
          <w:sz w:val="24"/>
          <w:szCs w:val="24"/>
        </w:rPr>
        <w:t>we do not intend to use these products as an</w:t>
      </w:r>
      <w:r>
        <w:rPr>
          <w:rFonts w:ascii="Times New Roman" w:hAnsi="Times New Roman"/>
          <w:sz w:val="24"/>
          <w:szCs w:val="24"/>
        </w:rPr>
        <w:t xml:space="preserve"> </w:t>
      </w:r>
      <w:r w:rsidRPr="0072587F">
        <w:rPr>
          <w:rFonts w:ascii="Times New Roman" w:hAnsi="Times New Roman"/>
          <w:sz w:val="24"/>
          <w:szCs w:val="24"/>
        </w:rPr>
        <w:t>avenue for any litigation but for the advancement</w:t>
      </w:r>
      <w:r>
        <w:rPr>
          <w:rFonts w:ascii="Times New Roman" w:hAnsi="Times New Roman"/>
          <w:sz w:val="24"/>
          <w:szCs w:val="24"/>
        </w:rPr>
        <w:t xml:space="preserve"> </w:t>
      </w:r>
      <w:r w:rsidRPr="0072587F">
        <w:rPr>
          <w:rFonts w:ascii="Times New Roman" w:hAnsi="Times New Roman"/>
          <w:sz w:val="24"/>
          <w:szCs w:val="24"/>
        </w:rPr>
        <w:t xml:space="preserve">of knowledge. </w:t>
      </w:r>
    </w:p>
    <w:p w14:paraId="6380606B" w14:textId="77777777" w:rsidR="004E0CA2" w:rsidRPr="0072587F" w:rsidRDefault="004E0CA2" w:rsidP="004E0CA2">
      <w:pPr>
        <w:pStyle w:val="NoSpacing"/>
        <w:spacing w:line="480" w:lineRule="auto"/>
        <w:jc w:val="both"/>
        <w:rPr>
          <w:rFonts w:ascii="Times New Roman" w:hAnsi="Times New Roman"/>
          <w:sz w:val="24"/>
          <w:szCs w:val="24"/>
        </w:rPr>
      </w:pPr>
    </w:p>
    <w:p w14:paraId="4EFFE63A" w14:textId="77777777" w:rsidR="004E0CA2" w:rsidRDefault="004E0CA2" w:rsidP="004E0CA2">
      <w:pPr>
        <w:pStyle w:val="NoSpacing"/>
        <w:spacing w:line="480" w:lineRule="auto"/>
        <w:rPr>
          <w:rFonts w:ascii="Times New Roman" w:hAnsi="Times New Roman"/>
          <w:b/>
          <w:sz w:val="24"/>
          <w:szCs w:val="24"/>
        </w:rPr>
      </w:pPr>
      <w:r>
        <w:rPr>
          <w:rFonts w:ascii="Times New Roman" w:hAnsi="Times New Roman"/>
          <w:b/>
          <w:sz w:val="24"/>
          <w:szCs w:val="24"/>
        </w:rPr>
        <w:t>Availability of data and materials</w:t>
      </w:r>
    </w:p>
    <w:p w14:paraId="4A30147D" w14:textId="77777777" w:rsidR="004E0CA2" w:rsidRDefault="004E0CA2" w:rsidP="004E0CA2">
      <w:pPr>
        <w:pStyle w:val="NoSpacing"/>
        <w:spacing w:line="480" w:lineRule="auto"/>
        <w:rPr>
          <w:rFonts w:ascii="Times New Roman" w:hAnsi="Times New Roman"/>
          <w:sz w:val="24"/>
          <w:szCs w:val="24"/>
        </w:rPr>
      </w:pPr>
      <w:r>
        <w:rPr>
          <w:rFonts w:ascii="Times New Roman" w:hAnsi="Times New Roman"/>
          <w:sz w:val="24"/>
          <w:szCs w:val="24"/>
        </w:rPr>
        <w:t>The datasets generated during and / or analyzed during the current study are available within the text.</w:t>
      </w:r>
    </w:p>
    <w:p w14:paraId="318EDBF3" w14:textId="77777777" w:rsidR="004E0CA2" w:rsidRDefault="004E0CA2" w:rsidP="004E0CA2">
      <w:pPr>
        <w:pStyle w:val="NoSpacing"/>
        <w:spacing w:line="480" w:lineRule="auto"/>
        <w:jc w:val="both"/>
        <w:rPr>
          <w:rFonts w:ascii="Times New Roman" w:hAnsi="Times New Roman" w:cs="Times New Roman"/>
          <w:sz w:val="24"/>
          <w:szCs w:val="24"/>
        </w:rPr>
      </w:pPr>
    </w:p>
    <w:p w14:paraId="41A19BFE" w14:textId="77777777" w:rsidR="00E3610E" w:rsidRPr="0070653E" w:rsidRDefault="00E3610E" w:rsidP="004E0CA2">
      <w:pPr>
        <w:pStyle w:val="NoSpacing"/>
        <w:spacing w:line="480" w:lineRule="auto"/>
        <w:jc w:val="both"/>
        <w:rPr>
          <w:rFonts w:ascii="Times New Roman" w:hAnsi="Times New Roman" w:cs="Times New Roman"/>
          <w:sz w:val="24"/>
          <w:szCs w:val="24"/>
        </w:rPr>
      </w:pPr>
    </w:p>
    <w:p w14:paraId="5098B944" w14:textId="77777777" w:rsidR="004E0CA2" w:rsidRPr="0070653E" w:rsidRDefault="004E0CA2" w:rsidP="004E0CA2">
      <w:pPr>
        <w:pStyle w:val="NoSpacing"/>
        <w:spacing w:line="480" w:lineRule="auto"/>
        <w:jc w:val="both"/>
        <w:rPr>
          <w:rFonts w:ascii="Times New Roman" w:hAnsi="Times New Roman" w:cs="Times New Roman"/>
          <w:b/>
          <w:bCs/>
          <w:sz w:val="24"/>
          <w:szCs w:val="24"/>
        </w:rPr>
      </w:pPr>
      <w:r w:rsidRPr="0070653E">
        <w:rPr>
          <w:rFonts w:ascii="Times New Roman" w:hAnsi="Times New Roman" w:cs="Times New Roman"/>
          <w:b/>
          <w:bCs/>
          <w:sz w:val="24"/>
          <w:szCs w:val="24"/>
        </w:rPr>
        <w:lastRenderedPageBreak/>
        <w:t>Disclaimer (Artificial intelligence)</w:t>
      </w:r>
    </w:p>
    <w:p w14:paraId="0E084431" w14:textId="77777777" w:rsidR="004E0CA2" w:rsidRPr="0070653E" w:rsidRDefault="004E0CA2" w:rsidP="004E0CA2">
      <w:pPr>
        <w:pStyle w:val="NoSpacing"/>
        <w:spacing w:line="480" w:lineRule="auto"/>
        <w:jc w:val="both"/>
        <w:rPr>
          <w:rFonts w:ascii="Times New Roman" w:eastAsia="Calibri" w:hAnsi="Times New Roman" w:cs="Times New Roman"/>
          <w:sz w:val="24"/>
          <w:szCs w:val="24"/>
        </w:rPr>
      </w:pPr>
      <w:r w:rsidRPr="0070653E">
        <w:rPr>
          <w:rFonts w:ascii="Times New Roman" w:hAnsi="Times New Roman" w:cs="Times New Roman"/>
          <w:sz w:val="24"/>
          <w:szCs w:val="24"/>
        </w:rPr>
        <w:t>Author</w:t>
      </w:r>
      <w:r>
        <w:rPr>
          <w:rFonts w:ascii="Times New Roman" w:hAnsi="Times New Roman" w:cs="Times New Roman"/>
          <w:sz w:val="24"/>
          <w:szCs w:val="24"/>
        </w:rPr>
        <w:t>s</w:t>
      </w:r>
      <w:r w:rsidRPr="0070653E">
        <w:rPr>
          <w:rFonts w:ascii="Times New Roman" w:hAnsi="Times New Roman" w:cs="Times New Roman"/>
          <w:sz w:val="24"/>
          <w:szCs w:val="24"/>
        </w:rPr>
        <w:t xml:space="preserve"> hereby declare that generative AI te</w:t>
      </w:r>
      <w:r>
        <w:rPr>
          <w:rFonts w:ascii="Times New Roman" w:hAnsi="Times New Roman" w:cs="Times New Roman"/>
          <w:sz w:val="24"/>
          <w:szCs w:val="24"/>
        </w:rPr>
        <w:t>chn</w:t>
      </w:r>
      <w:r w:rsidRPr="0070653E">
        <w:rPr>
          <w:rFonts w:ascii="Times New Roman" w:hAnsi="Times New Roman" w:cs="Times New Roman"/>
          <w:sz w:val="24"/>
          <w:szCs w:val="24"/>
        </w:rPr>
        <w:t>olog</w:t>
      </w:r>
      <w:r>
        <w:rPr>
          <w:rFonts w:ascii="Times New Roman" w:hAnsi="Times New Roman" w:cs="Times New Roman"/>
          <w:sz w:val="24"/>
          <w:szCs w:val="24"/>
        </w:rPr>
        <w:t>y</w:t>
      </w:r>
      <w:r w:rsidRPr="0070653E">
        <w:rPr>
          <w:rFonts w:ascii="Times New Roman" w:hAnsi="Times New Roman" w:cs="Times New Roman"/>
          <w:sz w:val="24"/>
          <w:szCs w:val="24"/>
        </w:rPr>
        <w:t xml:space="preserve"> such as Large Language Models ha</w:t>
      </w:r>
      <w:r>
        <w:rPr>
          <w:rFonts w:ascii="Times New Roman" w:hAnsi="Times New Roman" w:cs="Times New Roman"/>
          <w:sz w:val="24"/>
          <w:szCs w:val="24"/>
        </w:rPr>
        <w:t>s</w:t>
      </w:r>
      <w:r w:rsidRPr="0070653E">
        <w:rPr>
          <w:rFonts w:ascii="Times New Roman" w:hAnsi="Times New Roman" w:cs="Times New Roman"/>
          <w:sz w:val="24"/>
          <w:szCs w:val="24"/>
        </w:rPr>
        <w:t xml:space="preserve"> been used during the editing of </w:t>
      </w:r>
      <w:r>
        <w:rPr>
          <w:rFonts w:ascii="Times New Roman" w:hAnsi="Times New Roman" w:cs="Times New Roman"/>
          <w:sz w:val="24"/>
          <w:szCs w:val="24"/>
        </w:rPr>
        <w:t xml:space="preserve">the </w:t>
      </w:r>
      <w:r w:rsidRPr="0070653E">
        <w:rPr>
          <w:rFonts w:ascii="Times New Roman" w:hAnsi="Times New Roman" w:cs="Times New Roman"/>
          <w:sz w:val="24"/>
          <w:szCs w:val="24"/>
        </w:rPr>
        <w:t>manuscript</w:t>
      </w:r>
      <w:r>
        <w:rPr>
          <w:rFonts w:ascii="Times New Roman" w:hAnsi="Times New Roman" w:cs="Times New Roman"/>
          <w:sz w:val="24"/>
          <w:szCs w:val="24"/>
        </w:rPr>
        <w:t xml:space="preserve"> to improve language and readability. </w:t>
      </w:r>
      <w:r w:rsidRPr="0070653E">
        <w:rPr>
          <w:rFonts w:ascii="Times New Roman" w:hAnsi="Times New Roman" w:cs="Times New Roman"/>
          <w:sz w:val="24"/>
          <w:szCs w:val="24"/>
        </w:rPr>
        <w:t>ChatGPT (</w:t>
      </w:r>
      <w:r w:rsidRPr="0070653E">
        <w:rPr>
          <w:rFonts w:ascii="Times New Roman" w:eastAsia="Calibri" w:hAnsi="Times New Roman" w:cs="Times New Roman"/>
          <w:sz w:val="24"/>
          <w:szCs w:val="24"/>
        </w:rPr>
        <w:t>GPT-4o mini) was used.</w:t>
      </w:r>
    </w:p>
    <w:p w14:paraId="45B7E2D8" w14:textId="77777777" w:rsidR="004E0CA2" w:rsidRDefault="004E0CA2" w:rsidP="00EF2D93">
      <w:pPr>
        <w:pStyle w:val="NoSpacing"/>
        <w:spacing w:line="480" w:lineRule="auto"/>
        <w:jc w:val="both"/>
        <w:rPr>
          <w:rFonts w:ascii="Times New Roman" w:hAnsi="Times New Roman"/>
          <w:sz w:val="24"/>
          <w:szCs w:val="24"/>
        </w:rPr>
      </w:pPr>
    </w:p>
    <w:p w14:paraId="245536C6" w14:textId="77777777" w:rsidR="002F3053" w:rsidRDefault="002F3053" w:rsidP="00EF2D93">
      <w:pPr>
        <w:pStyle w:val="NoSpacing"/>
        <w:spacing w:line="480" w:lineRule="auto"/>
        <w:rPr>
          <w:rFonts w:ascii="Times New Roman" w:hAnsi="Times New Roman" w:cs="Times New Roman"/>
          <w:b/>
          <w:bCs/>
          <w:sz w:val="24"/>
          <w:szCs w:val="24"/>
        </w:rPr>
      </w:pPr>
      <w:r w:rsidRPr="002F3053">
        <w:rPr>
          <w:rFonts w:ascii="Times New Roman" w:hAnsi="Times New Roman" w:cs="Times New Roman"/>
          <w:b/>
          <w:bCs/>
          <w:sz w:val="24"/>
          <w:szCs w:val="24"/>
        </w:rPr>
        <w:t>REFERENCES</w:t>
      </w:r>
    </w:p>
    <w:p w14:paraId="10381BCC" w14:textId="77777777" w:rsidR="00AA4205" w:rsidRDefault="00AA4205" w:rsidP="00AA4205">
      <w:pPr>
        <w:pStyle w:val="NoSpacing"/>
        <w:numPr>
          <w:ilvl w:val="0"/>
          <w:numId w:val="13"/>
        </w:numPr>
        <w:spacing w:line="480" w:lineRule="auto"/>
        <w:rPr>
          <w:rFonts w:ascii="Times New Roman" w:hAnsi="Times New Roman" w:cs="Times New Roman"/>
          <w:sz w:val="24"/>
          <w:szCs w:val="24"/>
        </w:rPr>
      </w:pPr>
      <w:r w:rsidRPr="00465881">
        <w:rPr>
          <w:rFonts w:ascii="Times New Roman" w:hAnsi="Times New Roman" w:cs="Times New Roman"/>
          <w:sz w:val="24"/>
          <w:szCs w:val="24"/>
        </w:rPr>
        <w:t xml:space="preserve">Gu X, </w:t>
      </w:r>
      <w:proofErr w:type="spellStart"/>
      <w:r w:rsidRPr="00465881">
        <w:rPr>
          <w:rFonts w:ascii="Times New Roman" w:hAnsi="Times New Roman" w:cs="Times New Roman"/>
          <w:sz w:val="24"/>
          <w:szCs w:val="24"/>
        </w:rPr>
        <w:t>Manautou</w:t>
      </w:r>
      <w:proofErr w:type="spellEnd"/>
      <w:r w:rsidRPr="00465881">
        <w:rPr>
          <w:rFonts w:ascii="Times New Roman" w:hAnsi="Times New Roman" w:cs="Times New Roman"/>
          <w:sz w:val="24"/>
          <w:szCs w:val="24"/>
        </w:rPr>
        <w:t xml:space="preserve"> JE. Molecular mechanisms underlying chemical liver injury. </w:t>
      </w:r>
      <w:r w:rsidRPr="004D2A74">
        <w:rPr>
          <w:rFonts w:ascii="Times New Roman" w:hAnsi="Times New Roman" w:cs="Times New Roman"/>
          <w:i/>
          <w:iCs/>
          <w:sz w:val="24"/>
          <w:szCs w:val="24"/>
        </w:rPr>
        <w:t>Expert Review of Molecular Medicine</w:t>
      </w:r>
      <w:r w:rsidRPr="00465881">
        <w:rPr>
          <w:rFonts w:ascii="Times New Roman" w:hAnsi="Times New Roman" w:cs="Times New Roman"/>
          <w:sz w:val="24"/>
          <w:szCs w:val="24"/>
        </w:rPr>
        <w:t>. 2012;</w:t>
      </w:r>
      <w:r>
        <w:rPr>
          <w:rFonts w:ascii="Times New Roman" w:hAnsi="Times New Roman" w:cs="Times New Roman"/>
          <w:sz w:val="24"/>
          <w:szCs w:val="24"/>
        </w:rPr>
        <w:t xml:space="preserve"> </w:t>
      </w:r>
      <w:r w:rsidRPr="00465881">
        <w:rPr>
          <w:rFonts w:ascii="Times New Roman" w:hAnsi="Times New Roman" w:cs="Times New Roman"/>
          <w:sz w:val="24"/>
          <w:szCs w:val="24"/>
        </w:rPr>
        <w:t>14:</w:t>
      </w:r>
      <w:r>
        <w:rPr>
          <w:rFonts w:ascii="Times New Roman" w:hAnsi="Times New Roman" w:cs="Times New Roman"/>
          <w:sz w:val="24"/>
          <w:szCs w:val="24"/>
        </w:rPr>
        <w:t xml:space="preserve"> </w:t>
      </w:r>
      <w:r w:rsidRPr="00465881">
        <w:rPr>
          <w:rFonts w:ascii="Times New Roman" w:hAnsi="Times New Roman" w:cs="Times New Roman"/>
          <w:sz w:val="24"/>
          <w:szCs w:val="24"/>
        </w:rPr>
        <w:t xml:space="preserve">e4. </w:t>
      </w:r>
    </w:p>
    <w:p w14:paraId="538F164F" w14:textId="77777777" w:rsidR="00AA4205" w:rsidRDefault="00AA4205" w:rsidP="00AA4205">
      <w:pPr>
        <w:pStyle w:val="NoSpacing"/>
        <w:numPr>
          <w:ilvl w:val="0"/>
          <w:numId w:val="13"/>
        </w:numPr>
        <w:spacing w:line="480" w:lineRule="auto"/>
        <w:rPr>
          <w:rFonts w:ascii="Times New Roman" w:hAnsi="Times New Roman" w:cs="Times New Roman"/>
          <w:sz w:val="24"/>
          <w:szCs w:val="24"/>
        </w:rPr>
      </w:pPr>
      <w:r w:rsidRPr="00176241">
        <w:rPr>
          <w:rFonts w:ascii="Times New Roman" w:hAnsi="Times New Roman" w:cs="Times New Roman"/>
          <w:sz w:val="24"/>
          <w:szCs w:val="24"/>
        </w:rPr>
        <w:t xml:space="preserve">Thakur S, Kumar V, Das R, Sharma V, Mehta DK. Biomarkers of Hepatic Toxicity: An Overview. </w:t>
      </w:r>
      <w:r w:rsidRPr="00176241">
        <w:rPr>
          <w:rFonts w:ascii="Times New Roman" w:hAnsi="Times New Roman" w:cs="Times New Roman"/>
          <w:i/>
          <w:iCs/>
          <w:sz w:val="24"/>
          <w:szCs w:val="24"/>
        </w:rPr>
        <w:t>Current Therapeutic Research</w:t>
      </w:r>
      <w:r w:rsidRPr="00176241">
        <w:rPr>
          <w:rFonts w:ascii="Times New Roman" w:hAnsi="Times New Roman" w:cs="Times New Roman"/>
          <w:sz w:val="24"/>
          <w:szCs w:val="24"/>
        </w:rPr>
        <w:t>. 2024; 100:</w:t>
      </w:r>
      <w:r>
        <w:rPr>
          <w:rFonts w:ascii="Times New Roman" w:hAnsi="Times New Roman" w:cs="Times New Roman"/>
          <w:sz w:val="24"/>
          <w:szCs w:val="24"/>
        </w:rPr>
        <w:t xml:space="preserve"> </w:t>
      </w:r>
      <w:r w:rsidRPr="00176241">
        <w:rPr>
          <w:rFonts w:ascii="Times New Roman" w:hAnsi="Times New Roman" w:cs="Times New Roman"/>
          <w:sz w:val="24"/>
          <w:szCs w:val="24"/>
        </w:rPr>
        <w:t>100737</w:t>
      </w:r>
      <w:r>
        <w:rPr>
          <w:rFonts w:ascii="Times New Roman" w:hAnsi="Times New Roman" w:cs="Times New Roman"/>
          <w:sz w:val="24"/>
          <w:szCs w:val="24"/>
        </w:rPr>
        <w:t>.</w:t>
      </w:r>
    </w:p>
    <w:p w14:paraId="3357AD31" w14:textId="77777777" w:rsidR="00AA4205" w:rsidRDefault="00AA4205" w:rsidP="00AA4205">
      <w:pPr>
        <w:pStyle w:val="NoSpacing"/>
        <w:numPr>
          <w:ilvl w:val="0"/>
          <w:numId w:val="13"/>
        </w:numPr>
        <w:spacing w:line="480" w:lineRule="auto"/>
        <w:rPr>
          <w:rFonts w:ascii="Times New Roman" w:hAnsi="Times New Roman" w:cs="Times New Roman"/>
          <w:sz w:val="24"/>
          <w:szCs w:val="24"/>
        </w:rPr>
      </w:pPr>
      <w:r w:rsidRPr="00435B60">
        <w:rPr>
          <w:rFonts w:ascii="Times New Roman" w:hAnsi="Times New Roman" w:cs="Times New Roman"/>
          <w:sz w:val="24"/>
          <w:szCs w:val="24"/>
        </w:rPr>
        <w:t xml:space="preserve">Iluz-Freundlich D, Zhang M, </w:t>
      </w:r>
      <w:proofErr w:type="spellStart"/>
      <w:r w:rsidRPr="00435B60">
        <w:rPr>
          <w:rFonts w:ascii="Times New Roman" w:hAnsi="Times New Roman" w:cs="Times New Roman"/>
          <w:sz w:val="24"/>
          <w:szCs w:val="24"/>
        </w:rPr>
        <w:t>Uhanova</w:t>
      </w:r>
      <w:proofErr w:type="spellEnd"/>
      <w:r w:rsidRPr="00435B60">
        <w:rPr>
          <w:rFonts w:ascii="Times New Roman" w:hAnsi="Times New Roman" w:cs="Times New Roman"/>
          <w:sz w:val="24"/>
          <w:szCs w:val="24"/>
        </w:rPr>
        <w:t xml:space="preserve"> J, </w:t>
      </w:r>
      <w:proofErr w:type="spellStart"/>
      <w:r w:rsidRPr="00435B60">
        <w:rPr>
          <w:rFonts w:ascii="Times New Roman" w:hAnsi="Times New Roman" w:cs="Times New Roman"/>
          <w:sz w:val="24"/>
          <w:szCs w:val="24"/>
        </w:rPr>
        <w:t>Minuk</w:t>
      </w:r>
      <w:proofErr w:type="spellEnd"/>
      <w:r w:rsidRPr="00435B60">
        <w:rPr>
          <w:rFonts w:ascii="Times New Roman" w:hAnsi="Times New Roman" w:cs="Times New Roman"/>
          <w:sz w:val="24"/>
          <w:szCs w:val="24"/>
        </w:rPr>
        <w:t xml:space="preserve"> GY. The relative expression of hepatocellular and cholestatic liver enzymes in adult patients with liver disease. </w:t>
      </w:r>
      <w:r w:rsidRPr="00435B60">
        <w:rPr>
          <w:rFonts w:ascii="Times New Roman" w:hAnsi="Times New Roman" w:cs="Times New Roman"/>
          <w:i/>
          <w:iCs/>
          <w:sz w:val="24"/>
          <w:szCs w:val="24"/>
        </w:rPr>
        <w:t>Annals of Hepatology.</w:t>
      </w:r>
      <w:r w:rsidRPr="00435B60">
        <w:rPr>
          <w:rFonts w:ascii="Times New Roman" w:hAnsi="Times New Roman" w:cs="Times New Roman"/>
          <w:sz w:val="24"/>
          <w:szCs w:val="24"/>
        </w:rPr>
        <w:t xml:space="preserve"> 2020; 19 (2): 204-208</w:t>
      </w:r>
      <w:r>
        <w:rPr>
          <w:rFonts w:ascii="Times New Roman" w:hAnsi="Times New Roman" w:cs="Times New Roman"/>
          <w:sz w:val="24"/>
          <w:szCs w:val="24"/>
        </w:rPr>
        <w:t>.</w:t>
      </w:r>
    </w:p>
    <w:p w14:paraId="459BF822" w14:textId="77777777" w:rsidR="00AA4205" w:rsidRDefault="00AA4205" w:rsidP="00AA4205">
      <w:pPr>
        <w:pStyle w:val="NoSpacing"/>
        <w:numPr>
          <w:ilvl w:val="0"/>
          <w:numId w:val="13"/>
        </w:numPr>
        <w:spacing w:line="480" w:lineRule="auto"/>
        <w:rPr>
          <w:rFonts w:ascii="Times New Roman" w:hAnsi="Times New Roman" w:cs="Times New Roman"/>
          <w:sz w:val="24"/>
          <w:szCs w:val="24"/>
        </w:rPr>
      </w:pPr>
      <w:proofErr w:type="spellStart"/>
      <w:r w:rsidRPr="006928C2">
        <w:rPr>
          <w:rFonts w:ascii="Times New Roman" w:hAnsi="Times New Roman" w:cs="Times New Roman"/>
          <w:sz w:val="24"/>
          <w:szCs w:val="24"/>
        </w:rPr>
        <w:t>Fakeye</w:t>
      </w:r>
      <w:proofErr w:type="spellEnd"/>
      <w:r w:rsidRPr="006928C2">
        <w:rPr>
          <w:rFonts w:ascii="Times New Roman" w:hAnsi="Times New Roman" w:cs="Times New Roman"/>
          <w:sz w:val="24"/>
          <w:szCs w:val="24"/>
        </w:rPr>
        <w:t xml:space="preserve"> TO, </w:t>
      </w:r>
      <w:proofErr w:type="spellStart"/>
      <w:r w:rsidRPr="006928C2">
        <w:rPr>
          <w:rFonts w:ascii="Times New Roman" w:hAnsi="Times New Roman" w:cs="Times New Roman"/>
          <w:sz w:val="24"/>
          <w:szCs w:val="24"/>
        </w:rPr>
        <w:t>Adisa</w:t>
      </w:r>
      <w:proofErr w:type="spellEnd"/>
      <w:r w:rsidRPr="006928C2">
        <w:rPr>
          <w:rFonts w:ascii="Times New Roman" w:hAnsi="Times New Roman" w:cs="Times New Roman"/>
          <w:sz w:val="24"/>
          <w:szCs w:val="24"/>
        </w:rPr>
        <w:t xml:space="preserve"> R, Musa IE. Attitude and use of herbal medicines among pregnant women in Nigeria. </w:t>
      </w:r>
      <w:r w:rsidRPr="006928C2">
        <w:rPr>
          <w:rFonts w:ascii="Times New Roman" w:hAnsi="Times New Roman" w:cs="Times New Roman"/>
          <w:i/>
          <w:iCs/>
          <w:sz w:val="24"/>
          <w:szCs w:val="24"/>
        </w:rPr>
        <w:t>BMC Complementary and Alternative Medicine</w:t>
      </w:r>
      <w:r w:rsidRPr="006928C2">
        <w:rPr>
          <w:rFonts w:ascii="Times New Roman" w:hAnsi="Times New Roman" w:cs="Times New Roman"/>
          <w:sz w:val="24"/>
          <w:szCs w:val="24"/>
        </w:rPr>
        <w:t>. 2009</w:t>
      </w:r>
      <w:r>
        <w:rPr>
          <w:rFonts w:ascii="Times New Roman" w:hAnsi="Times New Roman" w:cs="Times New Roman"/>
          <w:sz w:val="24"/>
          <w:szCs w:val="24"/>
        </w:rPr>
        <w:t xml:space="preserve">; </w:t>
      </w:r>
      <w:r w:rsidRPr="006928C2">
        <w:rPr>
          <w:rFonts w:ascii="Times New Roman" w:hAnsi="Times New Roman" w:cs="Times New Roman"/>
          <w:sz w:val="24"/>
          <w:szCs w:val="24"/>
        </w:rPr>
        <w:t>9:53.</w:t>
      </w:r>
    </w:p>
    <w:p w14:paraId="0B8B0732" w14:textId="77777777" w:rsidR="00AA4205" w:rsidRPr="00642192" w:rsidRDefault="00AA4205" w:rsidP="00AA4205">
      <w:pPr>
        <w:pStyle w:val="NoSpacing"/>
        <w:numPr>
          <w:ilvl w:val="0"/>
          <w:numId w:val="13"/>
        </w:numPr>
        <w:spacing w:line="480" w:lineRule="auto"/>
        <w:rPr>
          <w:rFonts w:ascii="Times New Roman" w:hAnsi="Times New Roman" w:cs="Times New Roman"/>
          <w:sz w:val="24"/>
          <w:szCs w:val="24"/>
          <w:lang w:val="en-GB"/>
        </w:rPr>
      </w:pPr>
      <w:r w:rsidRPr="00642192">
        <w:rPr>
          <w:rFonts w:ascii="Times New Roman" w:hAnsi="Times New Roman" w:cs="Times New Roman"/>
          <w:sz w:val="24"/>
          <w:szCs w:val="24"/>
          <w:lang w:val="en-GB"/>
        </w:rPr>
        <w:t xml:space="preserve">Onyejike IM, Onyejike DN, Nweke EO. Biochemical and nephrotoxic effects of Odogwu Bitters and Goko Cleanser on Wistar rat kidneys: A preliminary study. </w:t>
      </w:r>
      <w:r w:rsidRPr="00642192">
        <w:rPr>
          <w:rFonts w:ascii="Times New Roman" w:hAnsi="Times New Roman" w:cs="Times New Roman"/>
          <w:i/>
          <w:iCs/>
          <w:sz w:val="24"/>
          <w:szCs w:val="24"/>
        </w:rPr>
        <w:t>Journal of Medical and Health Research</w:t>
      </w:r>
      <w:r>
        <w:rPr>
          <w:rFonts w:ascii="Times New Roman" w:hAnsi="Times New Roman" w:cs="Times New Roman"/>
          <w:sz w:val="24"/>
          <w:szCs w:val="24"/>
          <w:lang w:val="en-GB"/>
        </w:rPr>
        <w:t xml:space="preserve">. </w:t>
      </w:r>
      <w:r w:rsidRPr="00642192">
        <w:rPr>
          <w:rFonts w:ascii="Times New Roman" w:hAnsi="Times New Roman" w:cs="Times New Roman"/>
          <w:sz w:val="24"/>
          <w:szCs w:val="24"/>
          <w:lang w:val="en-GB"/>
        </w:rPr>
        <w:t xml:space="preserve">2024; 9 (2): 52–61. </w:t>
      </w:r>
    </w:p>
    <w:p w14:paraId="6F9FD0A5" w14:textId="77777777" w:rsidR="00AA4205" w:rsidRPr="00633C59" w:rsidRDefault="00AA4205" w:rsidP="00AA4205">
      <w:pPr>
        <w:pStyle w:val="NoSpacing"/>
        <w:numPr>
          <w:ilvl w:val="0"/>
          <w:numId w:val="13"/>
        </w:numPr>
        <w:spacing w:line="480" w:lineRule="auto"/>
        <w:rPr>
          <w:rFonts w:ascii="Times New Roman" w:hAnsi="Times New Roman" w:cs="Times New Roman"/>
          <w:sz w:val="24"/>
          <w:szCs w:val="24"/>
          <w:lang w:val="en-GB"/>
        </w:rPr>
      </w:pPr>
      <w:proofErr w:type="spellStart"/>
      <w:r w:rsidRPr="00633C59">
        <w:rPr>
          <w:rFonts w:ascii="Times New Roman" w:hAnsi="Times New Roman" w:cs="Times New Roman"/>
          <w:sz w:val="24"/>
          <w:szCs w:val="24"/>
          <w:lang w:val="en-GB"/>
        </w:rPr>
        <w:t>Onyejike</w:t>
      </w:r>
      <w:proofErr w:type="spellEnd"/>
      <w:r w:rsidRPr="00633C59">
        <w:rPr>
          <w:rFonts w:ascii="Times New Roman" w:hAnsi="Times New Roman" w:cs="Times New Roman"/>
          <w:sz w:val="24"/>
          <w:szCs w:val="24"/>
          <w:lang w:val="en-GB"/>
        </w:rPr>
        <w:t xml:space="preserve"> DN, </w:t>
      </w:r>
      <w:proofErr w:type="spellStart"/>
      <w:r w:rsidRPr="00633C59">
        <w:rPr>
          <w:rFonts w:ascii="Times New Roman" w:hAnsi="Times New Roman" w:cs="Times New Roman"/>
          <w:sz w:val="24"/>
          <w:szCs w:val="24"/>
          <w:lang w:val="en-GB"/>
        </w:rPr>
        <w:t>Aladeyelu</w:t>
      </w:r>
      <w:proofErr w:type="spellEnd"/>
      <w:r w:rsidRPr="00633C59">
        <w:rPr>
          <w:rFonts w:ascii="Times New Roman" w:hAnsi="Times New Roman" w:cs="Times New Roman"/>
          <w:sz w:val="24"/>
          <w:szCs w:val="24"/>
          <w:lang w:val="en-GB"/>
        </w:rPr>
        <w:t xml:space="preserve"> SO, </w:t>
      </w:r>
      <w:proofErr w:type="spellStart"/>
      <w:r w:rsidRPr="00633C59">
        <w:rPr>
          <w:rFonts w:ascii="Times New Roman" w:hAnsi="Times New Roman" w:cs="Times New Roman"/>
          <w:sz w:val="24"/>
          <w:szCs w:val="24"/>
          <w:lang w:val="en-GB"/>
        </w:rPr>
        <w:t>Onyejike</w:t>
      </w:r>
      <w:proofErr w:type="spellEnd"/>
      <w:r w:rsidRPr="00633C59">
        <w:rPr>
          <w:rFonts w:ascii="Times New Roman" w:hAnsi="Times New Roman" w:cs="Times New Roman"/>
          <w:sz w:val="24"/>
          <w:szCs w:val="24"/>
          <w:lang w:val="en-GB"/>
        </w:rPr>
        <w:t xml:space="preserve"> IM, Nwankwo OK. Biochemical effects of Goko Cleanser (herbal mixture) on the liver of adult female Wistar rats. </w:t>
      </w:r>
      <w:r w:rsidRPr="00A65DA2">
        <w:rPr>
          <w:rFonts w:ascii="Times New Roman" w:hAnsi="Times New Roman" w:cs="Times New Roman"/>
          <w:i/>
          <w:sz w:val="24"/>
          <w:szCs w:val="24"/>
          <w:lang w:val="en-GB"/>
        </w:rPr>
        <w:t>International Invention of Scientific Journal</w:t>
      </w:r>
      <w:r>
        <w:rPr>
          <w:rFonts w:ascii="Times New Roman" w:hAnsi="Times New Roman" w:cs="Times New Roman"/>
          <w:i/>
          <w:sz w:val="24"/>
          <w:szCs w:val="24"/>
          <w:lang w:val="en-GB"/>
        </w:rPr>
        <w:t>.</w:t>
      </w:r>
      <w:r w:rsidRPr="00633C59">
        <w:rPr>
          <w:rFonts w:ascii="Times New Roman" w:hAnsi="Times New Roman" w:cs="Times New Roman"/>
          <w:sz w:val="24"/>
          <w:szCs w:val="24"/>
          <w:lang w:val="en-GB"/>
        </w:rPr>
        <w:t xml:space="preserve"> 2018; 2 (5): 164–176.</w:t>
      </w:r>
    </w:p>
    <w:p w14:paraId="61142EB8" w14:textId="77777777" w:rsidR="00AA4205" w:rsidRPr="00642192" w:rsidRDefault="00AA4205" w:rsidP="00AA4205">
      <w:pPr>
        <w:pStyle w:val="NoSpacing"/>
        <w:numPr>
          <w:ilvl w:val="0"/>
          <w:numId w:val="13"/>
        </w:numPr>
        <w:spacing w:line="480" w:lineRule="auto"/>
        <w:rPr>
          <w:rFonts w:ascii="Times New Roman" w:hAnsi="Times New Roman" w:cs="Times New Roman"/>
          <w:sz w:val="24"/>
          <w:szCs w:val="24"/>
          <w:lang w:val="en-GB"/>
        </w:rPr>
      </w:pPr>
      <w:r w:rsidRPr="00642192">
        <w:rPr>
          <w:rFonts w:ascii="Times New Roman" w:hAnsi="Times New Roman" w:cs="Times New Roman"/>
          <w:sz w:val="24"/>
          <w:szCs w:val="24"/>
          <w:lang w:val="en-GB"/>
        </w:rPr>
        <w:t xml:space="preserve">Obiesie IJ, Onyejike DN, Onyejike IM, Okechukwu SK, Okubike EA. Toxicological evaluation of co-administration of Odogwu Bitters and Goko Cleanser herbal drinks on </w:t>
      </w:r>
      <w:r w:rsidRPr="00642192">
        <w:rPr>
          <w:rFonts w:ascii="Times New Roman" w:hAnsi="Times New Roman" w:cs="Times New Roman"/>
          <w:sz w:val="24"/>
          <w:szCs w:val="24"/>
          <w:lang w:val="en-GB"/>
        </w:rPr>
        <w:lastRenderedPageBreak/>
        <w:t xml:space="preserve">the kidney of adult male Wistar rats. </w:t>
      </w:r>
      <w:r w:rsidRPr="00642192">
        <w:rPr>
          <w:rFonts w:ascii="Times New Roman" w:hAnsi="Times New Roman" w:cs="Times New Roman"/>
          <w:i/>
          <w:iCs/>
          <w:sz w:val="24"/>
          <w:szCs w:val="24"/>
          <w:lang w:val="en-GB"/>
        </w:rPr>
        <w:t>Tropical Journal of Natural Product Research</w:t>
      </w:r>
      <w:r>
        <w:rPr>
          <w:rFonts w:ascii="Times New Roman" w:hAnsi="Times New Roman" w:cs="Times New Roman"/>
          <w:sz w:val="24"/>
          <w:szCs w:val="24"/>
          <w:lang w:val="en-GB"/>
        </w:rPr>
        <w:t>.</w:t>
      </w:r>
      <w:r w:rsidRPr="00642192">
        <w:rPr>
          <w:rFonts w:ascii="Times New Roman" w:hAnsi="Times New Roman" w:cs="Times New Roman"/>
          <w:sz w:val="24"/>
          <w:szCs w:val="24"/>
          <w:lang w:val="en-GB"/>
        </w:rPr>
        <w:t xml:space="preserve"> 2025; 9 (3): 1256–1262.</w:t>
      </w:r>
    </w:p>
    <w:p w14:paraId="5E512E85" w14:textId="77777777" w:rsidR="00AA4205" w:rsidRPr="00A65DA2" w:rsidRDefault="00AA4205" w:rsidP="00AA4205">
      <w:pPr>
        <w:pStyle w:val="NoSpacing"/>
        <w:numPr>
          <w:ilvl w:val="0"/>
          <w:numId w:val="13"/>
        </w:numPr>
        <w:tabs>
          <w:tab w:val="left" w:pos="0"/>
        </w:tabs>
        <w:spacing w:line="480" w:lineRule="auto"/>
        <w:rPr>
          <w:rFonts w:ascii="Times New Roman" w:hAnsi="Times New Roman" w:cs="Times New Roman"/>
          <w:sz w:val="24"/>
          <w:szCs w:val="24"/>
          <w:lang w:val="en-GB"/>
        </w:rPr>
      </w:pPr>
      <w:proofErr w:type="spellStart"/>
      <w:r w:rsidRPr="00A65DA2">
        <w:rPr>
          <w:rFonts w:ascii="Times New Roman" w:hAnsi="Times New Roman" w:cs="Times New Roman"/>
          <w:bCs/>
          <w:sz w:val="24"/>
          <w:szCs w:val="24"/>
          <w:lang w:val="en-GB"/>
        </w:rPr>
        <w:t>Onyejike</w:t>
      </w:r>
      <w:proofErr w:type="spellEnd"/>
      <w:r w:rsidRPr="00A65DA2">
        <w:rPr>
          <w:rFonts w:ascii="Times New Roman" w:hAnsi="Times New Roman" w:cs="Times New Roman"/>
          <w:bCs/>
          <w:sz w:val="24"/>
          <w:szCs w:val="24"/>
          <w:lang w:val="en-GB"/>
        </w:rPr>
        <w:t xml:space="preserve"> DN,</w:t>
      </w:r>
      <w:r w:rsidRPr="00A65DA2">
        <w:rPr>
          <w:rFonts w:ascii="Times New Roman" w:hAnsi="Times New Roman" w:cs="Times New Roman"/>
          <w:sz w:val="24"/>
          <w:szCs w:val="24"/>
          <w:lang w:val="en-GB"/>
        </w:rPr>
        <w:t xml:space="preserve"> </w:t>
      </w:r>
      <w:proofErr w:type="spellStart"/>
      <w:r w:rsidRPr="00A65DA2">
        <w:rPr>
          <w:rFonts w:ascii="Times New Roman" w:hAnsi="Times New Roman" w:cs="Times New Roman"/>
          <w:sz w:val="24"/>
          <w:szCs w:val="24"/>
          <w:lang w:val="en-GB"/>
        </w:rPr>
        <w:t>Aladeyelu</w:t>
      </w:r>
      <w:proofErr w:type="spellEnd"/>
      <w:r w:rsidRPr="00A65DA2">
        <w:rPr>
          <w:rFonts w:ascii="Times New Roman" w:hAnsi="Times New Roman" w:cs="Times New Roman"/>
          <w:sz w:val="24"/>
          <w:szCs w:val="24"/>
          <w:lang w:val="en-GB"/>
        </w:rPr>
        <w:t xml:space="preserve"> SO, </w:t>
      </w:r>
      <w:proofErr w:type="spellStart"/>
      <w:r w:rsidRPr="00A65DA2">
        <w:rPr>
          <w:rFonts w:ascii="Times New Roman" w:hAnsi="Times New Roman" w:cs="Times New Roman"/>
          <w:sz w:val="24"/>
          <w:szCs w:val="24"/>
          <w:lang w:val="en-GB"/>
        </w:rPr>
        <w:t>Onyejike</w:t>
      </w:r>
      <w:proofErr w:type="spellEnd"/>
      <w:r w:rsidRPr="00A65DA2">
        <w:rPr>
          <w:rFonts w:ascii="Times New Roman" w:hAnsi="Times New Roman" w:cs="Times New Roman"/>
          <w:sz w:val="24"/>
          <w:szCs w:val="24"/>
          <w:lang w:val="en-GB"/>
        </w:rPr>
        <w:t xml:space="preserve"> IM</w:t>
      </w:r>
      <w:r>
        <w:rPr>
          <w:rFonts w:ascii="Times New Roman" w:hAnsi="Times New Roman" w:cs="Times New Roman"/>
          <w:sz w:val="24"/>
          <w:szCs w:val="24"/>
          <w:lang w:val="en-GB"/>
        </w:rPr>
        <w:t>,</w:t>
      </w:r>
      <w:r w:rsidRPr="00A65DA2">
        <w:rPr>
          <w:rFonts w:ascii="Times New Roman" w:hAnsi="Times New Roman" w:cs="Times New Roman"/>
          <w:sz w:val="24"/>
          <w:szCs w:val="24"/>
          <w:lang w:val="en-GB"/>
        </w:rPr>
        <w:t xml:space="preserve"> </w:t>
      </w:r>
      <w:proofErr w:type="spellStart"/>
      <w:r w:rsidRPr="00A65DA2">
        <w:rPr>
          <w:rFonts w:ascii="Times New Roman" w:hAnsi="Times New Roman" w:cs="Times New Roman"/>
          <w:sz w:val="24"/>
          <w:szCs w:val="24"/>
          <w:lang w:val="en-GB"/>
        </w:rPr>
        <w:t>Ogbo</w:t>
      </w:r>
      <w:proofErr w:type="spellEnd"/>
      <w:r w:rsidRPr="00A65DA2">
        <w:rPr>
          <w:rFonts w:ascii="Times New Roman" w:hAnsi="Times New Roman" w:cs="Times New Roman"/>
          <w:sz w:val="24"/>
          <w:szCs w:val="24"/>
          <w:lang w:val="en-GB"/>
        </w:rPr>
        <w:t xml:space="preserve"> FO. Effects of Goko Cleanser Herbal Mixture on the Microarchitecture of the Liver of Adult Female Wistar rats. </w:t>
      </w:r>
      <w:r w:rsidRPr="00A65DA2">
        <w:rPr>
          <w:rFonts w:ascii="Times New Roman" w:hAnsi="Times New Roman" w:cs="Times New Roman"/>
          <w:i/>
          <w:sz w:val="24"/>
          <w:szCs w:val="24"/>
          <w:lang w:val="en-GB"/>
        </w:rPr>
        <w:t xml:space="preserve">International Invention of Scientific Journal. </w:t>
      </w:r>
      <w:r>
        <w:rPr>
          <w:rFonts w:ascii="Times New Roman" w:hAnsi="Times New Roman" w:cs="Times New Roman"/>
          <w:iCs/>
          <w:sz w:val="24"/>
          <w:szCs w:val="24"/>
          <w:lang w:val="en-GB"/>
        </w:rPr>
        <w:t xml:space="preserve">2018; </w:t>
      </w:r>
      <w:r w:rsidRPr="00A65DA2">
        <w:rPr>
          <w:rFonts w:ascii="Times New Roman" w:hAnsi="Times New Roman" w:cs="Times New Roman"/>
          <w:bCs/>
          <w:sz w:val="24"/>
          <w:szCs w:val="24"/>
          <w:lang w:val="en-GB"/>
        </w:rPr>
        <w:t>2</w:t>
      </w:r>
      <w:r w:rsidRPr="00A65DA2">
        <w:rPr>
          <w:rFonts w:ascii="Times New Roman" w:hAnsi="Times New Roman" w:cs="Times New Roman"/>
          <w:sz w:val="24"/>
          <w:szCs w:val="24"/>
          <w:lang w:val="en-GB"/>
        </w:rPr>
        <w:t xml:space="preserve"> (5): 184–200.</w:t>
      </w:r>
    </w:p>
    <w:p w14:paraId="6B7290CF" w14:textId="77777777" w:rsidR="00AA4205" w:rsidRDefault="00AA4205" w:rsidP="00AA4205">
      <w:pPr>
        <w:pStyle w:val="NoSpacing"/>
        <w:numPr>
          <w:ilvl w:val="0"/>
          <w:numId w:val="13"/>
        </w:numPr>
        <w:spacing w:line="480" w:lineRule="auto"/>
        <w:rPr>
          <w:rFonts w:ascii="Times New Roman" w:hAnsi="Times New Roman" w:cs="Times New Roman"/>
          <w:sz w:val="24"/>
          <w:szCs w:val="24"/>
        </w:rPr>
      </w:pPr>
      <w:r w:rsidRPr="00642ECC">
        <w:rPr>
          <w:rFonts w:ascii="Times New Roman" w:hAnsi="Times New Roman" w:cs="Times New Roman"/>
          <w:sz w:val="24"/>
          <w:szCs w:val="24"/>
        </w:rPr>
        <w:t>Elechi-Amadi KN, Briggs</w:t>
      </w:r>
      <w:r>
        <w:rPr>
          <w:rFonts w:ascii="Times New Roman" w:hAnsi="Times New Roman" w:cs="Times New Roman"/>
          <w:sz w:val="24"/>
          <w:szCs w:val="24"/>
        </w:rPr>
        <w:t xml:space="preserve"> ON</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Opusunju</w:t>
      </w:r>
      <w:proofErr w:type="spellEnd"/>
      <w:r>
        <w:rPr>
          <w:rFonts w:ascii="Times New Roman" w:hAnsi="Times New Roman" w:cs="Times New Roman"/>
          <w:sz w:val="24"/>
          <w:szCs w:val="24"/>
        </w:rPr>
        <w:t xml:space="preserve"> BH</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Batubo</w:t>
      </w:r>
      <w:proofErr w:type="spellEnd"/>
      <w:r>
        <w:rPr>
          <w:rFonts w:ascii="Times New Roman" w:hAnsi="Times New Roman" w:cs="Times New Roman"/>
          <w:sz w:val="24"/>
          <w:szCs w:val="24"/>
        </w:rPr>
        <w:t xml:space="preserve"> NP</w:t>
      </w:r>
      <w:r w:rsidRPr="00642ECC">
        <w:rPr>
          <w:rFonts w:ascii="Times New Roman" w:hAnsi="Times New Roman" w:cs="Times New Roman"/>
          <w:sz w:val="24"/>
          <w:szCs w:val="24"/>
        </w:rPr>
        <w:t xml:space="preserve">, </w:t>
      </w:r>
      <w:proofErr w:type="spellStart"/>
      <w:r w:rsidRPr="00642ECC">
        <w:rPr>
          <w:rFonts w:ascii="Times New Roman" w:hAnsi="Times New Roman" w:cs="Times New Roman"/>
          <w:sz w:val="24"/>
          <w:szCs w:val="24"/>
        </w:rPr>
        <w:t>Ubulom</w:t>
      </w:r>
      <w:proofErr w:type="spellEnd"/>
      <w:r>
        <w:rPr>
          <w:rFonts w:ascii="Times New Roman" w:hAnsi="Times New Roman" w:cs="Times New Roman"/>
          <w:sz w:val="24"/>
          <w:szCs w:val="24"/>
        </w:rPr>
        <w:t xml:space="preserve"> RR</w:t>
      </w:r>
      <w:r w:rsidRPr="00642ECC">
        <w:rPr>
          <w:rFonts w:ascii="Times New Roman" w:hAnsi="Times New Roman" w:cs="Times New Roman"/>
          <w:sz w:val="24"/>
          <w:szCs w:val="24"/>
        </w:rPr>
        <w:t>, Solomon</w:t>
      </w:r>
      <w:r>
        <w:rPr>
          <w:rFonts w:ascii="Times New Roman" w:hAnsi="Times New Roman" w:cs="Times New Roman"/>
          <w:sz w:val="24"/>
          <w:szCs w:val="24"/>
        </w:rPr>
        <w:t xml:space="preserve"> QE</w:t>
      </w:r>
      <w:r w:rsidRPr="00642ECC">
        <w:rPr>
          <w:rFonts w:ascii="Times New Roman" w:hAnsi="Times New Roman" w:cs="Times New Roman"/>
          <w:sz w:val="24"/>
          <w:szCs w:val="24"/>
        </w:rPr>
        <w:t>.</w:t>
      </w:r>
      <w:r>
        <w:rPr>
          <w:rFonts w:ascii="Times New Roman" w:hAnsi="Times New Roman" w:cs="Times New Roman"/>
          <w:sz w:val="24"/>
          <w:szCs w:val="24"/>
        </w:rPr>
        <w:t xml:space="preserve"> </w:t>
      </w:r>
      <w:r w:rsidRPr="00642ECC">
        <w:rPr>
          <w:rFonts w:ascii="Times New Roman" w:hAnsi="Times New Roman" w:cs="Times New Roman"/>
          <w:sz w:val="24"/>
          <w:szCs w:val="24"/>
        </w:rPr>
        <w:t>Toxicological Effects of Overdose of Some Herbal Bitters Commonly Consumed in South Southern Nigeria. </w:t>
      </w:r>
      <w:r w:rsidRPr="00642ECC">
        <w:rPr>
          <w:rFonts w:ascii="Times New Roman" w:hAnsi="Times New Roman" w:cs="Times New Roman"/>
          <w:i/>
          <w:iCs/>
          <w:sz w:val="24"/>
          <w:szCs w:val="24"/>
        </w:rPr>
        <w:t>Asian Journal of Medical Principles and Clinical Practice</w:t>
      </w:r>
      <w:r>
        <w:rPr>
          <w:rFonts w:ascii="Times New Roman" w:hAnsi="Times New Roman" w:cs="Times New Roman"/>
          <w:sz w:val="24"/>
          <w:szCs w:val="24"/>
        </w:rPr>
        <w:t>. 2020;</w:t>
      </w:r>
      <w:r w:rsidRPr="00642ECC">
        <w:rPr>
          <w:rFonts w:ascii="Times New Roman" w:hAnsi="Times New Roman" w:cs="Times New Roman"/>
          <w:sz w:val="24"/>
          <w:szCs w:val="24"/>
        </w:rPr>
        <w:t> 3 (1):74-78.</w:t>
      </w:r>
    </w:p>
    <w:p w14:paraId="252A5601" w14:textId="77777777" w:rsidR="00AA4205" w:rsidRPr="00892A4A" w:rsidRDefault="00AA4205" w:rsidP="00AA4205">
      <w:pPr>
        <w:pStyle w:val="NoSpacing"/>
        <w:numPr>
          <w:ilvl w:val="0"/>
          <w:numId w:val="13"/>
        </w:numPr>
        <w:spacing w:line="480" w:lineRule="auto"/>
        <w:rPr>
          <w:rFonts w:ascii="Times New Roman" w:hAnsi="Times New Roman" w:cs="Times New Roman"/>
          <w:sz w:val="24"/>
          <w:szCs w:val="24"/>
          <w:highlight w:val="yellow"/>
          <w:lang w:val="en-GB" w:eastAsia="en-GB"/>
        </w:rPr>
      </w:pPr>
      <w:r w:rsidRPr="006148EC">
        <w:rPr>
          <w:rFonts w:ascii="Times New Roman" w:hAnsi="Times New Roman" w:cs="Times New Roman"/>
          <w:sz w:val="24"/>
          <w:szCs w:val="24"/>
          <w:highlight w:val="yellow"/>
        </w:rPr>
        <w:t>National Agency for Food and Drug Administration and Control (NAFDAC)</w:t>
      </w:r>
      <w:r>
        <w:rPr>
          <w:rFonts w:ascii="Times New Roman" w:hAnsi="Times New Roman" w:cs="Times New Roman"/>
          <w:sz w:val="24"/>
          <w:szCs w:val="24"/>
          <w:highlight w:val="yellow"/>
        </w:rPr>
        <w:t xml:space="preserve">. Product Registration and Regulation. 2025. Available from: </w:t>
      </w:r>
      <w:hyperlink r:id="rId7" w:anchor=":~:text=Our%20Services,-Notes%20To%20Industry&amp;text=Applicants%20are%20required%20to:,described%20to%20prevent%20unnecessary%20delays" w:history="1">
        <w:r w:rsidRPr="00892A4A">
          <w:rPr>
            <w:rStyle w:val="Hyperlink"/>
            <w:rFonts w:ascii="Times New Roman" w:hAnsi="Times New Roman" w:cs="Times New Roman"/>
            <w:sz w:val="24"/>
            <w:szCs w:val="24"/>
            <w:highlight w:val="yellow"/>
          </w:rPr>
          <w:t>https://nafdac.gov.ng/our-services/product-registrationevaluation/#:~:text=Our%20Services,-Notes%20To%20Industry&amp;text=Applicants%20are%20required%20to:,described%20to%20prevent%20unnecessary%20delays</w:t>
        </w:r>
      </w:hyperlink>
      <w:r w:rsidRPr="00892A4A">
        <w:rPr>
          <w:rFonts w:ascii="Times New Roman" w:hAnsi="Times New Roman" w:cs="Times New Roman"/>
          <w:sz w:val="24"/>
          <w:szCs w:val="24"/>
          <w:highlight w:val="yellow"/>
        </w:rPr>
        <w:t>.</w:t>
      </w:r>
    </w:p>
    <w:p w14:paraId="64322121" w14:textId="77777777" w:rsidR="00AA4205" w:rsidRDefault="00AA4205" w:rsidP="00AA4205">
      <w:pPr>
        <w:pStyle w:val="NoSpacing"/>
        <w:numPr>
          <w:ilvl w:val="0"/>
          <w:numId w:val="13"/>
        </w:numPr>
        <w:spacing w:line="480" w:lineRule="auto"/>
        <w:jc w:val="both"/>
        <w:rPr>
          <w:rFonts w:ascii="Times New Roman" w:hAnsi="Times New Roman" w:cs="Times New Roman"/>
          <w:sz w:val="24"/>
          <w:szCs w:val="24"/>
          <w:lang w:val="en-GB" w:eastAsia="en-GB"/>
        </w:rPr>
      </w:pPr>
      <w:r w:rsidRPr="00D23FB3">
        <w:rPr>
          <w:rFonts w:ascii="Times New Roman" w:hAnsi="Times New Roman" w:cs="Times New Roman"/>
          <w:sz w:val="24"/>
          <w:szCs w:val="24"/>
          <w:lang w:val="en-GB" w:eastAsia="en-GB"/>
        </w:rPr>
        <w:t xml:space="preserve">OECD. Test No. 425: Acute Oral Toxicity – Up-and-Down Procedure. OECD Guidelines for the Testing of Chemicals, Section 4. Paris: OECD Publishing; 2008. Available from: </w:t>
      </w:r>
      <w:hyperlink r:id="rId8" w:tgtFrame="_new" w:history="1">
        <w:r w:rsidRPr="00D23FB3">
          <w:rPr>
            <w:rStyle w:val="Hyperlink"/>
            <w:rFonts w:ascii="Times New Roman" w:hAnsi="Times New Roman" w:cs="Times New Roman"/>
            <w:sz w:val="24"/>
            <w:szCs w:val="24"/>
            <w:lang w:val="en-GB" w:eastAsia="en-GB"/>
          </w:rPr>
          <w:t>10.1787/9789264071049-en</w:t>
        </w:r>
      </w:hyperlink>
      <w:r w:rsidRPr="00D23FB3">
        <w:rPr>
          <w:rFonts w:ascii="Times New Roman" w:hAnsi="Times New Roman" w:cs="Times New Roman"/>
          <w:sz w:val="24"/>
          <w:szCs w:val="24"/>
          <w:lang w:val="en-GB" w:eastAsia="en-GB"/>
        </w:rPr>
        <w:t>.</w:t>
      </w:r>
    </w:p>
    <w:p w14:paraId="722DD4BD" w14:textId="77777777" w:rsidR="00AA4205" w:rsidRPr="005B0DFE" w:rsidRDefault="00AA4205" w:rsidP="00AA4205">
      <w:pPr>
        <w:pStyle w:val="NoSpacing"/>
        <w:numPr>
          <w:ilvl w:val="0"/>
          <w:numId w:val="13"/>
        </w:numPr>
        <w:spacing w:line="480" w:lineRule="auto"/>
        <w:jc w:val="both"/>
        <w:rPr>
          <w:rFonts w:ascii="Times New Roman" w:hAnsi="Times New Roman" w:cs="Times New Roman"/>
          <w:i/>
          <w:iCs/>
          <w:sz w:val="24"/>
          <w:szCs w:val="24"/>
          <w:lang w:val="en-GB" w:eastAsia="en-GB"/>
        </w:rPr>
      </w:pPr>
      <w:r w:rsidRPr="001458B4">
        <w:rPr>
          <w:rFonts w:ascii="Times New Roman" w:hAnsi="Times New Roman" w:cs="Times New Roman"/>
          <w:sz w:val="24"/>
          <w:szCs w:val="24"/>
          <w:lang w:eastAsia="en-GB"/>
        </w:rPr>
        <w:t xml:space="preserve">Navarro VJ, Senior JR. Drug-related hepatotoxicity. </w:t>
      </w:r>
      <w:r w:rsidRPr="001458B4">
        <w:rPr>
          <w:rFonts w:ascii="Times New Roman" w:hAnsi="Times New Roman" w:cs="Times New Roman"/>
          <w:i/>
          <w:iCs/>
          <w:sz w:val="24"/>
          <w:szCs w:val="24"/>
          <w:lang w:val="en-GB" w:eastAsia="en-GB"/>
        </w:rPr>
        <w:t>The New England Journal of Medicine.</w:t>
      </w:r>
      <w:r>
        <w:rPr>
          <w:rFonts w:ascii="Times New Roman" w:hAnsi="Times New Roman" w:cs="Times New Roman"/>
          <w:i/>
          <w:iCs/>
          <w:sz w:val="24"/>
          <w:szCs w:val="24"/>
          <w:lang w:val="en-GB" w:eastAsia="en-GB"/>
        </w:rPr>
        <w:t xml:space="preserve"> </w:t>
      </w:r>
      <w:r w:rsidRPr="001458B4">
        <w:rPr>
          <w:rFonts w:ascii="Times New Roman" w:hAnsi="Times New Roman" w:cs="Times New Roman"/>
          <w:sz w:val="24"/>
          <w:szCs w:val="24"/>
          <w:lang w:eastAsia="en-GB"/>
        </w:rPr>
        <w:t>2006;</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354</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(7):</w:t>
      </w:r>
      <w:r>
        <w:rPr>
          <w:rFonts w:ascii="Times New Roman" w:hAnsi="Times New Roman" w:cs="Times New Roman"/>
          <w:sz w:val="24"/>
          <w:szCs w:val="24"/>
          <w:lang w:eastAsia="en-GB"/>
        </w:rPr>
        <w:t xml:space="preserve"> </w:t>
      </w:r>
      <w:r w:rsidRPr="001458B4">
        <w:rPr>
          <w:rFonts w:ascii="Times New Roman" w:hAnsi="Times New Roman" w:cs="Times New Roman"/>
          <w:sz w:val="24"/>
          <w:szCs w:val="24"/>
          <w:lang w:eastAsia="en-GB"/>
        </w:rPr>
        <w:t>731-</w:t>
      </w:r>
      <w:r>
        <w:rPr>
          <w:rFonts w:ascii="Times New Roman" w:hAnsi="Times New Roman" w:cs="Times New Roman"/>
          <w:sz w:val="24"/>
          <w:szCs w:val="24"/>
          <w:lang w:eastAsia="en-GB"/>
        </w:rPr>
        <w:t>73</w:t>
      </w:r>
      <w:r w:rsidRPr="001458B4">
        <w:rPr>
          <w:rFonts w:ascii="Times New Roman" w:hAnsi="Times New Roman" w:cs="Times New Roman"/>
          <w:sz w:val="24"/>
          <w:szCs w:val="24"/>
          <w:lang w:eastAsia="en-GB"/>
        </w:rPr>
        <w:t>9. </w:t>
      </w:r>
    </w:p>
    <w:p w14:paraId="63474A1F" w14:textId="77777777" w:rsidR="00AA4205" w:rsidRPr="005B0DFE" w:rsidRDefault="00AA4205" w:rsidP="00AA4205">
      <w:pPr>
        <w:pStyle w:val="NoSpacing"/>
        <w:numPr>
          <w:ilvl w:val="0"/>
          <w:numId w:val="13"/>
        </w:numPr>
        <w:spacing w:line="480" w:lineRule="auto"/>
        <w:jc w:val="both"/>
        <w:rPr>
          <w:rFonts w:ascii="Times New Roman" w:hAnsi="Times New Roman" w:cs="Times New Roman"/>
          <w:sz w:val="24"/>
          <w:szCs w:val="24"/>
          <w:lang w:val="en-GB" w:eastAsia="en-GB"/>
        </w:rPr>
      </w:pPr>
      <w:r w:rsidRPr="005B0DFE">
        <w:rPr>
          <w:rFonts w:ascii="Times New Roman" w:hAnsi="Times New Roman" w:cs="Times New Roman"/>
          <w:sz w:val="24"/>
          <w:szCs w:val="24"/>
          <w:lang w:eastAsia="en-GB"/>
        </w:rPr>
        <w:t xml:space="preserve">Ozer J, Ratner M, Shaw M, Bailey W, Schomaker S. The current state of serum biomarkers of hepatotoxicity. </w:t>
      </w:r>
      <w:r w:rsidRPr="005B0DFE">
        <w:rPr>
          <w:rFonts w:ascii="Times New Roman" w:hAnsi="Times New Roman" w:cs="Times New Roman"/>
          <w:i/>
          <w:iCs/>
          <w:sz w:val="24"/>
          <w:szCs w:val="24"/>
          <w:lang w:eastAsia="en-GB"/>
        </w:rPr>
        <w:t>Toxicology.</w:t>
      </w:r>
      <w:r w:rsidRPr="005B0DFE">
        <w:rPr>
          <w:rFonts w:ascii="Times New Roman" w:hAnsi="Times New Roman" w:cs="Times New Roman"/>
          <w:sz w:val="24"/>
          <w:szCs w:val="24"/>
          <w:lang w:eastAsia="en-GB"/>
        </w:rPr>
        <w:t xml:space="preserve"> 2008;</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245</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w:t>
      </w:r>
      <w:r w:rsidRPr="005B0DFE">
        <w:rPr>
          <w:rFonts w:ascii="Times New Roman" w:hAnsi="Times New Roman" w:cs="Times New Roman"/>
          <w:sz w:val="24"/>
          <w:szCs w:val="24"/>
          <w:lang w:eastAsia="en-GB"/>
        </w:rPr>
        <w:t>194-205.</w:t>
      </w:r>
    </w:p>
    <w:p w14:paraId="40F38405" w14:textId="77777777" w:rsidR="00AA4205" w:rsidRPr="00AC6604" w:rsidRDefault="00AA4205" w:rsidP="00AA4205">
      <w:pPr>
        <w:pStyle w:val="NoSpacing"/>
        <w:numPr>
          <w:ilvl w:val="0"/>
          <w:numId w:val="13"/>
        </w:numPr>
        <w:spacing w:line="480" w:lineRule="auto"/>
        <w:jc w:val="both"/>
        <w:rPr>
          <w:rFonts w:ascii="Times New Roman" w:hAnsi="Times New Roman" w:cs="Times New Roman"/>
          <w:sz w:val="24"/>
          <w:szCs w:val="24"/>
          <w:lang w:val="en-GB" w:eastAsia="en-GB"/>
        </w:rPr>
      </w:pPr>
      <w:r w:rsidRPr="005B0DFE">
        <w:rPr>
          <w:rFonts w:ascii="Times New Roman" w:hAnsi="Times New Roman" w:cs="Times New Roman"/>
          <w:sz w:val="24"/>
          <w:szCs w:val="24"/>
        </w:rPr>
        <w:lastRenderedPageBreak/>
        <w:t xml:space="preserve">Reitman S, Frankel S. A colorimetric method for the determination of serum glutamic </w:t>
      </w:r>
      <w:proofErr w:type="spellStart"/>
      <w:r w:rsidRPr="005B0DFE">
        <w:rPr>
          <w:rFonts w:ascii="Times New Roman" w:hAnsi="Times New Roman" w:cs="Times New Roman"/>
          <w:sz w:val="24"/>
          <w:szCs w:val="24"/>
        </w:rPr>
        <w:t>oxalacetic</w:t>
      </w:r>
      <w:proofErr w:type="spellEnd"/>
      <w:r w:rsidRPr="005B0DFE">
        <w:rPr>
          <w:rFonts w:ascii="Times New Roman" w:hAnsi="Times New Roman" w:cs="Times New Roman"/>
          <w:sz w:val="24"/>
          <w:szCs w:val="24"/>
        </w:rPr>
        <w:t xml:space="preserve"> and glutamic pyruvic transaminases. </w:t>
      </w:r>
      <w:r w:rsidRPr="005B0DFE">
        <w:rPr>
          <w:rFonts w:ascii="Times New Roman" w:hAnsi="Times New Roman" w:cs="Times New Roman"/>
          <w:i/>
          <w:iCs/>
          <w:sz w:val="24"/>
          <w:szCs w:val="24"/>
        </w:rPr>
        <w:t>American Journal of Clinical Pathology</w:t>
      </w:r>
      <w:r>
        <w:rPr>
          <w:rFonts w:ascii="Times New Roman" w:hAnsi="Times New Roman" w:cs="Times New Roman"/>
          <w:i/>
          <w:iCs/>
          <w:sz w:val="24"/>
          <w:szCs w:val="24"/>
        </w:rPr>
        <w:t>.</w:t>
      </w:r>
      <w:r w:rsidRPr="005B0DFE">
        <w:rPr>
          <w:rFonts w:ascii="Times New Roman" w:hAnsi="Times New Roman" w:cs="Times New Roman"/>
          <w:sz w:val="24"/>
          <w:szCs w:val="24"/>
        </w:rPr>
        <w:t xml:space="preserve"> 1957; 28 (1): 56-63. </w:t>
      </w:r>
    </w:p>
    <w:p w14:paraId="591C77DA" w14:textId="77777777" w:rsidR="00AA4205" w:rsidRPr="005A4A1D" w:rsidRDefault="00AA4205" w:rsidP="00AA4205">
      <w:pPr>
        <w:pStyle w:val="NoSpacing"/>
        <w:numPr>
          <w:ilvl w:val="0"/>
          <w:numId w:val="13"/>
        </w:numPr>
        <w:spacing w:line="480" w:lineRule="auto"/>
        <w:jc w:val="both"/>
        <w:rPr>
          <w:rFonts w:ascii="Times New Roman" w:hAnsi="Times New Roman" w:cs="Times New Roman"/>
          <w:sz w:val="24"/>
          <w:szCs w:val="24"/>
          <w:lang w:val="en-GB" w:eastAsia="en-GB"/>
        </w:rPr>
      </w:pPr>
      <w:r w:rsidRPr="00AC6604">
        <w:rPr>
          <w:rFonts w:ascii="Times New Roman" w:hAnsi="Times New Roman" w:cs="Times New Roman"/>
          <w:sz w:val="24"/>
          <w:szCs w:val="24"/>
          <w:lang w:eastAsia="en-GB"/>
        </w:rPr>
        <w:t>K</w:t>
      </w:r>
      <w:r>
        <w:rPr>
          <w:rFonts w:ascii="Times New Roman" w:hAnsi="Times New Roman" w:cs="Times New Roman"/>
          <w:sz w:val="24"/>
          <w:szCs w:val="24"/>
          <w:lang w:eastAsia="en-GB"/>
        </w:rPr>
        <w:t>ind</w:t>
      </w:r>
      <w:r w:rsidRPr="00AC6604">
        <w:rPr>
          <w:rFonts w:ascii="Times New Roman" w:hAnsi="Times New Roman" w:cs="Times New Roman"/>
          <w:sz w:val="24"/>
          <w:szCs w:val="24"/>
          <w:lang w:eastAsia="en-GB"/>
        </w:rPr>
        <w:t xml:space="preserve"> PR, K</w:t>
      </w:r>
      <w:r>
        <w:rPr>
          <w:rFonts w:ascii="Times New Roman" w:hAnsi="Times New Roman" w:cs="Times New Roman"/>
          <w:sz w:val="24"/>
          <w:szCs w:val="24"/>
          <w:lang w:eastAsia="en-GB"/>
        </w:rPr>
        <w:t>ing</w:t>
      </w:r>
      <w:r w:rsidRPr="00AC6604">
        <w:rPr>
          <w:rFonts w:ascii="Times New Roman" w:hAnsi="Times New Roman" w:cs="Times New Roman"/>
          <w:sz w:val="24"/>
          <w:szCs w:val="24"/>
          <w:lang w:eastAsia="en-GB"/>
        </w:rPr>
        <w:t xml:space="preserve"> EJ. Estimation of plasma phosphatase by determination of </w:t>
      </w:r>
      <w:proofErr w:type="spellStart"/>
      <w:r w:rsidRPr="00AC6604">
        <w:rPr>
          <w:rFonts w:ascii="Times New Roman" w:hAnsi="Times New Roman" w:cs="Times New Roman"/>
          <w:sz w:val="24"/>
          <w:szCs w:val="24"/>
          <w:lang w:eastAsia="en-GB"/>
        </w:rPr>
        <w:t>hydrolysed</w:t>
      </w:r>
      <w:proofErr w:type="spellEnd"/>
      <w:r w:rsidRPr="00AC6604">
        <w:rPr>
          <w:rFonts w:ascii="Times New Roman" w:hAnsi="Times New Roman" w:cs="Times New Roman"/>
          <w:sz w:val="24"/>
          <w:szCs w:val="24"/>
          <w:lang w:eastAsia="en-GB"/>
        </w:rPr>
        <w:t xml:space="preserve"> phenol with amino-antipyrine. </w:t>
      </w:r>
      <w:r w:rsidRPr="009B3DCF">
        <w:rPr>
          <w:rFonts w:ascii="Times New Roman" w:hAnsi="Times New Roman" w:cs="Times New Roman"/>
          <w:i/>
          <w:iCs/>
          <w:sz w:val="24"/>
          <w:szCs w:val="24"/>
          <w:lang w:eastAsia="en-GB"/>
        </w:rPr>
        <w:t>Journal of Clinical Pathology</w:t>
      </w:r>
      <w:r w:rsidRPr="00AC6604">
        <w:rPr>
          <w:rFonts w:ascii="Times New Roman" w:hAnsi="Times New Roman" w:cs="Times New Roman"/>
          <w:sz w:val="24"/>
          <w:szCs w:val="24"/>
          <w:lang w:eastAsia="en-GB"/>
        </w:rPr>
        <w:t>. 1954;</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7</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(4):</w:t>
      </w:r>
      <w:r>
        <w:rPr>
          <w:rFonts w:ascii="Times New Roman" w:hAnsi="Times New Roman" w:cs="Times New Roman"/>
          <w:sz w:val="24"/>
          <w:szCs w:val="24"/>
          <w:lang w:eastAsia="en-GB"/>
        </w:rPr>
        <w:t xml:space="preserve"> </w:t>
      </w:r>
      <w:r w:rsidRPr="00AC6604">
        <w:rPr>
          <w:rFonts w:ascii="Times New Roman" w:hAnsi="Times New Roman" w:cs="Times New Roman"/>
          <w:sz w:val="24"/>
          <w:szCs w:val="24"/>
          <w:lang w:eastAsia="en-GB"/>
        </w:rPr>
        <w:t>322-</w:t>
      </w:r>
      <w:r>
        <w:rPr>
          <w:rFonts w:ascii="Times New Roman" w:hAnsi="Times New Roman" w:cs="Times New Roman"/>
          <w:sz w:val="24"/>
          <w:szCs w:val="24"/>
          <w:lang w:eastAsia="en-GB"/>
        </w:rPr>
        <w:t>32</w:t>
      </w:r>
      <w:r w:rsidRPr="00AC6604">
        <w:rPr>
          <w:rFonts w:ascii="Times New Roman" w:hAnsi="Times New Roman" w:cs="Times New Roman"/>
          <w:sz w:val="24"/>
          <w:szCs w:val="24"/>
          <w:lang w:eastAsia="en-GB"/>
        </w:rPr>
        <w:t>6.</w:t>
      </w:r>
    </w:p>
    <w:p w14:paraId="342EBD57" w14:textId="77777777" w:rsidR="00AA4205" w:rsidRPr="00401F1C" w:rsidRDefault="00AA4205" w:rsidP="00AA4205">
      <w:pPr>
        <w:pStyle w:val="NoSpacing"/>
        <w:numPr>
          <w:ilvl w:val="0"/>
          <w:numId w:val="13"/>
        </w:numPr>
        <w:spacing w:line="480" w:lineRule="auto"/>
        <w:jc w:val="both"/>
        <w:rPr>
          <w:rFonts w:ascii="Times New Roman" w:hAnsi="Times New Roman" w:cs="Times New Roman"/>
          <w:sz w:val="24"/>
          <w:szCs w:val="24"/>
          <w:highlight w:val="yellow"/>
          <w:lang w:val="en-GB" w:eastAsia="en-GB"/>
        </w:rPr>
      </w:pPr>
      <w:proofErr w:type="spellStart"/>
      <w:r w:rsidRPr="00401F1C">
        <w:rPr>
          <w:rFonts w:ascii="Times New Roman" w:hAnsi="Times New Roman" w:cs="Times New Roman"/>
          <w:sz w:val="24"/>
          <w:szCs w:val="24"/>
          <w:highlight w:val="yellow"/>
          <w:lang w:eastAsia="en-GB"/>
        </w:rPr>
        <w:t>Zoppini</w:t>
      </w:r>
      <w:proofErr w:type="spellEnd"/>
      <w:r w:rsidRPr="00401F1C">
        <w:rPr>
          <w:rFonts w:ascii="Times New Roman" w:hAnsi="Times New Roman" w:cs="Times New Roman"/>
          <w:sz w:val="24"/>
          <w:szCs w:val="24"/>
          <w:highlight w:val="yellow"/>
          <w:lang w:eastAsia="en-GB"/>
        </w:rPr>
        <w:t xml:space="preserve"> G, </w:t>
      </w:r>
      <w:proofErr w:type="spellStart"/>
      <w:r w:rsidRPr="00401F1C">
        <w:rPr>
          <w:rFonts w:ascii="Times New Roman" w:hAnsi="Times New Roman" w:cs="Times New Roman"/>
          <w:sz w:val="24"/>
          <w:szCs w:val="24"/>
          <w:highlight w:val="yellow"/>
          <w:lang w:eastAsia="en-GB"/>
        </w:rPr>
        <w:t>Cacciatori</w:t>
      </w:r>
      <w:proofErr w:type="spellEnd"/>
      <w:r w:rsidRPr="00401F1C">
        <w:rPr>
          <w:rFonts w:ascii="Times New Roman" w:hAnsi="Times New Roman" w:cs="Times New Roman"/>
          <w:sz w:val="24"/>
          <w:szCs w:val="24"/>
          <w:highlight w:val="yellow"/>
          <w:lang w:eastAsia="en-GB"/>
        </w:rPr>
        <w:t xml:space="preserve"> V, Negri C, Stoico V, Lippi G, </w:t>
      </w:r>
      <w:proofErr w:type="spellStart"/>
      <w:r w:rsidRPr="00401F1C">
        <w:rPr>
          <w:rFonts w:ascii="Times New Roman" w:hAnsi="Times New Roman" w:cs="Times New Roman"/>
          <w:sz w:val="24"/>
          <w:szCs w:val="24"/>
          <w:highlight w:val="yellow"/>
          <w:lang w:eastAsia="en-GB"/>
        </w:rPr>
        <w:t>Targher</w:t>
      </w:r>
      <w:proofErr w:type="spellEnd"/>
      <w:r w:rsidRPr="00401F1C">
        <w:rPr>
          <w:rFonts w:ascii="Times New Roman" w:hAnsi="Times New Roman" w:cs="Times New Roman"/>
          <w:sz w:val="24"/>
          <w:szCs w:val="24"/>
          <w:highlight w:val="yellow"/>
          <w:lang w:eastAsia="en-GB"/>
        </w:rPr>
        <w:t xml:space="preserve"> G, </w:t>
      </w:r>
      <w:proofErr w:type="spellStart"/>
      <w:r w:rsidRPr="00401F1C">
        <w:rPr>
          <w:rFonts w:ascii="Times New Roman" w:hAnsi="Times New Roman" w:cs="Times New Roman"/>
          <w:sz w:val="24"/>
          <w:szCs w:val="24"/>
          <w:highlight w:val="yellow"/>
          <w:lang w:eastAsia="en-GB"/>
        </w:rPr>
        <w:t>Bonora</w:t>
      </w:r>
      <w:proofErr w:type="spellEnd"/>
      <w:r w:rsidRPr="00401F1C">
        <w:rPr>
          <w:rFonts w:ascii="Times New Roman" w:hAnsi="Times New Roman" w:cs="Times New Roman"/>
          <w:sz w:val="24"/>
          <w:szCs w:val="24"/>
          <w:highlight w:val="yellow"/>
          <w:lang w:eastAsia="en-GB"/>
        </w:rPr>
        <w:t xml:space="preserve"> E. The aspartate aminotransferase-to-alanine aminotransferase ratio predicts all-cause and cardiovascular mortality in patients with type 2 diabetes. Medicine (Baltimore). 2016; 95 (43): e4821.</w:t>
      </w:r>
    </w:p>
    <w:p w14:paraId="5EA204EE" w14:textId="6BA22FEC" w:rsidR="00F303E3" w:rsidRPr="003644C3" w:rsidRDefault="00AA4205" w:rsidP="00AA4205">
      <w:pPr>
        <w:pStyle w:val="NoSpacing"/>
        <w:numPr>
          <w:ilvl w:val="0"/>
          <w:numId w:val="13"/>
        </w:numPr>
        <w:spacing w:line="480" w:lineRule="auto"/>
        <w:rPr>
          <w:rFonts w:ascii="Times New Roman" w:hAnsi="Times New Roman" w:cs="Times New Roman"/>
          <w:sz w:val="24"/>
          <w:szCs w:val="24"/>
          <w:highlight w:val="yellow"/>
          <w:lang w:val="en-GB" w:eastAsia="en-GB"/>
        </w:rPr>
      </w:pPr>
      <w:r w:rsidRPr="00401F1C">
        <w:rPr>
          <w:rFonts w:ascii="Times New Roman" w:hAnsi="Times New Roman" w:cs="Times New Roman"/>
          <w:sz w:val="24"/>
          <w:szCs w:val="24"/>
          <w:highlight w:val="yellow"/>
          <w:lang w:eastAsia="en-GB"/>
        </w:rPr>
        <w:t>Contreras-</w:t>
      </w:r>
      <w:proofErr w:type="spellStart"/>
      <w:r w:rsidRPr="00401F1C">
        <w:rPr>
          <w:rFonts w:ascii="Times New Roman" w:hAnsi="Times New Roman" w:cs="Times New Roman"/>
          <w:sz w:val="24"/>
          <w:szCs w:val="24"/>
          <w:highlight w:val="yellow"/>
          <w:lang w:eastAsia="en-GB"/>
        </w:rPr>
        <w:t>Zentella</w:t>
      </w:r>
      <w:proofErr w:type="spellEnd"/>
      <w:r w:rsidRPr="00401F1C">
        <w:rPr>
          <w:rFonts w:ascii="Times New Roman" w:hAnsi="Times New Roman" w:cs="Times New Roman"/>
          <w:sz w:val="24"/>
          <w:szCs w:val="24"/>
          <w:highlight w:val="yellow"/>
          <w:lang w:eastAsia="en-GB"/>
        </w:rPr>
        <w:t xml:space="preserve"> ML, Hernández-Muñoz R. Is Liver Enzyme Release Really Associated with Cell Necrosis Induced by Oxidant Stress? Oxidative Medicine and Cellular Longevity. 2016; 2016: 3529149.</w:t>
      </w:r>
    </w:p>
    <w:p w14:paraId="48155D4E" w14:textId="76A95AD1" w:rsidR="003644C3" w:rsidRDefault="003644C3" w:rsidP="003644C3">
      <w:pPr>
        <w:pStyle w:val="NoSpacing"/>
        <w:spacing w:line="480" w:lineRule="auto"/>
        <w:rPr>
          <w:rFonts w:ascii="Times New Roman" w:hAnsi="Times New Roman" w:cs="Times New Roman"/>
          <w:sz w:val="24"/>
          <w:szCs w:val="24"/>
          <w:highlight w:val="yellow"/>
          <w:lang w:val="en-GB" w:eastAsia="en-GB"/>
        </w:rPr>
      </w:pPr>
    </w:p>
    <w:p w14:paraId="5A0DE9D4" w14:textId="62D0450D" w:rsidR="003644C3" w:rsidRDefault="003644C3" w:rsidP="003644C3">
      <w:pPr>
        <w:pStyle w:val="NoSpacing"/>
        <w:spacing w:line="480" w:lineRule="auto"/>
        <w:rPr>
          <w:rFonts w:ascii="Times New Roman" w:hAnsi="Times New Roman" w:cs="Times New Roman"/>
          <w:sz w:val="24"/>
          <w:szCs w:val="24"/>
          <w:highlight w:val="yellow"/>
          <w:lang w:val="en-GB" w:eastAsia="en-GB"/>
        </w:rPr>
      </w:pPr>
    </w:p>
    <w:p w14:paraId="2AF5710A" w14:textId="77777777" w:rsidR="003644C3" w:rsidRPr="003644C3" w:rsidRDefault="003644C3" w:rsidP="003644C3">
      <w:pPr>
        <w:spacing w:after="0" w:line="480" w:lineRule="auto"/>
        <w:rPr>
          <w:rFonts w:ascii="Times New Roman" w:eastAsia="Aptos" w:hAnsi="Times New Roman" w:cs="Times New Roman"/>
          <w:b/>
          <w:bCs/>
          <w:sz w:val="24"/>
          <w:szCs w:val="24"/>
        </w:rPr>
      </w:pPr>
      <w:r w:rsidRPr="003644C3">
        <w:rPr>
          <w:rFonts w:ascii="Times New Roman" w:eastAsia="Aptos" w:hAnsi="Times New Roman" w:cs="Times New Roman"/>
          <w:b/>
          <w:bCs/>
          <w:sz w:val="24"/>
          <w:szCs w:val="24"/>
        </w:rPr>
        <w:t>TABLES</w:t>
      </w:r>
    </w:p>
    <w:p w14:paraId="24FE571D"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Table 1: Result of ALT, AST and ALP analyses. </w:t>
      </w:r>
    </w:p>
    <w:tbl>
      <w:tblPr>
        <w:tblW w:w="9766" w:type="dxa"/>
        <w:jc w:val="center"/>
        <w:tblBorders>
          <w:top w:val="single" w:sz="4" w:space="0" w:color="auto"/>
          <w:bottom w:val="single" w:sz="4" w:space="0" w:color="auto"/>
        </w:tblBorders>
        <w:tblLook w:val="04A0" w:firstRow="1" w:lastRow="0" w:firstColumn="1" w:lastColumn="0" w:noHBand="0" w:noVBand="1"/>
      </w:tblPr>
      <w:tblGrid>
        <w:gridCol w:w="1529"/>
        <w:gridCol w:w="1736"/>
        <w:gridCol w:w="1055"/>
        <w:gridCol w:w="1682"/>
        <w:gridCol w:w="1098"/>
        <w:gridCol w:w="1610"/>
        <w:gridCol w:w="1056"/>
      </w:tblGrid>
      <w:tr w:rsidR="003644C3" w:rsidRPr="003644C3" w14:paraId="1D2C49F8" w14:textId="77777777" w:rsidTr="003E7464">
        <w:trPr>
          <w:trHeight w:val="413"/>
          <w:jc w:val="center"/>
        </w:trPr>
        <w:tc>
          <w:tcPr>
            <w:tcW w:w="1529" w:type="dxa"/>
            <w:tcBorders>
              <w:top w:val="single" w:sz="4" w:space="0" w:color="auto"/>
              <w:left w:val="nil"/>
              <w:bottom w:val="nil"/>
              <w:right w:val="nil"/>
            </w:tcBorders>
          </w:tcPr>
          <w:p w14:paraId="4C60BC24" w14:textId="77777777" w:rsidR="003644C3" w:rsidRPr="003644C3" w:rsidRDefault="003644C3" w:rsidP="003644C3">
            <w:pPr>
              <w:spacing w:after="0" w:line="480" w:lineRule="auto"/>
              <w:rPr>
                <w:rFonts w:ascii="Times New Roman" w:eastAsia="Aptos" w:hAnsi="Times New Roman" w:cs="Times New Roman"/>
                <w:bCs/>
                <w:sz w:val="24"/>
                <w:szCs w:val="24"/>
              </w:rPr>
            </w:pPr>
          </w:p>
        </w:tc>
        <w:tc>
          <w:tcPr>
            <w:tcW w:w="1736" w:type="dxa"/>
            <w:tcBorders>
              <w:top w:val="single" w:sz="4" w:space="0" w:color="auto"/>
              <w:left w:val="nil"/>
              <w:bottom w:val="nil"/>
              <w:right w:val="nil"/>
            </w:tcBorders>
            <w:hideMark/>
          </w:tcPr>
          <w:p w14:paraId="361E8B4B"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ALT (U/L)</w:t>
            </w:r>
          </w:p>
        </w:tc>
        <w:tc>
          <w:tcPr>
            <w:tcW w:w="1055" w:type="dxa"/>
            <w:tcBorders>
              <w:top w:val="single" w:sz="4" w:space="0" w:color="auto"/>
              <w:left w:val="nil"/>
              <w:bottom w:val="nil"/>
              <w:right w:val="nil"/>
            </w:tcBorders>
            <w:hideMark/>
          </w:tcPr>
          <w:p w14:paraId="4CD28A65"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p-value</w:t>
            </w:r>
          </w:p>
        </w:tc>
        <w:tc>
          <w:tcPr>
            <w:tcW w:w="1682" w:type="dxa"/>
            <w:tcBorders>
              <w:top w:val="single" w:sz="4" w:space="0" w:color="auto"/>
              <w:left w:val="nil"/>
              <w:bottom w:val="nil"/>
              <w:right w:val="nil"/>
            </w:tcBorders>
            <w:hideMark/>
          </w:tcPr>
          <w:p w14:paraId="44142FD7"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AST (U/L)</w:t>
            </w:r>
          </w:p>
        </w:tc>
        <w:tc>
          <w:tcPr>
            <w:tcW w:w="1098" w:type="dxa"/>
            <w:tcBorders>
              <w:top w:val="single" w:sz="4" w:space="0" w:color="auto"/>
              <w:left w:val="nil"/>
              <w:bottom w:val="nil"/>
              <w:right w:val="nil"/>
            </w:tcBorders>
            <w:hideMark/>
          </w:tcPr>
          <w:p w14:paraId="557C1B34"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p-value</w:t>
            </w:r>
          </w:p>
        </w:tc>
        <w:tc>
          <w:tcPr>
            <w:tcW w:w="1610" w:type="dxa"/>
            <w:tcBorders>
              <w:top w:val="single" w:sz="4" w:space="0" w:color="auto"/>
              <w:left w:val="nil"/>
              <w:bottom w:val="nil"/>
              <w:right w:val="nil"/>
            </w:tcBorders>
            <w:hideMark/>
          </w:tcPr>
          <w:p w14:paraId="152C7A67"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ALP (U/L)</w:t>
            </w:r>
          </w:p>
        </w:tc>
        <w:tc>
          <w:tcPr>
            <w:tcW w:w="1056" w:type="dxa"/>
            <w:tcBorders>
              <w:top w:val="single" w:sz="4" w:space="0" w:color="auto"/>
              <w:left w:val="nil"/>
              <w:bottom w:val="nil"/>
              <w:right w:val="nil"/>
            </w:tcBorders>
            <w:hideMark/>
          </w:tcPr>
          <w:p w14:paraId="66607318"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p-value</w:t>
            </w:r>
          </w:p>
        </w:tc>
      </w:tr>
      <w:tr w:rsidR="003644C3" w:rsidRPr="003644C3" w14:paraId="4C885CA7" w14:textId="77777777" w:rsidTr="003E7464">
        <w:trPr>
          <w:trHeight w:val="266"/>
          <w:jc w:val="center"/>
        </w:trPr>
        <w:tc>
          <w:tcPr>
            <w:tcW w:w="1529" w:type="dxa"/>
            <w:tcBorders>
              <w:top w:val="nil"/>
              <w:left w:val="nil"/>
              <w:bottom w:val="single" w:sz="4" w:space="0" w:color="auto"/>
              <w:right w:val="nil"/>
            </w:tcBorders>
          </w:tcPr>
          <w:p w14:paraId="471E784C" w14:textId="77777777" w:rsidR="003644C3" w:rsidRPr="003644C3" w:rsidRDefault="003644C3" w:rsidP="003644C3">
            <w:pPr>
              <w:spacing w:after="0" w:line="480" w:lineRule="auto"/>
              <w:rPr>
                <w:rFonts w:ascii="Times New Roman" w:eastAsia="Aptos" w:hAnsi="Times New Roman" w:cs="Times New Roman"/>
                <w:bCs/>
                <w:sz w:val="24"/>
                <w:szCs w:val="24"/>
              </w:rPr>
            </w:pPr>
          </w:p>
        </w:tc>
        <w:tc>
          <w:tcPr>
            <w:tcW w:w="1736" w:type="dxa"/>
            <w:tcBorders>
              <w:top w:val="nil"/>
              <w:left w:val="nil"/>
              <w:bottom w:val="single" w:sz="4" w:space="0" w:color="auto"/>
              <w:right w:val="nil"/>
            </w:tcBorders>
            <w:hideMark/>
          </w:tcPr>
          <w:p w14:paraId="76F9E734"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MEAN</w:t>
            </w:r>
            <w:r w:rsidRPr="003644C3">
              <w:rPr>
                <w:rFonts w:ascii="Times New Roman" w:eastAsia="Aptos" w:hAnsi="Times New Roman" w:cs="Times New Roman"/>
                <w:b/>
                <w:sz w:val="24"/>
                <w:szCs w:val="24"/>
              </w:rPr>
              <w:sym w:font="Symbol" w:char="F0B1"/>
            </w:r>
            <w:r w:rsidRPr="003644C3">
              <w:rPr>
                <w:rFonts w:ascii="Times New Roman" w:eastAsia="Aptos" w:hAnsi="Times New Roman" w:cs="Times New Roman"/>
                <w:b/>
                <w:sz w:val="24"/>
                <w:szCs w:val="24"/>
              </w:rPr>
              <w:t>SD</w:t>
            </w:r>
          </w:p>
        </w:tc>
        <w:tc>
          <w:tcPr>
            <w:tcW w:w="1055" w:type="dxa"/>
            <w:tcBorders>
              <w:top w:val="nil"/>
              <w:left w:val="nil"/>
              <w:bottom w:val="single" w:sz="4" w:space="0" w:color="auto"/>
              <w:right w:val="nil"/>
            </w:tcBorders>
          </w:tcPr>
          <w:p w14:paraId="6C27AFCC" w14:textId="77777777" w:rsidR="003644C3" w:rsidRPr="003644C3" w:rsidRDefault="003644C3" w:rsidP="003644C3">
            <w:pPr>
              <w:spacing w:after="0" w:line="480" w:lineRule="auto"/>
              <w:jc w:val="center"/>
              <w:rPr>
                <w:rFonts w:ascii="Times New Roman" w:eastAsia="Aptos" w:hAnsi="Times New Roman" w:cs="Times New Roman"/>
                <w:b/>
                <w:sz w:val="24"/>
                <w:szCs w:val="24"/>
              </w:rPr>
            </w:pPr>
          </w:p>
        </w:tc>
        <w:tc>
          <w:tcPr>
            <w:tcW w:w="1682" w:type="dxa"/>
            <w:tcBorders>
              <w:top w:val="nil"/>
              <w:left w:val="nil"/>
              <w:bottom w:val="single" w:sz="4" w:space="0" w:color="auto"/>
              <w:right w:val="nil"/>
            </w:tcBorders>
            <w:hideMark/>
          </w:tcPr>
          <w:p w14:paraId="49901354"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MEAN</w:t>
            </w:r>
            <w:r w:rsidRPr="003644C3">
              <w:rPr>
                <w:rFonts w:ascii="Times New Roman" w:eastAsia="Aptos" w:hAnsi="Times New Roman" w:cs="Times New Roman"/>
                <w:b/>
                <w:sz w:val="24"/>
                <w:szCs w:val="24"/>
              </w:rPr>
              <w:sym w:font="Symbol" w:char="F0B1"/>
            </w:r>
            <w:r w:rsidRPr="003644C3">
              <w:rPr>
                <w:rFonts w:ascii="Times New Roman" w:eastAsia="Aptos" w:hAnsi="Times New Roman" w:cs="Times New Roman"/>
                <w:b/>
                <w:sz w:val="24"/>
                <w:szCs w:val="24"/>
              </w:rPr>
              <w:t>SD</w:t>
            </w:r>
          </w:p>
        </w:tc>
        <w:tc>
          <w:tcPr>
            <w:tcW w:w="1098" w:type="dxa"/>
            <w:tcBorders>
              <w:top w:val="nil"/>
              <w:left w:val="nil"/>
              <w:bottom w:val="single" w:sz="4" w:space="0" w:color="auto"/>
              <w:right w:val="nil"/>
            </w:tcBorders>
          </w:tcPr>
          <w:p w14:paraId="37425ED9" w14:textId="77777777" w:rsidR="003644C3" w:rsidRPr="003644C3" w:rsidRDefault="003644C3" w:rsidP="003644C3">
            <w:pPr>
              <w:spacing w:after="0" w:line="480" w:lineRule="auto"/>
              <w:jc w:val="center"/>
              <w:rPr>
                <w:rFonts w:ascii="Times New Roman" w:eastAsia="Aptos" w:hAnsi="Times New Roman" w:cs="Times New Roman"/>
                <w:b/>
                <w:sz w:val="24"/>
                <w:szCs w:val="24"/>
              </w:rPr>
            </w:pPr>
          </w:p>
        </w:tc>
        <w:tc>
          <w:tcPr>
            <w:tcW w:w="1610" w:type="dxa"/>
            <w:tcBorders>
              <w:top w:val="nil"/>
              <w:left w:val="nil"/>
              <w:bottom w:val="single" w:sz="4" w:space="0" w:color="auto"/>
              <w:right w:val="nil"/>
            </w:tcBorders>
            <w:hideMark/>
          </w:tcPr>
          <w:p w14:paraId="083D82CD" w14:textId="77777777" w:rsidR="003644C3" w:rsidRPr="003644C3" w:rsidRDefault="003644C3" w:rsidP="003644C3">
            <w:pPr>
              <w:spacing w:after="0" w:line="480" w:lineRule="auto"/>
              <w:jc w:val="center"/>
              <w:rPr>
                <w:rFonts w:ascii="Times New Roman" w:eastAsia="Aptos" w:hAnsi="Times New Roman" w:cs="Times New Roman"/>
                <w:b/>
                <w:sz w:val="24"/>
                <w:szCs w:val="24"/>
              </w:rPr>
            </w:pPr>
            <w:r w:rsidRPr="003644C3">
              <w:rPr>
                <w:rFonts w:ascii="Times New Roman" w:eastAsia="Aptos" w:hAnsi="Times New Roman" w:cs="Times New Roman"/>
                <w:b/>
                <w:sz w:val="24"/>
                <w:szCs w:val="24"/>
              </w:rPr>
              <w:t>MEAN</w:t>
            </w:r>
            <w:r w:rsidRPr="003644C3">
              <w:rPr>
                <w:rFonts w:ascii="Times New Roman" w:eastAsia="Aptos" w:hAnsi="Times New Roman" w:cs="Times New Roman"/>
                <w:b/>
                <w:sz w:val="24"/>
                <w:szCs w:val="24"/>
              </w:rPr>
              <w:sym w:font="Symbol" w:char="F0B1"/>
            </w:r>
            <w:r w:rsidRPr="003644C3">
              <w:rPr>
                <w:rFonts w:ascii="Times New Roman" w:eastAsia="Aptos" w:hAnsi="Times New Roman" w:cs="Times New Roman"/>
                <w:b/>
                <w:sz w:val="24"/>
                <w:szCs w:val="24"/>
              </w:rPr>
              <w:t>SD</w:t>
            </w:r>
          </w:p>
        </w:tc>
        <w:tc>
          <w:tcPr>
            <w:tcW w:w="1056" w:type="dxa"/>
            <w:tcBorders>
              <w:top w:val="nil"/>
              <w:left w:val="nil"/>
              <w:bottom w:val="single" w:sz="4" w:space="0" w:color="auto"/>
              <w:right w:val="nil"/>
            </w:tcBorders>
          </w:tcPr>
          <w:p w14:paraId="3ACFAF64" w14:textId="77777777" w:rsidR="003644C3" w:rsidRPr="003644C3" w:rsidRDefault="003644C3" w:rsidP="003644C3">
            <w:pPr>
              <w:spacing w:after="0" w:line="480" w:lineRule="auto"/>
              <w:jc w:val="center"/>
              <w:rPr>
                <w:rFonts w:ascii="Times New Roman" w:eastAsia="Aptos" w:hAnsi="Times New Roman" w:cs="Times New Roman"/>
                <w:b/>
                <w:sz w:val="24"/>
                <w:szCs w:val="24"/>
              </w:rPr>
            </w:pPr>
          </w:p>
        </w:tc>
      </w:tr>
      <w:tr w:rsidR="003644C3" w:rsidRPr="003644C3" w14:paraId="7318F158" w14:textId="77777777" w:rsidTr="003E7464">
        <w:trPr>
          <w:trHeight w:val="564"/>
          <w:jc w:val="center"/>
        </w:trPr>
        <w:tc>
          <w:tcPr>
            <w:tcW w:w="1529" w:type="dxa"/>
            <w:tcBorders>
              <w:top w:val="single" w:sz="4" w:space="0" w:color="auto"/>
              <w:left w:val="nil"/>
              <w:bottom w:val="nil"/>
              <w:right w:val="nil"/>
            </w:tcBorders>
            <w:hideMark/>
          </w:tcPr>
          <w:p w14:paraId="26575DE4"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Group A</w:t>
            </w:r>
          </w:p>
        </w:tc>
        <w:tc>
          <w:tcPr>
            <w:tcW w:w="1736" w:type="dxa"/>
            <w:tcBorders>
              <w:top w:val="single" w:sz="4" w:space="0" w:color="auto"/>
              <w:left w:val="nil"/>
              <w:bottom w:val="nil"/>
              <w:right w:val="nil"/>
            </w:tcBorders>
            <w:hideMark/>
          </w:tcPr>
          <w:p w14:paraId="00B9CAE6"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27.00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1.00</w:t>
            </w:r>
          </w:p>
        </w:tc>
        <w:tc>
          <w:tcPr>
            <w:tcW w:w="1055" w:type="dxa"/>
            <w:tcBorders>
              <w:top w:val="single" w:sz="4" w:space="0" w:color="auto"/>
              <w:left w:val="nil"/>
              <w:bottom w:val="nil"/>
              <w:right w:val="nil"/>
            </w:tcBorders>
          </w:tcPr>
          <w:p w14:paraId="72A98F93"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c>
          <w:tcPr>
            <w:tcW w:w="1682" w:type="dxa"/>
            <w:tcBorders>
              <w:top w:val="single" w:sz="4" w:space="0" w:color="auto"/>
              <w:left w:val="nil"/>
              <w:bottom w:val="nil"/>
              <w:right w:val="nil"/>
            </w:tcBorders>
            <w:hideMark/>
          </w:tcPr>
          <w:p w14:paraId="6DF5F92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21.00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2.64</w:t>
            </w:r>
          </w:p>
        </w:tc>
        <w:tc>
          <w:tcPr>
            <w:tcW w:w="1098" w:type="dxa"/>
            <w:tcBorders>
              <w:top w:val="single" w:sz="4" w:space="0" w:color="auto"/>
              <w:left w:val="nil"/>
              <w:bottom w:val="nil"/>
              <w:right w:val="nil"/>
            </w:tcBorders>
          </w:tcPr>
          <w:p w14:paraId="10654BFB"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c>
          <w:tcPr>
            <w:tcW w:w="1610" w:type="dxa"/>
            <w:tcBorders>
              <w:top w:val="single" w:sz="4" w:space="0" w:color="auto"/>
              <w:left w:val="nil"/>
              <w:bottom w:val="nil"/>
              <w:right w:val="nil"/>
            </w:tcBorders>
            <w:hideMark/>
          </w:tcPr>
          <w:p w14:paraId="19208FD0"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97.02</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1.64</w:t>
            </w:r>
          </w:p>
        </w:tc>
        <w:tc>
          <w:tcPr>
            <w:tcW w:w="1056" w:type="dxa"/>
            <w:tcBorders>
              <w:top w:val="single" w:sz="4" w:space="0" w:color="auto"/>
              <w:left w:val="nil"/>
              <w:bottom w:val="nil"/>
              <w:right w:val="nil"/>
            </w:tcBorders>
          </w:tcPr>
          <w:p w14:paraId="1139D7D0"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r>
      <w:tr w:rsidR="003644C3" w:rsidRPr="003644C3" w14:paraId="00886316" w14:textId="77777777" w:rsidTr="003E7464">
        <w:trPr>
          <w:trHeight w:val="579"/>
          <w:jc w:val="center"/>
        </w:trPr>
        <w:tc>
          <w:tcPr>
            <w:tcW w:w="1529" w:type="dxa"/>
            <w:tcBorders>
              <w:top w:val="nil"/>
              <w:left w:val="nil"/>
              <w:bottom w:val="nil"/>
              <w:right w:val="nil"/>
            </w:tcBorders>
            <w:hideMark/>
          </w:tcPr>
          <w:p w14:paraId="1EEFB24F"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B </w:t>
            </w:r>
          </w:p>
        </w:tc>
        <w:tc>
          <w:tcPr>
            <w:tcW w:w="1736" w:type="dxa"/>
            <w:tcBorders>
              <w:top w:val="nil"/>
              <w:left w:val="nil"/>
              <w:bottom w:val="nil"/>
              <w:right w:val="nil"/>
            </w:tcBorders>
            <w:hideMark/>
          </w:tcPr>
          <w:p w14:paraId="6C98458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30.33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1.52</w:t>
            </w:r>
          </w:p>
        </w:tc>
        <w:tc>
          <w:tcPr>
            <w:tcW w:w="1055" w:type="dxa"/>
            <w:tcBorders>
              <w:top w:val="nil"/>
              <w:left w:val="nil"/>
              <w:bottom w:val="nil"/>
              <w:right w:val="nil"/>
            </w:tcBorders>
            <w:hideMark/>
          </w:tcPr>
          <w:p w14:paraId="28B1560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0.113</w:t>
            </w:r>
            <w:r w:rsidRPr="003644C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363DB3F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22.33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3.06</w:t>
            </w:r>
          </w:p>
        </w:tc>
        <w:tc>
          <w:tcPr>
            <w:tcW w:w="1098" w:type="dxa"/>
            <w:tcBorders>
              <w:top w:val="nil"/>
              <w:left w:val="nil"/>
              <w:bottom w:val="nil"/>
              <w:right w:val="nil"/>
            </w:tcBorders>
            <w:hideMark/>
          </w:tcPr>
          <w:p w14:paraId="782ED742"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0.460</w:t>
            </w:r>
            <w:r w:rsidRPr="003644C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380503D3"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105.47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2.16</w:t>
            </w:r>
          </w:p>
        </w:tc>
        <w:tc>
          <w:tcPr>
            <w:tcW w:w="1056" w:type="dxa"/>
            <w:tcBorders>
              <w:top w:val="nil"/>
              <w:left w:val="nil"/>
              <w:bottom w:val="nil"/>
              <w:right w:val="nil"/>
            </w:tcBorders>
            <w:hideMark/>
          </w:tcPr>
          <w:p w14:paraId="33709171"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0.094</w:t>
            </w:r>
            <w:r w:rsidRPr="003644C3">
              <w:rPr>
                <w:rFonts w:ascii="Times New Roman" w:eastAsia="Aptos" w:hAnsi="Times New Roman" w:cs="Times New Roman"/>
                <w:bCs/>
                <w:sz w:val="24"/>
                <w:szCs w:val="24"/>
                <w:vertAlign w:val="superscript"/>
              </w:rPr>
              <w:t xml:space="preserve"> a</w:t>
            </w:r>
          </w:p>
        </w:tc>
      </w:tr>
      <w:tr w:rsidR="003644C3" w:rsidRPr="003644C3" w14:paraId="09258363" w14:textId="77777777" w:rsidTr="003E7464">
        <w:trPr>
          <w:trHeight w:val="564"/>
          <w:jc w:val="center"/>
        </w:trPr>
        <w:tc>
          <w:tcPr>
            <w:tcW w:w="1529" w:type="dxa"/>
            <w:tcBorders>
              <w:top w:val="nil"/>
              <w:left w:val="nil"/>
              <w:bottom w:val="nil"/>
              <w:right w:val="nil"/>
            </w:tcBorders>
            <w:hideMark/>
          </w:tcPr>
          <w:p w14:paraId="0B4DFDF7"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C </w:t>
            </w:r>
          </w:p>
        </w:tc>
        <w:tc>
          <w:tcPr>
            <w:tcW w:w="1736" w:type="dxa"/>
            <w:tcBorders>
              <w:top w:val="nil"/>
              <w:left w:val="nil"/>
              <w:bottom w:val="nil"/>
              <w:right w:val="nil"/>
            </w:tcBorders>
            <w:hideMark/>
          </w:tcPr>
          <w:p w14:paraId="4A149E5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29.33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1.52</w:t>
            </w:r>
          </w:p>
        </w:tc>
        <w:tc>
          <w:tcPr>
            <w:tcW w:w="1055" w:type="dxa"/>
            <w:tcBorders>
              <w:top w:val="nil"/>
              <w:left w:val="nil"/>
              <w:bottom w:val="nil"/>
              <w:right w:val="nil"/>
            </w:tcBorders>
            <w:hideMark/>
          </w:tcPr>
          <w:p w14:paraId="140B11AA"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0.260</w:t>
            </w:r>
            <w:r w:rsidRPr="003644C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07B15C6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25.67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1.52</w:t>
            </w:r>
          </w:p>
        </w:tc>
        <w:tc>
          <w:tcPr>
            <w:tcW w:w="1098" w:type="dxa"/>
            <w:tcBorders>
              <w:top w:val="nil"/>
              <w:left w:val="nil"/>
              <w:bottom w:val="nil"/>
              <w:right w:val="nil"/>
            </w:tcBorders>
            <w:hideMark/>
          </w:tcPr>
          <w:p w14:paraId="3A32DDB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0.016</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4C70B0D0"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106.01</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2.41</w:t>
            </w:r>
          </w:p>
        </w:tc>
        <w:tc>
          <w:tcPr>
            <w:tcW w:w="1056" w:type="dxa"/>
            <w:tcBorders>
              <w:top w:val="nil"/>
              <w:left w:val="nil"/>
              <w:bottom w:val="nil"/>
              <w:right w:val="nil"/>
            </w:tcBorders>
            <w:hideMark/>
          </w:tcPr>
          <w:p w14:paraId="1A3BF4A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0.076</w:t>
            </w:r>
            <w:r w:rsidRPr="003644C3">
              <w:rPr>
                <w:rFonts w:ascii="Times New Roman" w:eastAsia="Aptos" w:hAnsi="Times New Roman" w:cs="Times New Roman"/>
                <w:bCs/>
                <w:sz w:val="24"/>
                <w:szCs w:val="24"/>
                <w:vertAlign w:val="superscript"/>
              </w:rPr>
              <w:t xml:space="preserve"> a</w:t>
            </w:r>
          </w:p>
        </w:tc>
      </w:tr>
      <w:tr w:rsidR="003644C3" w:rsidRPr="003644C3" w14:paraId="4F96796F" w14:textId="77777777" w:rsidTr="003E7464">
        <w:trPr>
          <w:trHeight w:val="579"/>
          <w:jc w:val="center"/>
        </w:trPr>
        <w:tc>
          <w:tcPr>
            <w:tcW w:w="1529" w:type="dxa"/>
            <w:tcBorders>
              <w:top w:val="nil"/>
              <w:left w:val="nil"/>
              <w:bottom w:val="nil"/>
              <w:right w:val="nil"/>
            </w:tcBorders>
            <w:hideMark/>
          </w:tcPr>
          <w:p w14:paraId="7F2E22D6"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D </w:t>
            </w:r>
          </w:p>
        </w:tc>
        <w:tc>
          <w:tcPr>
            <w:tcW w:w="1736" w:type="dxa"/>
            <w:tcBorders>
              <w:top w:val="nil"/>
              <w:left w:val="nil"/>
              <w:bottom w:val="nil"/>
              <w:right w:val="nil"/>
            </w:tcBorders>
            <w:hideMark/>
          </w:tcPr>
          <w:p w14:paraId="27FB5C96"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32.33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3.05</w:t>
            </w:r>
          </w:p>
        </w:tc>
        <w:tc>
          <w:tcPr>
            <w:tcW w:w="1055" w:type="dxa"/>
            <w:tcBorders>
              <w:top w:val="nil"/>
              <w:left w:val="nil"/>
              <w:bottom w:val="nil"/>
              <w:right w:val="nil"/>
            </w:tcBorders>
            <w:hideMark/>
          </w:tcPr>
          <w:p w14:paraId="711BAF3F"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0.015</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4E1EEC0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18.67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1.52</w:t>
            </w:r>
          </w:p>
        </w:tc>
        <w:tc>
          <w:tcPr>
            <w:tcW w:w="1098" w:type="dxa"/>
            <w:tcBorders>
              <w:top w:val="nil"/>
              <w:left w:val="nil"/>
              <w:bottom w:val="nil"/>
              <w:right w:val="nil"/>
            </w:tcBorders>
            <w:hideMark/>
          </w:tcPr>
          <w:p w14:paraId="135201B2"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0.202</w:t>
            </w:r>
            <w:r w:rsidRPr="003644C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4C17B6C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109.64</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3.23</w:t>
            </w:r>
          </w:p>
        </w:tc>
        <w:tc>
          <w:tcPr>
            <w:tcW w:w="1056" w:type="dxa"/>
            <w:tcBorders>
              <w:top w:val="nil"/>
              <w:left w:val="nil"/>
              <w:bottom w:val="nil"/>
              <w:right w:val="nil"/>
            </w:tcBorders>
            <w:hideMark/>
          </w:tcPr>
          <w:p w14:paraId="44CB8AB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0.016</w:t>
            </w:r>
            <w:r w:rsidRPr="003644C3">
              <w:rPr>
                <w:rFonts w:ascii="Times New Roman" w:eastAsia="Aptos" w:hAnsi="Times New Roman" w:cs="Times New Roman"/>
                <w:bCs/>
                <w:sz w:val="24"/>
                <w:szCs w:val="24"/>
                <w:vertAlign w:val="superscript"/>
              </w:rPr>
              <w:t>#</w:t>
            </w:r>
          </w:p>
        </w:tc>
      </w:tr>
      <w:tr w:rsidR="003644C3" w:rsidRPr="003644C3" w14:paraId="0E82E6F9" w14:textId="77777777" w:rsidTr="003E7464">
        <w:trPr>
          <w:trHeight w:val="564"/>
          <w:jc w:val="center"/>
        </w:trPr>
        <w:tc>
          <w:tcPr>
            <w:tcW w:w="1529" w:type="dxa"/>
            <w:tcBorders>
              <w:top w:val="nil"/>
              <w:left w:val="nil"/>
              <w:bottom w:val="nil"/>
              <w:right w:val="nil"/>
            </w:tcBorders>
            <w:hideMark/>
          </w:tcPr>
          <w:p w14:paraId="5ABD6C11"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E </w:t>
            </w:r>
          </w:p>
        </w:tc>
        <w:tc>
          <w:tcPr>
            <w:tcW w:w="1736" w:type="dxa"/>
            <w:tcBorders>
              <w:top w:val="nil"/>
              <w:left w:val="nil"/>
              <w:bottom w:val="nil"/>
              <w:right w:val="nil"/>
            </w:tcBorders>
            <w:hideMark/>
          </w:tcPr>
          <w:p w14:paraId="2FE7B2BA"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32.67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3.21</w:t>
            </w:r>
          </w:p>
        </w:tc>
        <w:tc>
          <w:tcPr>
            <w:tcW w:w="1055" w:type="dxa"/>
            <w:tcBorders>
              <w:top w:val="nil"/>
              <w:left w:val="nil"/>
              <w:bottom w:val="nil"/>
              <w:right w:val="nil"/>
            </w:tcBorders>
            <w:hideMark/>
          </w:tcPr>
          <w:p w14:paraId="66C0484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0.011</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79A1F3A1"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16.00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1.00</w:t>
            </w:r>
          </w:p>
        </w:tc>
        <w:tc>
          <w:tcPr>
            <w:tcW w:w="1098" w:type="dxa"/>
            <w:tcBorders>
              <w:top w:val="nil"/>
              <w:left w:val="nil"/>
              <w:bottom w:val="nil"/>
              <w:right w:val="nil"/>
            </w:tcBorders>
            <w:hideMark/>
          </w:tcPr>
          <w:p w14:paraId="550C62E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0.010</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573ACB53"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108.00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2.00</w:t>
            </w:r>
          </w:p>
        </w:tc>
        <w:tc>
          <w:tcPr>
            <w:tcW w:w="1056" w:type="dxa"/>
            <w:tcBorders>
              <w:top w:val="nil"/>
              <w:left w:val="nil"/>
              <w:bottom w:val="nil"/>
              <w:right w:val="nil"/>
            </w:tcBorders>
            <w:hideMark/>
          </w:tcPr>
          <w:p w14:paraId="05970AB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0.033</w:t>
            </w:r>
            <w:r w:rsidRPr="003644C3">
              <w:rPr>
                <w:rFonts w:ascii="Times New Roman" w:eastAsia="Aptos" w:hAnsi="Times New Roman" w:cs="Times New Roman"/>
                <w:bCs/>
                <w:sz w:val="24"/>
                <w:szCs w:val="24"/>
                <w:vertAlign w:val="superscript"/>
              </w:rPr>
              <w:t>#</w:t>
            </w:r>
          </w:p>
        </w:tc>
      </w:tr>
      <w:tr w:rsidR="003644C3" w:rsidRPr="003644C3" w14:paraId="01AA37D7" w14:textId="77777777" w:rsidTr="003E7464">
        <w:trPr>
          <w:trHeight w:val="579"/>
          <w:jc w:val="center"/>
        </w:trPr>
        <w:tc>
          <w:tcPr>
            <w:tcW w:w="1529" w:type="dxa"/>
            <w:tcBorders>
              <w:top w:val="nil"/>
              <w:left w:val="nil"/>
              <w:bottom w:val="nil"/>
              <w:right w:val="nil"/>
            </w:tcBorders>
            <w:hideMark/>
          </w:tcPr>
          <w:p w14:paraId="4EE3A5CA"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lastRenderedPageBreak/>
              <w:t xml:space="preserve">Group F </w:t>
            </w:r>
          </w:p>
        </w:tc>
        <w:tc>
          <w:tcPr>
            <w:tcW w:w="1736" w:type="dxa"/>
            <w:tcBorders>
              <w:top w:val="nil"/>
              <w:left w:val="nil"/>
              <w:bottom w:val="nil"/>
              <w:right w:val="nil"/>
            </w:tcBorders>
            <w:hideMark/>
          </w:tcPr>
          <w:p w14:paraId="0E5C0D3A"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30.00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1.73</w:t>
            </w:r>
          </w:p>
        </w:tc>
        <w:tc>
          <w:tcPr>
            <w:tcW w:w="1055" w:type="dxa"/>
            <w:tcBorders>
              <w:top w:val="nil"/>
              <w:left w:val="nil"/>
              <w:bottom w:val="nil"/>
              <w:right w:val="nil"/>
            </w:tcBorders>
            <w:hideMark/>
          </w:tcPr>
          <w:p w14:paraId="7C74318C"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0.151</w:t>
            </w:r>
            <w:r w:rsidRPr="003644C3">
              <w:rPr>
                <w:rFonts w:ascii="Times New Roman" w:eastAsia="Aptos" w:hAnsi="Times New Roman" w:cs="Times New Roman"/>
                <w:bCs/>
                <w:sz w:val="24"/>
                <w:szCs w:val="24"/>
                <w:vertAlign w:val="superscript"/>
              </w:rPr>
              <w:t xml:space="preserve"> a</w:t>
            </w:r>
          </w:p>
        </w:tc>
        <w:tc>
          <w:tcPr>
            <w:tcW w:w="1682" w:type="dxa"/>
            <w:tcBorders>
              <w:top w:val="nil"/>
              <w:left w:val="nil"/>
              <w:bottom w:val="nil"/>
              <w:right w:val="nil"/>
            </w:tcBorders>
            <w:hideMark/>
          </w:tcPr>
          <w:p w14:paraId="109DD301"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18.00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1.00</w:t>
            </w:r>
          </w:p>
        </w:tc>
        <w:tc>
          <w:tcPr>
            <w:tcW w:w="1098" w:type="dxa"/>
            <w:tcBorders>
              <w:top w:val="nil"/>
              <w:left w:val="nil"/>
              <w:bottom w:val="nil"/>
              <w:right w:val="nil"/>
            </w:tcBorders>
            <w:hideMark/>
          </w:tcPr>
          <w:p w14:paraId="11B48CA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0.106</w:t>
            </w:r>
            <w:r w:rsidRPr="003644C3">
              <w:rPr>
                <w:rFonts w:ascii="Times New Roman" w:eastAsia="Aptos" w:hAnsi="Times New Roman" w:cs="Times New Roman"/>
                <w:bCs/>
                <w:sz w:val="24"/>
                <w:szCs w:val="24"/>
                <w:vertAlign w:val="superscript"/>
              </w:rPr>
              <w:t xml:space="preserve"> a</w:t>
            </w:r>
          </w:p>
        </w:tc>
        <w:tc>
          <w:tcPr>
            <w:tcW w:w="1610" w:type="dxa"/>
            <w:tcBorders>
              <w:top w:val="nil"/>
              <w:left w:val="nil"/>
              <w:bottom w:val="nil"/>
              <w:right w:val="nil"/>
            </w:tcBorders>
            <w:hideMark/>
          </w:tcPr>
          <w:p w14:paraId="5685B55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108.33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1.85</w:t>
            </w:r>
          </w:p>
        </w:tc>
        <w:tc>
          <w:tcPr>
            <w:tcW w:w="1056" w:type="dxa"/>
            <w:tcBorders>
              <w:top w:val="nil"/>
              <w:left w:val="nil"/>
              <w:bottom w:val="nil"/>
              <w:right w:val="nil"/>
            </w:tcBorders>
            <w:hideMark/>
          </w:tcPr>
          <w:p w14:paraId="628ACB6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0.029</w:t>
            </w:r>
            <w:r w:rsidRPr="003644C3">
              <w:rPr>
                <w:rFonts w:ascii="Times New Roman" w:eastAsia="Aptos" w:hAnsi="Times New Roman" w:cs="Times New Roman"/>
                <w:bCs/>
                <w:sz w:val="24"/>
                <w:szCs w:val="24"/>
                <w:vertAlign w:val="superscript"/>
              </w:rPr>
              <w:t>#</w:t>
            </w:r>
          </w:p>
        </w:tc>
      </w:tr>
      <w:tr w:rsidR="003644C3" w:rsidRPr="003644C3" w14:paraId="49D5E725" w14:textId="77777777" w:rsidTr="003E7464">
        <w:trPr>
          <w:trHeight w:val="564"/>
          <w:jc w:val="center"/>
        </w:trPr>
        <w:tc>
          <w:tcPr>
            <w:tcW w:w="1529" w:type="dxa"/>
            <w:tcBorders>
              <w:top w:val="nil"/>
              <w:left w:val="nil"/>
              <w:bottom w:val="nil"/>
              <w:right w:val="nil"/>
            </w:tcBorders>
            <w:hideMark/>
          </w:tcPr>
          <w:p w14:paraId="7A2CEB86"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G </w:t>
            </w:r>
          </w:p>
        </w:tc>
        <w:tc>
          <w:tcPr>
            <w:tcW w:w="1736" w:type="dxa"/>
            <w:tcBorders>
              <w:top w:val="nil"/>
              <w:left w:val="nil"/>
              <w:bottom w:val="nil"/>
              <w:right w:val="nil"/>
            </w:tcBorders>
            <w:hideMark/>
          </w:tcPr>
          <w:p w14:paraId="28546B4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34.33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2.08</w:t>
            </w:r>
          </w:p>
        </w:tc>
        <w:tc>
          <w:tcPr>
            <w:tcW w:w="1055" w:type="dxa"/>
            <w:tcBorders>
              <w:top w:val="nil"/>
              <w:left w:val="nil"/>
              <w:bottom w:val="nil"/>
              <w:right w:val="nil"/>
            </w:tcBorders>
            <w:hideMark/>
          </w:tcPr>
          <w:p w14:paraId="49A3F12F"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0.002</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31687DFA"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32.67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2.51</w:t>
            </w:r>
          </w:p>
        </w:tc>
        <w:tc>
          <w:tcPr>
            <w:tcW w:w="1098" w:type="dxa"/>
            <w:tcBorders>
              <w:top w:val="nil"/>
              <w:left w:val="nil"/>
              <w:bottom w:val="nil"/>
              <w:right w:val="nil"/>
            </w:tcBorders>
            <w:hideMark/>
          </w:tcPr>
          <w:p w14:paraId="10B5BADD"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0.000</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26CE5800"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119.52</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1.84</w:t>
            </w:r>
          </w:p>
        </w:tc>
        <w:tc>
          <w:tcPr>
            <w:tcW w:w="1056" w:type="dxa"/>
            <w:tcBorders>
              <w:top w:val="nil"/>
              <w:left w:val="nil"/>
              <w:bottom w:val="nil"/>
              <w:right w:val="nil"/>
            </w:tcBorders>
            <w:hideMark/>
          </w:tcPr>
          <w:p w14:paraId="5512B5D1"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0.000</w:t>
            </w:r>
            <w:r w:rsidRPr="003644C3">
              <w:rPr>
                <w:rFonts w:ascii="Times New Roman" w:eastAsia="Aptos" w:hAnsi="Times New Roman" w:cs="Times New Roman"/>
                <w:bCs/>
                <w:sz w:val="24"/>
                <w:szCs w:val="24"/>
                <w:vertAlign w:val="superscript"/>
              </w:rPr>
              <w:t>#</w:t>
            </w:r>
          </w:p>
        </w:tc>
      </w:tr>
      <w:tr w:rsidR="003644C3" w:rsidRPr="003644C3" w14:paraId="4646B8DA" w14:textId="77777777" w:rsidTr="003E7464">
        <w:trPr>
          <w:trHeight w:val="503"/>
          <w:jc w:val="center"/>
        </w:trPr>
        <w:tc>
          <w:tcPr>
            <w:tcW w:w="1529" w:type="dxa"/>
            <w:tcBorders>
              <w:top w:val="nil"/>
              <w:left w:val="nil"/>
              <w:bottom w:val="nil"/>
              <w:right w:val="nil"/>
            </w:tcBorders>
            <w:hideMark/>
          </w:tcPr>
          <w:p w14:paraId="2E115693"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H </w:t>
            </w:r>
          </w:p>
        </w:tc>
        <w:tc>
          <w:tcPr>
            <w:tcW w:w="1736" w:type="dxa"/>
            <w:tcBorders>
              <w:top w:val="nil"/>
              <w:left w:val="nil"/>
              <w:bottom w:val="nil"/>
              <w:right w:val="nil"/>
            </w:tcBorders>
            <w:hideMark/>
          </w:tcPr>
          <w:p w14:paraId="6A3320F6"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31.67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2.31</w:t>
            </w:r>
          </w:p>
        </w:tc>
        <w:tc>
          <w:tcPr>
            <w:tcW w:w="1055" w:type="dxa"/>
            <w:tcBorders>
              <w:top w:val="nil"/>
              <w:left w:val="nil"/>
              <w:bottom w:val="nil"/>
              <w:right w:val="nil"/>
            </w:tcBorders>
            <w:hideMark/>
          </w:tcPr>
          <w:p w14:paraId="46847C3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0.031</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639E5E0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16.33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2.08</w:t>
            </w:r>
          </w:p>
        </w:tc>
        <w:tc>
          <w:tcPr>
            <w:tcW w:w="1098" w:type="dxa"/>
            <w:tcBorders>
              <w:top w:val="nil"/>
              <w:left w:val="nil"/>
              <w:bottom w:val="nil"/>
              <w:right w:val="nil"/>
            </w:tcBorders>
            <w:hideMark/>
          </w:tcPr>
          <w:p w14:paraId="4D8A7C7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0.016</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54D61BCD"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99.00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2.64</w:t>
            </w:r>
          </w:p>
        </w:tc>
        <w:tc>
          <w:tcPr>
            <w:tcW w:w="1056" w:type="dxa"/>
            <w:tcBorders>
              <w:top w:val="nil"/>
              <w:left w:val="nil"/>
              <w:bottom w:val="nil"/>
              <w:right w:val="nil"/>
            </w:tcBorders>
            <w:hideMark/>
          </w:tcPr>
          <w:p w14:paraId="34F56C41"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0.685</w:t>
            </w:r>
            <w:r w:rsidRPr="003644C3">
              <w:rPr>
                <w:rFonts w:ascii="Times New Roman" w:eastAsia="Aptos" w:hAnsi="Times New Roman" w:cs="Times New Roman"/>
                <w:bCs/>
                <w:sz w:val="24"/>
                <w:szCs w:val="24"/>
                <w:vertAlign w:val="superscript"/>
              </w:rPr>
              <w:t xml:space="preserve"> a</w:t>
            </w:r>
          </w:p>
        </w:tc>
      </w:tr>
      <w:tr w:rsidR="003644C3" w:rsidRPr="003644C3" w14:paraId="2980F626" w14:textId="77777777" w:rsidTr="003E7464">
        <w:trPr>
          <w:trHeight w:val="449"/>
          <w:jc w:val="center"/>
        </w:trPr>
        <w:tc>
          <w:tcPr>
            <w:tcW w:w="1529" w:type="dxa"/>
            <w:tcBorders>
              <w:top w:val="nil"/>
              <w:left w:val="nil"/>
              <w:bottom w:val="nil"/>
              <w:right w:val="nil"/>
            </w:tcBorders>
            <w:hideMark/>
          </w:tcPr>
          <w:p w14:paraId="222E68BA"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I </w:t>
            </w:r>
          </w:p>
        </w:tc>
        <w:tc>
          <w:tcPr>
            <w:tcW w:w="1736" w:type="dxa"/>
            <w:tcBorders>
              <w:top w:val="nil"/>
              <w:left w:val="nil"/>
              <w:bottom w:val="nil"/>
              <w:right w:val="nil"/>
            </w:tcBorders>
            <w:hideMark/>
          </w:tcPr>
          <w:p w14:paraId="69745FC4"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31.33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3.21</w:t>
            </w:r>
          </w:p>
        </w:tc>
        <w:tc>
          <w:tcPr>
            <w:tcW w:w="1055" w:type="dxa"/>
            <w:tcBorders>
              <w:top w:val="nil"/>
              <w:left w:val="nil"/>
              <w:bottom w:val="nil"/>
              <w:right w:val="nil"/>
            </w:tcBorders>
            <w:hideMark/>
          </w:tcPr>
          <w:p w14:paraId="308AC4E3"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0.044</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56AFF468"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34.00</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3.61</w:t>
            </w:r>
          </w:p>
        </w:tc>
        <w:tc>
          <w:tcPr>
            <w:tcW w:w="1098" w:type="dxa"/>
            <w:tcBorders>
              <w:top w:val="nil"/>
              <w:left w:val="nil"/>
              <w:bottom w:val="nil"/>
              <w:right w:val="nil"/>
            </w:tcBorders>
            <w:hideMark/>
          </w:tcPr>
          <w:p w14:paraId="37401F9C"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0.000</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320977B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122.16</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14.36</w:t>
            </w:r>
          </w:p>
        </w:tc>
        <w:tc>
          <w:tcPr>
            <w:tcW w:w="1056" w:type="dxa"/>
            <w:tcBorders>
              <w:top w:val="nil"/>
              <w:left w:val="nil"/>
              <w:bottom w:val="nil"/>
              <w:right w:val="nil"/>
            </w:tcBorders>
            <w:hideMark/>
          </w:tcPr>
          <w:p w14:paraId="3043863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0.000</w:t>
            </w:r>
            <w:r w:rsidRPr="003644C3">
              <w:rPr>
                <w:rFonts w:ascii="Times New Roman" w:eastAsia="Aptos" w:hAnsi="Times New Roman" w:cs="Times New Roman"/>
                <w:bCs/>
                <w:sz w:val="24"/>
                <w:szCs w:val="24"/>
                <w:vertAlign w:val="superscript"/>
              </w:rPr>
              <w:t>#</w:t>
            </w:r>
          </w:p>
        </w:tc>
      </w:tr>
      <w:tr w:rsidR="003644C3" w:rsidRPr="003644C3" w14:paraId="45015918" w14:textId="77777777" w:rsidTr="003E7464">
        <w:trPr>
          <w:trHeight w:val="521"/>
          <w:jc w:val="center"/>
        </w:trPr>
        <w:tc>
          <w:tcPr>
            <w:tcW w:w="1529" w:type="dxa"/>
            <w:tcBorders>
              <w:top w:val="nil"/>
              <w:left w:val="nil"/>
              <w:bottom w:val="nil"/>
              <w:right w:val="nil"/>
            </w:tcBorders>
            <w:hideMark/>
          </w:tcPr>
          <w:p w14:paraId="536FE78B"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Group J </w:t>
            </w:r>
          </w:p>
        </w:tc>
        <w:tc>
          <w:tcPr>
            <w:tcW w:w="1736" w:type="dxa"/>
            <w:tcBorders>
              <w:top w:val="nil"/>
              <w:left w:val="nil"/>
              <w:bottom w:val="nil"/>
              <w:right w:val="nil"/>
            </w:tcBorders>
            <w:hideMark/>
          </w:tcPr>
          <w:p w14:paraId="0712B43D"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32.66</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3.51</w:t>
            </w:r>
          </w:p>
        </w:tc>
        <w:tc>
          <w:tcPr>
            <w:tcW w:w="1055" w:type="dxa"/>
            <w:tcBorders>
              <w:top w:val="nil"/>
              <w:left w:val="nil"/>
              <w:bottom w:val="nil"/>
              <w:right w:val="nil"/>
            </w:tcBorders>
            <w:hideMark/>
          </w:tcPr>
          <w:p w14:paraId="73993B7C"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0.011</w:t>
            </w:r>
            <w:r w:rsidRPr="003644C3">
              <w:rPr>
                <w:rFonts w:ascii="Times New Roman" w:eastAsia="Aptos" w:hAnsi="Times New Roman" w:cs="Times New Roman"/>
                <w:bCs/>
                <w:sz w:val="24"/>
                <w:szCs w:val="24"/>
                <w:vertAlign w:val="superscript"/>
              </w:rPr>
              <w:t>#</w:t>
            </w:r>
          </w:p>
        </w:tc>
        <w:tc>
          <w:tcPr>
            <w:tcW w:w="1682" w:type="dxa"/>
            <w:tcBorders>
              <w:top w:val="nil"/>
              <w:left w:val="nil"/>
              <w:bottom w:val="nil"/>
              <w:right w:val="nil"/>
            </w:tcBorders>
            <w:hideMark/>
          </w:tcPr>
          <w:p w14:paraId="588BEE2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16.67</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0.58</w:t>
            </w:r>
          </w:p>
        </w:tc>
        <w:tc>
          <w:tcPr>
            <w:tcW w:w="1098" w:type="dxa"/>
            <w:tcBorders>
              <w:top w:val="nil"/>
              <w:left w:val="nil"/>
              <w:bottom w:val="nil"/>
              <w:right w:val="nil"/>
            </w:tcBorders>
            <w:hideMark/>
          </w:tcPr>
          <w:p w14:paraId="0B3BE314"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0.024</w:t>
            </w:r>
            <w:r w:rsidRPr="003644C3">
              <w:rPr>
                <w:rFonts w:ascii="Times New Roman" w:eastAsia="Aptos" w:hAnsi="Times New Roman" w:cs="Times New Roman"/>
                <w:bCs/>
                <w:sz w:val="24"/>
                <w:szCs w:val="24"/>
                <w:vertAlign w:val="superscript"/>
              </w:rPr>
              <w:t>#</w:t>
            </w:r>
          </w:p>
        </w:tc>
        <w:tc>
          <w:tcPr>
            <w:tcW w:w="1610" w:type="dxa"/>
            <w:tcBorders>
              <w:top w:val="nil"/>
              <w:left w:val="nil"/>
              <w:bottom w:val="nil"/>
              <w:right w:val="nil"/>
            </w:tcBorders>
            <w:hideMark/>
          </w:tcPr>
          <w:p w14:paraId="13831D62"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102.63</w:t>
            </w:r>
            <w:r w:rsidRPr="003644C3">
              <w:rPr>
                <w:rFonts w:ascii="Times New Roman" w:eastAsia="Aptos" w:hAnsi="Times New Roman" w:cs="Times New Roman"/>
                <w:bCs/>
                <w:sz w:val="24"/>
                <w:szCs w:val="24"/>
              </w:rPr>
              <w:sym w:font="Symbol" w:char="F0B1"/>
            </w:r>
            <w:r w:rsidRPr="003644C3">
              <w:rPr>
                <w:rFonts w:ascii="Times New Roman" w:eastAsia="Aptos" w:hAnsi="Times New Roman" w:cs="Times New Roman"/>
                <w:bCs/>
                <w:sz w:val="24"/>
                <w:szCs w:val="24"/>
              </w:rPr>
              <w:t>2.95</w:t>
            </w:r>
          </w:p>
        </w:tc>
        <w:tc>
          <w:tcPr>
            <w:tcW w:w="1056" w:type="dxa"/>
            <w:tcBorders>
              <w:top w:val="nil"/>
              <w:left w:val="nil"/>
              <w:bottom w:val="nil"/>
              <w:right w:val="nil"/>
            </w:tcBorders>
            <w:hideMark/>
          </w:tcPr>
          <w:p w14:paraId="280AE509"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0.256</w:t>
            </w:r>
            <w:r w:rsidRPr="003644C3">
              <w:rPr>
                <w:rFonts w:ascii="Times New Roman" w:eastAsia="Aptos" w:hAnsi="Times New Roman" w:cs="Times New Roman"/>
                <w:bCs/>
                <w:sz w:val="24"/>
                <w:szCs w:val="24"/>
                <w:vertAlign w:val="superscript"/>
              </w:rPr>
              <w:t xml:space="preserve"> a</w:t>
            </w:r>
          </w:p>
        </w:tc>
      </w:tr>
      <w:tr w:rsidR="003644C3" w:rsidRPr="003644C3" w14:paraId="3B673D1F" w14:textId="77777777" w:rsidTr="003E7464">
        <w:trPr>
          <w:trHeight w:val="266"/>
          <w:jc w:val="center"/>
        </w:trPr>
        <w:tc>
          <w:tcPr>
            <w:tcW w:w="1529" w:type="dxa"/>
            <w:tcBorders>
              <w:top w:val="nil"/>
              <w:left w:val="nil"/>
              <w:bottom w:val="single" w:sz="4" w:space="0" w:color="auto"/>
              <w:right w:val="nil"/>
            </w:tcBorders>
            <w:hideMark/>
          </w:tcPr>
          <w:p w14:paraId="5FC3CADA"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F-ratio</w:t>
            </w:r>
          </w:p>
        </w:tc>
        <w:tc>
          <w:tcPr>
            <w:tcW w:w="1736" w:type="dxa"/>
            <w:tcBorders>
              <w:top w:val="nil"/>
              <w:left w:val="nil"/>
              <w:bottom w:val="single" w:sz="4" w:space="0" w:color="auto"/>
              <w:right w:val="nil"/>
            </w:tcBorders>
            <w:hideMark/>
          </w:tcPr>
          <w:p w14:paraId="754A04EE"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2.140</w:t>
            </w:r>
          </w:p>
        </w:tc>
        <w:tc>
          <w:tcPr>
            <w:tcW w:w="1055" w:type="dxa"/>
            <w:tcBorders>
              <w:top w:val="nil"/>
              <w:left w:val="nil"/>
              <w:bottom w:val="single" w:sz="4" w:space="0" w:color="auto"/>
              <w:right w:val="nil"/>
            </w:tcBorders>
          </w:tcPr>
          <w:p w14:paraId="33AC0257"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c>
          <w:tcPr>
            <w:tcW w:w="1682" w:type="dxa"/>
            <w:tcBorders>
              <w:top w:val="nil"/>
              <w:left w:val="nil"/>
              <w:bottom w:val="single" w:sz="4" w:space="0" w:color="auto"/>
              <w:right w:val="nil"/>
            </w:tcBorders>
            <w:hideMark/>
          </w:tcPr>
          <w:p w14:paraId="68E2A263"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28.072</w:t>
            </w:r>
          </w:p>
        </w:tc>
        <w:tc>
          <w:tcPr>
            <w:tcW w:w="1098" w:type="dxa"/>
            <w:tcBorders>
              <w:top w:val="nil"/>
              <w:left w:val="nil"/>
              <w:bottom w:val="single" w:sz="4" w:space="0" w:color="auto"/>
              <w:right w:val="nil"/>
            </w:tcBorders>
          </w:tcPr>
          <w:p w14:paraId="597CA78D"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c>
          <w:tcPr>
            <w:tcW w:w="1610" w:type="dxa"/>
            <w:tcBorders>
              <w:top w:val="nil"/>
              <w:left w:val="nil"/>
              <w:bottom w:val="single" w:sz="4" w:space="0" w:color="auto"/>
              <w:right w:val="nil"/>
            </w:tcBorders>
            <w:hideMark/>
          </w:tcPr>
          <w:p w14:paraId="1E34A22B" w14:textId="77777777" w:rsidR="003644C3" w:rsidRPr="003644C3" w:rsidRDefault="003644C3" w:rsidP="003644C3">
            <w:pPr>
              <w:spacing w:after="0" w:line="480" w:lineRule="auto"/>
              <w:jc w:val="center"/>
              <w:rPr>
                <w:rFonts w:ascii="Times New Roman" w:eastAsia="Aptos" w:hAnsi="Times New Roman" w:cs="Times New Roman"/>
                <w:bCs/>
                <w:sz w:val="24"/>
                <w:szCs w:val="24"/>
              </w:rPr>
            </w:pPr>
            <w:r w:rsidRPr="003644C3">
              <w:rPr>
                <w:rFonts w:ascii="Times New Roman" w:eastAsia="Aptos" w:hAnsi="Times New Roman" w:cs="Times New Roman"/>
                <w:bCs/>
                <w:sz w:val="24"/>
                <w:szCs w:val="24"/>
              </w:rPr>
              <w:t>5.556</w:t>
            </w:r>
          </w:p>
        </w:tc>
        <w:tc>
          <w:tcPr>
            <w:tcW w:w="1056" w:type="dxa"/>
            <w:tcBorders>
              <w:top w:val="nil"/>
              <w:left w:val="nil"/>
              <w:bottom w:val="single" w:sz="4" w:space="0" w:color="auto"/>
              <w:right w:val="nil"/>
            </w:tcBorders>
          </w:tcPr>
          <w:p w14:paraId="643E0C35" w14:textId="77777777" w:rsidR="003644C3" w:rsidRPr="003644C3" w:rsidRDefault="003644C3" w:rsidP="003644C3">
            <w:pPr>
              <w:spacing w:after="0" w:line="480" w:lineRule="auto"/>
              <w:jc w:val="center"/>
              <w:rPr>
                <w:rFonts w:ascii="Times New Roman" w:eastAsia="Aptos" w:hAnsi="Times New Roman" w:cs="Times New Roman"/>
                <w:bCs/>
                <w:sz w:val="24"/>
                <w:szCs w:val="24"/>
              </w:rPr>
            </w:pPr>
          </w:p>
        </w:tc>
      </w:tr>
    </w:tbl>
    <w:p w14:paraId="02A0AF5F"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Cs/>
          <w:sz w:val="24"/>
          <w:szCs w:val="24"/>
        </w:rPr>
        <w:t xml:space="preserve">Data was analyzed using ANOVA followed by post hoc LSD multiple comparison and values were considered significant at </w:t>
      </w:r>
      <w:r w:rsidRPr="003644C3">
        <w:rPr>
          <w:rFonts w:ascii="Times New Roman" w:eastAsia="Aptos" w:hAnsi="Times New Roman" w:cs="Times New Roman"/>
          <w:bCs/>
          <w:i/>
          <w:sz w:val="24"/>
          <w:szCs w:val="24"/>
        </w:rPr>
        <w:t>p&lt;0.05</w:t>
      </w:r>
      <w:r w:rsidRPr="003644C3">
        <w:rPr>
          <w:rFonts w:ascii="Times New Roman" w:eastAsia="Aptos" w:hAnsi="Times New Roman" w:cs="Times New Roman"/>
          <w:bCs/>
          <w:sz w:val="24"/>
          <w:szCs w:val="24"/>
        </w:rPr>
        <w:t xml:space="preserve">. SD: standard deviation, </w:t>
      </w:r>
      <w:r w:rsidRPr="003644C3">
        <w:rPr>
          <w:rFonts w:ascii="Times New Roman" w:eastAsia="Aptos" w:hAnsi="Times New Roman" w:cs="Times New Roman"/>
          <w:bCs/>
          <w:sz w:val="24"/>
          <w:szCs w:val="24"/>
          <w:vertAlign w:val="superscript"/>
        </w:rPr>
        <w:t>#</w:t>
      </w:r>
      <w:r w:rsidRPr="003644C3">
        <w:rPr>
          <w:rFonts w:ascii="Times New Roman" w:eastAsia="Aptos" w:hAnsi="Times New Roman" w:cs="Times New Roman"/>
          <w:bCs/>
          <w:sz w:val="24"/>
          <w:szCs w:val="24"/>
        </w:rPr>
        <w:t xml:space="preserve">: significance, and </w:t>
      </w:r>
      <w:r w:rsidRPr="003644C3">
        <w:rPr>
          <w:rFonts w:ascii="Times New Roman" w:eastAsia="Aptos" w:hAnsi="Times New Roman" w:cs="Times New Roman"/>
          <w:bCs/>
          <w:sz w:val="24"/>
          <w:szCs w:val="24"/>
          <w:vertAlign w:val="superscript"/>
        </w:rPr>
        <w:t>a</w:t>
      </w:r>
      <w:r w:rsidRPr="003644C3">
        <w:rPr>
          <w:rFonts w:ascii="Times New Roman" w:eastAsia="Aptos" w:hAnsi="Times New Roman" w:cs="Times New Roman"/>
          <w:bCs/>
          <w:sz w:val="24"/>
          <w:szCs w:val="24"/>
        </w:rPr>
        <w:t xml:space="preserve">: not significant. </w:t>
      </w:r>
    </w:p>
    <w:p w14:paraId="69749292" w14:textId="77777777" w:rsidR="003644C3" w:rsidRPr="003644C3" w:rsidRDefault="003644C3" w:rsidP="003644C3">
      <w:pPr>
        <w:spacing w:after="0" w:line="240" w:lineRule="auto"/>
        <w:jc w:val="both"/>
        <w:rPr>
          <w:rFonts w:ascii="Times New Roman" w:eastAsia="Aptos" w:hAnsi="Times New Roman" w:cs="Times New Roman"/>
          <w:bCs/>
          <w:sz w:val="24"/>
          <w:szCs w:val="24"/>
          <w:lang w:val="en-GB"/>
        </w:rPr>
      </w:pPr>
    </w:p>
    <w:p w14:paraId="3827DAAF"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6BFD4EC7"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6FC41503"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50670382"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1AFE6FF7"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2E1A1320"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395C7589"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2B15EA7A" w14:textId="77777777" w:rsidR="003644C3" w:rsidRPr="003644C3" w:rsidRDefault="003644C3" w:rsidP="003644C3">
      <w:pPr>
        <w:spacing w:after="0" w:line="240" w:lineRule="auto"/>
        <w:rPr>
          <w:rFonts w:ascii="Times New Roman" w:eastAsia="Aptos" w:hAnsi="Times New Roman" w:cs="Times New Roman"/>
          <w:b/>
          <w:bCs/>
          <w:sz w:val="24"/>
          <w:szCs w:val="24"/>
        </w:rPr>
      </w:pPr>
    </w:p>
    <w:p w14:paraId="02D11EC5" w14:textId="77777777" w:rsidR="003644C3" w:rsidRPr="003644C3" w:rsidRDefault="003644C3" w:rsidP="003644C3">
      <w:pPr>
        <w:spacing w:after="0" w:line="480" w:lineRule="auto"/>
        <w:rPr>
          <w:rFonts w:ascii="Times New Roman" w:eastAsia="Aptos" w:hAnsi="Times New Roman" w:cs="Times New Roman"/>
          <w:bCs/>
          <w:sz w:val="24"/>
          <w:szCs w:val="24"/>
        </w:rPr>
      </w:pPr>
      <w:r w:rsidRPr="003644C3">
        <w:rPr>
          <w:rFonts w:ascii="Times New Roman" w:eastAsia="Aptos" w:hAnsi="Times New Roman" w:cs="Times New Roman"/>
          <w:b/>
          <w:bCs/>
          <w:sz w:val="24"/>
          <w:szCs w:val="24"/>
        </w:rPr>
        <w:t xml:space="preserve">Table 2: </w:t>
      </w:r>
      <w:r w:rsidRPr="003644C3">
        <w:rPr>
          <w:rFonts w:ascii="Times New Roman" w:eastAsia="Aptos" w:hAnsi="Times New Roman" w:cs="Times New Roman"/>
          <w:b/>
          <w:bCs/>
          <w:sz w:val="24"/>
          <w:szCs w:val="24"/>
          <w:lang w:val="en-GB"/>
        </w:rPr>
        <w:t>Morphological analysis</w:t>
      </w:r>
    </w:p>
    <w:tbl>
      <w:tblPr>
        <w:tblStyle w:val="TableGrid1"/>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2197"/>
        <w:gridCol w:w="1142"/>
        <w:gridCol w:w="2674"/>
        <w:gridCol w:w="1280"/>
      </w:tblGrid>
      <w:tr w:rsidR="003644C3" w:rsidRPr="003644C3" w14:paraId="2B9C0361" w14:textId="77777777" w:rsidTr="003E7464">
        <w:trPr>
          <w:trHeight w:val="439"/>
          <w:jc w:val="center"/>
        </w:trPr>
        <w:tc>
          <w:tcPr>
            <w:tcW w:w="2067" w:type="dxa"/>
            <w:tcBorders>
              <w:top w:val="single" w:sz="4" w:space="0" w:color="auto"/>
              <w:left w:val="nil"/>
              <w:bottom w:val="nil"/>
              <w:right w:val="nil"/>
            </w:tcBorders>
          </w:tcPr>
          <w:p w14:paraId="2B9613E1" w14:textId="77777777" w:rsidR="003644C3" w:rsidRPr="003644C3" w:rsidRDefault="003644C3" w:rsidP="003644C3">
            <w:pPr>
              <w:spacing w:after="0" w:line="480" w:lineRule="auto"/>
              <w:rPr>
                <w:rFonts w:ascii="Times New Roman" w:eastAsia="Aptos" w:hAnsi="Times New Roman" w:cs="Times New Roman"/>
                <w:sz w:val="24"/>
                <w:szCs w:val="24"/>
                <w:lang w:val="en-GB"/>
              </w:rPr>
            </w:pPr>
          </w:p>
        </w:tc>
        <w:tc>
          <w:tcPr>
            <w:tcW w:w="2197" w:type="dxa"/>
            <w:tcBorders>
              <w:top w:val="single" w:sz="4" w:space="0" w:color="auto"/>
              <w:left w:val="nil"/>
              <w:bottom w:val="nil"/>
              <w:right w:val="nil"/>
            </w:tcBorders>
            <w:hideMark/>
          </w:tcPr>
          <w:p w14:paraId="37856DF1"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Body weight (g)</w:t>
            </w:r>
          </w:p>
        </w:tc>
        <w:tc>
          <w:tcPr>
            <w:tcW w:w="1142" w:type="dxa"/>
            <w:tcBorders>
              <w:top w:val="single" w:sz="4" w:space="0" w:color="auto"/>
              <w:left w:val="nil"/>
              <w:bottom w:val="nil"/>
              <w:right w:val="nil"/>
            </w:tcBorders>
            <w:hideMark/>
          </w:tcPr>
          <w:p w14:paraId="14D780CF"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p-value</w:t>
            </w:r>
          </w:p>
        </w:tc>
        <w:tc>
          <w:tcPr>
            <w:tcW w:w="2674" w:type="dxa"/>
            <w:tcBorders>
              <w:top w:val="single" w:sz="4" w:space="0" w:color="auto"/>
              <w:left w:val="nil"/>
              <w:bottom w:val="nil"/>
              <w:right w:val="nil"/>
            </w:tcBorders>
            <w:hideMark/>
          </w:tcPr>
          <w:p w14:paraId="2A7538E7"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Relative liver weight (g)</w:t>
            </w:r>
          </w:p>
        </w:tc>
        <w:tc>
          <w:tcPr>
            <w:tcW w:w="1280" w:type="dxa"/>
            <w:tcBorders>
              <w:top w:val="single" w:sz="4" w:space="0" w:color="auto"/>
              <w:left w:val="nil"/>
              <w:bottom w:val="nil"/>
              <w:right w:val="nil"/>
            </w:tcBorders>
            <w:hideMark/>
          </w:tcPr>
          <w:p w14:paraId="6E14B621"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p-value</w:t>
            </w:r>
          </w:p>
        </w:tc>
      </w:tr>
      <w:tr w:rsidR="003644C3" w:rsidRPr="003644C3" w14:paraId="79D1129E" w14:textId="77777777" w:rsidTr="003E7464">
        <w:trPr>
          <w:trHeight w:val="241"/>
          <w:jc w:val="center"/>
        </w:trPr>
        <w:tc>
          <w:tcPr>
            <w:tcW w:w="2067" w:type="dxa"/>
            <w:tcBorders>
              <w:top w:val="nil"/>
              <w:left w:val="nil"/>
              <w:bottom w:val="single" w:sz="4" w:space="0" w:color="auto"/>
              <w:right w:val="nil"/>
            </w:tcBorders>
          </w:tcPr>
          <w:p w14:paraId="1B3A6F97" w14:textId="77777777" w:rsidR="003644C3" w:rsidRPr="003644C3" w:rsidRDefault="003644C3" w:rsidP="003644C3">
            <w:pPr>
              <w:spacing w:after="0" w:line="480" w:lineRule="auto"/>
              <w:rPr>
                <w:rFonts w:ascii="Times New Roman" w:eastAsia="Aptos" w:hAnsi="Times New Roman" w:cs="Times New Roman"/>
                <w:sz w:val="24"/>
                <w:szCs w:val="24"/>
                <w:lang w:val="en-GB"/>
              </w:rPr>
            </w:pPr>
          </w:p>
        </w:tc>
        <w:tc>
          <w:tcPr>
            <w:tcW w:w="2197" w:type="dxa"/>
            <w:tcBorders>
              <w:top w:val="nil"/>
              <w:left w:val="nil"/>
              <w:bottom w:val="single" w:sz="4" w:space="0" w:color="auto"/>
              <w:right w:val="nil"/>
            </w:tcBorders>
            <w:hideMark/>
          </w:tcPr>
          <w:p w14:paraId="2BD7B50B"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MEAN</w:t>
            </w:r>
            <w:r w:rsidRPr="003644C3">
              <w:rPr>
                <w:rFonts w:ascii="Times New Roman" w:eastAsia="Aptos" w:hAnsi="Times New Roman" w:cs="Times New Roman"/>
                <w:b/>
                <w:bCs/>
                <w:sz w:val="24"/>
                <w:szCs w:val="24"/>
                <w:lang w:val="en-GB"/>
              </w:rPr>
              <w:sym w:font="Symbol" w:char="F0B1"/>
            </w:r>
            <w:r w:rsidRPr="003644C3">
              <w:rPr>
                <w:rFonts w:ascii="Times New Roman" w:eastAsia="Aptos" w:hAnsi="Times New Roman" w:cs="Times New Roman"/>
                <w:b/>
                <w:bCs/>
                <w:sz w:val="24"/>
                <w:szCs w:val="24"/>
                <w:lang w:val="en-GB"/>
              </w:rPr>
              <w:t>SD</w:t>
            </w:r>
          </w:p>
        </w:tc>
        <w:tc>
          <w:tcPr>
            <w:tcW w:w="1142" w:type="dxa"/>
            <w:tcBorders>
              <w:top w:val="nil"/>
              <w:left w:val="nil"/>
              <w:bottom w:val="single" w:sz="4" w:space="0" w:color="auto"/>
              <w:right w:val="nil"/>
            </w:tcBorders>
          </w:tcPr>
          <w:p w14:paraId="0D4941E3"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p>
        </w:tc>
        <w:tc>
          <w:tcPr>
            <w:tcW w:w="2674" w:type="dxa"/>
            <w:tcBorders>
              <w:top w:val="nil"/>
              <w:left w:val="nil"/>
              <w:bottom w:val="single" w:sz="4" w:space="0" w:color="auto"/>
              <w:right w:val="nil"/>
            </w:tcBorders>
            <w:hideMark/>
          </w:tcPr>
          <w:p w14:paraId="4E71619A"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r w:rsidRPr="003644C3">
              <w:rPr>
                <w:rFonts w:ascii="Times New Roman" w:eastAsia="Aptos" w:hAnsi="Times New Roman" w:cs="Times New Roman"/>
                <w:b/>
                <w:bCs/>
                <w:sz w:val="24"/>
                <w:szCs w:val="24"/>
                <w:lang w:val="en-GB"/>
              </w:rPr>
              <w:t>MEAN</w:t>
            </w:r>
            <w:r w:rsidRPr="003644C3">
              <w:rPr>
                <w:rFonts w:ascii="Times New Roman" w:eastAsia="Aptos" w:hAnsi="Times New Roman" w:cs="Times New Roman"/>
                <w:b/>
                <w:bCs/>
                <w:sz w:val="24"/>
                <w:szCs w:val="24"/>
                <w:lang w:val="en-GB"/>
              </w:rPr>
              <w:sym w:font="Symbol" w:char="F0B1"/>
            </w:r>
            <w:r w:rsidRPr="003644C3">
              <w:rPr>
                <w:rFonts w:ascii="Times New Roman" w:eastAsia="Aptos" w:hAnsi="Times New Roman" w:cs="Times New Roman"/>
                <w:b/>
                <w:bCs/>
                <w:sz w:val="24"/>
                <w:szCs w:val="24"/>
                <w:lang w:val="en-GB"/>
              </w:rPr>
              <w:t>SD</w:t>
            </w:r>
          </w:p>
        </w:tc>
        <w:tc>
          <w:tcPr>
            <w:tcW w:w="1280" w:type="dxa"/>
            <w:tcBorders>
              <w:top w:val="nil"/>
              <w:left w:val="nil"/>
              <w:bottom w:val="single" w:sz="4" w:space="0" w:color="auto"/>
              <w:right w:val="nil"/>
            </w:tcBorders>
          </w:tcPr>
          <w:p w14:paraId="6EBA3D5D" w14:textId="77777777" w:rsidR="003644C3" w:rsidRPr="003644C3" w:rsidRDefault="003644C3" w:rsidP="003644C3">
            <w:pPr>
              <w:spacing w:after="0" w:line="480" w:lineRule="auto"/>
              <w:jc w:val="center"/>
              <w:rPr>
                <w:rFonts w:ascii="Times New Roman" w:eastAsia="Aptos" w:hAnsi="Times New Roman" w:cs="Times New Roman"/>
                <w:b/>
                <w:bCs/>
                <w:sz w:val="24"/>
                <w:szCs w:val="24"/>
                <w:lang w:val="en-GB"/>
              </w:rPr>
            </w:pPr>
          </w:p>
        </w:tc>
      </w:tr>
      <w:tr w:rsidR="003644C3" w:rsidRPr="003644C3" w14:paraId="46869901" w14:textId="77777777" w:rsidTr="003E7464">
        <w:trPr>
          <w:trHeight w:val="510"/>
          <w:jc w:val="center"/>
        </w:trPr>
        <w:tc>
          <w:tcPr>
            <w:tcW w:w="2067" w:type="dxa"/>
            <w:tcBorders>
              <w:top w:val="single" w:sz="4" w:space="0" w:color="auto"/>
              <w:left w:val="nil"/>
              <w:bottom w:val="nil"/>
              <w:right w:val="nil"/>
            </w:tcBorders>
            <w:hideMark/>
          </w:tcPr>
          <w:p w14:paraId="64C41EB9"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A </w:t>
            </w:r>
          </w:p>
        </w:tc>
        <w:tc>
          <w:tcPr>
            <w:tcW w:w="2197" w:type="dxa"/>
            <w:tcBorders>
              <w:top w:val="single" w:sz="4" w:space="0" w:color="auto"/>
              <w:left w:val="nil"/>
              <w:bottom w:val="nil"/>
              <w:right w:val="nil"/>
            </w:tcBorders>
            <w:hideMark/>
          </w:tcPr>
          <w:p w14:paraId="52DB8BA1"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244.25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11.50</w:t>
            </w:r>
          </w:p>
        </w:tc>
        <w:tc>
          <w:tcPr>
            <w:tcW w:w="1142" w:type="dxa"/>
            <w:tcBorders>
              <w:top w:val="single" w:sz="4" w:space="0" w:color="auto"/>
              <w:left w:val="nil"/>
              <w:bottom w:val="nil"/>
              <w:right w:val="nil"/>
            </w:tcBorders>
          </w:tcPr>
          <w:p w14:paraId="4B8872F5"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p>
        </w:tc>
        <w:tc>
          <w:tcPr>
            <w:tcW w:w="2674" w:type="dxa"/>
            <w:tcBorders>
              <w:top w:val="single" w:sz="4" w:space="0" w:color="auto"/>
              <w:left w:val="nil"/>
              <w:bottom w:val="nil"/>
              <w:right w:val="nil"/>
            </w:tcBorders>
            <w:hideMark/>
          </w:tcPr>
          <w:p w14:paraId="4CAF082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0.032</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0.002</w:t>
            </w:r>
          </w:p>
        </w:tc>
        <w:tc>
          <w:tcPr>
            <w:tcW w:w="1280" w:type="dxa"/>
            <w:tcBorders>
              <w:top w:val="single" w:sz="4" w:space="0" w:color="auto"/>
              <w:left w:val="nil"/>
              <w:bottom w:val="nil"/>
              <w:right w:val="nil"/>
            </w:tcBorders>
          </w:tcPr>
          <w:p w14:paraId="71D9AB1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p>
        </w:tc>
      </w:tr>
      <w:tr w:rsidR="003644C3" w:rsidRPr="003644C3" w14:paraId="61D2D130" w14:textId="77777777" w:rsidTr="003E7464">
        <w:trPr>
          <w:trHeight w:val="524"/>
          <w:jc w:val="center"/>
        </w:trPr>
        <w:tc>
          <w:tcPr>
            <w:tcW w:w="2067" w:type="dxa"/>
            <w:tcBorders>
              <w:top w:val="nil"/>
              <w:left w:val="nil"/>
              <w:bottom w:val="nil"/>
              <w:right w:val="nil"/>
            </w:tcBorders>
            <w:hideMark/>
          </w:tcPr>
          <w:p w14:paraId="34A8A5FD"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B </w:t>
            </w:r>
          </w:p>
        </w:tc>
        <w:tc>
          <w:tcPr>
            <w:tcW w:w="2197" w:type="dxa"/>
            <w:tcBorders>
              <w:top w:val="nil"/>
              <w:left w:val="nil"/>
              <w:bottom w:val="nil"/>
              <w:right w:val="nil"/>
            </w:tcBorders>
            <w:hideMark/>
          </w:tcPr>
          <w:p w14:paraId="44F4A098"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230.50</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19.02</w:t>
            </w:r>
          </w:p>
        </w:tc>
        <w:tc>
          <w:tcPr>
            <w:tcW w:w="1142" w:type="dxa"/>
            <w:tcBorders>
              <w:top w:val="nil"/>
              <w:left w:val="nil"/>
              <w:bottom w:val="nil"/>
              <w:right w:val="nil"/>
            </w:tcBorders>
            <w:hideMark/>
          </w:tcPr>
          <w:p w14:paraId="77C1BE35"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0.293</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5EAAF309"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0.034</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0.002</w:t>
            </w:r>
          </w:p>
        </w:tc>
        <w:tc>
          <w:tcPr>
            <w:tcW w:w="1280" w:type="dxa"/>
            <w:tcBorders>
              <w:top w:val="nil"/>
              <w:left w:val="nil"/>
              <w:bottom w:val="nil"/>
              <w:right w:val="nil"/>
            </w:tcBorders>
            <w:hideMark/>
          </w:tcPr>
          <w:p w14:paraId="5F3A7CC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0.829</w:t>
            </w:r>
            <w:r w:rsidRPr="003644C3">
              <w:rPr>
                <w:rFonts w:ascii="Times New Roman" w:eastAsia="Aptos" w:hAnsi="Times New Roman" w:cs="Times New Roman"/>
                <w:sz w:val="24"/>
                <w:szCs w:val="24"/>
                <w:vertAlign w:val="superscript"/>
                <w:lang w:val="en-GB"/>
              </w:rPr>
              <w:t xml:space="preserve"> a</w:t>
            </w:r>
          </w:p>
        </w:tc>
      </w:tr>
      <w:tr w:rsidR="003644C3" w:rsidRPr="003644C3" w14:paraId="4D9F26EF" w14:textId="77777777" w:rsidTr="003E7464">
        <w:trPr>
          <w:trHeight w:val="510"/>
          <w:jc w:val="center"/>
        </w:trPr>
        <w:tc>
          <w:tcPr>
            <w:tcW w:w="2067" w:type="dxa"/>
            <w:tcBorders>
              <w:top w:val="nil"/>
              <w:left w:val="nil"/>
              <w:bottom w:val="nil"/>
              <w:right w:val="nil"/>
            </w:tcBorders>
            <w:hideMark/>
          </w:tcPr>
          <w:p w14:paraId="6FAFFCEB"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C </w:t>
            </w:r>
          </w:p>
        </w:tc>
        <w:tc>
          <w:tcPr>
            <w:tcW w:w="2197" w:type="dxa"/>
            <w:tcBorders>
              <w:top w:val="nil"/>
              <w:left w:val="nil"/>
              <w:bottom w:val="nil"/>
              <w:right w:val="nil"/>
            </w:tcBorders>
            <w:hideMark/>
          </w:tcPr>
          <w:p w14:paraId="4D86C572"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250.25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8.61</w:t>
            </w:r>
          </w:p>
        </w:tc>
        <w:tc>
          <w:tcPr>
            <w:tcW w:w="1142" w:type="dxa"/>
            <w:tcBorders>
              <w:top w:val="nil"/>
              <w:left w:val="nil"/>
              <w:bottom w:val="nil"/>
              <w:right w:val="nil"/>
            </w:tcBorders>
            <w:hideMark/>
          </w:tcPr>
          <w:p w14:paraId="46518CD7"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0.644</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4194F98F"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0.000</w:t>
            </w:r>
          </w:p>
        </w:tc>
        <w:tc>
          <w:tcPr>
            <w:tcW w:w="1280" w:type="dxa"/>
            <w:tcBorders>
              <w:top w:val="nil"/>
              <w:left w:val="nil"/>
              <w:bottom w:val="nil"/>
              <w:right w:val="nil"/>
            </w:tcBorders>
            <w:hideMark/>
          </w:tcPr>
          <w:p w14:paraId="0B36BA8B"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0.702</w:t>
            </w:r>
            <w:r w:rsidRPr="003644C3">
              <w:rPr>
                <w:rFonts w:ascii="Times New Roman" w:eastAsia="Aptos" w:hAnsi="Times New Roman" w:cs="Times New Roman"/>
                <w:sz w:val="24"/>
                <w:szCs w:val="24"/>
                <w:vertAlign w:val="superscript"/>
                <w:lang w:val="en-GB"/>
              </w:rPr>
              <w:t xml:space="preserve"> a</w:t>
            </w:r>
          </w:p>
        </w:tc>
      </w:tr>
      <w:tr w:rsidR="003644C3" w:rsidRPr="003644C3" w14:paraId="252D08C6" w14:textId="77777777" w:rsidTr="003E7464">
        <w:trPr>
          <w:trHeight w:val="524"/>
          <w:jc w:val="center"/>
        </w:trPr>
        <w:tc>
          <w:tcPr>
            <w:tcW w:w="2067" w:type="dxa"/>
            <w:tcBorders>
              <w:top w:val="nil"/>
              <w:left w:val="nil"/>
              <w:bottom w:val="nil"/>
              <w:right w:val="nil"/>
            </w:tcBorders>
            <w:hideMark/>
          </w:tcPr>
          <w:p w14:paraId="6DA580C1"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D </w:t>
            </w:r>
          </w:p>
        </w:tc>
        <w:tc>
          <w:tcPr>
            <w:tcW w:w="2197" w:type="dxa"/>
            <w:tcBorders>
              <w:top w:val="nil"/>
              <w:left w:val="nil"/>
              <w:bottom w:val="nil"/>
              <w:right w:val="nil"/>
            </w:tcBorders>
            <w:hideMark/>
          </w:tcPr>
          <w:p w14:paraId="01495577"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222.50</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38.18</w:t>
            </w:r>
          </w:p>
        </w:tc>
        <w:tc>
          <w:tcPr>
            <w:tcW w:w="1142" w:type="dxa"/>
            <w:tcBorders>
              <w:top w:val="nil"/>
              <w:left w:val="nil"/>
              <w:bottom w:val="nil"/>
              <w:right w:val="nil"/>
            </w:tcBorders>
            <w:hideMark/>
          </w:tcPr>
          <w:p w14:paraId="756078B0"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0.101</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1102FC91"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0.034</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0.002</w:t>
            </w:r>
          </w:p>
        </w:tc>
        <w:tc>
          <w:tcPr>
            <w:tcW w:w="1280" w:type="dxa"/>
            <w:tcBorders>
              <w:top w:val="nil"/>
              <w:left w:val="nil"/>
              <w:bottom w:val="nil"/>
              <w:right w:val="nil"/>
            </w:tcBorders>
            <w:hideMark/>
          </w:tcPr>
          <w:p w14:paraId="3A9FF2A9"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0.758</w:t>
            </w:r>
            <w:r w:rsidRPr="003644C3">
              <w:rPr>
                <w:rFonts w:ascii="Times New Roman" w:eastAsia="Aptos" w:hAnsi="Times New Roman" w:cs="Times New Roman"/>
                <w:sz w:val="24"/>
                <w:szCs w:val="24"/>
                <w:vertAlign w:val="superscript"/>
                <w:lang w:val="en-GB"/>
              </w:rPr>
              <w:t xml:space="preserve"> a</w:t>
            </w:r>
          </w:p>
        </w:tc>
      </w:tr>
      <w:tr w:rsidR="003644C3" w:rsidRPr="003644C3" w14:paraId="07A22F4C" w14:textId="77777777" w:rsidTr="003E7464">
        <w:trPr>
          <w:trHeight w:val="510"/>
          <w:jc w:val="center"/>
        </w:trPr>
        <w:tc>
          <w:tcPr>
            <w:tcW w:w="2067" w:type="dxa"/>
            <w:tcBorders>
              <w:top w:val="nil"/>
              <w:left w:val="nil"/>
              <w:bottom w:val="nil"/>
              <w:right w:val="nil"/>
            </w:tcBorders>
            <w:hideMark/>
          </w:tcPr>
          <w:p w14:paraId="4BB6636E"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E </w:t>
            </w:r>
          </w:p>
        </w:tc>
        <w:tc>
          <w:tcPr>
            <w:tcW w:w="2197" w:type="dxa"/>
            <w:tcBorders>
              <w:top w:val="nil"/>
              <w:left w:val="nil"/>
              <w:bottom w:val="nil"/>
              <w:right w:val="nil"/>
            </w:tcBorders>
            <w:hideMark/>
          </w:tcPr>
          <w:p w14:paraId="2F114216"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241.25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20.90</w:t>
            </w:r>
          </w:p>
        </w:tc>
        <w:tc>
          <w:tcPr>
            <w:tcW w:w="1142" w:type="dxa"/>
            <w:tcBorders>
              <w:top w:val="nil"/>
              <w:left w:val="nil"/>
              <w:bottom w:val="nil"/>
              <w:right w:val="nil"/>
            </w:tcBorders>
            <w:hideMark/>
          </w:tcPr>
          <w:p w14:paraId="442118A3"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0.817</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44BB0C77"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0.036</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0.004</w:t>
            </w:r>
          </w:p>
        </w:tc>
        <w:tc>
          <w:tcPr>
            <w:tcW w:w="1280" w:type="dxa"/>
            <w:tcBorders>
              <w:top w:val="nil"/>
              <w:left w:val="nil"/>
              <w:bottom w:val="nil"/>
              <w:right w:val="nil"/>
            </w:tcBorders>
            <w:hideMark/>
          </w:tcPr>
          <w:p w14:paraId="56DA169B"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0.613</w:t>
            </w:r>
            <w:r w:rsidRPr="003644C3">
              <w:rPr>
                <w:rFonts w:ascii="Times New Roman" w:eastAsia="Aptos" w:hAnsi="Times New Roman" w:cs="Times New Roman"/>
                <w:sz w:val="24"/>
                <w:szCs w:val="24"/>
                <w:vertAlign w:val="superscript"/>
                <w:lang w:val="en-GB"/>
              </w:rPr>
              <w:t xml:space="preserve"> a</w:t>
            </w:r>
          </w:p>
        </w:tc>
      </w:tr>
      <w:tr w:rsidR="003644C3" w:rsidRPr="003644C3" w14:paraId="5C444A72" w14:textId="77777777" w:rsidTr="003E7464">
        <w:trPr>
          <w:trHeight w:val="524"/>
          <w:jc w:val="center"/>
        </w:trPr>
        <w:tc>
          <w:tcPr>
            <w:tcW w:w="2067" w:type="dxa"/>
            <w:tcBorders>
              <w:top w:val="nil"/>
              <w:left w:val="nil"/>
              <w:bottom w:val="nil"/>
              <w:right w:val="nil"/>
            </w:tcBorders>
            <w:hideMark/>
          </w:tcPr>
          <w:p w14:paraId="73FD3B2A"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F </w:t>
            </w:r>
          </w:p>
        </w:tc>
        <w:tc>
          <w:tcPr>
            <w:tcW w:w="2197" w:type="dxa"/>
            <w:tcBorders>
              <w:top w:val="nil"/>
              <w:left w:val="nil"/>
              <w:bottom w:val="nil"/>
              <w:right w:val="nil"/>
            </w:tcBorders>
            <w:hideMark/>
          </w:tcPr>
          <w:p w14:paraId="54D3C22D"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215.00</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16.99</w:t>
            </w:r>
          </w:p>
        </w:tc>
        <w:tc>
          <w:tcPr>
            <w:tcW w:w="1142" w:type="dxa"/>
            <w:tcBorders>
              <w:top w:val="nil"/>
              <w:left w:val="nil"/>
              <w:bottom w:val="nil"/>
              <w:right w:val="nil"/>
            </w:tcBorders>
            <w:hideMark/>
          </w:tcPr>
          <w:p w14:paraId="5ACD255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0.030</w:t>
            </w:r>
            <w:r w:rsidRPr="003644C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0B1F6C01"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0.023</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4F7F2892"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0.751</w:t>
            </w:r>
            <w:r w:rsidRPr="003644C3">
              <w:rPr>
                <w:rFonts w:ascii="Times New Roman" w:eastAsia="Aptos" w:hAnsi="Times New Roman" w:cs="Times New Roman"/>
                <w:sz w:val="24"/>
                <w:szCs w:val="24"/>
                <w:vertAlign w:val="superscript"/>
                <w:lang w:val="en-GB"/>
              </w:rPr>
              <w:t xml:space="preserve"> a</w:t>
            </w:r>
          </w:p>
        </w:tc>
      </w:tr>
      <w:tr w:rsidR="003644C3" w:rsidRPr="003644C3" w14:paraId="2D3279A8" w14:textId="77777777" w:rsidTr="003E7464">
        <w:trPr>
          <w:trHeight w:val="510"/>
          <w:jc w:val="center"/>
        </w:trPr>
        <w:tc>
          <w:tcPr>
            <w:tcW w:w="2067" w:type="dxa"/>
            <w:tcBorders>
              <w:top w:val="nil"/>
              <w:left w:val="nil"/>
              <w:bottom w:val="nil"/>
              <w:right w:val="nil"/>
            </w:tcBorders>
            <w:hideMark/>
          </w:tcPr>
          <w:p w14:paraId="42E8D659"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lastRenderedPageBreak/>
              <w:t xml:space="preserve">Group G </w:t>
            </w:r>
          </w:p>
        </w:tc>
        <w:tc>
          <w:tcPr>
            <w:tcW w:w="2197" w:type="dxa"/>
            <w:tcBorders>
              <w:top w:val="nil"/>
              <w:left w:val="nil"/>
              <w:bottom w:val="nil"/>
              <w:right w:val="nil"/>
            </w:tcBorders>
            <w:hideMark/>
          </w:tcPr>
          <w:p w14:paraId="7973F37D"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212.00</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12.03</w:t>
            </w:r>
          </w:p>
        </w:tc>
        <w:tc>
          <w:tcPr>
            <w:tcW w:w="1142" w:type="dxa"/>
            <w:tcBorders>
              <w:top w:val="nil"/>
              <w:left w:val="nil"/>
              <w:bottom w:val="nil"/>
              <w:right w:val="nil"/>
            </w:tcBorders>
            <w:hideMark/>
          </w:tcPr>
          <w:p w14:paraId="7050F679"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0.018</w:t>
            </w:r>
            <w:r w:rsidRPr="003644C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6D0C67BB"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0.036</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0.003</w:t>
            </w:r>
          </w:p>
        </w:tc>
        <w:tc>
          <w:tcPr>
            <w:tcW w:w="1280" w:type="dxa"/>
            <w:tcBorders>
              <w:top w:val="nil"/>
              <w:left w:val="nil"/>
              <w:bottom w:val="nil"/>
              <w:right w:val="nil"/>
            </w:tcBorders>
            <w:hideMark/>
          </w:tcPr>
          <w:p w14:paraId="0FF460C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0.566</w:t>
            </w:r>
            <w:r w:rsidRPr="003644C3">
              <w:rPr>
                <w:rFonts w:ascii="Times New Roman" w:eastAsia="Aptos" w:hAnsi="Times New Roman" w:cs="Times New Roman"/>
                <w:sz w:val="24"/>
                <w:szCs w:val="24"/>
                <w:vertAlign w:val="superscript"/>
                <w:lang w:val="en-GB"/>
              </w:rPr>
              <w:t xml:space="preserve"> a</w:t>
            </w:r>
          </w:p>
        </w:tc>
      </w:tr>
      <w:tr w:rsidR="003644C3" w:rsidRPr="003644C3" w14:paraId="5422C132" w14:textId="77777777" w:rsidTr="003E7464">
        <w:trPr>
          <w:trHeight w:val="530"/>
          <w:jc w:val="center"/>
        </w:trPr>
        <w:tc>
          <w:tcPr>
            <w:tcW w:w="2067" w:type="dxa"/>
            <w:tcBorders>
              <w:top w:val="nil"/>
              <w:left w:val="nil"/>
              <w:bottom w:val="nil"/>
              <w:right w:val="nil"/>
            </w:tcBorders>
            <w:hideMark/>
          </w:tcPr>
          <w:p w14:paraId="0471EC10"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H </w:t>
            </w:r>
          </w:p>
        </w:tc>
        <w:tc>
          <w:tcPr>
            <w:tcW w:w="2197" w:type="dxa"/>
            <w:tcBorders>
              <w:top w:val="nil"/>
              <w:left w:val="nil"/>
              <w:bottom w:val="nil"/>
              <w:right w:val="nil"/>
            </w:tcBorders>
            <w:hideMark/>
          </w:tcPr>
          <w:p w14:paraId="2179E6F9"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212.75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11.32</w:t>
            </w:r>
          </w:p>
        </w:tc>
        <w:tc>
          <w:tcPr>
            <w:tcW w:w="1142" w:type="dxa"/>
            <w:tcBorders>
              <w:top w:val="nil"/>
              <w:left w:val="nil"/>
              <w:bottom w:val="nil"/>
              <w:right w:val="nil"/>
            </w:tcBorders>
            <w:hideMark/>
          </w:tcPr>
          <w:p w14:paraId="5C9EAB08"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0.020</w:t>
            </w:r>
            <w:r w:rsidRPr="003644C3">
              <w:rPr>
                <w:rFonts w:ascii="Times New Roman" w:eastAsia="Aptos" w:hAnsi="Times New Roman" w:cs="Times New Roman"/>
                <w:sz w:val="24"/>
                <w:szCs w:val="24"/>
                <w:vertAlign w:val="superscript"/>
                <w:lang w:val="en-GB"/>
              </w:rPr>
              <w:t>#</w:t>
            </w:r>
          </w:p>
        </w:tc>
        <w:tc>
          <w:tcPr>
            <w:tcW w:w="2674" w:type="dxa"/>
            <w:tcBorders>
              <w:top w:val="nil"/>
              <w:left w:val="nil"/>
              <w:bottom w:val="nil"/>
              <w:right w:val="nil"/>
            </w:tcBorders>
            <w:hideMark/>
          </w:tcPr>
          <w:p w14:paraId="4E14442C"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0.022</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7A8825E5"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0.164</w:t>
            </w:r>
            <w:r w:rsidRPr="003644C3">
              <w:rPr>
                <w:rFonts w:ascii="Times New Roman" w:eastAsia="Aptos" w:hAnsi="Times New Roman" w:cs="Times New Roman"/>
                <w:sz w:val="24"/>
                <w:szCs w:val="24"/>
                <w:vertAlign w:val="superscript"/>
                <w:lang w:val="en-GB"/>
              </w:rPr>
              <w:t xml:space="preserve"> a</w:t>
            </w:r>
          </w:p>
        </w:tc>
      </w:tr>
      <w:tr w:rsidR="003644C3" w:rsidRPr="003644C3" w14:paraId="32BD548C" w14:textId="77777777" w:rsidTr="003E7464">
        <w:trPr>
          <w:trHeight w:val="449"/>
          <w:jc w:val="center"/>
        </w:trPr>
        <w:tc>
          <w:tcPr>
            <w:tcW w:w="2067" w:type="dxa"/>
            <w:tcBorders>
              <w:top w:val="nil"/>
              <w:left w:val="nil"/>
              <w:bottom w:val="nil"/>
              <w:right w:val="nil"/>
            </w:tcBorders>
            <w:hideMark/>
          </w:tcPr>
          <w:p w14:paraId="545A7082"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I </w:t>
            </w:r>
          </w:p>
        </w:tc>
        <w:tc>
          <w:tcPr>
            <w:tcW w:w="2197" w:type="dxa"/>
            <w:tcBorders>
              <w:top w:val="nil"/>
              <w:left w:val="nil"/>
              <w:bottom w:val="nil"/>
              <w:right w:val="nil"/>
            </w:tcBorders>
            <w:hideMark/>
          </w:tcPr>
          <w:p w14:paraId="2C9B00CC"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242.75</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12.04</w:t>
            </w:r>
          </w:p>
        </w:tc>
        <w:tc>
          <w:tcPr>
            <w:tcW w:w="1142" w:type="dxa"/>
            <w:tcBorders>
              <w:top w:val="nil"/>
              <w:left w:val="nil"/>
              <w:bottom w:val="nil"/>
              <w:right w:val="nil"/>
            </w:tcBorders>
            <w:hideMark/>
          </w:tcPr>
          <w:p w14:paraId="517A5638"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0.908</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5D4A8074"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0.036</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0.005</w:t>
            </w:r>
          </w:p>
        </w:tc>
        <w:tc>
          <w:tcPr>
            <w:tcW w:w="1280" w:type="dxa"/>
            <w:tcBorders>
              <w:top w:val="nil"/>
              <w:left w:val="nil"/>
              <w:bottom w:val="nil"/>
              <w:right w:val="nil"/>
            </w:tcBorders>
            <w:hideMark/>
          </w:tcPr>
          <w:p w14:paraId="0E2EC161"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0.556</w:t>
            </w:r>
            <w:r w:rsidRPr="003644C3">
              <w:rPr>
                <w:rFonts w:ascii="Times New Roman" w:eastAsia="Aptos" w:hAnsi="Times New Roman" w:cs="Times New Roman"/>
                <w:sz w:val="24"/>
                <w:szCs w:val="24"/>
                <w:vertAlign w:val="superscript"/>
                <w:lang w:val="en-GB"/>
              </w:rPr>
              <w:t xml:space="preserve"> a</w:t>
            </w:r>
          </w:p>
        </w:tc>
      </w:tr>
      <w:tr w:rsidR="003644C3" w:rsidRPr="003644C3" w14:paraId="3CB0B076" w14:textId="77777777" w:rsidTr="003E7464">
        <w:trPr>
          <w:trHeight w:val="485"/>
          <w:jc w:val="center"/>
        </w:trPr>
        <w:tc>
          <w:tcPr>
            <w:tcW w:w="2067" w:type="dxa"/>
            <w:tcBorders>
              <w:top w:val="nil"/>
              <w:left w:val="nil"/>
              <w:bottom w:val="nil"/>
              <w:right w:val="nil"/>
            </w:tcBorders>
            <w:hideMark/>
          </w:tcPr>
          <w:p w14:paraId="24613C14"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Group J </w:t>
            </w:r>
          </w:p>
        </w:tc>
        <w:tc>
          <w:tcPr>
            <w:tcW w:w="2197" w:type="dxa"/>
            <w:tcBorders>
              <w:top w:val="nil"/>
              <w:left w:val="nil"/>
              <w:bottom w:val="nil"/>
              <w:right w:val="nil"/>
            </w:tcBorders>
            <w:hideMark/>
          </w:tcPr>
          <w:p w14:paraId="414A8E1A"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231.00</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11.46</w:t>
            </w:r>
          </w:p>
        </w:tc>
        <w:tc>
          <w:tcPr>
            <w:tcW w:w="1142" w:type="dxa"/>
            <w:tcBorders>
              <w:top w:val="nil"/>
              <w:left w:val="nil"/>
              <w:bottom w:val="nil"/>
              <w:right w:val="nil"/>
            </w:tcBorders>
            <w:hideMark/>
          </w:tcPr>
          <w:p w14:paraId="643A562E"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0.310</w:t>
            </w:r>
            <w:r w:rsidRPr="003644C3">
              <w:rPr>
                <w:rFonts w:ascii="Times New Roman" w:eastAsia="Aptos" w:hAnsi="Times New Roman" w:cs="Times New Roman"/>
                <w:sz w:val="24"/>
                <w:szCs w:val="24"/>
                <w:vertAlign w:val="superscript"/>
                <w:lang w:val="en-GB"/>
              </w:rPr>
              <w:t xml:space="preserve"> a</w:t>
            </w:r>
          </w:p>
        </w:tc>
        <w:tc>
          <w:tcPr>
            <w:tcW w:w="2674" w:type="dxa"/>
            <w:tcBorders>
              <w:top w:val="nil"/>
              <w:left w:val="nil"/>
              <w:bottom w:val="nil"/>
              <w:right w:val="nil"/>
            </w:tcBorders>
            <w:hideMark/>
          </w:tcPr>
          <w:p w14:paraId="2D0921A4"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0.023</w:t>
            </w:r>
            <w:r w:rsidRPr="003644C3">
              <w:rPr>
                <w:rFonts w:ascii="Times New Roman" w:eastAsia="Aptos" w:hAnsi="Times New Roman" w:cs="Times New Roman"/>
                <w:sz w:val="24"/>
                <w:szCs w:val="24"/>
                <w:lang w:val="en-GB"/>
              </w:rPr>
              <w:sym w:font="Symbol" w:char="F0B1"/>
            </w:r>
            <w:r w:rsidRPr="003644C3">
              <w:rPr>
                <w:rFonts w:ascii="Times New Roman" w:eastAsia="Aptos" w:hAnsi="Times New Roman" w:cs="Times New Roman"/>
                <w:sz w:val="24"/>
                <w:szCs w:val="24"/>
                <w:lang w:val="en-GB"/>
              </w:rPr>
              <w:t>0.016</w:t>
            </w:r>
          </w:p>
        </w:tc>
        <w:tc>
          <w:tcPr>
            <w:tcW w:w="1280" w:type="dxa"/>
            <w:tcBorders>
              <w:top w:val="nil"/>
              <w:left w:val="nil"/>
              <w:bottom w:val="nil"/>
              <w:right w:val="nil"/>
            </w:tcBorders>
            <w:hideMark/>
          </w:tcPr>
          <w:p w14:paraId="525C5EE1"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0.829</w:t>
            </w:r>
            <w:r w:rsidRPr="003644C3">
              <w:rPr>
                <w:rFonts w:ascii="Times New Roman" w:eastAsia="Aptos" w:hAnsi="Times New Roman" w:cs="Times New Roman"/>
                <w:sz w:val="24"/>
                <w:szCs w:val="24"/>
                <w:vertAlign w:val="superscript"/>
                <w:lang w:val="en-GB"/>
              </w:rPr>
              <w:t xml:space="preserve"> a</w:t>
            </w:r>
          </w:p>
        </w:tc>
      </w:tr>
      <w:tr w:rsidR="003644C3" w:rsidRPr="003644C3" w14:paraId="516DE719" w14:textId="77777777" w:rsidTr="003E7464">
        <w:trPr>
          <w:trHeight w:val="241"/>
          <w:jc w:val="center"/>
        </w:trPr>
        <w:tc>
          <w:tcPr>
            <w:tcW w:w="2067" w:type="dxa"/>
            <w:tcBorders>
              <w:top w:val="nil"/>
              <w:left w:val="nil"/>
              <w:bottom w:val="single" w:sz="4" w:space="0" w:color="auto"/>
              <w:right w:val="nil"/>
            </w:tcBorders>
            <w:hideMark/>
          </w:tcPr>
          <w:p w14:paraId="616E66B9"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F-ratio</w:t>
            </w:r>
          </w:p>
        </w:tc>
        <w:tc>
          <w:tcPr>
            <w:tcW w:w="2197" w:type="dxa"/>
            <w:tcBorders>
              <w:top w:val="nil"/>
              <w:left w:val="nil"/>
              <w:bottom w:val="single" w:sz="4" w:space="0" w:color="auto"/>
              <w:right w:val="nil"/>
            </w:tcBorders>
            <w:hideMark/>
          </w:tcPr>
          <w:p w14:paraId="6367A876"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2.433</w:t>
            </w:r>
          </w:p>
        </w:tc>
        <w:tc>
          <w:tcPr>
            <w:tcW w:w="1142" w:type="dxa"/>
            <w:tcBorders>
              <w:top w:val="nil"/>
              <w:left w:val="nil"/>
              <w:bottom w:val="single" w:sz="4" w:space="0" w:color="auto"/>
              <w:right w:val="nil"/>
            </w:tcBorders>
          </w:tcPr>
          <w:p w14:paraId="1AB6AE3B"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p>
        </w:tc>
        <w:tc>
          <w:tcPr>
            <w:tcW w:w="2674" w:type="dxa"/>
            <w:tcBorders>
              <w:top w:val="nil"/>
              <w:left w:val="nil"/>
              <w:bottom w:val="single" w:sz="4" w:space="0" w:color="auto"/>
              <w:right w:val="nil"/>
            </w:tcBorders>
            <w:hideMark/>
          </w:tcPr>
          <w:p w14:paraId="6D46CE78"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1.177</w:t>
            </w:r>
          </w:p>
        </w:tc>
        <w:tc>
          <w:tcPr>
            <w:tcW w:w="1280" w:type="dxa"/>
            <w:tcBorders>
              <w:top w:val="nil"/>
              <w:left w:val="nil"/>
              <w:bottom w:val="single" w:sz="4" w:space="0" w:color="auto"/>
              <w:right w:val="nil"/>
            </w:tcBorders>
          </w:tcPr>
          <w:p w14:paraId="506BC4E8" w14:textId="77777777" w:rsidR="003644C3" w:rsidRPr="003644C3" w:rsidRDefault="003644C3" w:rsidP="003644C3">
            <w:pPr>
              <w:spacing w:after="0" w:line="480" w:lineRule="auto"/>
              <w:jc w:val="center"/>
              <w:rPr>
                <w:rFonts w:ascii="Times New Roman" w:eastAsia="Aptos" w:hAnsi="Times New Roman" w:cs="Times New Roman"/>
                <w:sz w:val="24"/>
                <w:szCs w:val="24"/>
                <w:lang w:val="en-GB"/>
              </w:rPr>
            </w:pPr>
          </w:p>
        </w:tc>
      </w:tr>
    </w:tbl>
    <w:p w14:paraId="00479CBA" w14:textId="77777777" w:rsidR="003644C3" w:rsidRPr="003644C3" w:rsidRDefault="003644C3" w:rsidP="003644C3">
      <w:pPr>
        <w:spacing w:after="0" w:line="480" w:lineRule="auto"/>
        <w:rPr>
          <w:rFonts w:ascii="Times New Roman" w:eastAsia="Aptos" w:hAnsi="Times New Roman" w:cs="Times New Roman"/>
          <w:sz w:val="24"/>
          <w:szCs w:val="24"/>
          <w:lang w:val="en-GB"/>
        </w:rPr>
      </w:pPr>
      <w:r w:rsidRPr="003644C3">
        <w:rPr>
          <w:rFonts w:ascii="Times New Roman" w:eastAsia="Aptos" w:hAnsi="Times New Roman" w:cs="Times New Roman"/>
          <w:sz w:val="24"/>
          <w:szCs w:val="24"/>
          <w:lang w:val="en-GB"/>
        </w:rPr>
        <w:t xml:space="preserve">Data was analysed using ANOVA followed by post hoc LSD multiple comparison and values were considered significant at </w:t>
      </w:r>
      <w:r w:rsidRPr="003644C3">
        <w:rPr>
          <w:rFonts w:ascii="Times New Roman" w:eastAsia="Aptos" w:hAnsi="Times New Roman" w:cs="Times New Roman"/>
          <w:i/>
          <w:sz w:val="24"/>
          <w:szCs w:val="24"/>
          <w:lang w:val="en-GB"/>
        </w:rPr>
        <w:t>p&lt;0.05</w:t>
      </w:r>
      <w:r w:rsidRPr="003644C3">
        <w:rPr>
          <w:rFonts w:ascii="Times New Roman" w:eastAsia="Aptos" w:hAnsi="Times New Roman" w:cs="Times New Roman"/>
          <w:sz w:val="24"/>
          <w:szCs w:val="24"/>
          <w:lang w:val="en-GB"/>
        </w:rPr>
        <w:t xml:space="preserve">. SD: standard deviation, </w:t>
      </w:r>
      <w:r w:rsidRPr="003644C3">
        <w:rPr>
          <w:rFonts w:ascii="Times New Roman" w:eastAsia="Aptos" w:hAnsi="Times New Roman" w:cs="Times New Roman"/>
          <w:sz w:val="24"/>
          <w:szCs w:val="24"/>
          <w:vertAlign w:val="superscript"/>
          <w:lang w:val="en-GB"/>
        </w:rPr>
        <w:t>#</w:t>
      </w:r>
      <w:r w:rsidRPr="003644C3">
        <w:rPr>
          <w:rFonts w:ascii="Times New Roman" w:eastAsia="Aptos" w:hAnsi="Times New Roman" w:cs="Times New Roman"/>
          <w:sz w:val="24"/>
          <w:szCs w:val="24"/>
          <w:lang w:val="en-GB"/>
        </w:rPr>
        <w:t xml:space="preserve">: significance, and </w:t>
      </w:r>
      <w:r w:rsidRPr="003644C3">
        <w:rPr>
          <w:rFonts w:ascii="Times New Roman" w:eastAsia="Aptos" w:hAnsi="Times New Roman" w:cs="Times New Roman"/>
          <w:sz w:val="24"/>
          <w:szCs w:val="24"/>
          <w:vertAlign w:val="superscript"/>
          <w:lang w:val="en-GB"/>
        </w:rPr>
        <w:t>a</w:t>
      </w:r>
      <w:r w:rsidRPr="003644C3">
        <w:rPr>
          <w:rFonts w:ascii="Times New Roman" w:eastAsia="Aptos" w:hAnsi="Times New Roman" w:cs="Times New Roman"/>
          <w:sz w:val="24"/>
          <w:szCs w:val="24"/>
          <w:lang w:val="en-GB"/>
        </w:rPr>
        <w:t>: not significant.</w:t>
      </w:r>
    </w:p>
    <w:p w14:paraId="56543B99" w14:textId="77777777" w:rsidR="003644C3" w:rsidRPr="003644C3" w:rsidRDefault="003644C3" w:rsidP="003644C3">
      <w:pPr>
        <w:spacing w:after="0" w:line="480" w:lineRule="auto"/>
        <w:rPr>
          <w:rFonts w:ascii="Times New Roman" w:eastAsia="Aptos" w:hAnsi="Times New Roman" w:cs="Times New Roman"/>
          <w:bCs/>
          <w:sz w:val="24"/>
          <w:szCs w:val="24"/>
          <w:lang w:val="en-GB"/>
        </w:rPr>
      </w:pPr>
      <w:r w:rsidRPr="003644C3">
        <w:rPr>
          <w:rFonts w:ascii="Times New Roman" w:eastAsia="Aptos" w:hAnsi="Times New Roman" w:cs="Times New Roman"/>
          <w:sz w:val="24"/>
          <w:szCs w:val="24"/>
          <w:lang w:val="en-GB"/>
        </w:rPr>
        <w:t xml:space="preserve"> </w:t>
      </w:r>
    </w:p>
    <w:p w14:paraId="787F46FB" w14:textId="77777777" w:rsidR="003644C3" w:rsidRPr="003644C3" w:rsidRDefault="003644C3" w:rsidP="003644C3">
      <w:pPr>
        <w:spacing w:after="0" w:line="240" w:lineRule="auto"/>
        <w:rPr>
          <w:rFonts w:ascii="Times New Roman" w:eastAsia="Aptos" w:hAnsi="Times New Roman" w:cs="Times New Roman"/>
          <w:bCs/>
          <w:sz w:val="24"/>
          <w:szCs w:val="24"/>
          <w:lang w:val="en-GB"/>
        </w:rPr>
      </w:pPr>
    </w:p>
    <w:p w14:paraId="45D2F0B6" w14:textId="77777777" w:rsidR="003644C3" w:rsidRPr="003644C3" w:rsidRDefault="003644C3" w:rsidP="003644C3">
      <w:pPr>
        <w:spacing w:after="0" w:line="240" w:lineRule="auto"/>
        <w:jc w:val="both"/>
        <w:rPr>
          <w:rFonts w:ascii="Times New Roman" w:eastAsia="Aptos" w:hAnsi="Times New Roman" w:cs="Times New Roman"/>
          <w:bCs/>
          <w:sz w:val="24"/>
          <w:szCs w:val="24"/>
          <w:lang w:val="en-GB"/>
        </w:rPr>
      </w:pPr>
    </w:p>
    <w:p w14:paraId="486954C0" w14:textId="77777777" w:rsidR="003644C3" w:rsidRPr="003644C3" w:rsidRDefault="003644C3" w:rsidP="003644C3">
      <w:pPr>
        <w:spacing w:after="0" w:line="240" w:lineRule="auto"/>
        <w:jc w:val="both"/>
        <w:rPr>
          <w:rFonts w:ascii="Times New Roman" w:eastAsia="Aptos" w:hAnsi="Times New Roman" w:cs="Times New Roman"/>
          <w:bCs/>
          <w:sz w:val="24"/>
          <w:szCs w:val="24"/>
          <w:lang w:val="en-GB"/>
        </w:rPr>
      </w:pPr>
    </w:p>
    <w:p w14:paraId="0BE53367" w14:textId="77777777" w:rsidR="003644C3" w:rsidRPr="003644C3" w:rsidRDefault="003644C3" w:rsidP="003644C3">
      <w:pPr>
        <w:spacing w:after="0" w:line="240" w:lineRule="auto"/>
        <w:jc w:val="both"/>
        <w:rPr>
          <w:rFonts w:ascii="Times New Roman" w:eastAsia="Aptos" w:hAnsi="Times New Roman" w:cs="Times New Roman"/>
          <w:bCs/>
          <w:sz w:val="24"/>
          <w:szCs w:val="24"/>
          <w:lang w:val="en-GB"/>
        </w:rPr>
      </w:pPr>
    </w:p>
    <w:p w14:paraId="6AF5F829" w14:textId="20619525" w:rsidR="003644C3" w:rsidRDefault="003644C3" w:rsidP="003644C3">
      <w:pPr>
        <w:pStyle w:val="NoSpacing"/>
        <w:spacing w:line="480" w:lineRule="auto"/>
        <w:rPr>
          <w:rFonts w:ascii="Times New Roman" w:hAnsi="Times New Roman" w:cs="Times New Roman"/>
          <w:sz w:val="24"/>
          <w:szCs w:val="24"/>
          <w:highlight w:val="yellow"/>
          <w:lang w:val="en-GB" w:eastAsia="en-GB"/>
        </w:rPr>
      </w:pPr>
    </w:p>
    <w:p w14:paraId="5AA36310" w14:textId="491C469C" w:rsidR="003644C3" w:rsidRDefault="003644C3" w:rsidP="003644C3">
      <w:pPr>
        <w:pStyle w:val="NoSpacing"/>
        <w:spacing w:line="480" w:lineRule="auto"/>
        <w:rPr>
          <w:rFonts w:ascii="Times New Roman" w:hAnsi="Times New Roman" w:cs="Times New Roman"/>
          <w:sz w:val="24"/>
          <w:szCs w:val="24"/>
          <w:highlight w:val="yellow"/>
          <w:lang w:val="en-GB" w:eastAsia="en-GB"/>
        </w:rPr>
      </w:pPr>
    </w:p>
    <w:p w14:paraId="7A817B1C" w14:textId="77777777" w:rsidR="003644C3" w:rsidRPr="003644C3" w:rsidRDefault="003644C3" w:rsidP="003644C3">
      <w:pPr>
        <w:spacing w:after="0" w:line="360" w:lineRule="auto"/>
        <w:rPr>
          <w:rFonts w:ascii="Times New Roman" w:eastAsia="Aptos" w:hAnsi="Times New Roman" w:cs="Times New Roman"/>
          <w:bCs/>
          <w:sz w:val="20"/>
          <w:szCs w:val="20"/>
          <w:lang w:val="en-GB"/>
        </w:rPr>
      </w:pPr>
    </w:p>
    <w:p w14:paraId="545CE6EB" w14:textId="77777777" w:rsidR="003644C3" w:rsidRPr="003644C3" w:rsidRDefault="003644C3" w:rsidP="003644C3">
      <w:pPr>
        <w:spacing w:line="480" w:lineRule="auto"/>
        <w:rPr>
          <w:b/>
          <w:sz w:val="20"/>
          <w:szCs w:val="20"/>
        </w:rPr>
      </w:pPr>
      <w:r w:rsidRPr="003644C3">
        <w:rPr>
          <w:b/>
          <w:noProof/>
          <w:sz w:val="20"/>
          <w:szCs w:val="20"/>
          <w:lang w:eastAsia="en-GB"/>
        </w:rPr>
        <w:drawing>
          <wp:inline distT="0" distB="0" distL="0" distR="0" wp14:anchorId="28A07F95" wp14:editId="304B4954">
            <wp:extent cx="5762625" cy="2838450"/>
            <wp:effectExtent l="19050" t="0" r="952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13A80E" w14:textId="77777777" w:rsidR="003644C3" w:rsidRPr="003644C3" w:rsidRDefault="003644C3" w:rsidP="003644C3">
      <w:pPr>
        <w:spacing w:after="0" w:line="480" w:lineRule="auto"/>
        <w:jc w:val="both"/>
        <w:rPr>
          <w:rFonts w:ascii="Times New Roman" w:eastAsia="Aptos" w:hAnsi="Times New Roman" w:cs="Times New Roman"/>
          <w:b/>
          <w:bCs/>
          <w:sz w:val="24"/>
          <w:szCs w:val="24"/>
        </w:rPr>
      </w:pPr>
      <w:r w:rsidRPr="003644C3">
        <w:rPr>
          <w:rFonts w:ascii="Times New Roman" w:eastAsia="Aptos" w:hAnsi="Times New Roman" w:cs="Times New Roman"/>
          <w:b/>
          <w:bCs/>
          <w:sz w:val="24"/>
          <w:szCs w:val="24"/>
        </w:rPr>
        <w:t xml:space="preserve">Figure 1: </w:t>
      </w:r>
      <w:r w:rsidRPr="003644C3">
        <w:rPr>
          <w:rFonts w:ascii="Times New Roman" w:eastAsia="Aptos" w:hAnsi="Times New Roman" w:cs="Times New Roman"/>
          <w:sz w:val="24"/>
          <w:szCs w:val="24"/>
        </w:rPr>
        <w:t>Result of relative weight of testis</w:t>
      </w:r>
    </w:p>
    <w:p w14:paraId="0C22DD08" w14:textId="77777777" w:rsidR="003644C3" w:rsidRPr="003644C3" w:rsidRDefault="003644C3" w:rsidP="003644C3">
      <w:pPr>
        <w:spacing w:after="0" w:line="480" w:lineRule="auto"/>
        <w:jc w:val="both"/>
        <w:rPr>
          <w:rFonts w:ascii="Times New Roman" w:eastAsia="Aptos" w:hAnsi="Times New Roman" w:cs="Times New Roman"/>
          <w:b/>
          <w:bCs/>
          <w:sz w:val="24"/>
          <w:szCs w:val="24"/>
          <w:lang w:val="en-GB"/>
        </w:rPr>
      </w:pPr>
    </w:p>
    <w:p w14:paraId="30863B5F" w14:textId="77777777" w:rsidR="003644C3" w:rsidRPr="003644C3" w:rsidRDefault="003644C3" w:rsidP="003644C3"/>
    <w:p w14:paraId="5CCDBACB" w14:textId="77777777" w:rsidR="003644C3" w:rsidRPr="00AA4205" w:rsidRDefault="003644C3" w:rsidP="003644C3">
      <w:pPr>
        <w:pStyle w:val="NoSpacing"/>
        <w:spacing w:line="480" w:lineRule="auto"/>
        <w:rPr>
          <w:rFonts w:ascii="Times New Roman" w:hAnsi="Times New Roman" w:cs="Times New Roman"/>
          <w:sz w:val="24"/>
          <w:szCs w:val="24"/>
          <w:highlight w:val="yellow"/>
          <w:lang w:val="en-GB" w:eastAsia="en-GB"/>
        </w:rPr>
      </w:pPr>
    </w:p>
    <w:sectPr w:rsidR="003644C3" w:rsidRPr="00AA4205" w:rsidSect="004B4B8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DC3" w14:textId="77777777" w:rsidR="00DA52ED" w:rsidRDefault="00DA52ED" w:rsidP="00BE3DA9">
      <w:pPr>
        <w:spacing w:after="0" w:line="240" w:lineRule="auto"/>
      </w:pPr>
      <w:r>
        <w:separator/>
      </w:r>
    </w:p>
  </w:endnote>
  <w:endnote w:type="continuationSeparator" w:id="0">
    <w:p w14:paraId="06A042C2" w14:textId="77777777" w:rsidR="00DA52ED" w:rsidRDefault="00DA52ED" w:rsidP="00B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00" w:usb1="00000000" w:usb2="00000010" w:usb3="00000000" w:csb0="0002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73363"/>
      <w:docPartObj>
        <w:docPartGallery w:val="Page Numbers (Bottom of Page)"/>
        <w:docPartUnique/>
      </w:docPartObj>
    </w:sdtPr>
    <w:sdtEndPr/>
    <w:sdtContent>
      <w:p w14:paraId="0B08B1D9" w14:textId="77777777" w:rsidR="00914311" w:rsidRDefault="00E9643F">
        <w:pPr>
          <w:pStyle w:val="Footer"/>
          <w:jc w:val="right"/>
        </w:pPr>
        <w:r>
          <w:fldChar w:fldCharType="begin"/>
        </w:r>
        <w:r w:rsidR="00914311">
          <w:instrText xml:space="preserve"> PAGE   \* MERGEFORMAT </w:instrText>
        </w:r>
        <w:r>
          <w:fldChar w:fldCharType="separate"/>
        </w:r>
        <w:r w:rsidR="005911B6">
          <w:rPr>
            <w:noProof/>
          </w:rPr>
          <w:t>12</w:t>
        </w:r>
        <w:r>
          <w:rPr>
            <w:noProof/>
          </w:rPr>
          <w:fldChar w:fldCharType="end"/>
        </w:r>
      </w:p>
    </w:sdtContent>
  </w:sdt>
  <w:p w14:paraId="679B89CD" w14:textId="77777777" w:rsidR="00914311" w:rsidRDefault="0091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A548" w14:textId="77777777" w:rsidR="00DA52ED" w:rsidRDefault="00DA52ED" w:rsidP="00BE3DA9">
      <w:pPr>
        <w:spacing w:after="0" w:line="240" w:lineRule="auto"/>
      </w:pPr>
      <w:r>
        <w:separator/>
      </w:r>
    </w:p>
  </w:footnote>
  <w:footnote w:type="continuationSeparator" w:id="0">
    <w:p w14:paraId="787888D4" w14:textId="77777777" w:rsidR="00DA52ED" w:rsidRDefault="00DA52ED" w:rsidP="00BE3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3AA"/>
    <w:multiLevelType w:val="hybridMultilevel"/>
    <w:tmpl w:val="F41A0F60"/>
    <w:lvl w:ilvl="0" w:tplc="347267B8">
      <w:start w:val="1"/>
      <w:numFmt w:val="decimal"/>
      <w:lvlText w:val="%1."/>
      <w:lvlJc w:val="left"/>
      <w:pPr>
        <w:ind w:left="720" w:hanging="360"/>
      </w:pPr>
      <w:rPr>
        <w:rFonts w:ascii="Times New Roman" w:hAnsi="Times New Roman" w:cs="Times New Roman" w:hint="default"/>
        <w:i w:val="0"/>
        <w:iCs w:val="0"/>
        <w:color w:val="212121"/>
        <w:sz w:val="24"/>
        <w:szCs w:val="24"/>
      </w:rPr>
    </w:lvl>
    <w:lvl w:ilvl="1" w:tplc="24F42954">
      <w:numFmt w:val="bullet"/>
      <w:lvlText w:val=""/>
      <w:lvlJc w:val="left"/>
      <w:pPr>
        <w:ind w:left="1440" w:hanging="360"/>
      </w:pPr>
      <w:rPr>
        <w:rFonts w:ascii="Symbol" w:eastAsiaTheme="minorHAnsi" w:hAnsi="Symbol" w:cstheme="minorBidi"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C35D0"/>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E07CE"/>
    <w:multiLevelType w:val="hybridMultilevel"/>
    <w:tmpl w:val="43B4CA2C"/>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231D24"/>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511D2"/>
    <w:multiLevelType w:val="multilevel"/>
    <w:tmpl w:val="C77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579A"/>
    <w:multiLevelType w:val="multilevel"/>
    <w:tmpl w:val="FA2A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E0AF2"/>
    <w:multiLevelType w:val="multilevel"/>
    <w:tmpl w:val="9F506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51163"/>
    <w:multiLevelType w:val="multilevel"/>
    <w:tmpl w:val="5940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7428F"/>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A342D"/>
    <w:multiLevelType w:val="hybridMultilevel"/>
    <w:tmpl w:val="CD220E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A1612"/>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337CD"/>
    <w:multiLevelType w:val="multilevel"/>
    <w:tmpl w:val="BEC28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D611C"/>
    <w:multiLevelType w:val="hybridMultilevel"/>
    <w:tmpl w:val="BD88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D832D3"/>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D0D"/>
    <w:multiLevelType w:val="multilevel"/>
    <w:tmpl w:val="4ABA3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A6D2B"/>
    <w:multiLevelType w:val="multilevel"/>
    <w:tmpl w:val="61C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E13C6"/>
    <w:multiLevelType w:val="multilevel"/>
    <w:tmpl w:val="798E9F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2"/>
  </w:num>
  <w:num w:numId="3">
    <w:abstractNumId w:val="16"/>
  </w:num>
  <w:num w:numId="4">
    <w:abstractNumId w:val="4"/>
  </w:num>
  <w:num w:numId="5">
    <w:abstractNumId w:val="5"/>
  </w:num>
  <w:num w:numId="6">
    <w:abstractNumId w:val="14"/>
  </w:num>
  <w:num w:numId="7">
    <w:abstractNumId w:val="2"/>
  </w:num>
  <w:num w:numId="8">
    <w:abstractNumId w:val="11"/>
  </w:num>
  <w:num w:numId="9">
    <w:abstractNumId w:val="3"/>
  </w:num>
  <w:num w:numId="10">
    <w:abstractNumId w:val="10"/>
  </w:num>
  <w:num w:numId="11">
    <w:abstractNumId w:val="6"/>
  </w:num>
  <w:num w:numId="12">
    <w:abstractNumId w:val="9"/>
  </w:num>
  <w:num w:numId="13">
    <w:abstractNumId w:val="0"/>
  </w:num>
  <w:num w:numId="14">
    <w:abstractNumId w:val="1"/>
  </w:num>
  <w:num w:numId="15">
    <w:abstractNumId w:val="8"/>
  </w:num>
  <w:num w:numId="16">
    <w:abstractNumId w:val="13"/>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4B5"/>
    <w:rsid w:val="000231D6"/>
    <w:rsid w:val="0002453E"/>
    <w:rsid w:val="00026BF6"/>
    <w:rsid w:val="0003685A"/>
    <w:rsid w:val="00041793"/>
    <w:rsid w:val="00054268"/>
    <w:rsid w:val="00056915"/>
    <w:rsid w:val="00060FC0"/>
    <w:rsid w:val="00061934"/>
    <w:rsid w:val="00062B5D"/>
    <w:rsid w:val="00064D86"/>
    <w:rsid w:val="00071C7C"/>
    <w:rsid w:val="000758B6"/>
    <w:rsid w:val="000762D2"/>
    <w:rsid w:val="00081698"/>
    <w:rsid w:val="0008687C"/>
    <w:rsid w:val="000909E8"/>
    <w:rsid w:val="00091C7A"/>
    <w:rsid w:val="000975AD"/>
    <w:rsid w:val="000A518D"/>
    <w:rsid w:val="000A6D2C"/>
    <w:rsid w:val="000B18E6"/>
    <w:rsid w:val="000B45D4"/>
    <w:rsid w:val="000B5944"/>
    <w:rsid w:val="000C553A"/>
    <w:rsid w:val="000C79A3"/>
    <w:rsid w:val="000D203B"/>
    <w:rsid w:val="000D4665"/>
    <w:rsid w:val="000D4A31"/>
    <w:rsid w:val="000E196B"/>
    <w:rsid w:val="000E650A"/>
    <w:rsid w:val="000F3D6E"/>
    <w:rsid w:val="000F4DFE"/>
    <w:rsid w:val="0010182A"/>
    <w:rsid w:val="001112C4"/>
    <w:rsid w:val="0012365B"/>
    <w:rsid w:val="00125A70"/>
    <w:rsid w:val="00130257"/>
    <w:rsid w:val="001323DB"/>
    <w:rsid w:val="001334F4"/>
    <w:rsid w:val="00134B23"/>
    <w:rsid w:val="00135DFC"/>
    <w:rsid w:val="001652F5"/>
    <w:rsid w:val="00171212"/>
    <w:rsid w:val="00174368"/>
    <w:rsid w:val="00180349"/>
    <w:rsid w:val="0019236F"/>
    <w:rsid w:val="0019373E"/>
    <w:rsid w:val="00194A34"/>
    <w:rsid w:val="00195453"/>
    <w:rsid w:val="001A18D0"/>
    <w:rsid w:val="001A32A3"/>
    <w:rsid w:val="001A47D8"/>
    <w:rsid w:val="001B0303"/>
    <w:rsid w:val="001B232B"/>
    <w:rsid w:val="001B4654"/>
    <w:rsid w:val="001B7CD8"/>
    <w:rsid w:val="001C21C1"/>
    <w:rsid w:val="001C3DDB"/>
    <w:rsid w:val="001C5590"/>
    <w:rsid w:val="001D4FA5"/>
    <w:rsid w:val="001D5258"/>
    <w:rsid w:val="001D549B"/>
    <w:rsid w:val="001E0590"/>
    <w:rsid w:val="001E6CAA"/>
    <w:rsid w:val="001F2B25"/>
    <w:rsid w:val="001F2F80"/>
    <w:rsid w:val="001F7F93"/>
    <w:rsid w:val="002142CA"/>
    <w:rsid w:val="00215D50"/>
    <w:rsid w:val="00223116"/>
    <w:rsid w:val="00225952"/>
    <w:rsid w:val="00225D69"/>
    <w:rsid w:val="00237447"/>
    <w:rsid w:val="0024011E"/>
    <w:rsid w:val="0024590E"/>
    <w:rsid w:val="00247207"/>
    <w:rsid w:val="002532AD"/>
    <w:rsid w:val="00256A80"/>
    <w:rsid w:val="00256D4B"/>
    <w:rsid w:val="00264FBA"/>
    <w:rsid w:val="002755C8"/>
    <w:rsid w:val="00282694"/>
    <w:rsid w:val="0028381E"/>
    <w:rsid w:val="00286E8E"/>
    <w:rsid w:val="00292318"/>
    <w:rsid w:val="00292597"/>
    <w:rsid w:val="00293751"/>
    <w:rsid w:val="002A4454"/>
    <w:rsid w:val="002A4BAD"/>
    <w:rsid w:val="002A5103"/>
    <w:rsid w:val="002C68FA"/>
    <w:rsid w:val="002C717C"/>
    <w:rsid w:val="002C7B7D"/>
    <w:rsid w:val="002D65BB"/>
    <w:rsid w:val="002E2CF9"/>
    <w:rsid w:val="002F3053"/>
    <w:rsid w:val="0030475B"/>
    <w:rsid w:val="00306D3B"/>
    <w:rsid w:val="00315B4B"/>
    <w:rsid w:val="00320D9F"/>
    <w:rsid w:val="0033249D"/>
    <w:rsid w:val="00332E7D"/>
    <w:rsid w:val="00335701"/>
    <w:rsid w:val="003437C5"/>
    <w:rsid w:val="00343C0C"/>
    <w:rsid w:val="00344890"/>
    <w:rsid w:val="003479F2"/>
    <w:rsid w:val="0035484A"/>
    <w:rsid w:val="0035790A"/>
    <w:rsid w:val="003644C3"/>
    <w:rsid w:val="0036702F"/>
    <w:rsid w:val="00367E56"/>
    <w:rsid w:val="00372430"/>
    <w:rsid w:val="0037400C"/>
    <w:rsid w:val="00377664"/>
    <w:rsid w:val="00380EF4"/>
    <w:rsid w:val="00383BF4"/>
    <w:rsid w:val="00385BCD"/>
    <w:rsid w:val="003A0544"/>
    <w:rsid w:val="003A4F67"/>
    <w:rsid w:val="003B3CDF"/>
    <w:rsid w:val="003B5655"/>
    <w:rsid w:val="003C3155"/>
    <w:rsid w:val="003C4273"/>
    <w:rsid w:val="003C5A6A"/>
    <w:rsid w:val="003D2DBD"/>
    <w:rsid w:val="003D4321"/>
    <w:rsid w:val="003D5B6C"/>
    <w:rsid w:val="003D7DB7"/>
    <w:rsid w:val="003E263B"/>
    <w:rsid w:val="003E3DA7"/>
    <w:rsid w:val="003E7F26"/>
    <w:rsid w:val="003F6E40"/>
    <w:rsid w:val="00403074"/>
    <w:rsid w:val="0040687C"/>
    <w:rsid w:val="004176BB"/>
    <w:rsid w:val="00421643"/>
    <w:rsid w:val="00421B17"/>
    <w:rsid w:val="00430947"/>
    <w:rsid w:val="00434B20"/>
    <w:rsid w:val="0044121B"/>
    <w:rsid w:val="0044205A"/>
    <w:rsid w:val="00454E33"/>
    <w:rsid w:val="00456058"/>
    <w:rsid w:val="00460C0A"/>
    <w:rsid w:val="00462E53"/>
    <w:rsid w:val="004641B3"/>
    <w:rsid w:val="004666CA"/>
    <w:rsid w:val="00473923"/>
    <w:rsid w:val="00480030"/>
    <w:rsid w:val="00486046"/>
    <w:rsid w:val="004906F6"/>
    <w:rsid w:val="00495E51"/>
    <w:rsid w:val="0049601B"/>
    <w:rsid w:val="004B4A21"/>
    <w:rsid w:val="004B4B82"/>
    <w:rsid w:val="004C3FE3"/>
    <w:rsid w:val="004C60C7"/>
    <w:rsid w:val="004E0BC5"/>
    <w:rsid w:val="004E0CA2"/>
    <w:rsid w:val="004E3399"/>
    <w:rsid w:val="004E73F9"/>
    <w:rsid w:val="004E7446"/>
    <w:rsid w:val="004F1865"/>
    <w:rsid w:val="005020C1"/>
    <w:rsid w:val="005069A5"/>
    <w:rsid w:val="00513E00"/>
    <w:rsid w:val="005154C4"/>
    <w:rsid w:val="00516459"/>
    <w:rsid w:val="00525326"/>
    <w:rsid w:val="005276B3"/>
    <w:rsid w:val="00527FDE"/>
    <w:rsid w:val="005317FD"/>
    <w:rsid w:val="00533C1E"/>
    <w:rsid w:val="00533EA4"/>
    <w:rsid w:val="00534171"/>
    <w:rsid w:val="00542CF2"/>
    <w:rsid w:val="00543C1F"/>
    <w:rsid w:val="005570D1"/>
    <w:rsid w:val="005706B4"/>
    <w:rsid w:val="00577831"/>
    <w:rsid w:val="005911B6"/>
    <w:rsid w:val="00597713"/>
    <w:rsid w:val="005A53A3"/>
    <w:rsid w:val="005B0FEB"/>
    <w:rsid w:val="005B1A8D"/>
    <w:rsid w:val="005B53B8"/>
    <w:rsid w:val="005B69A7"/>
    <w:rsid w:val="005D034A"/>
    <w:rsid w:val="005D50B1"/>
    <w:rsid w:val="005D713B"/>
    <w:rsid w:val="005F258F"/>
    <w:rsid w:val="005F72D3"/>
    <w:rsid w:val="00612D86"/>
    <w:rsid w:val="006148EC"/>
    <w:rsid w:val="0061639F"/>
    <w:rsid w:val="00621587"/>
    <w:rsid w:val="00624C89"/>
    <w:rsid w:val="00625ED7"/>
    <w:rsid w:val="00630D11"/>
    <w:rsid w:val="006321C5"/>
    <w:rsid w:val="006351BD"/>
    <w:rsid w:val="00645C8F"/>
    <w:rsid w:val="00652517"/>
    <w:rsid w:val="006624D0"/>
    <w:rsid w:val="00677741"/>
    <w:rsid w:val="00680E78"/>
    <w:rsid w:val="006852E9"/>
    <w:rsid w:val="006A4015"/>
    <w:rsid w:val="006C0C4A"/>
    <w:rsid w:val="006C25AB"/>
    <w:rsid w:val="006C355B"/>
    <w:rsid w:val="006D5687"/>
    <w:rsid w:val="006E0848"/>
    <w:rsid w:val="006E6F94"/>
    <w:rsid w:val="006F35FC"/>
    <w:rsid w:val="00702E71"/>
    <w:rsid w:val="00705A35"/>
    <w:rsid w:val="0070635E"/>
    <w:rsid w:val="00711CE2"/>
    <w:rsid w:val="00713AFF"/>
    <w:rsid w:val="00722A72"/>
    <w:rsid w:val="007318F2"/>
    <w:rsid w:val="00735534"/>
    <w:rsid w:val="00740697"/>
    <w:rsid w:val="0075441E"/>
    <w:rsid w:val="00761CD3"/>
    <w:rsid w:val="00771D29"/>
    <w:rsid w:val="007760C6"/>
    <w:rsid w:val="007966A9"/>
    <w:rsid w:val="007C6BBD"/>
    <w:rsid w:val="007C7CD0"/>
    <w:rsid w:val="007D070A"/>
    <w:rsid w:val="007E20CB"/>
    <w:rsid w:val="007E34B4"/>
    <w:rsid w:val="007F06FC"/>
    <w:rsid w:val="0080330C"/>
    <w:rsid w:val="00803FC1"/>
    <w:rsid w:val="0080605D"/>
    <w:rsid w:val="00821A71"/>
    <w:rsid w:val="00836048"/>
    <w:rsid w:val="00842D80"/>
    <w:rsid w:val="00846920"/>
    <w:rsid w:val="00850A00"/>
    <w:rsid w:val="00850F17"/>
    <w:rsid w:val="008539C9"/>
    <w:rsid w:val="00861A53"/>
    <w:rsid w:val="008674B5"/>
    <w:rsid w:val="008674BA"/>
    <w:rsid w:val="008715AE"/>
    <w:rsid w:val="00872751"/>
    <w:rsid w:val="00872B3F"/>
    <w:rsid w:val="00881BC9"/>
    <w:rsid w:val="0088706A"/>
    <w:rsid w:val="00894A0D"/>
    <w:rsid w:val="008A0C74"/>
    <w:rsid w:val="008A7E93"/>
    <w:rsid w:val="008B4110"/>
    <w:rsid w:val="008B5344"/>
    <w:rsid w:val="008C3FBB"/>
    <w:rsid w:val="008D2F11"/>
    <w:rsid w:val="008D7919"/>
    <w:rsid w:val="008E0566"/>
    <w:rsid w:val="008E0AA8"/>
    <w:rsid w:val="008F100F"/>
    <w:rsid w:val="008F43E8"/>
    <w:rsid w:val="008F7A78"/>
    <w:rsid w:val="008F7ED5"/>
    <w:rsid w:val="00904DBF"/>
    <w:rsid w:val="00907E72"/>
    <w:rsid w:val="00914311"/>
    <w:rsid w:val="00914F5D"/>
    <w:rsid w:val="00916614"/>
    <w:rsid w:val="0093035D"/>
    <w:rsid w:val="00940270"/>
    <w:rsid w:val="009411FD"/>
    <w:rsid w:val="00941723"/>
    <w:rsid w:val="0094502B"/>
    <w:rsid w:val="00951CEC"/>
    <w:rsid w:val="00955416"/>
    <w:rsid w:val="00955A6B"/>
    <w:rsid w:val="00961018"/>
    <w:rsid w:val="009629E3"/>
    <w:rsid w:val="009647C9"/>
    <w:rsid w:val="009657AD"/>
    <w:rsid w:val="009A0C37"/>
    <w:rsid w:val="009A3995"/>
    <w:rsid w:val="009A57EC"/>
    <w:rsid w:val="009A5EFE"/>
    <w:rsid w:val="009B14E9"/>
    <w:rsid w:val="009B2AF9"/>
    <w:rsid w:val="009B2C34"/>
    <w:rsid w:val="009C6836"/>
    <w:rsid w:val="009C6D7A"/>
    <w:rsid w:val="009D6BEC"/>
    <w:rsid w:val="009E333A"/>
    <w:rsid w:val="009F00C1"/>
    <w:rsid w:val="009F3869"/>
    <w:rsid w:val="009F7F5C"/>
    <w:rsid w:val="00A04108"/>
    <w:rsid w:val="00A16244"/>
    <w:rsid w:val="00A166D2"/>
    <w:rsid w:val="00A20AEC"/>
    <w:rsid w:val="00A23D6E"/>
    <w:rsid w:val="00A52C8E"/>
    <w:rsid w:val="00A55A22"/>
    <w:rsid w:val="00A76F09"/>
    <w:rsid w:val="00A84DDF"/>
    <w:rsid w:val="00AA4205"/>
    <w:rsid w:val="00AC15A0"/>
    <w:rsid w:val="00AC3506"/>
    <w:rsid w:val="00AC6E07"/>
    <w:rsid w:val="00AD00C2"/>
    <w:rsid w:val="00AD0915"/>
    <w:rsid w:val="00AF45AC"/>
    <w:rsid w:val="00AF4BF5"/>
    <w:rsid w:val="00AF5840"/>
    <w:rsid w:val="00B01C7E"/>
    <w:rsid w:val="00B07E1C"/>
    <w:rsid w:val="00B1761E"/>
    <w:rsid w:val="00B17FBA"/>
    <w:rsid w:val="00B223BB"/>
    <w:rsid w:val="00B3428F"/>
    <w:rsid w:val="00B35D63"/>
    <w:rsid w:val="00B37770"/>
    <w:rsid w:val="00B40246"/>
    <w:rsid w:val="00B51784"/>
    <w:rsid w:val="00B5257A"/>
    <w:rsid w:val="00B528FF"/>
    <w:rsid w:val="00B63C42"/>
    <w:rsid w:val="00B66C50"/>
    <w:rsid w:val="00B67E37"/>
    <w:rsid w:val="00B712AE"/>
    <w:rsid w:val="00B71DB9"/>
    <w:rsid w:val="00B80605"/>
    <w:rsid w:val="00B815C0"/>
    <w:rsid w:val="00B82DB0"/>
    <w:rsid w:val="00B90D36"/>
    <w:rsid w:val="00B91DA8"/>
    <w:rsid w:val="00BA1F71"/>
    <w:rsid w:val="00BA2093"/>
    <w:rsid w:val="00BA45DC"/>
    <w:rsid w:val="00BB7F7B"/>
    <w:rsid w:val="00BC283F"/>
    <w:rsid w:val="00BC513C"/>
    <w:rsid w:val="00BC633D"/>
    <w:rsid w:val="00BD27EB"/>
    <w:rsid w:val="00BD400C"/>
    <w:rsid w:val="00BD4C98"/>
    <w:rsid w:val="00BD6E32"/>
    <w:rsid w:val="00BE3DA9"/>
    <w:rsid w:val="00BE6653"/>
    <w:rsid w:val="00BE732F"/>
    <w:rsid w:val="00BF622B"/>
    <w:rsid w:val="00C0111E"/>
    <w:rsid w:val="00C01250"/>
    <w:rsid w:val="00C024B1"/>
    <w:rsid w:val="00C03ED3"/>
    <w:rsid w:val="00C06AB2"/>
    <w:rsid w:val="00C12227"/>
    <w:rsid w:val="00C126A6"/>
    <w:rsid w:val="00C20A64"/>
    <w:rsid w:val="00C23CE5"/>
    <w:rsid w:val="00C27FBC"/>
    <w:rsid w:val="00C37918"/>
    <w:rsid w:val="00C37D03"/>
    <w:rsid w:val="00C47CD4"/>
    <w:rsid w:val="00C503F1"/>
    <w:rsid w:val="00C527A7"/>
    <w:rsid w:val="00C535BC"/>
    <w:rsid w:val="00C56481"/>
    <w:rsid w:val="00C619AE"/>
    <w:rsid w:val="00C65CEC"/>
    <w:rsid w:val="00C739F7"/>
    <w:rsid w:val="00C96A7A"/>
    <w:rsid w:val="00C97A7C"/>
    <w:rsid w:val="00CA2585"/>
    <w:rsid w:val="00CA481D"/>
    <w:rsid w:val="00CB0765"/>
    <w:rsid w:val="00CB39DC"/>
    <w:rsid w:val="00CB62C6"/>
    <w:rsid w:val="00CD0588"/>
    <w:rsid w:val="00CD2E0B"/>
    <w:rsid w:val="00CD3DBA"/>
    <w:rsid w:val="00D04005"/>
    <w:rsid w:val="00D0409B"/>
    <w:rsid w:val="00D17B38"/>
    <w:rsid w:val="00D31CB0"/>
    <w:rsid w:val="00D3672D"/>
    <w:rsid w:val="00D42A77"/>
    <w:rsid w:val="00D42BBB"/>
    <w:rsid w:val="00D43921"/>
    <w:rsid w:val="00D46047"/>
    <w:rsid w:val="00D52446"/>
    <w:rsid w:val="00D5581C"/>
    <w:rsid w:val="00D6586F"/>
    <w:rsid w:val="00D70271"/>
    <w:rsid w:val="00D837D3"/>
    <w:rsid w:val="00D905B0"/>
    <w:rsid w:val="00D90A8C"/>
    <w:rsid w:val="00D95954"/>
    <w:rsid w:val="00D96F17"/>
    <w:rsid w:val="00DA3A79"/>
    <w:rsid w:val="00DA52ED"/>
    <w:rsid w:val="00DA66F4"/>
    <w:rsid w:val="00DC53E3"/>
    <w:rsid w:val="00DD143F"/>
    <w:rsid w:val="00DD164F"/>
    <w:rsid w:val="00DE694F"/>
    <w:rsid w:val="00DF3491"/>
    <w:rsid w:val="00E004CC"/>
    <w:rsid w:val="00E03A95"/>
    <w:rsid w:val="00E07EDB"/>
    <w:rsid w:val="00E13C51"/>
    <w:rsid w:val="00E24C0A"/>
    <w:rsid w:val="00E30BA7"/>
    <w:rsid w:val="00E31714"/>
    <w:rsid w:val="00E3398D"/>
    <w:rsid w:val="00E34A92"/>
    <w:rsid w:val="00E359E9"/>
    <w:rsid w:val="00E3610E"/>
    <w:rsid w:val="00E36463"/>
    <w:rsid w:val="00E37807"/>
    <w:rsid w:val="00E44D41"/>
    <w:rsid w:val="00E471F4"/>
    <w:rsid w:val="00E53536"/>
    <w:rsid w:val="00E5527F"/>
    <w:rsid w:val="00E5702B"/>
    <w:rsid w:val="00E61A5D"/>
    <w:rsid w:val="00E64A95"/>
    <w:rsid w:val="00E6591C"/>
    <w:rsid w:val="00E65C6B"/>
    <w:rsid w:val="00E660CA"/>
    <w:rsid w:val="00E7122D"/>
    <w:rsid w:val="00E72BEE"/>
    <w:rsid w:val="00E73F4F"/>
    <w:rsid w:val="00E750BC"/>
    <w:rsid w:val="00E753F9"/>
    <w:rsid w:val="00E76AA5"/>
    <w:rsid w:val="00E81D40"/>
    <w:rsid w:val="00E907AC"/>
    <w:rsid w:val="00E9643F"/>
    <w:rsid w:val="00E96F9A"/>
    <w:rsid w:val="00E972F8"/>
    <w:rsid w:val="00E97300"/>
    <w:rsid w:val="00EA0164"/>
    <w:rsid w:val="00EA0FBA"/>
    <w:rsid w:val="00EB5825"/>
    <w:rsid w:val="00EB7144"/>
    <w:rsid w:val="00EC1196"/>
    <w:rsid w:val="00EC3C95"/>
    <w:rsid w:val="00EC3E03"/>
    <w:rsid w:val="00EC4B68"/>
    <w:rsid w:val="00EC6137"/>
    <w:rsid w:val="00EC7800"/>
    <w:rsid w:val="00EE047B"/>
    <w:rsid w:val="00EE2424"/>
    <w:rsid w:val="00EF0E6F"/>
    <w:rsid w:val="00EF2D93"/>
    <w:rsid w:val="00EF533B"/>
    <w:rsid w:val="00F1631B"/>
    <w:rsid w:val="00F2137B"/>
    <w:rsid w:val="00F303E3"/>
    <w:rsid w:val="00F34CE3"/>
    <w:rsid w:val="00F35569"/>
    <w:rsid w:val="00F400A9"/>
    <w:rsid w:val="00F406D9"/>
    <w:rsid w:val="00F446B8"/>
    <w:rsid w:val="00F52DC1"/>
    <w:rsid w:val="00F55B18"/>
    <w:rsid w:val="00F57078"/>
    <w:rsid w:val="00F61B3E"/>
    <w:rsid w:val="00F718F3"/>
    <w:rsid w:val="00F73755"/>
    <w:rsid w:val="00F73B21"/>
    <w:rsid w:val="00F75B63"/>
    <w:rsid w:val="00F7723A"/>
    <w:rsid w:val="00F77E4F"/>
    <w:rsid w:val="00F96960"/>
    <w:rsid w:val="00FA2727"/>
    <w:rsid w:val="00FA2D38"/>
    <w:rsid w:val="00FA332F"/>
    <w:rsid w:val="00FB54FF"/>
    <w:rsid w:val="00FD3E2E"/>
    <w:rsid w:val="00FE20E4"/>
    <w:rsid w:val="00FE27B2"/>
    <w:rsid w:val="00FF2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6756"/>
  <w15:docId w15:val="{A25406CF-43DB-4496-8D2C-4C32E533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A35"/>
    <w:pPr>
      <w:spacing w:after="160" w:line="259" w:lineRule="auto"/>
    </w:pPr>
    <w:rPr>
      <w:rFonts w:ascii="Calibri" w:eastAsia="Calibri" w:hAnsi="Calibri" w:cs="SimSun"/>
    </w:rPr>
  </w:style>
  <w:style w:type="paragraph" w:styleId="Heading1">
    <w:name w:val="heading 1"/>
    <w:next w:val="Normal"/>
    <w:link w:val="Heading1Char"/>
    <w:uiPriority w:val="9"/>
    <w:qFormat/>
    <w:rsid w:val="00486046"/>
    <w:pPr>
      <w:keepNext/>
      <w:keepLines/>
      <w:spacing w:after="158" w:line="259" w:lineRule="auto"/>
      <w:ind w:left="10" w:right="158" w:hanging="10"/>
      <w:jc w:val="center"/>
      <w:outlineLvl w:val="0"/>
    </w:pPr>
    <w:rPr>
      <w:rFonts w:ascii="Calibri" w:eastAsia="Calibri" w:hAnsi="Calibri" w:cs="Calibri"/>
      <w:color w:val="FFFFFF"/>
      <w:shd w:val="clear" w:color="auto" w:fill="FF0000"/>
    </w:rPr>
  </w:style>
  <w:style w:type="paragraph" w:styleId="Heading2">
    <w:name w:val="heading 2"/>
    <w:basedOn w:val="Normal"/>
    <w:next w:val="Normal"/>
    <w:link w:val="Heading2Char"/>
    <w:uiPriority w:val="9"/>
    <w:semiHidden/>
    <w:unhideWhenUsed/>
    <w:qFormat/>
    <w:rsid w:val="0048604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486046"/>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06D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3F4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90D3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90D36"/>
    <w:rPr>
      <w:rFonts w:ascii="Tahoma" w:hAnsi="Tahoma" w:cs="Tahoma"/>
      <w:sz w:val="16"/>
      <w:szCs w:val="16"/>
    </w:rPr>
  </w:style>
  <w:style w:type="paragraph" w:styleId="NoSpacing">
    <w:name w:val="No Spacing"/>
    <w:uiPriority w:val="1"/>
    <w:qFormat/>
    <w:rsid w:val="00CA481D"/>
    <w:pPr>
      <w:spacing w:after="0" w:line="240" w:lineRule="auto"/>
    </w:pPr>
  </w:style>
  <w:style w:type="character" w:styleId="CommentReference">
    <w:name w:val="annotation reference"/>
    <w:basedOn w:val="DefaultParagraphFont"/>
    <w:uiPriority w:val="99"/>
    <w:semiHidden/>
    <w:unhideWhenUsed/>
    <w:qFormat/>
    <w:rsid w:val="00480030"/>
    <w:rPr>
      <w:sz w:val="16"/>
      <w:szCs w:val="16"/>
    </w:rPr>
  </w:style>
  <w:style w:type="paragraph" w:styleId="CommentText">
    <w:name w:val="annotation text"/>
    <w:basedOn w:val="Normal"/>
    <w:link w:val="CommentTextChar"/>
    <w:uiPriority w:val="99"/>
    <w:semiHidden/>
    <w:unhideWhenUsed/>
    <w:qFormat/>
    <w:rsid w:val="0048003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480030"/>
    <w:rPr>
      <w:sz w:val="20"/>
      <w:szCs w:val="20"/>
    </w:rPr>
  </w:style>
  <w:style w:type="paragraph" w:styleId="CommentSubject">
    <w:name w:val="annotation subject"/>
    <w:basedOn w:val="CommentText"/>
    <w:next w:val="CommentText"/>
    <w:link w:val="CommentSubjectChar"/>
    <w:uiPriority w:val="99"/>
    <w:semiHidden/>
    <w:unhideWhenUsed/>
    <w:rsid w:val="00480030"/>
    <w:rPr>
      <w:b/>
      <w:bCs/>
    </w:rPr>
  </w:style>
  <w:style w:type="character" w:customStyle="1" w:styleId="CommentSubjectChar">
    <w:name w:val="Comment Subject Char"/>
    <w:basedOn w:val="CommentTextChar"/>
    <w:link w:val="CommentSubject"/>
    <w:uiPriority w:val="99"/>
    <w:semiHidden/>
    <w:rsid w:val="00480030"/>
    <w:rPr>
      <w:b/>
      <w:bCs/>
      <w:sz w:val="20"/>
      <w:szCs w:val="20"/>
    </w:rPr>
  </w:style>
  <w:style w:type="table" w:styleId="TableGrid">
    <w:name w:val="Table Grid"/>
    <w:basedOn w:val="TableNormal"/>
    <w:uiPriority w:val="39"/>
    <w:qFormat/>
    <w:rsid w:val="008F43E8"/>
    <w:pPr>
      <w:widowControl w:val="0"/>
      <w:spacing w:after="0" w:line="240" w:lineRule="auto"/>
      <w:jc w:val="both"/>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E3D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3DA9"/>
    <w:rPr>
      <w:rFonts w:ascii="Calibri" w:eastAsia="Calibri" w:hAnsi="Calibri" w:cs="SimSun"/>
    </w:rPr>
  </w:style>
  <w:style w:type="paragraph" w:styleId="Footer">
    <w:name w:val="footer"/>
    <w:basedOn w:val="Normal"/>
    <w:link w:val="FooterChar"/>
    <w:uiPriority w:val="99"/>
    <w:unhideWhenUsed/>
    <w:rsid w:val="00BE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A9"/>
    <w:rPr>
      <w:rFonts w:ascii="Calibri" w:eastAsia="Calibri" w:hAnsi="Calibri" w:cs="SimSun"/>
    </w:rPr>
  </w:style>
  <w:style w:type="character" w:customStyle="1" w:styleId="Heading1Char">
    <w:name w:val="Heading 1 Char"/>
    <w:basedOn w:val="DefaultParagraphFont"/>
    <w:link w:val="Heading1"/>
    <w:uiPriority w:val="9"/>
    <w:rsid w:val="00486046"/>
    <w:rPr>
      <w:rFonts w:ascii="Calibri" w:eastAsia="Calibri" w:hAnsi="Calibri" w:cs="Calibri"/>
      <w:color w:val="FFFFFF"/>
    </w:rPr>
  </w:style>
  <w:style w:type="character" w:customStyle="1" w:styleId="Heading2Char">
    <w:name w:val="Heading 2 Char"/>
    <w:basedOn w:val="DefaultParagraphFont"/>
    <w:link w:val="Heading2"/>
    <w:uiPriority w:val="9"/>
    <w:semiHidden/>
    <w:rsid w:val="0048604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86046"/>
    <w:rPr>
      <w:rFonts w:ascii="Cambria" w:eastAsia="Times New Roman" w:hAnsi="Cambria" w:cs="Times New Roman"/>
      <w:b/>
      <w:bCs/>
      <w:sz w:val="26"/>
      <w:szCs w:val="26"/>
    </w:rPr>
  </w:style>
  <w:style w:type="character" w:styleId="Hyperlink">
    <w:name w:val="Hyperlink"/>
    <w:uiPriority w:val="99"/>
    <w:unhideWhenUsed/>
    <w:rsid w:val="00486046"/>
    <w:rPr>
      <w:color w:val="0000FF"/>
      <w:u w:val="single"/>
    </w:rPr>
  </w:style>
  <w:style w:type="paragraph" w:styleId="BodyText">
    <w:name w:val="Body Text"/>
    <w:basedOn w:val="Normal"/>
    <w:link w:val="BodyTextChar"/>
    <w:uiPriority w:val="1"/>
    <w:qFormat/>
    <w:rsid w:val="004860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604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6046"/>
    <w:pPr>
      <w:widowControl w:val="0"/>
      <w:autoSpaceDE w:val="0"/>
      <w:autoSpaceDN w:val="0"/>
      <w:spacing w:after="0" w:line="240" w:lineRule="auto"/>
    </w:pPr>
    <w:rPr>
      <w:rFonts w:ascii="Times New Roman" w:eastAsia="Times New Roman" w:hAnsi="Times New Roman" w:cs="Times New Roman"/>
    </w:rPr>
  </w:style>
  <w:style w:type="table" w:customStyle="1" w:styleId="TableGridLight1">
    <w:name w:val="Table Grid Light1"/>
    <w:basedOn w:val="TableNormal"/>
    <w:uiPriority w:val="40"/>
    <w:rsid w:val="00486046"/>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semiHidden/>
    <w:rsid w:val="00306D3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624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624D0"/>
  </w:style>
  <w:style w:type="character" w:styleId="Strong">
    <w:name w:val="Strong"/>
    <w:basedOn w:val="DefaultParagraphFont"/>
    <w:uiPriority w:val="22"/>
    <w:qFormat/>
    <w:rsid w:val="006624D0"/>
    <w:rPr>
      <w:b/>
      <w:bCs/>
    </w:rPr>
  </w:style>
  <w:style w:type="character" w:customStyle="1" w:styleId="ms-1">
    <w:name w:val="ms-1"/>
    <w:basedOn w:val="DefaultParagraphFont"/>
    <w:rsid w:val="006624D0"/>
  </w:style>
  <w:style w:type="character" w:customStyle="1" w:styleId="max-w-full">
    <w:name w:val="max-w-full"/>
    <w:basedOn w:val="DefaultParagraphFont"/>
    <w:rsid w:val="006624D0"/>
  </w:style>
  <w:style w:type="character" w:customStyle="1" w:styleId="-me-1">
    <w:name w:val="-me-1"/>
    <w:basedOn w:val="DefaultParagraphFont"/>
    <w:rsid w:val="006624D0"/>
  </w:style>
  <w:style w:type="table" w:customStyle="1" w:styleId="TableGrid1">
    <w:name w:val="Table Grid1"/>
    <w:basedOn w:val="TableNormal"/>
    <w:next w:val="TableGrid"/>
    <w:uiPriority w:val="59"/>
    <w:qFormat/>
    <w:rsid w:val="003644C3"/>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910">
      <w:bodyDiv w:val="1"/>
      <w:marLeft w:val="0"/>
      <w:marRight w:val="0"/>
      <w:marTop w:val="0"/>
      <w:marBottom w:val="0"/>
      <w:divBdr>
        <w:top w:val="none" w:sz="0" w:space="0" w:color="auto"/>
        <w:left w:val="none" w:sz="0" w:space="0" w:color="auto"/>
        <w:bottom w:val="none" w:sz="0" w:space="0" w:color="auto"/>
        <w:right w:val="none" w:sz="0" w:space="0" w:color="auto"/>
      </w:divBdr>
    </w:div>
    <w:div w:id="25184341">
      <w:bodyDiv w:val="1"/>
      <w:marLeft w:val="0"/>
      <w:marRight w:val="0"/>
      <w:marTop w:val="0"/>
      <w:marBottom w:val="0"/>
      <w:divBdr>
        <w:top w:val="none" w:sz="0" w:space="0" w:color="auto"/>
        <w:left w:val="none" w:sz="0" w:space="0" w:color="auto"/>
        <w:bottom w:val="none" w:sz="0" w:space="0" w:color="auto"/>
        <w:right w:val="none" w:sz="0" w:space="0" w:color="auto"/>
      </w:divBdr>
      <w:divsChild>
        <w:div w:id="617954841">
          <w:marLeft w:val="0"/>
          <w:marRight w:val="0"/>
          <w:marTop w:val="0"/>
          <w:marBottom w:val="0"/>
          <w:divBdr>
            <w:top w:val="none" w:sz="0" w:space="0" w:color="auto"/>
            <w:left w:val="none" w:sz="0" w:space="0" w:color="auto"/>
            <w:bottom w:val="none" w:sz="0" w:space="0" w:color="auto"/>
            <w:right w:val="none" w:sz="0" w:space="0" w:color="auto"/>
          </w:divBdr>
          <w:divsChild>
            <w:div w:id="1873614183">
              <w:marLeft w:val="0"/>
              <w:marRight w:val="0"/>
              <w:marTop w:val="0"/>
              <w:marBottom w:val="0"/>
              <w:divBdr>
                <w:top w:val="none" w:sz="0" w:space="0" w:color="auto"/>
                <w:left w:val="none" w:sz="0" w:space="0" w:color="auto"/>
                <w:bottom w:val="none" w:sz="0" w:space="0" w:color="auto"/>
                <w:right w:val="none" w:sz="0" w:space="0" w:color="auto"/>
              </w:divBdr>
              <w:divsChild>
                <w:div w:id="246958198">
                  <w:marLeft w:val="0"/>
                  <w:marRight w:val="0"/>
                  <w:marTop w:val="0"/>
                  <w:marBottom w:val="0"/>
                  <w:divBdr>
                    <w:top w:val="none" w:sz="0" w:space="0" w:color="auto"/>
                    <w:left w:val="none" w:sz="0" w:space="0" w:color="auto"/>
                    <w:bottom w:val="none" w:sz="0" w:space="0" w:color="auto"/>
                    <w:right w:val="none" w:sz="0" w:space="0" w:color="auto"/>
                  </w:divBdr>
                  <w:divsChild>
                    <w:div w:id="4350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7964">
          <w:marLeft w:val="0"/>
          <w:marRight w:val="0"/>
          <w:marTop w:val="0"/>
          <w:marBottom w:val="0"/>
          <w:divBdr>
            <w:top w:val="none" w:sz="0" w:space="0" w:color="auto"/>
            <w:left w:val="none" w:sz="0" w:space="0" w:color="auto"/>
            <w:bottom w:val="none" w:sz="0" w:space="0" w:color="auto"/>
            <w:right w:val="none" w:sz="0" w:space="0" w:color="auto"/>
          </w:divBdr>
          <w:divsChild>
            <w:div w:id="348214706">
              <w:marLeft w:val="0"/>
              <w:marRight w:val="0"/>
              <w:marTop w:val="0"/>
              <w:marBottom w:val="0"/>
              <w:divBdr>
                <w:top w:val="none" w:sz="0" w:space="0" w:color="auto"/>
                <w:left w:val="none" w:sz="0" w:space="0" w:color="auto"/>
                <w:bottom w:val="none" w:sz="0" w:space="0" w:color="auto"/>
                <w:right w:val="none" w:sz="0" w:space="0" w:color="auto"/>
              </w:divBdr>
              <w:divsChild>
                <w:div w:id="359161099">
                  <w:marLeft w:val="0"/>
                  <w:marRight w:val="0"/>
                  <w:marTop w:val="0"/>
                  <w:marBottom w:val="0"/>
                  <w:divBdr>
                    <w:top w:val="none" w:sz="0" w:space="0" w:color="auto"/>
                    <w:left w:val="none" w:sz="0" w:space="0" w:color="auto"/>
                    <w:bottom w:val="none" w:sz="0" w:space="0" w:color="auto"/>
                    <w:right w:val="none" w:sz="0" w:space="0" w:color="auto"/>
                  </w:divBdr>
                  <w:divsChild>
                    <w:div w:id="17570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611">
      <w:bodyDiv w:val="1"/>
      <w:marLeft w:val="0"/>
      <w:marRight w:val="0"/>
      <w:marTop w:val="0"/>
      <w:marBottom w:val="0"/>
      <w:divBdr>
        <w:top w:val="none" w:sz="0" w:space="0" w:color="auto"/>
        <w:left w:val="none" w:sz="0" w:space="0" w:color="auto"/>
        <w:bottom w:val="none" w:sz="0" w:space="0" w:color="auto"/>
        <w:right w:val="none" w:sz="0" w:space="0" w:color="auto"/>
      </w:divBdr>
    </w:div>
    <w:div w:id="80413958">
      <w:bodyDiv w:val="1"/>
      <w:marLeft w:val="0"/>
      <w:marRight w:val="0"/>
      <w:marTop w:val="0"/>
      <w:marBottom w:val="0"/>
      <w:divBdr>
        <w:top w:val="none" w:sz="0" w:space="0" w:color="auto"/>
        <w:left w:val="none" w:sz="0" w:space="0" w:color="auto"/>
        <w:bottom w:val="none" w:sz="0" w:space="0" w:color="auto"/>
        <w:right w:val="none" w:sz="0" w:space="0" w:color="auto"/>
      </w:divBdr>
    </w:div>
    <w:div w:id="80641361">
      <w:bodyDiv w:val="1"/>
      <w:marLeft w:val="0"/>
      <w:marRight w:val="0"/>
      <w:marTop w:val="0"/>
      <w:marBottom w:val="0"/>
      <w:divBdr>
        <w:top w:val="none" w:sz="0" w:space="0" w:color="auto"/>
        <w:left w:val="none" w:sz="0" w:space="0" w:color="auto"/>
        <w:bottom w:val="none" w:sz="0" w:space="0" w:color="auto"/>
        <w:right w:val="none" w:sz="0" w:space="0" w:color="auto"/>
      </w:divBdr>
    </w:div>
    <w:div w:id="151338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3709">
          <w:marLeft w:val="0"/>
          <w:marRight w:val="0"/>
          <w:marTop w:val="0"/>
          <w:marBottom w:val="0"/>
          <w:divBdr>
            <w:top w:val="none" w:sz="0" w:space="0" w:color="auto"/>
            <w:left w:val="none" w:sz="0" w:space="0" w:color="auto"/>
            <w:bottom w:val="none" w:sz="0" w:space="0" w:color="auto"/>
            <w:right w:val="none" w:sz="0" w:space="0" w:color="auto"/>
          </w:divBdr>
          <w:divsChild>
            <w:div w:id="270086660">
              <w:marLeft w:val="0"/>
              <w:marRight w:val="0"/>
              <w:marTop w:val="0"/>
              <w:marBottom w:val="0"/>
              <w:divBdr>
                <w:top w:val="none" w:sz="0" w:space="0" w:color="auto"/>
                <w:left w:val="none" w:sz="0" w:space="0" w:color="auto"/>
                <w:bottom w:val="none" w:sz="0" w:space="0" w:color="auto"/>
                <w:right w:val="none" w:sz="0" w:space="0" w:color="auto"/>
              </w:divBdr>
              <w:divsChild>
                <w:div w:id="656111184">
                  <w:marLeft w:val="0"/>
                  <w:marRight w:val="0"/>
                  <w:marTop w:val="0"/>
                  <w:marBottom w:val="0"/>
                  <w:divBdr>
                    <w:top w:val="none" w:sz="0" w:space="0" w:color="auto"/>
                    <w:left w:val="none" w:sz="0" w:space="0" w:color="auto"/>
                    <w:bottom w:val="none" w:sz="0" w:space="0" w:color="auto"/>
                    <w:right w:val="none" w:sz="0" w:space="0" w:color="auto"/>
                  </w:divBdr>
                  <w:divsChild>
                    <w:div w:id="14754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2215">
          <w:marLeft w:val="0"/>
          <w:marRight w:val="0"/>
          <w:marTop w:val="0"/>
          <w:marBottom w:val="0"/>
          <w:divBdr>
            <w:top w:val="none" w:sz="0" w:space="0" w:color="auto"/>
            <w:left w:val="none" w:sz="0" w:space="0" w:color="auto"/>
            <w:bottom w:val="none" w:sz="0" w:space="0" w:color="auto"/>
            <w:right w:val="none" w:sz="0" w:space="0" w:color="auto"/>
          </w:divBdr>
          <w:divsChild>
            <w:div w:id="2056856684">
              <w:marLeft w:val="0"/>
              <w:marRight w:val="0"/>
              <w:marTop w:val="0"/>
              <w:marBottom w:val="0"/>
              <w:divBdr>
                <w:top w:val="none" w:sz="0" w:space="0" w:color="auto"/>
                <w:left w:val="none" w:sz="0" w:space="0" w:color="auto"/>
                <w:bottom w:val="none" w:sz="0" w:space="0" w:color="auto"/>
                <w:right w:val="none" w:sz="0" w:space="0" w:color="auto"/>
              </w:divBdr>
              <w:divsChild>
                <w:div w:id="1497527954">
                  <w:marLeft w:val="0"/>
                  <w:marRight w:val="0"/>
                  <w:marTop w:val="0"/>
                  <w:marBottom w:val="0"/>
                  <w:divBdr>
                    <w:top w:val="none" w:sz="0" w:space="0" w:color="auto"/>
                    <w:left w:val="none" w:sz="0" w:space="0" w:color="auto"/>
                    <w:bottom w:val="none" w:sz="0" w:space="0" w:color="auto"/>
                    <w:right w:val="none" w:sz="0" w:space="0" w:color="auto"/>
                  </w:divBdr>
                  <w:divsChild>
                    <w:div w:id="13893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2341">
      <w:bodyDiv w:val="1"/>
      <w:marLeft w:val="0"/>
      <w:marRight w:val="0"/>
      <w:marTop w:val="0"/>
      <w:marBottom w:val="0"/>
      <w:divBdr>
        <w:top w:val="none" w:sz="0" w:space="0" w:color="auto"/>
        <w:left w:val="none" w:sz="0" w:space="0" w:color="auto"/>
        <w:bottom w:val="none" w:sz="0" w:space="0" w:color="auto"/>
        <w:right w:val="none" w:sz="0" w:space="0" w:color="auto"/>
      </w:divBdr>
    </w:div>
    <w:div w:id="191457876">
      <w:bodyDiv w:val="1"/>
      <w:marLeft w:val="0"/>
      <w:marRight w:val="0"/>
      <w:marTop w:val="0"/>
      <w:marBottom w:val="0"/>
      <w:divBdr>
        <w:top w:val="none" w:sz="0" w:space="0" w:color="auto"/>
        <w:left w:val="none" w:sz="0" w:space="0" w:color="auto"/>
        <w:bottom w:val="none" w:sz="0" w:space="0" w:color="auto"/>
        <w:right w:val="none" w:sz="0" w:space="0" w:color="auto"/>
      </w:divBdr>
    </w:div>
    <w:div w:id="203716754">
      <w:bodyDiv w:val="1"/>
      <w:marLeft w:val="0"/>
      <w:marRight w:val="0"/>
      <w:marTop w:val="0"/>
      <w:marBottom w:val="0"/>
      <w:divBdr>
        <w:top w:val="none" w:sz="0" w:space="0" w:color="auto"/>
        <w:left w:val="none" w:sz="0" w:space="0" w:color="auto"/>
        <w:bottom w:val="none" w:sz="0" w:space="0" w:color="auto"/>
        <w:right w:val="none" w:sz="0" w:space="0" w:color="auto"/>
      </w:divBdr>
    </w:div>
    <w:div w:id="209877238">
      <w:bodyDiv w:val="1"/>
      <w:marLeft w:val="0"/>
      <w:marRight w:val="0"/>
      <w:marTop w:val="0"/>
      <w:marBottom w:val="0"/>
      <w:divBdr>
        <w:top w:val="none" w:sz="0" w:space="0" w:color="auto"/>
        <w:left w:val="none" w:sz="0" w:space="0" w:color="auto"/>
        <w:bottom w:val="none" w:sz="0" w:space="0" w:color="auto"/>
        <w:right w:val="none" w:sz="0" w:space="0" w:color="auto"/>
      </w:divBdr>
    </w:div>
    <w:div w:id="216556773">
      <w:bodyDiv w:val="1"/>
      <w:marLeft w:val="0"/>
      <w:marRight w:val="0"/>
      <w:marTop w:val="0"/>
      <w:marBottom w:val="0"/>
      <w:divBdr>
        <w:top w:val="none" w:sz="0" w:space="0" w:color="auto"/>
        <w:left w:val="none" w:sz="0" w:space="0" w:color="auto"/>
        <w:bottom w:val="none" w:sz="0" w:space="0" w:color="auto"/>
        <w:right w:val="none" w:sz="0" w:space="0" w:color="auto"/>
      </w:divBdr>
    </w:div>
    <w:div w:id="237055637">
      <w:bodyDiv w:val="1"/>
      <w:marLeft w:val="0"/>
      <w:marRight w:val="0"/>
      <w:marTop w:val="0"/>
      <w:marBottom w:val="0"/>
      <w:divBdr>
        <w:top w:val="none" w:sz="0" w:space="0" w:color="auto"/>
        <w:left w:val="none" w:sz="0" w:space="0" w:color="auto"/>
        <w:bottom w:val="none" w:sz="0" w:space="0" w:color="auto"/>
        <w:right w:val="none" w:sz="0" w:space="0" w:color="auto"/>
      </w:divBdr>
    </w:div>
    <w:div w:id="288820044">
      <w:bodyDiv w:val="1"/>
      <w:marLeft w:val="0"/>
      <w:marRight w:val="0"/>
      <w:marTop w:val="0"/>
      <w:marBottom w:val="0"/>
      <w:divBdr>
        <w:top w:val="none" w:sz="0" w:space="0" w:color="auto"/>
        <w:left w:val="none" w:sz="0" w:space="0" w:color="auto"/>
        <w:bottom w:val="none" w:sz="0" w:space="0" w:color="auto"/>
        <w:right w:val="none" w:sz="0" w:space="0" w:color="auto"/>
      </w:divBdr>
    </w:div>
    <w:div w:id="306519799">
      <w:bodyDiv w:val="1"/>
      <w:marLeft w:val="0"/>
      <w:marRight w:val="0"/>
      <w:marTop w:val="0"/>
      <w:marBottom w:val="0"/>
      <w:divBdr>
        <w:top w:val="none" w:sz="0" w:space="0" w:color="auto"/>
        <w:left w:val="none" w:sz="0" w:space="0" w:color="auto"/>
        <w:bottom w:val="none" w:sz="0" w:space="0" w:color="auto"/>
        <w:right w:val="none" w:sz="0" w:space="0" w:color="auto"/>
      </w:divBdr>
    </w:div>
    <w:div w:id="350423985">
      <w:bodyDiv w:val="1"/>
      <w:marLeft w:val="0"/>
      <w:marRight w:val="0"/>
      <w:marTop w:val="0"/>
      <w:marBottom w:val="0"/>
      <w:divBdr>
        <w:top w:val="none" w:sz="0" w:space="0" w:color="auto"/>
        <w:left w:val="none" w:sz="0" w:space="0" w:color="auto"/>
        <w:bottom w:val="none" w:sz="0" w:space="0" w:color="auto"/>
        <w:right w:val="none" w:sz="0" w:space="0" w:color="auto"/>
      </w:divBdr>
    </w:div>
    <w:div w:id="370963863">
      <w:bodyDiv w:val="1"/>
      <w:marLeft w:val="0"/>
      <w:marRight w:val="0"/>
      <w:marTop w:val="0"/>
      <w:marBottom w:val="0"/>
      <w:divBdr>
        <w:top w:val="none" w:sz="0" w:space="0" w:color="auto"/>
        <w:left w:val="none" w:sz="0" w:space="0" w:color="auto"/>
        <w:bottom w:val="none" w:sz="0" w:space="0" w:color="auto"/>
        <w:right w:val="none" w:sz="0" w:space="0" w:color="auto"/>
      </w:divBdr>
    </w:div>
    <w:div w:id="433013581">
      <w:bodyDiv w:val="1"/>
      <w:marLeft w:val="0"/>
      <w:marRight w:val="0"/>
      <w:marTop w:val="0"/>
      <w:marBottom w:val="0"/>
      <w:divBdr>
        <w:top w:val="none" w:sz="0" w:space="0" w:color="auto"/>
        <w:left w:val="none" w:sz="0" w:space="0" w:color="auto"/>
        <w:bottom w:val="none" w:sz="0" w:space="0" w:color="auto"/>
        <w:right w:val="none" w:sz="0" w:space="0" w:color="auto"/>
      </w:divBdr>
    </w:div>
    <w:div w:id="463275164">
      <w:bodyDiv w:val="1"/>
      <w:marLeft w:val="0"/>
      <w:marRight w:val="0"/>
      <w:marTop w:val="0"/>
      <w:marBottom w:val="0"/>
      <w:divBdr>
        <w:top w:val="none" w:sz="0" w:space="0" w:color="auto"/>
        <w:left w:val="none" w:sz="0" w:space="0" w:color="auto"/>
        <w:bottom w:val="none" w:sz="0" w:space="0" w:color="auto"/>
        <w:right w:val="none" w:sz="0" w:space="0" w:color="auto"/>
      </w:divBdr>
    </w:div>
    <w:div w:id="501317348">
      <w:bodyDiv w:val="1"/>
      <w:marLeft w:val="0"/>
      <w:marRight w:val="0"/>
      <w:marTop w:val="0"/>
      <w:marBottom w:val="0"/>
      <w:divBdr>
        <w:top w:val="none" w:sz="0" w:space="0" w:color="auto"/>
        <w:left w:val="none" w:sz="0" w:space="0" w:color="auto"/>
        <w:bottom w:val="none" w:sz="0" w:space="0" w:color="auto"/>
        <w:right w:val="none" w:sz="0" w:space="0" w:color="auto"/>
      </w:divBdr>
      <w:divsChild>
        <w:div w:id="1807047326">
          <w:marLeft w:val="0"/>
          <w:marRight w:val="0"/>
          <w:marTop w:val="0"/>
          <w:marBottom w:val="0"/>
          <w:divBdr>
            <w:top w:val="none" w:sz="0" w:space="0" w:color="auto"/>
            <w:left w:val="none" w:sz="0" w:space="0" w:color="auto"/>
            <w:bottom w:val="none" w:sz="0" w:space="0" w:color="auto"/>
            <w:right w:val="none" w:sz="0" w:space="0" w:color="auto"/>
          </w:divBdr>
          <w:divsChild>
            <w:div w:id="1173108926">
              <w:marLeft w:val="0"/>
              <w:marRight w:val="0"/>
              <w:marTop w:val="0"/>
              <w:marBottom w:val="0"/>
              <w:divBdr>
                <w:top w:val="none" w:sz="0" w:space="0" w:color="auto"/>
                <w:left w:val="none" w:sz="0" w:space="0" w:color="auto"/>
                <w:bottom w:val="none" w:sz="0" w:space="0" w:color="auto"/>
                <w:right w:val="none" w:sz="0" w:space="0" w:color="auto"/>
              </w:divBdr>
              <w:divsChild>
                <w:div w:id="144469899">
                  <w:marLeft w:val="0"/>
                  <w:marRight w:val="0"/>
                  <w:marTop w:val="0"/>
                  <w:marBottom w:val="0"/>
                  <w:divBdr>
                    <w:top w:val="none" w:sz="0" w:space="0" w:color="auto"/>
                    <w:left w:val="none" w:sz="0" w:space="0" w:color="auto"/>
                    <w:bottom w:val="none" w:sz="0" w:space="0" w:color="auto"/>
                    <w:right w:val="none" w:sz="0" w:space="0" w:color="auto"/>
                  </w:divBdr>
                  <w:divsChild>
                    <w:div w:id="5782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8879">
          <w:marLeft w:val="0"/>
          <w:marRight w:val="0"/>
          <w:marTop w:val="0"/>
          <w:marBottom w:val="0"/>
          <w:divBdr>
            <w:top w:val="none" w:sz="0" w:space="0" w:color="auto"/>
            <w:left w:val="none" w:sz="0" w:space="0" w:color="auto"/>
            <w:bottom w:val="none" w:sz="0" w:space="0" w:color="auto"/>
            <w:right w:val="none" w:sz="0" w:space="0" w:color="auto"/>
          </w:divBdr>
          <w:divsChild>
            <w:div w:id="912272493">
              <w:marLeft w:val="0"/>
              <w:marRight w:val="0"/>
              <w:marTop w:val="0"/>
              <w:marBottom w:val="0"/>
              <w:divBdr>
                <w:top w:val="none" w:sz="0" w:space="0" w:color="auto"/>
                <w:left w:val="none" w:sz="0" w:space="0" w:color="auto"/>
                <w:bottom w:val="none" w:sz="0" w:space="0" w:color="auto"/>
                <w:right w:val="none" w:sz="0" w:space="0" w:color="auto"/>
              </w:divBdr>
              <w:divsChild>
                <w:div w:id="1776050221">
                  <w:marLeft w:val="0"/>
                  <w:marRight w:val="0"/>
                  <w:marTop w:val="0"/>
                  <w:marBottom w:val="0"/>
                  <w:divBdr>
                    <w:top w:val="none" w:sz="0" w:space="0" w:color="auto"/>
                    <w:left w:val="none" w:sz="0" w:space="0" w:color="auto"/>
                    <w:bottom w:val="none" w:sz="0" w:space="0" w:color="auto"/>
                    <w:right w:val="none" w:sz="0" w:space="0" w:color="auto"/>
                  </w:divBdr>
                  <w:divsChild>
                    <w:div w:id="1935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5846">
      <w:bodyDiv w:val="1"/>
      <w:marLeft w:val="0"/>
      <w:marRight w:val="0"/>
      <w:marTop w:val="0"/>
      <w:marBottom w:val="0"/>
      <w:divBdr>
        <w:top w:val="none" w:sz="0" w:space="0" w:color="auto"/>
        <w:left w:val="none" w:sz="0" w:space="0" w:color="auto"/>
        <w:bottom w:val="none" w:sz="0" w:space="0" w:color="auto"/>
        <w:right w:val="none" w:sz="0" w:space="0" w:color="auto"/>
      </w:divBdr>
    </w:div>
    <w:div w:id="564607771">
      <w:bodyDiv w:val="1"/>
      <w:marLeft w:val="0"/>
      <w:marRight w:val="0"/>
      <w:marTop w:val="0"/>
      <w:marBottom w:val="0"/>
      <w:divBdr>
        <w:top w:val="none" w:sz="0" w:space="0" w:color="auto"/>
        <w:left w:val="none" w:sz="0" w:space="0" w:color="auto"/>
        <w:bottom w:val="none" w:sz="0" w:space="0" w:color="auto"/>
        <w:right w:val="none" w:sz="0" w:space="0" w:color="auto"/>
      </w:divBdr>
    </w:div>
    <w:div w:id="579680975">
      <w:bodyDiv w:val="1"/>
      <w:marLeft w:val="0"/>
      <w:marRight w:val="0"/>
      <w:marTop w:val="0"/>
      <w:marBottom w:val="0"/>
      <w:divBdr>
        <w:top w:val="none" w:sz="0" w:space="0" w:color="auto"/>
        <w:left w:val="none" w:sz="0" w:space="0" w:color="auto"/>
        <w:bottom w:val="none" w:sz="0" w:space="0" w:color="auto"/>
        <w:right w:val="none" w:sz="0" w:space="0" w:color="auto"/>
      </w:divBdr>
    </w:div>
    <w:div w:id="701050297">
      <w:bodyDiv w:val="1"/>
      <w:marLeft w:val="0"/>
      <w:marRight w:val="0"/>
      <w:marTop w:val="0"/>
      <w:marBottom w:val="0"/>
      <w:divBdr>
        <w:top w:val="none" w:sz="0" w:space="0" w:color="auto"/>
        <w:left w:val="none" w:sz="0" w:space="0" w:color="auto"/>
        <w:bottom w:val="none" w:sz="0" w:space="0" w:color="auto"/>
        <w:right w:val="none" w:sz="0" w:space="0" w:color="auto"/>
      </w:divBdr>
    </w:div>
    <w:div w:id="712391868">
      <w:bodyDiv w:val="1"/>
      <w:marLeft w:val="0"/>
      <w:marRight w:val="0"/>
      <w:marTop w:val="0"/>
      <w:marBottom w:val="0"/>
      <w:divBdr>
        <w:top w:val="none" w:sz="0" w:space="0" w:color="auto"/>
        <w:left w:val="none" w:sz="0" w:space="0" w:color="auto"/>
        <w:bottom w:val="none" w:sz="0" w:space="0" w:color="auto"/>
        <w:right w:val="none" w:sz="0" w:space="0" w:color="auto"/>
      </w:divBdr>
    </w:div>
    <w:div w:id="741105179">
      <w:bodyDiv w:val="1"/>
      <w:marLeft w:val="0"/>
      <w:marRight w:val="0"/>
      <w:marTop w:val="0"/>
      <w:marBottom w:val="0"/>
      <w:divBdr>
        <w:top w:val="none" w:sz="0" w:space="0" w:color="auto"/>
        <w:left w:val="none" w:sz="0" w:space="0" w:color="auto"/>
        <w:bottom w:val="none" w:sz="0" w:space="0" w:color="auto"/>
        <w:right w:val="none" w:sz="0" w:space="0" w:color="auto"/>
      </w:divBdr>
    </w:div>
    <w:div w:id="747001776">
      <w:bodyDiv w:val="1"/>
      <w:marLeft w:val="0"/>
      <w:marRight w:val="0"/>
      <w:marTop w:val="0"/>
      <w:marBottom w:val="0"/>
      <w:divBdr>
        <w:top w:val="none" w:sz="0" w:space="0" w:color="auto"/>
        <w:left w:val="none" w:sz="0" w:space="0" w:color="auto"/>
        <w:bottom w:val="none" w:sz="0" w:space="0" w:color="auto"/>
        <w:right w:val="none" w:sz="0" w:space="0" w:color="auto"/>
      </w:divBdr>
    </w:div>
    <w:div w:id="840319393">
      <w:bodyDiv w:val="1"/>
      <w:marLeft w:val="0"/>
      <w:marRight w:val="0"/>
      <w:marTop w:val="0"/>
      <w:marBottom w:val="0"/>
      <w:divBdr>
        <w:top w:val="none" w:sz="0" w:space="0" w:color="auto"/>
        <w:left w:val="none" w:sz="0" w:space="0" w:color="auto"/>
        <w:bottom w:val="none" w:sz="0" w:space="0" w:color="auto"/>
        <w:right w:val="none" w:sz="0" w:space="0" w:color="auto"/>
      </w:divBdr>
    </w:div>
    <w:div w:id="849296774">
      <w:bodyDiv w:val="1"/>
      <w:marLeft w:val="0"/>
      <w:marRight w:val="0"/>
      <w:marTop w:val="0"/>
      <w:marBottom w:val="0"/>
      <w:divBdr>
        <w:top w:val="none" w:sz="0" w:space="0" w:color="auto"/>
        <w:left w:val="none" w:sz="0" w:space="0" w:color="auto"/>
        <w:bottom w:val="none" w:sz="0" w:space="0" w:color="auto"/>
        <w:right w:val="none" w:sz="0" w:space="0" w:color="auto"/>
      </w:divBdr>
    </w:div>
    <w:div w:id="860315728">
      <w:bodyDiv w:val="1"/>
      <w:marLeft w:val="0"/>
      <w:marRight w:val="0"/>
      <w:marTop w:val="0"/>
      <w:marBottom w:val="0"/>
      <w:divBdr>
        <w:top w:val="none" w:sz="0" w:space="0" w:color="auto"/>
        <w:left w:val="none" w:sz="0" w:space="0" w:color="auto"/>
        <w:bottom w:val="none" w:sz="0" w:space="0" w:color="auto"/>
        <w:right w:val="none" w:sz="0" w:space="0" w:color="auto"/>
      </w:divBdr>
    </w:div>
    <w:div w:id="860512952">
      <w:bodyDiv w:val="1"/>
      <w:marLeft w:val="0"/>
      <w:marRight w:val="0"/>
      <w:marTop w:val="0"/>
      <w:marBottom w:val="0"/>
      <w:divBdr>
        <w:top w:val="none" w:sz="0" w:space="0" w:color="auto"/>
        <w:left w:val="none" w:sz="0" w:space="0" w:color="auto"/>
        <w:bottom w:val="none" w:sz="0" w:space="0" w:color="auto"/>
        <w:right w:val="none" w:sz="0" w:space="0" w:color="auto"/>
      </w:divBdr>
    </w:div>
    <w:div w:id="902057429">
      <w:bodyDiv w:val="1"/>
      <w:marLeft w:val="0"/>
      <w:marRight w:val="0"/>
      <w:marTop w:val="0"/>
      <w:marBottom w:val="0"/>
      <w:divBdr>
        <w:top w:val="none" w:sz="0" w:space="0" w:color="auto"/>
        <w:left w:val="none" w:sz="0" w:space="0" w:color="auto"/>
        <w:bottom w:val="none" w:sz="0" w:space="0" w:color="auto"/>
        <w:right w:val="none" w:sz="0" w:space="0" w:color="auto"/>
      </w:divBdr>
    </w:div>
    <w:div w:id="912392286">
      <w:bodyDiv w:val="1"/>
      <w:marLeft w:val="0"/>
      <w:marRight w:val="0"/>
      <w:marTop w:val="0"/>
      <w:marBottom w:val="0"/>
      <w:divBdr>
        <w:top w:val="none" w:sz="0" w:space="0" w:color="auto"/>
        <w:left w:val="none" w:sz="0" w:space="0" w:color="auto"/>
        <w:bottom w:val="none" w:sz="0" w:space="0" w:color="auto"/>
        <w:right w:val="none" w:sz="0" w:space="0" w:color="auto"/>
      </w:divBdr>
    </w:div>
    <w:div w:id="1028338542">
      <w:bodyDiv w:val="1"/>
      <w:marLeft w:val="0"/>
      <w:marRight w:val="0"/>
      <w:marTop w:val="0"/>
      <w:marBottom w:val="0"/>
      <w:divBdr>
        <w:top w:val="none" w:sz="0" w:space="0" w:color="auto"/>
        <w:left w:val="none" w:sz="0" w:space="0" w:color="auto"/>
        <w:bottom w:val="none" w:sz="0" w:space="0" w:color="auto"/>
        <w:right w:val="none" w:sz="0" w:space="0" w:color="auto"/>
      </w:divBdr>
    </w:div>
    <w:div w:id="1072849197">
      <w:bodyDiv w:val="1"/>
      <w:marLeft w:val="0"/>
      <w:marRight w:val="0"/>
      <w:marTop w:val="0"/>
      <w:marBottom w:val="0"/>
      <w:divBdr>
        <w:top w:val="none" w:sz="0" w:space="0" w:color="auto"/>
        <w:left w:val="none" w:sz="0" w:space="0" w:color="auto"/>
        <w:bottom w:val="none" w:sz="0" w:space="0" w:color="auto"/>
        <w:right w:val="none" w:sz="0" w:space="0" w:color="auto"/>
      </w:divBdr>
      <w:divsChild>
        <w:div w:id="1380393964">
          <w:marLeft w:val="0"/>
          <w:marRight w:val="0"/>
          <w:marTop w:val="0"/>
          <w:marBottom w:val="0"/>
          <w:divBdr>
            <w:top w:val="none" w:sz="0" w:space="0" w:color="auto"/>
            <w:left w:val="none" w:sz="0" w:space="0" w:color="auto"/>
            <w:bottom w:val="none" w:sz="0" w:space="0" w:color="auto"/>
            <w:right w:val="none" w:sz="0" w:space="0" w:color="auto"/>
          </w:divBdr>
          <w:divsChild>
            <w:div w:id="1697847276">
              <w:marLeft w:val="0"/>
              <w:marRight w:val="0"/>
              <w:marTop w:val="0"/>
              <w:marBottom w:val="0"/>
              <w:divBdr>
                <w:top w:val="none" w:sz="0" w:space="0" w:color="auto"/>
                <w:left w:val="none" w:sz="0" w:space="0" w:color="auto"/>
                <w:bottom w:val="none" w:sz="0" w:space="0" w:color="auto"/>
                <w:right w:val="none" w:sz="0" w:space="0" w:color="auto"/>
              </w:divBdr>
              <w:divsChild>
                <w:div w:id="1777099308">
                  <w:marLeft w:val="0"/>
                  <w:marRight w:val="0"/>
                  <w:marTop w:val="0"/>
                  <w:marBottom w:val="0"/>
                  <w:divBdr>
                    <w:top w:val="none" w:sz="0" w:space="0" w:color="auto"/>
                    <w:left w:val="none" w:sz="0" w:space="0" w:color="auto"/>
                    <w:bottom w:val="none" w:sz="0" w:space="0" w:color="auto"/>
                    <w:right w:val="none" w:sz="0" w:space="0" w:color="auto"/>
                  </w:divBdr>
                  <w:divsChild>
                    <w:div w:id="1410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41039">
          <w:marLeft w:val="0"/>
          <w:marRight w:val="0"/>
          <w:marTop w:val="0"/>
          <w:marBottom w:val="0"/>
          <w:divBdr>
            <w:top w:val="none" w:sz="0" w:space="0" w:color="auto"/>
            <w:left w:val="none" w:sz="0" w:space="0" w:color="auto"/>
            <w:bottom w:val="none" w:sz="0" w:space="0" w:color="auto"/>
            <w:right w:val="none" w:sz="0" w:space="0" w:color="auto"/>
          </w:divBdr>
          <w:divsChild>
            <w:div w:id="1362627402">
              <w:marLeft w:val="0"/>
              <w:marRight w:val="0"/>
              <w:marTop w:val="0"/>
              <w:marBottom w:val="0"/>
              <w:divBdr>
                <w:top w:val="none" w:sz="0" w:space="0" w:color="auto"/>
                <w:left w:val="none" w:sz="0" w:space="0" w:color="auto"/>
                <w:bottom w:val="none" w:sz="0" w:space="0" w:color="auto"/>
                <w:right w:val="none" w:sz="0" w:space="0" w:color="auto"/>
              </w:divBdr>
              <w:divsChild>
                <w:div w:id="160895816">
                  <w:marLeft w:val="0"/>
                  <w:marRight w:val="0"/>
                  <w:marTop w:val="0"/>
                  <w:marBottom w:val="0"/>
                  <w:divBdr>
                    <w:top w:val="none" w:sz="0" w:space="0" w:color="auto"/>
                    <w:left w:val="none" w:sz="0" w:space="0" w:color="auto"/>
                    <w:bottom w:val="none" w:sz="0" w:space="0" w:color="auto"/>
                    <w:right w:val="none" w:sz="0" w:space="0" w:color="auto"/>
                  </w:divBdr>
                  <w:divsChild>
                    <w:div w:id="482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07951">
      <w:bodyDiv w:val="1"/>
      <w:marLeft w:val="0"/>
      <w:marRight w:val="0"/>
      <w:marTop w:val="0"/>
      <w:marBottom w:val="0"/>
      <w:divBdr>
        <w:top w:val="none" w:sz="0" w:space="0" w:color="auto"/>
        <w:left w:val="none" w:sz="0" w:space="0" w:color="auto"/>
        <w:bottom w:val="none" w:sz="0" w:space="0" w:color="auto"/>
        <w:right w:val="none" w:sz="0" w:space="0" w:color="auto"/>
      </w:divBdr>
    </w:div>
    <w:div w:id="1199590433">
      <w:bodyDiv w:val="1"/>
      <w:marLeft w:val="0"/>
      <w:marRight w:val="0"/>
      <w:marTop w:val="0"/>
      <w:marBottom w:val="0"/>
      <w:divBdr>
        <w:top w:val="none" w:sz="0" w:space="0" w:color="auto"/>
        <w:left w:val="none" w:sz="0" w:space="0" w:color="auto"/>
        <w:bottom w:val="none" w:sz="0" w:space="0" w:color="auto"/>
        <w:right w:val="none" w:sz="0" w:space="0" w:color="auto"/>
      </w:divBdr>
    </w:div>
    <w:div w:id="1241141290">
      <w:bodyDiv w:val="1"/>
      <w:marLeft w:val="0"/>
      <w:marRight w:val="0"/>
      <w:marTop w:val="0"/>
      <w:marBottom w:val="0"/>
      <w:divBdr>
        <w:top w:val="none" w:sz="0" w:space="0" w:color="auto"/>
        <w:left w:val="none" w:sz="0" w:space="0" w:color="auto"/>
        <w:bottom w:val="none" w:sz="0" w:space="0" w:color="auto"/>
        <w:right w:val="none" w:sz="0" w:space="0" w:color="auto"/>
      </w:divBdr>
    </w:div>
    <w:div w:id="1283339263">
      <w:bodyDiv w:val="1"/>
      <w:marLeft w:val="0"/>
      <w:marRight w:val="0"/>
      <w:marTop w:val="0"/>
      <w:marBottom w:val="0"/>
      <w:divBdr>
        <w:top w:val="none" w:sz="0" w:space="0" w:color="auto"/>
        <w:left w:val="none" w:sz="0" w:space="0" w:color="auto"/>
        <w:bottom w:val="none" w:sz="0" w:space="0" w:color="auto"/>
        <w:right w:val="none" w:sz="0" w:space="0" w:color="auto"/>
      </w:divBdr>
    </w:div>
    <w:div w:id="1397359449">
      <w:bodyDiv w:val="1"/>
      <w:marLeft w:val="0"/>
      <w:marRight w:val="0"/>
      <w:marTop w:val="0"/>
      <w:marBottom w:val="0"/>
      <w:divBdr>
        <w:top w:val="none" w:sz="0" w:space="0" w:color="auto"/>
        <w:left w:val="none" w:sz="0" w:space="0" w:color="auto"/>
        <w:bottom w:val="none" w:sz="0" w:space="0" w:color="auto"/>
        <w:right w:val="none" w:sz="0" w:space="0" w:color="auto"/>
      </w:divBdr>
    </w:div>
    <w:div w:id="1431659001">
      <w:bodyDiv w:val="1"/>
      <w:marLeft w:val="0"/>
      <w:marRight w:val="0"/>
      <w:marTop w:val="0"/>
      <w:marBottom w:val="0"/>
      <w:divBdr>
        <w:top w:val="none" w:sz="0" w:space="0" w:color="auto"/>
        <w:left w:val="none" w:sz="0" w:space="0" w:color="auto"/>
        <w:bottom w:val="none" w:sz="0" w:space="0" w:color="auto"/>
        <w:right w:val="none" w:sz="0" w:space="0" w:color="auto"/>
      </w:divBdr>
    </w:div>
    <w:div w:id="1454054884">
      <w:bodyDiv w:val="1"/>
      <w:marLeft w:val="0"/>
      <w:marRight w:val="0"/>
      <w:marTop w:val="0"/>
      <w:marBottom w:val="0"/>
      <w:divBdr>
        <w:top w:val="none" w:sz="0" w:space="0" w:color="auto"/>
        <w:left w:val="none" w:sz="0" w:space="0" w:color="auto"/>
        <w:bottom w:val="none" w:sz="0" w:space="0" w:color="auto"/>
        <w:right w:val="none" w:sz="0" w:space="0" w:color="auto"/>
      </w:divBdr>
    </w:div>
    <w:div w:id="1563564028">
      <w:bodyDiv w:val="1"/>
      <w:marLeft w:val="0"/>
      <w:marRight w:val="0"/>
      <w:marTop w:val="0"/>
      <w:marBottom w:val="0"/>
      <w:divBdr>
        <w:top w:val="none" w:sz="0" w:space="0" w:color="auto"/>
        <w:left w:val="none" w:sz="0" w:space="0" w:color="auto"/>
        <w:bottom w:val="none" w:sz="0" w:space="0" w:color="auto"/>
        <w:right w:val="none" w:sz="0" w:space="0" w:color="auto"/>
      </w:divBdr>
    </w:div>
    <w:div w:id="1727559300">
      <w:bodyDiv w:val="1"/>
      <w:marLeft w:val="0"/>
      <w:marRight w:val="0"/>
      <w:marTop w:val="0"/>
      <w:marBottom w:val="0"/>
      <w:divBdr>
        <w:top w:val="none" w:sz="0" w:space="0" w:color="auto"/>
        <w:left w:val="none" w:sz="0" w:space="0" w:color="auto"/>
        <w:bottom w:val="none" w:sz="0" w:space="0" w:color="auto"/>
        <w:right w:val="none" w:sz="0" w:space="0" w:color="auto"/>
      </w:divBdr>
    </w:div>
    <w:div w:id="1749233828">
      <w:bodyDiv w:val="1"/>
      <w:marLeft w:val="0"/>
      <w:marRight w:val="0"/>
      <w:marTop w:val="0"/>
      <w:marBottom w:val="0"/>
      <w:divBdr>
        <w:top w:val="none" w:sz="0" w:space="0" w:color="auto"/>
        <w:left w:val="none" w:sz="0" w:space="0" w:color="auto"/>
        <w:bottom w:val="none" w:sz="0" w:space="0" w:color="auto"/>
        <w:right w:val="none" w:sz="0" w:space="0" w:color="auto"/>
      </w:divBdr>
    </w:div>
    <w:div w:id="1773622494">
      <w:bodyDiv w:val="1"/>
      <w:marLeft w:val="0"/>
      <w:marRight w:val="0"/>
      <w:marTop w:val="0"/>
      <w:marBottom w:val="0"/>
      <w:divBdr>
        <w:top w:val="none" w:sz="0" w:space="0" w:color="auto"/>
        <w:left w:val="none" w:sz="0" w:space="0" w:color="auto"/>
        <w:bottom w:val="none" w:sz="0" w:space="0" w:color="auto"/>
        <w:right w:val="none" w:sz="0" w:space="0" w:color="auto"/>
      </w:divBdr>
    </w:div>
    <w:div w:id="1807045884">
      <w:bodyDiv w:val="1"/>
      <w:marLeft w:val="0"/>
      <w:marRight w:val="0"/>
      <w:marTop w:val="0"/>
      <w:marBottom w:val="0"/>
      <w:divBdr>
        <w:top w:val="none" w:sz="0" w:space="0" w:color="auto"/>
        <w:left w:val="none" w:sz="0" w:space="0" w:color="auto"/>
        <w:bottom w:val="none" w:sz="0" w:space="0" w:color="auto"/>
        <w:right w:val="none" w:sz="0" w:space="0" w:color="auto"/>
      </w:divBdr>
    </w:div>
    <w:div w:id="1828864708">
      <w:bodyDiv w:val="1"/>
      <w:marLeft w:val="0"/>
      <w:marRight w:val="0"/>
      <w:marTop w:val="0"/>
      <w:marBottom w:val="0"/>
      <w:divBdr>
        <w:top w:val="none" w:sz="0" w:space="0" w:color="auto"/>
        <w:left w:val="none" w:sz="0" w:space="0" w:color="auto"/>
        <w:bottom w:val="none" w:sz="0" w:space="0" w:color="auto"/>
        <w:right w:val="none" w:sz="0" w:space="0" w:color="auto"/>
      </w:divBdr>
    </w:div>
    <w:div w:id="1841043804">
      <w:bodyDiv w:val="1"/>
      <w:marLeft w:val="0"/>
      <w:marRight w:val="0"/>
      <w:marTop w:val="0"/>
      <w:marBottom w:val="0"/>
      <w:divBdr>
        <w:top w:val="none" w:sz="0" w:space="0" w:color="auto"/>
        <w:left w:val="none" w:sz="0" w:space="0" w:color="auto"/>
        <w:bottom w:val="none" w:sz="0" w:space="0" w:color="auto"/>
        <w:right w:val="none" w:sz="0" w:space="0" w:color="auto"/>
      </w:divBdr>
    </w:div>
    <w:div w:id="1855339918">
      <w:bodyDiv w:val="1"/>
      <w:marLeft w:val="0"/>
      <w:marRight w:val="0"/>
      <w:marTop w:val="0"/>
      <w:marBottom w:val="0"/>
      <w:divBdr>
        <w:top w:val="none" w:sz="0" w:space="0" w:color="auto"/>
        <w:left w:val="none" w:sz="0" w:space="0" w:color="auto"/>
        <w:bottom w:val="none" w:sz="0" w:space="0" w:color="auto"/>
        <w:right w:val="none" w:sz="0" w:space="0" w:color="auto"/>
      </w:divBdr>
    </w:div>
    <w:div w:id="1869755921">
      <w:bodyDiv w:val="1"/>
      <w:marLeft w:val="0"/>
      <w:marRight w:val="0"/>
      <w:marTop w:val="0"/>
      <w:marBottom w:val="0"/>
      <w:divBdr>
        <w:top w:val="none" w:sz="0" w:space="0" w:color="auto"/>
        <w:left w:val="none" w:sz="0" w:space="0" w:color="auto"/>
        <w:bottom w:val="none" w:sz="0" w:space="0" w:color="auto"/>
        <w:right w:val="none" w:sz="0" w:space="0" w:color="auto"/>
      </w:divBdr>
    </w:div>
    <w:div w:id="1895457858">
      <w:bodyDiv w:val="1"/>
      <w:marLeft w:val="0"/>
      <w:marRight w:val="0"/>
      <w:marTop w:val="0"/>
      <w:marBottom w:val="0"/>
      <w:divBdr>
        <w:top w:val="none" w:sz="0" w:space="0" w:color="auto"/>
        <w:left w:val="none" w:sz="0" w:space="0" w:color="auto"/>
        <w:bottom w:val="none" w:sz="0" w:space="0" w:color="auto"/>
        <w:right w:val="none" w:sz="0" w:space="0" w:color="auto"/>
      </w:divBdr>
    </w:div>
    <w:div w:id="1950620106">
      <w:bodyDiv w:val="1"/>
      <w:marLeft w:val="0"/>
      <w:marRight w:val="0"/>
      <w:marTop w:val="0"/>
      <w:marBottom w:val="0"/>
      <w:divBdr>
        <w:top w:val="none" w:sz="0" w:space="0" w:color="auto"/>
        <w:left w:val="none" w:sz="0" w:space="0" w:color="auto"/>
        <w:bottom w:val="none" w:sz="0" w:space="0" w:color="auto"/>
        <w:right w:val="none" w:sz="0" w:space="0" w:color="auto"/>
      </w:divBdr>
    </w:div>
    <w:div w:id="2001149959">
      <w:bodyDiv w:val="1"/>
      <w:marLeft w:val="0"/>
      <w:marRight w:val="0"/>
      <w:marTop w:val="0"/>
      <w:marBottom w:val="0"/>
      <w:divBdr>
        <w:top w:val="none" w:sz="0" w:space="0" w:color="auto"/>
        <w:left w:val="none" w:sz="0" w:space="0" w:color="auto"/>
        <w:bottom w:val="none" w:sz="0" w:space="0" w:color="auto"/>
        <w:right w:val="none" w:sz="0" w:space="0" w:color="auto"/>
      </w:divBdr>
    </w:div>
    <w:div w:id="2042051584">
      <w:bodyDiv w:val="1"/>
      <w:marLeft w:val="0"/>
      <w:marRight w:val="0"/>
      <w:marTop w:val="0"/>
      <w:marBottom w:val="0"/>
      <w:divBdr>
        <w:top w:val="none" w:sz="0" w:space="0" w:color="auto"/>
        <w:left w:val="none" w:sz="0" w:space="0" w:color="auto"/>
        <w:bottom w:val="none" w:sz="0" w:space="0" w:color="auto"/>
        <w:right w:val="none" w:sz="0" w:space="0" w:color="auto"/>
      </w:divBdr>
    </w:div>
    <w:div w:id="2099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89264071049-en" TargetMode="External"/><Relationship Id="rId3" Type="http://schemas.openxmlformats.org/officeDocument/2006/relationships/settings" Target="settings.xml"/><Relationship Id="rId7" Type="http://schemas.openxmlformats.org/officeDocument/2006/relationships/hyperlink" Target="https://nafdac.gov.ng/our-services/product-registrationevalu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Father%20confessor\Downloads\Co-Administration_Testis%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lumMod val="95000"/>
                <a:lumOff val="5000"/>
              </a:schemeClr>
            </a:solidFill>
          </c:spPr>
          <c:invertIfNegative val="0"/>
          <c:cat>
            <c:strRef>
              <c:f>Sheet35!$I$6:$I$15</c:f>
              <c:strCache>
                <c:ptCount val="10"/>
                <c:pt idx="0">
                  <c:v>Group A</c:v>
                </c:pt>
                <c:pt idx="1">
                  <c:v>Group B</c:v>
                </c:pt>
                <c:pt idx="2">
                  <c:v>Group C</c:v>
                </c:pt>
                <c:pt idx="3">
                  <c:v>Group D</c:v>
                </c:pt>
                <c:pt idx="4">
                  <c:v>Group E</c:v>
                </c:pt>
                <c:pt idx="5">
                  <c:v>Group F</c:v>
                </c:pt>
                <c:pt idx="6">
                  <c:v>Group G</c:v>
                </c:pt>
                <c:pt idx="7">
                  <c:v>Group H</c:v>
                </c:pt>
                <c:pt idx="8">
                  <c:v>Group I</c:v>
                </c:pt>
                <c:pt idx="9">
                  <c:v>Group J</c:v>
                </c:pt>
              </c:strCache>
            </c:strRef>
          </c:cat>
          <c:val>
            <c:numRef>
              <c:f>Sheet35!$J$6:$J$15</c:f>
              <c:numCache>
                <c:formatCode>General</c:formatCode>
                <c:ptCount val="10"/>
                <c:pt idx="0">
                  <c:v>1.4</c:v>
                </c:pt>
                <c:pt idx="1">
                  <c:v>1.5</c:v>
                </c:pt>
                <c:pt idx="2">
                  <c:v>1.5</c:v>
                </c:pt>
                <c:pt idx="3">
                  <c:v>1.45</c:v>
                </c:pt>
                <c:pt idx="4">
                  <c:v>1.4</c:v>
                </c:pt>
                <c:pt idx="5">
                  <c:v>1.33</c:v>
                </c:pt>
                <c:pt idx="6">
                  <c:v>1.4</c:v>
                </c:pt>
                <c:pt idx="7">
                  <c:v>1.5</c:v>
                </c:pt>
                <c:pt idx="8">
                  <c:v>1.4</c:v>
                </c:pt>
                <c:pt idx="9">
                  <c:v>1.45</c:v>
                </c:pt>
              </c:numCache>
            </c:numRef>
          </c:val>
          <c:extLst>
            <c:ext xmlns:c16="http://schemas.microsoft.com/office/drawing/2014/chart" uri="{C3380CC4-5D6E-409C-BE32-E72D297353CC}">
              <c16:uniqueId val="{00000000-5A82-4692-BA09-D4F75B01850E}"/>
            </c:ext>
          </c:extLst>
        </c:ser>
        <c:dLbls>
          <c:showLegendKey val="0"/>
          <c:showVal val="0"/>
          <c:showCatName val="0"/>
          <c:showSerName val="0"/>
          <c:showPercent val="0"/>
          <c:showBubbleSize val="0"/>
        </c:dLbls>
        <c:gapWidth val="150"/>
        <c:axId val="378247840"/>
        <c:axId val="378247448"/>
      </c:barChart>
      <c:catAx>
        <c:axId val="378247840"/>
        <c:scaling>
          <c:orientation val="minMax"/>
        </c:scaling>
        <c:delete val="0"/>
        <c:axPos val="b"/>
        <c:numFmt formatCode="General" sourceLinked="0"/>
        <c:majorTickMark val="out"/>
        <c:minorTickMark val="none"/>
        <c:tickLblPos val="nextTo"/>
        <c:txPr>
          <a:bodyPr/>
          <a:lstStyle/>
          <a:p>
            <a:pPr>
              <a:defRPr b="1"/>
            </a:pPr>
            <a:endParaRPr lang="en-US"/>
          </a:p>
        </c:txPr>
        <c:crossAx val="378247448"/>
        <c:crosses val="autoZero"/>
        <c:auto val="1"/>
        <c:lblAlgn val="ctr"/>
        <c:lblOffset val="100"/>
        <c:noMultiLvlLbl val="0"/>
      </c:catAx>
      <c:valAx>
        <c:axId val="378247448"/>
        <c:scaling>
          <c:orientation val="minMax"/>
        </c:scaling>
        <c:delete val="0"/>
        <c:axPos val="l"/>
        <c:title>
          <c:tx>
            <c:rich>
              <a:bodyPr rot="-5400000" vert="horz"/>
              <a:lstStyle/>
              <a:p>
                <a:pPr>
                  <a:defRPr/>
                </a:pPr>
                <a:r>
                  <a:rPr lang="en-US"/>
                  <a:t>Weight (g)</a:t>
                </a:r>
              </a:p>
            </c:rich>
          </c:tx>
          <c:overlay val="0"/>
        </c:title>
        <c:numFmt formatCode="General" sourceLinked="1"/>
        <c:majorTickMark val="out"/>
        <c:minorTickMark val="none"/>
        <c:tickLblPos val="nextTo"/>
        <c:txPr>
          <a:bodyPr/>
          <a:lstStyle/>
          <a:p>
            <a:pPr>
              <a:defRPr b="1"/>
            </a:pPr>
            <a:endParaRPr lang="en-US"/>
          </a:p>
        </c:txPr>
        <c:crossAx val="378247840"/>
        <c:crosses val="autoZero"/>
        <c:crossBetween val="between"/>
      </c:valAx>
      <c:spPr>
        <a:solidFill>
          <a:schemeClr val="bg2"/>
        </a:solidFill>
      </c:spPr>
    </c:plotArea>
    <c:plotVisOnly val="1"/>
    <c:dispBlanksAs val="gap"/>
    <c:showDLblsOverMax val="0"/>
  </c:chart>
  <c:spPr>
    <a:solidFill>
      <a:schemeClr val="bg2"/>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1</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ariwason</dc:creator>
  <cp:lastModifiedBy>Editor-11</cp:lastModifiedBy>
  <cp:revision>13</cp:revision>
  <dcterms:created xsi:type="dcterms:W3CDTF">2025-07-30T06:16:00Z</dcterms:created>
  <dcterms:modified xsi:type="dcterms:W3CDTF">2025-08-01T09:37:00Z</dcterms:modified>
</cp:coreProperties>
</file>