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1F28D" w14:textId="77777777" w:rsidR="00605DF6" w:rsidRDefault="00605DF6" w:rsidP="00082A7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Review Article</w:t>
      </w:r>
    </w:p>
    <w:p w14:paraId="431F9B4B" w14:textId="77777777" w:rsidR="00605DF6" w:rsidRDefault="00605DF6" w:rsidP="00082A77">
      <w:pPr>
        <w:spacing w:after="0" w:line="240" w:lineRule="auto"/>
        <w:rPr>
          <w:rFonts w:ascii="Times New Roman" w:hAnsi="Times New Roman" w:cs="Times New Roman"/>
          <w:b/>
          <w:bCs/>
          <w:sz w:val="24"/>
          <w:szCs w:val="24"/>
        </w:rPr>
      </w:pPr>
    </w:p>
    <w:p w14:paraId="756EE814" w14:textId="5962ECB4" w:rsidR="00082A77" w:rsidRPr="004E6CD8" w:rsidRDefault="004E6CD8" w:rsidP="00082A77">
      <w:pPr>
        <w:spacing w:after="0" w:line="240" w:lineRule="auto"/>
        <w:rPr>
          <w:rFonts w:ascii="Times New Roman" w:hAnsi="Times New Roman" w:cs="Times New Roman"/>
          <w:b/>
          <w:bCs/>
          <w:sz w:val="24"/>
          <w:szCs w:val="24"/>
        </w:rPr>
      </w:pPr>
      <w:bookmarkStart w:id="0" w:name="_GoBack"/>
      <w:bookmarkEnd w:id="0"/>
      <w:r w:rsidRPr="004E6CD8">
        <w:rPr>
          <w:rFonts w:ascii="Times New Roman" w:hAnsi="Times New Roman" w:cs="Times New Roman"/>
          <w:b/>
          <w:bCs/>
          <w:sz w:val="24"/>
          <w:szCs w:val="24"/>
        </w:rPr>
        <w:t>Rethinking Nigeria’s Basic Education Curriculum for the Future Amidst Global Competency Standard: Integrating 21</w:t>
      </w:r>
      <w:r w:rsidRPr="004E6CD8">
        <w:rPr>
          <w:rFonts w:ascii="Times New Roman" w:hAnsi="Times New Roman" w:cs="Times New Roman"/>
          <w:b/>
          <w:bCs/>
          <w:sz w:val="24"/>
          <w:szCs w:val="24"/>
          <w:vertAlign w:val="superscript"/>
        </w:rPr>
        <w:t>st</w:t>
      </w:r>
      <w:r w:rsidRPr="004E6CD8">
        <w:rPr>
          <w:rFonts w:ascii="Times New Roman" w:hAnsi="Times New Roman" w:cs="Times New Roman"/>
          <w:b/>
          <w:bCs/>
          <w:sz w:val="24"/>
          <w:szCs w:val="24"/>
        </w:rPr>
        <w:t>-Century Skills</w:t>
      </w:r>
    </w:p>
    <w:p w14:paraId="19D4D8EE" w14:textId="77777777" w:rsidR="004E6CD8" w:rsidRDefault="004E6CD8" w:rsidP="00082A77">
      <w:pPr>
        <w:spacing w:after="0" w:line="240" w:lineRule="auto"/>
        <w:rPr>
          <w:rFonts w:ascii="Times New Roman" w:eastAsia="Times New Roman" w:hAnsi="Times New Roman" w:cs="Times New Roman"/>
          <w:sz w:val="24"/>
          <w:szCs w:val="24"/>
        </w:rPr>
      </w:pPr>
    </w:p>
    <w:p w14:paraId="0C3CFD26" w14:textId="571255B5" w:rsidR="00E85940" w:rsidRPr="00082A77" w:rsidRDefault="00E85940" w:rsidP="00082A77">
      <w:pPr>
        <w:spacing w:after="0" w:line="240" w:lineRule="auto"/>
        <w:rPr>
          <w:rFonts w:ascii="Times New Roman" w:eastAsia="Times New Roman" w:hAnsi="Times New Roman" w:cs="Times New Roman"/>
          <w:b/>
          <w:bCs/>
          <w:sz w:val="24"/>
          <w:szCs w:val="24"/>
        </w:rPr>
      </w:pPr>
      <w:r w:rsidRPr="00082A77">
        <w:rPr>
          <w:rFonts w:ascii="Times New Roman" w:eastAsia="Times New Roman" w:hAnsi="Times New Roman" w:cs="Times New Roman"/>
          <w:b/>
          <w:bCs/>
          <w:sz w:val="24"/>
          <w:szCs w:val="24"/>
        </w:rPr>
        <w:t>Abstract</w:t>
      </w:r>
      <w:r w:rsidR="00805C09" w:rsidRPr="00082A77">
        <w:rPr>
          <w:rFonts w:ascii="Times New Roman" w:eastAsia="Times New Roman" w:hAnsi="Times New Roman" w:cs="Times New Roman"/>
          <w:b/>
          <w:bCs/>
          <w:sz w:val="24"/>
          <w:szCs w:val="24"/>
        </w:rPr>
        <w:t xml:space="preserve">. </w:t>
      </w:r>
    </w:p>
    <w:p w14:paraId="20C8B403" w14:textId="3B04BDD4" w:rsidR="0098536C" w:rsidRDefault="0098536C" w:rsidP="0098536C">
      <w:pPr>
        <w:pStyle w:val="NormalWeb"/>
      </w:pPr>
      <w:r>
        <w:t>Because technology, the economy, and society are changing rapidly, there is growing global demand for schools to teach 21st-century competencies such as critical thinking, creativity, teamwork, communication, digital literacy, and global citizenship. These skills are central to sustainable development and competitiveness, as highlighted in the Partnership for 21st Century Learning, UNESCO’s Education 2030 Agenda, and the OECD Global Competence Framework. This review examines the extent to which Nigeria’s basic education curriculum aligns with international standards and explores strategies for integration.</w:t>
      </w:r>
      <w:r>
        <w:t xml:space="preserve"> </w:t>
      </w:r>
      <w:proofErr w:type="gramStart"/>
      <w:r>
        <w:t>Drawing</w:t>
      </w:r>
      <w:proofErr w:type="gramEnd"/>
      <w:r>
        <w:t xml:space="preserve"> on peer-reviewed literature, comparative case studies, and policy documents, the study reveals a wide gap between Nigeria’s content-heavy, exam-driven curriculum and global competency-based models. Lessons from Kenya, India, Finland, and Singapore demonstrate the importance of flexible curricula, skill integration, formative assessment, and strong teacher development.</w:t>
      </w:r>
      <w:r>
        <w:t xml:space="preserve"> </w:t>
      </w:r>
      <w:proofErr w:type="gramStart"/>
      <w:r>
        <w:t>Unlike</w:t>
      </w:r>
      <w:proofErr w:type="gramEnd"/>
      <w:r>
        <w:t xml:space="preserve"> prior studies that primarily describe curriculum deficits, this paper uniquely synthesizes </w:t>
      </w:r>
      <w:r w:rsidRPr="0098536C">
        <w:rPr>
          <w:rStyle w:val="Strong"/>
          <w:b w:val="0"/>
          <w:bCs w:val="0"/>
        </w:rPr>
        <w:t>international lessons, Nigerian policy realities, and a context-sensitive integration framework</w:t>
      </w:r>
      <w:r w:rsidRPr="0098536C">
        <w:rPr>
          <w:b/>
          <w:bCs/>
        </w:rPr>
        <w:t>.</w:t>
      </w:r>
      <w:r>
        <w:t xml:space="preserve"> Its novelty lies in proposing an </w:t>
      </w:r>
      <w:r w:rsidRPr="0098536C">
        <w:rPr>
          <w:rStyle w:val="Strong"/>
          <w:b w:val="0"/>
          <w:bCs w:val="0"/>
        </w:rPr>
        <w:t>actionable model</w:t>
      </w:r>
      <w:r>
        <w:t xml:space="preserve"> tailored to Nigeria’s socio-cultural and infrastructural context, bridging global best practices with local needs. Key strategies include targeted teacher training, stronger policy commitment, equitable ICT access, and coordinated partnerships with government, NGOs, and international organizations.</w:t>
      </w:r>
      <w:r>
        <w:t xml:space="preserve"> </w:t>
      </w:r>
      <w:proofErr w:type="gramStart"/>
      <w:r>
        <w:t>This</w:t>
      </w:r>
      <w:proofErr w:type="gramEnd"/>
      <w:r>
        <w:t xml:space="preserve"> study offers both a conceptual and practical framework for incorporating 21st-century skills into Nigeria’s basic education while advancing policy dialogue and comparative education scholarship. By linking theory, evidence, and measurable reforms, it provides a roadmap for aligning Nigeria’s curriculum with global standards and preparing learners for the demands of the future.</w:t>
      </w:r>
    </w:p>
    <w:p w14:paraId="0648EF87" w14:textId="77777777" w:rsidR="00E85940" w:rsidRPr="00E85940" w:rsidRDefault="00E85940" w:rsidP="00E85940">
      <w:pPr>
        <w:spacing w:before="100" w:beforeAutospacing="1" w:after="100" w:afterAutospacing="1" w:line="240" w:lineRule="auto"/>
        <w:rPr>
          <w:rFonts w:ascii="Times New Roman" w:eastAsia="Times New Roman" w:hAnsi="Times New Roman" w:cs="Times New Roman"/>
          <w:sz w:val="24"/>
          <w:szCs w:val="24"/>
        </w:rPr>
      </w:pPr>
      <w:r w:rsidRPr="00E85940">
        <w:rPr>
          <w:rFonts w:ascii="Times New Roman" w:eastAsia="Times New Roman" w:hAnsi="Times New Roman" w:cs="Times New Roman"/>
          <w:b/>
          <w:bCs/>
          <w:sz w:val="24"/>
          <w:szCs w:val="24"/>
        </w:rPr>
        <w:t>Keywords:</w:t>
      </w:r>
      <w:r w:rsidRPr="00E85940">
        <w:rPr>
          <w:rFonts w:ascii="Times New Roman" w:eastAsia="Times New Roman" w:hAnsi="Times New Roman" w:cs="Times New Roman"/>
          <w:sz w:val="24"/>
          <w:szCs w:val="24"/>
        </w:rPr>
        <w:t xml:space="preserve"> 21st-century skills, competency-based education, curriculum reform, Nigeria, global education standards, teacher training</w:t>
      </w:r>
    </w:p>
    <w:p w14:paraId="3AD88B65"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1. Introduction</w:t>
      </w:r>
    </w:p>
    <w:p w14:paraId="1E3418D4" w14:textId="4D7931C5" w:rsidR="00E85940" w:rsidRPr="00E85940" w:rsidRDefault="00BE4734" w:rsidP="00503C35">
      <w:pPr>
        <w:spacing w:after="0" w:line="240" w:lineRule="auto"/>
        <w:rPr>
          <w:rFonts w:ascii="Times New Roman" w:eastAsia="Times New Roman" w:hAnsi="Times New Roman" w:cs="Times New Roman"/>
          <w:b/>
          <w:bCs/>
          <w:sz w:val="36"/>
          <w:szCs w:val="36"/>
        </w:rPr>
      </w:pPr>
      <w:r w:rsidRPr="00BE4734">
        <w:rPr>
          <w:rFonts w:ascii="Times New Roman" w:eastAsia="Times New Roman" w:hAnsi="Times New Roman" w:cs="Times New Roman"/>
          <w:sz w:val="24"/>
          <w:szCs w:val="24"/>
        </w:rPr>
        <w:t>Around the world, schools are moving away from rote memorization and content-heavy models and toward competency-based learning. This provides students the skills they need to do well in a world that is growing more connected and changing quickly. This transition is happening because people have realized that the problems of the 21st century, such as climate change and changes in the job market, need a workforce that can think critically, solve complex problems, cooperate with people from other cultures, and adapt to new environments</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{"citationID":"LyJVYqeK","properties":{"formattedCitation":"(Darling-Hammond et al., 2020)","plainCitation":"(Darling-Hammond et al., 2020)","noteIndex":0},"citationItems":[{"id":6230,"uris":["http://zotero.org/users/16652950/items/333XFEPS"],"itemData":{"id":6230,"type":"article-journal","container-title":"Applied Developmental Science","DOI":"10.1080/10888691.2018.1537791","ISSN":"1088-8691","issue":"2","note":"publisher: Routledge","page":"97-140","source":"tandfonline.com (Atypon)","title":"Implications for educational practice of the science of learning and development","volume":"24","author":[{"family":"Darling-Hammond","given":"Linda"},{"family":"Flook","given":"Lisa"},{"family":"Cook-Harvey","given":"Channa"},{"family":"Barron","given":"Brigid"},{"family":"Osher","given":"David"}],"issued":{"date-parts":[["2020",4,2]]}}}],"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(Darling-Hammond et al., 2020)</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International groups like the OECD and UNESCO have stressed the need for educational systems that include digital literacy, socioemotional skills, and global competency as important parts of basic education</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{"citationID":"qeYh0h5U","properties":{"formattedCitation":"(Erstad et al., 2024)","plainCitation":"(Erstad et al., 2024)","noteIndex":0},"citationItems":[{"id":6232,"uris":["http://zotero.org/users/16652950/items/GJZPRZS6"],"itemData":{"id":6232,"type":"article-journal","abstract":"This article brings together literature and perspectives that have evolved during the last decade on issues of social and emotional aspects of learning in a digital age. This topic points to some core challenges and worries of contemporary social developments within digitalized societies, and ways of perceiving future developments of how we conceptualize learning and education within and beyond formal schooling to better provide for ways of engaging young learners. The aim is to address some emerging issues on the importance of digital social and emotional skills (D-SEL) relevant for our understanding of learning and education in contemporary and future societies. We use developments in selected countries (Norway, Czech Republic, USA and Japan) as examples to discuss how social and emotional skills have entered educational systems. The findings show that not only knowledge in a cognitive sense is important for human life, but also people’s approach to life and their ability to adapt to changes as digital social and emotional ways of learning.","container-title":"Technology, Knowledge and Learning","DOI":"10.1007/s10758-024-09775-w","ISSN":"2211-1670","issue":"4","journalAbbreviation":"Tech Know Learn","language":"en","page":"1751-1766","source":"Springer Link","title":"Social and Emotional Modes of Learning Within Digital Ecosystems: Emerging Research Agendas","title-short":"Social and Emotional Modes of Learning Within Digital Ecosystems","volume":"29","author":[{"family":"Erstad","given":"Ola"},{"family":"Černochová","given":"Miroslava"},{"family":"Knezek","given":"Gerald"},{"family":"Furuta","given":"Takahisa"},{"family":"Takami","given":"Kyosuke"},{"family":"Liang","given":"Changhao"}],"issued":{"date-parts":[["2024",12,1]]}}}],"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Erstad</w:t>
      </w:r>
      <w:proofErr w:type="spellEnd"/>
      <w:r w:rsidR="00601142" w:rsidRPr="00601142">
        <w:rPr>
          <w:rFonts w:ascii="Times New Roman" w:hAnsi="Times New Roman" w:cs="Times New Roman"/>
          <w:sz w:val="24"/>
        </w:rPr>
        <w:t xml:space="preserve"> et al., 2024)</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 xml:space="preserve">Nigeria, which has the most people in Africa and is a developing economy, is under a lot of pressure to modernize its basic education curriculum to reflect these developments in the globe. The National Policy on Education and other policy papers say that it's important to get students </w:t>
      </w:r>
      <w:r w:rsidRPr="00BE4734">
        <w:rPr>
          <w:rFonts w:ascii="Times New Roman" w:eastAsia="Times New Roman" w:hAnsi="Times New Roman" w:cs="Times New Roman"/>
          <w:sz w:val="24"/>
          <w:szCs w:val="24"/>
        </w:rPr>
        <w:lastRenderedPageBreak/>
        <w:t>ready for the digital economy, yet the current curriculum is still mostly focused on content and tests. Teaching, learning, and testing do not do a good job of addressing core 21st-century abilities like creativity, problem-solving, digital literacy, and global citizenship</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{"citationID":"BAm2oS62","properties":{"formattedCitation":"(Luise, 2023)","plainCitation":"(Luise, 2023)","noteIndex":0},"citationItems":[{"id":6234,"uris":["http://zotero.org/users/16652950/items/IHD79RIW"],"itemData":{"id":6234,"type":"article-journal","abstract":"Nigeria is a country located in West Africa and is home to over 200 million people. It is the most populous country in Africa and has a diverse culture and a rich history. One of the most significant challenges that Nigeria has faced in recent years is the development of its education sector. However, there has been some progress in this area in recent years. In this article, we will discuss the educational development in Nigeria, including the challenges faced and the progress made.","container-title":"Educational Research","language":"en","note":"publisher: International Research Journals","page":"1-3","source":"www.interesjournals.org","title":"The Quality of Educational Development in Nigeria","author":[{"family":"Luise","given":"Obeza E."}],"issued":{"date-parts":[["2023",3,31]]}}}],"schema":"https://github.com/citation-style-language/schema/raw/master/csl-citation.json"}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Luise</w:t>
      </w:r>
      <w:proofErr w:type="spellEnd"/>
      <w:r w:rsidR="00601142" w:rsidRPr="00601142">
        <w:rPr>
          <w:rFonts w:ascii="Times New Roman" w:hAnsi="Times New Roman" w:cs="Times New Roman"/>
          <w:sz w:val="24"/>
        </w:rPr>
        <w:t>, 2023)</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Due to this imbalance, Nigerian students may not be prepared to compete on the global stage or make significant contributions to their country's development.</w:t>
      </w:r>
      <w:r w:rsidRPr="00BE4734">
        <w:rPr>
          <w:rFonts w:ascii="Times New Roman" w:eastAsia="Times New Roman" w:hAnsi="Times New Roman" w:cs="Times New Roman"/>
          <w:sz w:val="24"/>
          <w:szCs w:val="24"/>
        </w:rPr>
        <w:br/>
        <w:t>The goal of this review is to gather the finest ways from across the world to teach 21st-century skills in basic education and see how they might be adapted to Nigeria's social, cultural, and policy setting. The project will utilize national policy analysis, comparative case studies, and international frameworks to identify the potential and systemic barriers affecting curricular change in Nigeria.</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{"citationID":"m4djosAi","properties":{"formattedCitation":"(Okonkwo, 2025)","plainCitation":"(Okonkwo, 2025)","noteIndex":0},"citationItems":[{"id":6236,"uris":["http://zotero.org/users/16652950/items/BSJWNKGL"],"itemData":{"id":6236,"type":"article-journal","DOI":"10.5281/zenodo.14879702","source":"Zenodo","title":"Integrating 21st Century Skills into Secondary Education: Preparing Students for a Productive Society","title-short":"Integrating 21st Century Skills into Secondary Education","URL":"https://zenodo.org/records/14879702","author":[{"family":"Okonkwo","given":"Dr Iibi John &amp; Dr Cecilia Okwudinma"}],"accessed":{"date-parts":[["2025",8,13]]},"issued":{"date-parts":[["2025",2,16]]}}}],"schema":"https://github.com/citation-style-language/schema/raw/master/csl-citation.json"}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(Okonkwo, 2025)</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00E85940" w:rsidRPr="00E85940">
        <w:rPr>
          <w:rFonts w:ascii="Times New Roman" w:eastAsia="Times New Roman" w:hAnsi="Times New Roman" w:cs="Times New Roman"/>
          <w:b/>
          <w:bCs/>
          <w:sz w:val="36"/>
          <w:szCs w:val="36"/>
        </w:rPr>
        <w:t>2. Understanding 21st-Century Skills in Global Education</w:t>
      </w:r>
    </w:p>
    <w:p w14:paraId="0FBD4416" w14:textId="033F41D8"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term "21st-century skills" refers to a set of abilities, attitudes, and character traits that are believed to be necessary for students to successfully navigate and make a substantial contribution to the demands of the modern workforce and society. A widely acknowledged framework encompasses six interrelated domains: critical thinking, creativity, collaboration, communication, digital literacy, and global citizenship; nevertheless, definitions vary across organizations and contexts</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{"citationID":"rzg34coL","properties":{"formattedCitation":"(Thornhill-Miller et al., 2023)","plainCitation":"(Thornhill-Miller et al., 2023)","noteIndex":0},"citationItems":[{"id":6237,"uris":["http://zotero.org/users/16652950/items/EYAZA3MX"],"itemData":{"id":6237,"type":"article-journal","abstract":"This article addresses educational challenges posed by the future of work, examining “21st century skills”, their conception, assessment, and valorization. It focuses in particular on key soft skill competencies known as the “4Cs”: creativity, critical thinking, collaboration, and communication. In a section on each C, we provide an overview of assessment at the level of individual performance, before focusing on the less common assessment of systemic support for the development of the 4Cs that can be measured at the institutional level (i.e., in schools, universities, professional training programs, etc.). We then present the process of official assessment and certification known as “labelization”, suggesting it as a solution both for establishing a publicly trusted assessment of the 4Cs and for promoting their cultural valorization. Next, two variations of the “International Institute for Competency Development’s 21st Century Skills Framework” are presented. The first of these comprehensive systems allows for the assessment and labelization of the extent to which development of the 4Cs is supported by a formal educational program or institution. The second assesses informal educational or training experiences, such as playing a game. We discuss the overlap between the 4Cs and the challenges of teaching and institutionalizing them, both of which may be assisted by adopting a dynamic interactionist model of the 4Cs—playfully entitled “Crea-Critical-Collab-ication”—for pedagogical and policy-promotion purposes. We conclude by briefly discussing opportunities presented by future research and new technologies such as artificial intelligence and virtual reality.","container-title":"Journal of Intelligence","DOI":"10.3390/jintelligence11030054","ISSN":"2079-3200","issue":"3","language":"en","license":"http://creativecommons.org/licenses/by/3.0/","note":"publisher: Multidisciplinary Digital Publishing Institute","page":"54","source":"www.mdpi.com","title":"Creativity, Critical Thinking, Communication, and Collaboration: Assessment, Certification, and Promotion of 21st Century Skills for the Future of Work and Education","title-short":"Creativity, Critical Thinking, Communication, and Collaboration","volume":"11","author":[{"family":"Thornhill-Miller","given":"Branden"},{"family":"Camarda","given":"Anaëlle"},{"family":"Mercier","given":"Maxence"},{"family":"Burkhardt","given":"Jean-Marie"},{"family":"Morisseau","given":"Tiffany"},{"family":"Bourgeois-Bougrine","given":"Samira"},{"family":"Vinchon","given":"Florent"},{"family":"El Hayek","given":"Stephanie"},{"family":"Augereau-Landais","given":"Myriam"},{"family":"Mourey","given":"Florence"},{"family":"Feybesse","given":"Cyrille"},{"family":"Sundquist","given":"Daniel"},{"family":"Lubart","given":"Todd"}],"issued":{"date-parts":[["2023",3]]}}}],"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(Thornhill-Miller et al., 2023)</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Students with critical thinking skills can look at different points of view, look at information objectively, and make good decisions. Creativity helps people come up with new ideas and be flexible when tackling problems. Collaboration and communication are the keys to working well together in companies that are becoming more multicultural and virtual. In a world where technology is everywhere, digital literacy helps students find, evaluate, and create content in the right way. Global citizenship promotes intercultural understanding, empathy, and engagement with global issues such as sustainability, equity, and peace</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{"citationID":"1G29mKIZ","properties":{"formattedCitation":"(Kalukar et al., 2024)","plainCitation":"(Kalukar et al., 2024)","noteIndex":0},"citationItems":[{"id":6239,"uris":["http://zotero.org/users/16652950/items/7QNXFQGL"],"itemData":{"id":6239,"type":"article-journal","abstract":"Critical thinking skills are one of the important elements in modern education to prepare students for the challenges of the 21st century. However, traditional approaches that are still dominant in the learning process often fail to encourage the development of these skills optimally. This study aims to explore the effectiveness of collaborative learning in improving students' critical thinking skills. The method used is a literature study with thematic analysis of various relevant academic articles and reports published in the last five years. The results of the study show that collaborative learning provides an interactive environment where students can discuss, share ideas, and provide feedback to each other. These collaborative activities not only improve students' analytical abilities but also strengthen communication and teamwork skills. In addition, the integration of technology in collaborative learning, such as the use of digital platforms for online discussions, further expands the potential for the development of critical thinking skills. Despite facing challenges, such as lack of teacher training and access to technology, the study concludes that collaborative learning is an effective approach in building students' critical skills in a variety of educational contexts.","container-title":"The Journal of Academic Science","DOI":"10.59613/2dx5zr09","ISSN":"2997-7258","issue":"8","language":"en","license":"Copyright (c) 2024 Ventje Jany Kalukar, Titi Riyanti, Marcus Frets. Pessireron, Suhendra  Suhendra, Satria  Yudistira (Author)","page":"1145-1153","source":"thejoas.com","title":"Enhancing Critical Thinking Skills Through Collaborative Learning in Modern Educational Practices","volume":"1","author":[{"family":"Kalukar","given":"Ventje Jany"},{"family":"Krobo","given":"Andrianus"},{"family":"Pessireron","given":"Marcus Frets"},{"family":"Suhendra","given":"Suhendra"},{"family":"Yudistira","given":"Satria"}],"issued":{"date-parts":[["2024",12,12]]}}}],"schema":"https://github.com/citation-style-language/schema/raw/master/csl-citation.json"}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Kalukar</w:t>
      </w:r>
      <w:proofErr w:type="spellEnd"/>
      <w:r w:rsidR="00601142" w:rsidRPr="00601142">
        <w:rPr>
          <w:rFonts w:ascii="Times New Roman" w:hAnsi="Times New Roman" w:cs="Times New Roman"/>
          <w:sz w:val="24"/>
        </w:rPr>
        <w:t xml:space="preserve"> et al., 2024)</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55468760" w14:textId="3916A89D"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International organizations have made these skills into standards that guide improvements to curricula all across the world. According to the OECD Global Competence Framework, global competence is the ability to think about local, global, and intercultural issues, understand and appreciate different points of view, and act responsibly for the good of everyone and the environment</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{"citationID":"V3WrImkS","properties":{"formattedCitation":"(Zhou et al., 2025)","plainCitation":"(Zhou et al., 2025)","noteIndex":0},"citationItems":[{"id":6241,"uris":["http://zotero.org/users/16652950/items/Y2LCWNXE"],"itemData":{"id":6241,"type":"article-journal","abstract":"Amid the rapid changes that adolescents experience in today's globalized society, global competence has become a core quality that enables them to cope with the demands of life, learning, and work. To understand the potential categorization of global competence and its influencing factors among secondary school students, this study used a questionnaire to survey students in 89 secondary schools in Shanghai, China. Latent profile analysis was used to examine the heterogeneity of the selected students' global competence. Analysis of variance was performed to explore how the latent categories of global competence are associated with gender and foreign language learning. Furthermore, logistic regression analysis was employed to identify their potential profiles' influencing factors. The results demonstrated that secondary school students' global competence can be categorized into one of four potential categories––limited awareness and engagement, emerging awareness and engagement, developed cognition and moderate engagement, and highly developed and globally engaged––with the highest number in the developed cognition and moderate engagement group and the lowest number in the limited awareness and engagement group. Furthermore, the variables of gender, years of foreign language learning, number of languages studied, and satisfaction with the school's foreign language curriculum may serve as potential indicators for categorizing global competence profiles. The study's results can be useful for subsequent theoretical and practical research in this field.","container-title":"Acta Psychologica","DOI":"10.1016/j.actpsy.2025.104850","ISSN":"0001-6918","journalAbbreviation":"Acta Psychologica","page":"104850","source":"ScienceDirect","title":"Foreign language learning's role in the development of global competence: A latent profile analysis","title-short":"Foreign language learning's role in the development of global competence","volume":"254","author":[{"family":"Zhou","given":"Maojie"},{"family":"Wang","given":"Xuemei"},{"family":"Wang","given":"Rongkai"}],"issued":{"date-parts":[["2025",4,1]]}}}],"schema":"https://github.com/citation-style-language/schema/raw/master/csl-citation.json"}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(Zhou et al., 2025)</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The UNESCO Education 2030 Agenda is based on Sustainable Development Goal 4 and emphasizes the importance of digital literacy, civic involvement, and environmental awareness. It also focuses on providing high-quality, inclusive, and fair education and helping people build skills for lifelong learning. The Partnership for 21st Century Learning (P21) combines these four important skills into the "4Cs" model: critical thinking, communication, cooperation, and creativity. These are supported by skills in media, information, and life and work</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{"citationID":"7ojeG0tl","properties":{"formattedCitation":"(Saini et al., 2023)","plainCitation":"(Saini et al., 2023)","noteIndex":0},"citationItems":[{"id":6242,"uris":["http://zotero.org/users/16652950/items/YQRTGGE7"],"itemData":{"id":6242,"type":"article-journal","abstract":"Sustainable Development Goals (SDG) are at the forefront of government initiatives across the world. The SDGs are primarily concerned with promoting sustainable growth via ensuring wellbeing, economic growth, environmental legislation, and academic advancement. One of the most prominent goals of the SDG is to provide learners with high-quality education (SDG 4). This paper aims to look at the perspectives of the Sustainable Development Goals improvised to provide quality education. We also analyze the existing state of multiple initiatives implemented by the Indian government in the pathway to achieving objectives of quality education (SDG 4). Additionally, a case study is considered for understanding the association among the observed indicators of SDG4. For this purpose, exploratory data analysis, and numerical association rule mining in combination with QuantMiner genetic algorithm approaches have been applied. The outcomes reveal the presence of a significant degree of association among these parameters pointing out the fact that understanding the impact of one (or more) indicator on other related indicators is critical for achieving SDG 4 goals (or factors). These findings will assist governing bodies in taking preventive measures while modifying existing policies and ensuring the effective enactment of SDG 4 goals, which also will subsequently aid in the resolution of issues related to other SDGs.","container-title":"Education and Information Technologies","DOI":"10.1007/s10639-022-11265-4","ISSN":"1360-2357","issue":"2","journalAbbreviation":"Educ Inf Technol (Dordr)","note":"PMID: 35975216\nPMCID: PMC9371379","page":"2031-2069","source":"PubMed Central","title":"Sustainable Development Goal for Quality Education (SDG 4): A study on SDG 4 to extract the pattern of association among the indicators of SDG 4 employing a genetic algorithm","title-short":"Sustainable Development Goal for Quality Education (SDG 4)","volume":"28","author":[{"family":"Saini","given":"Munish"},{"family":"Sengupta","given":"Eshan"},{"family":"Singh","given":"Madanjit"},{"family":"Singh","given":"Harnoor"},{"family":"Singh","given":"Jaswinder"}],"issued":{"date-parts":[["2023"]]}}}],"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(Saini et al., 2023)</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FC6EA86" w14:textId="3DDCE4DA"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The addition of 21st-century skills to schools around the world shows a definite move away from rote memorization and toward competency-based models. Countries like Finland, Singapore, and Canada have changed their curricula to focus on problem-solving across disciplines, project-based learning, and formative assessment methods that test how well students can use what they've learned instead of how well they can remember it. Emerging economies like Kenya and Malaysia have used competency-based curricula to be culturally relevant while adjusting to changes in the global economy. As this pattern shows, being able to learn, unlearn, and relearn is just as crucial in a knowledge-driven economy as being an expert in a certain field</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{"citationID":"mfqxbYNX","properties":{"formattedCitation":"(Drake &amp; Reid, 2020)","plainCitation":"(Drake &amp; Reid, 2020)","noteIndex":0},"citationItems":[{"id":6244,"uris":["http://zotero.org/users/16652950/items/MUEQ7F2B"],"itemData":{"id":6244,"type":"article-journal","abstract":"Integrated or interdisciplinary curriculum (IC) is an effective and relevant way to teach the 21st century competencies and to apply the transdisciplinary skills necessary for solving complex global problems. We review the underpinnings of both traditional and progressive education and past periods of implementation of IC in order to understand its history. Multiple definitions of IC are identified on a continuum. Reasons to dismiss the continuum are also offered. Two periods when IC was implemented in a consistent way in the United States are explored: the progressive era from 1919 to 1955, and the late 1980s and early 1990s. Similarities in each era are identified such as progressive principles of teaching and learning. Differences are also considered in basic assumptions held by curriculum developers of the day with the 1980s and 1990s lacking the 1930s deep social purpose of teaching for a democratic society. The socio-political context is visited to understand the beginnings and endings of these eras. The current educational context is then viewed from a global context. We see a landscape in which accountability and disciplines are counterbalanced by a global redefinition of what’s worth knowing and a shift toward interdisciplinary competencies/skills/capabilities, well-being and teaching the whole child. Indeed, this is happening in places around the planet such as Finland. The ideas are reminiscent of the 1930s progressive movement—a time of experimentation when student interests and needs more than disciplinary content shaped an IC. We propose that the current global conversation can offer conceptual cohesion to encourage and support the implementation of IC and can act as a proxy for the Progressive Education Association that guided practitioners from 1919 to 1955.","container-title":"Frontiers in Education","DOI":"10.3389/feduc.2020.00122","ISSN":"2504-284X","journalAbbreviation":"Front. Educ.","language":"English","note":"publisher: Frontiers","source":"Frontiers","title":"21st Century Competencies in Light of the History of Integrated Curriculum","URL":"https://www.frontiersin.org/journals/education/articles/10.3389/feduc.2020.00122/full","volume":"5","author":[{"family":"Drake","given":"Susan M."},{"family":"Reid","given":"Joanne L."}],"accessed":{"date-parts":[["2025",8,13]]},"issued":{"date-parts":[["2020",7,14]]}}}],"schema":"https://github.com/citation-style-language/schema/raw/master/csl-citation.json"}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 xml:space="preserve">(Drake &amp; </w:t>
      </w:r>
      <w:r w:rsidR="00601142" w:rsidRPr="00601142">
        <w:rPr>
          <w:rFonts w:ascii="Times New Roman" w:hAnsi="Times New Roman" w:cs="Times New Roman"/>
          <w:sz w:val="24"/>
        </w:rPr>
        <w:lastRenderedPageBreak/>
        <w:t>Reid, 2020)</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t>These global standards and trends are both a model and a warning for Nigeria. To make sure that the adoption of 21st-century skills is both important and long-lasting, successful integration needs not only a new curriculum but also a change in the way teachers teach, grade, and prepare for teaching</w:t>
      </w:r>
      <w:r w:rsidR="00592B4A">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{"citationID":"qOHga8Ft","properties":{"formattedCitation":"(Zou et al., 2025)","plainCitation":"(Zou et al., 2025)","noteIndex":0},"citationItems":[{"id":6246,"uris":["http://zotero.org/users/16652950/items/Z729XZD4"],"itemData":{"id":6246,"type":"article-journal","container-title":"Frontiers in Education","DOI":"10.3389/feduc.2025.1562391","ISSN":"2504-284X","journalAbbreviation":"Front. Educ.","language":"English","note":"publisher: Frontiers","page":"1562391","source":"www.frontiersin.org","title":"Digital learning in the 21st century: trends, challenges, and innovations in technology integration","title-short":"Digital learning in the 21st century","volume":"10","author":[{"family":"Zou","given":"Yumei"},{"family":"Kuek","given":"Florence"},{"family":"Feng","given":"Wenqin"},{"family":"Cheng","given":"Xiaoli"}],"issued":{"date-parts":[["2025",3,28]]}}}],"schema":"https://github.com/citation-style-language/schema/raw/master/csl-citation.json"} </w:instrText>
      </w:r>
      <w:r w:rsidR="00592B4A">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(Zou et al., 2025)</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07B9C2BC" w14:textId="77777777" w:rsidR="00A04F93" w:rsidRDefault="00E85940" w:rsidP="00A04F93">
      <w:pPr>
        <w:pStyle w:val="Heading2"/>
        <w:rPr>
          <w:rStyle w:val="Strong"/>
          <w:b/>
          <w:bCs/>
        </w:rPr>
      </w:pPr>
      <w:r>
        <w:rPr>
          <w:rStyle w:val="Strong"/>
          <w:b/>
          <w:bCs/>
        </w:rPr>
        <w:t>3. Nigeria’s Basic Education Curriculum: Current State</w:t>
      </w:r>
    </w:p>
    <w:p w14:paraId="1767CB47" w14:textId="37711184" w:rsidR="00E85940" w:rsidRPr="00A04F93" w:rsidRDefault="00E85940" w:rsidP="00A04F93">
      <w:pPr>
        <w:pStyle w:val="Heading2"/>
        <w:rPr>
          <w:b w:val="0"/>
          <w:bCs w:val="0"/>
        </w:rPr>
      </w:pPr>
      <w:r w:rsidRPr="00A04F93">
        <w:rPr>
          <w:rStyle w:val="Strong"/>
          <w:b/>
          <w:bCs/>
        </w:rPr>
        <w:t>Policy Background</w:t>
      </w:r>
    </w:p>
    <w:p w14:paraId="2A0B5D2B" w14:textId="3FCD9317"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Universal Basic Education (UBE) program, which started in 1999, is the basis for Nigeria's basic education system. It provides nine years of free, required schooling, including three years of junior high school and six years of primary school. The Nigerian Educational Research and Development Council (NERDC) has made many changes to the curriculum to make it better and more useful. These changes are based on the National Policy on Education. The 2012 Basic Education Curriculum employed a thematic and cross-disciplinary approach in the lower years to teach entrepreneurial skills and reduce the amount of work students had to do. Even after these changes, there are still gaps in how well the curriculum aligns with 21st century goals and global competency frameworks</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{"citationID":"NlHGiVTe","properties":{"formattedCitation":"(Opara, 2011)","plainCitation":"(Opara, 2011)","noteIndex":0},"citationItems":[{"id":6248,"uris":["http://zotero.org/users/16652950/items/2P9FSFID"],"itemData":{"id":6248,"type":"article-journal","abstract":"The formation of educational policies is complex by nature. The complexity owes not only to the fact that education is asector where it is difficult to identify the underpinnings and their effects to be foreseen, but also to the diversity of interests thateducation represents for the different actors in society. In the dynamics of educational management, within the large context of aglobal quest for Education for All (EFA), the Nigerian UBE and the Swedish Grundskola programmes have a fundamentalprinciple in common. Compared to other socio-economic sectors, educational development involves more difficult andmultidimensional problems. Faced with financial constraints, governments in many countries are not able to meet the broadsocial demands without adopting restrictive measures within the education sector, while rationalising the use of allocatedresources. Because there are too many actors, variables and the interrelations between these, the result of Education for All(EFA) with the Grundskola was successful perhaps, based on some of the issues discussed while that of the Nigerian UniversalBasic Education (UBE) programme proved abortive.","container-title":"Mediterranean Journal of Social Sciences","ISSN":"2039-2117","issue":"7","language":"en","page":"79","source":"www.richtmann.org","title":"A Comparative Analysis of Universal Basic Education Programme in Nigeria (UBE) and the “Grundskola” Education Programme of Sweden","volume":"2","author":[{"family":"Opara","given":"Jacinta A."}],"issued":{"date-parts":[["2011",12,1]]}}}],"schema":"https://github.com/citation-style-language/schema/raw/master/csl-citation.json"}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Opara</w:t>
      </w:r>
      <w:proofErr w:type="spellEnd"/>
      <w:r w:rsidR="00601142" w:rsidRPr="00601142">
        <w:rPr>
          <w:rFonts w:ascii="Times New Roman" w:hAnsi="Times New Roman" w:cs="Times New Roman"/>
          <w:sz w:val="24"/>
        </w:rPr>
        <w:t>, 2011)</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The Structure of the Current Curriculum</w:t>
      </w:r>
      <w:r w:rsidRPr="00BE4734">
        <w:rPr>
          <w:rFonts w:ascii="Times New Roman" w:eastAsia="Times New Roman" w:hAnsi="Times New Roman" w:cs="Times New Roman"/>
          <w:b/>
          <w:bCs/>
          <w:sz w:val="24"/>
          <w:szCs w:val="24"/>
        </w:rPr>
        <w:br/>
      </w:r>
    </w:p>
    <w:p w14:paraId="3FE4F6AA" w14:textId="0CAA5CC9" w:rsidR="00503C35" w:rsidRPr="00503C35" w:rsidRDefault="00BE4734" w:rsidP="00503C35">
      <w:pPr>
        <w:pStyle w:val="NormalWeb"/>
      </w:pPr>
      <w:r w:rsidRPr="00BE4734">
        <w:t>Reading, math, science, social studies, and vocational education are the primary areas of the curriculum, which keeps its discipline-based framework. One of its best features is that it includes business, ICT as a subject, and civic education that teaches people about national values. Learning goals and evaluation criteria don't clearly cover skills like creativity, critical thinking, teamwork, and global awareness. Digital literacy is not very useful for solving problems because it is often taught on its own instead of as part of other subjects. Curricula's content-heavy design also makes it hard to do project-based, hands-on learning that builds higher-order skills</w:t>
      </w:r>
      <w:r w:rsidR="00A04F93">
        <w:fldChar w:fldCharType="begin"/>
      </w:r>
      <w:r w:rsidR="00601142">
        <w:instrText xml:space="preserve"> ADDIN ZOTERO_ITEM CSL_CITATION {"citationID":"ktdviTnQ","properties":{"formattedCitation":"(Haleem et al., 2022)","plainCitation":"(Haleem et al., 2022)","noteIndex":0},"citationItems":[{"id":6250,"uris":["http://zotero.org/users/16652950/items/ATPJNYV4"],"itemData":{"id":6250,"type":"article-journal","abstract":"One of the fundamental components of the United Nations’ sustainable development 2030 agenda is quality education. It aims to ensure inclusive and equitable quality education for all. Digital technologies have emerged as an essential tool to achieve this goal. These technologies are simple to detect emissions sources, prevent additional damage through improved energy efficiency and lower-carbon alternatives to fossil fuels, and even remove surplus greenhouse gases from the environment. Digital technologies strive to decrease or eliminate pollution and waste while increasing production and efficiency. These technologies have shown a powerful impact on the education system. The recent COVID-19 Pandemic has further institutionalised the applications of digital technologies in education. These digital technologies have made a paradigm shift in the entire education system. It is not only a knowledge provider but also a co-creator of information, a mentor, and an assessor. Technological improvements in education have made life easier for students. Instead of using pen and paper, students nowadays use various software and tools to create presentations and projects. When compared to a stack of notebooks, an iPad is relatively light. When opposed to a weighty book, surfing an E-book is easier. These methods aid in increasing interest in research. This paper is brief about the need for digital technologies in education and discusses major applications and challenges in education.","container-title":"Sustainable Operations and Computers","DOI":"10.1016/j.susoc.2022.05.004","ISSN":"2666-4127","journalAbbreviation":"Sustainable Operations and Computers","page":"275-285","source":"ScienceDirect","title":"Understanding the role of digital technologies in education: A review","title-short":"Understanding the role of digital technologies in education","volume":"3","author":[{"family":"Haleem","given":"Abid"},{"family":"Javaid","given":"Mohd"},{"family":"Qadri","given":"Mohd Asim"},{"family":"Suman","given":"Rajiv"}],"issued":{"date-parts":[["2022",1,1]]}}}],"schema":"https://github.com/citation-style-language/schema/raw/master/csl-citation.json"} </w:instrText>
      </w:r>
      <w:r w:rsidR="00A04F93">
        <w:fldChar w:fldCharType="separate"/>
      </w:r>
      <w:r w:rsidR="00601142" w:rsidRPr="00601142">
        <w:t>(Haleem et al., 2022)</w:t>
      </w:r>
      <w:r w:rsidR="00A04F93">
        <w:fldChar w:fldCharType="end"/>
      </w:r>
      <w:r w:rsidRPr="00BE4734">
        <w:t>. Figure 2 demonstrates how the basic education curriculum in Nigeria focuses on the most important 21st-century skills based on the results of curriculum analysis and policy documents.</w:t>
      </w:r>
      <w:r w:rsidR="00503C35">
        <w:t xml:space="preserve"> </w:t>
      </w:r>
      <w:r w:rsidR="00503C35" w:rsidRPr="00601142">
        <w:t>Moreover, the current structure tends to promote subject isolation rather than interdisciplinary connections. For example, while ICT is taught as a separate subject, its potential for integration into mathematics through coding, or into science through data visualization, remains largely untapped. Similarly, civic education lessons rarely involve collaborative community projects that could foster teamwork and problem-solving. Embedding such cross-disciplinary links would allow the curriculum to move beyond knowledge acquisition to the application of skills in real-life scenarios</w:t>
      </w:r>
      <w:r w:rsidR="00601142">
        <w:fldChar w:fldCharType="begin"/>
      </w:r>
      <w:r w:rsidR="00601142">
        <w:instrText xml:space="preserve"> ADDIN ZOTERO_ITEM CSL_CITATION {"citationID":"1Hk7dkGz","properties":{"formattedCitation":"(Timotheou et al., 2022)","plainCitation":"(Timotheou et al., 2022)","noteIndex":0},"citationItems":[{"id":6631,"uris":["http://zotero.org/users/16652950/items/JG9KNVRC"],"itemData":{"id":6631,"type":"article-journal","abstract":"Digital technologies have brought changes to the nature and scope of education and led education systems worldwide to adopt strategies and policies for ICT integration. The latter brought about issues regarding the quality of teaching and learning ...","container-title":"Education and Information Technologies","DOI":"10.1007/s10639-022-11431-8","issue":"6","language":"en","note":"PMID: 36465416","page":"6695","source":"pmc.ncbi.nlm.nih.gov","title":"Impacts of digital technologies on education and factors influencing schools' digital capacity and transformation: A literature review","title-short":"Impacts of digital technologies on education and factors influencing schools' digital capacity and transformation","volume":"28","author":[{"family":"Timotheou","given":"Stella"},{"family":"Miliou","given":"Ourania"},{"family":"Dimitriadis","given":"Yiannis"},{"family":"Sobrino","given":"Sara Villagrá"},{"family":"Giannoutsou","given":"Nikoleta"},{"family":"Cachia","given":"Romina"},{"family":"Monés","given":"Alejandra Martínez"},{"family":"Ioannou","given":"Andri"}],"issued":{"date-parts":[["2022",11,21]]}}}],"schema":"https://github.com/citation-style-language/schema/raw/master/csl-citation.json"} </w:instrText>
      </w:r>
      <w:r w:rsidR="00601142">
        <w:fldChar w:fldCharType="separate"/>
      </w:r>
      <w:r w:rsidR="00601142" w:rsidRPr="00601142">
        <w:t>(</w:t>
      </w:r>
      <w:proofErr w:type="spellStart"/>
      <w:r w:rsidR="00601142" w:rsidRPr="00601142">
        <w:t>Timotheou</w:t>
      </w:r>
      <w:proofErr w:type="spellEnd"/>
      <w:r w:rsidR="00601142" w:rsidRPr="00601142">
        <w:t xml:space="preserve"> et al., 2022)</w:t>
      </w:r>
      <w:r w:rsidR="00601142">
        <w:fldChar w:fldCharType="end"/>
      </w:r>
      <w:r w:rsidR="00503C35" w:rsidRPr="00503C35">
        <w:t>.</w:t>
      </w:r>
    </w:p>
    <w:p w14:paraId="761BFBCF" w14:textId="34D9A29A" w:rsidR="00BE4734" w:rsidRPr="00BE4734" w:rsidRDefault="00BE4734" w:rsidP="00BE4734">
      <w:pPr>
        <w:spacing w:after="0" w:line="240" w:lineRule="auto"/>
        <w:rPr>
          <w:rFonts w:ascii="Times New Roman" w:eastAsia="Times New Roman" w:hAnsi="Times New Roman" w:cs="Times New Roman"/>
          <w:sz w:val="24"/>
          <w:szCs w:val="24"/>
        </w:rPr>
      </w:pPr>
    </w:p>
    <w:p w14:paraId="0688205D" w14:textId="032A81B2" w:rsidR="00E85940" w:rsidRDefault="008B7E97" w:rsidP="00E85940">
      <w:pPr>
        <w:pStyle w:val="NormalWeb"/>
      </w:pPr>
      <w:r>
        <w:rPr>
          <w:noProof/>
        </w:rPr>
        <w:lastRenderedPageBreak/>
        <w:drawing>
          <wp:inline distT="0" distB="0" distL="0" distR="0" wp14:anchorId="10BE2DDC" wp14:editId="40F71C3C">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_CurrentFocu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52CA0EA" w14:textId="383652A1" w:rsidR="0040670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Figure 1: The current focus of Nigerian Basic Education on skills needed in the 21st century</w:t>
      </w:r>
      <w:r w:rsidR="0040670A">
        <w:rPr>
          <w:rFonts w:ascii="Times New Roman" w:eastAsia="Times New Roman" w:hAnsi="Times New Roman" w:cs="Times New Roman"/>
          <w:sz w:val="24"/>
          <w:szCs w:val="24"/>
        </w:rPr>
        <w:t>.</w:t>
      </w:r>
    </w:p>
    <w:p w14:paraId="20B554BC" w14:textId="51F36339"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The projected percentage of emphasis placed on six essential qualities in Nigeria's basic education curriculum—critical thinking, creativity, teamwork, communication, digital literacy, and global citizenship—is shown in this chart. The information is made up of reviews of policies and evaluations of curricular content that are relevant. The distribution focuses on digital literacy as a separate subject, with less emphasis on integrating abilities like creativity, teamwork, and global citizenship.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How to Test</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In Nigeria, examinations are still the main way to judge students. The Basic Education Certificate Examination (BECE) and other high-stakes standardized tests are the most important ones. These assessments put more emphasis on remembering facts and knowing how to do things than on showing off talents. There are certain parts of continuous assessment, but they are not always used in the same way, and they often don't have the rigor needed to test abilities like creativity, critical thinking, and teamwork. This focus on summative evaluation makes it hard to use competency-based teaching methods, and it also encourages students to memorize things</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{"citationID":"VTR4SbXa","properties":{"formattedCitation":"(Amoako, 2019)","plainCitation":"(Amoako, 2019)","noteIndex":0},"citationItems":[{"id":6252,"uris":["http://zotero.org/users/16652950/items/XRXUUHV7"],"itemData":{"id":6252,"type":"article-journal","abstract":"The study sought to investigate perceived effect of BECE, as a high-stakes test on curriculum implementation in Ghana. Twenty (20) Junior High Schools were selected from the total of fifty (50) Junior High Schools within Kwahu South District, Eastern Region of Ghana, for the study. A descriptive cross-sectional survey design was used. Proportionate stratified sampling procedure was used to select one hundred and twenty (120) teachers. However, the response rate was 91% representing 109 teachers. Data were collected using an adapted Teacher’s High-Stakes Testing Survey (THTS) questionnaire. Statistical procedures used in data analysis were mainly means and standard deviations. The study discovered that BECE as a high-stakes test that drives curriculum implementation in Ghana, places our “national curriculum” and “teaching practices” at stake. It is recommended that GES as a matter of policy provides appropriate in-service training to JHS teachers on the unintended effect of BECE and the need for teachers to engage in broad curriculum implementation to minimise the effect that accompanies it.","container-title":"International Journal of Social Sciences &amp; Educational Studies","DOI":"10.23918/ijsses.v5i3p72","issue":"3","language":"en","license":"Copyright (c) 2024 International Journal of Social Sciences &amp; Educational Studies","page":"72-82","source":"ijsses.tiu.edu.iq","title":"What’s at Stake in High-Stakes Testing in Ghana: Implication for Curriculum Implementation in Basic Schools","title-short":"What’s at Stake in High-Stakes Testing in Ghana","volume":"5","author":[{"family":"Amoako","given":"Isaac"}],"issued":{"date-parts":[["2019",3,1]]}}}],"schema":"https://github.com/citation-style-language/schema/raw/master/csl-citation.json"}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(Amoako, 2019)</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Preparing teachers and building infrastructure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lastRenderedPageBreak/>
        <w:t>To teach modern skills well, teachers need to be well-trained and skilled in active, learner-centered methods. However, professional development for teachers who are already working is not regular, and many Nigerian instructors don't learn about competency-based education until they start working. Infrastructure problems including crowded classrooms, bad ICT equipment, and inconsistent energy make it much harder to use technology and participatory methods. Differences between rural and urban places make these problems worse by keeping a lot of students from getting to learning environments that help them improve their skills</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{"citationID":"U1qm7vdy","properties":{"formattedCitation":"(Uzorka et al., 2023)","plainCitation":"(Uzorka et al., 2023)","noteIndex":0},"citationItems":[{"id":6254,"uris":["http://zotero.org/users/16652950/items/VAGFHFY3"],"itemData":{"id":6254,"type":"article-journal","abstract":"This qualitative study investigated the professional development needs of lecturers who are transiting to a technology-mediated environment following advancements in technology. This research work was conducted to address the increasing use of digital tools and platforms in education, shed light on the challenges that lecturers face when adopting modern technology in their teaching, and provide insights on how to design compelling professional development opportunities that address their needs. A convenience sample of faculty and administrators in the faculty of education at a university in Uganda was selected, and 89 participants were interviewed using an interview guide. The study found that most lecturers view time as a significant barrier to their professional development, and therefore, they require professional development opportunities that are tailored to their needs, relevant to their application of technology, and delivered by trainers who use principles of adult education and constructivism. The study shows a need for those involved in planning and implementing professional development opportunities to consider the needs of administrators and lecturers, and the principles of adult education and constructivism when designing and implementing professional development opportunities.","container-title":"Education and Information Technologies","DOI":"10.1007/s10639-023-11790-w","ISSN":"1360-2357","journalAbbreviation":"Educ Inf Technol (Dordr)","note":"PMID: 37361776\nPMCID: PMC10106886","page":"1-27","source":"PubMed Central","title":"Modern technology adoption and professional development of lecturers","author":[{"family":"Uzorka","given":"Afam"},{"family":"Namara","given":"Shiellah"},{"family":"Olaniyan","given":"Ademola Olatide"}],"issued":{"date-parts":[["2023",4,17]]}}}],"schema":"https://github.com/citation-style-language/schema/raw/master/csl-citation.json"}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Uzorka</w:t>
      </w:r>
      <w:proofErr w:type="spellEnd"/>
      <w:r w:rsidR="00601142" w:rsidRPr="00601142">
        <w:rPr>
          <w:rFonts w:ascii="Times New Roman" w:hAnsi="Times New Roman" w:cs="Times New Roman"/>
          <w:sz w:val="24"/>
        </w:rPr>
        <w:t xml:space="preserve"> et al., 2023)</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3766FEC7" w14:textId="39061C90"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 conclusion, structural constraints in curriculum design, evaluation, teacher preparation, and infrastructure continue to impede the comprehensive integration of 21st-century skills, notwithstanding modest advancements in the modernization of Nigeria's basic education curriculum. These deficiencies must be corrected so that Nigerian students can meet national and international standards for competence</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{"citationID":"9LxGw7xh","properties":{"formattedCitation":"(Herlinawati et al., 2024)","plainCitation":"(Herlinawati et al., 2024)","noteIndex":0},"citationItems":[{"id":6257,"uris":["http://zotero.org/users/16652950/items/UJQYUC9I"],"itemData":{"id":6257,"type":"article-journal","abstract":"The premise of this study, utilizing content analysis and descriptive qualitative designs, posited that teachers' comprehension of 21st-century/4Cs skills' could define the caliber of educational materials in higher education institutions. The study aimed to ascertain how 21st-century skills were incorporated in teachers' term evaluations and instructional plans, and to explore teachers' understanding of these skills. From 2022 to 2023, this research was carried out at the Faculty of Education in one university in Indonesia. There were 54 documents collected, which included 27 teachers' term evaluations and 27 instructional plans. Four teachers were interviewed to collect information related to their 4Cs competencies’ familiarity, opinions, and the challenges of the 4Cs competencies integration. To evaluate the collected documents, this study utilized the Career Technical Education (CTE) Career Ready Practices checklist, a 21st-Century Skills/4Cs rubric encompassing “Communication,” “Creativity,” “Critical Thinking,” and “Collaboration.” The research indicated that teachers' term evaluations and instructional plans have incorporated 4C skills in the categories of “Not yet reached competency” and “Approaching competency.” The research suggests that teachers' understanding of 4Cs competencies can be initially assessed through their instructional materials, 4Cs competencies, familiarity, positive opinions, and challenges. Teachers must have familiarity with 4Cs competencies in order to provide these skills in their instructional materials/plans and develop teaching with the 4Cs competencies. A multifaceted strategy is needed for the next research, including focused professional development, collaboration among educators, institutional leaders' support, and alignment with larger educational priorities and goals.","container-title":"Heliyon","DOI":"10.1016/j.heliyon.2024.e35148","ISSN":"2405-8440","issue":"15","journalAbbreviation":"Heliyon","note":"PMID: 39170322\nPMCID: PMC11336407","page":"e35148","source":"PubMed Central","title":"The integration of 21st century skills in the curriculum of education","volume":"10","author":[{"family":"Herlinawati","given":"Herlinawati"},{"family":"Marwa","given":"Marwa"},{"family":"Ismail","given":"Noriah"},{"family":"Junaidi","given":""},{"family":"Liza","given":"Ledya Oktavia"},{"family":"Situmorang","given":"Dominikus David Biondi"}],"issued":{"date-parts":[["2024",8,3]]}}}],"schema":"https://github.com/citation-style-language/schema/raw/master/csl-citation.json"}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Herlinawati</w:t>
      </w:r>
      <w:proofErr w:type="spellEnd"/>
      <w:r w:rsidR="00601142" w:rsidRPr="00601142">
        <w:rPr>
          <w:rFonts w:ascii="Times New Roman" w:hAnsi="Times New Roman" w:cs="Times New Roman"/>
          <w:sz w:val="24"/>
        </w:rPr>
        <w:t xml:space="preserve"> et al., 2024)</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53011D5A" w14:textId="77777777" w:rsidR="00A04F93" w:rsidRDefault="00E85940" w:rsidP="00A04F93">
      <w:pPr>
        <w:pStyle w:val="Heading2"/>
        <w:rPr>
          <w:rStyle w:val="Strong"/>
          <w:b/>
          <w:bCs/>
        </w:rPr>
      </w:pPr>
      <w:r>
        <w:rPr>
          <w:rStyle w:val="Strong"/>
          <w:b/>
          <w:bCs/>
        </w:rPr>
        <w:t>4. Lessons from Comparative Contexts</w:t>
      </w:r>
    </w:p>
    <w:p w14:paraId="1D7F83FB" w14:textId="7EB3CE5F" w:rsidR="00E85940" w:rsidRPr="00A04F93" w:rsidRDefault="00E85940" w:rsidP="00A04F93">
      <w:pPr>
        <w:pStyle w:val="Heading2"/>
        <w:rPr>
          <w:b w:val="0"/>
          <w:bCs w:val="0"/>
        </w:rPr>
      </w:pPr>
      <w:r w:rsidRPr="00A04F93">
        <w:rPr>
          <w:rStyle w:val="Strong"/>
          <w:b/>
          <w:bCs/>
        </w:rPr>
        <w:t>Case Studies</w:t>
      </w:r>
    </w:p>
    <w:p w14:paraId="58F44334" w14:textId="2B54D9D8"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Nigeria may learn a lot from the big changes to the curriculum that many countries have made to include skills for the 21st century. Kenya's Competency-Based Curriculum (CBC), which was put into effect in 2017, focuses more on building basic abilities like critical thinking, problem-solving, communication, and citizenship than on learning about specific subjects. It puts flexible learning paths, constant assessment, and instruction that is oriented on the learner first. Kenya's experience illustrates that competency-based reform is possible in Africa, even though there are still problems with implementation, especially when it comes to getting teachers ready and having enough resources</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{"citationID":"fTjuLJE5","properties":{"formattedCitation":"(Mogere &amp; Mbataru, 2023)","plainCitation":"(Mogere &amp; Mbataru, 2023)","noteIndex":0},"citationItems":[{"id":6260,"uris":["http://zotero.org/users/16652950/items/E5QFL4JA"],"itemData":{"id":6260,"type":"article-journal","abstract":"The new Competence Based Curriculum in the Kenyan education system received support and criticism in equal measures. Being a new system, all aspects of CBC implementation must be interrogated. This study intended to evaluate the determinants of CBC adoption in public primary schools in Starehe District, Nairobi County, Kenya. The specific objectives were to determine the effect of teacher education, learning materials, parental involvement, and school leadership on the implementation of CBC. This research is based on constructivism theory. A descriptive research design was used and the target group included 35 public primary schools in Starehe District. Descriptive and inferential statistics were used to assess quantitative data. Major themes were generated and presented in narratives as a result of the thematic analysis of qualitative data. The study found that the implementation of CBC in public primary schools in Nairobi County was positively impacted by teachers' training in CBC, learning materials, parental involvement, and school leadership style. The positive impact was reflected in increased participation of learners in extra co-curricular activities such as sports, better communication, and collaboration among learners, improvement in learners’ ability to read with comprehension, and learners’ participation in community service activities such as street cleaning. The findings suggested that teachers should receive CBC training more frequently. The teachers would have ample time to comprehend the idea of CBC pedagogy thanks to this. The report also suggests that the government, through the Ministry of Education, set aside sufficient funds to buy all the necessary instructional materials for the students in all public elementary schools.","container-title":"Journal of Public Policy and Governance","DOI":"10.70619/vol3iss1pp39-50","ISSN":"2788-8509","issue":"1","language":"en","license":"Copyright (c) 2023 Venicah Bochere  Mogere, Dr. Patrick  Mbataru","page":"39-50","source":"edinburgjournals.org","title":"Determinants of Competence-Based Curriculum Implementation in Selected Public Primary Schools in Nairobi County, Kenya","volume":"3","author":[{"family":"Mogere","given":"Venicah Bochere"},{"family":"Mbataru","given":"Dr Patrick"}],"issued":{"date-parts":[["2023",5,8]]}}}],"schema":"https://github.com/citation-style-language/schema/raw/master/csl-citation.json"}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Mogere</w:t>
      </w:r>
      <w:proofErr w:type="spellEnd"/>
      <w:r w:rsidR="00601142" w:rsidRPr="00601142">
        <w:rPr>
          <w:rFonts w:ascii="Times New Roman" w:hAnsi="Times New Roman" w:cs="Times New Roman"/>
          <w:sz w:val="24"/>
        </w:rPr>
        <w:t xml:space="preserve"> &amp; </w:t>
      </w:r>
      <w:proofErr w:type="spellStart"/>
      <w:r w:rsidR="00601142" w:rsidRPr="00601142">
        <w:rPr>
          <w:rFonts w:ascii="Times New Roman" w:hAnsi="Times New Roman" w:cs="Times New Roman"/>
          <w:sz w:val="24"/>
        </w:rPr>
        <w:t>Mbataru</w:t>
      </w:r>
      <w:proofErr w:type="spellEnd"/>
      <w:r w:rsidR="00601142" w:rsidRPr="00601142">
        <w:rPr>
          <w:rFonts w:ascii="Times New Roman" w:hAnsi="Times New Roman" w:cs="Times New Roman"/>
          <w:sz w:val="24"/>
        </w:rPr>
        <w:t>, 2023)</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F04428B" w14:textId="0C8340FF"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India, one of Asia's growing economies, has put into effect the National Education Policy (NEP) 2020. This policy encourages flexible, all-encompassing curricula that teach skills like environmental awareness, multilingual communication, and coding from the very first grades. In the same way, Malaysia's Education Blueprint (2013–2025) includes six important student traits, such ethics, leadership, and bilingualism, in every topic instead of considering them as separate subjects. These examples show how national vision documents can change the curriculum over time</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{"citationID":"80q13dPT","properties":{"formattedCitation":"(Kulal et al., 2024)","plainCitation":"(Kulal et al., 2024)","noteIndex":0},"citationItems":[{"id":6262,"uris":["http://zotero.org/users/16652950/items/HVVWQMJB"],"itemData":{"id":6262,"type":"article-journal","abstract":"The National Education Policy 2020 (NEP 2020) is a comprehensive and ambitious plan to transform India’s education system. However, its implementation has spark...","archive_location":"Sage CA: Los Angeles, CA","container-title":"SAGE Open","DOI":"10.1177/21582440241279367","language":"EN","license":"© The Author(s) 2024","note":"publisher: SAGE PublicationsSage CA: Los Angeles, CA","source":"journals.sagepub.com","title":"Evaluating the Promise and Pitfalls of India’s National Education Policy 2020: Insights from the Perspectives of Students, Teachers, and Experts","title-short":"Evaluating the Promise and Pitfalls of India’s National Education Policy 2020","URL":"https://journals.sagepub.com/doi/10.1177/21582440241279367","author":[{"family":"Kulal","given":"Abhinandan"},{"family":"N","given":"Abhishek"},{"family":"Dinesh","given":"Sahana"},{"family":"Bhat","given":"Deepa C."},{"family":"Girish","given":"Amrutha"}],"accessed":{"date-parts":[["2025",8,13]]},"issued":{"date-parts":[["2024",10,21]]}}}],"schema":"https://github.com/citation-style-language/schema/raw/master/csl-citation.json"}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Kulal</w:t>
      </w:r>
      <w:proofErr w:type="spellEnd"/>
      <w:r w:rsidR="00601142" w:rsidRPr="00601142">
        <w:rPr>
          <w:rFonts w:ascii="Times New Roman" w:hAnsi="Times New Roman" w:cs="Times New Roman"/>
          <w:sz w:val="24"/>
        </w:rPr>
        <w:t xml:space="preserve"> et al., 2024)</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3421D09D" w14:textId="17809D4D" w:rsidR="00A04F93" w:rsidRDefault="00BE4734" w:rsidP="00A04F93">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Finland has garnered international reputation in OECD contexts for its high-trust teacher profession that supports innovation in the classroom and its phenomenon-based learning method, which dissolves topic boundaries to address real-world concerns. Singapore, on the other hand, strikes a balance between high academic standards and programs like "Thinking Schools, Learning Nation," which teach critical and creative thinking skills across the curriculum and spend a lot of money on teachers' ongoing professional development. Table 1 provides a concise comparative overview of the curricular models, skill integration strategies, and assessment methodologies discussed above, illustrating how select nations have integrated 21st-century abilities into their foundational education systems</w:t>
      </w:r>
      <w:r w:rsidR="00A04F93">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{"citationID":"skevQ28Z","properties":{"formattedCitation":"(Schaffar &amp; Wolff, 2024)","plainCitation":"(Schaffar &amp; Wolff, 2024)","noteIndex":0},"citationItems":[{"id":6264,"uris":["http://zotero.org/users/16652950/items/KIBS2GPK"],"itemData":{"id":6264,"type":"article-journal","abstract":"The idea of phenomenon-based learning (PhBL) was introduced into the Finnish core curriculum for basic education in 2014. The Finnish approach has raised interest in many other countries. In Finlan...","archive_location":"world","container-title":"Cogent Education","ISSN":"2331-186X","language":"EN","license":"© 2024 The Author(s). Published by Informa UK Limited, trading as Taylor &amp; Francis Group.","note":"publisher: Cogent","source":"www.tandfonline.com","title":"Phenomenon-based learning in Finland: a critical overview of its historical and philosophical roots","title-short":"Phenomenon-based learning in Finland","URL":"https://www.tandfonline.com/doi/abs/10.1080/2331186X.2024.2309733","author":[{"family":"Schaffar","given":"Birgit"},{"family":"Wolff","given":"Lili-Ann"}],"accessed":{"date-parts":[["2025",8,13]]},"issued":{"date-parts":[["2024",12,31]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Schaffar</w:t>
      </w:r>
      <w:proofErr w:type="spellEnd"/>
      <w:r w:rsidR="00601142" w:rsidRPr="00601142">
        <w:rPr>
          <w:rFonts w:ascii="Times New Roman" w:hAnsi="Times New Roman" w:cs="Times New Roman"/>
          <w:sz w:val="24"/>
        </w:rPr>
        <w:t xml:space="preserve"> &amp; Wolff, 2024)</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3B3082E" w14:textId="77777777" w:rsidR="00A04F93" w:rsidRDefault="00A04F93" w:rsidP="00A04F93">
      <w:pPr>
        <w:spacing w:after="0" w:line="240" w:lineRule="auto"/>
      </w:pPr>
    </w:p>
    <w:p w14:paraId="008A88DB" w14:textId="5E08B0E1" w:rsidR="000320F3" w:rsidRPr="00A04F93" w:rsidRDefault="000320F3" w:rsidP="00A04F93">
      <w:pPr>
        <w:spacing w:after="0" w:line="240" w:lineRule="auto"/>
        <w:rPr>
          <w:rFonts w:ascii="Times New Roman" w:eastAsia="Times New Roman" w:hAnsi="Times New Roman" w:cs="Times New Roman"/>
          <w:sz w:val="24"/>
          <w:szCs w:val="24"/>
        </w:rPr>
      </w:pPr>
      <w:r>
        <w:t>Table</w:t>
      </w:r>
      <w:r w:rsidR="0040670A">
        <w:t xml:space="preserve"> 1</w:t>
      </w:r>
      <w:r>
        <w:t>: Comparative Overview of 21st-Century Skills Integration Across Selected Countries</w:t>
      </w:r>
    </w:p>
    <w:tbl>
      <w:tblPr>
        <w:tblStyle w:val="TableGrid"/>
        <w:tblW w:w="0" w:type="auto"/>
        <w:tblLook w:val="04A0" w:firstRow="1" w:lastRow="0" w:firstColumn="1" w:lastColumn="0" w:noHBand="0" w:noVBand="1"/>
      </w:tblPr>
      <w:tblGrid>
        <w:gridCol w:w="2160"/>
        <w:gridCol w:w="2160"/>
        <w:gridCol w:w="2160"/>
        <w:gridCol w:w="2274"/>
      </w:tblGrid>
      <w:tr w:rsidR="000320F3" w14:paraId="756EFB63" w14:textId="77777777" w:rsidTr="00BF3507">
        <w:tc>
          <w:tcPr>
            <w:tcW w:w="2160" w:type="dxa"/>
          </w:tcPr>
          <w:p w14:paraId="5DB0DAFA" w14:textId="77777777" w:rsidR="000320F3" w:rsidRDefault="000320F3" w:rsidP="00BF3507">
            <w:r>
              <w:t>Country</w:t>
            </w:r>
          </w:p>
        </w:tc>
        <w:tc>
          <w:tcPr>
            <w:tcW w:w="2160" w:type="dxa"/>
          </w:tcPr>
          <w:p w14:paraId="64CD831C" w14:textId="77777777" w:rsidR="000320F3" w:rsidRDefault="000320F3" w:rsidP="00BF3507">
            <w:r>
              <w:t>Curriculum Model</w:t>
            </w:r>
          </w:p>
        </w:tc>
        <w:tc>
          <w:tcPr>
            <w:tcW w:w="2160" w:type="dxa"/>
          </w:tcPr>
          <w:p w14:paraId="3B2BA9C1" w14:textId="77777777" w:rsidR="000320F3" w:rsidRDefault="000320F3" w:rsidP="00BF3507">
            <w:r>
              <w:t>21st-Century Skills Integration</w:t>
            </w:r>
          </w:p>
        </w:tc>
        <w:tc>
          <w:tcPr>
            <w:tcW w:w="2160" w:type="dxa"/>
          </w:tcPr>
          <w:p w14:paraId="151C3020" w14:textId="77777777" w:rsidR="000320F3" w:rsidRDefault="000320F3" w:rsidP="00BF3507">
            <w:r>
              <w:t>Assessment Approach</w:t>
            </w:r>
          </w:p>
        </w:tc>
      </w:tr>
      <w:tr w:rsidR="000320F3" w14:paraId="1273A4E2" w14:textId="77777777" w:rsidTr="00BF3507">
        <w:tc>
          <w:tcPr>
            <w:tcW w:w="2160" w:type="dxa"/>
          </w:tcPr>
          <w:p w14:paraId="3DAEF4E8" w14:textId="77777777" w:rsidR="000320F3" w:rsidRDefault="000320F3" w:rsidP="00BF3507">
            <w:r>
              <w:t>Nigeria</w:t>
            </w:r>
          </w:p>
        </w:tc>
        <w:tc>
          <w:tcPr>
            <w:tcW w:w="2160" w:type="dxa"/>
          </w:tcPr>
          <w:p w14:paraId="7BF65081" w14:textId="77777777" w:rsidR="000320F3" w:rsidRDefault="000320F3" w:rsidP="00BF3507">
            <w:r>
              <w:t>Content-heavy, exam-oriented</w:t>
            </w:r>
          </w:p>
        </w:tc>
        <w:tc>
          <w:tcPr>
            <w:tcW w:w="2160" w:type="dxa"/>
          </w:tcPr>
          <w:p w14:paraId="337B581B" w14:textId="77777777" w:rsidR="000320F3" w:rsidRDefault="000320F3" w:rsidP="00BF3507">
            <w:r>
              <w:t>Partial, ICT as standalone subject</w:t>
            </w:r>
          </w:p>
        </w:tc>
        <w:tc>
          <w:tcPr>
            <w:tcW w:w="2160" w:type="dxa"/>
          </w:tcPr>
          <w:p w14:paraId="1DEFC560" w14:textId="40779311" w:rsidR="000320F3" w:rsidRDefault="000320F3" w:rsidP="00BF3507">
            <w:r>
              <w:t>Standardized exams, limited continuous assessment</w:t>
            </w:r>
            <w:r w:rsidR="00A04F93">
              <w:fldChar w:fldCharType="begin"/>
            </w:r>
            <w:r w:rsidR="00601142">
              <w:instrText xml:space="preserve"> ADDIN ZOTERO_ITEM CSL_CITATION {"citationID":"VBCKJ6n9","properties":{"formattedCitation":"(Ajah &amp; Chigozie-Okwum, 2019)","plainCitation":"(Ajah &amp; Chigozie-Okwum, 2019)","noteIndex":0},"citationItems":[{"id":6266,"uris":["http://zotero.org/users/16652950/items/P9NZXE2U"],"itemData":{"id":6266,"type":"article-journal","abstract":"The increasing demand for University education and continuous creation of new faculties to meet admission demand without corresponding increase in infrastructural and human resources to manage University affair bring complexity to the system. In addition, various dimensions of academic corruption are common in tertiary institutions especially in developing countries where Information and Communication Technology (ICT) is not sufficiently and effectively deployed to check mate behavioral excesses of staff and students. This paper therefore presented how ICT connects University leadership and academics (knowledge) for administrative effectiveness of Nigerian University based on secondary data material collected online from related articles, educational forum and data directly gathered from education administrators in Tertiary institution and students’ experiences about education administration. It presents various Education ICT tools used in Information administration and learning. Some common corrupt practises that undermine University administration are highlighted and the combat strategy using a simple Digital Nervous System (DNS) was proposed to showcase a simple but innovative ICT- enabled interaction among the management, the students and the staff for the efficiency, effectiveness and productivity of administration in Nigerian Tertiary Education. This work will serve as an excellent guide to stakeholders, and University administrators towards improved administrative performance. It will foster the foundation for establishing a viable and sustainable ICT inspired learning.Key Words: Administration, Corruption, Digital Nervous System (DNS), Information and Communication Technology (ICT), University","container-title":"AFRREV STECH: An International Journal of Science and Technology","DOI":"10.4314/stech.v8i2.5","ISSN":"2227-5444","issue":"2","language":"en","license":"Copyright (c)","page":"64-85","source":"www.ajol.info","title":"ICT and administrative effectiveness of University in Nigeria: A connect between leadership and knowledge","title-short":"ICT and administrative effectiveness of University in Nigeria","volume":"8","author":[{"family":"Ajah","given":"Ifeyinwa A."},{"family":"Chigozie-Okwum","given":"Chioma C."}],"issued":{"date-parts":[["2019",12,9]]}}}],"schema":"https://github.com/citation-style-language/schema/raw/master/csl-citation.json"} </w:instrText>
            </w:r>
            <w:r w:rsidR="00A04F93">
              <w:fldChar w:fldCharType="separate"/>
            </w:r>
            <w:r w:rsidR="00601142" w:rsidRPr="00601142">
              <w:rPr>
                <w:rFonts w:ascii="Calibri" w:hAnsi="Calibri" w:cs="Calibri"/>
              </w:rPr>
              <w:t>(</w:t>
            </w:r>
            <w:proofErr w:type="spellStart"/>
            <w:r w:rsidR="00601142" w:rsidRPr="00601142">
              <w:rPr>
                <w:rFonts w:ascii="Calibri" w:hAnsi="Calibri" w:cs="Calibri"/>
              </w:rPr>
              <w:t>Ajah</w:t>
            </w:r>
            <w:proofErr w:type="spellEnd"/>
            <w:r w:rsidR="00601142" w:rsidRPr="00601142">
              <w:rPr>
                <w:rFonts w:ascii="Calibri" w:hAnsi="Calibri" w:cs="Calibri"/>
              </w:rPr>
              <w:t xml:space="preserve"> &amp; </w:t>
            </w:r>
            <w:proofErr w:type="spellStart"/>
            <w:r w:rsidR="00601142" w:rsidRPr="00601142">
              <w:rPr>
                <w:rFonts w:ascii="Calibri" w:hAnsi="Calibri" w:cs="Calibri"/>
              </w:rPr>
              <w:t>Chigozie-Okwum</w:t>
            </w:r>
            <w:proofErr w:type="spellEnd"/>
            <w:r w:rsidR="00601142" w:rsidRPr="00601142">
              <w:rPr>
                <w:rFonts w:ascii="Calibri" w:hAnsi="Calibri" w:cs="Calibri"/>
              </w:rPr>
              <w:t>, 2019)</w:t>
            </w:r>
            <w:r w:rsidR="00A04F93">
              <w:fldChar w:fldCharType="end"/>
            </w:r>
          </w:p>
        </w:tc>
      </w:tr>
      <w:tr w:rsidR="000320F3" w14:paraId="25515B6A" w14:textId="77777777" w:rsidTr="00BF3507">
        <w:tc>
          <w:tcPr>
            <w:tcW w:w="2160" w:type="dxa"/>
          </w:tcPr>
          <w:p w14:paraId="79891DA2" w14:textId="77777777" w:rsidR="000320F3" w:rsidRDefault="000320F3" w:rsidP="00BF3507">
            <w:r>
              <w:t>Kenya</w:t>
            </w:r>
          </w:p>
        </w:tc>
        <w:tc>
          <w:tcPr>
            <w:tcW w:w="2160" w:type="dxa"/>
          </w:tcPr>
          <w:p w14:paraId="1C42BE26" w14:textId="77777777" w:rsidR="000320F3" w:rsidRDefault="000320F3" w:rsidP="00BF3507">
            <w:r>
              <w:t>Competency-Based Curriculum (CBC)</w:t>
            </w:r>
          </w:p>
        </w:tc>
        <w:tc>
          <w:tcPr>
            <w:tcW w:w="2160" w:type="dxa"/>
          </w:tcPr>
          <w:p w14:paraId="478579AB" w14:textId="77777777" w:rsidR="000320F3" w:rsidRDefault="000320F3" w:rsidP="00BF3507">
            <w:r>
              <w:t>Core competencies across subjects</w:t>
            </w:r>
          </w:p>
        </w:tc>
        <w:tc>
          <w:tcPr>
            <w:tcW w:w="2160" w:type="dxa"/>
          </w:tcPr>
          <w:p w14:paraId="669961FF" w14:textId="0AED64A4" w:rsidR="000320F3" w:rsidRDefault="000320F3" w:rsidP="00BF3507">
            <w:r>
              <w:t>Continuous &amp; formative assessment</w:t>
            </w:r>
            <w:r w:rsidR="00A04F93">
              <w:fldChar w:fldCharType="begin"/>
            </w:r>
            <w:r w:rsidR="00601142">
              <w:instrText xml:space="preserve"> ADDIN ZOTERO_ITEM CSL_CITATION {"citationID":"QAcvn8pk","properties":{"formattedCitation":"(Wanyama, 2025)","plainCitation":"(Wanyama, 2025)","noteIndex":0},"citationItems":[{"id":6270,"uris":["http://zotero.org/users/16652950/items/8KPZTHGF"],"itemData":{"id":6270,"type":"article-journal","container-title":"Culture, Education, and Future","DOI":"10.70116/2980274199","ISSN":"2980-2741","issue":"1","language":"en","page":"135-158","source":"journals.symphonypub.com","title":"Competency based curriculum in Kenya: Taking stock of implementation process at early years education","title-short":"Competency based curriculum in Kenya","volume":"3","author":[{"family":"Wanyama","given":"Bernard Wasilwa"}],"issued":{"date-parts":[["2025",6,26]]}}}],"schema":"https://github.com/citation-style-language/schema/raw/master/csl-citation.json"} </w:instrText>
            </w:r>
            <w:r w:rsidR="00A04F93">
              <w:fldChar w:fldCharType="separate"/>
            </w:r>
            <w:r w:rsidR="00601142" w:rsidRPr="00601142">
              <w:rPr>
                <w:rFonts w:ascii="Calibri" w:hAnsi="Calibri" w:cs="Calibri"/>
              </w:rPr>
              <w:t>(Wanyama, 2025)</w:t>
            </w:r>
            <w:r w:rsidR="00A04F93">
              <w:fldChar w:fldCharType="end"/>
            </w:r>
          </w:p>
        </w:tc>
      </w:tr>
      <w:tr w:rsidR="000320F3" w14:paraId="5BC4A34A" w14:textId="77777777" w:rsidTr="00BF3507">
        <w:tc>
          <w:tcPr>
            <w:tcW w:w="2160" w:type="dxa"/>
          </w:tcPr>
          <w:p w14:paraId="3D2CBAF0" w14:textId="77777777" w:rsidR="000320F3" w:rsidRDefault="000320F3" w:rsidP="00BF3507">
            <w:r>
              <w:t>India</w:t>
            </w:r>
          </w:p>
        </w:tc>
        <w:tc>
          <w:tcPr>
            <w:tcW w:w="2160" w:type="dxa"/>
          </w:tcPr>
          <w:p w14:paraId="780C6353" w14:textId="77777777" w:rsidR="000320F3" w:rsidRDefault="000320F3" w:rsidP="00BF3507">
            <w:r>
              <w:t>Holistic &amp; flexible (NEP 2020)</w:t>
            </w:r>
          </w:p>
        </w:tc>
        <w:tc>
          <w:tcPr>
            <w:tcW w:w="2160" w:type="dxa"/>
          </w:tcPr>
          <w:p w14:paraId="0E4B54B3" w14:textId="77777777" w:rsidR="000320F3" w:rsidRDefault="000320F3" w:rsidP="00BF3507">
            <w:r>
              <w:t>Coding, environmental awareness, multilingualism</w:t>
            </w:r>
          </w:p>
        </w:tc>
        <w:tc>
          <w:tcPr>
            <w:tcW w:w="2160" w:type="dxa"/>
          </w:tcPr>
          <w:p w14:paraId="7AFD2014" w14:textId="567D7655" w:rsidR="000320F3" w:rsidRDefault="000320F3" w:rsidP="00BF3507">
            <w:r>
              <w:t>Formative + high-stakes exams</w:t>
            </w:r>
            <w:r w:rsidR="00A04F93">
              <w:fldChar w:fldCharType="begin"/>
            </w:r>
            <w:r w:rsidR="00601142">
              <w:instrText xml:space="preserve"> ADDIN ZOTERO_ITEM CSL_CITATION {"citationID":"EVB4e1of","properties":{"formattedCitation":"(\\uc0\\u8220{}New Education Policy 2024,\\uc0\\u8221{} 2025)","plainCitation":"(“New Education Policy 2024,” 2025)","noteIndex":0},"citationItems":[{"id":6271,"uris":["http://zotero.org/users/16652950/items/Z28BUXB4"],"itemData":{"id":6271,"type":"post-weblog","abstract":"India’s education system is at a pivotal moment. With the introduction of the New Education Policy 2024 (NEP 2024), a renewed vision for quality, inclusivity,","container-title":"Proctur Blog","language":"en-US","note":"section: Educational ERP system","title":"New Education Policy 2024","URL":"https://proctur.com/blog/new-education-policy-2024/","accessed":{"date-parts":[["2025",8,13]]},"issued":{"date-parts":[["2025",7,30]]}}}],"schema":"https://github.com/citation-style-language/schema/raw/master/csl-citation.json"} </w:instrText>
            </w:r>
            <w:r w:rsidR="00A04F93">
              <w:fldChar w:fldCharType="separate"/>
            </w:r>
            <w:r w:rsidR="00601142" w:rsidRPr="00601142">
              <w:rPr>
                <w:rFonts w:ascii="Calibri" w:hAnsi="Calibri" w:cs="Calibri"/>
                <w:szCs w:val="24"/>
              </w:rPr>
              <w:t>(“New Education Policy 2024,” 2025)</w:t>
            </w:r>
            <w:r w:rsidR="00A04F93">
              <w:fldChar w:fldCharType="end"/>
            </w:r>
          </w:p>
        </w:tc>
      </w:tr>
      <w:tr w:rsidR="000320F3" w14:paraId="0CB0BA11" w14:textId="77777777" w:rsidTr="00BF3507">
        <w:tc>
          <w:tcPr>
            <w:tcW w:w="2160" w:type="dxa"/>
          </w:tcPr>
          <w:p w14:paraId="21B929D2" w14:textId="77777777" w:rsidR="000320F3" w:rsidRDefault="000320F3" w:rsidP="00BF3507">
            <w:r>
              <w:t>Malaysia</w:t>
            </w:r>
          </w:p>
        </w:tc>
        <w:tc>
          <w:tcPr>
            <w:tcW w:w="2160" w:type="dxa"/>
          </w:tcPr>
          <w:p w14:paraId="57863242" w14:textId="77777777" w:rsidR="000320F3" w:rsidRDefault="000320F3" w:rsidP="00BF3507">
            <w:r>
              <w:t>Skills-embedded across subjects</w:t>
            </w:r>
          </w:p>
        </w:tc>
        <w:tc>
          <w:tcPr>
            <w:tcW w:w="2160" w:type="dxa"/>
          </w:tcPr>
          <w:p w14:paraId="5242E711" w14:textId="77777777" w:rsidR="000320F3" w:rsidRDefault="000320F3" w:rsidP="00BF3507">
            <w:r>
              <w:t>Leadership, bilingualism, ethics</w:t>
            </w:r>
          </w:p>
        </w:tc>
        <w:tc>
          <w:tcPr>
            <w:tcW w:w="2160" w:type="dxa"/>
          </w:tcPr>
          <w:p w14:paraId="6BA74FE3" w14:textId="5A826DF1" w:rsidR="000320F3" w:rsidRDefault="000320F3" w:rsidP="00BF3507">
            <w:r>
              <w:t>Balanced formative &amp; summative</w:t>
            </w:r>
            <w:r w:rsidR="00A43336">
              <w:fldChar w:fldCharType="begin"/>
            </w:r>
            <w:r w:rsidR="00601142">
              <w:instrText xml:space="preserve"> ADDIN ZOTERO_ITEM CSL_CITATION {"citationID":"iPxCKB84","properties":{"formattedCitation":"({\\i{}(PDF) Implementing Classroom Assessment In Malaysia}, 2025)","plainCitation":"((PDF) Implementing Classroom Assessment In Malaysia, 2025)","noteIndex":0},"citationItems":[{"id":6273,"uris":["http://zotero.org/users/16652950/items/QSBCA5TF"],"itemData":{"id":6273,"type":"webpage","abstract":"PDF | This article discusses the importance of classroom assessment that informs students' learning. Classroom assessment generally practices three... | Find, read and cite all the research you need on ResearchGate","container-title":"ResearchGate","language":"en","title":"(PDF) Implementing Classroom Assessment In Malaysia: An Investigation","title-short":"(PDF) Implementing Classroom Assessment In Malaysia","URL":"https://www.researchgate.net/publication/348355621_Implementing_Classroom_Assessment_In_Malaysia_An_Investigation","accessed":{"date-parts":[["2025",8,13]]},"issued":{"date-parts":[["2025",2,26]]}}}],"schema":"https://github.com/citation-style-language/schema/raw/master/csl-citation.json"} </w:instrText>
            </w:r>
            <w:r w:rsidR="00A43336">
              <w:fldChar w:fldCharType="separate"/>
            </w:r>
            <w:r w:rsidR="00601142" w:rsidRPr="00601142">
              <w:rPr>
                <w:rFonts w:ascii="Calibri" w:hAnsi="Calibri" w:cs="Calibri"/>
                <w:szCs w:val="24"/>
              </w:rPr>
              <w:t>(</w:t>
            </w:r>
            <w:r w:rsidR="00601142" w:rsidRPr="00601142">
              <w:rPr>
                <w:rFonts w:ascii="Calibri" w:hAnsi="Calibri" w:cs="Calibri"/>
                <w:i/>
                <w:iCs/>
                <w:szCs w:val="24"/>
              </w:rPr>
              <w:t>(PDF) Implementing Classroom Assessment In Malaysia</w:t>
            </w:r>
            <w:r w:rsidR="00601142" w:rsidRPr="00601142">
              <w:rPr>
                <w:rFonts w:ascii="Calibri" w:hAnsi="Calibri" w:cs="Calibri"/>
                <w:szCs w:val="24"/>
              </w:rPr>
              <w:t>, 2025)</w:t>
            </w:r>
            <w:r w:rsidR="00A43336">
              <w:fldChar w:fldCharType="end"/>
            </w:r>
          </w:p>
        </w:tc>
      </w:tr>
      <w:tr w:rsidR="000320F3" w14:paraId="150A7A58" w14:textId="77777777" w:rsidTr="00BF3507">
        <w:tc>
          <w:tcPr>
            <w:tcW w:w="2160" w:type="dxa"/>
          </w:tcPr>
          <w:p w14:paraId="72DEE8BA" w14:textId="77777777" w:rsidR="000320F3" w:rsidRDefault="000320F3" w:rsidP="00BF3507">
            <w:r>
              <w:t>Finland</w:t>
            </w:r>
          </w:p>
        </w:tc>
        <w:tc>
          <w:tcPr>
            <w:tcW w:w="2160" w:type="dxa"/>
          </w:tcPr>
          <w:p w14:paraId="6C931D81" w14:textId="77777777" w:rsidR="000320F3" w:rsidRDefault="000320F3" w:rsidP="00BF3507">
            <w:r>
              <w:t>Phenomenon-based learning</w:t>
            </w:r>
          </w:p>
        </w:tc>
        <w:tc>
          <w:tcPr>
            <w:tcW w:w="2160" w:type="dxa"/>
          </w:tcPr>
          <w:p w14:paraId="62DFDA78" w14:textId="77777777" w:rsidR="000320F3" w:rsidRDefault="000320F3" w:rsidP="00BF3507">
            <w:r>
              <w:t>Interdisciplinary, real-world problems</w:t>
            </w:r>
          </w:p>
        </w:tc>
        <w:tc>
          <w:tcPr>
            <w:tcW w:w="2160" w:type="dxa"/>
          </w:tcPr>
          <w:p w14:paraId="40CD0A21" w14:textId="75C4968D" w:rsidR="000320F3" w:rsidRDefault="000320F3" w:rsidP="00BF3507">
            <w:r>
              <w:t>Formative, project-based evaluation</w:t>
            </w:r>
            <w:r w:rsidR="00A43336">
              <w:fldChar w:fldCharType="begin"/>
            </w:r>
            <w:r w:rsidR="00601142">
              <w:instrText xml:space="preserve"> ADDIN ZOTERO_ITEM CSL_CITATION {"citationID":"aDHWm2ht","properties":{"formattedCitation":"(Hietam\\uc0\\u228{}ki et al., n.d.)","plainCitation":"(Hietamäki et al., n.d.)","noteIndex":0},"citationItems":[{"id":6275,"uris":["http://zotero.org/users/16652950/items/HJY3VGJS"],"itemData":{"id":6275,"type":"article-journal","container-title":"Education 3-13","DOI":"10.1080/03004279.2024.2409246","ISSN":"0300-4279","note":"publisher: Routledge","page":"1-14","source":"tandfonline.com (Atypon)","title":"Multidisciplinary learning assessment in Finland – a phenomenographic approach on teachers’ perceptions","author":[{"family":"Hietamäki","given":"Ulla"},{"family":"Harju-Luukkainen","given":"Heidi"},{"family":"Maunula","given":"Minna"}]}}],"schema":"https://github.com/citation-style-language/schema/raw/master/csl-citation.json"} </w:instrText>
            </w:r>
            <w:r w:rsidR="00A43336">
              <w:fldChar w:fldCharType="separate"/>
            </w:r>
            <w:r w:rsidR="00601142" w:rsidRPr="00601142">
              <w:rPr>
                <w:rFonts w:ascii="Calibri" w:hAnsi="Calibri" w:cs="Calibri"/>
                <w:szCs w:val="24"/>
              </w:rPr>
              <w:t>(</w:t>
            </w:r>
            <w:proofErr w:type="spellStart"/>
            <w:r w:rsidR="00601142" w:rsidRPr="00601142">
              <w:rPr>
                <w:rFonts w:ascii="Calibri" w:hAnsi="Calibri" w:cs="Calibri"/>
                <w:szCs w:val="24"/>
              </w:rPr>
              <w:t>Hietamäki</w:t>
            </w:r>
            <w:proofErr w:type="spellEnd"/>
            <w:r w:rsidR="00601142" w:rsidRPr="00601142">
              <w:rPr>
                <w:rFonts w:ascii="Calibri" w:hAnsi="Calibri" w:cs="Calibri"/>
                <w:szCs w:val="24"/>
              </w:rPr>
              <w:t xml:space="preserve"> et al., n.d.)</w:t>
            </w:r>
            <w:r w:rsidR="00A43336">
              <w:fldChar w:fldCharType="end"/>
            </w:r>
          </w:p>
        </w:tc>
      </w:tr>
      <w:tr w:rsidR="000320F3" w14:paraId="3578F7A6" w14:textId="77777777" w:rsidTr="00BF3507">
        <w:tc>
          <w:tcPr>
            <w:tcW w:w="2160" w:type="dxa"/>
          </w:tcPr>
          <w:p w14:paraId="4E043A17" w14:textId="77777777" w:rsidR="000320F3" w:rsidRDefault="000320F3" w:rsidP="00BF3507">
            <w:r>
              <w:t>Singapore</w:t>
            </w:r>
          </w:p>
        </w:tc>
        <w:tc>
          <w:tcPr>
            <w:tcW w:w="2160" w:type="dxa"/>
          </w:tcPr>
          <w:p w14:paraId="13356012" w14:textId="77777777" w:rsidR="000320F3" w:rsidRDefault="000320F3" w:rsidP="00BF3507">
            <w:r>
              <w:t>Integrated critical &amp; creative thinking</w:t>
            </w:r>
          </w:p>
        </w:tc>
        <w:tc>
          <w:tcPr>
            <w:tcW w:w="2160" w:type="dxa"/>
          </w:tcPr>
          <w:p w14:paraId="01B3529B" w14:textId="77777777" w:rsidR="000320F3" w:rsidRDefault="000320F3" w:rsidP="00BF3507">
            <w:r>
              <w:t>Critical thinking across curriculum</w:t>
            </w:r>
          </w:p>
        </w:tc>
        <w:tc>
          <w:tcPr>
            <w:tcW w:w="2160" w:type="dxa"/>
          </w:tcPr>
          <w:p w14:paraId="5774C366" w14:textId="079C09E8" w:rsidR="000320F3" w:rsidRDefault="000320F3" w:rsidP="00BF3507">
            <w:r>
              <w:t>Performance-based and formative</w:t>
            </w:r>
            <w:r w:rsidR="00A43336">
              <w:fldChar w:fldCharType="begin"/>
            </w:r>
            <w:r w:rsidR="00601142">
              <w:instrText xml:space="preserve"> ADDIN ZOTERO_ITEM CSL_CITATION {"citationID":"rIfMkfcS","properties":{"formattedCitation":"(Shaber et al., 2025)","plainCitation":"(Shaber et al., 2025)","noteIndex":0},"citationItems":[{"id":6277,"uris":["http://zotero.org/users/16652950/items/C5Z6MN6V"],"itemData":{"id":6277,"type":"article-journal","abstract":"This study aimed to explore the relationship between the critical thinking and creativity skills of university students. The objectives were to explore the level of critical thinking skills, the degree of creativity in students’ written exam papers, the nature of the relationship between these constructs, and gender differences in the manifestation of these skills in writing. A sample of 167 students, including 100 females and 67 males, from a co-educational university participated in the study. Data were collected using self-report measures for critical thinking and creativity from student mid-term exam papers. The assessment tool to assess critical thinking skills, and an adapted version of the TTCT Verbal-A was used to measure the creativity level in the written products. Descriptive statistics, correlation analysis, and comparative analysis were conducted using SPSS (version 29). The findings revealed that both the variables’ scores were moderate in the data. They also indicated that students fall within the moderate level of both the skills. A significant positive correlation was found between critical thinking and creativity, suggesting a meaningful relationship between these constructs. Gender differences were also observed, with females scoring higher in both the constructs compared to males. Furthermore, these insights highlight the need for educational strategies that foster both skills, ensuring a balanced development among students. This study is useful for educators, policymakers, and researchers interested in critical thinking and creativity and also underscores the need for future research and curricula to enhance student learning outcomes.","container-title":"Education Sciences","DOI":"10.3390/educsci15040464","ISSN":"2227-7102","issue":"4","language":"en","license":"http://creativecommons.org/licenses/by/3.0/","note":"publisher: Multidisciplinary Digital Publishing Institute","page":"464","source":"www.mdpi.com","title":"Exploring the Relationship Between Critical Thinking and Creativity in University Students: Gender Differences and the Assessment of Skills","title-short":"Exploring the Relationship Between Critical Thinking and Creativity in University Students","volume":"15","author":[{"family":"Shaber","given":"Nelofir"},{"family":"Shah","given":"Syed Kazim"},{"family":"Imran","given":"Muhammad"},{"family":"Almusharraf","given":"Norah"}],"issued":{"date-parts":[["2025",4]]}}}],"schema":"https://github.com/citation-style-language/schema/raw/master/csl-citation.json"} </w:instrText>
            </w:r>
            <w:r w:rsidR="00A43336">
              <w:fldChar w:fldCharType="separate"/>
            </w:r>
            <w:r w:rsidR="00601142" w:rsidRPr="00601142">
              <w:rPr>
                <w:rFonts w:ascii="Calibri" w:hAnsi="Calibri" w:cs="Calibri"/>
              </w:rPr>
              <w:t>(</w:t>
            </w:r>
            <w:proofErr w:type="spellStart"/>
            <w:r w:rsidR="00601142" w:rsidRPr="00601142">
              <w:rPr>
                <w:rFonts w:ascii="Calibri" w:hAnsi="Calibri" w:cs="Calibri"/>
              </w:rPr>
              <w:t>Shaber</w:t>
            </w:r>
            <w:proofErr w:type="spellEnd"/>
            <w:r w:rsidR="00601142" w:rsidRPr="00601142">
              <w:rPr>
                <w:rFonts w:ascii="Calibri" w:hAnsi="Calibri" w:cs="Calibri"/>
              </w:rPr>
              <w:t xml:space="preserve"> et al., 2025)</w:t>
            </w:r>
            <w:r w:rsidR="00A43336">
              <w:fldChar w:fldCharType="end"/>
            </w:r>
          </w:p>
        </w:tc>
      </w:tr>
    </w:tbl>
    <w:p w14:paraId="6A1356B2" w14:textId="699BE413"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Table 1 compares how well a few selected countries have integrated 21st-century capabilities. This table shows how Nigeria, Kenya, India, Malaysia, Finland, and Singapore are integrating 21st-century skills into their schools, including the curriculum frameworks, evaluation techniques, and the level and type of integration. It highlights important differences in how national education systems teach skills like creativity, critical thinking, cooperation, and digital literacy, as well as how well formative and summative evaluation methods function together.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Practices that can be used in different situations</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Several behaviors emerge as relevant to Nigeria from these diverse contexts. Curriculum flexibility allows for local adaptation while maintaining national coherence, which makes relevance and responsiveness possible. Integrated skills development teaches 21st-century skills in real-life scenarios by include them in subject education instead of treating them as extras. Ongoing evaluation that focuses on formative feedback and real-world use helps students learn more and gain skills</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{"citationID":"S7eQOh9m","properties":{"formattedCitation":"({\\i{}(PDF) EXPLORING CULTURAL INFLUENCES ON CURRICULUM AND EDUCATION REFORMS: LESSONS FOR NIGERIA\\uc0\\u8217{}S FUTURE}, n.d.)","plainCitation":"((PDF) EXPLORING CULTURAL INFLUENCES ON CURRICULUM AND EDUCATION REFORMS: LESSONS FOR NIGERIA’S FUTURE, n.d.)","noteIndex":0},"citationItems":[{"id":6279,"uris":["http://zotero.org/users/16652950/items/LBXZ8AT8"],"itemData":{"id":6279,"type":"webpage","title":"(PDF) EXPLORING CULTURAL INFLUENCES ON CURRICULUM AND EDUCATION REFORMS: LESSONS FOR NIGERIA'S FUTURE","URL":"https://www.researchgate.net/publication/382039272_EXPLORING_CULTURAL_INFLUENCES_ON_CURRICULUM_AND_EDUCATION_REFORMS_LESSONS_FOR_NIGERIA'S_FUTURE","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szCs w:val="24"/>
        </w:rPr>
        <w:t>(</w:t>
      </w:r>
      <w:r w:rsidR="00601142" w:rsidRPr="00601142">
        <w:rPr>
          <w:rFonts w:ascii="Times New Roman" w:hAnsi="Times New Roman" w:cs="Times New Roman"/>
          <w:i/>
          <w:iCs/>
          <w:sz w:val="24"/>
          <w:szCs w:val="24"/>
        </w:rPr>
        <w:t>(PDF) EXPLORING CULTURAL INFLUENCES ON CURRICULUM AND EDUCATION REFORMS: LESSONS FOR NIGERIA’S FUTURE</w:t>
      </w:r>
      <w:r w:rsidR="00601142" w:rsidRPr="00601142">
        <w:rPr>
          <w:rFonts w:ascii="Times New Roman" w:hAnsi="Times New Roman" w:cs="Times New Roman"/>
          <w:sz w:val="24"/>
          <w:szCs w:val="24"/>
        </w:rPr>
        <w:t>, n.d.)</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Challenges of Contextual Adaptation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 xml:space="preserve">But Nigeria's unique social, cultural, and infrastructure conditions must be considered during the </w:t>
      </w:r>
      <w:r w:rsidRPr="00BE4734">
        <w:rPr>
          <w:rFonts w:ascii="Times New Roman" w:eastAsia="Times New Roman" w:hAnsi="Times New Roman" w:cs="Times New Roman"/>
          <w:sz w:val="24"/>
          <w:szCs w:val="24"/>
        </w:rPr>
        <w:lastRenderedPageBreak/>
        <w:t>adaptation process. Some strategies may not be adopted right away because of traditions that stress on exams, unequal access to ICT, and high student-teacher ratios. In Kenya, India, and Finland, policy changes have often been followed by ongoing investment, good teacher training programs, and strong support from stakeholders. These are conditions that Nigeria may need to purposefully create. So, the lesson is to choose and change parts that fit with national goals, available resources, and cultural values, rather than copying them exactly</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{"citationID":"9h2u92oI","properties":{"formattedCitation":"(Lwamba et al., 2022)","plainCitation":"(Lwamba et al., 2022)","noteIndex":0},"citationItems":[{"id":6281,"uris":["http://zotero.org/users/16652950/items/DUQI3KHU"],"itemData":{"id":6281,"type":"article-journal","abstract":"Background\nAcross the globe, gender disparities still exist with regard to equitable access to resources, participation in decision‐making processes, and gender and sexual‐based violence. This is particularly true in fragile and conflict‐affected settings, where women and girls are affected by both fragility and conflict in unique ways. While women have been acknowledged as key actors in peace processes and post‐conflict reconstruction (e.g., through the United Nations Security Council Resolution 1325 and the Women, Peace and Security Agenda) evidence on the effectiveness of gender‐specific and gender‐transformative interventions to improve women's empowerment in fragile and conflict‐affected states and situations (FCAS) remains understudied.\n\nObjectives\nThe purpose of this review was to synthesize the body of evidence around gender‐specific and gender‐transformative interventions aimed at improving women's empowerment in fragile and conflict‐affected settings with high levels of gender inequality. We also aimed to identify barriers and facilitators that could affect the effectiveness of these interventions and to provide implications for policy, practice and research designs within the field of transitional aid.\n\nMethods\nWe searched for and screened over 100,000 experimental and quasi‐experimental studies focused on FCAS at the individual and community levels. We used standard methodological procedures outlined by the Campbell Collaboration for the data collection and analysis, including quantitative and qualitative analyses, and completed the Grading of Recommendations, Assessment, Development and Evaluations (GRADE) methodology to assess the certainty around each body of evidence.\n\nResults\nWe identified 104 impact evaluations (75% randomised controlled trials) assessing the effects of 14 different types of interventions in FCAS. About 28% of included studies were assessed as having a high risk of bias (45% among quasi‐experimental designs). Interventions supporting women's empowerment and gender equality in FCAS produced positive effects on the outcomes related to the primary focus of the intervention. There are no significant negative effects of any included interventions. However, we observe smaller effects on behavioural outcomes further along the causal chain of empowerment. Qualitative syntheses indicated that gender norms and practices are potential barriers to intervention effectiveness, while working with local powers and institutions can facilitate the uptake and legitimacy of interventions.\n\nConclusions\nWe observe gaps of rigorous evidence in certain regions (notably MENA and Latin America) and in interventions specifically targeting women as actors of peacebuilding. Gender norms and practices are important elements to consider in programme design and implementation to maximise potential benefits: focusing on empowerment only might not be enough in the absence of targeting the restrictive gender norms and practices that may undermine intervention effectiveness. Lastly, programme designers and implementation should consider explicitly targeting specific empowerment outcomes, promoting social capital and exchange, and tailoring the intervention components to the desired empowerment‐related outcomes.","container-title":"Campbell Systematic Reviews","DOI":"10.1002/cl2.1214","ISSN":"1891-1803","issue":"1","journalAbbreviation":"Campbell Syst Rev","note":"PMID: 36913184\nPMCID: PMC8904729","page":"e1214","source":"PubMed Central","title":"Strengthening women's empowerment and gender equality in fragile contexts towards peaceful and inclusive societies: A systematic review and meta‐analysis","title-short":"Strengthening women's empowerment and gender equality in fragile contexts towards peaceful and inclusive societies","volume":"18","author":[{"family":"Lwamba","given":"Etienne"},{"family":"Shisler","given":"Shannon"},{"family":"Ridlehoover","given":"Will"},{"family":"Kupfer","given":"Meital"},{"family":"Tshabalala","given":"Nkululeko"},{"family":"Nduku","given":"Promise"},{"family":"Langer","given":"Laurenz"},{"family":"Grant","given":"Sean"},{"family":"Sonnenfeld","given":"Ada"},{"family":"Anda","given":"Daniela"},{"family":"Eyers","given":"John"},{"family":"Snilstveit","given":"Birte"}],"issued":{"date-parts":[["2022",3,8]]}}}],"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Lwamba</w:t>
      </w:r>
      <w:proofErr w:type="spellEnd"/>
      <w:r w:rsidR="00601142" w:rsidRPr="00601142">
        <w:rPr>
          <w:rFonts w:ascii="Times New Roman" w:hAnsi="Times New Roman" w:cs="Times New Roman"/>
          <w:sz w:val="24"/>
        </w:rPr>
        <w:t xml:space="preserve"> et al., 2022)</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E31940E" w14:textId="77777777" w:rsidR="00A43336" w:rsidRDefault="00E85940" w:rsidP="00A43336">
      <w:pPr>
        <w:pStyle w:val="Heading2"/>
        <w:rPr>
          <w:rStyle w:val="Strong"/>
          <w:b/>
          <w:bCs/>
        </w:rPr>
      </w:pPr>
      <w:r>
        <w:rPr>
          <w:rStyle w:val="Strong"/>
          <w:b/>
          <w:bCs/>
        </w:rPr>
        <w:t>5. Barriers to Integration in Nigeria</w:t>
      </w:r>
    </w:p>
    <w:p w14:paraId="45BD5345" w14:textId="359C7497" w:rsidR="00E85940" w:rsidRPr="00A43336" w:rsidRDefault="00E85940" w:rsidP="00A43336">
      <w:pPr>
        <w:pStyle w:val="Heading2"/>
        <w:rPr>
          <w:b w:val="0"/>
          <w:bCs w:val="0"/>
        </w:rPr>
      </w:pPr>
      <w:r w:rsidRPr="00A43336">
        <w:rPr>
          <w:rStyle w:val="Strong"/>
          <w:b/>
          <w:bCs/>
        </w:rPr>
        <w:t>Systemic and Policy Barriers</w:t>
      </w:r>
    </w:p>
    <w:p w14:paraId="30FAF1D7" w14:textId="5744F4CC"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Even while the government's rhetoric recognizes the need of 21st-century skills, Nigerian curriculum reform is hindered by a persistent gap between policy and reality. Policies like the National Policy on Education spell out what skills should be developed first, but there are still no ways to put these plans into action. UNESCO says that the education sector should get 15–20% of the national budget, but it doesn't, which makes it hard to buy teaching materials, build schools, and educate teachers. Frequent changes to policies that are based more on political changes than on planning based on evidence can hurt stakeholder trust and the continuity of change</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{"citationID":"r6pGwXD7","properties":{"formattedCitation":"({\\i{}The Role of Civic Education}, n.d.)","plainCitation":"(The Role of Civic Education, n.d.)","noteIndex":0},"citationItems":[{"id":6284,"uris":["http://zotero.org/users/16652950/items/G65DU4VA"],"itemData":{"id":6284,"type":"webpage","title":"The Role of Civic Education","URL":"https://civiced.org/papers/articles_role.html","accessed":{"date-parts":[["2025",8,13]]}}}],"schema":"https://github.com/citation-style-language/schema/raw/master/csl-citation.json"}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szCs w:val="24"/>
        </w:rPr>
        <w:t>(</w:t>
      </w:r>
      <w:r w:rsidR="00601142" w:rsidRPr="00601142">
        <w:rPr>
          <w:rFonts w:ascii="Times New Roman" w:hAnsi="Times New Roman" w:cs="Times New Roman"/>
          <w:i/>
          <w:iCs/>
          <w:sz w:val="24"/>
          <w:szCs w:val="24"/>
        </w:rPr>
        <w:t>The Role of Civic Education</w:t>
      </w:r>
      <w:r w:rsidR="00601142" w:rsidRPr="00601142">
        <w:rPr>
          <w:rFonts w:ascii="Times New Roman" w:hAnsi="Times New Roman" w:cs="Times New Roman"/>
          <w:sz w:val="24"/>
          <w:szCs w:val="24"/>
        </w:rPr>
        <w:t>, n.d.)</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Barriers to Learning</w:t>
      </w:r>
      <w:r w:rsidRPr="00BE4734">
        <w:rPr>
          <w:rFonts w:ascii="Times New Roman" w:eastAsia="Times New Roman" w:hAnsi="Times New Roman" w:cs="Times New Roman"/>
          <w:b/>
          <w:bCs/>
          <w:sz w:val="24"/>
          <w:szCs w:val="24"/>
        </w:rPr>
        <w:br/>
      </w:r>
    </w:p>
    <w:p w14:paraId="31BD0A97" w14:textId="62F72145"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Even though many teachers don't have formal training in competency-based education (CBE) principles, they are very important for the successful integration of modern capabilities. In pre-service teacher education, the transmission of subject knowledge often takes precedence over active learning, problem-solving, and collaborative pedagogy. In-service professional development rarely focuses on integrating 21st-century skills. As a result, teaching methods that center on lectures and tests are still the most common in the classroom, even if the curriculum encourages creativity and critical thinking</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{"citationID":"8Nbdm8lC","properties":{"formattedCitation":"(Janssens et al., 2023)","plainCitation":"(Janssens et al., 2023)","noteIndex":0},"citationItems":[{"id":6286,"uris":["http://zotero.org/users/16652950/items/LZBRLEDE"],"itemData":{"id":6286,"type":"article-journal","abstract":"Background \nWork-integrated learning constitutes a large part of current healthcare education. During the last decades, a competency-based educational (CBE) approach has been introduced to reduce the theory-practice gap and to promote continuous competency development. Different frameworks and models have been developed to support CBE implementation in practice. Although CBE is now well-established, implementation at healthcare workplaces remains complex and controversial. This study aims to explore how students, mentors, and educators from different healthcare disciplines perceive the implementation of CBE at the workplace. The six-step model of Embo et al. (2015) was used as a base: (1) competency selection, (2) formulating learning goals, (3) self-monitoring performance, (4) self-assessing competency development, (5) summative assessment of individual competencies, and (6) summative assessment of global professional competence.\n\nMethods \nThree semi-structured focus group interviews were conducted with (1) five students, (2) five mentors, and (3) five educators. We recruited participants from six different educational programs: audiology, midwifery, nursing (associate degree and bachelor), occupational therapy, or speech therapy. We used thematic analysis combining an inductive and deductive approach.\n\nResults \nAn overview of the predefined competencies was hard to find which complicated CBE implementation and resulted in a lack of consistency between the steps; e.g., the link between the selection of relevant competencies (step 1) and the formulation of learning goals based on these selected competencies (step 2) was absent. Furthermore, the analysis of the data helped identifying seven barriers for CBE implementation: (1) a gap between the educational program and the workplace, (2) a lacking overview of predefined competencies, (3) a major focus on technical competencies at the expense of generic competencies, (4) weak formulation of the learning goals, (5) obstacles related to reflection, (6) low feedback quality, and (7) perceived subjectivity of the assessment approach.\n\nConclusion \nThe present barriers to CBE implementation lead to a fragmentation of current work-integrated learning. In this way, theory beats practice when it comes to CBE implementation as the theory of CBE is not effectively implemented. However, the identification of these barriers might help to find solutions to optimize CBE implementation. Future research seems critical to optimize CBE so that theory can meet practice and the opportunities of CBE optimize healthcare education.\n\nSupplementary Information\nThe online version contains supplementary material available at 10.1186/s12909-023-04446-3.","container-title":"BMC Medical Education","DOI":"10.1186/s12909-023-04446-3","ISSN":"1472-6920","journalAbbreviation":"BMC Med Educ","note":"PMID: 37386406\nPMCID: PMC10308607","page":"484","source":"PubMed Central","title":"When theory beats practice: the implementation of competency-based education at healthcare workplaces","title-short":"When theory beats practice","volume":"23","author":[{"family":"Janssens","given":"Oona"},{"family":"Embo","given":"Mieke"},{"family":"Valcke","given":"Martin"},{"family":"Haerens","given":"Leen"}],"issued":{"date-parts":[["2023",6,29]]}}}],"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(Janssens et al., 2023)</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Technological Obstacles </w:t>
      </w:r>
      <w:r w:rsidRPr="00BE4734">
        <w:rPr>
          <w:rFonts w:ascii="Times New Roman" w:eastAsia="Times New Roman" w:hAnsi="Times New Roman" w:cs="Times New Roman"/>
          <w:b/>
          <w:bCs/>
          <w:sz w:val="24"/>
          <w:szCs w:val="24"/>
        </w:rPr>
        <w:br/>
      </w:r>
    </w:p>
    <w:p w14:paraId="4BCB0ECE" w14:textId="79E3322E"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digital divide makes it even harder to learn new skills. Many schools, especially those in distant areas, don't have adequate computers, internet access, or reliable electricity. Teachers may not know how to use technology in interesting lessons or feel comfortable doing so when it is available. This technology gap limits students' chances to learn digital literacy, online collaboration, and media production abilities, which are becoming more and more important for global competitiveness</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{"citationID":"kx5weAXc","properties":{"formattedCitation":"(Kormos &amp; Wisdom, 2023)","plainCitation":"(Kormos &amp; Wisdom, 2023)","noteIndex":0},"citationItems":[{"id":6289,"uris":["http://zotero.org/users/16652950/items/KU6UJLSA"],"itemData":{"id":6289,"type":"article-journal","abstract":"This quantitative study aimed to better understand how teachers implement technology in a variety of teaching modalities to enhance content delivery and student engagement. More specifically, it aimed to investigate the digital divide of technology usage based upon school setting and usage frequency. Responses were collected using a random sampling method of full-time K-12 public school teachers in a Mid-Atlantic state. The instrument was developed from prior research and examined educator usage frequency of instructional technology in urban, rural, and suburban schools dependent upon teaching modality. A total of 423 participants responded to the researcher-created questionnaire and yielded practical implementations for further study. The findings uncovered significant differences in usage frequency of rural, urban, and suburban teachers utilizing technology dependent upon modality (ex. cooperative learning, small group instruction, student-led research, problem-solving). Results of this investigation contribute to the field through an attempt to foster a discussion of disparities between the integration of technology and school setting. The purpose of this discussion is to identify gaps in the digital divide, apply frameworks geared toward equity, and create professional development opportunities for all educators to differentiate technology usage across multiple teaching modalities.","container-title":"Education and Information Technologies","DOI":"10.1007/s10639-022-11488-5","ISSN":"1360-2357","journalAbbreviation":"Educ Inf Technol (Dordr)","note":"PMID: 36714442\nPMCID: PMC9867994","page":"1-19","source":"PubMed Central","title":"Digital divide and teaching modality: It’s role in technology and instructional strategies","title-short":"Digital divide and teaching modality","author":[{"family":"Kormos","given":"Erik"},{"family":"Wisdom","given":"Kendra"}],"issued":{"date-parts":[["2023",1,19]]}}}],"schema":"https://github.com/citation-style-language/schema/raw/master/csl-citation.json"}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Kormos</w:t>
      </w:r>
      <w:proofErr w:type="spellEnd"/>
      <w:r w:rsidR="00601142" w:rsidRPr="00601142">
        <w:rPr>
          <w:rFonts w:ascii="Times New Roman" w:hAnsi="Times New Roman" w:cs="Times New Roman"/>
          <w:sz w:val="24"/>
        </w:rPr>
        <w:t xml:space="preserve"> &amp; Wisdom, 2023)</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Social and Cultural Factors </w:t>
      </w:r>
      <w:r w:rsidRPr="00BE4734">
        <w:rPr>
          <w:rFonts w:ascii="Times New Roman" w:eastAsia="Times New Roman" w:hAnsi="Times New Roman" w:cs="Times New Roman"/>
          <w:b/>
          <w:bCs/>
          <w:sz w:val="24"/>
          <w:szCs w:val="24"/>
        </w:rPr>
        <w:br/>
      </w:r>
    </w:p>
    <w:p w14:paraId="61E5014A" w14:textId="740533F8"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When changing the curriculum, it's also important to think about Nigeria's many languages and cultures. New teaching methods may not work as effectively in some places because of the language, the community's goals, and the local beliefs. Parents and teachers may sometimes </w:t>
      </w:r>
      <w:r w:rsidRPr="00BE4734">
        <w:rPr>
          <w:rFonts w:ascii="Times New Roman" w:eastAsia="Times New Roman" w:hAnsi="Times New Roman" w:cs="Times New Roman"/>
          <w:sz w:val="24"/>
          <w:szCs w:val="24"/>
        </w:rPr>
        <w:lastRenderedPageBreak/>
        <w:t xml:space="preserve">appreciate </w:t>
      </w:r>
      <w:proofErr w:type="gramStart"/>
      <w:r w:rsidRPr="00BE4734">
        <w:rPr>
          <w:rFonts w:ascii="Times New Roman" w:eastAsia="Times New Roman" w:hAnsi="Times New Roman" w:cs="Times New Roman"/>
          <w:sz w:val="24"/>
          <w:szCs w:val="24"/>
        </w:rPr>
        <w:t>less</w:t>
      </w:r>
      <w:proofErr w:type="gramEnd"/>
      <w:r w:rsidRPr="00BE4734">
        <w:rPr>
          <w:rFonts w:ascii="Times New Roman" w:eastAsia="Times New Roman" w:hAnsi="Times New Roman" w:cs="Times New Roman"/>
          <w:sz w:val="24"/>
          <w:szCs w:val="24"/>
        </w:rPr>
        <w:t xml:space="preserve"> concrete skills like creativity or teamwork more than more traditional measures of academic success, like high exam scores. Social inequities, like differences in educational chances for boys and girls, make skill development even less fair. Girls in rural areas are often the most affected</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{"citationID":"eWpotIm5","properties":{"formattedCitation":"(Courtois et al., 2024)","plainCitation":"(Courtois et al., 2024)","noteIndex":0},"citationItems":[{"id":6297,"uris":["http://zotero.org/users/16652950/items/8IL6VQYZ"],"itemData":{"id":6297,"type":"article-journal","abstract":"Research on play tends to consider its relevance as universal: all children play. Whilst research is increasingly pointing to the benefits of play to children’s development and learning, there is also increasing recognition that this research is predominantly carried out in Western contexts, and that its conclusions may not carry over to other contexts. In this paper, we explore the implications of investigating the concept of learning through play to Global Majority contexts, where both play and the contribution of play to learning may be understood differently, and in some cases may not be appropriate. Play is not equally valued in all cultures and around the world children have varying amounts of time dedicated to free play and schooling, as well as very different educational experiences. Globally, there have been increasing efforts to recognise and deal with some of these tensions. Drawing on research carried out at PEDAL, we highlight examples of how learning through play may be understood and enacted in four Global Majority contexts (Nigeria, Mexico, South Africa and Kenya) and some of the questions that have arisen through our work. We use these examples to reflect on our role as play researchers.","container-title":"International Journal of Play","DOI":"10.1080/21594937.2024.2388952","ISSN":"2159-4937","issue":"3","note":"publisher: Routledge\n_eprint: https://doi.org/10.1080/21594937.2024.2388952","page":"228-253","source":"Taylor and Francis+NEJM","title":"Learning through play in Global Majority countries: reflections from the PEDAL centre on understanding and adapting the concept in four different contexts","title-short":"Learning through play in Global Majority countries","volume":"13","author":[{"family":"Courtois","given":"Soizic Le"},{"family":"Ezeugwu","given":"Chika R."},{"family":"Fajardo-Tovar","given":"Dina D."},{"family":"Nowack","given":"Stephanie K."},{"family":"Okullo","given":"Domnick O."},{"family":"Bayley","given":"Stephen"},{"family":"Baker","given":"Sara"},{"family":"Ramchandani","given":"Paul"}],"issued":{"date-parts":[["2024",7,2]]}}}],"schema":"https://github.com/citation-style-language/schema/raw/master/csl-citation.json"}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(Courtois et al., 2024)</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Figure 1 displays a readiness profile encompassing five essential indicators derived from literature and policy study, illustrating the comparative strengths and shortcomings of Nigeria's preparedness for the integration of 21st-century capabilities. All things considered, these problems reveal that sociocultural, pedagogical, technological, and structural factors all work together in a multifaceted way. To create a conducive environment for the integration of 21st-century skills, we need constant financing, stakeholder involvement, and policy alignment in addition to curriculum creation.</w:t>
      </w:r>
    </w:p>
    <w:p w14:paraId="3DF8980A" w14:textId="32216789" w:rsidR="000320F3" w:rsidRDefault="008B7E97" w:rsidP="00E85940">
      <w:pPr>
        <w:pStyle w:val="NormalWeb"/>
      </w:pPr>
      <w:r>
        <w:rPr>
          <w:noProof/>
        </w:rPr>
        <w:drawing>
          <wp:inline distT="0" distB="0" distL="0" distR="0" wp14:anchorId="468DBD53" wp14:editId="52903148">
            <wp:extent cx="5943600" cy="5094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2_ReadinessProfile.png"/>
                    <pic:cNvPicPr/>
                  </pic:nvPicPr>
                  <pic:blipFill>
                    <a:blip r:embed="rId7">
                      <a:extLst>
                        <a:ext uri="{28A0092B-C50C-407E-A947-70E740481C1C}">
                          <a14:useLocalDpi xmlns:a14="http://schemas.microsoft.com/office/drawing/2010/main" val="0"/>
                        </a:ext>
                      </a:extLst>
                    </a:blip>
                    <a:stretch>
                      <a:fillRect/>
                    </a:stretch>
                  </pic:blipFill>
                  <pic:spPr>
                    <a:xfrm>
                      <a:off x="0" y="0"/>
                      <a:ext cx="5943600" cy="5094605"/>
                    </a:xfrm>
                    <a:prstGeom prst="rect">
                      <a:avLst/>
                    </a:prstGeom>
                  </pic:spPr>
                </pic:pic>
              </a:graphicData>
            </a:graphic>
          </wp:inline>
        </w:drawing>
      </w:r>
    </w:p>
    <w:p w14:paraId="745890CC" w14:textId="77777777" w:rsidR="0040670A" w:rsidRDefault="000320F3" w:rsidP="000320F3">
      <w:pPr>
        <w:pStyle w:val="NormalWeb"/>
      </w:pPr>
      <w:r>
        <w:rPr>
          <w:rStyle w:val="Strong"/>
        </w:rPr>
        <w:t>Figure 2: Readiness for 21st-Century Skills Integration in Nigeria</w:t>
      </w:r>
      <w:r>
        <w:t xml:space="preserve">. </w:t>
      </w:r>
    </w:p>
    <w:p w14:paraId="7B26043C" w14:textId="0E768853" w:rsidR="000320F3" w:rsidRDefault="000320F3" w:rsidP="000320F3">
      <w:pPr>
        <w:pStyle w:val="NormalWeb"/>
      </w:pPr>
      <w:r>
        <w:rPr>
          <w:rStyle w:val="Emphasis"/>
          <w:rFonts w:eastAsiaTheme="majorEastAsia"/>
        </w:rPr>
        <w:t xml:space="preserve">This figure presents a comparative rating (on a 0–10 scale) of Nigeria’s readiness across five dimensions: policy commitment, teacher training, ICT infrastructure, curriculum flexibility, and </w:t>
      </w:r>
      <w:r>
        <w:rPr>
          <w:rStyle w:val="Emphasis"/>
          <w:rFonts w:eastAsiaTheme="majorEastAsia"/>
        </w:rPr>
        <w:lastRenderedPageBreak/>
        <w:t>assessment reform. The scores are based on synthesized findings from national policy documents, comparative education reports, and relevant scholarly studies. Higher scores indicate stronger readiness, while lower scores highlight priority areas for intervention.</w:t>
      </w:r>
    </w:p>
    <w:p w14:paraId="10A9E071" w14:textId="77777777" w:rsidR="000320F3" w:rsidRDefault="000320F3" w:rsidP="00E85940">
      <w:pPr>
        <w:pStyle w:val="NormalWeb"/>
      </w:pPr>
    </w:p>
    <w:p w14:paraId="1B308DE6" w14:textId="77777777" w:rsidR="00A43336" w:rsidRDefault="00A43336" w:rsidP="00E85940">
      <w:pPr>
        <w:pStyle w:val="Heading2"/>
        <w:rPr>
          <w:rStyle w:val="Strong"/>
          <w:b/>
          <w:bCs/>
        </w:rPr>
      </w:pPr>
    </w:p>
    <w:p w14:paraId="60517280" w14:textId="77777777" w:rsidR="00A43336" w:rsidRDefault="00A43336" w:rsidP="00E85940">
      <w:pPr>
        <w:pStyle w:val="Heading2"/>
        <w:rPr>
          <w:rStyle w:val="Strong"/>
          <w:b/>
          <w:bCs/>
        </w:rPr>
      </w:pPr>
    </w:p>
    <w:p w14:paraId="522CBB92" w14:textId="77777777" w:rsidR="00A43336" w:rsidRDefault="00E85940" w:rsidP="00A43336">
      <w:pPr>
        <w:pStyle w:val="Heading2"/>
        <w:rPr>
          <w:rStyle w:val="Strong"/>
          <w:b/>
          <w:bCs/>
        </w:rPr>
      </w:pPr>
      <w:r>
        <w:rPr>
          <w:rStyle w:val="Strong"/>
          <w:b/>
          <w:bCs/>
        </w:rPr>
        <w:t>6. Proposed Framework for Integration</w:t>
      </w:r>
    </w:p>
    <w:p w14:paraId="5B19805F" w14:textId="05B0294A" w:rsidR="00E85940" w:rsidRDefault="00E85940" w:rsidP="00A43336">
      <w:pPr>
        <w:pStyle w:val="Heading2"/>
      </w:pPr>
      <w:r>
        <w:rPr>
          <w:rStyle w:val="Strong"/>
        </w:rPr>
        <w:t>Core Competencies for Nigeria</w:t>
      </w:r>
    </w:p>
    <w:p w14:paraId="1309AF0E" w14:textId="746FEDD7" w:rsidR="00BE4734" w:rsidRDefault="00BE4734" w:rsidP="00BE4734">
      <w:pPr>
        <w:spacing w:after="0" w:line="240" w:lineRule="auto"/>
        <w:rPr>
          <w:rFonts w:ascii="Times New Roman" w:eastAsia="Times New Roman" w:hAnsi="Times New Roman" w:cs="Times New Roman"/>
          <w:b/>
          <w:bCs/>
          <w:sz w:val="24"/>
          <w:szCs w:val="24"/>
        </w:rPr>
      </w:pPr>
      <w:r w:rsidRPr="00BE4734">
        <w:rPr>
          <w:rFonts w:ascii="Times New Roman" w:eastAsia="Times New Roman" w:hAnsi="Times New Roman" w:cs="Times New Roman"/>
          <w:sz w:val="24"/>
          <w:szCs w:val="24"/>
        </w:rPr>
        <w:t>Nigeria's incorporation of 21st-century skills should prioritize competencies that directly advance national development objectives, considering both domestic priorities and global standards. These include the following: critical thinking for efficient problem-solving in entrepreneurship and governance; creativity and innovation to promote economic diversification; digital literacy to improve participation in the global knowledge economy; cooperation and communication to fortify social cohesion in a multiethnic setting; and global citizenship to promote responsible engagement with transnational issues like public health and climate change</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{"citationID":"tOdSNccP","properties":{"formattedCitation":"(Zamiri &amp; Esmaeili, 2024)","plainCitation":"(Zamiri &amp; Esmaeili, 2024)","noteIndex":0},"citationItems":[{"id":6299,"uris":["http://zotero.org/users/16652950/items/2VSLT4AN"],"itemData":{"id":6299,"type":"article-journal","abstract":"This systematic review underscores the significance of learning communities as fertile grounds for skill development across diverse contexts. Furthermore, it reviews and theoretically evaluates several commonly used strategies, methods, and supports for developing skills within learning communities by synthesizing the existing literature. We followed the procedure outlined by the Preferred Reporting Items for Systematic Review and Meta-Analyses (PRISMA) to ensure a transparent, comprehensive, and standardized approach to conducting and reporting our systematic review, thereby enhancing the review’s credibility and reproducibility. Through an extensive analysis of the literature, we identified eleven strategies, methods, and supports (application of collaborative projects, mentorship programs, workshops and training sessions, online learning platforms, peer learning and feedback, problem-based learning, cross-collaboration initiatives, leadership development programs, inclusive learning environments, gamification and simulations, and social media and networking) that play pivotal roles in nurturing different types of skills. We describe each identified solution, its advantages and challenges, the types of skills targeted for development, and their overall contribution to skill enhancement. The findings emphasize the importance of fostering collaborative and interactive environments within learning communities to facilitate collective skill development and personal growth. Our systematic review faced some challenges (e.g., heterogeneity of studies and lack of longitudinal data) due to the overwhelming diversity of the literature on skill development across various disciplines and contexts. Overall, by synthesizing existing knowledge and identifying gaps in the literature, this review serves as a foundation for advancing theory, informing practice, and promoting continual improvement in skill development within learning communities.","container-title":"Administrative Sciences","DOI":"10.3390/admsci14090231","ISSN":"2076-3387","issue":"9","language":"en","license":"http://creativecommons.org/licenses/by/3.0/","note":"publisher: Multidisciplinary Digital Publishing Institute","page":"231","source":"www.mdpi.com","title":"Strategies, Methods, and Supports for Developing Skills within Learning Communities: A Systematic Review of the Literature","title-short":"Strategies, Methods, and Supports for Developing Skills within Learning Communities","volume":"14","author":[{"family":"Zamiri","given":"Majid"},{"family":"Esmaeili","given":"Ali"}],"issued":{"date-parts":[["2024",9]]}}}],"schema":"https://github.com/citation-style-language/schema/raw/master/csl-citation.json"}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Zamiri</w:t>
      </w:r>
      <w:proofErr w:type="spellEnd"/>
      <w:r w:rsidR="00601142" w:rsidRPr="00601142">
        <w:rPr>
          <w:rFonts w:ascii="Times New Roman" w:hAnsi="Times New Roman" w:cs="Times New Roman"/>
          <w:sz w:val="24"/>
        </w:rPr>
        <w:t xml:space="preserve"> &amp; </w:t>
      </w:r>
      <w:proofErr w:type="spellStart"/>
      <w:r w:rsidR="00601142" w:rsidRPr="00601142">
        <w:rPr>
          <w:rFonts w:ascii="Times New Roman" w:hAnsi="Times New Roman" w:cs="Times New Roman"/>
          <w:sz w:val="24"/>
        </w:rPr>
        <w:t>Esmaeili</w:t>
      </w:r>
      <w:proofErr w:type="spellEnd"/>
      <w:r w:rsidR="00601142" w:rsidRPr="00601142">
        <w:rPr>
          <w:rFonts w:ascii="Times New Roman" w:hAnsi="Times New Roman" w:cs="Times New Roman"/>
          <w:sz w:val="24"/>
        </w:rPr>
        <w:t>, 2024)</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32BB3201" w14:textId="2304F948" w:rsidR="00503C35" w:rsidRPr="00503C35" w:rsidRDefault="00BE4734" w:rsidP="00503C35">
      <w:pPr>
        <w:pStyle w:val="NormalWeb"/>
      </w:pPr>
      <w:r w:rsidRPr="00BE4734">
        <w:rPr>
          <w:b/>
          <w:bCs/>
        </w:rPr>
        <w:t>Principles for Redesigning the Curriculum</w:t>
      </w:r>
      <w:r w:rsidRPr="00BE4734">
        <w:rPr>
          <w:b/>
          <w:bCs/>
        </w:rPr>
        <w:br/>
      </w:r>
      <w:r w:rsidRPr="00BE4734">
        <w:t>The curriculum should be changed to include more than one subject so that students can use what they learn in real life circumstances. The major thing to focus on should be project-based learning (PBL), which lets students come up with, carry out, and present ideas that blend what they know with how things work in the real world. It is important that the curriculum is culturally relevant. This means that it should include global perspectives while also showing Nigeria's history, values, and current events. This two-pronged strategy guarantees that students will keep their cultural identity while also learning the skills they need to be involved in the world</w:t>
      </w:r>
      <w:r w:rsidR="00A43336">
        <w:fldChar w:fldCharType="begin"/>
      </w:r>
      <w:r w:rsidR="00601142">
        <w:instrText xml:space="preserve"> ADDIN ZOTERO_ITEM CSL_CITATION {"citationID":"FIbQGrzE","properties":{"formattedCitation":"(Zhang &amp; Ma, 2023)","plainCitation":"(Zhang &amp; Ma, 2023)","noteIndex":0},"citationItems":[{"id":6303,"uris":["http://zotero.org/users/16652950/items/NPKM6XT2"],"itemData":{"id":6303,"type":"article-journal","abstract":"With the educational reform for skills in the 21st century, a large number of scholars have explored project-based learning. However, whether project-based learning can effectively improve the learning effect of students has not yet reached a unified conclusion. This study uses a meta-analysis method to conduct an in-depth quantitative analysis of 66 experimental or quasi-experimental research papers based on project-based learning over the past 20 years. The results of the study showed that compared with the traditional teaching model, project-based learning significantly improved students' learning outcomes and positively contributed to academic achievement, affective attitudes, and thinking skills, especially academic achievement. The results of the moderating effects test indicated that the effectiveness of project-based learning and teaching was influenced by different moderating variables, including country region, subject area, type of course, academic period, group size, class size, and experimental period.: (1) from the perspective of country geography, the effects of project-based learning in Asia, especially in Southeast Asia, were significantly better than those in Western Europe and North America; (2) in terms of curriculum, project-based learning promotes student learning effects more significantly in engineering and technology subjects, and is better applied in laboratory classes than in theory classes; (3) from a pedagogical point of view, project-based learning is more suitable for small group teaching, in which the group size is 4-5 people teaching the best results; (4) in view of the experimental period, 9-18 weeks is more appropriate and has more obvious advantages for application at the high school level.","container-title":"Frontiers in Psychology","DOI":"10.3389/fpsyg.2023.1202728","ISSN":"1664-1078","journalAbbreviation":"Front. Psychol.","language":"English","note":"publisher: Frontiers","source":"Frontiers","title":"A study of the impact of project-based learning on student learning effects: a meta-analysis study","title-short":"A study of the impact of project-based learning on student learning effects","URL":"https://www.frontiersin.org/journals/psychology/articles/10.3389/fpsyg.2023.1202728/full","volume":"14","author":[{"family":"Zhang","given":"Lu"},{"family":"Ma","given":"Yan"}],"accessed":{"date-parts":[["2025",8,13]]},"issued":{"date-parts":[["2023",7,17]]}}}],"schema":"https://github.com/citation-style-language/schema/raw/master/csl-citation.json"} </w:instrText>
      </w:r>
      <w:r w:rsidR="00A43336">
        <w:fldChar w:fldCharType="separate"/>
      </w:r>
      <w:r w:rsidR="00601142" w:rsidRPr="00601142">
        <w:t>(Zhang &amp; Ma, 2023)</w:t>
      </w:r>
      <w:r w:rsidR="00A43336">
        <w:fldChar w:fldCharType="end"/>
      </w:r>
      <w:r w:rsidRPr="00BE4734">
        <w:t xml:space="preserve">. </w:t>
      </w:r>
      <w:r w:rsidR="00503C35">
        <w:t xml:space="preserve"> </w:t>
      </w:r>
      <w:r w:rsidR="00503C35" w:rsidRPr="00503C35">
        <w:t>To operationalize these principles, the framework emphasizes three pillars: (</w:t>
      </w:r>
      <w:proofErr w:type="spellStart"/>
      <w:r w:rsidR="00503C35" w:rsidRPr="00503C35">
        <w:t>i</w:t>
      </w:r>
      <w:proofErr w:type="spellEnd"/>
      <w:r w:rsidR="00503C35" w:rsidRPr="00503C35">
        <w:t>) Curricular integration, where every subject embeds one or more core competencies; (ii) Pedagogical innovation, where teachers employ methods such as inquiry-based learning, debate, and design thinking; and (iii) Contextual adaptation, ensuring that skills development reflects Nigeria’s socio-cultural realities. A practical example could involve students in rural areas using project-based learning to design low-cost water filtration systems, combining science knowledge, teamwork, creativity, and civic responsibility in a single learning experience</w:t>
      </w:r>
      <w:r w:rsidR="00601142">
        <w:fldChar w:fldCharType="begin"/>
      </w:r>
      <w:r w:rsidR="00601142">
        <w:instrText xml:space="preserve"> ADDIN ZOTERO_ITEM CSL_CITATION {"citationID":"2rXF5mVg","properties":{"formattedCitation":"(Morris, 2025)","plainCitation":"(Morris, 2025)","noteIndex":0},"citationItems":[{"id":6629,"uris":["http://zotero.org/users/16652950/items/4YGKNHI8"],"itemData":{"id":6629,"type":"article-journal","abstract":"Inquiry-based learning (IBL) has become a cornerstone of contemporary science education, championed by frameworks like the Next Generation Science Standards (NGSS). While designed to engage students actively in scientific practices, inquiry is often misapplied, resulting in an overemphasis on hands-on investigations. This investigation-centric approach can overshadow other essential phases of inquiry, leading to a superficial understanding of scientific concepts. This paper introduces a Comprehensive Inquiry-Based Science Education (CIBSE) Framework, grounded in responsive teaching and aligned with the NGSS scientific and engineering practices. The framework emphasizes student reasoning, explanation, and the balance between short exploration and scaffolded support, aiming to offer a more holistic approach to inquiry-based science instruction. By synthesizing key elements from existing models and cognitivism, constructivism, and sociocultural learning theories, the CIBSE Framework addresses current gaps and limitations, providing educators with strategies to guide students toward deeper conceptual understanding and critical thinking. Ultimately, this balanced, adaptable framework empowers educators to meet diverse classroom needs, fostering scientific literacy and critical thinking skills essential for navigating an increasingly science-oriented world.","container-title":"Education Sciences","DOI":"10.3390/educsci15010073","ISSN":"2227-7102","issue":"1","language":"en","license":"http://creativecommons.org/licenses/by/3.0/","note":"publisher: Multidisciplinary Digital Publishing Institute","page":"73","source":"www.mdpi.com","title":"Rethinking Science Education Practices: Shifting from Investigation-Centric to Comprehensive Inquiry-Based Instruction","title-short":"Rethinking Science Education Practices","volume":"15","author":[{"family":"Morris","given":"Dana Lynn"}],"issued":{"date-parts":[["2025",1]]}}}],"schema":"https://github.com/citation-style-language/schema/raw/master/csl-citation.json"} </w:instrText>
      </w:r>
      <w:r w:rsidR="00601142">
        <w:fldChar w:fldCharType="separate"/>
      </w:r>
      <w:r w:rsidR="00601142" w:rsidRPr="00601142">
        <w:t>(Morris, 2025)</w:t>
      </w:r>
      <w:r w:rsidR="00601142">
        <w:fldChar w:fldCharType="end"/>
      </w:r>
      <w:r w:rsidR="00503C35" w:rsidRPr="00503C35">
        <w:t>.</w:t>
      </w:r>
    </w:p>
    <w:p w14:paraId="735B1A6F" w14:textId="7F30AA0A"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Plan for putting it into action</w:t>
      </w:r>
    </w:p>
    <w:p w14:paraId="57E360AF" w14:textId="30BF7D5C"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lastRenderedPageBreak/>
        <w:t xml:space="preserve"> </w:t>
      </w:r>
      <w:r w:rsidRPr="00BE4734">
        <w:rPr>
          <w:rFonts w:ascii="Times New Roman" w:eastAsia="Times New Roman" w:hAnsi="Times New Roman" w:cs="Times New Roman"/>
          <w:sz w:val="24"/>
          <w:szCs w:val="24"/>
        </w:rPr>
        <w:br/>
        <w:t>The first stage in reform should be to run pilot initiatives in a few urban and rural schools. This would help test ideas, gather local evidence, and build trust among stakeholders. It is important to make teacher professional development a priority. In-service programs should teach teachers how to use active pedagogy and technology in the classroom, and pre-service courses should be modified to include CBE ideas. A staggered deployment that starts in lower primary and goes up makes it possible to make iterative improvements based on feedback, mobilize resources, and adapt progressively. Working with foreign organizations, NGOs, and businesses can help you get money and technical help</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{"citationID":"dtLou9Kl","properties":{"formattedCitation":"(Hardman &amp; Sandi, 2024)","plainCitation":"(Hardman &amp; Sandi, 2024)","noteIndex":0},"citationItems":[{"id":6305,"uris":["http://zotero.org/users/16652950/items/XRMPCZSV"],"itemData":{"id":6305,"type":"chapter","abstract":"Education systems in all countries are currently confronted by many challenges. Policymakers and educationalists have been attempting to solve problems through changes aimed at increasing access, quality, efficiency and relevance, and making systems more equitable.","container-title":"Rural School Improvement in Developing Countries","event-place":"Singapore","ISBN":"978-981-97-4917-1","language":"en","note":"DOI: 10.1007/978-981-97-4917-1_1","page":"1-35","publisher":"Springer Nature","publisher-place":"Singapore","source":"Springer Link","title":"School Improvement in Rural Settings: A Review of International Research and Practice","title-short":"School Improvement in Rural Settings","URL":"https://doi.org/10.1007/978-981-97-4917-1_1","author":[{"family":"Hardman","given":"Frank"},{"family":"Sandi","given":"Ana Maria"}],"editor":[{"family":"Zhao","given":"Yuchi"},{"family":"Liu","given":"Jing"}],"accessed":{"date-parts":[["2025",8,13]]},"issued":{"date-parts":[["2024"]]}}}],"schema":"https://github.com/citation-style-language/schema/raw/master/csl-citation.json"}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(Hardman &amp; Sandi, 2024)</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Checking and Evaluating </w:t>
      </w:r>
      <w:r w:rsidRPr="00BE4734">
        <w:rPr>
          <w:rFonts w:ascii="Times New Roman" w:eastAsia="Times New Roman" w:hAnsi="Times New Roman" w:cs="Times New Roman"/>
          <w:b/>
          <w:bCs/>
          <w:sz w:val="24"/>
          <w:szCs w:val="24"/>
        </w:rPr>
        <w:br/>
      </w:r>
    </w:p>
    <w:p w14:paraId="42996C1E" w14:textId="60EA8A86" w:rsidR="00A43336"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 addition to keeping track of how well students are doing, good monitoring and evaluation (M&amp;E) systems should also look at how well students are learning, how well teachers are accepting new teaching methods, and how ready the infrastructure is. Mixed-method evaluation, which uses performance tasks, portfolios, observational data, and standardized tests, can provide you a whole picture of development. Regular reporting to stakeholders will keep accountability and political will strong</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{"citationID":"xGX34A9G","properties":{"formattedCitation":"(Levy-Feldman, 2025)","plainCitation":"(Levy-Feldman, 2025)","noteIndex":0},"citationItems":[{"id":6307,"uris":["http://zotero.org/users/16652950/items/H4D5RFXA"],"itemData":{"id":6307,"type":"article-journal","abstract":"Assessment is an integral core component of the educational process (learning–teaching–assessment), influencing learning and teaching. Its impact extends beyond these core elements, shaping decisions that affect students, teachers, administrators, policymakers, and the wider community. Recognizing the critical role and broad impact of assessment on educational practices, we must leverage its power to foster better education that caters to diverse multicultural learners and promotes a more equitable society. In this theoretical paper, we comprehensively explore the transformative potential of assessment focusing on culturally responsive assessment, on both teaching and learning practices, emphasizing the needs of diverse learners. We discuss possible solutions to enhance educational outcomes through assessment redesign, critically examine the barriers to implementing these solutions, and propose viable strategies to mitigate these challenges, ensuring all learners reach their full potential.","container-title":"Education Sciences","DOI":"10.3390/educsci15020224","ISSN":"2227-7102","issue":"2","language":"en","license":"http://creativecommons.org/licenses/by/3.0/","note":"publisher: Multidisciplinary Digital Publishing Institute","page":"224","source":"www.mdpi.com","title":"The Role of Assessment in Improving Education and Promoting Educational Equity","volume":"15","author":[{"family":"Levy-Feldman","given":"Irit"}],"issued":{"date-parts":[["2025",2]]}}}],"schema":"https://github.com/citation-style-language/schema/raw/master/csl-citation.json"}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(Levy-Feldman, 2025)</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0F2F1851" w14:textId="0454C1BF"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Nigeria may build a generation of students ready for the challenges of the twenty-first century by putting these parts together in a way that makes sense and fits its basic education system with both local needs for growth and worldwide standards for skills.</w:t>
      </w:r>
    </w:p>
    <w:p w14:paraId="7E63CD46"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7. Implications for Policy and Practice</w:t>
      </w:r>
    </w:p>
    <w:p w14:paraId="37102FE8" w14:textId="77777777" w:rsidR="00876D76"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 xml:space="preserve">Suggestions for Changing Policies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To bring Nigeria's basic education up to worldwide competency levels, policy changes must put the integration of 21st-century skills into curricular objectives, learning outcomes, and assessment frameworks at the top of their list of things to do. This necessitates unwavering budgetary commitments, continuity throughout political cycles, and explicit national objectives for competency acquisition. Policies should also promote curriculum flexibility to make it easier for states and cities to adjust to different situations</w:t>
      </w:r>
      <w:r w:rsidR="00A43336">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{"citationID":"NgcAGXax","properties":{"formattedCitation":"(Gonz\\uc0\\u225{}lez-P\\uc0\\u233{}rez &amp; Ram\\uc0\\u237{}rez-Montoya, 2022)","plainCitation":"(González-Pérez &amp; Ramírez-Montoya, 2022)","noteIndex":0},"citationItems":[{"id":6309,"uris":["http://zotero.org/users/16652950/items/XJVNUZIR"],"itemData":{"id":6309,"type":"article-journal","abstract":"Responsive educational proposals to develop skills to meet the demands of Industry 4.0 have become imperative to guarantee inclusive, equitable, and quality education and promote lifelong learning opportunities for all, also reducing the negative impact of COVID-19 and the major post-pandemic social issues. This article analyzes which components of Education 4.0 have been considered in 21st century skills frameworks and identifies the teaching and learning methods and key stakeholders impacted. We conducted a systematic literature review (SLR) with research questions to highlight studies that address 21st century frameworks worldwide, identifying which teaching-–earning strategies contain 4.0 components, their learning dimensions, and the targeted stakeholders. The findings allowed us to identify opportunities to create or improve 21st century skills frameworks with the required Education 4.0 components to develop future skills. Our study revealed the absence of these frameworks for teachers and schools. Most are oriented toward students, developing competencies through the dimensions of character, meta-learning, and linking active learning teaching strategies. This work presents studies incorporating innovative educational practices and the core Education 4.0 components. It concludes with a reflection on creating educational models to develop complex-reasoning competencies and auto-systemic thinking to support problem-solving and address social needs.","container-title":"Sustainability","DOI":"10.3390/su14031493","ISSN":"2071-1050","issue":"3","language":"en","license":"http://creativecommons.org/licenses/by/3.0/","note":"publisher: Multidisciplinary Digital Publishing Institute","page":"1493","source":"www.mdpi.com","title":"Components of Education 4.0 in 21st Century Skills Frameworks: Systematic Review","title-short":"Components of Education 4.0 in 21st Century Skills Frameworks","volume":"14","author":[{"family":"González-Pérez","given":"Laura Icela"},{"family":"Ramírez-Montoya","given":"María Soledad"}],"issued":{"date-parts":[["2022",1]]}}}],"schema":"https://github.com/citation-style-language/schema/raw/master/csl-citation.json"} </w:instrText>
      </w:r>
      <w:r w:rsidR="00A43336">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szCs w:val="24"/>
        </w:rPr>
        <w:t>(González-Pérez &amp; Ramírez-Montoya, 2022)</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6EAA1C2" w14:textId="3DDCD637" w:rsidR="00876D76" w:rsidRPr="00876D76" w:rsidRDefault="00876D76" w:rsidP="00876D76">
      <w:pPr>
        <w:spacing w:beforeAutospacing="1" w:after="100" w:afterAutospacing="1" w:line="240" w:lineRule="auto"/>
        <w:rPr>
          <w:rFonts w:ascii="Times New Roman" w:eastAsia="Times New Roman" w:hAnsi="Times New Roman" w:cs="Times New Roman"/>
          <w:sz w:val="24"/>
          <w:szCs w:val="24"/>
        </w:rPr>
      </w:pPr>
      <w:r w:rsidRPr="00876D76">
        <w:rPr>
          <w:rFonts w:ascii="Times New Roman" w:eastAsia="Times New Roman" w:hAnsi="Times New Roman" w:cs="Times New Roman"/>
          <w:sz w:val="24"/>
          <w:szCs w:val="24"/>
        </w:rPr>
        <w:t>In addition to broad policy directions, specific measurable action points are critical for implementation. The government should progressively increase education sector funding to at least 15–20% of the national budget, in line with UNESCO benchmarks, with a designated portion earmarked for ICT infrastructure and teacher capacity building. A National Skills</w:t>
      </w:r>
      <w:r w:rsidRPr="00876D76">
        <w:rPr>
          <w:rFonts w:ascii="Times New Roman" w:eastAsia="Times New Roman" w:hAnsi="Times New Roman" w:cs="Times New Roman"/>
          <w:b/>
          <w:bCs/>
          <w:sz w:val="24"/>
          <w:szCs w:val="24"/>
        </w:rPr>
        <w:t xml:space="preserve"> </w:t>
      </w:r>
      <w:r w:rsidRPr="00876D76">
        <w:rPr>
          <w:rFonts w:ascii="Times New Roman" w:eastAsia="Times New Roman" w:hAnsi="Times New Roman" w:cs="Times New Roman"/>
          <w:sz w:val="24"/>
          <w:szCs w:val="24"/>
        </w:rPr>
        <w:t>Assessment Framework should be developed to measure students’ proficiency in critical thinking, creativity, digital literacy, and global citizenship, ensuring progress can be tracked against defined benchmarks. Furthermore, states and local governments should be mandated to align curricular reforms with this framework, with annual reporting mechanisms to monitor compliance and progress</w:t>
      </w:r>
      <w:r w:rsidR="00E013F2">
        <w:rPr>
          <w:rFonts w:ascii="Times New Roman" w:eastAsia="Times New Roman" w:hAnsi="Times New Roman" w:cs="Times New Roman"/>
          <w:sz w:val="24"/>
          <w:szCs w:val="24"/>
        </w:rPr>
        <w:fldChar w:fldCharType="begin"/>
      </w:r>
      <w:r w:rsidR="00E013F2">
        <w:rPr>
          <w:rFonts w:ascii="Times New Roman" w:eastAsia="Times New Roman" w:hAnsi="Times New Roman" w:cs="Times New Roman"/>
          <w:sz w:val="24"/>
          <w:szCs w:val="24"/>
        </w:rPr>
        <w:instrText xml:space="preserve"> ADDIN ZOTERO_ITEM CSL_CITATION {"citationID":"02E76329","properties":{"formattedCitation":"({\\i{}UNESCO Member States Unite to Increase Investment in Education}, n.d.)","plainCitation":"(UNESCO Member States Unite to Increase Investment in Education, n.d.)","noteIndex":0},"citationItems":[{"id":6633,"uris":["http://zotero.org/users/16652950/items/7YFBA4WG"],"itemData":{"id":6633,"type":"webpage","language":"en","title":"UNESCO Member States unite to increase investment in education","URL":"https://www.unesco.org/en/articles/unesco-member-states-unite-increase-investment-education","accessed":{"date-parts":[["2025",8,19]]}}}],"schema":"https://github.com/citation-style-language/schema/raw/master/csl-citation.json"} </w:instrText>
      </w:r>
      <w:r w:rsidR="00E013F2">
        <w:rPr>
          <w:rFonts w:ascii="Times New Roman" w:eastAsia="Times New Roman" w:hAnsi="Times New Roman" w:cs="Times New Roman"/>
          <w:sz w:val="24"/>
          <w:szCs w:val="24"/>
        </w:rPr>
        <w:fldChar w:fldCharType="separate"/>
      </w:r>
      <w:r w:rsidR="00E013F2" w:rsidRPr="00E013F2">
        <w:rPr>
          <w:rFonts w:ascii="Times New Roman" w:hAnsi="Times New Roman" w:cs="Times New Roman"/>
          <w:sz w:val="24"/>
          <w:szCs w:val="24"/>
        </w:rPr>
        <w:t>(</w:t>
      </w:r>
      <w:r w:rsidR="00E013F2" w:rsidRPr="00E013F2">
        <w:rPr>
          <w:rFonts w:ascii="Times New Roman" w:hAnsi="Times New Roman" w:cs="Times New Roman"/>
          <w:i/>
          <w:iCs/>
          <w:sz w:val="24"/>
          <w:szCs w:val="24"/>
        </w:rPr>
        <w:t>UNESCO Member States Unite to Increase Investment in Education</w:t>
      </w:r>
      <w:r w:rsidR="00E013F2" w:rsidRPr="00E013F2">
        <w:rPr>
          <w:rFonts w:ascii="Times New Roman" w:hAnsi="Times New Roman" w:cs="Times New Roman"/>
          <w:sz w:val="24"/>
          <w:szCs w:val="24"/>
        </w:rPr>
        <w:t>, n.d.)</w:t>
      </w:r>
      <w:r w:rsidR="00E013F2">
        <w:rPr>
          <w:rFonts w:ascii="Times New Roman" w:eastAsia="Times New Roman" w:hAnsi="Times New Roman" w:cs="Times New Roman"/>
          <w:sz w:val="24"/>
          <w:szCs w:val="24"/>
        </w:rPr>
        <w:fldChar w:fldCharType="end"/>
      </w:r>
      <w:r w:rsidRPr="00876D76">
        <w:rPr>
          <w:rFonts w:ascii="Times New Roman" w:eastAsia="Times New Roman" w:hAnsi="Times New Roman" w:cs="Times New Roman"/>
          <w:sz w:val="24"/>
          <w:szCs w:val="24"/>
        </w:rPr>
        <w:t>.</w:t>
      </w:r>
    </w:p>
    <w:p w14:paraId="22458AB1" w14:textId="1249DF82"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r>
    </w:p>
    <w:p w14:paraId="6CB916E3" w14:textId="08213E85" w:rsidR="0081530C"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lastRenderedPageBreak/>
        <w:t xml:space="preserve">Top Priorities for Teacher Training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br/>
        <w:t xml:space="preserve">Teachers need to be ready for reform to work. Pre-service programs should include active pedagogy, technology integration, and competency-based education as required modules. In order to give </w:t>
      </w:r>
      <w:proofErr w:type="gramStart"/>
      <w:r w:rsidRPr="00BE4734">
        <w:rPr>
          <w:rFonts w:ascii="Times New Roman" w:eastAsia="Times New Roman" w:hAnsi="Times New Roman" w:cs="Times New Roman"/>
          <w:sz w:val="24"/>
          <w:szCs w:val="24"/>
        </w:rPr>
        <w:t>teachers</w:t>
      </w:r>
      <w:proofErr w:type="gramEnd"/>
      <w:r w:rsidRPr="00BE4734">
        <w:rPr>
          <w:rFonts w:ascii="Times New Roman" w:eastAsia="Times New Roman" w:hAnsi="Times New Roman" w:cs="Times New Roman"/>
          <w:sz w:val="24"/>
          <w:szCs w:val="24"/>
        </w:rPr>
        <w:t xml:space="preserve"> the skills they need to help students learn together, ask tough questions, and come up with new ways to solve problems, in-service professional development must be planned, ongoing, and focused on practice. Teacher incentive programs including career development, performance-based incentives, and recognition should stimulate the use of new ideas</w:t>
      </w:r>
      <w:r w:rsidR="0081530C">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{"citationID":"k8ZgMUll","properties":{"formattedCitation":"(Berisha &amp; Vula, 2021)","plainCitation":"(Berisha &amp; Vula, 2021)","noteIndex":0},"citationItems":[{"id":6311,"uris":["http://zotero.org/users/16652950/items/5SJFPVWF"],"itemData":{"id":6311,"type":"article-journal","abstract":"Science, Technology, Engineering, and Mathematics (STEM) integrated curricular approach has become the leading type of education reform worldwide. This paper presents a STEM integrated collaborative activity to enhance STEM knowledge among pre-service mathematics and chemistry teachers. Well-structured and planned on-site workshops on STEM activities were delivered to pre-service teachers while growing mathematics and science content knowledge and pedagogical practices. The qualitative content analysis research methodology was used to identify relevant topics related to post reflective questions regarding pre-service teacher perspectives on the experience gained through the collaborative practices at the STEM workshop. The results show that the workshop had a positive effect on pre-service teachers’ conceptualization of STEM—through collaborative, participatory practices, an effective learning environment while bringing attention to teacher professional development and education policymakers. Key elements of this study approach included: (1) collaboration between university professors to teach and incorporate STEM in higher education; (2) unique partnership among mathematical and chemistry pre-service teachers; and (3) professional development, which is devoted and adopted into a study course.","container-title":"Frontiers in Education","DOI":"10.3389/feduc.2021.585075","ISSN":"2504-284X","journalAbbreviation":"Front. Educ.","language":"English","note":"publisher: Frontiers","source":"Frontiers","title":"Developing Pre-service Teachers Conceptualization of STEM and STEM Pedagogical Practices","URL":"https://www.frontiersin.org/journals/education/articles/10.3389/feduc.2021.585075/full","volume":"6","author":[{"family":"Berisha","given":"Fatlume"},{"family":"Vula","given":"Eda"}],"accessed":{"date-parts":[["2025",8,13]]},"issued":{"date-parts":[["2021",5,31]]}}}],"schema":"https://github.com/citation-style-language/schema/raw/master/csl-citation.json"} </w:instrText>
      </w:r>
      <w:r w:rsidR="0081530C">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 xml:space="preserve">(Berisha &amp; </w:t>
      </w:r>
      <w:proofErr w:type="spellStart"/>
      <w:r w:rsidR="00601142" w:rsidRPr="00601142">
        <w:rPr>
          <w:rFonts w:ascii="Times New Roman" w:hAnsi="Times New Roman" w:cs="Times New Roman"/>
          <w:sz w:val="24"/>
        </w:rPr>
        <w:t>Vula</w:t>
      </w:r>
      <w:proofErr w:type="spellEnd"/>
      <w:r w:rsidR="00601142" w:rsidRPr="00601142">
        <w:rPr>
          <w:rFonts w:ascii="Times New Roman" w:hAnsi="Times New Roman" w:cs="Times New Roman"/>
          <w:sz w:val="24"/>
        </w:rPr>
        <w:t>, 2021)</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p>
    <w:p w14:paraId="153B4D12" w14:textId="3FF8F771"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The function of partnerships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Strategic relationships can help fill in gaps in expertise and resources. For trial initiatives and establishing capacity, the government can work with NGOs, businesses, and international organizations like UNESCO and UNICEF to get money, digital infrastructure, and technical know-how. Community involvement is just as crucial as cultural tolerance and endurance. Local leaders and parent-teacher associations can help push for changes and help schools put them into action</w:t>
      </w:r>
      <w:r w:rsidR="0081530C">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{"citationID":"A6B3BEfr","properties":{"formattedCitation":"(Rajabi et al., 2021)","plainCitation":"(Rajabi et al., 2021)","noteIndex":0},"citationItems":[{"id":6313,"uris":["http://zotero.org/users/16652950/items/R2LDNQG6"],"itemData":{"id":6313,"type":"article-journal","abstract":"BACKGROUND:\nGiven the expanding range of health influencing factors, increasing expectations from the health systems, and general challenges such as insufficient resources, the health services needed by people cannot be provided completely by the governments alone. Therefore, nongovernmental organizations (NGOs)-government collaboration is considered a common approach in health-care provision for different communities. Since the NGO-government collaboration is complicated and usually influenced by many challenges and issues, the present study was conducted to identify collaboration challenges between the government and NGOs in providing health-care services.\n\nMATERIALS AND METHODS:\nUsing a systematic review method and searching in ISI Web of Science, Scopus, PubMed, and Embase databases, using related keyword/terms, between March 2020 and June 2020, studies on NGO-government collaboration in the health area were collected without time limitation. After completing the article selection process, those articles that consistent with the research purpose were chosen for the final analysis.\n\nRESULTS:\nFrom 4236 initially collected studies, 16 studies were chosen for the final analysis. Based on the content analysis of the selected articles, 70 challenges were identified in the NGO-government collaboration to provide health-care services. These challenges were divided into five main themes: structural issues, process issues, issues related to roles and responsibilities, trust and communications issues, and control and power relation issues and 11 subthemes.\n\nCONCLUSION:\nThe present study provides significant challenges by NGO-government collaboration in providing health-care services. Awareness of these challenges plays an important role in promoting such collaborations and enables these organizations to highly exploit the strengths of each other, resulting in a collaboration with win–win situation.","container-title":"Journal of Education and Health Promotion","DOI":"10.4103/jehp.jehp_1312_20","ISSN":"2277-9531","journalAbbreviation":"J Educ Health Promot","note":"PMID: 34395679\nPMCID: PMC8318181","page":"242","source":"PubMed Central","title":"Collaboration between the government and nongovernmental organizations in providing health-care services: A systematic review of challenges","title-short":"Collaboration between the government and nongovernmental organizations in providing health-care services","volume":"10","author":[{"family":"Rajabi","given":"Mohanna"},{"family":"Ebrahimi","given":"Parvin"},{"family":"Aryankhesal","given":"Aidin"}],"issued":{"date-parts":[["2021",6,30]]}}}],"schema":"https://github.com/citation-style-language/schema/raw/master/csl-citation.json"} </w:instrText>
      </w:r>
      <w:r w:rsidR="0081530C">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Rajabi</w:t>
      </w:r>
      <w:proofErr w:type="spellEnd"/>
      <w:r w:rsidR="00601142" w:rsidRPr="00601142">
        <w:rPr>
          <w:rFonts w:ascii="Times New Roman" w:hAnsi="Times New Roman" w:cs="Times New Roman"/>
          <w:sz w:val="24"/>
        </w:rPr>
        <w:t xml:space="preserve"> et al., 2021)</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Nigeria can create a supportive environment for incorporating 21st-century skills into its basic education system, fostering local growth and enhancing international competitiveness, through robust policy guidance, empowered educators, and well-coordinated collaborations.</w:t>
      </w:r>
    </w:p>
    <w:p w14:paraId="3BB72CC4" w14:textId="63DB6526" w:rsidR="00E85940" w:rsidRPr="00E85940" w:rsidRDefault="00E85940" w:rsidP="00C70214">
      <w:pPr>
        <w:spacing w:before="100" w:beforeAutospacing="1" w:after="100" w:afterAutospacing="1" w:line="240" w:lineRule="auto"/>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8. Conclusion</w:t>
      </w:r>
    </w:p>
    <w:p w14:paraId="19D56D0A" w14:textId="77777777" w:rsidR="00E013F2" w:rsidRPr="00E013F2" w:rsidRDefault="00E013F2" w:rsidP="00E013F2">
      <w:pPr>
        <w:spacing w:before="100" w:beforeAutospacing="1" w:after="100" w:afterAutospacing="1" w:line="240" w:lineRule="auto"/>
        <w:rPr>
          <w:rFonts w:ascii="Times New Roman" w:eastAsia="Times New Roman" w:hAnsi="Times New Roman" w:cs="Times New Roman"/>
          <w:sz w:val="24"/>
          <w:szCs w:val="24"/>
        </w:rPr>
      </w:pPr>
      <w:r w:rsidRPr="00E013F2">
        <w:rPr>
          <w:rFonts w:ascii="Times New Roman" w:eastAsia="Times New Roman" w:hAnsi="Times New Roman" w:cs="Times New Roman"/>
          <w:sz w:val="24"/>
          <w:szCs w:val="24"/>
        </w:rPr>
        <w:t>Nigeria’s basic education curriculum must be revised to fully integrate 21st-century skills. In an era of rapid technological change, evolving labor markets, and increasingly complex global challenges, Nigerian students require competencies such as critical thinking, creativity, digital literacy, and global citizenship to thrive. This is not only vital for the country’s development but also for global competitiveness.</w:t>
      </w:r>
    </w:p>
    <w:p w14:paraId="2BC4E9EE" w14:textId="77777777" w:rsidR="00E013F2" w:rsidRPr="00E013F2" w:rsidRDefault="00E013F2" w:rsidP="00E013F2">
      <w:pPr>
        <w:spacing w:before="100" w:beforeAutospacing="1" w:after="100" w:afterAutospacing="1" w:line="240" w:lineRule="auto"/>
        <w:rPr>
          <w:rFonts w:ascii="Times New Roman" w:eastAsia="Times New Roman" w:hAnsi="Times New Roman" w:cs="Times New Roman"/>
          <w:sz w:val="24"/>
          <w:szCs w:val="24"/>
        </w:rPr>
      </w:pPr>
      <w:r w:rsidRPr="00E013F2">
        <w:rPr>
          <w:rFonts w:ascii="Times New Roman" w:eastAsia="Times New Roman" w:hAnsi="Times New Roman" w:cs="Times New Roman"/>
          <w:sz w:val="24"/>
          <w:szCs w:val="24"/>
        </w:rPr>
        <w:t>This study contributes a novel, locally adaptable yet globally informed framework that moves beyond identifying curriculum gaps to proposing measurable and actionable reforms. Specifically, it recommends increasing education sector funding to at least 15–20% of the national budget, in line with UNESCO benchmarks, with dedicated allocations for ICT and teacher training. It also calls for the establishment of a National Skills Assessment Framework to monitor proficiency in critical thinking, creativity, collaboration, digital literacy, and global citizenship. These benchmarks, coupled with continuous teacher development and assessment reforms, provide a clear pathway for systemic change.</w:t>
      </w:r>
    </w:p>
    <w:p w14:paraId="4CC2A0EE" w14:textId="4E757FB0" w:rsidR="00BE4734" w:rsidRPr="00BE4734" w:rsidRDefault="00E013F2" w:rsidP="00E013F2">
      <w:pPr>
        <w:spacing w:before="100" w:beforeAutospacing="1" w:after="100" w:afterAutospacing="1" w:line="240" w:lineRule="auto"/>
        <w:rPr>
          <w:rFonts w:ascii="Times New Roman" w:eastAsia="Times New Roman" w:hAnsi="Times New Roman" w:cs="Times New Roman"/>
          <w:sz w:val="24"/>
          <w:szCs w:val="24"/>
        </w:rPr>
      </w:pPr>
      <w:r w:rsidRPr="00E013F2">
        <w:rPr>
          <w:rFonts w:ascii="Times New Roman" w:eastAsia="Times New Roman" w:hAnsi="Times New Roman" w:cs="Times New Roman"/>
          <w:sz w:val="24"/>
          <w:szCs w:val="24"/>
        </w:rPr>
        <w:t>By situating Nigeria’s reform needs within international best practices while tailoring strategies to local socio-cultural and infrastructural realities, this paper makes a dual contribution: to Nigerian educational policy discourse and to global comparative education scholarship. The proposed framework offers a replicable model for other developing nations confronting similar challenges. Reform, therefore, is not just necessary but urgent—an investment in Nigeria’s future human capital that will enable its learners to participate productively in a knowledge-driven, interconnected world</w:t>
      </w:r>
      <w:r w:rsidR="0081530C">
        <w:rPr>
          <w:rFonts w:ascii="Times New Roman" w:eastAsia="Times New Roman" w:hAnsi="Times New Roman" w:cs="Times New Roman"/>
          <w:sz w:val="24"/>
          <w:szCs w:val="24"/>
        </w:rPr>
        <w:fldChar w:fldCharType="begin"/>
      </w:r>
      <w:r w:rsidR="00601142">
        <w:rPr>
          <w:rFonts w:ascii="Times New Roman" w:eastAsia="Times New Roman" w:hAnsi="Times New Roman" w:cs="Times New Roman"/>
          <w:sz w:val="24"/>
          <w:szCs w:val="24"/>
        </w:rPr>
        <w:instrText xml:space="preserve"> ADDIN ZOTERO_ITEM CSL_CITATION {"citationID":"eMRGt5e4","properties":{"formattedCitation":"(Folorunsho et al., 2024)","plainCitation":"(Folorunsho et al., 2024)","noteIndex":0},"citationItems":[{"id":4375,"uris":["http://zotero.org/users/16652950/items/FK4LEPHE"],"itemData":{"id":4375,"type":"article-journal","abstract":"When addressing juvenile delinquencies in Nigeria, it is important to consider the roles and effects of parenting styles and family structures. Although, there are no universally accepted parenting styles, evidence and studies have pointed to some parenting styles that expose children to delinquent behaviours. We examined different parenting styles comprehensively in this article and how these styles can influence juvenile delinquencies. We also discussed the association between single-parenting and behavioural outcomes; accounting how single-parenting may increase risks of delinquencies. Furthermore, marital discord was discussed and social learning theory by Albert Bandura was adopted to buttress our positions. We concluded that parenting styles have roles in delinquencies and that while children raised by single parents may be vulnerable to delinquencies, the assumption may not always be true. This study posits that government and appropriate agencies should establish a functional child support systems across Nigeria and family institution should be paid more attention to.","container-title":"African Journal of Social Issues","DOI":"10.4314/ajosi.v7i1.8","ISSN":"2734-3324","issue":"1","language":"en","license":"Copyright (c) 2024","note":"number: 1","page":"116-132","source":"www.ajol.info","title":"Juvenile delinquency as a contemporary issue in Nigeria: understanding the impacts of parenting styles, single parenting and marital discord.","title-short":"Juvenile delinquency as a contemporary issue in Nigeria","volume":"7","author":[{"family":"Folorunsho","given":"Sunkanmi"},{"family":"Ajayi","given":"Victor"},{"family":"Abdulrazaq","given":"Oluwakemi"}],"issued":{"date-parts":[["2024",3,23]]}}}],"schema":"https://github.com/citation-style-language/schema/raw/master/csl-citation.json"} </w:instrText>
      </w:r>
      <w:r w:rsidR="0081530C">
        <w:rPr>
          <w:rFonts w:ascii="Times New Roman" w:eastAsia="Times New Roman" w:hAnsi="Times New Roman" w:cs="Times New Roman"/>
          <w:sz w:val="24"/>
          <w:szCs w:val="24"/>
        </w:rPr>
        <w:fldChar w:fldCharType="separate"/>
      </w:r>
      <w:r w:rsidR="00601142" w:rsidRPr="00601142">
        <w:rPr>
          <w:rFonts w:ascii="Times New Roman" w:hAnsi="Times New Roman" w:cs="Times New Roman"/>
          <w:sz w:val="24"/>
        </w:rPr>
        <w:t>(</w:t>
      </w:r>
      <w:proofErr w:type="spellStart"/>
      <w:r w:rsidR="00601142" w:rsidRPr="00601142">
        <w:rPr>
          <w:rFonts w:ascii="Times New Roman" w:hAnsi="Times New Roman" w:cs="Times New Roman"/>
          <w:sz w:val="24"/>
        </w:rPr>
        <w:t>Folorunsho</w:t>
      </w:r>
      <w:proofErr w:type="spellEnd"/>
      <w:r w:rsidR="00601142" w:rsidRPr="00601142">
        <w:rPr>
          <w:rFonts w:ascii="Times New Roman" w:hAnsi="Times New Roman" w:cs="Times New Roman"/>
          <w:sz w:val="24"/>
        </w:rPr>
        <w:t xml:space="preserve"> et al., 2024)</w:t>
      </w:r>
      <w:r w:rsidR="0081530C">
        <w:rPr>
          <w:rFonts w:ascii="Times New Roman" w:eastAsia="Times New Roman" w:hAnsi="Times New Roman" w:cs="Times New Roman"/>
          <w:sz w:val="24"/>
          <w:szCs w:val="24"/>
        </w:rPr>
        <w:fldChar w:fldCharType="end"/>
      </w:r>
      <w:r w:rsidR="00BE4734" w:rsidRPr="00BE4734">
        <w:rPr>
          <w:rFonts w:ascii="Times New Roman" w:eastAsia="Times New Roman" w:hAnsi="Times New Roman" w:cs="Times New Roman"/>
          <w:sz w:val="24"/>
          <w:szCs w:val="24"/>
        </w:rPr>
        <w:t>.</w:t>
      </w:r>
    </w:p>
    <w:p w14:paraId="55F94F44" w14:textId="4B0F4EFE" w:rsidR="00E85940" w:rsidRDefault="00E85940" w:rsidP="00BE4734">
      <w:pPr>
        <w:spacing w:after="0" w:line="240" w:lineRule="auto"/>
      </w:pPr>
    </w:p>
    <w:p w14:paraId="25563A58" w14:textId="79DBE97A" w:rsidR="0086381A" w:rsidRDefault="0086381A" w:rsidP="00BE4734">
      <w:pPr>
        <w:spacing w:after="0" w:line="240" w:lineRule="auto"/>
        <w:rPr>
          <w:b/>
          <w:bCs/>
        </w:rPr>
      </w:pPr>
    </w:p>
    <w:p w14:paraId="0498F252" w14:textId="7A94F725" w:rsidR="0043488A" w:rsidRDefault="0043488A" w:rsidP="00BE4734">
      <w:pPr>
        <w:spacing w:after="0" w:line="240" w:lineRule="auto"/>
        <w:rPr>
          <w:b/>
          <w:bCs/>
        </w:rPr>
      </w:pPr>
    </w:p>
    <w:p w14:paraId="3587063C" w14:textId="77777777" w:rsidR="0043488A" w:rsidRPr="00FE7640" w:rsidRDefault="0043488A" w:rsidP="0043488A">
      <w:pPr>
        <w:rPr>
          <w:rFonts w:ascii="Calibri" w:eastAsia="Calibri" w:hAnsi="Calibri" w:cs="Times New Roman"/>
          <w:kern w:val="2"/>
          <w:highlight w:val="yellow"/>
        </w:rPr>
      </w:pPr>
      <w:bookmarkStart w:id="1" w:name="_Hlk202259943"/>
      <w:r w:rsidRPr="00FE7640">
        <w:rPr>
          <w:rFonts w:ascii="Calibri" w:eastAsia="Calibri" w:hAnsi="Calibri" w:cs="Times New Roman"/>
          <w:kern w:val="2"/>
          <w:highlight w:val="yellow"/>
        </w:rPr>
        <w:t>Disclaimer (Artificial intelligence)</w:t>
      </w:r>
    </w:p>
    <w:p w14:paraId="18070AA9" w14:textId="77777777" w:rsidR="0043488A" w:rsidRPr="00FE7640" w:rsidRDefault="0043488A" w:rsidP="0043488A">
      <w:pPr>
        <w:rPr>
          <w:rFonts w:ascii="Calibri" w:eastAsia="Calibri" w:hAnsi="Calibri" w:cs="Times New Roman"/>
          <w:kern w:val="2"/>
          <w:highlight w:val="yellow"/>
        </w:rPr>
      </w:pPr>
      <w:r w:rsidRPr="00FE7640">
        <w:rPr>
          <w:rFonts w:ascii="Calibri" w:eastAsia="Calibri" w:hAnsi="Calibri" w:cs="Times New Roman"/>
          <w:kern w:val="2"/>
          <w:highlight w:val="yellow"/>
        </w:rPr>
        <w:t xml:space="preserve">Option 1: </w:t>
      </w:r>
    </w:p>
    <w:p w14:paraId="6130A738" w14:textId="77777777" w:rsidR="0043488A" w:rsidRPr="00FE7640" w:rsidRDefault="0043488A" w:rsidP="0043488A">
      <w:pPr>
        <w:rPr>
          <w:rFonts w:ascii="Calibri" w:eastAsia="Calibri" w:hAnsi="Calibri" w:cs="Times New Roman"/>
          <w:kern w:val="2"/>
          <w:highlight w:val="yellow"/>
        </w:rPr>
      </w:pPr>
      <w:r w:rsidRPr="00FE7640">
        <w:rPr>
          <w:rFonts w:ascii="Calibri" w:eastAsia="Calibri" w:hAnsi="Calibri" w:cs="Times New Roman"/>
          <w:kern w:val="2"/>
          <w:highlight w:val="yellow"/>
        </w:rPr>
        <w:t>Author(s) hereby declare that NO generative AI technologies such as Large Language Models (</w:t>
      </w:r>
      <w:proofErr w:type="spellStart"/>
      <w:r w:rsidRPr="00FE7640">
        <w:rPr>
          <w:rFonts w:ascii="Calibri" w:eastAsia="Calibri" w:hAnsi="Calibri" w:cs="Times New Roman"/>
          <w:kern w:val="2"/>
          <w:highlight w:val="yellow"/>
        </w:rPr>
        <w:t>ChatGPT</w:t>
      </w:r>
      <w:proofErr w:type="spellEnd"/>
      <w:r w:rsidRPr="00FE7640">
        <w:rPr>
          <w:rFonts w:ascii="Calibri" w:eastAsia="Calibri" w:hAnsi="Calibri" w:cs="Times New Roman"/>
          <w:kern w:val="2"/>
          <w:highlight w:val="yellow"/>
        </w:rPr>
        <w:t xml:space="preserve">, COPILOT, etc.) and text-to-image generators have been used during the writing or editing of this manuscript. </w:t>
      </w:r>
    </w:p>
    <w:bookmarkEnd w:id="1"/>
    <w:p w14:paraId="3FDA51F5" w14:textId="77777777" w:rsidR="0043488A" w:rsidRPr="0086381A" w:rsidRDefault="0043488A" w:rsidP="00BE4734">
      <w:pPr>
        <w:spacing w:after="0" w:line="240" w:lineRule="auto"/>
        <w:rPr>
          <w:b/>
          <w:bCs/>
        </w:rPr>
      </w:pPr>
    </w:p>
    <w:p w14:paraId="0F577311" w14:textId="421CF3F8" w:rsidR="0086381A" w:rsidRDefault="0086381A" w:rsidP="00BE4734">
      <w:pPr>
        <w:spacing w:after="0" w:line="240" w:lineRule="auto"/>
        <w:rPr>
          <w:b/>
          <w:bCs/>
        </w:rPr>
      </w:pPr>
      <w:r w:rsidRPr="0086381A">
        <w:rPr>
          <w:b/>
          <w:bCs/>
        </w:rPr>
        <w:t>REFE</w:t>
      </w:r>
      <w:r>
        <w:rPr>
          <w:b/>
          <w:bCs/>
        </w:rPr>
        <w:t>RENCES</w:t>
      </w:r>
    </w:p>
    <w:p w14:paraId="7357B547" w14:textId="77777777" w:rsidR="00E013F2" w:rsidRPr="00E013F2" w:rsidRDefault="0086381A" w:rsidP="00E013F2">
      <w:pPr>
        <w:pStyle w:val="Bibliography"/>
        <w:rPr>
          <w:rFonts w:ascii="Calibri" w:hAnsi="Calibri" w:cs="Calibri"/>
        </w:rPr>
      </w:pPr>
      <w:r>
        <w:rPr>
          <w:b/>
          <w:bCs/>
        </w:rPr>
        <w:fldChar w:fldCharType="begin"/>
      </w:r>
      <w:r w:rsidR="00601142">
        <w:rPr>
          <w:b/>
          <w:bCs/>
        </w:rPr>
        <w:instrText xml:space="preserve"> ADDIN ZOTERO_BIBL {"uncited":[],"omitted":[],"custom":[]} CSL_BIBLIOGRAPHY </w:instrText>
      </w:r>
      <w:r>
        <w:rPr>
          <w:b/>
          <w:bCs/>
        </w:rPr>
        <w:fldChar w:fldCharType="separate"/>
      </w:r>
      <w:proofErr w:type="spellStart"/>
      <w:r w:rsidR="00E013F2" w:rsidRPr="00E013F2">
        <w:rPr>
          <w:rFonts w:ascii="Calibri" w:hAnsi="Calibri" w:cs="Calibri"/>
        </w:rPr>
        <w:t>Ajah</w:t>
      </w:r>
      <w:proofErr w:type="spellEnd"/>
      <w:r w:rsidR="00E013F2" w:rsidRPr="00E013F2">
        <w:rPr>
          <w:rFonts w:ascii="Calibri" w:hAnsi="Calibri" w:cs="Calibri"/>
        </w:rPr>
        <w:t xml:space="preserve">, I. A., &amp; </w:t>
      </w:r>
      <w:proofErr w:type="spellStart"/>
      <w:r w:rsidR="00E013F2" w:rsidRPr="00E013F2">
        <w:rPr>
          <w:rFonts w:ascii="Calibri" w:hAnsi="Calibri" w:cs="Calibri"/>
        </w:rPr>
        <w:t>Chigozie-Okwum</w:t>
      </w:r>
      <w:proofErr w:type="spellEnd"/>
      <w:r w:rsidR="00E013F2" w:rsidRPr="00E013F2">
        <w:rPr>
          <w:rFonts w:ascii="Calibri" w:hAnsi="Calibri" w:cs="Calibri"/>
        </w:rPr>
        <w:t xml:space="preserve">, C. C. (2019). ICT and administrative effectiveness of University in Nigeria: A connect between leadership and knowledge. </w:t>
      </w:r>
      <w:r w:rsidR="00E013F2" w:rsidRPr="00E013F2">
        <w:rPr>
          <w:rFonts w:ascii="Calibri" w:hAnsi="Calibri" w:cs="Calibri"/>
          <w:i/>
          <w:iCs/>
        </w:rPr>
        <w:t>AFRREV STECH: An International Journal of Science and Technology</w:t>
      </w:r>
      <w:r w:rsidR="00E013F2" w:rsidRPr="00E013F2">
        <w:rPr>
          <w:rFonts w:ascii="Calibri" w:hAnsi="Calibri" w:cs="Calibri"/>
        </w:rPr>
        <w:t xml:space="preserve">, </w:t>
      </w:r>
      <w:r w:rsidR="00E013F2" w:rsidRPr="00E013F2">
        <w:rPr>
          <w:rFonts w:ascii="Calibri" w:hAnsi="Calibri" w:cs="Calibri"/>
          <w:i/>
          <w:iCs/>
        </w:rPr>
        <w:t>8</w:t>
      </w:r>
      <w:r w:rsidR="00E013F2" w:rsidRPr="00E013F2">
        <w:rPr>
          <w:rFonts w:ascii="Calibri" w:hAnsi="Calibri" w:cs="Calibri"/>
        </w:rPr>
        <w:t>(2), 64–85. https://doi.org/10.4314/stech.v8i2.5</w:t>
      </w:r>
    </w:p>
    <w:p w14:paraId="06D26B4B" w14:textId="77777777" w:rsidR="00E013F2" w:rsidRPr="00E013F2" w:rsidRDefault="00E013F2" w:rsidP="00E013F2">
      <w:pPr>
        <w:pStyle w:val="Bibliography"/>
        <w:rPr>
          <w:rFonts w:ascii="Calibri" w:hAnsi="Calibri" w:cs="Calibri"/>
        </w:rPr>
      </w:pPr>
      <w:r w:rsidRPr="00E013F2">
        <w:rPr>
          <w:rFonts w:ascii="Calibri" w:hAnsi="Calibri" w:cs="Calibri"/>
        </w:rPr>
        <w:t xml:space="preserve">Amoako, I. (2019). What’s at Stake in High-Stakes Testing in Ghana: Implication for Curriculum Implementation in Basic Schools. </w:t>
      </w:r>
      <w:r w:rsidRPr="00E013F2">
        <w:rPr>
          <w:rFonts w:ascii="Calibri" w:hAnsi="Calibri" w:cs="Calibri"/>
          <w:i/>
          <w:iCs/>
        </w:rPr>
        <w:t>International Journal of Social Sciences &amp; Educational Studies</w:t>
      </w:r>
      <w:r w:rsidRPr="00E013F2">
        <w:rPr>
          <w:rFonts w:ascii="Calibri" w:hAnsi="Calibri" w:cs="Calibri"/>
        </w:rPr>
        <w:t xml:space="preserve">, </w:t>
      </w:r>
      <w:r w:rsidRPr="00E013F2">
        <w:rPr>
          <w:rFonts w:ascii="Calibri" w:hAnsi="Calibri" w:cs="Calibri"/>
          <w:i/>
          <w:iCs/>
        </w:rPr>
        <w:t>5</w:t>
      </w:r>
      <w:r w:rsidRPr="00E013F2">
        <w:rPr>
          <w:rFonts w:ascii="Calibri" w:hAnsi="Calibri" w:cs="Calibri"/>
        </w:rPr>
        <w:t>(3), 72–82. https://doi.org/10.23918/ijsses.v5i3p72</w:t>
      </w:r>
    </w:p>
    <w:p w14:paraId="516AD185" w14:textId="77777777" w:rsidR="00E013F2" w:rsidRPr="00E013F2" w:rsidRDefault="00E013F2" w:rsidP="00E013F2">
      <w:pPr>
        <w:pStyle w:val="Bibliography"/>
        <w:rPr>
          <w:rFonts w:ascii="Calibri" w:hAnsi="Calibri" w:cs="Calibri"/>
        </w:rPr>
      </w:pPr>
      <w:r w:rsidRPr="00E013F2">
        <w:rPr>
          <w:rFonts w:ascii="Calibri" w:hAnsi="Calibri" w:cs="Calibri"/>
        </w:rPr>
        <w:t xml:space="preserve">Berisha, F., &amp; </w:t>
      </w:r>
      <w:proofErr w:type="spellStart"/>
      <w:r w:rsidRPr="00E013F2">
        <w:rPr>
          <w:rFonts w:ascii="Calibri" w:hAnsi="Calibri" w:cs="Calibri"/>
        </w:rPr>
        <w:t>Vula</w:t>
      </w:r>
      <w:proofErr w:type="spellEnd"/>
      <w:r w:rsidRPr="00E013F2">
        <w:rPr>
          <w:rFonts w:ascii="Calibri" w:hAnsi="Calibri" w:cs="Calibri"/>
        </w:rPr>
        <w:t xml:space="preserve">, E. (2021). Developing Pre-service Teachers Conceptualization of STEM and STEM Pedagogical Practices. </w:t>
      </w:r>
      <w:r w:rsidRPr="00E013F2">
        <w:rPr>
          <w:rFonts w:ascii="Calibri" w:hAnsi="Calibri" w:cs="Calibri"/>
          <w:i/>
          <w:iCs/>
        </w:rPr>
        <w:t>Frontiers in Education</w:t>
      </w:r>
      <w:r w:rsidRPr="00E013F2">
        <w:rPr>
          <w:rFonts w:ascii="Calibri" w:hAnsi="Calibri" w:cs="Calibri"/>
        </w:rPr>
        <w:t xml:space="preserve">, </w:t>
      </w:r>
      <w:r w:rsidRPr="00E013F2">
        <w:rPr>
          <w:rFonts w:ascii="Calibri" w:hAnsi="Calibri" w:cs="Calibri"/>
          <w:i/>
          <w:iCs/>
        </w:rPr>
        <w:t>6</w:t>
      </w:r>
      <w:r w:rsidRPr="00E013F2">
        <w:rPr>
          <w:rFonts w:ascii="Calibri" w:hAnsi="Calibri" w:cs="Calibri"/>
        </w:rPr>
        <w:t>. https://doi.org/10.3389/feduc.2021.585075</w:t>
      </w:r>
    </w:p>
    <w:p w14:paraId="09F4BAC7" w14:textId="77777777" w:rsidR="00E013F2" w:rsidRPr="00E013F2" w:rsidRDefault="00E013F2" w:rsidP="00E013F2">
      <w:pPr>
        <w:pStyle w:val="Bibliography"/>
        <w:rPr>
          <w:rFonts w:ascii="Calibri" w:hAnsi="Calibri" w:cs="Calibri"/>
        </w:rPr>
      </w:pPr>
      <w:r w:rsidRPr="00E013F2">
        <w:rPr>
          <w:rFonts w:ascii="Calibri" w:hAnsi="Calibri" w:cs="Calibri"/>
        </w:rPr>
        <w:t xml:space="preserve">Courtois, S. L., </w:t>
      </w:r>
      <w:proofErr w:type="spellStart"/>
      <w:r w:rsidRPr="00E013F2">
        <w:rPr>
          <w:rFonts w:ascii="Calibri" w:hAnsi="Calibri" w:cs="Calibri"/>
        </w:rPr>
        <w:t>Ezeugwu</w:t>
      </w:r>
      <w:proofErr w:type="spellEnd"/>
      <w:r w:rsidRPr="00E013F2">
        <w:rPr>
          <w:rFonts w:ascii="Calibri" w:hAnsi="Calibri" w:cs="Calibri"/>
        </w:rPr>
        <w:t xml:space="preserve">, C. R., Fajardo-Tovar, D. D., </w:t>
      </w:r>
      <w:proofErr w:type="spellStart"/>
      <w:r w:rsidRPr="00E013F2">
        <w:rPr>
          <w:rFonts w:ascii="Calibri" w:hAnsi="Calibri" w:cs="Calibri"/>
        </w:rPr>
        <w:t>Nowack</w:t>
      </w:r>
      <w:proofErr w:type="spellEnd"/>
      <w:r w:rsidRPr="00E013F2">
        <w:rPr>
          <w:rFonts w:ascii="Calibri" w:hAnsi="Calibri" w:cs="Calibri"/>
        </w:rPr>
        <w:t xml:space="preserve">, S. K., </w:t>
      </w:r>
      <w:proofErr w:type="spellStart"/>
      <w:r w:rsidRPr="00E013F2">
        <w:rPr>
          <w:rFonts w:ascii="Calibri" w:hAnsi="Calibri" w:cs="Calibri"/>
        </w:rPr>
        <w:t>Okullo</w:t>
      </w:r>
      <w:proofErr w:type="spellEnd"/>
      <w:r w:rsidRPr="00E013F2">
        <w:rPr>
          <w:rFonts w:ascii="Calibri" w:hAnsi="Calibri" w:cs="Calibri"/>
        </w:rPr>
        <w:t xml:space="preserve">, D. O., Bayley, S., Baker, S., &amp; Ramchandani, P. (2024). Learning through play in Global Majority countries: Reflections from the PEDAL </w:t>
      </w:r>
      <w:proofErr w:type="spellStart"/>
      <w:r w:rsidRPr="00E013F2">
        <w:rPr>
          <w:rFonts w:ascii="Calibri" w:hAnsi="Calibri" w:cs="Calibri"/>
        </w:rPr>
        <w:t>centre</w:t>
      </w:r>
      <w:proofErr w:type="spellEnd"/>
      <w:r w:rsidRPr="00E013F2">
        <w:rPr>
          <w:rFonts w:ascii="Calibri" w:hAnsi="Calibri" w:cs="Calibri"/>
        </w:rPr>
        <w:t xml:space="preserve"> on understanding and adapting the concept in four different contexts. </w:t>
      </w:r>
      <w:r w:rsidRPr="00E013F2">
        <w:rPr>
          <w:rFonts w:ascii="Calibri" w:hAnsi="Calibri" w:cs="Calibri"/>
          <w:i/>
          <w:iCs/>
        </w:rPr>
        <w:t>International Journal of Play</w:t>
      </w:r>
      <w:r w:rsidRPr="00E013F2">
        <w:rPr>
          <w:rFonts w:ascii="Calibri" w:hAnsi="Calibri" w:cs="Calibri"/>
        </w:rPr>
        <w:t xml:space="preserve">, </w:t>
      </w:r>
      <w:r w:rsidRPr="00E013F2">
        <w:rPr>
          <w:rFonts w:ascii="Calibri" w:hAnsi="Calibri" w:cs="Calibri"/>
          <w:i/>
          <w:iCs/>
        </w:rPr>
        <w:t>13</w:t>
      </w:r>
      <w:r w:rsidRPr="00E013F2">
        <w:rPr>
          <w:rFonts w:ascii="Calibri" w:hAnsi="Calibri" w:cs="Calibri"/>
        </w:rPr>
        <w:t>(3), 228–253. https://doi.org/10.1080/21594937.2024.2388952</w:t>
      </w:r>
    </w:p>
    <w:p w14:paraId="0CAE2782" w14:textId="77777777" w:rsidR="00E013F2" w:rsidRPr="00E013F2" w:rsidRDefault="00E013F2" w:rsidP="00E013F2">
      <w:pPr>
        <w:pStyle w:val="Bibliography"/>
        <w:rPr>
          <w:rFonts w:ascii="Calibri" w:hAnsi="Calibri" w:cs="Calibri"/>
        </w:rPr>
      </w:pPr>
      <w:r w:rsidRPr="00E013F2">
        <w:rPr>
          <w:rFonts w:ascii="Calibri" w:hAnsi="Calibri" w:cs="Calibri"/>
        </w:rPr>
        <w:t xml:space="preserve">Darling-Hammond, L., </w:t>
      </w:r>
      <w:proofErr w:type="spellStart"/>
      <w:r w:rsidRPr="00E013F2">
        <w:rPr>
          <w:rFonts w:ascii="Calibri" w:hAnsi="Calibri" w:cs="Calibri"/>
        </w:rPr>
        <w:t>Flook</w:t>
      </w:r>
      <w:proofErr w:type="spellEnd"/>
      <w:r w:rsidRPr="00E013F2">
        <w:rPr>
          <w:rFonts w:ascii="Calibri" w:hAnsi="Calibri" w:cs="Calibri"/>
        </w:rPr>
        <w:t xml:space="preserve">, L., Cook-Harvey, C., Barron, B., &amp; </w:t>
      </w:r>
      <w:proofErr w:type="spellStart"/>
      <w:r w:rsidRPr="00E013F2">
        <w:rPr>
          <w:rFonts w:ascii="Calibri" w:hAnsi="Calibri" w:cs="Calibri"/>
        </w:rPr>
        <w:t>Osher</w:t>
      </w:r>
      <w:proofErr w:type="spellEnd"/>
      <w:r w:rsidRPr="00E013F2">
        <w:rPr>
          <w:rFonts w:ascii="Calibri" w:hAnsi="Calibri" w:cs="Calibri"/>
        </w:rPr>
        <w:t xml:space="preserve">, D. (2020). Implications for educational practice of the science of learning and development. </w:t>
      </w:r>
      <w:r w:rsidRPr="00E013F2">
        <w:rPr>
          <w:rFonts w:ascii="Calibri" w:hAnsi="Calibri" w:cs="Calibri"/>
          <w:i/>
          <w:iCs/>
        </w:rPr>
        <w:t>Applied Developmental Science</w:t>
      </w:r>
      <w:r w:rsidRPr="00E013F2">
        <w:rPr>
          <w:rFonts w:ascii="Calibri" w:hAnsi="Calibri" w:cs="Calibri"/>
        </w:rPr>
        <w:t xml:space="preserve">, </w:t>
      </w:r>
      <w:r w:rsidRPr="00E013F2">
        <w:rPr>
          <w:rFonts w:ascii="Calibri" w:hAnsi="Calibri" w:cs="Calibri"/>
          <w:i/>
          <w:iCs/>
        </w:rPr>
        <w:t>24</w:t>
      </w:r>
      <w:r w:rsidRPr="00E013F2">
        <w:rPr>
          <w:rFonts w:ascii="Calibri" w:hAnsi="Calibri" w:cs="Calibri"/>
        </w:rPr>
        <w:t>(2), 97–140. https://doi.org/10.1080/10888691.2018.1537791</w:t>
      </w:r>
    </w:p>
    <w:p w14:paraId="102E5715" w14:textId="77777777" w:rsidR="00E013F2" w:rsidRPr="00E013F2" w:rsidRDefault="00E013F2" w:rsidP="00E013F2">
      <w:pPr>
        <w:pStyle w:val="Bibliography"/>
        <w:rPr>
          <w:rFonts w:ascii="Calibri" w:hAnsi="Calibri" w:cs="Calibri"/>
        </w:rPr>
      </w:pPr>
      <w:r w:rsidRPr="00E013F2">
        <w:rPr>
          <w:rFonts w:ascii="Calibri" w:hAnsi="Calibri" w:cs="Calibri"/>
        </w:rPr>
        <w:t xml:space="preserve">Drake, S. M., &amp; Reid, J. L. (2020). 21st Century Competencies in Light of the History of Integrated Curriculum. </w:t>
      </w:r>
      <w:r w:rsidRPr="00E013F2">
        <w:rPr>
          <w:rFonts w:ascii="Calibri" w:hAnsi="Calibri" w:cs="Calibri"/>
          <w:i/>
          <w:iCs/>
        </w:rPr>
        <w:t>Frontiers in Education</w:t>
      </w:r>
      <w:r w:rsidRPr="00E013F2">
        <w:rPr>
          <w:rFonts w:ascii="Calibri" w:hAnsi="Calibri" w:cs="Calibri"/>
        </w:rPr>
        <w:t xml:space="preserve">, </w:t>
      </w:r>
      <w:r w:rsidRPr="00E013F2">
        <w:rPr>
          <w:rFonts w:ascii="Calibri" w:hAnsi="Calibri" w:cs="Calibri"/>
          <w:i/>
          <w:iCs/>
        </w:rPr>
        <w:t>5</w:t>
      </w:r>
      <w:r w:rsidRPr="00E013F2">
        <w:rPr>
          <w:rFonts w:ascii="Calibri" w:hAnsi="Calibri" w:cs="Calibri"/>
        </w:rPr>
        <w:t>. https://doi.org/10.3389/feduc.2020.00122</w:t>
      </w:r>
    </w:p>
    <w:p w14:paraId="5CCF8496"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lastRenderedPageBreak/>
        <w:t>Erstad</w:t>
      </w:r>
      <w:proofErr w:type="spellEnd"/>
      <w:r w:rsidRPr="00E013F2">
        <w:rPr>
          <w:rFonts w:ascii="Calibri" w:hAnsi="Calibri" w:cs="Calibri"/>
        </w:rPr>
        <w:t xml:space="preserve">, O., </w:t>
      </w:r>
      <w:proofErr w:type="spellStart"/>
      <w:r w:rsidRPr="00E013F2">
        <w:rPr>
          <w:rFonts w:ascii="Calibri" w:hAnsi="Calibri" w:cs="Calibri"/>
        </w:rPr>
        <w:t>Černochová</w:t>
      </w:r>
      <w:proofErr w:type="spellEnd"/>
      <w:r w:rsidRPr="00E013F2">
        <w:rPr>
          <w:rFonts w:ascii="Calibri" w:hAnsi="Calibri" w:cs="Calibri"/>
        </w:rPr>
        <w:t xml:space="preserve">, M., Knezek, G., </w:t>
      </w:r>
      <w:proofErr w:type="spellStart"/>
      <w:r w:rsidRPr="00E013F2">
        <w:rPr>
          <w:rFonts w:ascii="Calibri" w:hAnsi="Calibri" w:cs="Calibri"/>
        </w:rPr>
        <w:t>Furuta</w:t>
      </w:r>
      <w:proofErr w:type="spellEnd"/>
      <w:r w:rsidRPr="00E013F2">
        <w:rPr>
          <w:rFonts w:ascii="Calibri" w:hAnsi="Calibri" w:cs="Calibri"/>
        </w:rPr>
        <w:t xml:space="preserve">, T., </w:t>
      </w:r>
      <w:proofErr w:type="spellStart"/>
      <w:r w:rsidRPr="00E013F2">
        <w:rPr>
          <w:rFonts w:ascii="Calibri" w:hAnsi="Calibri" w:cs="Calibri"/>
        </w:rPr>
        <w:t>Takami</w:t>
      </w:r>
      <w:proofErr w:type="spellEnd"/>
      <w:r w:rsidRPr="00E013F2">
        <w:rPr>
          <w:rFonts w:ascii="Calibri" w:hAnsi="Calibri" w:cs="Calibri"/>
        </w:rPr>
        <w:t xml:space="preserve">, K., &amp; Liang, C. (2024). Social and Emotional Modes of Learning Within Digital Ecosystems: Emerging Research Agendas. </w:t>
      </w:r>
      <w:r w:rsidRPr="00E013F2">
        <w:rPr>
          <w:rFonts w:ascii="Calibri" w:hAnsi="Calibri" w:cs="Calibri"/>
          <w:i/>
          <w:iCs/>
        </w:rPr>
        <w:t>Technology, Knowledge and Learning</w:t>
      </w:r>
      <w:r w:rsidRPr="00E013F2">
        <w:rPr>
          <w:rFonts w:ascii="Calibri" w:hAnsi="Calibri" w:cs="Calibri"/>
        </w:rPr>
        <w:t xml:space="preserve">, </w:t>
      </w:r>
      <w:r w:rsidRPr="00E013F2">
        <w:rPr>
          <w:rFonts w:ascii="Calibri" w:hAnsi="Calibri" w:cs="Calibri"/>
          <w:i/>
          <w:iCs/>
        </w:rPr>
        <w:t>29</w:t>
      </w:r>
      <w:r w:rsidRPr="00E013F2">
        <w:rPr>
          <w:rFonts w:ascii="Calibri" w:hAnsi="Calibri" w:cs="Calibri"/>
        </w:rPr>
        <w:t>(4), 1751–1766. https://doi.org/10.1007/s10758-024-09775-w</w:t>
      </w:r>
    </w:p>
    <w:p w14:paraId="201E6508"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Folorunsho</w:t>
      </w:r>
      <w:proofErr w:type="spellEnd"/>
      <w:r w:rsidRPr="00E013F2">
        <w:rPr>
          <w:rFonts w:ascii="Calibri" w:hAnsi="Calibri" w:cs="Calibri"/>
        </w:rPr>
        <w:t xml:space="preserve">, S., Ajayi, V., &amp; </w:t>
      </w:r>
      <w:proofErr w:type="spellStart"/>
      <w:r w:rsidRPr="00E013F2">
        <w:rPr>
          <w:rFonts w:ascii="Calibri" w:hAnsi="Calibri" w:cs="Calibri"/>
        </w:rPr>
        <w:t>Abdulrazaq</w:t>
      </w:r>
      <w:proofErr w:type="spellEnd"/>
      <w:r w:rsidRPr="00E013F2">
        <w:rPr>
          <w:rFonts w:ascii="Calibri" w:hAnsi="Calibri" w:cs="Calibri"/>
        </w:rPr>
        <w:t xml:space="preserve">, O. (2024). Juvenile delinquency as a contemporary issue in Nigeria: Understanding the impacts of parenting styles, single parenting and marital discord. </w:t>
      </w:r>
      <w:r w:rsidRPr="00E013F2">
        <w:rPr>
          <w:rFonts w:ascii="Calibri" w:hAnsi="Calibri" w:cs="Calibri"/>
          <w:i/>
          <w:iCs/>
        </w:rPr>
        <w:t>African Journal of Social Issues</w:t>
      </w:r>
      <w:r w:rsidRPr="00E013F2">
        <w:rPr>
          <w:rFonts w:ascii="Calibri" w:hAnsi="Calibri" w:cs="Calibri"/>
        </w:rPr>
        <w:t xml:space="preserve">, </w:t>
      </w:r>
      <w:r w:rsidRPr="00E013F2">
        <w:rPr>
          <w:rFonts w:ascii="Calibri" w:hAnsi="Calibri" w:cs="Calibri"/>
          <w:i/>
          <w:iCs/>
        </w:rPr>
        <w:t>7</w:t>
      </w:r>
      <w:r w:rsidRPr="00E013F2">
        <w:rPr>
          <w:rFonts w:ascii="Calibri" w:hAnsi="Calibri" w:cs="Calibri"/>
        </w:rPr>
        <w:t>(1), Article 1. https://doi.org/10.4314/ajosi.v7i1.8</w:t>
      </w:r>
    </w:p>
    <w:p w14:paraId="4916A505" w14:textId="77777777" w:rsidR="00E013F2" w:rsidRPr="00E013F2" w:rsidRDefault="00E013F2" w:rsidP="00E013F2">
      <w:pPr>
        <w:pStyle w:val="Bibliography"/>
        <w:rPr>
          <w:rFonts w:ascii="Calibri" w:hAnsi="Calibri" w:cs="Calibri"/>
        </w:rPr>
      </w:pPr>
      <w:r w:rsidRPr="00E013F2">
        <w:rPr>
          <w:rFonts w:ascii="Calibri" w:hAnsi="Calibri" w:cs="Calibri"/>
        </w:rPr>
        <w:t xml:space="preserve">González-Pérez, L. I., &amp; Ramírez-Montoya, M. S. (2022). Components of Education 4.0 in 21st Century Skills Frameworks: Systematic Review. </w:t>
      </w:r>
      <w:r w:rsidRPr="00E013F2">
        <w:rPr>
          <w:rFonts w:ascii="Calibri" w:hAnsi="Calibri" w:cs="Calibri"/>
          <w:i/>
          <w:iCs/>
        </w:rPr>
        <w:t>Sustainability</w:t>
      </w:r>
      <w:r w:rsidRPr="00E013F2">
        <w:rPr>
          <w:rFonts w:ascii="Calibri" w:hAnsi="Calibri" w:cs="Calibri"/>
        </w:rPr>
        <w:t xml:space="preserve">, </w:t>
      </w:r>
      <w:r w:rsidRPr="00E013F2">
        <w:rPr>
          <w:rFonts w:ascii="Calibri" w:hAnsi="Calibri" w:cs="Calibri"/>
          <w:i/>
          <w:iCs/>
        </w:rPr>
        <w:t>14</w:t>
      </w:r>
      <w:r w:rsidRPr="00E013F2">
        <w:rPr>
          <w:rFonts w:ascii="Calibri" w:hAnsi="Calibri" w:cs="Calibri"/>
        </w:rPr>
        <w:t>(3), 1493. https://doi.org/10.3390/su14031493</w:t>
      </w:r>
    </w:p>
    <w:p w14:paraId="04C584BD" w14:textId="77777777" w:rsidR="00E013F2" w:rsidRPr="00E013F2" w:rsidRDefault="00E013F2" w:rsidP="00E013F2">
      <w:pPr>
        <w:pStyle w:val="Bibliography"/>
        <w:rPr>
          <w:rFonts w:ascii="Calibri" w:hAnsi="Calibri" w:cs="Calibri"/>
        </w:rPr>
      </w:pPr>
      <w:r w:rsidRPr="00E013F2">
        <w:rPr>
          <w:rFonts w:ascii="Calibri" w:hAnsi="Calibri" w:cs="Calibri"/>
        </w:rPr>
        <w:t xml:space="preserve">Haleem, A., </w:t>
      </w:r>
      <w:proofErr w:type="spellStart"/>
      <w:r w:rsidRPr="00E013F2">
        <w:rPr>
          <w:rFonts w:ascii="Calibri" w:hAnsi="Calibri" w:cs="Calibri"/>
        </w:rPr>
        <w:t>Javaid</w:t>
      </w:r>
      <w:proofErr w:type="spellEnd"/>
      <w:r w:rsidRPr="00E013F2">
        <w:rPr>
          <w:rFonts w:ascii="Calibri" w:hAnsi="Calibri" w:cs="Calibri"/>
        </w:rPr>
        <w:t xml:space="preserve">, M., </w:t>
      </w:r>
      <w:proofErr w:type="spellStart"/>
      <w:r w:rsidRPr="00E013F2">
        <w:rPr>
          <w:rFonts w:ascii="Calibri" w:hAnsi="Calibri" w:cs="Calibri"/>
        </w:rPr>
        <w:t>Qadri</w:t>
      </w:r>
      <w:proofErr w:type="spellEnd"/>
      <w:r w:rsidRPr="00E013F2">
        <w:rPr>
          <w:rFonts w:ascii="Calibri" w:hAnsi="Calibri" w:cs="Calibri"/>
        </w:rPr>
        <w:t xml:space="preserve">, M. A., &amp; Suman, R. (2022). Understanding the role of digital technologies in education: A review. </w:t>
      </w:r>
      <w:r w:rsidRPr="00E013F2">
        <w:rPr>
          <w:rFonts w:ascii="Calibri" w:hAnsi="Calibri" w:cs="Calibri"/>
          <w:i/>
          <w:iCs/>
        </w:rPr>
        <w:t>Sustainable Operations and Computers</w:t>
      </w:r>
      <w:r w:rsidRPr="00E013F2">
        <w:rPr>
          <w:rFonts w:ascii="Calibri" w:hAnsi="Calibri" w:cs="Calibri"/>
        </w:rPr>
        <w:t xml:space="preserve">, </w:t>
      </w:r>
      <w:r w:rsidRPr="00E013F2">
        <w:rPr>
          <w:rFonts w:ascii="Calibri" w:hAnsi="Calibri" w:cs="Calibri"/>
          <w:i/>
          <w:iCs/>
        </w:rPr>
        <w:t>3</w:t>
      </w:r>
      <w:r w:rsidRPr="00E013F2">
        <w:rPr>
          <w:rFonts w:ascii="Calibri" w:hAnsi="Calibri" w:cs="Calibri"/>
        </w:rPr>
        <w:t>, 275–285. https://doi.org/10.1016/j.susoc.2022.05.004</w:t>
      </w:r>
    </w:p>
    <w:p w14:paraId="28820AEC" w14:textId="77777777" w:rsidR="00E013F2" w:rsidRPr="00E013F2" w:rsidRDefault="00E013F2" w:rsidP="00E013F2">
      <w:pPr>
        <w:pStyle w:val="Bibliography"/>
        <w:rPr>
          <w:rFonts w:ascii="Calibri" w:hAnsi="Calibri" w:cs="Calibri"/>
        </w:rPr>
      </w:pPr>
      <w:r w:rsidRPr="00E013F2">
        <w:rPr>
          <w:rFonts w:ascii="Calibri" w:hAnsi="Calibri" w:cs="Calibri"/>
        </w:rPr>
        <w:t xml:space="preserve">Hardman, F., &amp; Sandi, A. M. (2024). School Improvement in Rural Settings: A Review of International Research and Practice. In Y. Zhao &amp; J. Liu (Eds.), </w:t>
      </w:r>
      <w:r w:rsidRPr="00E013F2">
        <w:rPr>
          <w:rFonts w:ascii="Calibri" w:hAnsi="Calibri" w:cs="Calibri"/>
          <w:i/>
          <w:iCs/>
        </w:rPr>
        <w:t>Rural School Improvement in Developing Countries</w:t>
      </w:r>
      <w:r w:rsidRPr="00E013F2">
        <w:rPr>
          <w:rFonts w:ascii="Calibri" w:hAnsi="Calibri" w:cs="Calibri"/>
        </w:rPr>
        <w:t xml:space="preserve"> (pp. 1–35). Springer Nature. https://doi.org/10.1007/978-981-97-4917-1_1</w:t>
      </w:r>
    </w:p>
    <w:p w14:paraId="1FE9C56C"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Herlinawati</w:t>
      </w:r>
      <w:proofErr w:type="spellEnd"/>
      <w:r w:rsidRPr="00E013F2">
        <w:rPr>
          <w:rFonts w:ascii="Calibri" w:hAnsi="Calibri" w:cs="Calibri"/>
        </w:rPr>
        <w:t xml:space="preserve">, H., </w:t>
      </w:r>
      <w:proofErr w:type="spellStart"/>
      <w:r w:rsidRPr="00E013F2">
        <w:rPr>
          <w:rFonts w:ascii="Calibri" w:hAnsi="Calibri" w:cs="Calibri"/>
        </w:rPr>
        <w:t>Marwa</w:t>
      </w:r>
      <w:proofErr w:type="spellEnd"/>
      <w:r w:rsidRPr="00E013F2">
        <w:rPr>
          <w:rFonts w:ascii="Calibri" w:hAnsi="Calibri" w:cs="Calibri"/>
        </w:rPr>
        <w:t xml:space="preserve">, M., Ismail, N., </w:t>
      </w:r>
      <w:proofErr w:type="spellStart"/>
      <w:r w:rsidRPr="00E013F2">
        <w:rPr>
          <w:rFonts w:ascii="Calibri" w:hAnsi="Calibri" w:cs="Calibri"/>
        </w:rPr>
        <w:t>Junaidi</w:t>
      </w:r>
      <w:proofErr w:type="spellEnd"/>
      <w:r w:rsidRPr="00E013F2">
        <w:rPr>
          <w:rFonts w:ascii="Calibri" w:hAnsi="Calibri" w:cs="Calibri"/>
        </w:rPr>
        <w:t xml:space="preserve">, Liza, L. O., &amp; </w:t>
      </w:r>
      <w:proofErr w:type="spellStart"/>
      <w:r w:rsidRPr="00E013F2">
        <w:rPr>
          <w:rFonts w:ascii="Calibri" w:hAnsi="Calibri" w:cs="Calibri"/>
        </w:rPr>
        <w:t>Situmorang</w:t>
      </w:r>
      <w:proofErr w:type="spellEnd"/>
      <w:r w:rsidRPr="00E013F2">
        <w:rPr>
          <w:rFonts w:ascii="Calibri" w:hAnsi="Calibri" w:cs="Calibri"/>
        </w:rPr>
        <w:t xml:space="preserve">, D. D. B. (2024). The integration of 21st century skills in the curriculum of education. </w:t>
      </w:r>
      <w:proofErr w:type="spellStart"/>
      <w:r w:rsidRPr="00E013F2">
        <w:rPr>
          <w:rFonts w:ascii="Calibri" w:hAnsi="Calibri" w:cs="Calibri"/>
          <w:i/>
          <w:iCs/>
        </w:rPr>
        <w:t>Heliyon</w:t>
      </w:r>
      <w:proofErr w:type="spellEnd"/>
      <w:r w:rsidRPr="00E013F2">
        <w:rPr>
          <w:rFonts w:ascii="Calibri" w:hAnsi="Calibri" w:cs="Calibri"/>
        </w:rPr>
        <w:t xml:space="preserve">, </w:t>
      </w:r>
      <w:r w:rsidRPr="00E013F2">
        <w:rPr>
          <w:rFonts w:ascii="Calibri" w:hAnsi="Calibri" w:cs="Calibri"/>
          <w:i/>
          <w:iCs/>
        </w:rPr>
        <w:t>10</w:t>
      </w:r>
      <w:r w:rsidRPr="00E013F2">
        <w:rPr>
          <w:rFonts w:ascii="Calibri" w:hAnsi="Calibri" w:cs="Calibri"/>
        </w:rPr>
        <w:t>(15), e35148. https://doi.org/10.1016/j.heliyon.2024.e35148</w:t>
      </w:r>
    </w:p>
    <w:p w14:paraId="664770DC"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Hietamäki</w:t>
      </w:r>
      <w:proofErr w:type="spellEnd"/>
      <w:r w:rsidRPr="00E013F2">
        <w:rPr>
          <w:rFonts w:ascii="Calibri" w:hAnsi="Calibri" w:cs="Calibri"/>
        </w:rPr>
        <w:t>, U., Harju-</w:t>
      </w:r>
      <w:proofErr w:type="spellStart"/>
      <w:r w:rsidRPr="00E013F2">
        <w:rPr>
          <w:rFonts w:ascii="Calibri" w:hAnsi="Calibri" w:cs="Calibri"/>
        </w:rPr>
        <w:t>Luukkainen</w:t>
      </w:r>
      <w:proofErr w:type="spellEnd"/>
      <w:r w:rsidRPr="00E013F2">
        <w:rPr>
          <w:rFonts w:ascii="Calibri" w:hAnsi="Calibri" w:cs="Calibri"/>
        </w:rPr>
        <w:t xml:space="preserve">, H., &amp; </w:t>
      </w:r>
      <w:proofErr w:type="spellStart"/>
      <w:r w:rsidRPr="00E013F2">
        <w:rPr>
          <w:rFonts w:ascii="Calibri" w:hAnsi="Calibri" w:cs="Calibri"/>
        </w:rPr>
        <w:t>Maunula</w:t>
      </w:r>
      <w:proofErr w:type="spellEnd"/>
      <w:r w:rsidRPr="00E013F2">
        <w:rPr>
          <w:rFonts w:ascii="Calibri" w:hAnsi="Calibri" w:cs="Calibri"/>
        </w:rPr>
        <w:t xml:space="preserve">, M. (n.d.). Multidisciplinary learning assessment in Finland – a </w:t>
      </w:r>
      <w:proofErr w:type="spellStart"/>
      <w:r w:rsidRPr="00E013F2">
        <w:rPr>
          <w:rFonts w:ascii="Calibri" w:hAnsi="Calibri" w:cs="Calibri"/>
        </w:rPr>
        <w:t>phenomenographic</w:t>
      </w:r>
      <w:proofErr w:type="spellEnd"/>
      <w:r w:rsidRPr="00E013F2">
        <w:rPr>
          <w:rFonts w:ascii="Calibri" w:hAnsi="Calibri" w:cs="Calibri"/>
        </w:rPr>
        <w:t xml:space="preserve"> approach on teachers’ perceptions. </w:t>
      </w:r>
      <w:r w:rsidRPr="00E013F2">
        <w:rPr>
          <w:rFonts w:ascii="Calibri" w:hAnsi="Calibri" w:cs="Calibri"/>
          <w:i/>
          <w:iCs/>
        </w:rPr>
        <w:t>Education 3-13</w:t>
      </w:r>
      <w:r w:rsidRPr="00E013F2">
        <w:rPr>
          <w:rFonts w:ascii="Calibri" w:hAnsi="Calibri" w:cs="Calibri"/>
        </w:rPr>
        <w:t>, 1–14. https://doi.org/10.1080/03004279.2024.2409246</w:t>
      </w:r>
    </w:p>
    <w:p w14:paraId="5DC1A3B4" w14:textId="77777777" w:rsidR="00E013F2" w:rsidRPr="00E013F2" w:rsidRDefault="00E013F2" w:rsidP="00E013F2">
      <w:pPr>
        <w:pStyle w:val="Bibliography"/>
        <w:rPr>
          <w:rFonts w:ascii="Calibri" w:hAnsi="Calibri" w:cs="Calibri"/>
        </w:rPr>
      </w:pPr>
      <w:r w:rsidRPr="00E013F2">
        <w:rPr>
          <w:rFonts w:ascii="Calibri" w:hAnsi="Calibri" w:cs="Calibri"/>
        </w:rPr>
        <w:t xml:space="preserve">Janssens, O., </w:t>
      </w:r>
      <w:proofErr w:type="spellStart"/>
      <w:r w:rsidRPr="00E013F2">
        <w:rPr>
          <w:rFonts w:ascii="Calibri" w:hAnsi="Calibri" w:cs="Calibri"/>
        </w:rPr>
        <w:t>Embo</w:t>
      </w:r>
      <w:proofErr w:type="spellEnd"/>
      <w:r w:rsidRPr="00E013F2">
        <w:rPr>
          <w:rFonts w:ascii="Calibri" w:hAnsi="Calibri" w:cs="Calibri"/>
        </w:rPr>
        <w:t xml:space="preserve">, M., Valcke, M., &amp; </w:t>
      </w:r>
      <w:proofErr w:type="spellStart"/>
      <w:r w:rsidRPr="00E013F2">
        <w:rPr>
          <w:rFonts w:ascii="Calibri" w:hAnsi="Calibri" w:cs="Calibri"/>
        </w:rPr>
        <w:t>Haerens</w:t>
      </w:r>
      <w:proofErr w:type="spellEnd"/>
      <w:r w:rsidRPr="00E013F2">
        <w:rPr>
          <w:rFonts w:ascii="Calibri" w:hAnsi="Calibri" w:cs="Calibri"/>
        </w:rPr>
        <w:t xml:space="preserve">, L. (2023). When theory beats practice: The implementation of competency-based education at healthcare workplaces. </w:t>
      </w:r>
      <w:r w:rsidRPr="00E013F2">
        <w:rPr>
          <w:rFonts w:ascii="Calibri" w:hAnsi="Calibri" w:cs="Calibri"/>
          <w:i/>
          <w:iCs/>
        </w:rPr>
        <w:t>BMC Medical Education</w:t>
      </w:r>
      <w:r w:rsidRPr="00E013F2">
        <w:rPr>
          <w:rFonts w:ascii="Calibri" w:hAnsi="Calibri" w:cs="Calibri"/>
        </w:rPr>
        <w:t xml:space="preserve">, </w:t>
      </w:r>
      <w:r w:rsidRPr="00E013F2">
        <w:rPr>
          <w:rFonts w:ascii="Calibri" w:hAnsi="Calibri" w:cs="Calibri"/>
          <w:i/>
          <w:iCs/>
        </w:rPr>
        <w:t>23</w:t>
      </w:r>
      <w:r w:rsidRPr="00E013F2">
        <w:rPr>
          <w:rFonts w:ascii="Calibri" w:hAnsi="Calibri" w:cs="Calibri"/>
        </w:rPr>
        <w:t>, 484. https://doi.org/10.1186/s12909-023-04446-3</w:t>
      </w:r>
    </w:p>
    <w:p w14:paraId="68B20CED"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lastRenderedPageBreak/>
        <w:t>Kalukar</w:t>
      </w:r>
      <w:proofErr w:type="spellEnd"/>
      <w:r w:rsidRPr="00E013F2">
        <w:rPr>
          <w:rFonts w:ascii="Calibri" w:hAnsi="Calibri" w:cs="Calibri"/>
        </w:rPr>
        <w:t xml:space="preserve">, V. J., </w:t>
      </w:r>
      <w:proofErr w:type="spellStart"/>
      <w:r w:rsidRPr="00E013F2">
        <w:rPr>
          <w:rFonts w:ascii="Calibri" w:hAnsi="Calibri" w:cs="Calibri"/>
        </w:rPr>
        <w:t>Krobo</w:t>
      </w:r>
      <w:proofErr w:type="spellEnd"/>
      <w:r w:rsidRPr="00E013F2">
        <w:rPr>
          <w:rFonts w:ascii="Calibri" w:hAnsi="Calibri" w:cs="Calibri"/>
        </w:rPr>
        <w:t xml:space="preserve">, A., </w:t>
      </w:r>
      <w:proofErr w:type="spellStart"/>
      <w:r w:rsidRPr="00E013F2">
        <w:rPr>
          <w:rFonts w:ascii="Calibri" w:hAnsi="Calibri" w:cs="Calibri"/>
        </w:rPr>
        <w:t>Pessireron</w:t>
      </w:r>
      <w:proofErr w:type="spellEnd"/>
      <w:r w:rsidRPr="00E013F2">
        <w:rPr>
          <w:rFonts w:ascii="Calibri" w:hAnsi="Calibri" w:cs="Calibri"/>
        </w:rPr>
        <w:t xml:space="preserve">, M. F., </w:t>
      </w:r>
      <w:proofErr w:type="spellStart"/>
      <w:r w:rsidRPr="00E013F2">
        <w:rPr>
          <w:rFonts w:ascii="Calibri" w:hAnsi="Calibri" w:cs="Calibri"/>
        </w:rPr>
        <w:t>Suhendra</w:t>
      </w:r>
      <w:proofErr w:type="spellEnd"/>
      <w:r w:rsidRPr="00E013F2">
        <w:rPr>
          <w:rFonts w:ascii="Calibri" w:hAnsi="Calibri" w:cs="Calibri"/>
        </w:rPr>
        <w:t xml:space="preserve">, S., &amp; </w:t>
      </w:r>
      <w:proofErr w:type="spellStart"/>
      <w:r w:rsidRPr="00E013F2">
        <w:rPr>
          <w:rFonts w:ascii="Calibri" w:hAnsi="Calibri" w:cs="Calibri"/>
        </w:rPr>
        <w:t>Yudistira</w:t>
      </w:r>
      <w:proofErr w:type="spellEnd"/>
      <w:r w:rsidRPr="00E013F2">
        <w:rPr>
          <w:rFonts w:ascii="Calibri" w:hAnsi="Calibri" w:cs="Calibri"/>
        </w:rPr>
        <w:t xml:space="preserve">, S. (2024). Enhancing Critical Thinking Skills Through Collaborative Learning in Modern Educational Practices. </w:t>
      </w:r>
      <w:r w:rsidRPr="00E013F2">
        <w:rPr>
          <w:rFonts w:ascii="Calibri" w:hAnsi="Calibri" w:cs="Calibri"/>
          <w:i/>
          <w:iCs/>
        </w:rPr>
        <w:t>The Journal of Academic Science</w:t>
      </w:r>
      <w:r w:rsidRPr="00E013F2">
        <w:rPr>
          <w:rFonts w:ascii="Calibri" w:hAnsi="Calibri" w:cs="Calibri"/>
        </w:rPr>
        <w:t xml:space="preserve">, </w:t>
      </w:r>
      <w:r w:rsidRPr="00E013F2">
        <w:rPr>
          <w:rFonts w:ascii="Calibri" w:hAnsi="Calibri" w:cs="Calibri"/>
          <w:i/>
          <w:iCs/>
        </w:rPr>
        <w:t>1</w:t>
      </w:r>
      <w:r w:rsidRPr="00E013F2">
        <w:rPr>
          <w:rFonts w:ascii="Calibri" w:hAnsi="Calibri" w:cs="Calibri"/>
        </w:rPr>
        <w:t>(8), 1145–1153. https://doi.org/10.59613/2dx5zr09</w:t>
      </w:r>
    </w:p>
    <w:p w14:paraId="11A6C674"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Kormos</w:t>
      </w:r>
      <w:proofErr w:type="spellEnd"/>
      <w:r w:rsidRPr="00E013F2">
        <w:rPr>
          <w:rFonts w:ascii="Calibri" w:hAnsi="Calibri" w:cs="Calibri"/>
        </w:rPr>
        <w:t xml:space="preserve">, E., &amp; Wisdom, K. (2023). Digital divide and teaching modality: It’s role in technology and instructional strategies. </w:t>
      </w:r>
      <w:r w:rsidRPr="00E013F2">
        <w:rPr>
          <w:rFonts w:ascii="Calibri" w:hAnsi="Calibri" w:cs="Calibri"/>
          <w:i/>
          <w:iCs/>
        </w:rPr>
        <w:t>Education and Information Technologies</w:t>
      </w:r>
      <w:r w:rsidRPr="00E013F2">
        <w:rPr>
          <w:rFonts w:ascii="Calibri" w:hAnsi="Calibri" w:cs="Calibri"/>
        </w:rPr>
        <w:t>, 1–19. https://doi.org/10.1007/s10639-022-11488-5</w:t>
      </w:r>
    </w:p>
    <w:p w14:paraId="46180843"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Kulal</w:t>
      </w:r>
      <w:proofErr w:type="spellEnd"/>
      <w:r w:rsidRPr="00E013F2">
        <w:rPr>
          <w:rFonts w:ascii="Calibri" w:hAnsi="Calibri" w:cs="Calibri"/>
        </w:rPr>
        <w:t xml:space="preserve">, A., N, A., Dinesh, S., Bhat, D. C., &amp; Girish, A. (2024). Evaluating the Promise and Pitfalls of India’s National Education Policy 2020: Insights from the Perspectives of Students, Teachers, and Experts. </w:t>
      </w:r>
      <w:r w:rsidRPr="00E013F2">
        <w:rPr>
          <w:rFonts w:ascii="Calibri" w:hAnsi="Calibri" w:cs="Calibri"/>
          <w:i/>
          <w:iCs/>
        </w:rPr>
        <w:t>SAGE Open</w:t>
      </w:r>
      <w:r w:rsidRPr="00E013F2">
        <w:rPr>
          <w:rFonts w:ascii="Calibri" w:hAnsi="Calibri" w:cs="Calibri"/>
        </w:rPr>
        <w:t>. https://doi.org/10.1177/21582440241279367</w:t>
      </w:r>
    </w:p>
    <w:p w14:paraId="2301CE0E" w14:textId="77777777" w:rsidR="00E013F2" w:rsidRPr="00E013F2" w:rsidRDefault="00E013F2" w:rsidP="00E013F2">
      <w:pPr>
        <w:pStyle w:val="Bibliography"/>
        <w:rPr>
          <w:rFonts w:ascii="Calibri" w:hAnsi="Calibri" w:cs="Calibri"/>
        </w:rPr>
      </w:pPr>
      <w:r w:rsidRPr="00E013F2">
        <w:rPr>
          <w:rFonts w:ascii="Calibri" w:hAnsi="Calibri" w:cs="Calibri"/>
        </w:rPr>
        <w:t xml:space="preserve">Levy-Feldman, I. (2025). The Role of Assessment in Improving Education and Promoting Educational Equity. </w:t>
      </w:r>
      <w:r w:rsidRPr="00E013F2">
        <w:rPr>
          <w:rFonts w:ascii="Calibri" w:hAnsi="Calibri" w:cs="Calibri"/>
          <w:i/>
          <w:iCs/>
        </w:rPr>
        <w:t>Education Sciences</w:t>
      </w:r>
      <w:r w:rsidRPr="00E013F2">
        <w:rPr>
          <w:rFonts w:ascii="Calibri" w:hAnsi="Calibri" w:cs="Calibri"/>
        </w:rPr>
        <w:t xml:space="preserve">, </w:t>
      </w:r>
      <w:r w:rsidRPr="00E013F2">
        <w:rPr>
          <w:rFonts w:ascii="Calibri" w:hAnsi="Calibri" w:cs="Calibri"/>
          <w:i/>
          <w:iCs/>
        </w:rPr>
        <w:t>15</w:t>
      </w:r>
      <w:r w:rsidRPr="00E013F2">
        <w:rPr>
          <w:rFonts w:ascii="Calibri" w:hAnsi="Calibri" w:cs="Calibri"/>
        </w:rPr>
        <w:t>(2), 224. https://doi.org/10.3390/educsci15020224</w:t>
      </w:r>
    </w:p>
    <w:p w14:paraId="174AAF27"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Luise</w:t>
      </w:r>
      <w:proofErr w:type="spellEnd"/>
      <w:r w:rsidRPr="00E013F2">
        <w:rPr>
          <w:rFonts w:ascii="Calibri" w:hAnsi="Calibri" w:cs="Calibri"/>
        </w:rPr>
        <w:t xml:space="preserve">, O. E. (2023). The Quality of Educational Development in Nigeria. </w:t>
      </w:r>
      <w:r w:rsidRPr="00E013F2">
        <w:rPr>
          <w:rFonts w:ascii="Calibri" w:hAnsi="Calibri" w:cs="Calibri"/>
          <w:i/>
          <w:iCs/>
        </w:rPr>
        <w:t>Educational Research</w:t>
      </w:r>
      <w:r w:rsidRPr="00E013F2">
        <w:rPr>
          <w:rFonts w:ascii="Calibri" w:hAnsi="Calibri" w:cs="Calibri"/>
        </w:rPr>
        <w:t>, 1–3.</w:t>
      </w:r>
    </w:p>
    <w:p w14:paraId="272E2A42"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Lwamba</w:t>
      </w:r>
      <w:proofErr w:type="spellEnd"/>
      <w:r w:rsidRPr="00E013F2">
        <w:rPr>
          <w:rFonts w:ascii="Calibri" w:hAnsi="Calibri" w:cs="Calibri"/>
        </w:rPr>
        <w:t xml:space="preserve">, E., </w:t>
      </w:r>
      <w:proofErr w:type="spellStart"/>
      <w:r w:rsidRPr="00E013F2">
        <w:rPr>
          <w:rFonts w:ascii="Calibri" w:hAnsi="Calibri" w:cs="Calibri"/>
        </w:rPr>
        <w:t>Shisler</w:t>
      </w:r>
      <w:proofErr w:type="spellEnd"/>
      <w:r w:rsidRPr="00E013F2">
        <w:rPr>
          <w:rFonts w:ascii="Calibri" w:hAnsi="Calibri" w:cs="Calibri"/>
        </w:rPr>
        <w:t xml:space="preserve">, S., </w:t>
      </w:r>
      <w:proofErr w:type="spellStart"/>
      <w:r w:rsidRPr="00E013F2">
        <w:rPr>
          <w:rFonts w:ascii="Calibri" w:hAnsi="Calibri" w:cs="Calibri"/>
        </w:rPr>
        <w:t>Ridlehoover</w:t>
      </w:r>
      <w:proofErr w:type="spellEnd"/>
      <w:r w:rsidRPr="00E013F2">
        <w:rPr>
          <w:rFonts w:ascii="Calibri" w:hAnsi="Calibri" w:cs="Calibri"/>
        </w:rPr>
        <w:t xml:space="preserve">, W., Kupfer, M., Tshabalala, N., </w:t>
      </w:r>
      <w:proofErr w:type="spellStart"/>
      <w:r w:rsidRPr="00E013F2">
        <w:rPr>
          <w:rFonts w:ascii="Calibri" w:hAnsi="Calibri" w:cs="Calibri"/>
        </w:rPr>
        <w:t>Nduku</w:t>
      </w:r>
      <w:proofErr w:type="spellEnd"/>
      <w:r w:rsidRPr="00E013F2">
        <w:rPr>
          <w:rFonts w:ascii="Calibri" w:hAnsi="Calibri" w:cs="Calibri"/>
        </w:rPr>
        <w:t xml:space="preserve">, P., Langer, L., Grant, S., Sonnenfeld, A., Anda, D., </w:t>
      </w:r>
      <w:proofErr w:type="spellStart"/>
      <w:r w:rsidRPr="00E013F2">
        <w:rPr>
          <w:rFonts w:ascii="Calibri" w:hAnsi="Calibri" w:cs="Calibri"/>
        </w:rPr>
        <w:t>Eyers</w:t>
      </w:r>
      <w:proofErr w:type="spellEnd"/>
      <w:r w:rsidRPr="00E013F2">
        <w:rPr>
          <w:rFonts w:ascii="Calibri" w:hAnsi="Calibri" w:cs="Calibri"/>
        </w:rPr>
        <w:t xml:space="preserve">, J., &amp; </w:t>
      </w:r>
      <w:proofErr w:type="spellStart"/>
      <w:r w:rsidRPr="00E013F2">
        <w:rPr>
          <w:rFonts w:ascii="Calibri" w:hAnsi="Calibri" w:cs="Calibri"/>
        </w:rPr>
        <w:t>Snilstveit</w:t>
      </w:r>
      <w:proofErr w:type="spellEnd"/>
      <w:r w:rsidRPr="00E013F2">
        <w:rPr>
          <w:rFonts w:ascii="Calibri" w:hAnsi="Calibri" w:cs="Calibri"/>
        </w:rPr>
        <w:t xml:space="preserve">, B. (2022). Strengthening women’s empowerment and gender equality in fragile contexts towards peaceful and inclusive societies: A systematic review and meta‐analysis. </w:t>
      </w:r>
      <w:r w:rsidRPr="00E013F2">
        <w:rPr>
          <w:rFonts w:ascii="Calibri" w:hAnsi="Calibri" w:cs="Calibri"/>
          <w:i/>
          <w:iCs/>
        </w:rPr>
        <w:t>Campbell Systematic Reviews</w:t>
      </w:r>
      <w:r w:rsidRPr="00E013F2">
        <w:rPr>
          <w:rFonts w:ascii="Calibri" w:hAnsi="Calibri" w:cs="Calibri"/>
        </w:rPr>
        <w:t xml:space="preserve">, </w:t>
      </w:r>
      <w:r w:rsidRPr="00E013F2">
        <w:rPr>
          <w:rFonts w:ascii="Calibri" w:hAnsi="Calibri" w:cs="Calibri"/>
          <w:i/>
          <w:iCs/>
        </w:rPr>
        <w:t>18</w:t>
      </w:r>
      <w:r w:rsidRPr="00E013F2">
        <w:rPr>
          <w:rFonts w:ascii="Calibri" w:hAnsi="Calibri" w:cs="Calibri"/>
        </w:rPr>
        <w:t>(1), e1214. https://doi.org/10.1002/cl2.1214</w:t>
      </w:r>
    </w:p>
    <w:p w14:paraId="3117FD92"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Mogere</w:t>
      </w:r>
      <w:proofErr w:type="spellEnd"/>
      <w:r w:rsidRPr="00E013F2">
        <w:rPr>
          <w:rFonts w:ascii="Calibri" w:hAnsi="Calibri" w:cs="Calibri"/>
        </w:rPr>
        <w:t xml:space="preserve">, V. B., &amp; </w:t>
      </w:r>
      <w:proofErr w:type="spellStart"/>
      <w:r w:rsidRPr="00E013F2">
        <w:rPr>
          <w:rFonts w:ascii="Calibri" w:hAnsi="Calibri" w:cs="Calibri"/>
        </w:rPr>
        <w:t>Mbataru</w:t>
      </w:r>
      <w:proofErr w:type="spellEnd"/>
      <w:r w:rsidRPr="00E013F2">
        <w:rPr>
          <w:rFonts w:ascii="Calibri" w:hAnsi="Calibri" w:cs="Calibri"/>
        </w:rPr>
        <w:t xml:space="preserve">, D. P. (2023). Determinants of Competence-Based Curriculum Implementation in Selected Public Primary Schools in Nairobi County, Kenya. </w:t>
      </w:r>
      <w:r w:rsidRPr="00E013F2">
        <w:rPr>
          <w:rFonts w:ascii="Calibri" w:hAnsi="Calibri" w:cs="Calibri"/>
          <w:i/>
          <w:iCs/>
        </w:rPr>
        <w:t>Journal of Public Policy and Governance</w:t>
      </w:r>
      <w:r w:rsidRPr="00E013F2">
        <w:rPr>
          <w:rFonts w:ascii="Calibri" w:hAnsi="Calibri" w:cs="Calibri"/>
        </w:rPr>
        <w:t xml:space="preserve">, </w:t>
      </w:r>
      <w:r w:rsidRPr="00E013F2">
        <w:rPr>
          <w:rFonts w:ascii="Calibri" w:hAnsi="Calibri" w:cs="Calibri"/>
          <w:i/>
          <w:iCs/>
        </w:rPr>
        <w:t>3</w:t>
      </w:r>
      <w:r w:rsidRPr="00E013F2">
        <w:rPr>
          <w:rFonts w:ascii="Calibri" w:hAnsi="Calibri" w:cs="Calibri"/>
        </w:rPr>
        <w:t>(1), 39–50. https://doi.org/10.70619/vol3iss1pp39-50</w:t>
      </w:r>
    </w:p>
    <w:p w14:paraId="00678A7B" w14:textId="77777777" w:rsidR="00E013F2" w:rsidRPr="00E013F2" w:rsidRDefault="00E013F2" w:rsidP="00E013F2">
      <w:pPr>
        <w:pStyle w:val="Bibliography"/>
        <w:rPr>
          <w:rFonts w:ascii="Calibri" w:hAnsi="Calibri" w:cs="Calibri"/>
        </w:rPr>
      </w:pPr>
      <w:r w:rsidRPr="00E013F2">
        <w:rPr>
          <w:rFonts w:ascii="Calibri" w:hAnsi="Calibri" w:cs="Calibri"/>
        </w:rPr>
        <w:t xml:space="preserve">Morris, D. L. (2025). Rethinking Science Education Practices: Shifting from Investigation-Centric to Comprehensive Inquiry-Based Instruction. </w:t>
      </w:r>
      <w:r w:rsidRPr="00E013F2">
        <w:rPr>
          <w:rFonts w:ascii="Calibri" w:hAnsi="Calibri" w:cs="Calibri"/>
          <w:i/>
          <w:iCs/>
        </w:rPr>
        <w:t>Education Sciences</w:t>
      </w:r>
      <w:r w:rsidRPr="00E013F2">
        <w:rPr>
          <w:rFonts w:ascii="Calibri" w:hAnsi="Calibri" w:cs="Calibri"/>
        </w:rPr>
        <w:t xml:space="preserve">, </w:t>
      </w:r>
      <w:r w:rsidRPr="00E013F2">
        <w:rPr>
          <w:rFonts w:ascii="Calibri" w:hAnsi="Calibri" w:cs="Calibri"/>
          <w:i/>
          <w:iCs/>
        </w:rPr>
        <w:t>15</w:t>
      </w:r>
      <w:r w:rsidRPr="00E013F2">
        <w:rPr>
          <w:rFonts w:ascii="Calibri" w:hAnsi="Calibri" w:cs="Calibri"/>
        </w:rPr>
        <w:t>(1), 73. https://doi.org/10.3390/educsci15010073</w:t>
      </w:r>
    </w:p>
    <w:p w14:paraId="1F384C41" w14:textId="77777777" w:rsidR="00E013F2" w:rsidRPr="00E013F2" w:rsidRDefault="00E013F2" w:rsidP="00E013F2">
      <w:pPr>
        <w:pStyle w:val="Bibliography"/>
        <w:rPr>
          <w:rFonts w:ascii="Calibri" w:hAnsi="Calibri" w:cs="Calibri"/>
        </w:rPr>
      </w:pPr>
      <w:r w:rsidRPr="00E013F2">
        <w:rPr>
          <w:rFonts w:ascii="Calibri" w:hAnsi="Calibri" w:cs="Calibri"/>
        </w:rPr>
        <w:lastRenderedPageBreak/>
        <w:t xml:space="preserve">New Education Policy 2024. (2025, July 30). </w:t>
      </w:r>
      <w:proofErr w:type="spellStart"/>
      <w:r w:rsidRPr="00E013F2">
        <w:rPr>
          <w:rFonts w:ascii="Calibri" w:hAnsi="Calibri" w:cs="Calibri"/>
          <w:i/>
          <w:iCs/>
        </w:rPr>
        <w:t>Proctur</w:t>
      </w:r>
      <w:proofErr w:type="spellEnd"/>
      <w:r w:rsidRPr="00E013F2">
        <w:rPr>
          <w:rFonts w:ascii="Calibri" w:hAnsi="Calibri" w:cs="Calibri"/>
          <w:i/>
          <w:iCs/>
        </w:rPr>
        <w:t xml:space="preserve"> Blog</w:t>
      </w:r>
      <w:r w:rsidRPr="00E013F2">
        <w:rPr>
          <w:rFonts w:ascii="Calibri" w:hAnsi="Calibri" w:cs="Calibri"/>
        </w:rPr>
        <w:t>. https://proctur.com/blog/new-education-policy-2024/</w:t>
      </w:r>
    </w:p>
    <w:p w14:paraId="4DD21C9A" w14:textId="77777777" w:rsidR="00E013F2" w:rsidRPr="00E013F2" w:rsidRDefault="00E013F2" w:rsidP="00E013F2">
      <w:pPr>
        <w:pStyle w:val="Bibliography"/>
        <w:rPr>
          <w:rFonts w:ascii="Calibri" w:hAnsi="Calibri" w:cs="Calibri"/>
        </w:rPr>
      </w:pPr>
      <w:r w:rsidRPr="00E013F2">
        <w:rPr>
          <w:rFonts w:ascii="Calibri" w:hAnsi="Calibri" w:cs="Calibri"/>
        </w:rPr>
        <w:t xml:space="preserve">Okonkwo, D. I. J. &amp; D. C. O. (2025). </w:t>
      </w:r>
      <w:r w:rsidRPr="00E013F2">
        <w:rPr>
          <w:rFonts w:ascii="Calibri" w:hAnsi="Calibri" w:cs="Calibri"/>
          <w:i/>
          <w:iCs/>
        </w:rPr>
        <w:t>Integrating 21st Century Skills into Secondary Education: Preparing Students for a Productive Society</w:t>
      </w:r>
      <w:r w:rsidRPr="00E013F2">
        <w:rPr>
          <w:rFonts w:ascii="Calibri" w:hAnsi="Calibri" w:cs="Calibri"/>
        </w:rPr>
        <w:t>. https://doi.org/10.5281/zenodo.14879702</w:t>
      </w:r>
    </w:p>
    <w:p w14:paraId="10A010A5"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Opara</w:t>
      </w:r>
      <w:proofErr w:type="spellEnd"/>
      <w:r w:rsidRPr="00E013F2">
        <w:rPr>
          <w:rFonts w:ascii="Calibri" w:hAnsi="Calibri" w:cs="Calibri"/>
        </w:rPr>
        <w:t xml:space="preserve">, J. A. (2011). A Comparative Analysis of Universal Basic Education </w:t>
      </w:r>
      <w:proofErr w:type="spellStart"/>
      <w:r w:rsidRPr="00E013F2">
        <w:rPr>
          <w:rFonts w:ascii="Calibri" w:hAnsi="Calibri" w:cs="Calibri"/>
        </w:rPr>
        <w:t>Programme</w:t>
      </w:r>
      <w:proofErr w:type="spellEnd"/>
      <w:r w:rsidRPr="00E013F2">
        <w:rPr>
          <w:rFonts w:ascii="Calibri" w:hAnsi="Calibri" w:cs="Calibri"/>
        </w:rPr>
        <w:t xml:space="preserve"> in Nigeria (UBE) and the “</w:t>
      </w:r>
      <w:proofErr w:type="spellStart"/>
      <w:r w:rsidRPr="00E013F2">
        <w:rPr>
          <w:rFonts w:ascii="Calibri" w:hAnsi="Calibri" w:cs="Calibri"/>
        </w:rPr>
        <w:t>Grundskola</w:t>
      </w:r>
      <w:proofErr w:type="spellEnd"/>
      <w:r w:rsidRPr="00E013F2">
        <w:rPr>
          <w:rFonts w:ascii="Calibri" w:hAnsi="Calibri" w:cs="Calibri"/>
        </w:rPr>
        <w:t xml:space="preserve">” Education </w:t>
      </w:r>
      <w:proofErr w:type="spellStart"/>
      <w:r w:rsidRPr="00E013F2">
        <w:rPr>
          <w:rFonts w:ascii="Calibri" w:hAnsi="Calibri" w:cs="Calibri"/>
        </w:rPr>
        <w:t>Programme</w:t>
      </w:r>
      <w:proofErr w:type="spellEnd"/>
      <w:r w:rsidRPr="00E013F2">
        <w:rPr>
          <w:rFonts w:ascii="Calibri" w:hAnsi="Calibri" w:cs="Calibri"/>
        </w:rPr>
        <w:t xml:space="preserve"> of Sweden. </w:t>
      </w:r>
      <w:r w:rsidRPr="00E013F2">
        <w:rPr>
          <w:rFonts w:ascii="Calibri" w:hAnsi="Calibri" w:cs="Calibri"/>
          <w:i/>
          <w:iCs/>
        </w:rPr>
        <w:t>Mediterranean Journal of Social Sciences</w:t>
      </w:r>
      <w:r w:rsidRPr="00E013F2">
        <w:rPr>
          <w:rFonts w:ascii="Calibri" w:hAnsi="Calibri" w:cs="Calibri"/>
        </w:rPr>
        <w:t xml:space="preserve">, </w:t>
      </w:r>
      <w:r w:rsidRPr="00E013F2">
        <w:rPr>
          <w:rFonts w:ascii="Calibri" w:hAnsi="Calibri" w:cs="Calibri"/>
          <w:i/>
          <w:iCs/>
        </w:rPr>
        <w:t>2</w:t>
      </w:r>
      <w:r w:rsidRPr="00E013F2">
        <w:rPr>
          <w:rFonts w:ascii="Calibri" w:hAnsi="Calibri" w:cs="Calibri"/>
        </w:rPr>
        <w:t>(7), 79.</w:t>
      </w:r>
    </w:p>
    <w:p w14:paraId="67AB5578" w14:textId="77777777" w:rsidR="00E013F2" w:rsidRPr="00E013F2" w:rsidRDefault="00E013F2" w:rsidP="00E013F2">
      <w:pPr>
        <w:pStyle w:val="Bibliography"/>
        <w:rPr>
          <w:rFonts w:ascii="Calibri" w:hAnsi="Calibri" w:cs="Calibri"/>
        </w:rPr>
      </w:pPr>
      <w:r w:rsidRPr="00E013F2">
        <w:rPr>
          <w:rFonts w:ascii="Calibri" w:hAnsi="Calibri" w:cs="Calibri"/>
          <w:i/>
          <w:iCs/>
        </w:rPr>
        <w:t>(PDF) EXPLORING CULTURAL INFLUENCES ON CURRICULUM AND EDUCATION REFORMS: LESSONS FOR NIGERIA’S FUTURE</w:t>
      </w:r>
      <w:r w:rsidRPr="00E013F2">
        <w:rPr>
          <w:rFonts w:ascii="Calibri" w:hAnsi="Calibri" w:cs="Calibri"/>
        </w:rPr>
        <w:t>. (n.d.). Retrieved August 13, 2025, from https://www.researchgate.net/publication/382039272_EXPLORING_CULTURAL_INFLUENCES_ON_CURRICULUM_AND_EDUCATION_REFORMS_LESSONS_FOR_NIGERIA'S_FUTURE</w:t>
      </w:r>
    </w:p>
    <w:p w14:paraId="32FABA08" w14:textId="77777777" w:rsidR="00E013F2" w:rsidRPr="00E013F2" w:rsidRDefault="00E013F2" w:rsidP="00E013F2">
      <w:pPr>
        <w:pStyle w:val="Bibliography"/>
        <w:rPr>
          <w:rFonts w:ascii="Calibri" w:hAnsi="Calibri" w:cs="Calibri"/>
        </w:rPr>
      </w:pPr>
      <w:r w:rsidRPr="00E013F2">
        <w:rPr>
          <w:rFonts w:ascii="Calibri" w:hAnsi="Calibri" w:cs="Calibri"/>
          <w:i/>
          <w:iCs/>
        </w:rPr>
        <w:t xml:space="preserve">(PDF) Implementing Classroom Assessment </w:t>
      </w:r>
      <w:proofErr w:type="gramStart"/>
      <w:r w:rsidRPr="00E013F2">
        <w:rPr>
          <w:rFonts w:ascii="Calibri" w:hAnsi="Calibri" w:cs="Calibri"/>
          <w:i/>
          <w:iCs/>
        </w:rPr>
        <w:t>In</w:t>
      </w:r>
      <w:proofErr w:type="gramEnd"/>
      <w:r w:rsidRPr="00E013F2">
        <w:rPr>
          <w:rFonts w:ascii="Calibri" w:hAnsi="Calibri" w:cs="Calibri"/>
          <w:i/>
          <w:iCs/>
        </w:rPr>
        <w:t xml:space="preserve"> Malaysia: An Investigation</w:t>
      </w:r>
      <w:r w:rsidRPr="00E013F2">
        <w:rPr>
          <w:rFonts w:ascii="Calibri" w:hAnsi="Calibri" w:cs="Calibri"/>
        </w:rPr>
        <w:t>. (2025, February 26). ResearchGate. https://www.researchgate.net/publication/348355621_Implementing_Classroom_Assessment_In_Malaysia_An_Investigation</w:t>
      </w:r>
    </w:p>
    <w:p w14:paraId="57BF8BCA"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Rajabi</w:t>
      </w:r>
      <w:proofErr w:type="spellEnd"/>
      <w:r w:rsidRPr="00E013F2">
        <w:rPr>
          <w:rFonts w:ascii="Calibri" w:hAnsi="Calibri" w:cs="Calibri"/>
        </w:rPr>
        <w:t xml:space="preserve">, M., Ebrahimi, P., &amp; </w:t>
      </w:r>
      <w:proofErr w:type="spellStart"/>
      <w:r w:rsidRPr="00E013F2">
        <w:rPr>
          <w:rFonts w:ascii="Calibri" w:hAnsi="Calibri" w:cs="Calibri"/>
        </w:rPr>
        <w:t>Aryankhesal</w:t>
      </w:r>
      <w:proofErr w:type="spellEnd"/>
      <w:r w:rsidRPr="00E013F2">
        <w:rPr>
          <w:rFonts w:ascii="Calibri" w:hAnsi="Calibri" w:cs="Calibri"/>
        </w:rPr>
        <w:t xml:space="preserve">, A. (2021). Collaboration between the government and nongovernmental organizations in providing health-care services: A systematic review of challenges. </w:t>
      </w:r>
      <w:r w:rsidRPr="00E013F2">
        <w:rPr>
          <w:rFonts w:ascii="Calibri" w:hAnsi="Calibri" w:cs="Calibri"/>
          <w:i/>
          <w:iCs/>
        </w:rPr>
        <w:t>Journal of Education and Health Promotion</w:t>
      </w:r>
      <w:r w:rsidRPr="00E013F2">
        <w:rPr>
          <w:rFonts w:ascii="Calibri" w:hAnsi="Calibri" w:cs="Calibri"/>
        </w:rPr>
        <w:t xml:space="preserve">, </w:t>
      </w:r>
      <w:r w:rsidRPr="00E013F2">
        <w:rPr>
          <w:rFonts w:ascii="Calibri" w:hAnsi="Calibri" w:cs="Calibri"/>
          <w:i/>
          <w:iCs/>
        </w:rPr>
        <w:t>10</w:t>
      </w:r>
      <w:r w:rsidRPr="00E013F2">
        <w:rPr>
          <w:rFonts w:ascii="Calibri" w:hAnsi="Calibri" w:cs="Calibri"/>
        </w:rPr>
        <w:t>, 242. https://doi.org/10.4103/jehp.jehp_1312_20</w:t>
      </w:r>
    </w:p>
    <w:p w14:paraId="6A6297C7" w14:textId="77777777" w:rsidR="00E013F2" w:rsidRPr="00E013F2" w:rsidRDefault="00E013F2" w:rsidP="00E013F2">
      <w:pPr>
        <w:pStyle w:val="Bibliography"/>
        <w:rPr>
          <w:rFonts w:ascii="Calibri" w:hAnsi="Calibri" w:cs="Calibri"/>
        </w:rPr>
      </w:pPr>
      <w:r w:rsidRPr="00E013F2">
        <w:rPr>
          <w:rFonts w:ascii="Calibri" w:hAnsi="Calibri" w:cs="Calibri"/>
        </w:rPr>
        <w:t xml:space="preserve">Saini, M., Sengupta, E., Singh, M., Singh, H., &amp; Singh, J. (2023). Sustainable Development Goal for Quality Education (SDG 4): A study on SDG 4 to extract the pattern of association among the indicators of SDG 4 employing a genetic algorithm. </w:t>
      </w:r>
      <w:r w:rsidRPr="00E013F2">
        <w:rPr>
          <w:rFonts w:ascii="Calibri" w:hAnsi="Calibri" w:cs="Calibri"/>
          <w:i/>
          <w:iCs/>
        </w:rPr>
        <w:t>Education and Information Technologies</w:t>
      </w:r>
      <w:r w:rsidRPr="00E013F2">
        <w:rPr>
          <w:rFonts w:ascii="Calibri" w:hAnsi="Calibri" w:cs="Calibri"/>
        </w:rPr>
        <w:t xml:space="preserve">, </w:t>
      </w:r>
      <w:r w:rsidRPr="00E013F2">
        <w:rPr>
          <w:rFonts w:ascii="Calibri" w:hAnsi="Calibri" w:cs="Calibri"/>
          <w:i/>
          <w:iCs/>
        </w:rPr>
        <w:t>28</w:t>
      </w:r>
      <w:r w:rsidRPr="00E013F2">
        <w:rPr>
          <w:rFonts w:ascii="Calibri" w:hAnsi="Calibri" w:cs="Calibri"/>
        </w:rPr>
        <w:t>(2), 2031–2069. https://doi.org/10.1007/s10639-022-11265-4</w:t>
      </w:r>
    </w:p>
    <w:p w14:paraId="63658D80"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lastRenderedPageBreak/>
        <w:t>Schaffar</w:t>
      </w:r>
      <w:proofErr w:type="spellEnd"/>
      <w:r w:rsidRPr="00E013F2">
        <w:rPr>
          <w:rFonts w:ascii="Calibri" w:hAnsi="Calibri" w:cs="Calibri"/>
        </w:rPr>
        <w:t xml:space="preserve">, B., &amp; Wolff, L.-A. (2024). Phenomenon-based learning in Finland: A critical overview of its historical and philosophical roots. </w:t>
      </w:r>
      <w:r w:rsidRPr="00E013F2">
        <w:rPr>
          <w:rFonts w:ascii="Calibri" w:hAnsi="Calibri" w:cs="Calibri"/>
          <w:i/>
          <w:iCs/>
        </w:rPr>
        <w:t>Cogent Education</w:t>
      </w:r>
      <w:r w:rsidRPr="00E013F2">
        <w:rPr>
          <w:rFonts w:ascii="Calibri" w:hAnsi="Calibri" w:cs="Calibri"/>
        </w:rPr>
        <w:t>. https://www.tandfonline.com/doi/abs/10.1080/2331186X.2024.2309733</w:t>
      </w:r>
    </w:p>
    <w:p w14:paraId="49F24A08"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Shaber</w:t>
      </w:r>
      <w:proofErr w:type="spellEnd"/>
      <w:r w:rsidRPr="00E013F2">
        <w:rPr>
          <w:rFonts w:ascii="Calibri" w:hAnsi="Calibri" w:cs="Calibri"/>
        </w:rPr>
        <w:t xml:space="preserve">, N., Shah, S. K., Imran, M., &amp; </w:t>
      </w:r>
      <w:proofErr w:type="spellStart"/>
      <w:r w:rsidRPr="00E013F2">
        <w:rPr>
          <w:rFonts w:ascii="Calibri" w:hAnsi="Calibri" w:cs="Calibri"/>
        </w:rPr>
        <w:t>Almusharraf</w:t>
      </w:r>
      <w:proofErr w:type="spellEnd"/>
      <w:r w:rsidRPr="00E013F2">
        <w:rPr>
          <w:rFonts w:ascii="Calibri" w:hAnsi="Calibri" w:cs="Calibri"/>
        </w:rPr>
        <w:t xml:space="preserve">, N. (2025). Exploring the Relationship Between Critical Thinking and Creativity in University Students: Gender Differences and the Assessment of Skills. </w:t>
      </w:r>
      <w:r w:rsidRPr="00E013F2">
        <w:rPr>
          <w:rFonts w:ascii="Calibri" w:hAnsi="Calibri" w:cs="Calibri"/>
          <w:i/>
          <w:iCs/>
        </w:rPr>
        <w:t>Education Sciences</w:t>
      </w:r>
      <w:r w:rsidRPr="00E013F2">
        <w:rPr>
          <w:rFonts w:ascii="Calibri" w:hAnsi="Calibri" w:cs="Calibri"/>
        </w:rPr>
        <w:t xml:space="preserve">, </w:t>
      </w:r>
      <w:r w:rsidRPr="00E013F2">
        <w:rPr>
          <w:rFonts w:ascii="Calibri" w:hAnsi="Calibri" w:cs="Calibri"/>
          <w:i/>
          <w:iCs/>
        </w:rPr>
        <w:t>15</w:t>
      </w:r>
      <w:r w:rsidRPr="00E013F2">
        <w:rPr>
          <w:rFonts w:ascii="Calibri" w:hAnsi="Calibri" w:cs="Calibri"/>
        </w:rPr>
        <w:t>(4), 464. https://doi.org/10.3390/educsci15040464</w:t>
      </w:r>
    </w:p>
    <w:p w14:paraId="6F0EE946" w14:textId="77777777" w:rsidR="00E013F2" w:rsidRPr="00E013F2" w:rsidRDefault="00E013F2" w:rsidP="00E013F2">
      <w:pPr>
        <w:pStyle w:val="Bibliography"/>
        <w:rPr>
          <w:rFonts w:ascii="Calibri" w:hAnsi="Calibri" w:cs="Calibri"/>
        </w:rPr>
      </w:pPr>
      <w:r w:rsidRPr="00E013F2">
        <w:rPr>
          <w:rFonts w:ascii="Calibri" w:hAnsi="Calibri" w:cs="Calibri"/>
          <w:i/>
          <w:iCs/>
        </w:rPr>
        <w:t>The Role of Civic Education</w:t>
      </w:r>
      <w:r w:rsidRPr="00E013F2">
        <w:rPr>
          <w:rFonts w:ascii="Calibri" w:hAnsi="Calibri" w:cs="Calibri"/>
        </w:rPr>
        <w:t>. (n.d.). Retrieved August 13, 2025, from https://civiced.org/papers/articles_role.html</w:t>
      </w:r>
    </w:p>
    <w:p w14:paraId="2A181080" w14:textId="77777777" w:rsidR="00E013F2" w:rsidRPr="00E013F2" w:rsidRDefault="00E013F2" w:rsidP="00E013F2">
      <w:pPr>
        <w:pStyle w:val="Bibliography"/>
        <w:rPr>
          <w:rFonts w:ascii="Calibri" w:hAnsi="Calibri" w:cs="Calibri"/>
        </w:rPr>
      </w:pPr>
      <w:r w:rsidRPr="00E013F2">
        <w:rPr>
          <w:rFonts w:ascii="Calibri" w:hAnsi="Calibri" w:cs="Calibri"/>
        </w:rPr>
        <w:t xml:space="preserve">Thornhill-Miller, B., </w:t>
      </w:r>
      <w:proofErr w:type="spellStart"/>
      <w:r w:rsidRPr="00E013F2">
        <w:rPr>
          <w:rFonts w:ascii="Calibri" w:hAnsi="Calibri" w:cs="Calibri"/>
        </w:rPr>
        <w:t>Camarda</w:t>
      </w:r>
      <w:proofErr w:type="spellEnd"/>
      <w:r w:rsidRPr="00E013F2">
        <w:rPr>
          <w:rFonts w:ascii="Calibri" w:hAnsi="Calibri" w:cs="Calibri"/>
        </w:rPr>
        <w:t xml:space="preserve">, A., Mercier, M., Burkhardt, J.-M., </w:t>
      </w:r>
      <w:proofErr w:type="spellStart"/>
      <w:r w:rsidRPr="00E013F2">
        <w:rPr>
          <w:rFonts w:ascii="Calibri" w:hAnsi="Calibri" w:cs="Calibri"/>
        </w:rPr>
        <w:t>Morisseau</w:t>
      </w:r>
      <w:proofErr w:type="spellEnd"/>
      <w:r w:rsidRPr="00E013F2">
        <w:rPr>
          <w:rFonts w:ascii="Calibri" w:hAnsi="Calibri" w:cs="Calibri"/>
        </w:rPr>
        <w:t>, T., Bourgeois-</w:t>
      </w:r>
      <w:proofErr w:type="spellStart"/>
      <w:r w:rsidRPr="00E013F2">
        <w:rPr>
          <w:rFonts w:ascii="Calibri" w:hAnsi="Calibri" w:cs="Calibri"/>
        </w:rPr>
        <w:t>Bougrine</w:t>
      </w:r>
      <w:proofErr w:type="spellEnd"/>
      <w:r w:rsidRPr="00E013F2">
        <w:rPr>
          <w:rFonts w:ascii="Calibri" w:hAnsi="Calibri" w:cs="Calibri"/>
        </w:rPr>
        <w:t xml:space="preserve">, S., </w:t>
      </w:r>
      <w:proofErr w:type="spellStart"/>
      <w:r w:rsidRPr="00E013F2">
        <w:rPr>
          <w:rFonts w:ascii="Calibri" w:hAnsi="Calibri" w:cs="Calibri"/>
        </w:rPr>
        <w:t>Vinchon</w:t>
      </w:r>
      <w:proofErr w:type="spellEnd"/>
      <w:r w:rsidRPr="00E013F2">
        <w:rPr>
          <w:rFonts w:ascii="Calibri" w:hAnsi="Calibri" w:cs="Calibri"/>
        </w:rPr>
        <w:t xml:space="preserve">, F., El Hayek, S., </w:t>
      </w:r>
      <w:proofErr w:type="spellStart"/>
      <w:r w:rsidRPr="00E013F2">
        <w:rPr>
          <w:rFonts w:ascii="Calibri" w:hAnsi="Calibri" w:cs="Calibri"/>
        </w:rPr>
        <w:t>Augereau-Landais</w:t>
      </w:r>
      <w:proofErr w:type="spellEnd"/>
      <w:r w:rsidRPr="00E013F2">
        <w:rPr>
          <w:rFonts w:ascii="Calibri" w:hAnsi="Calibri" w:cs="Calibri"/>
        </w:rPr>
        <w:t xml:space="preserve">, M., </w:t>
      </w:r>
      <w:proofErr w:type="spellStart"/>
      <w:r w:rsidRPr="00E013F2">
        <w:rPr>
          <w:rFonts w:ascii="Calibri" w:hAnsi="Calibri" w:cs="Calibri"/>
        </w:rPr>
        <w:t>Mourey</w:t>
      </w:r>
      <w:proofErr w:type="spellEnd"/>
      <w:r w:rsidRPr="00E013F2">
        <w:rPr>
          <w:rFonts w:ascii="Calibri" w:hAnsi="Calibri" w:cs="Calibri"/>
        </w:rPr>
        <w:t xml:space="preserve">, F., </w:t>
      </w:r>
      <w:proofErr w:type="spellStart"/>
      <w:r w:rsidRPr="00E013F2">
        <w:rPr>
          <w:rFonts w:ascii="Calibri" w:hAnsi="Calibri" w:cs="Calibri"/>
        </w:rPr>
        <w:t>Feybesse</w:t>
      </w:r>
      <w:proofErr w:type="spellEnd"/>
      <w:r w:rsidRPr="00E013F2">
        <w:rPr>
          <w:rFonts w:ascii="Calibri" w:hAnsi="Calibri" w:cs="Calibri"/>
        </w:rPr>
        <w:t xml:space="preserve">, C., </w:t>
      </w:r>
      <w:proofErr w:type="spellStart"/>
      <w:r w:rsidRPr="00E013F2">
        <w:rPr>
          <w:rFonts w:ascii="Calibri" w:hAnsi="Calibri" w:cs="Calibri"/>
        </w:rPr>
        <w:t>Sundquist</w:t>
      </w:r>
      <w:proofErr w:type="spellEnd"/>
      <w:r w:rsidRPr="00E013F2">
        <w:rPr>
          <w:rFonts w:ascii="Calibri" w:hAnsi="Calibri" w:cs="Calibri"/>
        </w:rPr>
        <w:t xml:space="preserve">, D., &amp; </w:t>
      </w:r>
      <w:proofErr w:type="spellStart"/>
      <w:r w:rsidRPr="00E013F2">
        <w:rPr>
          <w:rFonts w:ascii="Calibri" w:hAnsi="Calibri" w:cs="Calibri"/>
        </w:rPr>
        <w:t>Lubart</w:t>
      </w:r>
      <w:proofErr w:type="spellEnd"/>
      <w:r w:rsidRPr="00E013F2">
        <w:rPr>
          <w:rFonts w:ascii="Calibri" w:hAnsi="Calibri" w:cs="Calibri"/>
        </w:rPr>
        <w:t xml:space="preserve">, T. (2023). Creativity, Critical Thinking, Communication, and Collaboration: Assessment, Certification, and Promotion of 21st Century Skills for the Future of Work and Education. </w:t>
      </w:r>
      <w:r w:rsidRPr="00E013F2">
        <w:rPr>
          <w:rFonts w:ascii="Calibri" w:hAnsi="Calibri" w:cs="Calibri"/>
          <w:i/>
          <w:iCs/>
        </w:rPr>
        <w:t>Journal of Intelligence</w:t>
      </w:r>
      <w:r w:rsidRPr="00E013F2">
        <w:rPr>
          <w:rFonts w:ascii="Calibri" w:hAnsi="Calibri" w:cs="Calibri"/>
        </w:rPr>
        <w:t xml:space="preserve">, </w:t>
      </w:r>
      <w:r w:rsidRPr="00E013F2">
        <w:rPr>
          <w:rFonts w:ascii="Calibri" w:hAnsi="Calibri" w:cs="Calibri"/>
          <w:i/>
          <w:iCs/>
        </w:rPr>
        <w:t>11</w:t>
      </w:r>
      <w:r w:rsidRPr="00E013F2">
        <w:rPr>
          <w:rFonts w:ascii="Calibri" w:hAnsi="Calibri" w:cs="Calibri"/>
        </w:rPr>
        <w:t>(3), 54. https://doi.org/10.3390/jintelligence11030054</w:t>
      </w:r>
    </w:p>
    <w:p w14:paraId="783DD1E4"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Timotheou</w:t>
      </w:r>
      <w:proofErr w:type="spellEnd"/>
      <w:r w:rsidRPr="00E013F2">
        <w:rPr>
          <w:rFonts w:ascii="Calibri" w:hAnsi="Calibri" w:cs="Calibri"/>
        </w:rPr>
        <w:t xml:space="preserve">, S., </w:t>
      </w:r>
      <w:proofErr w:type="spellStart"/>
      <w:r w:rsidRPr="00E013F2">
        <w:rPr>
          <w:rFonts w:ascii="Calibri" w:hAnsi="Calibri" w:cs="Calibri"/>
        </w:rPr>
        <w:t>Miliou</w:t>
      </w:r>
      <w:proofErr w:type="spellEnd"/>
      <w:r w:rsidRPr="00E013F2">
        <w:rPr>
          <w:rFonts w:ascii="Calibri" w:hAnsi="Calibri" w:cs="Calibri"/>
        </w:rPr>
        <w:t xml:space="preserve">, O., </w:t>
      </w:r>
      <w:proofErr w:type="spellStart"/>
      <w:r w:rsidRPr="00E013F2">
        <w:rPr>
          <w:rFonts w:ascii="Calibri" w:hAnsi="Calibri" w:cs="Calibri"/>
        </w:rPr>
        <w:t>Dimitriadis</w:t>
      </w:r>
      <w:proofErr w:type="spellEnd"/>
      <w:r w:rsidRPr="00E013F2">
        <w:rPr>
          <w:rFonts w:ascii="Calibri" w:hAnsi="Calibri" w:cs="Calibri"/>
        </w:rPr>
        <w:t xml:space="preserve">, Y., </w:t>
      </w:r>
      <w:proofErr w:type="spellStart"/>
      <w:r w:rsidRPr="00E013F2">
        <w:rPr>
          <w:rFonts w:ascii="Calibri" w:hAnsi="Calibri" w:cs="Calibri"/>
        </w:rPr>
        <w:t>Sobrino</w:t>
      </w:r>
      <w:proofErr w:type="spellEnd"/>
      <w:r w:rsidRPr="00E013F2">
        <w:rPr>
          <w:rFonts w:ascii="Calibri" w:hAnsi="Calibri" w:cs="Calibri"/>
        </w:rPr>
        <w:t xml:space="preserve">, S. V., </w:t>
      </w:r>
      <w:proofErr w:type="spellStart"/>
      <w:r w:rsidRPr="00E013F2">
        <w:rPr>
          <w:rFonts w:ascii="Calibri" w:hAnsi="Calibri" w:cs="Calibri"/>
        </w:rPr>
        <w:t>Giannoutsou</w:t>
      </w:r>
      <w:proofErr w:type="spellEnd"/>
      <w:r w:rsidRPr="00E013F2">
        <w:rPr>
          <w:rFonts w:ascii="Calibri" w:hAnsi="Calibri" w:cs="Calibri"/>
        </w:rPr>
        <w:t xml:space="preserve">, N., Cachia, R., </w:t>
      </w:r>
      <w:proofErr w:type="spellStart"/>
      <w:r w:rsidRPr="00E013F2">
        <w:rPr>
          <w:rFonts w:ascii="Calibri" w:hAnsi="Calibri" w:cs="Calibri"/>
        </w:rPr>
        <w:t>Monés</w:t>
      </w:r>
      <w:proofErr w:type="spellEnd"/>
      <w:r w:rsidRPr="00E013F2">
        <w:rPr>
          <w:rFonts w:ascii="Calibri" w:hAnsi="Calibri" w:cs="Calibri"/>
        </w:rPr>
        <w:t xml:space="preserve">, A. M., &amp; </w:t>
      </w:r>
      <w:proofErr w:type="spellStart"/>
      <w:r w:rsidRPr="00E013F2">
        <w:rPr>
          <w:rFonts w:ascii="Calibri" w:hAnsi="Calibri" w:cs="Calibri"/>
        </w:rPr>
        <w:t>Ioannou</w:t>
      </w:r>
      <w:proofErr w:type="spellEnd"/>
      <w:r w:rsidRPr="00E013F2">
        <w:rPr>
          <w:rFonts w:ascii="Calibri" w:hAnsi="Calibri" w:cs="Calibri"/>
        </w:rPr>
        <w:t xml:space="preserve">, A. (2022). Impacts of digital technologies on education and factors influencing schools’ digital capacity and transformation: A literature review. </w:t>
      </w:r>
      <w:r w:rsidRPr="00E013F2">
        <w:rPr>
          <w:rFonts w:ascii="Calibri" w:hAnsi="Calibri" w:cs="Calibri"/>
          <w:i/>
          <w:iCs/>
        </w:rPr>
        <w:t>Education and Information Technologies</w:t>
      </w:r>
      <w:r w:rsidRPr="00E013F2">
        <w:rPr>
          <w:rFonts w:ascii="Calibri" w:hAnsi="Calibri" w:cs="Calibri"/>
        </w:rPr>
        <w:t xml:space="preserve">, </w:t>
      </w:r>
      <w:r w:rsidRPr="00E013F2">
        <w:rPr>
          <w:rFonts w:ascii="Calibri" w:hAnsi="Calibri" w:cs="Calibri"/>
          <w:i/>
          <w:iCs/>
        </w:rPr>
        <w:t>28</w:t>
      </w:r>
      <w:r w:rsidRPr="00E013F2">
        <w:rPr>
          <w:rFonts w:ascii="Calibri" w:hAnsi="Calibri" w:cs="Calibri"/>
        </w:rPr>
        <w:t>(6), 6695. https://doi.org/10.1007/s10639-022-11431-8</w:t>
      </w:r>
    </w:p>
    <w:p w14:paraId="76AA1E65" w14:textId="77777777" w:rsidR="00E013F2" w:rsidRPr="00E013F2" w:rsidRDefault="00E013F2" w:rsidP="00E013F2">
      <w:pPr>
        <w:pStyle w:val="Bibliography"/>
        <w:rPr>
          <w:rFonts w:ascii="Calibri" w:hAnsi="Calibri" w:cs="Calibri"/>
        </w:rPr>
      </w:pPr>
      <w:r w:rsidRPr="00E013F2">
        <w:rPr>
          <w:rFonts w:ascii="Calibri" w:hAnsi="Calibri" w:cs="Calibri"/>
          <w:i/>
          <w:iCs/>
        </w:rPr>
        <w:t>UNESCO Member States unite to increase investment in education</w:t>
      </w:r>
      <w:r w:rsidRPr="00E013F2">
        <w:rPr>
          <w:rFonts w:ascii="Calibri" w:hAnsi="Calibri" w:cs="Calibri"/>
        </w:rPr>
        <w:t>. (n.d.). Retrieved August 19, 2025, from https://www.unesco.org/en/articles/unesco-member-states-unite-increase-investment-education</w:t>
      </w:r>
    </w:p>
    <w:p w14:paraId="775D1195"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Uzorka</w:t>
      </w:r>
      <w:proofErr w:type="spellEnd"/>
      <w:r w:rsidRPr="00E013F2">
        <w:rPr>
          <w:rFonts w:ascii="Calibri" w:hAnsi="Calibri" w:cs="Calibri"/>
        </w:rPr>
        <w:t xml:space="preserve">, A., </w:t>
      </w:r>
      <w:proofErr w:type="spellStart"/>
      <w:r w:rsidRPr="00E013F2">
        <w:rPr>
          <w:rFonts w:ascii="Calibri" w:hAnsi="Calibri" w:cs="Calibri"/>
        </w:rPr>
        <w:t>Namara</w:t>
      </w:r>
      <w:proofErr w:type="spellEnd"/>
      <w:r w:rsidRPr="00E013F2">
        <w:rPr>
          <w:rFonts w:ascii="Calibri" w:hAnsi="Calibri" w:cs="Calibri"/>
        </w:rPr>
        <w:t xml:space="preserve">, S., &amp; Olaniyan, A. O. (2023). Modern technology adoption and professional development of lecturers. </w:t>
      </w:r>
      <w:r w:rsidRPr="00E013F2">
        <w:rPr>
          <w:rFonts w:ascii="Calibri" w:hAnsi="Calibri" w:cs="Calibri"/>
          <w:i/>
          <w:iCs/>
        </w:rPr>
        <w:t>Education and Information Technologies</w:t>
      </w:r>
      <w:r w:rsidRPr="00E013F2">
        <w:rPr>
          <w:rFonts w:ascii="Calibri" w:hAnsi="Calibri" w:cs="Calibri"/>
        </w:rPr>
        <w:t>, 1–27. https://doi.org/10.1007/s10639-023-11790-w</w:t>
      </w:r>
    </w:p>
    <w:p w14:paraId="48787BF0" w14:textId="77777777" w:rsidR="00E013F2" w:rsidRPr="00E013F2" w:rsidRDefault="00E013F2" w:rsidP="00E013F2">
      <w:pPr>
        <w:pStyle w:val="Bibliography"/>
        <w:rPr>
          <w:rFonts w:ascii="Calibri" w:hAnsi="Calibri" w:cs="Calibri"/>
        </w:rPr>
      </w:pPr>
      <w:r w:rsidRPr="00E013F2">
        <w:rPr>
          <w:rFonts w:ascii="Calibri" w:hAnsi="Calibri" w:cs="Calibri"/>
        </w:rPr>
        <w:lastRenderedPageBreak/>
        <w:t xml:space="preserve">Wanyama, B. W. (2025). Competency based curriculum in Kenya: Taking stock of implementation process at early years education. </w:t>
      </w:r>
      <w:r w:rsidRPr="00E013F2">
        <w:rPr>
          <w:rFonts w:ascii="Calibri" w:hAnsi="Calibri" w:cs="Calibri"/>
          <w:i/>
          <w:iCs/>
        </w:rPr>
        <w:t>Culture, Education, and Future</w:t>
      </w:r>
      <w:r w:rsidRPr="00E013F2">
        <w:rPr>
          <w:rFonts w:ascii="Calibri" w:hAnsi="Calibri" w:cs="Calibri"/>
        </w:rPr>
        <w:t xml:space="preserve">, </w:t>
      </w:r>
      <w:r w:rsidRPr="00E013F2">
        <w:rPr>
          <w:rFonts w:ascii="Calibri" w:hAnsi="Calibri" w:cs="Calibri"/>
          <w:i/>
          <w:iCs/>
        </w:rPr>
        <w:t>3</w:t>
      </w:r>
      <w:r w:rsidRPr="00E013F2">
        <w:rPr>
          <w:rFonts w:ascii="Calibri" w:hAnsi="Calibri" w:cs="Calibri"/>
        </w:rPr>
        <w:t>(1), 135–158. https://doi.org/10.70116/2980274199</w:t>
      </w:r>
    </w:p>
    <w:p w14:paraId="513774F0" w14:textId="77777777" w:rsidR="00E013F2" w:rsidRPr="00E013F2" w:rsidRDefault="00E013F2" w:rsidP="00E013F2">
      <w:pPr>
        <w:pStyle w:val="Bibliography"/>
        <w:rPr>
          <w:rFonts w:ascii="Calibri" w:hAnsi="Calibri" w:cs="Calibri"/>
        </w:rPr>
      </w:pPr>
      <w:proofErr w:type="spellStart"/>
      <w:r w:rsidRPr="00E013F2">
        <w:rPr>
          <w:rFonts w:ascii="Calibri" w:hAnsi="Calibri" w:cs="Calibri"/>
        </w:rPr>
        <w:t>Zamiri</w:t>
      </w:r>
      <w:proofErr w:type="spellEnd"/>
      <w:r w:rsidRPr="00E013F2">
        <w:rPr>
          <w:rFonts w:ascii="Calibri" w:hAnsi="Calibri" w:cs="Calibri"/>
        </w:rPr>
        <w:t xml:space="preserve">, M., &amp; </w:t>
      </w:r>
      <w:proofErr w:type="spellStart"/>
      <w:r w:rsidRPr="00E013F2">
        <w:rPr>
          <w:rFonts w:ascii="Calibri" w:hAnsi="Calibri" w:cs="Calibri"/>
        </w:rPr>
        <w:t>Esmaeili</w:t>
      </w:r>
      <w:proofErr w:type="spellEnd"/>
      <w:r w:rsidRPr="00E013F2">
        <w:rPr>
          <w:rFonts w:ascii="Calibri" w:hAnsi="Calibri" w:cs="Calibri"/>
        </w:rPr>
        <w:t xml:space="preserve">, A. (2024). Strategies, Methods, and Supports for Developing Skills within Learning Communities: A Systematic Review of the Literature. </w:t>
      </w:r>
      <w:r w:rsidRPr="00E013F2">
        <w:rPr>
          <w:rFonts w:ascii="Calibri" w:hAnsi="Calibri" w:cs="Calibri"/>
          <w:i/>
          <w:iCs/>
        </w:rPr>
        <w:t>Administrative Sciences</w:t>
      </w:r>
      <w:r w:rsidRPr="00E013F2">
        <w:rPr>
          <w:rFonts w:ascii="Calibri" w:hAnsi="Calibri" w:cs="Calibri"/>
        </w:rPr>
        <w:t xml:space="preserve">, </w:t>
      </w:r>
      <w:r w:rsidRPr="00E013F2">
        <w:rPr>
          <w:rFonts w:ascii="Calibri" w:hAnsi="Calibri" w:cs="Calibri"/>
          <w:i/>
          <w:iCs/>
        </w:rPr>
        <w:t>14</w:t>
      </w:r>
      <w:r w:rsidRPr="00E013F2">
        <w:rPr>
          <w:rFonts w:ascii="Calibri" w:hAnsi="Calibri" w:cs="Calibri"/>
        </w:rPr>
        <w:t>(9), 231. https://doi.org/10.3390/admsci14090231</w:t>
      </w:r>
    </w:p>
    <w:p w14:paraId="578DF15B" w14:textId="77777777" w:rsidR="00E013F2" w:rsidRPr="00E013F2" w:rsidRDefault="00E013F2" w:rsidP="00E013F2">
      <w:pPr>
        <w:pStyle w:val="Bibliography"/>
        <w:rPr>
          <w:rFonts w:ascii="Calibri" w:hAnsi="Calibri" w:cs="Calibri"/>
        </w:rPr>
      </w:pPr>
      <w:r w:rsidRPr="00E013F2">
        <w:rPr>
          <w:rFonts w:ascii="Calibri" w:hAnsi="Calibri" w:cs="Calibri"/>
        </w:rPr>
        <w:t xml:space="preserve">Zhang, L., &amp; Ma, Y. (2023). A study of the impact of project-based learning on student learning effects: A meta-analysis study. </w:t>
      </w:r>
      <w:r w:rsidRPr="00E013F2">
        <w:rPr>
          <w:rFonts w:ascii="Calibri" w:hAnsi="Calibri" w:cs="Calibri"/>
          <w:i/>
          <w:iCs/>
        </w:rPr>
        <w:t>Frontiers in Psychology</w:t>
      </w:r>
      <w:r w:rsidRPr="00E013F2">
        <w:rPr>
          <w:rFonts w:ascii="Calibri" w:hAnsi="Calibri" w:cs="Calibri"/>
        </w:rPr>
        <w:t xml:space="preserve">, </w:t>
      </w:r>
      <w:r w:rsidRPr="00E013F2">
        <w:rPr>
          <w:rFonts w:ascii="Calibri" w:hAnsi="Calibri" w:cs="Calibri"/>
          <w:i/>
          <w:iCs/>
        </w:rPr>
        <w:t>14</w:t>
      </w:r>
      <w:r w:rsidRPr="00E013F2">
        <w:rPr>
          <w:rFonts w:ascii="Calibri" w:hAnsi="Calibri" w:cs="Calibri"/>
        </w:rPr>
        <w:t>. https://doi.org/10.3389/fpsyg.2023.1202728</w:t>
      </w:r>
    </w:p>
    <w:p w14:paraId="7B71058C" w14:textId="77777777" w:rsidR="00E013F2" w:rsidRPr="00E013F2" w:rsidRDefault="00E013F2" w:rsidP="00E013F2">
      <w:pPr>
        <w:pStyle w:val="Bibliography"/>
        <w:rPr>
          <w:rFonts w:ascii="Calibri" w:hAnsi="Calibri" w:cs="Calibri"/>
        </w:rPr>
      </w:pPr>
      <w:r w:rsidRPr="00E013F2">
        <w:rPr>
          <w:rFonts w:ascii="Calibri" w:hAnsi="Calibri" w:cs="Calibri"/>
        </w:rPr>
        <w:t xml:space="preserve">Zhou, M., Wang, X., &amp; Wang, R. (2025). Foreign language learning’s role in the development of global competence: A latent profile analysis. </w:t>
      </w:r>
      <w:r w:rsidRPr="00E013F2">
        <w:rPr>
          <w:rFonts w:ascii="Calibri" w:hAnsi="Calibri" w:cs="Calibri"/>
          <w:i/>
          <w:iCs/>
        </w:rPr>
        <w:t xml:space="preserve">Acta </w:t>
      </w:r>
      <w:proofErr w:type="spellStart"/>
      <w:r w:rsidRPr="00E013F2">
        <w:rPr>
          <w:rFonts w:ascii="Calibri" w:hAnsi="Calibri" w:cs="Calibri"/>
          <w:i/>
          <w:iCs/>
        </w:rPr>
        <w:t>Psychologica</w:t>
      </w:r>
      <w:proofErr w:type="spellEnd"/>
      <w:r w:rsidRPr="00E013F2">
        <w:rPr>
          <w:rFonts w:ascii="Calibri" w:hAnsi="Calibri" w:cs="Calibri"/>
        </w:rPr>
        <w:t xml:space="preserve">, </w:t>
      </w:r>
      <w:r w:rsidRPr="00E013F2">
        <w:rPr>
          <w:rFonts w:ascii="Calibri" w:hAnsi="Calibri" w:cs="Calibri"/>
          <w:i/>
          <w:iCs/>
        </w:rPr>
        <w:t>254</w:t>
      </w:r>
      <w:r w:rsidRPr="00E013F2">
        <w:rPr>
          <w:rFonts w:ascii="Calibri" w:hAnsi="Calibri" w:cs="Calibri"/>
        </w:rPr>
        <w:t>, 104850. https://doi.org/10.1016/j.actpsy.2025.104850</w:t>
      </w:r>
    </w:p>
    <w:p w14:paraId="39EED5BA" w14:textId="77777777" w:rsidR="00E013F2" w:rsidRPr="00E013F2" w:rsidRDefault="00E013F2" w:rsidP="00E013F2">
      <w:pPr>
        <w:pStyle w:val="Bibliography"/>
        <w:rPr>
          <w:rFonts w:ascii="Calibri" w:hAnsi="Calibri" w:cs="Calibri"/>
        </w:rPr>
      </w:pPr>
      <w:r w:rsidRPr="00E013F2">
        <w:rPr>
          <w:rFonts w:ascii="Calibri" w:hAnsi="Calibri" w:cs="Calibri"/>
        </w:rPr>
        <w:t xml:space="preserve">Zou, Y., </w:t>
      </w:r>
      <w:proofErr w:type="spellStart"/>
      <w:r w:rsidRPr="00E013F2">
        <w:rPr>
          <w:rFonts w:ascii="Calibri" w:hAnsi="Calibri" w:cs="Calibri"/>
        </w:rPr>
        <w:t>Kuek</w:t>
      </w:r>
      <w:proofErr w:type="spellEnd"/>
      <w:r w:rsidRPr="00E013F2">
        <w:rPr>
          <w:rFonts w:ascii="Calibri" w:hAnsi="Calibri" w:cs="Calibri"/>
        </w:rPr>
        <w:t xml:space="preserve">, F., Feng, W., &amp; Cheng, X. (2025). Digital learning in the 21st century: Trends, challenges, and innovations in technology integration. </w:t>
      </w:r>
      <w:r w:rsidRPr="00E013F2">
        <w:rPr>
          <w:rFonts w:ascii="Calibri" w:hAnsi="Calibri" w:cs="Calibri"/>
          <w:i/>
          <w:iCs/>
        </w:rPr>
        <w:t>Frontiers in Education</w:t>
      </w:r>
      <w:r w:rsidRPr="00E013F2">
        <w:rPr>
          <w:rFonts w:ascii="Calibri" w:hAnsi="Calibri" w:cs="Calibri"/>
        </w:rPr>
        <w:t xml:space="preserve">, </w:t>
      </w:r>
      <w:r w:rsidRPr="00E013F2">
        <w:rPr>
          <w:rFonts w:ascii="Calibri" w:hAnsi="Calibri" w:cs="Calibri"/>
          <w:i/>
          <w:iCs/>
        </w:rPr>
        <w:t>10</w:t>
      </w:r>
      <w:r w:rsidRPr="00E013F2">
        <w:rPr>
          <w:rFonts w:ascii="Calibri" w:hAnsi="Calibri" w:cs="Calibri"/>
        </w:rPr>
        <w:t>, 1562391. https://doi.org/10.3389/feduc.2025.1562391</w:t>
      </w:r>
    </w:p>
    <w:p w14:paraId="6BC858A4" w14:textId="4065F155" w:rsidR="0086381A" w:rsidRPr="0086381A" w:rsidRDefault="0086381A" w:rsidP="00BE4734">
      <w:pPr>
        <w:spacing w:after="0" w:line="240" w:lineRule="auto"/>
        <w:rPr>
          <w:b/>
          <w:bCs/>
        </w:rPr>
      </w:pPr>
      <w:r>
        <w:rPr>
          <w:b/>
          <w:bCs/>
        </w:rPr>
        <w:fldChar w:fldCharType="end"/>
      </w:r>
    </w:p>
    <w:sectPr w:rsidR="0086381A" w:rsidRPr="0086381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69C1C" w14:textId="77777777" w:rsidR="002C33FB" w:rsidRDefault="002C33FB" w:rsidP="00EA6078">
      <w:pPr>
        <w:spacing w:after="0" w:line="240" w:lineRule="auto"/>
      </w:pPr>
      <w:r>
        <w:separator/>
      </w:r>
    </w:p>
  </w:endnote>
  <w:endnote w:type="continuationSeparator" w:id="0">
    <w:p w14:paraId="3F0D529E" w14:textId="77777777" w:rsidR="002C33FB" w:rsidRDefault="002C33FB" w:rsidP="00EA6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7890E" w14:textId="77777777" w:rsidR="00EA6078" w:rsidRDefault="00EA6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5E356" w14:textId="77777777" w:rsidR="00EA6078" w:rsidRDefault="00EA60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B16FF" w14:textId="77777777" w:rsidR="00EA6078" w:rsidRDefault="00EA6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5E2DD" w14:textId="77777777" w:rsidR="002C33FB" w:rsidRDefault="002C33FB" w:rsidP="00EA6078">
      <w:pPr>
        <w:spacing w:after="0" w:line="240" w:lineRule="auto"/>
      </w:pPr>
      <w:r>
        <w:separator/>
      </w:r>
    </w:p>
  </w:footnote>
  <w:footnote w:type="continuationSeparator" w:id="0">
    <w:p w14:paraId="7596E506" w14:textId="77777777" w:rsidR="002C33FB" w:rsidRDefault="002C33FB" w:rsidP="00EA6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1B22A" w14:textId="2D7A3C42" w:rsidR="00EA6078" w:rsidRDefault="002C33FB">
    <w:pPr>
      <w:pStyle w:val="Header"/>
    </w:pPr>
    <w:r>
      <w:rPr>
        <w:noProof/>
      </w:rPr>
      <w:pict w14:anchorId="59BC72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4"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930BF" w14:textId="5182B62E" w:rsidR="00EA6078" w:rsidRDefault="002C33FB">
    <w:pPr>
      <w:pStyle w:val="Header"/>
    </w:pPr>
    <w:r>
      <w:rPr>
        <w:noProof/>
      </w:rPr>
      <w:pict w14:anchorId="13B2E8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5"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F7BF3" w14:textId="56EFC2CC" w:rsidR="00EA6078" w:rsidRDefault="002C33FB">
    <w:pPr>
      <w:pStyle w:val="Header"/>
    </w:pPr>
    <w:r>
      <w:rPr>
        <w:noProof/>
      </w:rPr>
      <w:pict w14:anchorId="77A6D9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3"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40"/>
    <w:rsid w:val="0002334C"/>
    <w:rsid w:val="000320F3"/>
    <w:rsid w:val="00051CC8"/>
    <w:rsid w:val="00082A77"/>
    <w:rsid w:val="00137E6B"/>
    <w:rsid w:val="001C7DFC"/>
    <w:rsid w:val="002C33FB"/>
    <w:rsid w:val="0040670A"/>
    <w:rsid w:val="0043488A"/>
    <w:rsid w:val="004E6CD8"/>
    <w:rsid w:val="00503C35"/>
    <w:rsid w:val="00592B4A"/>
    <w:rsid w:val="00601142"/>
    <w:rsid w:val="00605DF6"/>
    <w:rsid w:val="007A31C5"/>
    <w:rsid w:val="00805C09"/>
    <w:rsid w:val="0081530C"/>
    <w:rsid w:val="0086381A"/>
    <w:rsid w:val="00876D76"/>
    <w:rsid w:val="008B7E97"/>
    <w:rsid w:val="00915AF0"/>
    <w:rsid w:val="00935E55"/>
    <w:rsid w:val="009563DE"/>
    <w:rsid w:val="0098536C"/>
    <w:rsid w:val="00A04F93"/>
    <w:rsid w:val="00A43336"/>
    <w:rsid w:val="00A51890"/>
    <w:rsid w:val="00AB55ED"/>
    <w:rsid w:val="00B50018"/>
    <w:rsid w:val="00BE4734"/>
    <w:rsid w:val="00C70214"/>
    <w:rsid w:val="00E013F2"/>
    <w:rsid w:val="00E85940"/>
    <w:rsid w:val="00EA6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05C617"/>
  <w15:chartTrackingRefBased/>
  <w15:docId w15:val="{A4AC50BB-B03E-4818-8722-18704612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0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59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59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94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859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940"/>
    <w:rPr>
      <w:b/>
      <w:bCs/>
    </w:rPr>
  </w:style>
  <w:style w:type="character" w:styleId="Emphasis">
    <w:name w:val="Emphasis"/>
    <w:basedOn w:val="DefaultParagraphFont"/>
    <w:uiPriority w:val="20"/>
    <w:qFormat/>
    <w:rsid w:val="00E85940"/>
    <w:rPr>
      <w:i/>
      <w:iCs/>
    </w:rPr>
  </w:style>
  <w:style w:type="character" w:customStyle="1" w:styleId="Heading3Char">
    <w:name w:val="Heading 3 Char"/>
    <w:basedOn w:val="DefaultParagraphFont"/>
    <w:link w:val="Heading3"/>
    <w:uiPriority w:val="9"/>
    <w:semiHidden/>
    <w:rsid w:val="00E8594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320F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320F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6381A"/>
    <w:pPr>
      <w:spacing w:after="0" w:line="480" w:lineRule="auto"/>
      <w:ind w:left="720" w:hanging="720"/>
    </w:pPr>
  </w:style>
  <w:style w:type="character" w:styleId="Hyperlink">
    <w:name w:val="Hyperlink"/>
    <w:basedOn w:val="DefaultParagraphFont"/>
    <w:uiPriority w:val="99"/>
    <w:unhideWhenUsed/>
    <w:rsid w:val="00AB55ED"/>
    <w:rPr>
      <w:color w:val="0563C1" w:themeColor="hyperlink"/>
      <w:u w:val="single"/>
    </w:rPr>
  </w:style>
  <w:style w:type="character" w:styleId="UnresolvedMention">
    <w:name w:val="Unresolved Mention"/>
    <w:basedOn w:val="DefaultParagraphFont"/>
    <w:uiPriority w:val="99"/>
    <w:semiHidden/>
    <w:unhideWhenUsed/>
    <w:rsid w:val="00AB55ED"/>
    <w:rPr>
      <w:color w:val="605E5C"/>
      <w:shd w:val="clear" w:color="auto" w:fill="E1DFDD"/>
    </w:rPr>
  </w:style>
  <w:style w:type="paragraph" w:styleId="Header">
    <w:name w:val="header"/>
    <w:basedOn w:val="Normal"/>
    <w:link w:val="HeaderChar"/>
    <w:uiPriority w:val="99"/>
    <w:unhideWhenUsed/>
    <w:rsid w:val="00EA6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078"/>
  </w:style>
  <w:style w:type="paragraph" w:styleId="Footer">
    <w:name w:val="footer"/>
    <w:basedOn w:val="Normal"/>
    <w:link w:val="FooterChar"/>
    <w:uiPriority w:val="99"/>
    <w:unhideWhenUsed/>
    <w:rsid w:val="00EA6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5146">
      <w:bodyDiv w:val="1"/>
      <w:marLeft w:val="0"/>
      <w:marRight w:val="0"/>
      <w:marTop w:val="0"/>
      <w:marBottom w:val="0"/>
      <w:divBdr>
        <w:top w:val="none" w:sz="0" w:space="0" w:color="auto"/>
        <w:left w:val="none" w:sz="0" w:space="0" w:color="auto"/>
        <w:bottom w:val="none" w:sz="0" w:space="0" w:color="auto"/>
        <w:right w:val="none" w:sz="0" w:space="0" w:color="auto"/>
      </w:divBdr>
    </w:div>
    <w:div w:id="16589046">
      <w:bodyDiv w:val="1"/>
      <w:marLeft w:val="0"/>
      <w:marRight w:val="0"/>
      <w:marTop w:val="0"/>
      <w:marBottom w:val="0"/>
      <w:divBdr>
        <w:top w:val="none" w:sz="0" w:space="0" w:color="auto"/>
        <w:left w:val="none" w:sz="0" w:space="0" w:color="auto"/>
        <w:bottom w:val="none" w:sz="0" w:space="0" w:color="auto"/>
        <w:right w:val="none" w:sz="0" w:space="0" w:color="auto"/>
      </w:divBdr>
    </w:div>
    <w:div w:id="50737263">
      <w:bodyDiv w:val="1"/>
      <w:marLeft w:val="0"/>
      <w:marRight w:val="0"/>
      <w:marTop w:val="0"/>
      <w:marBottom w:val="0"/>
      <w:divBdr>
        <w:top w:val="none" w:sz="0" w:space="0" w:color="auto"/>
        <w:left w:val="none" w:sz="0" w:space="0" w:color="auto"/>
        <w:bottom w:val="none" w:sz="0" w:space="0" w:color="auto"/>
        <w:right w:val="none" w:sz="0" w:space="0" w:color="auto"/>
      </w:divBdr>
    </w:div>
    <w:div w:id="84502665">
      <w:bodyDiv w:val="1"/>
      <w:marLeft w:val="0"/>
      <w:marRight w:val="0"/>
      <w:marTop w:val="0"/>
      <w:marBottom w:val="0"/>
      <w:divBdr>
        <w:top w:val="none" w:sz="0" w:space="0" w:color="auto"/>
        <w:left w:val="none" w:sz="0" w:space="0" w:color="auto"/>
        <w:bottom w:val="none" w:sz="0" w:space="0" w:color="auto"/>
        <w:right w:val="none" w:sz="0" w:space="0" w:color="auto"/>
      </w:divBdr>
    </w:div>
    <w:div w:id="113644494">
      <w:bodyDiv w:val="1"/>
      <w:marLeft w:val="0"/>
      <w:marRight w:val="0"/>
      <w:marTop w:val="0"/>
      <w:marBottom w:val="0"/>
      <w:divBdr>
        <w:top w:val="none" w:sz="0" w:space="0" w:color="auto"/>
        <w:left w:val="none" w:sz="0" w:space="0" w:color="auto"/>
        <w:bottom w:val="none" w:sz="0" w:space="0" w:color="auto"/>
        <w:right w:val="none" w:sz="0" w:space="0" w:color="auto"/>
      </w:divBdr>
    </w:div>
    <w:div w:id="158619307">
      <w:bodyDiv w:val="1"/>
      <w:marLeft w:val="0"/>
      <w:marRight w:val="0"/>
      <w:marTop w:val="0"/>
      <w:marBottom w:val="0"/>
      <w:divBdr>
        <w:top w:val="none" w:sz="0" w:space="0" w:color="auto"/>
        <w:left w:val="none" w:sz="0" w:space="0" w:color="auto"/>
        <w:bottom w:val="none" w:sz="0" w:space="0" w:color="auto"/>
        <w:right w:val="none" w:sz="0" w:space="0" w:color="auto"/>
      </w:divBdr>
    </w:div>
    <w:div w:id="198011687">
      <w:bodyDiv w:val="1"/>
      <w:marLeft w:val="0"/>
      <w:marRight w:val="0"/>
      <w:marTop w:val="0"/>
      <w:marBottom w:val="0"/>
      <w:divBdr>
        <w:top w:val="none" w:sz="0" w:space="0" w:color="auto"/>
        <w:left w:val="none" w:sz="0" w:space="0" w:color="auto"/>
        <w:bottom w:val="none" w:sz="0" w:space="0" w:color="auto"/>
        <w:right w:val="none" w:sz="0" w:space="0" w:color="auto"/>
      </w:divBdr>
    </w:div>
    <w:div w:id="200900066">
      <w:bodyDiv w:val="1"/>
      <w:marLeft w:val="0"/>
      <w:marRight w:val="0"/>
      <w:marTop w:val="0"/>
      <w:marBottom w:val="0"/>
      <w:divBdr>
        <w:top w:val="none" w:sz="0" w:space="0" w:color="auto"/>
        <w:left w:val="none" w:sz="0" w:space="0" w:color="auto"/>
        <w:bottom w:val="none" w:sz="0" w:space="0" w:color="auto"/>
        <w:right w:val="none" w:sz="0" w:space="0" w:color="auto"/>
      </w:divBdr>
    </w:div>
    <w:div w:id="201793461">
      <w:bodyDiv w:val="1"/>
      <w:marLeft w:val="0"/>
      <w:marRight w:val="0"/>
      <w:marTop w:val="0"/>
      <w:marBottom w:val="0"/>
      <w:divBdr>
        <w:top w:val="none" w:sz="0" w:space="0" w:color="auto"/>
        <w:left w:val="none" w:sz="0" w:space="0" w:color="auto"/>
        <w:bottom w:val="none" w:sz="0" w:space="0" w:color="auto"/>
        <w:right w:val="none" w:sz="0" w:space="0" w:color="auto"/>
      </w:divBdr>
    </w:div>
    <w:div w:id="225800270">
      <w:bodyDiv w:val="1"/>
      <w:marLeft w:val="0"/>
      <w:marRight w:val="0"/>
      <w:marTop w:val="0"/>
      <w:marBottom w:val="0"/>
      <w:divBdr>
        <w:top w:val="none" w:sz="0" w:space="0" w:color="auto"/>
        <w:left w:val="none" w:sz="0" w:space="0" w:color="auto"/>
        <w:bottom w:val="none" w:sz="0" w:space="0" w:color="auto"/>
        <w:right w:val="none" w:sz="0" w:space="0" w:color="auto"/>
      </w:divBdr>
    </w:div>
    <w:div w:id="302006319">
      <w:bodyDiv w:val="1"/>
      <w:marLeft w:val="0"/>
      <w:marRight w:val="0"/>
      <w:marTop w:val="0"/>
      <w:marBottom w:val="0"/>
      <w:divBdr>
        <w:top w:val="none" w:sz="0" w:space="0" w:color="auto"/>
        <w:left w:val="none" w:sz="0" w:space="0" w:color="auto"/>
        <w:bottom w:val="none" w:sz="0" w:space="0" w:color="auto"/>
        <w:right w:val="none" w:sz="0" w:space="0" w:color="auto"/>
      </w:divBdr>
    </w:div>
    <w:div w:id="320695188">
      <w:bodyDiv w:val="1"/>
      <w:marLeft w:val="0"/>
      <w:marRight w:val="0"/>
      <w:marTop w:val="0"/>
      <w:marBottom w:val="0"/>
      <w:divBdr>
        <w:top w:val="none" w:sz="0" w:space="0" w:color="auto"/>
        <w:left w:val="none" w:sz="0" w:space="0" w:color="auto"/>
        <w:bottom w:val="none" w:sz="0" w:space="0" w:color="auto"/>
        <w:right w:val="none" w:sz="0" w:space="0" w:color="auto"/>
      </w:divBdr>
    </w:div>
    <w:div w:id="482964807">
      <w:bodyDiv w:val="1"/>
      <w:marLeft w:val="0"/>
      <w:marRight w:val="0"/>
      <w:marTop w:val="0"/>
      <w:marBottom w:val="0"/>
      <w:divBdr>
        <w:top w:val="none" w:sz="0" w:space="0" w:color="auto"/>
        <w:left w:val="none" w:sz="0" w:space="0" w:color="auto"/>
        <w:bottom w:val="none" w:sz="0" w:space="0" w:color="auto"/>
        <w:right w:val="none" w:sz="0" w:space="0" w:color="auto"/>
      </w:divBdr>
    </w:div>
    <w:div w:id="509028511">
      <w:bodyDiv w:val="1"/>
      <w:marLeft w:val="0"/>
      <w:marRight w:val="0"/>
      <w:marTop w:val="0"/>
      <w:marBottom w:val="0"/>
      <w:divBdr>
        <w:top w:val="none" w:sz="0" w:space="0" w:color="auto"/>
        <w:left w:val="none" w:sz="0" w:space="0" w:color="auto"/>
        <w:bottom w:val="none" w:sz="0" w:space="0" w:color="auto"/>
        <w:right w:val="none" w:sz="0" w:space="0" w:color="auto"/>
      </w:divBdr>
    </w:div>
    <w:div w:id="634064773">
      <w:bodyDiv w:val="1"/>
      <w:marLeft w:val="0"/>
      <w:marRight w:val="0"/>
      <w:marTop w:val="0"/>
      <w:marBottom w:val="0"/>
      <w:divBdr>
        <w:top w:val="none" w:sz="0" w:space="0" w:color="auto"/>
        <w:left w:val="none" w:sz="0" w:space="0" w:color="auto"/>
        <w:bottom w:val="none" w:sz="0" w:space="0" w:color="auto"/>
        <w:right w:val="none" w:sz="0" w:space="0" w:color="auto"/>
      </w:divBdr>
      <w:divsChild>
        <w:div w:id="770398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777950">
      <w:bodyDiv w:val="1"/>
      <w:marLeft w:val="0"/>
      <w:marRight w:val="0"/>
      <w:marTop w:val="0"/>
      <w:marBottom w:val="0"/>
      <w:divBdr>
        <w:top w:val="none" w:sz="0" w:space="0" w:color="auto"/>
        <w:left w:val="none" w:sz="0" w:space="0" w:color="auto"/>
        <w:bottom w:val="none" w:sz="0" w:space="0" w:color="auto"/>
        <w:right w:val="none" w:sz="0" w:space="0" w:color="auto"/>
      </w:divBdr>
    </w:div>
    <w:div w:id="722563430">
      <w:bodyDiv w:val="1"/>
      <w:marLeft w:val="0"/>
      <w:marRight w:val="0"/>
      <w:marTop w:val="0"/>
      <w:marBottom w:val="0"/>
      <w:divBdr>
        <w:top w:val="none" w:sz="0" w:space="0" w:color="auto"/>
        <w:left w:val="none" w:sz="0" w:space="0" w:color="auto"/>
        <w:bottom w:val="none" w:sz="0" w:space="0" w:color="auto"/>
        <w:right w:val="none" w:sz="0" w:space="0" w:color="auto"/>
      </w:divBdr>
    </w:div>
    <w:div w:id="760293371">
      <w:bodyDiv w:val="1"/>
      <w:marLeft w:val="0"/>
      <w:marRight w:val="0"/>
      <w:marTop w:val="0"/>
      <w:marBottom w:val="0"/>
      <w:divBdr>
        <w:top w:val="none" w:sz="0" w:space="0" w:color="auto"/>
        <w:left w:val="none" w:sz="0" w:space="0" w:color="auto"/>
        <w:bottom w:val="none" w:sz="0" w:space="0" w:color="auto"/>
        <w:right w:val="none" w:sz="0" w:space="0" w:color="auto"/>
      </w:divBdr>
    </w:div>
    <w:div w:id="880628829">
      <w:bodyDiv w:val="1"/>
      <w:marLeft w:val="0"/>
      <w:marRight w:val="0"/>
      <w:marTop w:val="0"/>
      <w:marBottom w:val="0"/>
      <w:divBdr>
        <w:top w:val="none" w:sz="0" w:space="0" w:color="auto"/>
        <w:left w:val="none" w:sz="0" w:space="0" w:color="auto"/>
        <w:bottom w:val="none" w:sz="0" w:space="0" w:color="auto"/>
        <w:right w:val="none" w:sz="0" w:space="0" w:color="auto"/>
      </w:divBdr>
    </w:div>
    <w:div w:id="967080970">
      <w:bodyDiv w:val="1"/>
      <w:marLeft w:val="0"/>
      <w:marRight w:val="0"/>
      <w:marTop w:val="0"/>
      <w:marBottom w:val="0"/>
      <w:divBdr>
        <w:top w:val="none" w:sz="0" w:space="0" w:color="auto"/>
        <w:left w:val="none" w:sz="0" w:space="0" w:color="auto"/>
        <w:bottom w:val="none" w:sz="0" w:space="0" w:color="auto"/>
        <w:right w:val="none" w:sz="0" w:space="0" w:color="auto"/>
      </w:divBdr>
    </w:div>
    <w:div w:id="1010832895">
      <w:bodyDiv w:val="1"/>
      <w:marLeft w:val="0"/>
      <w:marRight w:val="0"/>
      <w:marTop w:val="0"/>
      <w:marBottom w:val="0"/>
      <w:divBdr>
        <w:top w:val="none" w:sz="0" w:space="0" w:color="auto"/>
        <w:left w:val="none" w:sz="0" w:space="0" w:color="auto"/>
        <w:bottom w:val="none" w:sz="0" w:space="0" w:color="auto"/>
        <w:right w:val="none" w:sz="0" w:space="0" w:color="auto"/>
      </w:divBdr>
    </w:div>
    <w:div w:id="1044671453">
      <w:bodyDiv w:val="1"/>
      <w:marLeft w:val="0"/>
      <w:marRight w:val="0"/>
      <w:marTop w:val="0"/>
      <w:marBottom w:val="0"/>
      <w:divBdr>
        <w:top w:val="none" w:sz="0" w:space="0" w:color="auto"/>
        <w:left w:val="none" w:sz="0" w:space="0" w:color="auto"/>
        <w:bottom w:val="none" w:sz="0" w:space="0" w:color="auto"/>
        <w:right w:val="none" w:sz="0" w:space="0" w:color="auto"/>
      </w:divBdr>
    </w:div>
    <w:div w:id="1093941301">
      <w:bodyDiv w:val="1"/>
      <w:marLeft w:val="0"/>
      <w:marRight w:val="0"/>
      <w:marTop w:val="0"/>
      <w:marBottom w:val="0"/>
      <w:divBdr>
        <w:top w:val="none" w:sz="0" w:space="0" w:color="auto"/>
        <w:left w:val="none" w:sz="0" w:space="0" w:color="auto"/>
        <w:bottom w:val="none" w:sz="0" w:space="0" w:color="auto"/>
        <w:right w:val="none" w:sz="0" w:space="0" w:color="auto"/>
      </w:divBdr>
    </w:div>
    <w:div w:id="1096636156">
      <w:bodyDiv w:val="1"/>
      <w:marLeft w:val="0"/>
      <w:marRight w:val="0"/>
      <w:marTop w:val="0"/>
      <w:marBottom w:val="0"/>
      <w:divBdr>
        <w:top w:val="none" w:sz="0" w:space="0" w:color="auto"/>
        <w:left w:val="none" w:sz="0" w:space="0" w:color="auto"/>
        <w:bottom w:val="none" w:sz="0" w:space="0" w:color="auto"/>
        <w:right w:val="none" w:sz="0" w:space="0" w:color="auto"/>
      </w:divBdr>
      <w:divsChild>
        <w:div w:id="2088111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445490">
      <w:bodyDiv w:val="1"/>
      <w:marLeft w:val="0"/>
      <w:marRight w:val="0"/>
      <w:marTop w:val="0"/>
      <w:marBottom w:val="0"/>
      <w:divBdr>
        <w:top w:val="none" w:sz="0" w:space="0" w:color="auto"/>
        <w:left w:val="none" w:sz="0" w:space="0" w:color="auto"/>
        <w:bottom w:val="none" w:sz="0" w:space="0" w:color="auto"/>
        <w:right w:val="none" w:sz="0" w:space="0" w:color="auto"/>
      </w:divBdr>
    </w:div>
    <w:div w:id="1133333809">
      <w:bodyDiv w:val="1"/>
      <w:marLeft w:val="0"/>
      <w:marRight w:val="0"/>
      <w:marTop w:val="0"/>
      <w:marBottom w:val="0"/>
      <w:divBdr>
        <w:top w:val="none" w:sz="0" w:space="0" w:color="auto"/>
        <w:left w:val="none" w:sz="0" w:space="0" w:color="auto"/>
        <w:bottom w:val="none" w:sz="0" w:space="0" w:color="auto"/>
        <w:right w:val="none" w:sz="0" w:space="0" w:color="auto"/>
      </w:divBdr>
    </w:div>
    <w:div w:id="1302729170">
      <w:bodyDiv w:val="1"/>
      <w:marLeft w:val="0"/>
      <w:marRight w:val="0"/>
      <w:marTop w:val="0"/>
      <w:marBottom w:val="0"/>
      <w:divBdr>
        <w:top w:val="none" w:sz="0" w:space="0" w:color="auto"/>
        <w:left w:val="none" w:sz="0" w:space="0" w:color="auto"/>
        <w:bottom w:val="none" w:sz="0" w:space="0" w:color="auto"/>
        <w:right w:val="none" w:sz="0" w:space="0" w:color="auto"/>
      </w:divBdr>
    </w:div>
    <w:div w:id="1394549559">
      <w:bodyDiv w:val="1"/>
      <w:marLeft w:val="0"/>
      <w:marRight w:val="0"/>
      <w:marTop w:val="0"/>
      <w:marBottom w:val="0"/>
      <w:divBdr>
        <w:top w:val="none" w:sz="0" w:space="0" w:color="auto"/>
        <w:left w:val="none" w:sz="0" w:space="0" w:color="auto"/>
        <w:bottom w:val="none" w:sz="0" w:space="0" w:color="auto"/>
        <w:right w:val="none" w:sz="0" w:space="0" w:color="auto"/>
      </w:divBdr>
    </w:div>
    <w:div w:id="1437822977">
      <w:bodyDiv w:val="1"/>
      <w:marLeft w:val="0"/>
      <w:marRight w:val="0"/>
      <w:marTop w:val="0"/>
      <w:marBottom w:val="0"/>
      <w:divBdr>
        <w:top w:val="none" w:sz="0" w:space="0" w:color="auto"/>
        <w:left w:val="none" w:sz="0" w:space="0" w:color="auto"/>
        <w:bottom w:val="none" w:sz="0" w:space="0" w:color="auto"/>
        <w:right w:val="none" w:sz="0" w:space="0" w:color="auto"/>
      </w:divBdr>
    </w:div>
    <w:div w:id="1499929921">
      <w:bodyDiv w:val="1"/>
      <w:marLeft w:val="0"/>
      <w:marRight w:val="0"/>
      <w:marTop w:val="0"/>
      <w:marBottom w:val="0"/>
      <w:divBdr>
        <w:top w:val="none" w:sz="0" w:space="0" w:color="auto"/>
        <w:left w:val="none" w:sz="0" w:space="0" w:color="auto"/>
        <w:bottom w:val="none" w:sz="0" w:space="0" w:color="auto"/>
        <w:right w:val="none" w:sz="0" w:space="0" w:color="auto"/>
      </w:divBdr>
    </w:div>
    <w:div w:id="1520703799">
      <w:bodyDiv w:val="1"/>
      <w:marLeft w:val="0"/>
      <w:marRight w:val="0"/>
      <w:marTop w:val="0"/>
      <w:marBottom w:val="0"/>
      <w:divBdr>
        <w:top w:val="none" w:sz="0" w:space="0" w:color="auto"/>
        <w:left w:val="none" w:sz="0" w:space="0" w:color="auto"/>
        <w:bottom w:val="none" w:sz="0" w:space="0" w:color="auto"/>
        <w:right w:val="none" w:sz="0" w:space="0" w:color="auto"/>
      </w:divBdr>
    </w:div>
    <w:div w:id="1557011971">
      <w:bodyDiv w:val="1"/>
      <w:marLeft w:val="0"/>
      <w:marRight w:val="0"/>
      <w:marTop w:val="0"/>
      <w:marBottom w:val="0"/>
      <w:divBdr>
        <w:top w:val="none" w:sz="0" w:space="0" w:color="auto"/>
        <w:left w:val="none" w:sz="0" w:space="0" w:color="auto"/>
        <w:bottom w:val="none" w:sz="0" w:space="0" w:color="auto"/>
        <w:right w:val="none" w:sz="0" w:space="0" w:color="auto"/>
      </w:divBdr>
    </w:div>
    <w:div w:id="1565752186">
      <w:bodyDiv w:val="1"/>
      <w:marLeft w:val="0"/>
      <w:marRight w:val="0"/>
      <w:marTop w:val="0"/>
      <w:marBottom w:val="0"/>
      <w:divBdr>
        <w:top w:val="none" w:sz="0" w:space="0" w:color="auto"/>
        <w:left w:val="none" w:sz="0" w:space="0" w:color="auto"/>
        <w:bottom w:val="none" w:sz="0" w:space="0" w:color="auto"/>
        <w:right w:val="none" w:sz="0" w:space="0" w:color="auto"/>
      </w:divBdr>
    </w:div>
    <w:div w:id="1581452155">
      <w:bodyDiv w:val="1"/>
      <w:marLeft w:val="0"/>
      <w:marRight w:val="0"/>
      <w:marTop w:val="0"/>
      <w:marBottom w:val="0"/>
      <w:divBdr>
        <w:top w:val="none" w:sz="0" w:space="0" w:color="auto"/>
        <w:left w:val="none" w:sz="0" w:space="0" w:color="auto"/>
        <w:bottom w:val="none" w:sz="0" w:space="0" w:color="auto"/>
        <w:right w:val="none" w:sz="0" w:space="0" w:color="auto"/>
      </w:divBdr>
      <w:divsChild>
        <w:div w:id="1090585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1163686">
      <w:bodyDiv w:val="1"/>
      <w:marLeft w:val="0"/>
      <w:marRight w:val="0"/>
      <w:marTop w:val="0"/>
      <w:marBottom w:val="0"/>
      <w:divBdr>
        <w:top w:val="none" w:sz="0" w:space="0" w:color="auto"/>
        <w:left w:val="none" w:sz="0" w:space="0" w:color="auto"/>
        <w:bottom w:val="none" w:sz="0" w:space="0" w:color="auto"/>
        <w:right w:val="none" w:sz="0" w:space="0" w:color="auto"/>
      </w:divBdr>
    </w:div>
    <w:div w:id="1632399339">
      <w:bodyDiv w:val="1"/>
      <w:marLeft w:val="0"/>
      <w:marRight w:val="0"/>
      <w:marTop w:val="0"/>
      <w:marBottom w:val="0"/>
      <w:divBdr>
        <w:top w:val="none" w:sz="0" w:space="0" w:color="auto"/>
        <w:left w:val="none" w:sz="0" w:space="0" w:color="auto"/>
        <w:bottom w:val="none" w:sz="0" w:space="0" w:color="auto"/>
        <w:right w:val="none" w:sz="0" w:space="0" w:color="auto"/>
      </w:divBdr>
    </w:div>
    <w:div w:id="1660579530">
      <w:bodyDiv w:val="1"/>
      <w:marLeft w:val="0"/>
      <w:marRight w:val="0"/>
      <w:marTop w:val="0"/>
      <w:marBottom w:val="0"/>
      <w:divBdr>
        <w:top w:val="none" w:sz="0" w:space="0" w:color="auto"/>
        <w:left w:val="none" w:sz="0" w:space="0" w:color="auto"/>
        <w:bottom w:val="none" w:sz="0" w:space="0" w:color="auto"/>
        <w:right w:val="none" w:sz="0" w:space="0" w:color="auto"/>
      </w:divBdr>
    </w:div>
    <w:div w:id="1686437949">
      <w:bodyDiv w:val="1"/>
      <w:marLeft w:val="0"/>
      <w:marRight w:val="0"/>
      <w:marTop w:val="0"/>
      <w:marBottom w:val="0"/>
      <w:divBdr>
        <w:top w:val="none" w:sz="0" w:space="0" w:color="auto"/>
        <w:left w:val="none" w:sz="0" w:space="0" w:color="auto"/>
        <w:bottom w:val="none" w:sz="0" w:space="0" w:color="auto"/>
        <w:right w:val="none" w:sz="0" w:space="0" w:color="auto"/>
      </w:divBdr>
    </w:div>
    <w:div w:id="1705860937">
      <w:bodyDiv w:val="1"/>
      <w:marLeft w:val="0"/>
      <w:marRight w:val="0"/>
      <w:marTop w:val="0"/>
      <w:marBottom w:val="0"/>
      <w:divBdr>
        <w:top w:val="none" w:sz="0" w:space="0" w:color="auto"/>
        <w:left w:val="none" w:sz="0" w:space="0" w:color="auto"/>
        <w:bottom w:val="none" w:sz="0" w:space="0" w:color="auto"/>
        <w:right w:val="none" w:sz="0" w:space="0" w:color="auto"/>
      </w:divBdr>
    </w:div>
    <w:div w:id="1760249374">
      <w:bodyDiv w:val="1"/>
      <w:marLeft w:val="0"/>
      <w:marRight w:val="0"/>
      <w:marTop w:val="0"/>
      <w:marBottom w:val="0"/>
      <w:divBdr>
        <w:top w:val="none" w:sz="0" w:space="0" w:color="auto"/>
        <w:left w:val="none" w:sz="0" w:space="0" w:color="auto"/>
        <w:bottom w:val="none" w:sz="0" w:space="0" w:color="auto"/>
        <w:right w:val="none" w:sz="0" w:space="0" w:color="auto"/>
      </w:divBdr>
    </w:div>
    <w:div w:id="1762988316">
      <w:bodyDiv w:val="1"/>
      <w:marLeft w:val="0"/>
      <w:marRight w:val="0"/>
      <w:marTop w:val="0"/>
      <w:marBottom w:val="0"/>
      <w:divBdr>
        <w:top w:val="none" w:sz="0" w:space="0" w:color="auto"/>
        <w:left w:val="none" w:sz="0" w:space="0" w:color="auto"/>
        <w:bottom w:val="none" w:sz="0" w:space="0" w:color="auto"/>
        <w:right w:val="none" w:sz="0" w:space="0" w:color="auto"/>
      </w:divBdr>
    </w:div>
    <w:div w:id="1782724217">
      <w:bodyDiv w:val="1"/>
      <w:marLeft w:val="0"/>
      <w:marRight w:val="0"/>
      <w:marTop w:val="0"/>
      <w:marBottom w:val="0"/>
      <w:divBdr>
        <w:top w:val="none" w:sz="0" w:space="0" w:color="auto"/>
        <w:left w:val="none" w:sz="0" w:space="0" w:color="auto"/>
        <w:bottom w:val="none" w:sz="0" w:space="0" w:color="auto"/>
        <w:right w:val="none" w:sz="0" w:space="0" w:color="auto"/>
      </w:divBdr>
    </w:div>
    <w:div w:id="1820609593">
      <w:bodyDiv w:val="1"/>
      <w:marLeft w:val="0"/>
      <w:marRight w:val="0"/>
      <w:marTop w:val="0"/>
      <w:marBottom w:val="0"/>
      <w:divBdr>
        <w:top w:val="none" w:sz="0" w:space="0" w:color="auto"/>
        <w:left w:val="none" w:sz="0" w:space="0" w:color="auto"/>
        <w:bottom w:val="none" w:sz="0" w:space="0" w:color="auto"/>
        <w:right w:val="none" w:sz="0" w:space="0" w:color="auto"/>
      </w:divBdr>
    </w:div>
    <w:div w:id="1854807839">
      <w:bodyDiv w:val="1"/>
      <w:marLeft w:val="0"/>
      <w:marRight w:val="0"/>
      <w:marTop w:val="0"/>
      <w:marBottom w:val="0"/>
      <w:divBdr>
        <w:top w:val="none" w:sz="0" w:space="0" w:color="auto"/>
        <w:left w:val="none" w:sz="0" w:space="0" w:color="auto"/>
        <w:bottom w:val="none" w:sz="0" w:space="0" w:color="auto"/>
        <w:right w:val="none" w:sz="0" w:space="0" w:color="auto"/>
      </w:divBdr>
    </w:div>
    <w:div w:id="1889610992">
      <w:bodyDiv w:val="1"/>
      <w:marLeft w:val="0"/>
      <w:marRight w:val="0"/>
      <w:marTop w:val="0"/>
      <w:marBottom w:val="0"/>
      <w:divBdr>
        <w:top w:val="none" w:sz="0" w:space="0" w:color="auto"/>
        <w:left w:val="none" w:sz="0" w:space="0" w:color="auto"/>
        <w:bottom w:val="none" w:sz="0" w:space="0" w:color="auto"/>
        <w:right w:val="none" w:sz="0" w:space="0" w:color="auto"/>
      </w:divBdr>
    </w:div>
    <w:div w:id="1913465805">
      <w:bodyDiv w:val="1"/>
      <w:marLeft w:val="0"/>
      <w:marRight w:val="0"/>
      <w:marTop w:val="0"/>
      <w:marBottom w:val="0"/>
      <w:divBdr>
        <w:top w:val="none" w:sz="0" w:space="0" w:color="auto"/>
        <w:left w:val="none" w:sz="0" w:space="0" w:color="auto"/>
        <w:bottom w:val="none" w:sz="0" w:space="0" w:color="auto"/>
        <w:right w:val="none" w:sz="0" w:space="0" w:color="auto"/>
      </w:divBdr>
      <w:divsChild>
        <w:div w:id="679897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306932">
      <w:bodyDiv w:val="1"/>
      <w:marLeft w:val="0"/>
      <w:marRight w:val="0"/>
      <w:marTop w:val="0"/>
      <w:marBottom w:val="0"/>
      <w:divBdr>
        <w:top w:val="none" w:sz="0" w:space="0" w:color="auto"/>
        <w:left w:val="none" w:sz="0" w:space="0" w:color="auto"/>
        <w:bottom w:val="none" w:sz="0" w:space="0" w:color="auto"/>
        <w:right w:val="none" w:sz="0" w:space="0" w:color="auto"/>
      </w:divBdr>
    </w:div>
    <w:div w:id="1947301542">
      <w:bodyDiv w:val="1"/>
      <w:marLeft w:val="0"/>
      <w:marRight w:val="0"/>
      <w:marTop w:val="0"/>
      <w:marBottom w:val="0"/>
      <w:divBdr>
        <w:top w:val="none" w:sz="0" w:space="0" w:color="auto"/>
        <w:left w:val="none" w:sz="0" w:space="0" w:color="auto"/>
        <w:bottom w:val="none" w:sz="0" w:space="0" w:color="auto"/>
        <w:right w:val="none" w:sz="0" w:space="0" w:color="auto"/>
      </w:divBdr>
    </w:div>
    <w:div w:id="1950624652">
      <w:bodyDiv w:val="1"/>
      <w:marLeft w:val="0"/>
      <w:marRight w:val="0"/>
      <w:marTop w:val="0"/>
      <w:marBottom w:val="0"/>
      <w:divBdr>
        <w:top w:val="none" w:sz="0" w:space="0" w:color="auto"/>
        <w:left w:val="none" w:sz="0" w:space="0" w:color="auto"/>
        <w:bottom w:val="none" w:sz="0" w:space="0" w:color="auto"/>
        <w:right w:val="none" w:sz="0" w:space="0" w:color="auto"/>
      </w:divBdr>
    </w:div>
    <w:div w:id="1953853844">
      <w:bodyDiv w:val="1"/>
      <w:marLeft w:val="0"/>
      <w:marRight w:val="0"/>
      <w:marTop w:val="0"/>
      <w:marBottom w:val="0"/>
      <w:divBdr>
        <w:top w:val="none" w:sz="0" w:space="0" w:color="auto"/>
        <w:left w:val="none" w:sz="0" w:space="0" w:color="auto"/>
        <w:bottom w:val="none" w:sz="0" w:space="0" w:color="auto"/>
        <w:right w:val="none" w:sz="0" w:space="0" w:color="auto"/>
      </w:divBdr>
    </w:div>
    <w:div w:id="1991396791">
      <w:bodyDiv w:val="1"/>
      <w:marLeft w:val="0"/>
      <w:marRight w:val="0"/>
      <w:marTop w:val="0"/>
      <w:marBottom w:val="0"/>
      <w:divBdr>
        <w:top w:val="none" w:sz="0" w:space="0" w:color="auto"/>
        <w:left w:val="none" w:sz="0" w:space="0" w:color="auto"/>
        <w:bottom w:val="none" w:sz="0" w:space="0" w:color="auto"/>
        <w:right w:val="none" w:sz="0" w:space="0" w:color="auto"/>
      </w:divBdr>
    </w:div>
    <w:div w:id="2054957372">
      <w:bodyDiv w:val="1"/>
      <w:marLeft w:val="0"/>
      <w:marRight w:val="0"/>
      <w:marTop w:val="0"/>
      <w:marBottom w:val="0"/>
      <w:divBdr>
        <w:top w:val="none" w:sz="0" w:space="0" w:color="auto"/>
        <w:left w:val="none" w:sz="0" w:space="0" w:color="auto"/>
        <w:bottom w:val="none" w:sz="0" w:space="0" w:color="auto"/>
        <w:right w:val="none" w:sz="0" w:space="0" w:color="auto"/>
      </w:divBdr>
    </w:div>
    <w:div w:id="205908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17</Pages>
  <Words>18573</Words>
  <Characters>105867</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Olabisi Lawal</dc:creator>
  <cp:keywords/>
  <dc:description/>
  <cp:lastModifiedBy>Olabisi Lawal</cp:lastModifiedBy>
  <cp:revision>48</cp:revision>
  <dcterms:created xsi:type="dcterms:W3CDTF">2025-08-13T09:10:00Z</dcterms:created>
  <dcterms:modified xsi:type="dcterms:W3CDTF">2025-08-19T12:44:00Z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id="X30hkedb"/&gt;&lt;style id="http://www.zotero.org/styles/apa" locale="en-US" hasBibliography="1" bibliographyStyleHasBeenSet="1"/&gt;&lt;prefs&gt;&lt;pref name="fieldType" value="Field"/&gt;&lt;/prefs&gt;&lt;/data&gt;</vt:lpwstr>
  </property>
</Properties>
</file>