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ED08" w14:textId="13953759" w:rsidR="00941479" w:rsidRPr="007A0CEC" w:rsidRDefault="00941479" w:rsidP="005529A4">
      <w:pPr>
        <w:shd w:val="clear" w:color="auto" w:fill="FFFFFF"/>
        <w:spacing w:before="206" w:after="206" w:line="360" w:lineRule="auto"/>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The Role of Private Health Schools in Addressing Workforce Shortages: A Case Study of the "Le Bouctou" Network in Mali</w:t>
      </w:r>
    </w:p>
    <w:p w14:paraId="6CD730A2" w14:textId="77777777" w:rsidR="00F1012C" w:rsidRPr="006D398E" w:rsidRDefault="00F1012C" w:rsidP="005529A4">
      <w:pPr>
        <w:shd w:val="clear" w:color="auto" w:fill="FFFFFF"/>
        <w:spacing w:after="0" w:line="360" w:lineRule="auto"/>
        <w:rPr>
          <w:rFonts w:ascii="Times New Roman" w:eastAsia="Times New Roman" w:hAnsi="Times New Roman" w:cs="Times New Roman"/>
          <w:color w:val="404040"/>
          <w:kern w:val="0"/>
          <w:lang w:val="en-US" w:eastAsia="fr-FR"/>
          <w14:ligatures w14:val="none"/>
        </w:rPr>
      </w:pPr>
    </w:p>
    <w:p w14:paraId="4016BF93" w14:textId="398CB49F" w:rsidR="008D51F6" w:rsidRPr="007A0CEC" w:rsidRDefault="008D51F6" w:rsidP="005529A4">
      <w:pPr>
        <w:shd w:val="clear" w:color="auto" w:fill="FFFFFF"/>
        <w:spacing w:before="206" w:after="206" w:line="360" w:lineRule="auto"/>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Abstract</w:t>
      </w:r>
    </w:p>
    <w:p w14:paraId="3FE4A8C4" w14:textId="65FA1319" w:rsidR="008D51F6" w:rsidRPr="007A0CEC" w:rsidRDefault="008D51F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Background</w:t>
      </w:r>
      <w:r w:rsidRPr="007A0CEC">
        <w:rPr>
          <w:rFonts w:ascii="Times New Roman" w:eastAsia="Times New Roman" w:hAnsi="Times New Roman" w:cs="Times New Roman"/>
          <w:color w:val="404040"/>
          <w:kern w:val="0"/>
          <w:lang w:val="en-US" w:eastAsia="fr-FR"/>
          <w14:ligatures w14:val="none"/>
        </w:rPr>
        <w:t>: A youth demographic and a high disease burden contribute significantly to Mali's challenges in having an adequate number of health workers. This gap has been filled by the private health schools, including the “Le Bouctou” network. This study examines these schools on factors related to quality of training, graduate job opportunities, and relevance to national health needs.</w:t>
      </w:r>
    </w:p>
    <w:p w14:paraId="12B57A4A" w14:textId="391B1680" w:rsidR="008D51F6" w:rsidRPr="003119DF" w:rsidRDefault="008D51F6" w:rsidP="005529A4">
      <w:pPr>
        <w:shd w:val="clear" w:color="auto" w:fill="FFFFFF"/>
        <w:spacing w:before="206" w:after="206" w:line="360" w:lineRule="auto"/>
        <w:jc w:val="both"/>
        <w:rPr>
          <w:rFonts w:ascii="Times New Roman" w:eastAsia="Times New Roman" w:hAnsi="Times New Roman" w:cs="Times New Roman"/>
          <w:color w:val="404040"/>
          <w:kern w:val="0"/>
          <w:lang w:eastAsia="fr-FR"/>
          <w14:ligatures w14:val="none"/>
        </w:rPr>
      </w:pPr>
      <w:r w:rsidRPr="007A0CEC">
        <w:rPr>
          <w:rFonts w:ascii="Times New Roman" w:eastAsia="Times New Roman" w:hAnsi="Times New Roman" w:cs="Times New Roman"/>
          <w:b/>
          <w:bCs/>
          <w:color w:val="404040"/>
          <w:kern w:val="0"/>
          <w:lang w:val="en-US" w:eastAsia="fr-FR"/>
          <w14:ligatures w14:val="none"/>
        </w:rPr>
        <w:t>Methods</w:t>
      </w:r>
      <w:r w:rsidRPr="007A0CEC">
        <w:rPr>
          <w:rFonts w:ascii="Times New Roman" w:eastAsia="Times New Roman" w:hAnsi="Times New Roman" w:cs="Times New Roman"/>
          <w:color w:val="404040"/>
          <w:kern w:val="0"/>
          <w:lang w:val="en-US" w:eastAsia="fr-FR"/>
          <w14:ligatures w14:val="none"/>
        </w:rPr>
        <w:t xml:space="preserve">: A mixed-methods study examined administrative data (2019–2023), student surveys (n = 299), and stakeholder interviews. </w:t>
      </w:r>
      <w:r w:rsidRPr="003119DF">
        <w:rPr>
          <w:rFonts w:ascii="Times New Roman" w:eastAsia="Times New Roman" w:hAnsi="Times New Roman" w:cs="Times New Roman"/>
          <w:color w:val="404040"/>
          <w:kern w:val="0"/>
          <w:lang w:eastAsia="fr-FR"/>
          <w14:ligatures w14:val="none"/>
        </w:rPr>
        <w:t>AMAQ-SUP</w:t>
      </w:r>
      <w:r w:rsidR="003119DF" w:rsidRPr="003119DF">
        <w:rPr>
          <w:rFonts w:ascii="Times New Roman" w:eastAsia="Times New Roman" w:hAnsi="Times New Roman" w:cs="Times New Roman"/>
          <w:color w:val="404040"/>
          <w:kern w:val="0"/>
          <w:lang w:eastAsia="fr-FR"/>
          <w14:ligatures w14:val="none"/>
        </w:rPr>
        <w:t xml:space="preserve"> (Agence Malienne d'Assurance Qualité de l'Enseignement Supérieur) </w:t>
      </w:r>
      <w:proofErr w:type="spellStart"/>
      <w:r w:rsidRPr="003119DF">
        <w:rPr>
          <w:rFonts w:ascii="Times New Roman" w:eastAsia="Times New Roman" w:hAnsi="Times New Roman" w:cs="Times New Roman"/>
          <w:color w:val="404040"/>
          <w:kern w:val="0"/>
          <w:lang w:eastAsia="fr-FR"/>
          <w14:ligatures w14:val="none"/>
        </w:rPr>
        <w:t>evaluated</w:t>
      </w:r>
      <w:proofErr w:type="spellEnd"/>
      <w:r w:rsidRPr="003119DF">
        <w:rPr>
          <w:rFonts w:ascii="Times New Roman" w:eastAsia="Times New Roman" w:hAnsi="Times New Roman" w:cs="Times New Roman"/>
          <w:color w:val="404040"/>
          <w:kern w:val="0"/>
          <w:lang w:eastAsia="fr-FR"/>
          <w14:ligatures w14:val="none"/>
        </w:rPr>
        <w:t xml:space="preserve"> programs </w:t>
      </w:r>
      <w:proofErr w:type="spellStart"/>
      <w:r w:rsidRPr="003119DF">
        <w:rPr>
          <w:rFonts w:ascii="Times New Roman" w:eastAsia="Times New Roman" w:hAnsi="Times New Roman" w:cs="Times New Roman"/>
          <w:color w:val="404040"/>
          <w:kern w:val="0"/>
          <w:lang w:eastAsia="fr-FR"/>
          <w14:ligatures w14:val="none"/>
        </w:rPr>
        <w:t>based</w:t>
      </w:r>
      <w:proofErr w:type="spellEnd"/>
      <w:r w:rsidRPr="003119DF">
        <w:rPr>
          <w:rFonts w:ascii="Times New Roman" w:eastAsia="Times New Roman" w:hAnsi="Times New Roman" w:cs="Times New Roman"/>
          <w:color w:val="404040"/>
          <w:kern w:val="0"/>
          <w:lang w:eastAsia="fr-FR"/>
          <w14:ligatures w14:val="none"/>
        </w:rPr>
        <w:t xml:space="preserve"> on five </w:t>
      </w:r>
      <w:proofErr w:type="spellStart"/>
      <w:proofErr w:type="gramStart"/>
      <w:r w:rsidRPr="003119DF">
        <w:rPr>
          <w:rFonts w:ascii="Times New Roman" w:eastAsia="Times New Roman" w:hAnsi="Times New Roman" w:cs="Times New Roman"/>
          <w:color w:val="404040"/>
          <w:kern w:val="0"/>
          <w:lang w:eastAsia="fr-FR"/>
          <w14:ligatures w14:val="none"/>
        </w:rPr>
        <w:t>categories</w:t>
      </w:r>
      <w:proofErr w:type="spellEnd"/>
      <w:r w:rsidRPr="003119DF">
        <w:rPr>
          <w:rFonts w:ascii="Times New Roman" w:eastAsia="Times New Roman" w:hAnsi="Times New Roman" w:cs="Times New Roman"/>
          <w:color w:val="404040"/>
          <w:kern w:val="0"/>
          <w:lang w:eastAsia="fr-FR"/>
          <w14:ligatures w14:val="none"/>
        </w:rPr>
        <w:t>:</w:t>
      </w:r>
      <w:proofErr w:type="gramEnd"/>
      <w:r w:rsidRPr="003119DF">
        <w:rPr>
          <w:rFonts w:ascii="Times New Roman" w:eastAsia="Times New Roman" w:hAnsi="Times New Roman" w:cs="Times New Roman"/>
          <w:color w:val="404040"/>
          <w:kern w:val="0"/>
          <w:lang w:eastAsia="fr-FR"/>
          <w14:ligatures w14:val="none"/>
        </w:rPr>
        <w:t xml:space="preserve"> objectives, </w:t>
      </w:r>
      <w:proofErr w:type="spellStart"/>
      <w:r w:rsidRPr="003119DF">
        <w:rPr>
          <w:rFonts w:ascii="Times New Roman" w:eastAsia="Times New Roman" w:hAnsi="Times New Roman" w:cs="Times New Roman"/>
          <w:color w:val="404040"/>
          <w:kern w:val="0"/>
          <w:lang w:eastAsia="fr-FR"/>
          <w14:ligatures w14:val="none"/>
        </w:rPr>
        <w:t>pedagogy</w:t>
      </w:r>
      <w:proofErr w:type="spellEnd"/>
      <w:r w:rsidRPr="003119DF">
        <w:rPr>
          <w:rFonts w:ascii="Times New Roman" w:eastAsia="Times New Roman" w:hAnsi="Times New Roman" w:cs="Times New Roman"/>
          <w:color w:val="404040"/>
          <w:kern w:val="0"/>
          <w:lang w:eastAsia="fr-FR"/>
          <w14:ligatures w14:val="none"/>
        </w:rPr>
        <w:t xml:space="preserve">, </w:t>
      </w:r>
      <w:proofErr w:type="spellStart"/>
      <w:r w:rsidRPr="003119DF">
        <w:rPr>
          <w:rFonts w:ascii="Times New Roman" w:eastAsia="Times New Roman" w:hAnsi="Times New Roman" w:cs="Times New Roman"/>
          <w:color w:val="404040"/>
          <w:kern w:val="0"/>
          <w:lang w:eastAsia="fr-FR"/>
          <w14:ligatures w14:val="none"/>
        </w:rPr>
        <w:t>governance</w:t>
      </w:r>
      <w:proofErr w:type="spellEnd"/>
      <w:r w:rsidRPr="003119DF">
        <w:rPr>
          <w:rFonts w:ascii="Times New Roman" w:eastAsia="Times New Roman" w:hAnsi="Times New Roman" w:cs="Times New Roman"/>
          <w:color w:val="404040"/>
          <w:kern w:val="0"/>
          <w:lang w:eastAsia="fr-FR"/>
          <w14:ligatures w14:val="none"/>
        </w:rPr>
        <w:t xml:space="preserve">, infrastructure, and </w:t>
      </w:r>
      <w:proofErr w:type="spellStart"/>
      <w:r w:rsidRPr="003119DF">
        <w:rPr>
          <w:rFonts w:ascii="Times New Roman" w:eastAsia="Times New Roman" w:hAnsi="Times New Roman" w:cs="Times New Roman"/>
          <w:color w:val="404040"/>
          <w:kern w:val="0"/>
          <w:lang w:eastAsia="fr-FR"/>
          <w14:ligatures w14:val="none"/>
        </w:rPr>
        <w:t>employment</w:t>
      </w:r>
      <w:proofErr w:type="spellEnd"/>
      <w:r w:rsidRPr="003119DF">
        <w:rPr>
          <w:rFonts w:ascii="Times New Roman" w:eastAsia="Times New Roman" w:hAnsi="Times New Roman" w:cs="Times New Roman"/>
          <w:color w:val="404040"/>
          <w:kern w:val="0"/>
          <w:lang w:eastAsia="fr-FR"/>
          <w14:ligatures w14:val="none"/>
        </w:rPr>
        <w:t xml:space="preserve"> </w:t>
      </w:r>
      <w:proofErr w:type="spellStart"/>
      <w:r w:rsidRPr="003119DF">
        <w:rPr>
          <w:rFonts w:ascii="Times New Roman" w:eastAsia="Times New Roman" w:hAnsi="Times New Roman" w:cs="Times New Roman"/>
          <w:color w:val="404040"/>
          <w:kern w:val="0"/>
          <w:lang w:eastAsia="fr-FR"/>
          <w14:ligatures w14:val="none"/>
        </w:rPr>
        <w:t>outcomes</w:t>
      </w:r>
      <w:proofErr w:type="spellEnd"/>
      <w:r w:rsidRPr="003119DF">
        <w:rPr>
          <w:rFonts w:ascii="Times New Roman" w:eastAsia="Times New Roman" w:hAnsi="Times New Roman" w:cs="Times New Roman"/>
          <w:color w:val="404040"/>
          <w:kern w:val="0"/>
          <w:lang w:eastAsia="fr-FR"/>
          <w14:ligatures w14:val="none"/>
        </w:rPr>
        <w:t>.</w:t>
      </w:r>
    </w:p>
    <w:p w14:paraId="2CB7022E" w14:textId="4791569A" w:rsidR="008D51F6" w:rsidRPr="007A0CEC" w:rsidRDefault="008D51F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Results</w:t>
      </w:r>
      <w:r w:rsidRPr="007A0CEC">
        <w:rPr>
          <w:rFonts w:ascii="Times New Roman" w:eastAsia="Times New Roman" w:hAnsi="Times New Roman" w:cs="Times New Roman"/>
          <w:color w:val="404040"/>
          <w:kern w:val="0"/>
          <w:lang w:val="en-US" w:eastAsia="fr-FR"/>
          <w14:ligatures w14:val="none"/>
        </w:rPr>
        <w:t xml:space="preserve">: "Le </w:t>
      </w:r>
      <w:proofErr w:type="spellStart"/>
      <w:r w:rsidRPr="007A0CEC">
        <w:rPr>
          <w:rFonts w:ascii="Times New Roman" w:eastAsia="Times New Roman" w:hAnsi="Times New Roman" w:cs="Times New Roman"/>
          <w:color w:val="404040"/>
          <w:kern w:val="0"/>
          <w:lang w:val="en-US" w:eastAsia="fr-FR"/>
          <w14:ligatures w14:val="none"/>
        </w:rPr>
        <w:t>Bouctou</w:t>
      </w:r>
      <w:proofErr w:type="spellEnd"/>
      <w:r w:rsidRPr="007A0CEC">
        <w:rPr>
          <w:rFonts w:ascii="Times New Roman" w:eastAsia="Times New Roman" w:hAnsi="Times New Roman" w:cs="Times New Roman"/>
          <w:color w:val="404040"/>
          <w:kern w:val="0"/>
          <w:lang w:val="en-US" w:eastAsia="fr-FR"/>
          <w14:ligatures w14:val="none"/>
        </w:rPr>
        <w:t>" trained 3,436 (f=82.7%) graduates, evaluating at an 80% average pass rate. New employment was 75% after six months (60% private sector). Positive factors were practical education and curriculum relevance, although rural access disparities and gender gaps remained.</w:t>
      </w:r>
    </w:p>
    <w:p w14:paraId="1522911B" w14:textId="2DB427AA" w:rsidR="008D51F6" w:rsidRPr="007A0CEC" w:rsidRDefault="008D51F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Conclusion</w:t>
      </w:r>
      <w:r w:rsidRPr="007A0CEC">
        <w:rPr>
          <w:rFonts w:ascii="Times New Roman" w:eastAsia="Times New Roman" w:hAnsi="Times New Roman" w:cs="Times New Roman"/>
          <w:color w:val="404040"/>
          <w:kern w:val="0"/>
          <w:lang w:val="en-US" w:eastAsia="fr-FR"/>
          <w14:ligatures w14:val="none"/>
        </w:rPr>
        <w:t>: Some support is necessary for private schools in Mali to improve workforce equity and quality of care.</w:t>
      </w:r>
    </w:p>
    <w:p w14:paraId="6AF34044" w14:textId="3E96148F" w:rsidR="007A0CEC" w:rsidRPr="007A0CEC" w:rsidRDefault="008D51F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Keywords</w:t>
      </w:r>
      <w:r w:rsidRPr="007A0CEC">
        <w:rPr>
          <w:rFonts w:ascii="Times New Roman" w:eastAsia="Times New Roman" w:hAnsi="Times New Roman" w:cs="Times New Roman"/>
          <w:color w:val="404040"/>
          <w:kern w:val="0"/>
          <w:lang w:val="en-US" w:eastAsia="fr-FR"/>
          <w14:ligatures w14:val="none"/>
        </w:rPr>
        <w:t>: health workforce, private education, Mali, competency-based training, health systems.</w:t>
      </w:r>
    </w:p>
    <w:p w14:paraId="30988467" w14:textId="49345180" w:rsidR="002D45B5" w:rsidRPr="007A0CEC" w:rsidRDefault="00941479" w:rsidP="005529A4">
      <w:pPr>
        <w:shd w:val="clear" w:color="auto" w:fill="FFFFFF"/>
        <w:spacing w:before="274" w:after="206" w:line="360" w:lineRule="auto"/>
        <w:outlineLvl w:val="2"/>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Introduction</w:t>
      </w:r>
    </w:p>
    <w:p w14:paraId="65B12F8F" w14:textId="4C707D90" w:rsidR="002D45B5" w:rsidRPr="007A0CEC" w:rsidRDefault="002D45B5" w:rsidP="005529A4">
      <w:pPr>
        <w:spacing w:before="480" w:after="48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Mali's healthcare system faces a critical human resources crisis, with a physician density of just 2 per 100,000 people - dramatically below the WHO's recommended threshold of 44.5 health workers per 100,000 for basic service delivery (WHO, 2023)</w:t>
      </w:r>
      <w:r w:rsidR="00302C06">
        <w:rPr>
          <w:rFonts w:ascii="Times New Roman" w:eastAsia="Times New Roman" w:hAnsi="Times New Roman" w:cs="Times New Roman"/>
          <w:color w:val="404040"/>
          <w:kern w:val="0"/>
          <w:lang w:val="en-US" w:eastAsia="fr-FR"/>
          <w14:ligatures w14:val="none"/>
        </w:rPr>
        <w:fldChar w:fldCharType="begin"/>
      </w:r>
      <w:r w:rsidR="00781AC0">
        <w:rPr>
          <w:rFonts w:ascii="Times New Roman" w:eastAsia="Times New Roman" w:hAnsi="Times New Roman" w:cs="Times New Roman"/>
          <w:color w:val="404040"/>
          <w:kern w:val="0"/>
          <w:lang w:val="en-US" w:eastAsia="fr-FR"/>
          <w14:ligatures w14:val="none"/>
        </w:rPr>
        <w:instrText xml:space="preserve"> ADDIN ZOTERO_ITEM CSL_CITATION {"citationID":"zBZNH1z5","properties":{"formattedCitation":"(1)","plainCitation":"(1)","dontUpdate":true,"noteIndex":0},"citationItems":[{"id":3249,"uris":["http://zotero.org/users/8468661/items/JHKAA62B"],"itemData":{"id":3249,"type":"article-journal","abstract":"Background\nThe World Health Organization defines a “critical shortage” of health workers as being fewer than 2.28 health workers per 1000 population and failing to attain 80% coverage for deliveries by skilled birth attendants. We aimed to quantify the number of health workers in five African countries and the proportion of these currently working in primary health care facilities, to compare this to estimates of numbers needed and to assess how the situation has changed in recent years.\n\nMethods\nThis study is a review of published and unpublished “grey” literature on human resources for health in five disparate countries: Mali, Sudan, Uganda, Botswana and South Africa.\n\nResults\nHealth worker density has increased steadily since 2000 in South Africa and Botswana which already meet WHO targets but has not significantly increased since 2004 in Sudan, Mali and Uganda which have a critical shortage of health workers. In all five countries, a minority of doctors, nurses and midwives are working in primary health care, and shortages of qualified staff are greatest in rural areas. In Uganda, shortages are greater in primary health care settings than at higher levels. In Mali, few community health centres have a midwife or a doctor. Even South Africa has a shortage of doctors in primary health care in poorer districts. Although most countries recognize village health workers, traditional healers and traditional birth attendants, there are insufficient data on their numbers.\n\nConclusion\nThere is an “inverse primary health care law” in the countries studied: staffing is inversely related to poverty and level of need, and health worker density is not increasing in the lowest income countries. Unless there is money to recruit and retain staff in these areas, training programmes will not improve health worker density because the trained staff will simply leave to work elsewhere. Information systems need to be improved in a way that informs policy on the health workforce. It may be possible to use existing resources more cost-effectively by involving skilled staff to supervise and support lower level health care workers who currently provide the front line of primary health care in most of Africa.","container-title":"Human Resources for Health","DOI":"10.1186/s12960-015-0073-8","ISSN":"1478-4491","journalAbbreviation":"Hum Resour Health","note":"PMID: 26358250\nPMCID: PMC4566492","page":"76","source":"PubMed Central","title":"Human resources for primary health care in sub-Saharan Africa: progress or stagnation?","title-short":"Human resources for primary health care in sub-Saharan Africa","volume":"13","author":[{"family":"Willcox","given":"Merlin L"},{"family":"Peersman","given":"Wim"},{"family":"Daou","given":"Pierre"},{"family":"Diakité","given":"Chiaka"},{"family":"Bajunirwe","given":"Francis"},{"family":"Mubangizi","given":"Vincent"},{"family":"Mahmoud","given":"Eman Hassan"},{"family":"Moosa","given":"Shabir"},{"family":"Phaladze","given":"Nthabiseng"},{"family":"Nkomazana","given":"Oathokwa"},{"family":"Khogali","given":"Mustafa"},{"family":"Diallo","given":"Drissa"},{"family":"De Maeseneer","given":"Jan"},{"family":"Mant","given":"David"}],"issued":{"date-parts":[["2015",9,10]]}}}],"schema":"https://github.com/citation-style-language/schema/raw/master/csl-citation.json"} </w:instrText>
      </w:r>
      <w:r w:rsidR="00302C06">
        <w:rPr>
          <w:rFonts w:ascii="Times New Roman" w:eastAsia="Times New Roman" w:hAnsi="Times New Roman" w:cs="Times New Roman"/>
          <w:color w:val="404040"/>
          <w:kern w:val="0"/>
          <w:lang w:val="en-US" w:eastAsia="fr-FR"/>
          <w14:ligatures w14:val="none"/>
        </w:rPr>
        <w:fldChar w:fldCharType="separate"/>
      </w:r>
      <w:r w:rsidR="00302C06" w:rsidRPr="003A2686">
        <w:rPr>
          <w:rFonts w:ascii="Times New Roman" w:hAnsi="Times New Roman" w:cs="Times New Roman"/>
          <w:lang w:val="en-US"/>
        </w:rPr>
        <w:t>(1</w:t>
      </w:r>
      <w:r w:rsidR="00302C06">
        <w:rPr>
          <w:rFonts w:ascii="Times New Roman" w:eastAsia="Times New Roman" w:hAnsi="Times New Roman" w:cs="Times New Roman"/>
          <w:color w:val="404040"/>
          <w:kern w:val="0"/>
          <w:lang w:val="en-US" w:eastAsia="fr-FR"/>
          <w14:ligatures w14:val="none"/>
        </w:rPr>
        <w:fldChar w:fldCharType="end"/>
      </w:r>
      <w:r w:rsidR="00302C06">
        <w:rPr>
          <w:rFonts w:ascii="Times New Roman" w:eastAsia="Times New Roman" w:hAnsi="Times New Roman" w:cs="Times New Roman"/>
          <w:color w:val="404040"/>
          <w:kern w:val="0"/>
          <w:lang w:val="en-US" w:eastAsia="fr-FR"/>
          <w14:ligatures w14:val="none"/>
        </w:rPr>
        <w:t>,</w:t>
      </w:r>
      <w:r w:rsidR="00302C06">
        <w:rPr>
          <w:rFonts w:ascii="Times New Roman" w:eastAsia="Times New Roman" w:hAnsi="Times New Roman" w:cs="Times New Roman"/>
          <w:color w:val="404040"/>
          <w:kern w:val="0"/>
          <w:lang w:val="en-US" w:eastAsia="fr-FR"/>
          <w14:ligatures w14:val="none"/>
        </w:rPr>
        <w:fldChar w:fldCharType="begin"/>
      </w:r>
      <w:r w:rsidR="00781AC0">
        <w:rPr>
          <w:rFonts w:ascii="Times New Roman" w:eastAsia="Times New Roman" w:hAnsi="Times New Roman" w:cs="Times New Roman"/>
          <w:color w:val="404040"/>
          <w:kern w:val="0"/>
          <w:lang w:val="en-US" w:eastAsia="fr-FR"/>
          <w14:ligatures w14:val="none"/>
        </w:rPr>
        <w:instrText xml:space="preserve"> ADDIN ZOTERO_ITEM CSL_CITATION {"citationID":"jci3A1OC","properties":{"formattedCitation":"(2)","plainCitation":"(2)","dontUpdate":true,"noteIndex":0},"citationItems":[{"id":3247,"uris":["http://zotero.org/users/8468661/items/43FG7IP6"],"itemData":{"id":3247,"type":"webpage","abstract":"Human Resources for Health in Mali : Key Findings from a Public Sector Healthcare Employee Survey (anglais)","container-title":"World Bank","genre":"Text/HTML","language":"en","title":"Human Resources for Health in Mali : Key Findings from a Public Sector Healthcare Employee Survey","title-short":"Human Resources for Health in Mali","URL":"https://documents.banquemondiale.org/fr/publication/documents-reports/documentdetail/en/099121423040030563","author":[{"family":"Mukhtarova,Padhi,Debasmita","given":"Hasnain","suffix":"Zahid,Khurshid,Ayesha,Turkan Mustafa Qizi"}],"accessed":{"date-parts":[["2025",7,29]]}}}],"schema":"https://github.com/citation-style-language/schema/raw/master/csl-citation.json"} </w:instrText>
      </w:r>
      <w:r w:rsidR="00302C06">
        <w:rPr>
          <w:rFonts w:ascii="Times New Roman" w:eastAsia="Times New Roman" w:hAnsi="Times New Roman" w:cs="Times New Roman"/>
          <w:color w:val="404040"/>
          <w:kern w:val="0"/>
          <w:lang w:val="en-US" w:eastAsia="fr-FR"/>
          <w14:ligatures w14:val="none"/>
        </w:rPr>
        <w:fldChar w:fldCharType="separate"/>
      </w:r>
      <w:r w:rsidR="00302C06" w:rsidRPr="003A2686">
        <w:rPr>
          <w:rFonts w:ascii="Times New Roman" w:hAnsi="Times New Roman" w:cs="Times New Roman"/>
          <w:lang w:val="en-US"/>
        </w:rPr>
        <w:t>2)</w:t>
      </w:r>
      <w:r w:rsidR="00302C0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This shortage is compounded by demographic pressures, with 60% of Mali's 21.7 million population under 25 years old (World Bank, 2023) and persistently high maternal mortality rates of 562 deaths per 100,000 live births (UNICEF, 2022)</w:t>
      </w:r>
      <w:r w:rsidR="003A2686">
        <w:rPr>
          <w:rFonts w:ascii="Times New Roman" w:eastAsia="Times New Roman" w:hAnsi="Times New Roman" w:cs="Times New Roman"/>
          <w:color w:val="404040"/>
          <w:kern w:val="0"/>
          <w:lang w:val="en-US" w:eastAsia="fr-FR"/>
          <w14:ligatures w14:val="none"/>
        </w:rPr>
        <w:fldChar w:fldCharType="begin"/>
      </w:r>
      <w:r w:rsidR="003A2686">
        <w:rPr>
          <w:rFonts w:ascii="Times New Roman" w:eastAsia="Times New Roman" w:hAnsi="Times New Roman" w:cs="Times New Roman"/>
          <w:color w:val="404040"/>
          <w:kern w:val="0"/>
          <w:lang w:val="en-US" w:eastAsia="fr-FR"/>
          <w14:ligatures w14:val="none"/>
        </w:rPr>
        <w:instrText xml:space="preserve"> ADDIN ZOTERO_ITEM CSL_CITATION {"citationID":"6QgeT1nq","properties":{"formattedCitation":"(3)","plainCitation":"(3)","noteIndex":0},"citationItems":[{"id":3262,"uris":["http://zotero.org/users/8468661/items/FGG6PU48"],"itemData":{"id":3262,"type":"webpage","title":"Mali - The World Factbook","URL":"https://www.cia.gov/the-world-factbook/about/archives/2023/countries/mali/","accessed":{"date-parts":[["2025",7,29]]}}}],"schema":"https://github.com/citation-style-language/schema/raw/master/csl-citation.json"} </w:instrText>
      </w:r>
      <w:r w:rsidR="003A2686">
        <w:rPr>
          <w:rFonts w:ascii="Times New Roman" w:eastAsia="Times New Roman" w:hAnsi="Times New Roman" w:cs="Times New Roman"/>
          <w:color w:val="404040"/>
          <w:kern w:val="0"/>
          <w:lang w:val="en-US" w:eastAsia="fr-FR"/>
          <w14:ligatures w14:val="none"/>
        </w:rPr>
        <w:fldChar w:fldCharType="separate"/>
      </w:r>
      <w:r w:rsidR="003A2686" w:rsidRPr="003A2686">
        <w:rPr>
          <w:rFonts w:ascii="Times New Roman" w:hAnsi="Times New Roman" w:cs="Times New Roman"/>
          <w:lang w:val="en-US"/>
        </w:rPr>
        <w:t>(3)</w:t>
      </w:r>
      <w:r w:rsidR="003A268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xml:space="preserve">. The country's health workforce gaps are particularly </w:t>
      </w:r>
      <w:r w:rsidRPr="007A0CEC">
        <w:rPr>
          <w:rFonts w:ascii="Times New Roman" w:eastAsia="Times New Roman" w:hAnsi="Times New Roman" w:cs="Times New Roman"/>
          <w:color w:val="404040"/>
          <w:kern w:val="0"/>
          <w:lang w:val="en-US" w:eastAsia="fr-FR"/>
          <w14:ligatures w14:val="none"/>
        </w:rPr>
        <w:lastRenderedPageBreak/>
        <w:t>acute in rural areas, where 70% of the population resides but only 20% of health professionals practice (Ministry of Health, 2022)</w:t>
      </w:r>
      <w:r w:rsidR="00302C06">
        <w:rPr>
          <w:rFonts w:ascii="Times New Roman" w:eastAsia="Times New Roman" w:hAnsi="Times New Roman" w:cs="Times New Roman"/>
          <w:color w:val="404040"/>
          <w:kern w:val="0"/>
          <w:lang w:val="en-US" w:eastAsia="fr-FR"/>
          <w14:ligatures w14:val="none"/>
        </w:rPr>
        <w:fldChar w:fldCharType="begin"/>
      </w:r>
      <w:r w:rsidR="003A2686">
        <w:rPr>
          <w:rFonts w:ascii="Times New Roman" w:eastAsia="Times New Roman" w:hAnsi="Times New Roman" w:cs="Times New Roman"/>
          <w:color w:val="404040"/>
          <w:kern w:val="0"/>
          <w:lang w:val="en-US" w:eastAsia="fr-FR"/>
          <w14:ligatures w14:val="none"/>
        </w:rPr>
        <w:instrText xml:space="preserve"> ADDIN ZOTERO_ITEM CSL_CITATION {"citationID":"xPraBnSg","properties":{"formattedCitation":"(4)","plainCitation":"(4)","noteIndex":0},"citationItems":[{"id":3252,"uris":["http://zotero.org/users/8468661/items/XGVPBRYE"],"itemData":{"id":3252,"type":"article-journal","abstract":"Introduction: \nSeveral efforts have been made globally to strengthen the health workforce (HWF); however, significant challenges still persist especially in the African Region. This study was conducted by the WHO Regional Office for Africa to present the status of the HWF in 47 countries as a baseline in measuring countries' progress in implementing the Global Strategy for HWF by 2030.\n\nMethods:\nThis was a cross-sectional survey of 47 countries in the African Region using a semistructured questionnaire. Data were collected from January 2018 to April 2019. Before data collection, a tool was developed and piloted in four countries. The completed tools were validated in the countries by relevant stakeholders in the 47 countries. Data were collated and analysed in Epi Info and Microsoft Excel.\n\nResults:\nThe total stock of health workers was approximately 3.6 million across 47 countries. Among these, 37% of the health workers were nurses and midwives, 9% were medical doctors, 10% were laboratory personnel, 14% were community health workers, 14% were other health workers, and 12% were administrative and support staff. Results show uneven distribution of health workers within the African Region. Most health workers (85%) are in the public sector. Regional density of physicians, nurses and midwives per 1000 population was 1.55, only 4 countries had densities of more than 4.45 physicians, nurses and midwives per 1000 population.\n\nConclusion:\nThis survey has demonstrated that the shortage and maldistribution of health workers in the WHO African Region remain a big challenge towards the attainment of universal access to health services. This calls for the need to substantially increase investment in the HWF based on contextual evidence in line with the current and future health needs.","container-title":"BMJ global health","DOI":"10.1136/bmjgh-2021-008317","journalAbbreviation":"BMJ global health","source":"ResearchGate","title":"The health workforce status in the WHO African Region: findings of a cross-sectional study","title-short":"The health workforce status in the WHO African Region","volume":"7","author":[{"family":"Ahmat","given":"Adam"},{"family":"Okoroafor","given":"Sunny"},{"family":"Kazanga","given":"Isabel"},{"family":"Asamani","given":"James"},{"family":"Millogo","given":"Jean"},{"family":"Abdou Illou","given":"Mahaman Mourtala"},{"family":"Mwinga","given":"Kasonde"},{"family":"Nyoni","given":"Jennifer"}],"issued":{"date-parts":[["2022",5,1]]}}}],"schema":"https://github.com/citation-style-language/schema/raw/master/csl-citation.json"} </w:instrText>
      </w:r>
      <w:r w:rsidR="00302C06">
        <w:rPr>
          <w:rFonts w:ascii="Times New Roman" w:eastAsia="Times New Roman" w:hAnsi="Times New Roman" w:cs="Times New Roman"/>
          <w:color w:val="404040"/>
          <w:kern w:val="0"/>
          <w:lang w:val="en-US" w:eastAsia="fr-FR"/>
          <w14:ligatures w14:val="none"/>
        </w:rPr>
        <w:fldChar w:fldCharType="separate"/>
      </w:r>
      <w:r w:rsidR="003A2686" w:rsidRPr="003A2686">
        <w:rPr>
          <w:rFonts w:ascii="Times New Roman" w:hAnsi="Times New Roman" w:cs="Times New Roman"/>
          <w:lang w:val="en-US"/>
        </w:rPr>
        <w:t>(4)</w:t>
      </w:r>
      <w:r w:rsidR="00302C0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p>
    <w:p w14:paraId="4BFEE503" w14:textId="5484659A" w:rsidR="008D51F6" w:rsidRPr="007A0CEC" w:rsidRDefault="008D51F6" w:rsidP="005529A4">
      <w:pPr>
        <w:spacing w:before="480" w:after="48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Public medical schools have failed to keep up with these increasing demands because of a lack of space and a lack of money</w:t>
      </w:r>
      <w:r w:rsidR="003A2686">
        <w:rPr>
          <w:rFonts w:ascii="Times New Roman" w:eastAsia="Times New Roman" w:hAnsi="Times New Roman" w:cs="Times New Roman"/>
          <w:color w:val="404040"/>
          <w:kern w:val="0"/>
          <w:lang w:val="en-US" w:eastAsia="fr-FR"/>
          <w14:ligatures w14:val="none"/>
        </w:rPr>
        <w:fldChar w:fldCharType="begin"/>
      </w:r>
      <w:r w:rsidR="003A2686">
        <w:rPr>
          <w:rFonts w:ascii="Times New Roman" w:eastAsia="Times New Roman" w:hAnsi="Times New Roman" w:cs="Times New Roman"/>
          <w:color w:val="404040"/>
          <w:kern w:val="0"/>
          <w:lang w:val="en-US" w:eastAsia="fr-FR"/>
          <w14:ligatures w14:val="none"/>
        </w:rPr>
        <w:instrText xml:space="preserve"> ADDIN ZOTERO_ITEM CSL_CITATION {"citationID":"HKyqjwmw","properties":{"formattedCitation":"(5)","plainCitation":"(5)","noteIndex":0},"citationItems":[{"id":3258,"uris":["http://zotero.org/users/8468661/items/AJSH6A23"],"itemData":{"id":3258,"type":"article-journal","abstract":"Medical education is at a crossroads. Although unique features exist at the undergraduate, graduate, and continuing education levels, shared aspects of all three levels are especially revealing, and form the basis for informed decision-making about the future of medical education., This paper describes some of the internal and external challenges confronting undergraduate medical education. Key internal challenges include the focus on disease to the relative exclusion of behavior, inpatient versus outpatient education, and implications of a faculty whose research is highly focused at the molecular or submolecular level. External factors include the exponential growth in knowledge, associated technologic (“disruptive”) innovations, and societal changes. Addressing these challenges requires decisive institutional leadership with an eye to 2020 and beyond—the period in which current matriculants will begin their careers. This paper presents a spiral-model format for a curriculum of medical education, based on disease mechanisms, that addresses many of these challenges and incorporates sound educational principles.","container-title":"Transactions of the American Clinical and Climatological Association","ISSN":"0065-7778","journalAbbreviation":"Trans Am Clin Climatol Assoc","note":"PMID: 21686208\nPMCID: PMC3116346","page":"48-58","source":"PubMed Central","title":"Challenges and Opportunities Facing Medical Education","volume":"122","author":[{"family":"Densen","given":"Peter"}],"issued":{"date-parts":[["2011"]]}}}],"schema":"https://github.com/citation-style-language/schema/raw/master/csl-citation.json"} </w:instrText>
      </w:r>
      <w:r w:rsidR="003A2686">
        <w:rPr>
          <w:rFonts w:ascii="Times New Roman" w:eastAsia="Times New Roman" w:hAnsi="Times New Roman" w:cs="Times New Roman"/>
          <w:color w:val="404040"/>
          <w:kern w:val="0"/>
          <w:lang w:val="en-US" w:eastAsia="fr-FR"/>
          <w14:ligatures w14:val="none"/>
        </w:rPr>
        <w:fldChar w:fldCharType="separate"/>
      </w:r>
      <w:r w:rsidR="003A2686" w:rsidRPr="003A2686">
        <w:rPr>
          <w:rFonts w:ascii="Times New Roman" w:hAnsi="Times New Roman" w:cs="Times New Roman"/>
          <w:lang w:val="en-US"/>
        </w:rPr>
        <w:t>(5)</w:t>
      </w:r>
      <w:r w:rsidR="003A268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The National School of Medicine and Pharmacy produces about 150 doctors per year (PNDRH, 2020), which is too few to meet the current demand and is not enough to accommodate demographic growth</w:t>
      </w:r>
      <w:r w:rsidR="003A2686">
        <w:rPr>
          <w:rFonts w:ascii="Times New Roman" w:eastAsia="Times New Roman" w:hAnsi="Times New Roman" w:cs="Times New Roman"/>
          <w:color w:val="404040"/>
          <w:kern w:val="0"/>
          <w:lang w:val="en-US" w:eastAsia="fr-FR"/>
          <w14:ligatures w14:val="none"/>
        </w:rPr>
        <w:fldChar w:fldCharType="begin"/>
      </w:r>
      <w:r w:rsidR="003A2686">
        <w:rPr>
          <w:rFonts w:ascii="Times New Roman" w:eastAsia="Times New Roman" w:hAnsi="Times New Roman" w:cs="Times New Roman"/>
          <w:color w:val="404040"/>
          <w:kern w:val="0"/>
          <w:lang w:val="en-US" w:eastAsia="fr-FR"/>
          <w14:ligatures w14:val="none"/>
        </w:rPr>
        <w:instrText xml:space="preserve"> ADDIN ZOTERO_ITEM CSL_CITATION {"citationID":"8qGT9b4V","properties":{"formattedCitation":"(6)","plainCitation":"(6)","noteIndex":0},"citationItems":[{"id":3255,"uris":["http://zotero.org/users/8468661/items/U27T2H4C"],"itemData":{"id":3255,"type":"article-journal","abstract":"Despite the shortage of physicians in the United States, there is no consensus among medical educators as to how to address the nation's unmet needs. A growing but unfulfilled argument is to revisit the configuration of medical education and the time required to complete medical training. Pilot programs, such as shortened programs or advancement-in-place structures to accelerate the practice capability of trainees, have been attempted. This manuscript addresses underlying economic and human considerations that medical educators must reconcile, drawing on lessons from international educational structures, as we advance toward a system that supports the needs of the communities that our graduates will serve.","container-title":"Journal of Medical Education and Curricular Development","DOI":"10.1177/23821205241264692","ISSN":"2382-1205","journalAbbreviation":"J Med Educ Curric Dev","note":"PMID: 38894718\nPMCID: PMC11185009","page":"23821205241264692","source":"PubMed Central","title":"Changing the Clock in Medical Education: Addressing Physician Shortages and Patient Outcomes","title-short":"Changing the Clock in Medical Education","volume":"11","author":[{"family":"Alexander","given":"Seth McKenzie"},{"family":"Gilleskie","given":"Donna"},{"family":"Díaz-González de Ferris","given":"Maria"}],"issued":{"date-parts":[["2024",6,18]]}}}],"schema":"https://github.com/citation-style-language/schema/raw/master/csl-citation.json"} </w:instrText>
      </w:r>
      <w:r w:rsidR="003A2686">
        <w:rPr>
          <w:rFonts w:ascii="Times New Roman" w:eastAsia="Times New Roman" w:hAnsi="Times New Roman" w:cs="Times New Roman"/>
          <w:color w:val="404040"/>
          <w:kern w:val="0"/>
          <w:lang w:val="en-US" w:eastAsia="fr-FR"/>
          <w14:ligatures w14:val="none"/>
        </w:rPr>
        <w:fldChar w:fldCharType="separate"/>
      </w:r>
      <w:r w:rsidR="003A2686" w:rsidRPr="003A2686">
        <w:rPr>
          <w:rFonts w:ascii="Times New Roman" w:hAnsi="Times New Roman" w:cs="Times New Roman"/>
          <w:lang w:val="en-US"/>
        </w:rPr>
        <w:t>(6)</w:t>
      </w:r>
      <w:r w:rsidR="003A268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xml:space="preserve">. </w:t>
      </w:r>
    </w:p>
    <w:p w14:paraId="729D69A4" w14:textId="566E94C3" w:rsidR="008F7AB6" w:rsidRPr="007A0CEC" w:rsidRDefault="008F7AB6" w:rsidP="005529A4">
      <w:pPr>
        <w:spacing w:before="480" w:after="48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As a result, the private sector providers of health training have increased rapidly, accounting for a reported 60% of the trained health workforce in Mali (DRH-SSDS, 2023)</w:t>
      </w:r>
      <w:r w:rsidR="003A2686">
        <w:rPr>
          <w:rFonts w:ascii="Times New Roman" w:eastAsia="Times New Roman" w:hAnsi="Times New Roman" w:cs="Times New Roman"/>
          <w:color w:val="404040"/>
          <w:kern w:val="0"/>
          <w:lang w:val="en-US" w:eastAsia="fr-FR"/>
          <w14:ligatures w14:val="none"/>
        </w:rPr>
        <w:fldChar w:fldCharType="begin"/>
      </w:r>
      <w:r w:rsidR="003A2686">
        <w:rPr>
          <w:rFonts w:ascii="Times New Roman" w:eastAsia="Times New Roman" w:hAnsi="Times New Roman" w:cs="Times New Roman"/>
          <w:color w:val="404040"/>
          <w:kern w:val="0"/>
          <w:lang w:val="en-US" w:eastAsia="fr-FR"/>
          <w14:ligatures w14:val="none"/>
        </w:rPr>
        <w:instrText xml:space="preserve"> ADDIN ZOTERO_ITEM CSL_CITATION {"citationID":"xN2bBgWX","properties":{"formattedCitation":"(7)","plainCitation":"(7)","noteIndex":0},"citationItems":[{"id":3260,"uris":["http://zotero.org/users/8468661/items/84CCR22X"],"itemData":{"id":3260,"type":"article-journal","language":"en","source":"agris.fao.org","title":"Private Health Sector Assessment in Mali : The Post-Bamako Initiative Reality","title-short":"Private Health Sector Assessment in Mali","URL":"https://agris.fao.org/search/en/providers/122582/records/647390fc68b4c299a3f9c4c7","author":[{"family":"Lamiaux","given":"Mathieu"},{"family":"Rouzaud","given":"François"},{"family":"Woods","given":"Wendy"}],"accessed":{"date-parts":[["2025",7,29]]},"issued":{"date-parts":[["2011"]]}}}],"schema":"https://github.com/citation-style-language/schema/raw/master/csl-citation.json"} </w:instrText>
      </w:r>
      <w:r w:rsidR="003A2686">
        <w:rPr>
          <w:rFonts w:ascii="Times New Roman" w:eastAsia="Times New Roman" w:hAnsi="Times New Roman" w:cs="Times New Roman"/>
          <w:color w:val="404040"/>
          <w:kern w:val="0"/>
          <w:lang w:val="en-US" w:eastAsia="fr-FR"/>
          <w14:ligatures w14:val="none"/>
        </w:rPr>
        <w:fldChar w:fldCharType="separate"/>
      </w:r>
      <w:r w:rsidR="003A2686" w:rsidRPr="003A2686">
        <w:rPr>
          <w:rFonts w:ascii="Times New Roman" w:hAnsi="Times New Roman" w:cs="Times New Roman"/>
          <w:lang w:val="en-US"/>
        </w:rPr>
        <w:t>(7)</w:t>
      </w:r>
      <w:r w:rsidR="003A268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xml:space="preserve">. One of these private institutions, network "Le Bouctou," which was created in 2000, has become an important </w:t>
      </w:r>
      <w:r w:rsidR="00B50F8A" w:rsidRPr="007A0CEC">
        <w:rPr>
          <w:rFonts w:ascii="Times New Roman" w:eastAsia="Times New Roman" w:hAnsi="Times New Roman" w:cs="Times New Roman"/>
          <w:color w:val="404040"/>
          <w:kern w:val="0"/>
          <w:lang w:val="en-US" w:eastAsia="fr-FR"/>
          <w14:ligatures w14:val="none"/>
        </w:rPr>
        <w:t>factor</w:t>
      </w:r>
      <w:r w:rsidRPr="007A0CEC">
        <w:rPr>
          <w:rFonts w:ascii="Times New Roman" w:eastAsia="Times New Roman" w:hAnsi="Times New Roman" w:cs="Times New Roman"/>
          <w:color w:val="404040"/>
          <w:kern w:val="0"/>
          <w:lang w:val="en-US" w:eastAsia="fr-FR"/>
          <w14:ligatures w14:val="none"/>
        </w:rPr>
        <w:t xml:space="preserve"> in the Malian health system. Operating in six centers in Bamako, Tombouctou, and throughout the country, the network annually educates more than 1,600 students across courses that include nursing and midwifery and specialized master's degrees (Bouctou Annual Report, 2023). Yet, the quality and effectiveness of these private providers have not been systematically assessed, leaving a knowledge gap for policymakers interested in improving the health education environment in Mali</w:t>
      </w:r>
      <w:r w:rsidR="00C53A2F">
        <w:rPr>
          <w:rFonts w:ascii="Times New Roman" w:eastAsia="Times New Roman" w:hAnsi="Times New Roman" w:cs="Times New Roman"/>
          <w:color w:val="404040"/>
          <w:kern w:val="0"/>
          <w:lang w:val="en-US" w:eastAsia="fr-FR"/>
          <w14:ligatures w14:val="none"/>
        </w:rPr>
        <w:fldChar w:fldCharType="begin"/>
      </w:r>
      <w:r w:rsidR="00C53A2F">
        <w:rPr>
          <w:rFonts w:ascii="Times New Roman" w:eastAsia="Times New Roman" w:hAnsi="Times New Roman" w:cs="Times New Roman"/>
          <w:color w:val="404040"/>
          <w:kern w:val="0"/>
          <w:lang w:val="en-US" w:eastAsia="fr-FR"/>
          <w14:ligatures w14:val="none"/>
        </w:rPr>
        <w:instrText xml:space="preserve"> ADDIN ZOTERO_ITEM CSL_CITATION {"citationID":"74YKoogS","properties":{"formattedCitation":"(8)","plainCitation":"(8)","noteIndex":0},"citationItems":[{"id":3264,"uris":["http://zotero.org/users/8468661/items/W572BR7Q"],"itemData":{"id":3264,"type":"article-journal","abstract":"Background\nThe World Health Organization’s Global Strategy on Human Resources for Health (HRH) emphasizes the importance of dynamic and effective health worker regulation for achieving the health-related Sustainable Development Goals, with the establishment of education standards and quality assurance of education programs being critical. Governments in West Africa have struggled to address the problems within their higher education systems for health professionals, and it is now generally acknowledged that private institutions can play a crucial role in revitalizing the region’s outdated universities. However, the rapid expansion of private schools raises concerns about the quality of education and adequacy of regulatory mechanisms. The USAID-funded Mali HRH Strengthening Activity, led by IntraHealth International, assisted Mali’s Ministry of Health and Social Development to deliver targeted HRH interventions to improve the quality of education in private universities, better manage available health workers, and initiate a decentralized strategy for health worker recruitment and motivation.\n\nCase presentation\nIn 2018, the HRH activity leveraged the West African Health Organization (WAHO)’s accreditation system to support 10 private nursing schools to introduce WAHO’s regionally accepted, competency-based curriculum in reproductive, maternal, newborn, and child health. The project undertook a 10-step process to work alongside private nursing and midwifery schools to assess their current status against WAHO regional standards, implement action plans to address identified gaps, and support the institutions toward accreditation. As a result, eight schools in Mali are now accredited compared to only three at project inception.\n\nConclusions\nThis case study underscores the importance of private school accreditation in Mali to improve the quality of health worker training through a standardized local curriculum. By supporting existing regulatory bodies that oversee accreditation, local capacity for initial accreditation of private nursing schools has been increased. Engaging universities in a partnership that shows the benefits of accreditation while maintaining a focus on the need to protect communities is critical to success. If the global community is to meet the WHO’s predicted health worker shortfall, then private education providers will need to be part of the solution. Robust and engaging health worker education accreditation systems are an essential part of that future.","container-title":"Human Resources for Health","DOI":"10.1186/s12960-021-00654-4","ISSN":"1478-4491","journalAbbreviation":"Hum Resour Health","note":"PMID: 34583729\nPMCID: PMC8478269","page":"119","source":"PubMed Central","title":"Accreditation of private midwifery and nursing schools in Mali: a local sustainable solution to increasing the supply of qualified health workers","title-short":"Accreditation of private midwifery and nursing schools in Mali","volume":"19","author":[{"family":"Touré","given":"Cheick Oumar"},{"family":"Bijou","given":"Sujata"},{"family":"Joiner","given":"Melanie"},{"family":"Brown","given":"Andrew"},{"family":"Tessougué","given":"Jeanne"},{"family":"Maiga","given":"Hamada"},{"family":"Dicko","given":"Fatoumata"},{"family":"Keïta","given":"Abdel Kader"}],"issued":{"date-parts":[["2021",9,28]]}}}],"schema":"https://github.com/citation-style-language/schema/raw/master/csl-citation.json"} </w:instrText>
      </w:r>
      <w:r w:rsidR="00C53A2F">
        <w:rPr>
          <w:rFonts w:ascii="Times New Roman" w:eastAsia="Times New Roman" w:hAnsi="Times New Roman" w:cs="Times New Roman"/>
          <w:color w:val="404040"/>
          <w:kern w:val="0"/>
          <w:lang w:val="en-US" w:eastAsia="fr-FR"/>
          <w14:ligatures w14:val="none"/>
        </w:rPr>
        <w:fldChar w:fldCharType="separate"/>
      </w:r>
      <w:r w:rsidR="00C53A2F" w:rsidRPr="00466CBF">
        <w:rPr>
          <w:rFonts w:ascii="Times New Roman" w:hAnsi="Times New Roman" w:cs="Times New Roman"/>
          <w:lang w:val="en-US"/>
        </w:rPr>
        <w:t>(8)</w:t>
      </w:r>
      <w:r w:rsidR="00C53A2F">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p>
    <w:p w14:paraId="0B21FB1F" w14:textId="12E38DA9" w:rsidR="008F7AB6" w:rsidRPr="007A0CEC" w:rsidRDefault="008F7AB6" w:rsidP="005529A4">
      <w:pPr>
        <w:spacing w:before="480" w:after="48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Association of Private Health Schools of Mali (AESP), created in 2015, is a key actor for the coordination of such schools. AESP identifies best practices, promotes inter-school discussion, and lobbies for the private sector in health education policy (AESP Charter, 2021)</w:t>
      </w:r>
      <w:r w:rsidR="00C53A2F">
        <w:rPr>
          <w:rFonts w:ascii="Times New Roman" w:eastAsia="Times New Roman" w:hAnsi="Times New Roman" w:cs="Times New Roman"/>
          <w:color w:val="404040"/>
          <w:kern w:val="0"/>
          <w:lang w:val="en-US" w:eastAsia="fr-FR"/>
          <w14:ligatures w14:val="none"/>
        </w:rPr>
        <w:fldChar w:fldCharType="begin"/>
      </w:r>
      <w:r w:rsidR="00C53A2F">
        <w:rPr>
          <w:rFonts w:ascii="Times New Roman" w:eastAsia="Times New Roman" w:hAnsi="Times New Roman" w:cs="Times New Roman"/>
          <w:color w:val="404040"/>
          <w:kern w:val="0"/>
          <w:lang w:val="en-US" w:eastAsia="fr-FR"/>
          <w14:ligatures w14:val="none"/>
        </w:rPr>
        <w:instrText xml:space="preserve"> ADDIN ZOTERO_ITEM CSL_CITATION {"citationID":"gLWnQuEr","properties":{"formattedCitation":"(9)","plainCitation":"(9)","noteIndex":0},"citationItems":[{"id":3267,"uris":["http://zotero.org/users/8468661/items/NNDEVWCU"],"itemData":{"id":3267,"type":"webpage","abstract":"Private health sector assessment in Mali : the post-Bamako initiative reality : Etude sur le secteur prive de la sante au Mali (Francês)","container-title":"World Bank","genre":"Text/HTML","language":"en","title":"Private health sector assessment in Mali : the post-Bamako initiative reality : Etude sur le secteur prive de la sante au Mali","title-short":"Private health sector assessment in Mali","URL":"https://documents.worldbank.org/pt/publication/documents-reports/documentdetail/en/369281468282262618","author":[{"family":"Francois,Woods,Wendy","given":"Lamiaux","suffix":"Mathieu,Rouzaud"}],"accessed":{"date-parts":[["2025",7,29]]}}}],"schema":"https://github.com/citation-style-language/schema/raw/master/csl-citation.json"} </w:instrText>
      </w:r>
      <w:r w:rsidR="00C53A2F">
        <w:rPr>
          <w:rFonts w:ascii="Times New Roman" w:eastAsia="Times New Roman" w:hAnsi="Times New Roman" w:cs="Times New Roman"/>
          <w:color w:val="404040"/>
          <w:kern w:val="0"/>
          <w:lang w:val="en-US" w:eastAsia="fr-FR"/>
          <w14:ligatures w14:val="none"/>
        </w:rPr>
        <w:fldChar w:fldCharType="separate"/>
      </w:r>
      <w:r w:rsidR="00C53A2F" w:rsidRPr="00C53A2F">
        <w:rPr>
          <w:rFonts w:ascii="Times New Roman" w:hAnsi="Times New Roman" w:cs="Times New Roman"/>
          <w:lang w:val="en-US"/>
        </w:rPr>
        <w:t>(9)</w:t>
      </w:r>
      <w:r w:rsidR="00C53A2F">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r w:rsidR="00D47BB2"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Nonetheless, doubts remain about the unevenness in the quality of its training, and there are accounts of some private institutions running without the necessary infrastructure or trained staff (Ministry of Education Audit, 2022).</w:t>
      </w:r>
    </w:p>
    <w:p w14:paraId="1BEDB60F" w14:textId="68B120E1" w:rsidR="008F7AB6" w:rsidRPr="007A0CEC" w:rsidRDefault="008F7AB6" w:rsidP="005529A4">
      <w:pPr>
        <w:spacing w:before="480" w:after="0" w:line="360" w:lineRule="auto"/>
        <w:jc w:val="both"/>
        <w:rPr>
          <w:rFonts w:ascii="Times New Roman" w:eastAsia="Times New Roman" w:hAnsi="Times New Roman" w:cs="Times New Roman"/>
          <w:color w:val="404040"/>
          <w:kern w:val="0"/>
          <w:lang w:val="en-US" w:eastAsia="fr-FR"/>
          <w14:ligatures w14:val="none"/>
        </w:rPr>
      </w:pPr>
      <w:r w:rsidRPr="003119DF">
        <w:rPr>
          <w:rFonts w:ascii="Times New Roman" w:eastAsia="Times New Roman" w:hAnsi="Times New Roman" w:cs="Times New Roman"/>
          <w:color w:val="404040"/>
          <w:kern w:val="0"/>
          <w:lang w:val="en-US" w:eastAsia="fr-FR"/>
          <w14:ligatures w14:val="none"/>
        </w:rPr>
        <w:t xml:space="preserve">To manage these quality assurance issues, Mali implemented the AMAQ-SUP framework in 2018. </w:t>
      </w:r>
      <w:r w:rsidRPr="007A0CEC">
        <w:rPr>
          <w:rFonts w:ascii="Times New Roman" w:eastAsia="Times New Roman" w:hAnsi="Times New Roman" w:cs="Times New Roman"/>
          <w:color w:val="404040"/>
          <w:kern w:val="0"/>
          <w:lang w:val="en-US" w:eastAsia="fr-FR"/>
          <w14:ligatures w14:val="none"/>
        </w:rPr>
        <w:t>Based on previous regional models such as the CAMES and OOAS standards, this instrument of five dimensions evaluates:</w:t>
      </w:r>
    </w:p>
    <w:p w14:paraId="03046665" w14:textId="4B2FB5A6" w:rsidR="00D47BB2" w:rsidRPr="007A0CEC" w:rsidRDefault="008F7AB6" w:rsidP="005529A4">
      <w:pPr>
        <w:spacing w:after="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1</w:t>
      </w:r>
      <w:r w:rsidR="00D47BB2" w:rsidRPr="007A0CEC">
        <w:rPr>
          <w:rFonts w:ascii="Times New Roman" w:eastAsia="Times New Roman" w:hAnsi="Times New Roman" w:cs="Times New Roman"/>
          <w:color w:val="404040"/>
          <w:kern w:val="0"/>
          <w:lang w:val="en-US" w:eastAsia="fr-FR"/>
          <w14:ligatures w14:val="none"/>
        </w:rPr>
        <w:t>)</w:t>
      </w:r>
      <w:r w:rsidR="00A627B0">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Program objectives and justification</w:t>
      </w:r>
      <w:r w:rsidR="00D47BB2" w:rsidRPr="007A0CEC">
        <w:rPr>
          <w:rFonts w:ascii="Times New Roman" w:eastAsia="Times New Roman" w:hAnsi="Times New Roman" w:cs="Times New Roman"/>
          <w:color w:val="404040"/>
          <w:kern w:val="0"/>
          <w:lang w:val="en-US" w:eastAsia="fr-FR"/>
          <w14:ligatures w14:val="none"/>
        </w:rPr>
        <w:t xml:space="preserve">, </w:t>
      </w:r>
      <w:r w:rsidR="005529A4" w:rsidRPr="007A0CEC">
        <w:rPr>
          <w:rFonts w:ascii="Times New Roman" w:eastAsia="Times New Roman" w:hAnsi="Times New Roman" w:cs="Times New Roman"/>
          <w:color w:val="404040"/>
          <w:kern w:val="0"/>
          <w:lang w:val="en-US" w:eastAsia="fr-FR"/>
          <w14:ligatures w14:val="none"/>
        </w:rPr>
        <w:t>2) Institutional</w:t>
      </w:r>
      <w:r w:rsidRPr="007A0CEC">
        <w:rPr>
          <w:rFonts w:ascii="Times New Roman" w:eastAsia="Times New Roman" w:hAnsi="Times New Roman" w:cs="Times New Roman"/>
          <w:color w:val="404040"/>
          <w:kern w:val="0"/>
          <w:lang w:val="en-US" w:eastAsia="fr-FR"/>
          <w14:ligatures w14:val="none"/>
        </w:rPr>
        <w:t xml:space="preserve"> positioning</w:t>
      </w:r>
      <w:r w:rsidR="00D47BB2"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3</w:t>
      </w:r>
      <w:r w:rsidR="00B50F8A" w:rsidRPr="007A0CEC">
        <w:rPr>
          <w:rFonts w:ascii="Times New Roman" w:eastAsia="Times New Roman" w:hAnsi="Times New Roman" w:cs="Times New Roman"/>
          <w:color w:val="404040"/>
          <w:kern w:val="0"/>
          <w:lang w:val="en-US" w:eastAsia="fr-FR"/>
          <w14:ligatures w14:val="none"/>
        </w:rPr>
        <w:t>)</w:t>
      </w:r>
      <w:r w:rsid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Governance and management</w:t>
      </w:r>
      <w:r w:rsidR="00B50F8A" w:rsidRPr="007A0CEC">
        <w:rPr>
          <w:rFonts w:ascii="Times New Roman" w:eastAsia="Times New Roman" w:hAnsi="Times New Roman" w:cs="Times New Roman"/>
          <w:color w:val="404040"/>
          <w:kern w:val="0"/>
          <w:lang w:val="en-US" w:eastAsia="fr-FR"/>
          <w14:ligatures w14:val="none"/>
        </w:rPr>
        <w:t>, 4) University</w:t>
      </w:r>
      <w:r w:rsidRPr="007A0CEC">
        <w:rPr>
          <w:rFonts w:ascii="Times New Roman" w:eastAsia="Times New Roman" w:hAnsi="Times New Roman" w:cs="Times New Roman"/>
          <w:color w:val="404040"/>
          <w:kern w:val="0"/>
          <w:lang w:val="en-US" w:eastAsia="fr-FR"/>
          <w14:ligatures w14:val="none"/>
        </w:rPr>
        <w:t xml:space="preserve"> pedagogical organization</w:t>
      </w:r>
      <w:r w:rsidR="00D47BB2" w:rsidRPr="007A0CEC">
        <w:rPr>
          <w:rFonts w:ascii="Times New Roman" w:eastAsia="Times New Roman" w:hAnsi="Times New Roman" w:cs="Times New Roman"/>
          <w:color w:val="404040"/>
          <w:kern w:val="0"/>
          <w:lang w:val="en-US" w:eastAsia="fr-FR"/>
          <w14:ligatures w14:val="none"/>
        </w:rPr>
        <w:t xml:space="preserve">, </w:t>
      </w:r>
      <w:r w:rsidR="007A0CEC" w:rsidRPr="007A0CEC">
        <w:rPr>
          <w:rFonts w:ascii="Times New Roman" w:eastAsia="Times New Roman" w:hAnsi="Times New Roman" w:cs="Times New Roman"/>
          <w:color w:val="404040"/>
          <w:kern w:val="0"/>
          <w:lang w:val="en-US" w:eastAsia="fr-FR"/>
          <w14:ligatures w14:val="none"/>
        </w:rPr>
        <w:t>5) The</w:t>
      </w:r>
      <w:r w:rsidRPr="007A0CEC">
        <w:rPr>
          <w:rFonts w:ascii="Times New Roman" w:eastAsia="Times New Roman" w:hAnsi="Times New Roman" w:cs="Times New Roman"/>
          <w:color w:val="404040"/>
          <w:kern w:val="0"/>
          <w:lang w:val="en-US" w:eastAsia="fr-FR"/>
          <w14:ligatures w14:val="none"/>
        </w:rPr>
        <w:t xml:space="preserve"> </w:t>
      </w:r>
      <w:r w:rsidR="00D47BB2" w:rsidRPr="007A0CEC">
        <w:rPr>
          <w:rFonts w:ascii="Times New Roman" w:eastAsia="Times New Roman" w:hAnsi="Times New Roman" w:cs="Times New Roman"/>
          <w:color w:val="404040"/>
          <w:kern w:val="0"/>
          <w:lang w:val="en-US" w:eastAsia="fr-FR"/>
          <w14:ligatures w14:val="none"/>
        </w:rPr>
        <w:t>graduates’ outcomes (</w:t>
      </w:r>
      <w:r w:rsidRPr="007A0CEC">
        <w:rPr>
          <w:rFonts w:ascii="Times New Roman" w:eastAsia="Times New Roman" w:hAnsi="Times New Roman" w:cs="Times New Roman"/>
          <w:color w:val="404040"/>
          <w:kern w:val="0"/>
          <w:lang w:val="en-US" w:eastAsia="fr-FR"/>
          <w14:ligatures w14:val="none"/>
        </w:rPr>
        <w:t>AMAQ-SUP Manual, 2020).</w:t>
      </w:r>
      <w:r w:rsidR="00D47BB2" w:rsidRPr="007A0CEC">
        <w:rPr>
          <w:rFonts w:ascii="Times New Roman" w:eastAsia="Times New Roman" w:hAnsi="Times New Roman" w:cs="Times New Roman"/>
          <w:color w:val="404040"/>
          <w:kern w:val="0"/>
          <w:lang w:val="en-US" w:eastAsia="fr-FR"/>
          <w14:ligatures w14:val="none"/>
        </w:rPr>
        <w:t xml:space="preserve"> </w:t>
      </w:r>
    </w:p>
    <w:p w14:paraId="4AA04A09" w14:textId="63690EA7" w:rsidR="008F7AB6" w:rsidRPr="007A0CEC" w:rsidRDefault="008F7AB6" w:rsidP="005529A4">
      <w:pPr>
        <w:spacing w:after="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A common protocol for accredited private schools. Although the standards exist, their application to private schools is not uniform</w:t>
      </w:r>
      <w:r w:rsidR="00C53A2F">
        <w:rPr>
          <w:rFonts w:ascii="Times New Roman" w:eastAsia="Times New Roman" w:hAnsi="Times New Roman" w:cs="Times New Roman"/>
          <w:color w:val="404040"/>
          <w:kern w:val="0"/>
          <w:lang w:val="en-US" w:eastAsia="fr-FR"/>
          <w14:ligatures w14:val="none"/>
        </w:rPr>
        <w:fldChar w:fldCharType="begin"/>
      </w:r>
      <w:r w:rsidR="00C53A2F">
        <w:rPr>
          <w:rFonts w:ascii="Times New Roman" w:eastAsia="Times New Roman" w:hAnsi="Times New Roman" w:cs="Times New Roman"/>
          <w:color w:val="404040"/>
          <w:kern w:val="0"/>
          <w:lang w:val="en-US" w:eastAsia="fr-FR"/>
          <w14:ligatures w14:val="none"/>
        </w:rPr>
        <w:instrText xml:space="preserve"> ADDIN ZOTERO_ITEM CSL_CITATION {"citationID":"ZJvj4mMB","properties":{"formattedCitation":"(10)","plainCitation":"(10)","noteIndex":0},"citationItems":[{"id":3269,"uris":["http://zotero.org/users/8468661/items/EJL9YXS6"],"itemData":{"id":3269,"type":"article-journal","abstract":"This report assesses the private health sector in Mali, examining its evolution since the Bamako Initiative and its potential to contribute to national health objectives. It analyzes the current state of the Malian healthcare system, including its governance, regulation, and business environment, with a focus on the private sector's role. The study identifies challenges hindering the private sector's growth, such as insufficient training, unequal distribution, and regulatory issues, and proposes actionable strategies to improve its contribution to public health goals. Recommendations include strengthening public-private partnerships, revising regulations, improving access to finance, and enhancing community-based healthcare.","language":"en","note":"publisher: &lt;bound method Organization.get_name_with_acronym of &lt;Organization: World Bank Group&gt;&gt;","source":"policycommons.net","title":"Private Health Sector Assessment in Mali: The Post-Bamako Initiative Reality","title-short":"Private Health Sector Assessment in Mali","URL":"https://policycommons.net/artifacts/1505753/private-health-sector-assessment-in-mali/2169240/","author":[{"family":"Lamiaux","given":"Mathieu"},{"family":"Rouzaud","given":"Francois"},{"family":"Woods","given":"Wendy"}],"accessed":{"date-parts":[["2025",7,29]]},"issued":{"date-parts":[["2011",1,1]]}}}],"schema":"https://github.com/citation-style-language/schema/raw/master/csl-citation.json"} </w:instrText>
      </w:r>
      <w:r w:rsidR="00C53A2F">
        <w:rPr>
          <w:rFonts w:ascii="Times New Roman" w:eastAsia="Times New Roman" w:hAnsi="Times New Roman" w:cs="Times New Roman"/>
          <w:color w:val="404040"/>
          <w:kern w:val="0"/>
          <w:lang w:val="en-US" w:eastAsia="fr-FR"/>
          <w14:ligatures w14:val="none"/>
        </w:rPr>
        <w:fldChar w:fldCharType="separate"/>
      </w:r>
      <w:r w:rsidR="00C53A2F" w:rsidRPr="00C53A2F">
        <w:rPr>
          <w:rFonts w:ascii="Times New Roman" w:hAnsi="Times New Roman" w:cs="Times New Roman"/>
          <w:lang w:val="en-US"/>
        </w:rPr>
        <w:t>(10)</w:t>
      </w:r>
      <w:r w:rsidR="00C53A2F">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p>
    <w:p w14:paraId="73CD5027" w14:textId="17859081" w:rsidR="00D47BB2" w:rsidRPr="007A0CEC" w:rsidRDefault="00D47BB2"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lastRenderedPageBreak/>
        <w:t>This paper analyzes the extent to which private health training institutions</w:t>
      </w:r>
      <w:r w:rsidR="005529A4" w:rsidRPr="007A0CEC">
        <w:rPr>
          <w:rFonts w:ascii="Times New Roman" w:eastAsia="Times New Roman" w:hAnsi="Times New Roman" w:cs="Times New Roman"/>
          <w:color w:val="404040"/>
          <w:kern w:val="0"/>
          <w:lang w:val="en-US" w:eastAsia="fr-FR"/>
          <w14:ligatures w14:val="none"/>
        </w:rPr>
        <w:t xml:space="preserve"> </w:t>
      </w:r>
      <w:r w:rsidR="007A0CEC"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in the context of a case study of "Le Bouctou"</w:t>
      </w:r>
      <w:r w:rsidR="00B50F8A"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 xml:space="preserve">are part of the solution to Mali's health workforce crisis. </w:t>
      </w:r>
    </w:p>
    <w:p w14:paraId="353C3F86" w14:textId="05CCC3C3" w:rsidR="00D47BB2" w:rsidRPr="007A0CEC" w:rsidRDefault="00D47BB2"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More specifically, we evaluate:</w:t>
      </w:r>
      <w:r w:rsidR="00B50F8A"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The quality and relevance of training programs according to the AMAQ-SUP criteria;</w:t>
      </w:r>
      <w:r w:rsidR="00B50F8A"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Graduate employment outcomes, including the geographic distribution of graduates;</w:t>
      </w:r>
      <w:r w:rsidR="00B50F8A"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The AESP role in setting standards in private institutions;</w:t>
      </w:r>
      <w:r w:rsidR="00B50F8A"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The policy support required to maximize the contribution of the private sector.</w:t>
      </w:r>
    </w:p>
    <w:p w14:paraId="66CD667A" w14:textId="760385F6" w:rsidR="00B50F8A" w:rsidRPr="007A0CEC" w:rsidRDefault="00D47BB2"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Our results are timely as Mali is currently pursuing the 2022-2026 Health Sector Development Plan, recognizing private training institutions as priority actors in achieving national health workforce targets</w:t>
      </w:r>
      <w:r w:rsidR="00CB0588">
        <w:rPr>
          <w:rFonts w:ascii="Times New Roman" w:eastAsia="Times New Roman" w:hAnsi="Times New Roman" w:cs="Times New Roman"/>
          <w:color w:val="404040"/>
          <w:kern w:val="0"/>
          <w:lang w:val="en-US" w:eastAsia="fr-FR"/>
          <w14:ligatures w14:val="none"/>
        </w:rPr>
        <w:fldChar w:fldCharType="begin"/>
      </w:r>
      <w:r w:rsidR="00CB0588">
        <w:rPr>
          <w:rFonts w:ascii="Times New Roman" w:eastAsia="Times New Roman" w:hAnsi="Times New Roman" w:cs="Times New Roman"/>
          <w:color w:val="404040"/>
          <w:kern w:val="0"/>
          <w:lang w:val="en-US" w:eastAsia="fr-FR"/>
          <w14:ligatures w14:val="none"/>
        </w:rPr>
        <w:instrText xml:space="preserve"> ADDIN ZOTERO_ITEM CSL_CITATION {"citationID":"Xi1OfAne","properties":{"formattedCitation":"(11)","plainCitation":"(11)","noteIndex":0},"citationItems":[{"id":3271,"uris":["http://zotero.org/users/8468661/items/CVKZN47B"],"itemData":{"id":3271,"type":"webpage","abstract":"Mali - Health Sector Development Program (English)","container-title":"World Bank","genre":"Text/HTML","language":"en","title":"Mali - Health Sector Development Program","URL":"https://documents.worldbank.org/en/publication/documents-reports/documentdetail/en/351671468049788152","accessed":{"date-parts":[["2025",7,29]]}}}],"schema":"https://github.com/citation-style-language/schema/raw/master/csl-citation.json"} </w:instrText>
      </w:r>
      <w:r w:rsidR="00CB0588">
        <w:rPr>
          <w:rFonts w:ascii="Times New Roman" w:eastAsia="Times New Roman" w:hAnsi="Times New Roman" w:cs="Times New Roman"/>
          <w:color w:val="404040"/>
          <w:kern w:val="0"/>
          <w:lang w:val="en-US" w:eastAsia="fr-FR"/>
          <w14:ligatures w14:val="none"/>
        </w:rPr>
        <w:fldChar w:fldCharType="separate"/>
      </w:r>
      <w:r w:rsidR="00CB0588" w:rsidRPr="00CB0588">
        <w:rPr>
          <w:rFonts w:ascii="Times New Roman" w:hAnsi="Times New Roman" w:cs="Times New Roman"/>
          <w:lang w:val="en-US"/>
        </w:rPr>
        <w:t>(11)</w:t>
      </w:r>
      <w:r w:rsidR="00CB0588">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Through capturing best practices on the ground and pinpointing systemic barriers, this research seeks to inform methods for improving Mali’s health education ecosystem through effective public-private partnerships.</w:t>
      </w:r>
    </w:p>
    <w:p w14:paraId="4384B2CC" w14:textId="1B7EB408" w:rsidR="00111086" w:rsidRPr="007A0CEC" w:rsidRDefault="00111086" w:rsidP="005529A4">
      <w:pPr>
        <w:shd w:val="clear" w:color="auto" w:fill="FFFFFF"/>
        <w:spacing w:before="274" w:after="206" w:line="360" w:lineRule="auto"/>
        <w:jc w:val="both"/>
        <w:outlineLvl w:val="2"/>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Methods</w:t>
      </w:r>
    </w:p>
    <w:p w14:paraId="27D64DB3" w14:textId="77777777" w:rsidR="00111086" w:rsidRPr="007A0CEC" w:rsidRDefault="00111086" w:rsidP="005529A4">
      <w:pPr>
        <w:shd w:val="clear" w:color="auto" w:fill="FFFFFF"/>
        <w:spacing w:before="206" w:after="206" w:line="360" w:lineRule="auto"/>
        <w:jc w:val="both"/>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Data Collection</w:t>
      </w:r>
    </w:p>
    <w:p w14:paraId="2E5659D2" w14:textId="2D5DF703" w:rsidR="00B50F8A" w:rsidRPr="007A0CEC" w:rsidRDefault="00B50F8A"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Several data sources were combined to give a full description of the training program of the "Le Bouctou" network. Data was obtained from the institution for all 1,644 graduates from 2019-2023, including students’ demographic characteristics (age, gender, origin), academic performance (program-specific pass rates by year and campus location), and certification outcomes (including scores on national licensing examinations).</w:t>
      </w:r>
    </w:p>
    <w:p w14:paraId="380EAD59" w14:textId="77777777" w:rsidR="00B50F8A" w:rsidRPr="007A0CEC" w:rsidRDefault="00B50F8A"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We collected data on post-graduation outcomes by surveying 299 graduates (response rate 18.2% of total cohort) using structured tracer surveys through computer-assisted telephone interviews (70%) and face-to-face surveys (30%). These questionnaires collected data on employment (industry, position, time between graduation and finding employment), the self-perceived level of competencies achieved by the graduate using a 5-point Likert scale, and satisfaction with training using the NET Promoter Score technique.</w:t>
      </w:r>
    </w:p>
    <w:p w14:paraId="5D67E312" w14:textId="12ADFEA5" w:rsidR="00111086" w:rsidRPr="007A0CEC" w:rsidRDefault="00111086" w:rsidP="005529A4">
      <w:pPr>
        <w:shd w:val="clear" w:color="auto" w:fill="FFFFFF"/>
        <w:spacing w:before="206" w:after="206" w:line="360" w:lineRule="auto"/>
        <w:jc w:val="both"/>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Qualitative Investigations</w:t>
      </w:r>
    </w:p>
    <w:p w14:paraId="0E516B62" w14:textId="34DC3D8F"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 xml:space="preserve">To provide context for the statistical findings, 25 respondents were interviewed using a semi-structured, 45–60-minute interview guide: Eight faculty involved in delivering the curricula; six clinical supervisors involved in student practicums; seven employers at health facilities </w:t>
      </w:r>
      <w:r w:rsidRPr="007A0CEC">
        <w:rPr>
          <w:rFonts w:ascii="Times New Roman" w:eastAsia="Times New Roman" w:hAnsi="Times New Roman" w:cs="Times New Roman"/>
          <w:color w:val="404040"/>
          <w:kern w:val="0"/>
          <w:lang w:val="en-US" w:eastAsia="fr-FR"/>
          <w14:ligatures w14:val="none"/>
        </w:rPr>
        <w:lastRenderedPageBreak/>
        <w:t>where alumni were hired; four members of the board of the Association of Private Health Schools of Mali (AESP).</w:t>
      </w:r>
    </w:p>
    <w:p w14:paraId="353BD872" w14:textId="77777777"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Interview guides inquired about three main topics:</w:t>
      </w:r>
    </w:p>
    <w:p w14:paraId="06BFF2FD" w14:textId="77777777"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1) The gap between training curricula and actual job requirements in the workplace</w:t>
      </w:r>
    </w:p>
    <w:p w14:paraId="0CD99ACC" w14:textId="77777777"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2) Structural and institutional challenges to ensure the quality of education</w:t>
      </w:r>
    </w:p>
    <w:p w14:paraId="13143125" w14:textId="77777777"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3) The possibility to strengthen partnership business/health sector in the training of health workers</w:t>
      </w:r>
    </w:p>
    <w:p w14:paraId="4A9BF704" w14:textId="4FCAAD0F" w:rsidR="002F3296"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These interviews were supported by reviewing 12 policy documents such as:</w:t>
      </w:r>
      <w:r w:rsidR="005529A4"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 xml:space="preserve">The recent AMAQ-SUP accreditation reports in private institutions for the </w:t>
      </w:r>
      <w:r w:rsidR="00B67593" w:rsidRPr="007A0CEC">
        <w:rPr>
          <w:rFonts w:ascii="Times New Roman" w:eastAsia="Times New Roman" w:hAnsi="Times New Roman" w:cs="Times New Roman"/>
          <w:color w:val="404040"/>
          <w:kern w:val="0"/>
          <w:lang w:val="en-US" w:eastAsia="fr-FR"/>
          <w14:ligatures w14:val="none"/>
        </w:rPr>
        <w:t>AESP; Guidelines</w:t>
      </w:r>
      <w:r w:rsidRPr="007A0CEC">
        <w:rPr>
          <w:rFonts w:ascii="Times New Roman" w:eastAsia="Times New Roman" w:hAnsi="Times New Roman" w:cs="Times New Roman"/>
          <w:color w:val="404040"/>
          <w:kern w:val="0"/>
          <w:lang w:val="en-US" w:eastAsia="fr-FR"/>
          <w14:ligatures w14:val="none"/>
        </w:rPr>
        <w:t xml:space="preserve"> of ESAP quality assurance; The Ministry of Malian Health’s strategic plans in human resources for health. </w:t>
      </w:r>
    </w:p>
    <w:p w14:paraId="7BBBDA42" w14:textId="2AC68B42" w:rsidR="002B15AA" w:rsidRPr="002B15AA" w:rsidRDefault="002B15AA"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2B15AA">
        <w:rPr>
          <w:rFonts w:ascii="Times New Roman" w:eastAsia="Times New Roman" w:hAnsi="Times New Roman" w:cs="Times New Roman"/>
          <w:color w:val="404040"/>
          <w:kern w:val="0"/>
          <w:highlight w:val="yellow"/>
          <w:lang w:val="en-US" w:eastAsia="fr-FR"/>
          <w14:ligatures w14:val="none"/>
        </w:rPr>
        <w:t>Study limitations include potential selection bias due to urban/rural campus disparities (85% of students from urban centers) and self-reporting bias in employment outcomes. To mitigate these, we triangulated graduate survey data with employer interviews and maintained audit trails for all analytic decisions. The single-network focus, while providing depth, may limit generalizability to smaller private institutions.</w:t>
      </w:r>
    </w:p>
    <w:p w14:paraId="47901A9E" w14:textId="417BEF66" w:rsidR="00111086" w:rsidRPr="007A0CEC" w:rsidRDefault="00111086" w:rsidP="005529A4">
      <w:pPr>
        <w:shd w:val="clear" w:color="auto" w:fill="FFFFFF"/>
        <w:spacing w:before="206" w:after="206" w:line="360" w:lineRule="auto"/>
        <w:jc w:val="both"/>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Evaluation Framework</w:t>
      </w:r>
    </w:p>
    <w:p w14:paraId="439A5B9E" w14:textId="02958267" w:rsidR="002F3296" w:rsidRPr="007A0CEC"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Program quality was evaluated using a modified version of the AMAQ-SUP (</w:t>
      </w:r>
      <w:proofErr w:type="spellStart"/>
      <w:r w:rsidRPr="007A0CEC">
        <w:rPr>
          <w:rFonts w:ascii="Times New Roman" w:eastAsia="Times New Roman" w:hAnsi="Times New Roman" w:cs="Times New Roman"/>
          <w:color w:val="404040"/>
          <w:kern w:val="0"/>
          <w:lang w:val="en-US" w:eastAsia="fr-FR"/>
          <w14:ligatures w14:val="none"/>
        </w:rPr>
        <w:t>Agence</w:t>
      </w:r>
      <w:proofErr w:type="spellEnd"/>
      <w:r w:rsidRPr="007A0CEC">
        <w:rPr>
          <w:rFonts w:ascii="Times New Roman" w:eastAsia="Times New Roman" w:hAnsi="Times New Roman" w:cs="Times New Roman"/>
          <w:color w:val="404040"/>
          <w:kern w:val="0"/>
          <w:lang w:val="en-US" w:eastAsia="fr-FR"/>
          <w14:ligatures w14:val="none"/>
        </w:rPr>
        <w:t xml:space="preserve"> </w:t>
      </w:r>
      <w:proofErr w:type="spellStart"/>
      <w:r w:rsidRPr="007A0CEC">
        <w:rPr>
          <w:rFonts w:ascii="Times New Roman" w:eastAsia="Times New Roman" w:hAnsi="Times New Roman" w:cs="Times New Roman"/>
          <w:color w:val="404040"/>
          <w:kern w:val="0"/>
          <w:lang w:val="en-US" w:eastAsia="fr-FR"/>
          <w14:ligatures w14:val="none"/>
        </w:rPr>
        <w:t>Malienne</w:t>
      </w:r>
      <w:proofErr w:type="spellEnd"/>
      <w:r w:rsidRPr="007A0CEC">
        <w:rPr>
          <w:rFonts w:ascii="Times New Roman" w:eastAsia="Times New Roman" w:hAnsi="Times New Roman" w:cs="Times New Roman"/>
          <w:color w:val="404040"/>
          <w:kern w:val="0"/>
          <w:lang w:val="en-US" w:eastAsia="fr-FR"/>
          <w14:ligatures w14:val="none"/>
        </w:rPr>
        <w:t xml:space="preserve"> </w:t>
      </w:r>
      <w:proofErr w:type="spellStart"/>
      <w:r w:rsidRPr="007A0CEC">
        <w:rPr>
          <w:rFonts w:ascii="Times New Roman" w:eastAsia="Times New Roman" w:hAnsi="Times New Roman" w:cs="Times New Roman"/>
          <w:color w:val="404040"/>
          <w:kern w:val="0"/>
          <w:lang w:val="en-US" w:eastAsia="fr-FR"/>
          <w14:ligatures w14:val="none"/>
        </w:rPr>
        <w:t>d'Assurance</w:t>
      </w:r>
      <w:proofErr w:type="spellEnd"/>
      <w:r w:rsidRPr="007A0CEC">
        <w:rPr>
          <w:rFonts w:ascii="Times New Roman" w:eastAsia="Times New Roman" w:hAnsi="Times New Roman" w:cs="Times New Roman"/>
          <w:color w:val="404040"/>
          <w:kern w:val="0"/>
          <w:lang w:val="en-US" w:eastAsia="fr-FR"/>
          <w14:ligatures w14:val="none"/>
        </w:rPr>
        <w:t xml:space="preserve"> </w:t>
      </w:r>
      <w:proofErr w:type="spellStart"/>
      <w:r w:rsidRPr="007A0CEC">
        <w:rPr>
          <w:rFonts w:ascii="Times New Roman" w:eastAsia="Times New Roman" w:hAnsi="Times New Roman" w:cs="Times New Roman"/>
          <w:color w:val="404040"/>
          <w:kern w:val="0"/>
          <w:lang w:val="en-US" w:eastAsia="fr-FR"/>
          <w14:ligatures w14:val="none"/>
        </w:rPr>
        <w:t>Qualité</w:t>
      </w:r>
      <w:proofErr w:type="spellEnd"/>
      <w:r w:rsidRPr="007A0CEC">
        <w:rPr>
          <w:rFonts w:ascii="Times New Roman" w:eastAsia="Times New Roman" w:hAnsi="Times New Roman" w:cs="Times New Roman"/>
          <w:color w:val="404040"/>
          <w:kern w:val="0"/>
          <w:lang w:val="en-US" w:eastAsia="fr-FR"/>
          <w14:ligatures w14:val="none"/>
        </w:rPr>
        <w:t xml:space="preserve"> de </w:t>
      </w:r>
      <w:proofErr w:type="spellStart"/>
      <w:r w:rsidRPr="007A0CEC">
        <w:rPr>
          <w:rFonts w:ascii="Times New Roman" w:eastAsia="Times New Roman" w:hAnsi="Times New Roman" w:cs="Times New Roman"/>
          <w:color w:val="404040"/>
          <w:kern w:val="0"/>
          <w:lang w:val="en-US" w:eastAsia="fr-FR"/>
          <w14:ligatures w14:val="none"/>
        </w:rPr>
        <w:t>l'Enseignement</w:t>
      </w:r>
      <w:proofErr w:type="spellEnd"/>
      <w:r w:rsidRPr="007A0CEC">
        <w:rPr>
          <w:rFonts w:ascii="Times New Roman" w:eastAsia="Times New Roman" w:hAnsi="Times New Roman" w:cs="Times New Roman"/>
          <w:color w:val="404040"/>
          <w:kern w:val="0"/>
          <w:lang w:val="en-US" w:eastAsia="fr-FR"/>
          <w14:ligatures w14:val="none"/>
        </w:rPr>
        <w:t xml:space="preserve"> Supérieur) framework and also using item-based scores. This five-domain assessment tool measured:</w:t>
      </w:r>
      <w:r w:rsidR="005529A4"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(1) Program Objectives: level of integration with national health priorities and labor market needs using curricula review and policy document analysis; (2) Pedagogy: degree of adherence to the LMD (</w:t>
      </w:r>
      <w:proofErr w:type="spellStart"/>
      <w:r w:rsidRPr="007A0CEC">
        <w:rPr>
          <w:rFonts w:ascii="Times New Roman" w:eastAsia="Times New Roman" w:hAnsi="Times New Roman" w:cs="Times New Roman"/>
          <w:color w:val="404040"/>
          <w:kern w:val="0"/>
          <w:lang w:val="en-US" w:eastAsia="fr-FR"/>
          <w14:ligatures w14:val="none"/>
        </w:rPr>
        <w:t>Licence</w:t>
      </w:r>
      <w:proofErr w:type="spellEnd"/>
      <w:r w:rsidRPr="007A0CEC">
        <w:rPr>
          <w:rFonts w:ascii="Times New Roman" w:eastAsia="Times New Roman" w:hAnsi="Times New Roman" w:cs="Times New Roman"/>
          <w:color w:val="404040"/>
          <w:kern w:val="0"/>
          <w:lang w:val="en-US" w:eastAsia="fr-FR"/>
          <w14:ligatures w14:val="none"/>
        </w:rPr>
        <w:t>-Master-</w:t>
      </w:r>
      <w:proofErr w:type="spellStart"/>
      <w:r w:rsidRPr="007A0CEC">
        <w:rPr>
          <w:rFonts w:ascii="Times New Roman" w:eastAsia="Times New Roman" w:hAnsi="Times New Roman" w:cs="Times New Roman"/>
          <w:color w:val="404040"/>
          <w:kern w:val="0"/>
          <w:lang w:val="en-US" w:eastAsia="fr-FR"/>
          <w14:ligatures w14:val="none"/>
        </w:rPr>
        <w:t>Doctorat</w:t>
      </w:r>
      <w:proofErr w:type="spellEnd"/>
      <w:r w:rsidRPr="007A0CEC">
        <w:rPr>
          <w:rFonts w:ascii="Times New Roman" w:eastAsia="Times New Roman" w:hAnsi="Times New Roman" w:cs="Times New Roman"/>
          <w:color w:val="404040"/>
          <w:kern w:val="0"/>
          <w:lang w:val="en-US" w:eastAsia="fr-FR"/>
          <w14:ligatures w14:val="none"/>
        </w:rPr>
        <w:t>) system and staff qualifications using course syllabi review and human resource document analysis;</w:t>
      </w:r>
      <w:r w:rsidR="00DE621B">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(3) Governance: quality of institutional management evidenced by results of financial transparency audits and documentation of the student grievance mechanism;</w:t>
      </w:r>
      <w:r w:rsidR="005529A4"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(4) Infrastructure: quality of physical infrastructure and availability of laboratory equipment and simulation resources drawing upon standardized lists; and</w:t>
      </w:r>
      <w:r w:rsidR="00B67593"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(5) Employment Outcomes</w:t>
      </w:r>
      <w:r w:rsidR="00B67593"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quality of graduates' programs using placement rate calculations and employer satisfaction rates based on interview data.</w:t>
      </w:r>
    </w:p>
    <w:p w14:paraId="5B69B460" w14:textId="50FC3CE2" w:rsidR="00111086" w:rsidRDefault="002F329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lastRenderedPageBreak/>
        <w:t>Weighted scores from each of these domains contributed to an overall evaluation score (Objectives 20%, Pedagogy 25%, Governance 15%, Infrastructure 20%, Labor Market 20%).</w:t>
      </w:r>
    </w:p>
    <w:p w14:paraId="7BE1421C" w14:textId="40EAFDB1" w:rsidR="00F1012C" w:rsidRPr="007A0CEC" w:rsidRDefault="00F1012C"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Pr>
          <w:rFonts w:ascii="Times New Roman" w:eastAsia="Times New Roman" w:hAnsi="Times New Roman" w:cs="Times New Roman"/>
          <w:color w:val="404040"/>
          <w:kern w:val="0"/>
          <w:lang w:val="en-US" w:eastAsia="fr-FR"/>
          <w14:ligatures w14:val="none"/>
        </w:rPr>
        <w:t xml:space="preserve">Table </w:t>
      </w:r>
      <w:proofErr w:type="gramStart"/>
      <w:r>
        <w:rPr>
          <w:rFonts w:ascii="Times New Roman" w:eastAsia="Times New Roman" w:hAnsi="Times New Roman" w:cs="Times New Roman"/>
          <w:color w:val="404040"/>
          <w:kern w:val="0"/>
          <w:lang w:val="en-US" w:eastAsia="fr-FR"/>
          <w14:ligatures w14:val="none"/>
        </w:rPr>
        <w:t>1 :</w:t>
      </w:r>
      <w:proofErr w:type="gramEnd"/>
      <w:r>
        <w:rPr>
          <w:rFonts w:ascii="Times New Roman" w:eastAsia="Times New Roman" w:hAnsi="Times New Roman" w:cs="Times New Roman"/>
          <w:color w:val="404040"/>
          <w:kern w:val="0"/>
          <w:lang w:val="en-US" w:eastAsia="fr-FR"/>
          <w14:ligatures w14:val="none"/>
        </w:rPr>
        <w:t xml:space="preserve"> </w:t>
      </w:r>
      <w:r w:rsidR="00564705" w:rsidRPr="00564705">
        <w:rPr>
          <w:rFonts w:ascii="Times New Roman" w:eastAsia="Times New Roman" w:hAnsi="Times New Roman" w:cs="Times New Roman"/>
          <w:color w:val="404040"/>
          <w:kern w:val="0"/>
          <w:lang w:val="en-US" w:eastAsia="fr-FR"/>
          <w14:ligatures w14:val="none"/>
        </w:rPr>
        <w:t xml:space="preserve">Weighted scores from </w:t>
      </w:r>
      <w:r w:rsidR="00564705">
        <w:rPr>
          <w:rFonts w:ascii="Times New Roman" w:eastAsia="Times New Roman" w:hAnsi="Times New Roman" w:cs="Times New Roman"/>
          <w:color w:val="404040"/>
          <w:kern w:val="0"/>
          <w:lang w:val="en-US" w:eastAsia="fr-FR"/>
          <w14:ligatures w14:val="none"/>
        </w:rPr>
        <w:t>different</w:t>
      </w:r>
      <w:r w:rsidR="00564705" w:rsidRPr="00564705">
        <w:rPr>
          <w:rFonts w:ascii="Times New Roman" w:eastAsia="Times New Roman" w:hAnsi="Times New Roman" w:cs="Times New Roman"/>
          <w:color w:val="404040"/>
          <w:kern w:val="0"/>
          <w:lang w:val="en-US" w:eastAsia="fr-FR"/>
          <w14:ligatures w14:val="none"/>
        </w:rPr>
        <w:t xml:space="preserve"> domains</w:t>
      </w:r>
      <w:r w:rsidR="00564705">
        <w:rPr>
          <w:rFonts w:ascii="Times New Roman" w:eastAsia="Times New Roman" w:hAnsi="Times New Roman" w:cs="Times New Roman"/>
          <w:color w:val="404040"/>
          <w:kern w:val="0"/>
          <w:lang w:val="en-US" w:eastAsia="fr-FR"/>
          <w14:ligatures w14:val="none"/>
        </w:rPr>
        <w:t xml:space="preserve"> with key indicators and data sources</w:t>
      </w:r>
    </w:p>
    <w:tbl>
      <w:tblPr>
        <w:tblStyle w:val="GridTable1Light"/>
        <w:tblW w:w="0" w:type="auto"/>
        <w:tblLook w:val="04A0" w:firstRow="1" w:lastRow="0" w:firstColumn="1" w:lastColumn="0" w:noHBand="0" w:noVBand="1"/>
      </w:tblPr>
      <w:tblGrid>
        <w:gridCol w:w="1984"/>
        <w:gridCol w:w="3682"/>
        <w:gridCol w:w="3350"/>
      </w:tblGrid>
      <w:tr w:rsidR="00F335E7" w:rsidRPr="007A0CEC" w14:paraId="3DBECD7E" w14:textId="77777777" w:rsidTr="00CE7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hideMark/>
          </w:tcPr>
          <w:p w14:paraId="590889D7" w14:textId="77777777" w:rsidR="00F335E7" w:rsidRPr="007A0CEC" w:rsidRDefault="00F335E7" w:rsidP="005529A4">
            <w:pPr>
              <w:spacing w:line="360" w:lineRule="auto"/>
              <w:rPr>
                <w:rFonts w:ascii="Times New Roman" w:eastAsia="Times New Roman" w:hAnsi="Times New Roman" w:cs="Times New Roman"/>
                <w:color w:val="404040"/>
                <w:kern w:val="0"/>
                <w:lang w:eastAsia="fr-FR"/>
                <w14:ligatures w14:val="none"/>
              </w:rPr>
            </w:pPr>
            <w:r w:rsidRPr="007A0CEC">
              <w:rPr>
                <w:rFonts w:ascii="Times New Roman" w:eastAsia="Times New Roman" w:hAnsi="Times New Roman" w:cs="Times New Roman"/>
                <w:color w:val="404040"/>
                <w:kern w:val="0"/>
                <w:lang w:eastAsia="fr-FR"/>
                <w14:ligatures w14:val="none"/>
              </w:rPr>
              <w:t>Domain</w:t>
            </w:r>
          </w:p>
        </w:tc>
        <w:tc>
          <w:tcPr>
            <w:tcW w:w="3685" w:type="dxa"/>
            <w:hideMark/>
          </w:tcPr>
          <w:p w14:paraId="379CD945" w14:textId="77777777" w:rsidR="00F335E7" w:rsidRPr="007A0CEC" w:rsidRDefault="00F335E7" w:rsidP="005529A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04040"/>
                <w:kern w:val="0"/>
                <w:lang w:eastAsia="fr-FR"/>
                <w14:ligatures w14:val="none"/>
              </w:rPr>
            </w:pPr>
            <w:r w:rsidRPr="007A0CEC">
              <w:rPr>
                <w:rFonts w:ascii="Times New Roman" w:eastAsia="Times New Roman" w:hAnsi="Times New Roman" w:cs="Times New Roman"/>
                <w:color w:val="404040"/>
                <w:kern w:val="0"/>
                <w:lang w:eastAsia="fr-FR"/>
                <w14:ligatures w14:val="none"/>
              </w:rPr>
              <w:t xml:space="preserve">Key </w:t>
            </w:r>
            <w:proofErr w:type="spellStart"/>
            <w:r w:rsidRPr="007A0CEC">
              <w:rPr>
                <w:rFonts w:ascii="Times New Roman" w:eastAsia="Times New Roman" w:hAnsi="Times New Roman" w:cs="Times New Roman"/>
                <w:color w:val="404040"/>
                <w:kern w:val="0"/>
                <w:lang w:eastAsia="fr-FR"/>
                <w14:ligatures w14:val="none"/>
              </w:rPr>
              <w:t>Indicators</w:t>
            </w:r>
            <w:proofErr w:type="spellEnd"/>
          </w:p>
        </w:tc>
        <w:tc>
          <w:tcPr>
            <w:tcW w:w="3356" w:type="dxa"/>
            <w:hideMark/>
          </w:tcPr>
          <w:p w14:paraId="1747EF94" w14:textId="77777777" w:rsidR="00F335E7" w:rsidRPr="007A0CEC" w:rsidRDefault="00F335E7" w:rsidP="005529A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404040"/>
                <w:kern w:val="0"/>
                <w:lang w:eastAsia="fr-FR"/>
                <w14:ligatures w14:val="none"/>
              </w:rPr>
            </w:pPr>
            <w:r w:rsidRPr="007A0CEC">
              <w:rPr>
                <w:rFonts w:ascii="Times New Roman" w:eastAsia="Times New Roman" w:hAnsi="Times New Roman" w:cs="Times New Roman"/>
                <w:color w:val="404040"/>
                <w:kern w:val="0"/>
                <w:lang w:eastAsia="fr-FR"/>
                <w14:ligatures w14:val="none"/>
              </w:rPr>
              <w:t>Data Sources</w:t>
            </w:r>
          </w:p>
        </w:tc>
      </w:tr>
      <w:tr w:rsidR="00F335E7" w:rsidRPr="007A0CEC" w14:paraId="7405EABD"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5BDE349C"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1. Objectives</w:t>
            </w:r>
          </w:p>
        </w:tc>
        <w:tc>
          <w:tcPr>
            <w:tcW w:w="3685" w:type="dxa"/>
            <w:hideMark/>
          </w:tcPr>
          <w:p w14:paraId="76953CB4"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Alignment</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with</w:t>
            </w:r>
            <w:proofErr w:type="spellEnd"/>
            <w:r w:rsidRPr="007A0CEC">
              <w:rPr>
                <w:rFonts w:ascii="Times New Roman" w:eastAsia="Times New Roman" w:hAnsi="Times New Roman" w:cs="Times New Roman"/>
                <w:kern w:val="0"/>
                <w:lang w:eastAsia="fr-FR"/>
                <w14:ligatures w14:val="none"/>
              </w:rPr>
              <w:t xml:space="preserve"> PNDRH </w:t>
            </w:r>
            <w:proofErr w:type="spellStart"/>
            <w:r w:rsidRPr="007A0CEC">
              <w:rPr>
                <w:rFonts w:ascii="Times New Roman" w:eastAsia="Times New Roman" w:hAnsi="Times New Roman" w:cs="Times New Roman"/>
                <w:kern w:val="0"/>
                <w:lang w:eastAsia="fr-FR"/>
                <w14:ligatures w14:val="none"/>
              </w:rPr>
              <w:t>priorities</w:t>
            </w:r>
            <w:proofErr w:type="spellEnd"/>
          </w:p>
        </w:tc>
        <w:tc>
          <w:tcPr>
            <w:tcW w:w="3356" w:type="dxa"/>
            <w:hideMark/>
          </w:tcPr>
          <w:p w14:paraId="5646C524"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Curriculum </w:t>
            </w:r>
            <w:proofErr w:type="spellStart"/>
            <w:r w:rsidRPr="007A0CEC">
              <w:rPr>
                <w:rFonts w:ascii="Times New Roman" w:eastAsia="Times New Roman" w:hAnsi="Times New Roman" w:cs="Times New Roman"/>
                <w:kern w:val="0"/>
                <w:lang w:eastAsia="fr-FR"/>
                <w14:ligatures w14:val="none"/>
              </w:rPr>
              <w:t>review</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policy</w:t>
            </w:r>
            <w:proofErr w:type="spellEnd"/>
            <w:r w:rsidRPr="007A0CEC">
              <w:rPr>
                <w:rFonts w:ascii="Times New Roman" w:eastAsia="Times New Roman" w:hAnsi="Times New Roman" w:cs="Times New Roman"/>
                <w:kern w:val="0"/>
                <w:lang w:eastAsia="fr-FR"/>
                <w14:ligatures w14:val="none"/>
              </w:rPr>
              <w:t xml:space="preserve"> docs</w:t>
            </w:r>
          </w:p>
        </w:tc>
      </w:tr>
      <w:tr w:rsidR="00F335E7" w:rsidRPr="007A0CEC" w14:paraId="6F87C8A7"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220B4DBF"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(20% </w:t>
            </w:r>
            <w:proofErr w:type="spellStart"/>
            <w:r w:rsidRPr="007A0CEC">
              <w:rPr>
                <w:rFonts w:ascii="Times New Roman" w:eastAsia="Times New Roman" w:hAnsi="Times New Roman" w:cs="Times New Roman"/>
                <w:kern w:val="0"/>
                <w:lang w:eastAsia="fr-FR"/>
                <w14:ligatures w14:val="none"/>
              </w:rPr>
              <w:t>weight</w:t>
            </w:r>
            <w:proofErr w:type="spellEnd"/>
            <w:r w:rsidRPr="007A0CEC">
              <w:rPr>
                <w:rFonts w:ascii="Times New Roman" w:eastAsia="Times New Roman" w:hAnsi="Times New Roman" w:cs="Times New Roman"/>
                <w:kern w:val="0"/>
                <w:lang w:eastAsia="fr-FR"/>
                <w14:ligatures w14:val="none"/>
              </w:rPr>
              <w:t>)</w:t>
            </w:r>
          </w:p>
        </w:tc>
        <w:tc>
          <w:tcPr>
            <w:tcW w:w="3685" w:type="dxa"/>
            <w:hideMark/>
          </w:tcPr>
          <w:p w14:paraId="26B2603F"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Labor </w:t>
            </w:r>
            <w:proofErr w:type="spellStart"/>
            <w:r w:rsidRPr="007A0CEC">
              <w:rPr>
                <w:rFonts w:ascii="Times New Roman" w:eastAsia="Times New Roman" w:hAnsi="Times New Roman" w:cs="Times New Roman"/>
                <w:kern w:val="0"/>
                <w:lang w:eastAsia="fr-FR"/>
                <w14:ligatures w14:val="none"/>
              </w:rPr>
              <w:t>market</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needs</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assessment</w:t>
            </w:r>
            <w:proofErr w:type="spellEnd"/>
          </w:p>
        </w:tc>
        <w:tc>
          <w:tcPr>
            <w:tcW w:w="3356" w:type="dxa"/>
            <w:hideMark/>
          </w:tcPr>
          <w:p w14:paraId="24230BC8"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Employer interviews</w:t>
            </w:r>
          </w:p>
        </w:tc>
      </w:tr>
      <w:tr w:rsidR="00F335E7" w:rsidRPr="007A0CEC" w14:paraId="1CBD2AD8"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47299612"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2. </w:t>
            </w:r>
            <w:proofErr w:type="spellStart"/>
            <w:r w:rsidRPr="007A0CEC">
              <w:rPr>
                <w:rFonts w:ascii="Times New Roman" w:eastAsia="Times New Roman" w:hAnsi="Times New Roman" w:cs="Times New Roman"/>
                <w:kern w:val="0"/>
                <w:lang w:eastAsia="fr-FR"/>
                <w14:ligatures w14:val="none"/>
              </w:rPr>
              <w:t>Pedagogy</w:t>
            </w:r>
            <w:proofErr w:type="spellEnd"/>
          </w:p>
        </w:tc>
        <w:tc>
          <w:tcPr>
            <w:tcW w:w="3685" w:type="dxa"/>
            <w:hideMark/>
          </w:tcPr>
          <w:p w14:paraId="216EFD7E"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LMD system compliance</w:t>
            </w:r>
          </w:p>
        </w:tc>
        <w:tc>
          <w:tcPr>
            <w:tcW w:w="3356" w:type="dxa"/>
            <w:hideMark/>
          </w:tcPr>
          <w:p w14:paraId="39FF9328"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Course </w:t>
            </w:r>
            <w:proofErr w:type="spellStart"/>
            <w:r w:rsidRPr="007A0CEC">
              <w:rPr>
                <w:rFonts w:ascii="Times New Roman" w:eastAsia="Times New Roman" w:hAnsi="Times New Roman" w:cs="Times New Roman"/>
                <w:kern w:val="0"/>
                <w:lang w:eastAsia="fr-FR"/>
                <w14:ligatures w14:val="none"/>
              </w:rPr>
              <w:t>syllabi</w:t>
            </w:r>
            <w:proofErr w:type="spellEnd"/>
          </w:p>
        </w:tc>
      </w:tr>
      <w:tr w:rsidR="00F335E7" w:rsidRPr="007A0CEC" w14:paraId="268DC127"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2021549F"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(25% </w:t>
            </w:r>
            <w:proofErr w:type="spellStart"/>
            <w:r w:rsidRPr="007A0CEC">
              <w:rPr>
                <w:rFonts w:ascii="Times New Roman" w:eastAsia="Times New Roman" w:hAnsi="Times New Roman" w:cs="Times New Roman"/>
                <w:kern w:val="0"/>
                <w:lang w:eastAsia="fr-FR"/>
                <w14:ligatures w14:val="none"/>
              </w:rPr>
              <w:t>weight</w:t>
            </w:r>
            <w:proofErr w:type="spellEnd"/>
            <w:r w:rsidRPr="007A0CEC">
              <w:rPr>
                <w:rFonts w:ascii="Times New Roman" w:eastAsia="Times New Roman" w:hAnsi="Times New Roman" w:cs="Times New Roman"/>
                <w:kern w:val="0"/>
                <w:lang w:eastAsia="fr-FR"/>
                <w14:ligatures w14:val="none"/>
              </w:rPr>
              <w:t>)</w:t>
            </w:r>
          </w:p>
        </w:tc>
        <w:tc>
          <w:tcPr>
            <w:tcW w:w="3685" w:type="dxa"/>
            <w:hideMark/>
          </w:tcPr>
          <w:p w14:paraId="39B81B6C"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Faculty</w:t>
            </w:r>
            <w:proofErr w:type="spellEnd"/>
            <w:r w:rsidRPr="007A0CEC">
              <w:rPr>
                <w:rFonts w:ascii="Times New Roman" w:eastAsia="Times New Roman" w:hAnsi="Times New Roman" w:cs="Times New Roman"/>
                <w:kern w:val="0"/>
                <w:lang w:eastAsia="fr-FR"/>
                <w14:ligatures w14:val="none"/>
              </w:rPr>
              <w:t xml:space="preserve"> qualifications (PhD/</w:t>
            </w:r>
            <w:proofErr w:type="spellStart"/>
            <w:r w:rsidRPr="007A0CEC">
              <w:rPr>
                <w:rFonts w:ascii="Times New Roman" w:eastAsia="Times New Roman" w:hAnsi="Times New Roman" w:cs="Times New Roman"/>
                <w:kern w:val="0"/>
                <w:lang w:eastAsia="fr-FR"/>
                <w14:ligatures w14:val="none"/>
              </w:rPr>
              <w:t>clinical</w:t>
            </w:r>
            <w:proofErr w:type="spellEnd"/>
            <w:r w:rsidRPr="007A0CEC">
              <w:rPr>
                <w:rFonts w:ascii="Times New Roman" w:eastAsia="Times New Roman" w:hAnsi="Times New Roman" w:cs="Times New Roman"/>
                <w:kern w:val="0"/>
                <w:lang w:eastAsia="fr-FR"/>
                <w14:ligatures w14:val="none"/>
              </w:rPr>
              <w:t>)</w:t>
            </w:r>
          </w:p>
        </w:tc>
        <w:tc>
          <w:tcPr>
            <w:tcW w:w="3356" w:type="dxa"/>
            <w:hideMark/>
          </w:tcPr>
          <w:p w14:paraId="6700D8E5"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HR records</w:t>
            </w:r>
          </w:p>
        </w:tc>
      </w:tr>
      <w:tr w:rsidR="00F335E7" w:rsidRPr="007A0CEC" w14:paraId="2420D291"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2737C797"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3. </w:t>
            </w:r>
            <w:proofErr w:type="spellStart"/>
            <w:r w:rsidRPr="007A0CEC">
              <w:rPr>
                <w:rFonts w:ascii="Times New Roman" w:eastAsia="Times New Roman" w:hAnsi="Times New Roman" w:cs="Times New Roman"/>
                <w:kern w:val="0"/>
                <w:lang w:eastAsia="fr-FR"/>
                <w14:ligatures w14:val="none"/>
              </w:rPr>
              <w:t>Governance</w:t>
            </w:r>
            <w:proofErr w:type="spellEnd"/>
          </w:p>
        </w:tc>
        <w:tc>
          <w:tcPr>
            <w:tcW w:w="3685" w:type="dxa"/>
            <w:hideMark/>
          </w:tcPr>
          <w:p w14:paraId="21F0BE34"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Financial </w:t>
            </w:r>
            <w:proofErr w:type="spellStart"/>
            <w:r w:rsidRPr="007A0CEC">
              <w:rPr>
                <w:rFonts w:ascii="Times New Roman" w:eastAsia="Times New Roman" w:hAnsi="Times New Roman" w:cs="Times New Roman"/>
                <w:kern w:val="0"/>
                <w:lang w:eastAsia="fr-FR"/>
                <w14:ligatures w14:val="none"/>
              </w:rPr>
              <w:t>transparency</w:t>
            </w:r>
            <w:proofErr w:type="spellEnd"/>
          </w:p>
        </w:tc>
        <w:tc>
          <w:tcPr>
            <w:tcW w:w="3356" w:type="dxa"/>
            <w:hideMark/>
          </w:tcPr>
          <w:p w14:paraId="2BBD9C45"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Audit reports</w:t>
            </w:r>
          </w:p>
        </w:tc>
      </w:tr>
      <w:tr w:rsidR="00F335E7" w:rsidRPr="007A0CEC" w14:paraId="1655E72F"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1A3AD3CD"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(15% </w:t>
            </w:r>
            <w:proofErr w:type="spellStart"/>
            <w:r w:rsidRPr="007A0CEC">
              <w:rPr>
                <w:rFonts w:ascii="Times New Roman" w:eastAsia="Times New Roman" w:hAnsi="Times New Roman" w:cs="Times New Roman"/>
                <w:kern w:val="0"/>
                <w:lang w:eastAsia="fr-FR"/>
                <w14:ligatures w14:val="none"/>
              </w:rPr>
              <w:t>weight</w:t>
            </w:r>
            <w:proofErr w:type="spellEnd"/>
            <w:r w:rsidRPr="007A0CEC">
              <w:rPr>
                <w:rFonts w:ascii="Times New Roman" w:eastAsia="Times New Roman" w:hAnsi="Times New Roman" w:cs="Times New Roman"/>
                <w:kern w:val="0"/>
                <w:lang w:eastAsia="fr-FR"/>
                <w14:ligatures w14:val="none"/>
              </w:rPr>
              <w:t>)</w:t>
            </w:r>
          </w:p>
        </w:tc>
        <w:tc>
          <w:tcPr>
            <w:tcW w:w="3685" w:type="dxa"/>
            <w:hideMark/>
          </w:tcPr>
          <w:p w14:paraId="5DDC321E"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Student</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grievance</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mechanisms</w:t>
            </w:r>
            <w:proofErr w:type="spellEnd"/>
          </w:p>
        </w:tc>
        <w:tc>
          <w:tcPr>
            <w:tcW w:w="3356" w:type="dxa"/>
            <w:hideMark/>
          </w:tcPr>
          <w:p w14:paraId="637B9026"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Policy </w:t>
            </w:r>
            <w:proofErr w:type="spellStart"/>
            <w:r w:rsidRPr="007A0CEC">
              <w:rPr>
                <w:rFonts w:ascii="Times New Roman" w:eastAsia="Times New Roman" w:hAnsi="Times New Roman" w:cs="Times New Roman"/>
                <w:kern w:val="0"/>
                <w:lang w:eastAsia="fr-FR"/>
                <w14:ligatures w14:val="none"/>
              </w:rPr>
              <w:t>review</w:t>
            </w:r>
            <w:proofErr w:type="spellEnd"/>
          </w:p>
        </w:tc>
      </w:tr>
      <w:tr w:rsidR="00F335E7" w:rsidRPr="007A0CEC" w14:paraId="23B0721A"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7892C6B2"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4. Infrastructure</w:t>
            </w:r>
          </w:p>
        </w:tc>
        <w:tc>
          <w:tcPr>
            <w:tcW w:w="3685" w:type="dxa"/>
            <w:hideMark/>
          </w:tcPr>
          <w:p w14:paraId="31DD8597"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Lab</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equipment</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adequacy</w:t>
            </w:r>
            <w:proofErr w:type="spellEnd"/>
          </w:p>
        </w:tc>
        <w:tc>
          <w:tcPr>
            <w:tcW w:w="3356" w:type="dxa"/>
            <w:hideMark/>
          </w:tcPr>
          <w:p w14:paraId="1A5AAD20"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Facility </w:t>
            </w:r>
            <w:proofErr w:type="spellStart"/>
            <w:r w:rsidRPr="007A0CEC">
              <w:rPr>
                <w:rFonts w:ascii="Times New Roman" w:eastAsia="Times New Roman" w:hAnsi="Times New Roman" w:cs="Times New Roman"/>
                <w:kern w:val="0"/>
                <w:lang w:eastAsia="fr-FR"/>
                <w14:ligatures w14:val="none"/>
              </w:rPr>
              <w:t>assessments</w:t>
            </w:r>
            <w:proofErr w:type="spellEnd"/>
          </w:p>
        </w:tc>
      </w:tr>
      <w:tr w:rsidR="00F335E7" w:rsidRPr="007A0CEC" w14:paraId="33029EF8"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4316223E"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(20% </w:t>
            </w:r>
            <w:proofErr w:type="spellStart"/>
            <w:r w:rsidRPr="007A0CEC">
              <w:rPr>
                <w:rFonts w:ascii="Times New Roman" w:eastAsia="Times New Roman" w:hAnsi="Times New Roman" w:cs="Times New Roman"/>
                <w:kern w:val="0"/>
                <w:lang w:eastAsia="fr-FR"/>
                <w14:ligatures w14:val="none"/>
              </w:rPr>
              <w:t>weight</w:t>
            </w:r>
            <w:proofErr w:type="spellEnd"/>
            <w:r w:rsidRPr="007A0CEC">
              <w:rPr>
                <w:rFonts w:ascii="Times New Roman" w:eastAsia="Times New Roman" w:hAnsi="Times New Roman" w:cs="Times New Roman"/>
                <w:kern w:val="0"/>
                <w:lang w:eastAsia="fr-FR"/>
                <w14:ligatures w14:val="none"/>
              </w:rPr>
              <w:t>)</w:t>
            </w:r>
          </w:p>
        </w:tc>
        <w:tc>
          <w:tcPr>
            <w:tcW w:w="3685" w:type="dxa"/>
            <w:hideMark/>
          </w:tcPr>
          <w:p w14:paraId="432C7359"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proofErr w:type="gramStart"/>
            <w:r w:rsidRPr="007A0CEC">
              <w:rPr>
                <w:rFonts w:ascii="Times New Roman" w:eastAsia="Times New Roman" w:hAnsi="Times New Roman" w:cs="Times New Roman"/>
                <w:kern w:val="0"/>
                <w:lang w:eastAsia="fr-FR"/>
                <w14:ligatures w14:val="none"/>
              </w:rPr>
              <w:t>Simulation:student</w:t>
            </w:r>
            <w:proofErr w:type="spellEnd"/>
            <w:proofErr w:type="gramEnd"/>
            <w:r w:rsidRPr="007A0CEC">
              <w:rPr>
                <w:rFonts w:ascii="Times New Roman" w:eastAsia="Times New Roman" w:hAnsi="Times New Roman" w:cs="Times New Roman"/>
                <w:kern w:val="0"/>
                <w:lang w:eastAsia="fr-FR"/>
                <w14:ligatures w14:val="none"/>
              </w:rPr>
              <w:t> ratio</w:t>
            </w:r>
          </w:p>
        </w:tc>
        <w:tc>
          <w:tcPr>
            <w:tcW w:w="3356" w:type="dxa"/>
            <w:hideMark/>
          </w:tcPr>
          <w:p w14:paraId="1B51FA78"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Observation checklists</w:t>
            </w:r>
          </w:p>
        </w:tc>
      </w:tr>
      <w:tr w:rsidR="00F335E7" w:rsidRPr="007A0CEC" w14:paraId="773D989F"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06994D9D"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5. </w:t>
            </w:r>
            <w:proofErr w:type="spellStart"/>
            <w:r w:rsidRPr="007A0CEC">
              <w:rPr>
                <w:rFonts w:ascii="Times New Roman" w:eastAsia="Times New Roman" w:hAnsi="Times New Roman" w:cs="Times New Roman"/>
                <w:kern w:val="0"/>
                <w:lang w:eastAsia="fr-FR"/>
                <w14:ligatures w14:val="none"/>
              </w:rPr>
              <w:t>Employment</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Outcomes</w:t>
            </w:r>
            <w:proofErr w:type="spellEnd"/>
          </w:p>
        </w:tc>
        <w:tc>
          <w:tcPr>
            <w:tcW w:w="3685" w:type="dxa"/>
            <w:hideMark/>
          </w:tcPr>
          <w:p w14:paraId="42433862"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6-month placement rates</w:t>
            </w:r>
          </w:p>
        </w:tc>
        <w:tc>
          <w:tcPr>
            <w:tcW w:w="3356" w:type="dxa"/>
            <w:hideMark/>
          </w:tcPr>
          <w:p w14:paraId="27D6D1DB"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Graduate</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surveys</w:t>
            </w:r>
            <w:proofErr w:type="spellEnd"/>
          </w:p>
        </w:tc>
      </w:tr>
      <w:tr w:rsidR="00F335E7" w:rsidRPr="007A0CEC" w14:paraId="13D7B3F9" w14:textId="77777777" w:rsidTr="00CE7125">
        <w:tc>
          <w:tcPr>
            <w:cnfStyle w:val="001000000000" w:firstRow="0" w:lastRow="0" w:firstColumn="1" w:lastColumn="0" w:oddVBand="0" w:evenVBand="0" w:oddHBand="0" w:evenHBand="0" w:firstRowFirstColumn="0" w:firstRowLastColumn="0" w:lastRowFirstColumn="0" w:lastRowLastColumn="0"/>
            <w:tcW w:w="1985" w:type="dxa"/>
            <w:hideMark/>
          </w:tcPr>
          <w:p w14:paraId="1114F257" w14:textId="77777777" w:rsidR="00F335E7" w:rsidRPr="007A0CEC" w:rsidRDefault="00F335E7"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(20% </w:t>
            </w:r>
            <w:proofErr w:type="spellStart"/>
            <w:r w:rsidRPr="007A0CEC">
              <w:rPr>
                <w:rFonts w:ascii="Times New Roman" w:eastAsia="Times New Roman" w:hAnsi="Times New Roman" w:cs="Times New Roman"/>
                <w:kern w:val="0"/>
                <w:lang w:eastAsia="fr-FR"/>
                <w14:ligatures w14:val="none"/>
              </w:rPr>
              <w:t>weight</w:t>
            </w:r>
            <w:proofErr w:type="spellEnd"/>
            <w:r w:rsidRPr="007A0CEC">
              <w:rPr>
                <w:rFonts w:ascii="Times New Roman" w:eastAsia="Times New Roman" w:hAnsi="Times New Roman" w:cs="Times New Roman"/>
                <w:kern w:val="0"/>
                <w:lang w:eastAsia="fr-FR"/>
                <w14:ligatures w14:val="none"/>
              </w:rPr>
              <w:t>)</w:t>
            </w:r>
          </w:p>
        </w:tc>
        <w:tc>
          <w:tcPr>
            <w:tcW w:w="3685" w:type="dxa"/>
            <w:hideMark/>
          </w:tcPr>
          <w:p w14:paraId="6BA1C0B4"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Employer satisfaction</w:t>
            </w:r>
          </w:p>
        </w:tc>
        <w:tc>
          <w:tcPr>
            <w:tcW w:w="3356" w:type="dxa"/>
            <w:hideMark/>
          </w:tcPr>
          <w:p w14:paraId="376AB612" w14:textId="77777777" w:rsidR="00F335E7" w:rsidRPr="007A0CEC" w:rsidRDefault="00F335E7"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 xml:space="preserve">Interview </w:t>
            </w:r>
            <w:proofErr w:type="spellStart"/>
            <w:r w:rsidRPr="007A0CEC">
              <w:rPr>
                <w:rFonts w:ascii="Times New Roman" w:eastAsia="Times New Roman" w:hAnsi="Times New Roman" w:cs="Times New Roman"/>
                <w:kern w:val="0"/>
                <w:lang w:eastAsia="fr-FR"/>
                <w14:ligatures w14:val="none"/>
              </w:rPr>
              <w:t>themes</w:t>
            </w:r>
            <w:proofErr w:type="spellEnd"/>
          </w:p>
        </w:tc>
      </w:tr>
    </w:tbl>
    <w:p w14:paraId="22D567A5" w14:textId="77777777" w:rsidR="00111086" w:rsidRPr="007A0CEC" w:rsidRDefault="00111086" w:rsidP="005529A4">
      <w:pPr>
        <w:shd w:val="clear" w:color="auto" w:fill="FFFFFF"/>
        <w:spacing w:before="206" w:after="206" w:line="360" w:lineRule="auto"/>
        <w:jc w:val="both"/>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Analytical Approach</w:t>
      </w:r>
    </w:p>
    <w:p w14:paraId="54E7ED4C" w14:textId="4A57C9B5" w:rsidR="00B67593" w:rsidRPr="007A0CEC" w:rsidRDefault="00B67593"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To address research question</w:t>
      </w:r>
      <w:r w:rsidR="00DE621B">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 quantitative data was analyzed using the software package SPSS Statistics 26, with descriptive statistics used to describe the demographics of graduates and academic outcomes</w:t>
      </w:r>
      <w:r w:rsidR="00781AC0">
        <w:rPr>
          <w:rFonts w:ascii="Times New Roman" w:eastAsia="Times New Roman" w:hAnsi="Times New Roman" w:cs="Times New Roman"/>
          <w:color w:val="404040"/>
          <w:kern w:val="0"/>
          <w:lang w:val="en-US" w:eastAsia="fr-FR"/>
          <w14:ligatures w14:val="none"/>
        </w:rPr>
        <w:fldChar w:fldCharType="begin"/>
      </w:r>
      <w:r w:rsidR="00781AC0">
        <w:rPr>
          <w:rFonts w:ascii="Times New Roman" w:eastAsia="Times New Roman" w:hAnsi="Times New Roman" w:cs="Times New Roman"/>
          <w:color w:val="404040"/>
          <w:kern w:val="0"/>
          <w:lang w:val="en-US" w:eastAsia="fr-FR"/>
          <w14:ligatures w14:val="none"/>
        </w:rPr>
        <w:instrText xml:space="preserve"> ADDIN ZOTERO_ITEM CSL_CITATION {"citationID":"POcdYzBC","properties":{"formattedCitation":"(12)","plainCitation":"(12)","noteIndex":0},"citationItems":[{"id":3273,"uris":["http://zotero.org/users/8468661/items/7SVCR8Q9"],"itemData":{"id":3273,"type":"book","abstract":"IBM SPSS Statistics 26 Step by Step: A Simple Guide and Reference, sixteenth edition, takes a straightforward, step-by-step approach that makes SPSS software clear to beginners and experienced researchers alike. Extensive use of four-color screen shots, clear writing, and step-by-step boxes guide readers through the program. Output for each procedure is explained and illustrated, and every output term is defined. Exercises at the end of each chapter support students by providing additional opportunities to practice using SPSS. \n\nThis book covers the basics of statistical analysis and addresses more advanced topics such as multi-dimensional scaling, factor analysis, discriminant analysis, measures of internal consistency, MANOVA (between- and within-subjects), cluster analysis, Log-linear models, logistic regression and a chapter describing residuals. Back matter includes a description of data files used in exercises, an exhaustive glossary, suggestions for further reading and a comprehensive index.\nIMB SPSS Statistics 26 Step by Step is distributed in 85 countries, has been an academic best seller through most of the earlier editions, and has proved invaluable aid to thousands of researchers and students.\n\nNew to this edition:\n\n\nScreenshots, explanations, and step-by-step boxes have been fully updated to reflect SPSS 26\n\n\nHow to handle missing data has been revised and expanded and now includes a detailed explanation of how to create regression equations to replace missing data\n\n\nMore explicit coverage of how to report APA style statistics; this primarily shows up in the Output sections of Chapters 6 through 16, though changes have been made throughout the text.","edition":"16","event-place":"New York","ISBN":"978-0-429-05676-5","note":"DOI: 10.4324/9780429056765","number-of-pages":"402","publisher":"Routledge","publisher-place":"New York","title":"IBM SPSS Statistics 26 Step by Step: A Simple Guide and Reference","title-short":"IBM SPSS Statistics 26 Step by Step","author":[{"family":"George","given":"Darren"},{"family":"Mallery","given":"Paul"}],"issued":{"date-parts":[["2019",12,6]]}}}],"schema":"https://github.com/citation-style-language/schema/raw/master/csl-citation.json"} </w:instrText>
      </w:r>
      <w:r w:rsidR="00781AC0">
        <w:rPr>
          <w:rFonts w:ascii="Times New Roman" w:eastAsia="Times New Roman" w:hAnsi="Times New Roman" w:cs="Times New Roman"/>
          <w:color w:val="404040"/>
          <w:kern w:val="0"/>
          <w:lang w:val="en-US" w:eastAsia="fr-FR"/>
          <w14:ligatures w14:val="none"/>
        </w:rPr>
        <w:fldChar w:fldCharType="separate"/>
      </w:r>
      <w:r w:rsidR="00781AC0" w:rsidRPr="00781AC0">
        <w:rPr>
          <w:rFonts w:ascii="Times New Roman" w:hAnsi="Times New Roman" w:cs="Times New Roman"/>
          <w:lang w:val="en-US"/>
        </w:rPr>
        <w:t>(12)</w:t>
      </w:r>
      <w:r w:rsidR="00781AC0">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xml:space="preserve">. </w:t>
      </w:r>
    </w:p>
    <w:p w14:paraId="3121F8EC" w14:textId="5249883E" w:rsidR="00B67593" w:rsidRPr="007A0CEC" w:rsidRDefault="00B67593"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Bivariate analysis using Chi-square tests assessed the relationship of training characteristics with post-training employment outcomes in multivariate logistic regression models, adjusting for potential confounders such as age, gender, and program type</w:t>
      </w:r>
      <w:r w:rsidR="00781AC0">
        <w:rPr>
          <w:rFonts w:ascii="Times New Roman" w:eastAsia="Times New Roman" w:hAnsi="Times New Roman" w:cs="Times New Roman"/>
          <w:color w:val="404040"/>
          <w:kern w:val="0"/>
          <w:lang w:val="en-US" w:eastAsia="fr-FR"/>
          <w14:ligatures w14:val="none"/>
        </w:rPr>
        <w:fldChar w:fldCharType="begin"/>
      </w:r>
      <w:r w:rsidR="00781AC0">
        <w:rPr>
          <w:rFonts w:ascii="Times New Roman" w:eastAsia="Times New Roman" w:hAnsi="Times New Roman" w:cs="Times New Roman"/>
          <w:color w:val="404040"/>
          <w:kern w:val="0"/>
          <w:lang w:val="en-US" w:eastAsia="fr-FR"/>
          <w14:ligatures w14:val="none"/>
        </w:rPr>
        <w:instrText xml:space="preserve"> ADDIN ZOTERO_ITEM CSL_CITATION {"citationID":"l8EJN5oF","properties":{"formattedCitation":"(13)","plainCitation":"(13)","noteIndex":0},"citationItems":[{"id":3277,"uris":["http://zotero.org/users/8468661/items/M6B9EBVB"],"itemData":{"id":3277,"type":"article-journal","abstract":"Aim of the study\nAt present, there is very little data available about the impact of anemia on elderly cancer patient's quality of life (QoL). Most of the acquired knowledge has been derived from small studies selected for primary site cancer. This observational study investigates the association between hemoglobin (Hb) level and comprehensive geriatric assessment variables: Cancer Linear Analog Scale (CLAS), Activities of Daily Living (ADL), Mini-Mental State Examination (MMSE) in elderly cancer patients undergoing chemotherapy (CT).\nMethods\nWe enrolled 586 elderly cancer patients undergoing CT who were evaluated at baseline and every 3–4 weeks for at least 12 weeks. The correlation between Hb level changes and the examined index changes were performed using Pearson correlation analysis and a multivariate analysis was performed using a logistic regression model.\nResults\nBoth univariate and multivariate analyses at baseline showed that Hb values are related to ECOG performance status (PS), stage of disease and self-reported QoL. Hb level variation significantly correlated with CLAS and ADL changes measured at baseline and after 12 weeks. This correlation is highly significant in patients with Hb&lt;11g/dl. Multivariate analysis showed that Hb change of at least 1g/dl was the only independent predictor of a better quality of life, when assessed by using the CLAS and ADL questionnaire (p&lt;0.05). Moreover the median time of hospitalisation was found to be significantly lower in patients showing higher Hb level (Hb≥11g/dl) (p=0.037).\nConclusions\nThe findings of this study seem to provide adequate support for the correlation between anemia and elderly cancer patient's QoL. Interestingly, we reported an association between anemia and the length of hospitalisation in this setting of patients. However, the above results do need to be confirmed by further prospective trials.","container-title":"Critical Reviews in Oncology/Hematology","DOI":"10.1016/j.critrevonc.2010.04.002","ISSN":"1040-8428","issue":"1","journalAbbreviation":"Critical Reviews in Oncology/Hematology","page":"70-77","source":"ScienceDirect","title":"The impact of anemia on quality of life and hospitalisation in elderly cancer patients undergoing chemotherapy","volume":"77","author":[{"family":"Doni","given":"Laura"},{"family":"Perin","given":"Alessandra"},{"family":"Manzione","given":"Luigi"},{"family":"Gebbia","given":"Vittorio"},{"family":"Mattioli","given":"Rodolfo"},{"family":"Speranza","given":"Giovanni Battista"},{"family":"Latini","given":"Luciano"},{"family":"Iop","given":"Aldo"},{"family":"Bertetto","given":"Oscar"},{"family":"Ferraù","given":"Francesco"},{"family":"Pugliese","given":"Palma"},{"family":"Tralongo","given":"Paolo"},{"family":"Zaniboni","given":"Alberto"},{"family":"Di Costanzo","given":"Francesco"}],"issued":{"date-parts":[["2011",1,1]]}}}],"schema":"https://github.com/citation-style-language/schema/raw/master/csl-citation.json"} </w:instrText>
      </w:r>
      <w:r w:rsidR="00781AC0">
        <w:rPr>
          <w:rFonts w:ascii="Times New Roman" w:eastAsia="Times New Roman" w:hAnsi="Times New Roman" w:cs="Times New Roman"/>
          <w:color w:val="404040"/>
          <w:kern w:val="0"/>
          <w:lang w:val="en-US" w:eastAsia="fr-FR"/>
          <w14:ligatures w14:val="none"/>
        </w:rPr>
        <w:fldChar w:fldCharType="separate"/>
      </w:r>
      <w:r w:rsidR="00781AC0" w:rsidRPr="00466CBF">
        <w:rPr>
          <w:rFonts w:ascii="Times New Roman" w:hAnsi="Times New Roman" w:cs="Times New Roman"/>
          <w:lang w:val="en-US"/>
        </w:rPr>
        <w:t>(13)</w:t>
      </w:r>
      <w:r w:rsidR="00781AC0">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Thematic analysis was conducted for qualitative data in NVivo 12 using a flexed coding strategy, including deductive, framework-based codes (from AMAQ-SUP domains) and inductive themes from participant stories. Inter-coder reliability was reached at κ=0.82, based on dual independent coding of 20% of a sample.  Aspects of methodological soundness were also achieved through triangulation of the data across sources, member checking with ten participants to validate interpretations, and detailed audit trail keeping describing all analytic decisions.</w:t>
      </w:r>
    </w:p>
    <w:p w14:paraId="2733F7AD" w14:textId="5B3F941D" w:rsidR="00111086" w:rsidRPr="007A0CEC" w:rsidRDefault="00111086" w:rsidP="005529A4">
      <w:pPr>
        <w:shd w:val="clear" w:color="auto" w:fill="FFFFFF"/>
        <w:spacing w:before="206" w:after="206" w:line="360" w:lineRule="auto"/>
        <w:jc w:val="both"/>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Ethical Considerations</w:t>
      </w:r>
    </w:p>
    <w:p w14:paraId="5C5E1D8C" w14:textId="77777777" w:rsidR="00B67593" w:rsidRPr="007A0CEC" w:rsidRDefault="00B67593" w:rsidP="005529A4">
      <w:pPr>
        <w:shd w:val="clear" w:color="auto" w:fill="FFFFFF"/>
        <w:spacing w:before="274" w:after="206" w:line="360" w:lineRule="auto"/>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lastRenderedPageBreak/>
        <w:t>Personal identifiers were excluded before analysis, and additional measures were supported by the 2019 Data Protection Act of Mali to guarantee participant privacy during the research.</w:t>
      </w:r>
    </w:p>
    <w:p w14:paraId="5A6EC0A5" w14:textId="053EFC35" w:rsidR="00941479" w:rsidRPr="007A0CEC" w:rsidRDefault="00941479" w:rsidP="005529A4">
      <w:pPr>
        <w:shd w:val="clear" w:color="auto" w:fill="FFFFFF"/>
        <w:spacing w:before="274" w:after="206" w:line="360" w:lineRule="auto"/>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Results</w:t>
      </w:r>
    </w:p>
    <w:p w14:paraId="2364E76D" w14:textId="6E6BBDFE" w:rsidR="0034299B" w:rsidRPr="007A0CEC" w:rsidRDefault="0034299B" w:rsidP="005529A4">
      <w:pPr>
        <w:shd w:val="clear" w:color="auto" w:fill="FFFFFF"/>
        <w:spacing w:before="274" w:after="206" w:line="360" w:lineRule="auto"/>
        <w:outlineLvl w:val="3"/>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Student Demographic Characteristics</w:t>
      </w:r>
    </w:p>
    <w:p w14:paraId="11E1992F" w14:textId="770A1291" w:rsidR="0088436F" w:rsidRPr="007A0CEC" w:rsidRDefault="0088436F"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analysis was based on 1,644 students from the "Le Bouctou" network, between 2019-2023. The majority of the student population was female (82.7%), with high female representation in midwifery programs (100% female). Nursing specializations represented the highest volume of enrollments (41.3%). International students accounted for 2.2% of the sample, with representation from 14 African countries. Geographically, there was urban concentration, with 85% of students coming from Bamako and other large urban centers.</w:t>
      </w:r>
    </w:p>
    <w:p w14:paraId="67755F4C" w14:textId="1E8C929F" w:rsidR="000514B7" w:rsidRPr="007A0CEC" w:rsidRDefault="000514B7" w:rsidP="005529A4">
      <w:pPr>
        <w:shd w:val="clear" w:color="auto" w:fill="FFFFFF"/>
        <w:spacing w:before="206" w:after="206" w:line="360" w:lineRule="auto"/>
        <w:rPr>
          <w:rFonts w:ascii="Times New Roman" w:eastAsia="Times New Roman" w:hAnsi="Times New Roman" w:cs="Times New Roman"/>
          <w:color w:val="404040"/>
          <w:kern w:val="0"/>
          <w:lang w:val="en-US" w:eastAsia="fr-FR"/>
          <w14:ligatures w14:val="none"/>
        </w:rPr>
      </w:pPr>
      <w:r w:rsidRPr="007A0CEC">
        <w:rPr>
          <w:rStyle w:val="Strong"/>
          <w:rFonts w:ascii="Times New Roman" w:hAnsi="Times New Roman" w:cs="Times New Roman"/>
          <w:color w:val="404040"/>
          <w:shd w:val="clear" w:color="auto" w:fill="FFFFFF"/>
          <w:lang w:val="en-US"/>
        </w:rPr>
        <w:t>Comprehensive Program Portfolio Addressing Health Workforce Gaps</w:t>
      </w:r>
    </w:p>
    <w:p w14:paraId="6309F635" w14:textId="7886ED07" w:rsidR="00E720A0" w:rsidRPr="007A0CEC" w:rsidRDefault="00E720A0" w:rsidP="005529A4">
      <w:pPr>
        <w:shd w:val="clear" w:color="auto" w:fill="FFFFFF"/>
        <w:spacing w:before="274" w:after="206" w:line="360" w:lineRule="auto"/>
        <w:jc w:val="both"/>
        <w:outlineLvl w:val="3"/>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"Le Bouctou" network provides a range of over 20 approved health training courses at several levels of qualification, such as those of specialist and generalist. Modularly, at the certificate level, the institution offers foundational training for auxiliary health professions such as: Certified Nursing Assistants (2 years); Maternity Aides (18 months); Pharmacy Technicians (1 year).</w:t>
      </w:r>
      <w:r w:rsidR="00B940CD">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In terms of diploma courses, the network conducts three-year programs in: Nursing; Midwifery; Laboratory Technology. These programs satisfy the national standards of proficiency. At the undergraduate level, the school delivers bachelor's degrees (</w:t>
      </w:r>
      <w:proofErr w:type="spellStart"/>
      <w:r w:rsidRPr="007A0CEC">
        <w:rPr>
          <w:rFonts w:ascii="Times New Roman" w:eastAsia="Times New Roman" w:hAnsi="Times New Roman" w:cs="Times New Roman"/>
          <w:color w:val="404040"/>
          <w:kern w:val="0"/>
          <w:lang w:val="en-US" w:eastAsia="fr-FR"/>
          <w14:ligatures w14:val="none"/>
        </w:rPr>
        <w:t>Licence</w:t>
      </w:r>
      <w:proofErr w:type="spellEnd"/>
      <w:r w:rsidRPr="007A0CEC">
        <w:rPr>
          <w:rFonts w:ascii="Times New Roman" w:eastAsia="Times New Roman" w:hAnsi="Times New Roman" w:cs="Times New Roman"/>
          <w:color w:val="404040"/>
          <w:kern w:val="0"/>
          <w:lang w:val="en-US" w:eastAsia="fr-FR"/>
          <w14:ligatures w14:val="none"/>
        </w:rPr>
        <w:t>) in the following four major domains: Public Health (with epidemiology and health promotion); Nursing Science (with a specialty in community health practice); Medical Biology; Nutrition &amp; Dietetics.  These are 3-year-long programs with 600 hours of Clinical Rotations in NHS hospital partners.</w:t>
      </w:r>
    </w:p>
    <w:p w14:paraId="06FDFE93" w14:textId="67AFF9CB" w:rsidR="00E720A0" w:rsidRPr="007A0CEC" w:rsidRDefault="00E720A0" w:rsidP="005529A4">
      <w:pPr>
        <w:shd w:val="clear" w:color="auto" w:fill="FFFFFF"/>
        <w:spacing w:before="274" w:after="206" w:line="360" w:lineRule="auto"/>
        <w:jc w:val="both"/>
        <w:outlineLvl w:val="3"/>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portfolio of postgraduate types includes professional master’s degrees of faculty demand in: Women and Child Health (focusing on service delivery in the rural areas); Health Systems Management; Infectious Disease Control; Clinical Nutrition (accredited by West African Health Organization)</w:t>
      </w:r>
    </w:p>
    <w:p w14:paraId="274CA2A5" w14:textId="66C9C74A" w:rsidR="00E720A0" w:rsidRPr="007A0CEC" w:rsidRDefault="00E720A0" w:rsidP="005529A4">
      <w:pPr>
        <w:shd w:val="clear" w:color="auto" w:fill="FFFFFF"/>
        <w:spacing w:before="274" w:after="206" w:line="360" w:lineRule="auto"/>
        <w:jc w:val="both"/>
        <w:outlineLvl w:val="3"/>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All programs are following Mali's LMD (</w:t>
      </w:r>
      <w:proofErr w:type="spellStart"/>
      <w:r w:rsidRPr="007A0CEC">
        <w:rPr>
          <w:rFonts w:ascii="Times New Roman" w:eastAsia="Times New Roman" w:hAnsi="Times New Roman" w:cs="Times New Roman"/>
          <w:color w:val="404040"/>
          <w:kern w:val="0"/>
          <w:lang w:val="en-US" w:eastAsia="fr-FR"/>
          <w14:ligatures w14:val="none"/>
        </w:rPr>
        <w:t>Licence</w:t>
      </w:r>
      <w:proofErr w:type="spellEnd"/>
      <w:r w:rsidRPr="007A0CEC">
        <w:rPr>
          <w:rFonts w:ascii="Times New Roman" w:eastAsia="Times New Roman" w:hAnsi="Times New Roman" w:cs="Times New Roman"/>
          <w:color w:val="404040"/>
          <w:kern w:val="0"/>
          <w:lang w:val="en-US" w:eastAsia="fr-FR"/>
          <w14:ligatures w14:val="none"/>
        </w:rPr>
        <w:t>-Master-</w:t>
      </w:r>
      <w:proofErr w:type="spellStart"/>
      <w:r w:rsidRPr="007A0CEC">
        <w:rPr>
          <w:rFonts w:ascii="Times New Roman" w:eastAsia="Times New Roman" w:hAnsi="Times New Roman" w:cs="Times New Roman"/>
          <w:color w:val="404040"/>
          <w:kern w:val="0"/>
          <w:lang w:val="en-US" w:eastAsia="fr-FR"/>
          <w14:ligatures w14:val="none"/>
        </w:rPr>
        <w:t>Doctorat</w:t>
      </w:r>
      <w:proofErr w:type="spellEnd"/>
      <w:r w:rsidRPr="007A0CEC">
        <w:rPr>
          <w:rFonts w:ascii="Times New Roman" w:eastAsia="Times New Roman" w:hAnsi="Times New Roman" w:cs="Times New Roman"/>
          <w:color w:val="404040"/>
          <w:kern w:val="0"/>
          <w:lang w:val="en-US" w:eastAsia="fr-FR"/>
          <w14:ligatures w14:val="none"/>
        </w:rPr>
        <w:t xml:space="preserve">) system and designed to target workforce deficits identified in the National Health Development Plan. For each program, the curricula are reviewed annually by faculty members, clinical preceptors, and the </w:t>
      </w:r>
      <w:r w:rsidRPr="007A0CEC">
        <w:rPr>
          <w:rFonts w:ascii="Times New Roman" w:eastAsia="Times New Roman" w:hAnsi="Times New Roman" w:cs="Times New Roman"/>
          <w:color w:val="404040"/>
          <w:kern w:val="0"/>
          <w:lang w:val="en-US" w:eastAsia="fr-FR"/>
          <w14:ligatures w14:val="none"/>
        </w:rPr>
        <w:lastRenderedPageBreak/>
        <w:t>Association of Private Health Schools (AESP) to make sure they are consistent with competency sets and with current healthcare requirements. The master’s in public health consists of a 6-month obligatory field placement at government health agencies or WHO-partnered NGOs, and the nursing program combines training on clinical care with health education methodologies certification.</w:t>
      </w:r>
    </w:p>
    <w:p w14:paraId="68DE0A3B" w14:textId="760E8D38" w:rsidR="0034299B" w:rsidRPr="007A0CEC" w:rsidRDefault="0034299B" w:rsidP="005529A4">
      <w:pPr>
        <w:shd w:val="clear" w:color="auto" w:fill="FFFFFF"/>
        <w:spacing w:before="274" w:after="206" w:line="360" w:lineRule="auto"/>
        <w:outlineLvl w:val="3"/>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Academic Performance Outcomes</w:t>
      </w:r>
    </w:p>
    <w:p w14:paraId="210AC00D" w14:textId="22862C8D" w:rsidR="00E720A0" w:rsidRPr="007A0CEC" w:rsidRDefault="00E720A0" w:rsidP="005529A4">
      <w:pPr>
        <w:shd w:val="clear" w:color="auto" w:fill="FFFFFF"/>
        <w:spacing w:before="274" w:after="206" w:line="360" w:lineRule="auto"/>
        <w:jc w:val="both"/>
        <w:outlineLvl w:val="3"/>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Academic achievements were satisfactory throughout the duration of the study; the total pass rate was 80.4%. There was great variation in specific program pass rates, from 100% pass in laboratory technology programs to as low as 75% by midwives. As an interesting finding, male students had a higher success rate compared with females (83% and 80%, respectively), although they represented only 17.3% of the total enrollments. The 2023 group marked only a slight improvement for nursing programs, where pass rates went to 87% for male candidates and 82% for females.</w:t>
      </w:r>
    </w:p>
    <w:p w14:paraId="6896C0D1" w14:textId="7D221EF6" w:rsidR="0034299B" w:rsidRPr="007A0CEC" w:rsidRDefault="0034299B" w:rsidP="005529A4">
      <w:pPr>
        <w:shd w:val="clear" w:color="auto" w:fill="FFFFFF"/>
        <w:spacing w:before="274" w:after="206" w:line="360" w:lineRule="auto"/>
        <w:outlineLvl w:val="3"/>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Program Quality Assessment</w:t>
      </w:r>
    </w:p>
    <w:p w14:paraId="652F75B0" w14:textId="295136B5" w:rsidR="007E7A13" w:rsidRPr="007A0CEC" w:rsidRDefault="007E7A13" w:rsidP="005529A4">
      <w:p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review of the AMAQ-SUP framework across all 20+ programs suggests consistent strengths in pedagogical quality and infrastructure and differences in employment tracking. Curriculum pedagogy had high scores (25/25) in 85% of programs, which implies rigorous curriculum and qualified faculty, with regard to nursing and midwifery skills. This corresponds with student satisfaction statistics; 82% of those surveyed rated the quality of teaching as "excellent." Infrastructure reported an average of 20/20, and well-stocked simulation labs and clinical venues were reported at all urban campuses (100% campus average), but the sites at rural distances reported 15% fewer resources.</w:t>
      </w:r>
    </w:p>
    <w:p w14:paraId="14053921" w14:textId="7BACA55F" w:rsidR="007E7A13" w:rsidRPr="007A0CEC" w:rsidRDefault="007E7A13" w:rsidP="005529A4">
      <w:p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There was a strong showing for governance and program objectives, with 18 of 22 programs receiving a perfect score for these domains. The bachelor’s and master’s degrees (public health and health systems management) demonstrated strong alignment to the priorities of Mali's National Health Development Plan, while the certificate degrees in the auxiliary category were relatively less well aligned (-3 points) in the strategic placement category.</w:t>
      </w:r>
    </w:p>
    <w:p w14:paraId="296536B5" w14:textId="3B07DF91" w:rsidR="007E7A13" w:rsidRPr="007A0CEC" w:rsidRDefault="007E7A13" w:rsidP="005529A4">
      <w:p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 xml:space="preserve">The largest discrepancy was identified in employment outcome systems, which scored an average of only 17.5/24 across all programs (range: 12–19). Nutrition &amp; Dietetics (15/24) and Medical Laboratory Technology (14/24) attained snuff marks, followed by the lowest </w:t>
      </w:r>
      <w:r w:rsidRPr="007A0CEC">
        <w:rPr>
          <w:rFonts w:ascii="Times New Roman" w:eastAsia="Times New Roman" w:hAnsi="Times New Roman" w:cs="Times New Roman"/>
          <w:color w:val="404040"/>
          <w:kern w:val="0"/>
          <w:lang w:val="en-US" w:eastAsia="fr-FR"/>
          <w14:ligatures w14:val="none"/>
        </w:rPr>
        <w:lastRenderedPageBreak/>
        <w:t>certification program, which was pharmacy assistance (11/24). This is an issue of flawed data collection and not a real problem with employment, but it does account for that lower 75% overall employment.</w:t>
      </w:r>
    </w:p>
    <w:p w14:paraId="2AF07773" w14:textId="77777777" w:rsidR="007E7A13" w:rsidRPr="007A0CEC" w:rsidRDefault="007E7A13" w:rsidP="005529A4">
      <w:p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There were three main patterns identified in the analysis:</w:t>
      </w:r>
    </w:p>
    <w:p w14:paraId="720096B5" w14:textId="77777777" w:rsidR="007E7A13" w:rsidRPr="007A0CEC" w:rsidRDefault="007E7A13" w:rsidP="005529A4">
      <w:pPr>
        <w:pStyle w:val="ListParagraph"/>
        <w:numPr>
          <w:ilvl w:val="0"/>
          <w:numId w:val="20"/>
        </w:num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Inverse correlation between program length and quality of employment tracking - shorter certificate programs with weaker systems with higher immediate placement.</w:t>
      </w:r>
    </w:p>
    <w:p w14:paraId="07EA4993" w14:textId="77777777" w:rsidR="007E7A13" w:rsidRPr="007A0CEC" w:rsidRDefault="007E7A13" w:rsidP="005529A4">
      <w:pPr>
        <w:pStyle w:val="ListParagraph"/>
        <w:numPr>
          <w:ilvl w:val="0"/>
          <w:numId w:val="20"/>
        </w:num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Urban-rural implementation quality divide; Bamako campuses scored 10–15% higher in all domains.</w:t>
      </w:r>
    </w:p>
    <w:p w14:paraId="5F355091" w14:textId="036D01CA" w:rsidR="007E7A13" w:rsidRDefault="007E7A13" w:rsidP="005529A4">
      <w:pPr>
        <w:pStyle w:val="ListParagraph"/>
        <w:numPr>
          <w:ilvl w:val="0"/>
          <w:numId w:val="20"/>
        </w:numPr>
        <w:spacing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Clinical integration is a strength across the board – 92% of programs meet or exceed rotation hour requirements.</w:t>
      </w:r>
    </w:p>
    <w:p w14:paraId="3FC8BB2D" w14:textId="74EAE170" w:rsidR="00F1012C" w:rsidRPr="007A0CEC" w:rsidRDefault="00F1012C" w:rsidP="00F1012C">
      <w:pPr>
        <w:pStyle w:val="ListParagraph"/>
        <w:spacing w:line="360" w:lineRule="auto"/>
        <w:jc w:val="both"/>
        <w:rPr>
          <w:rFonts w:ascii="Times New Roman" w:eastAsia="Times New Roman" w:hAnsi="Times New Roman" w:cs="Times New Roman"/>
          <w:color w:val="404040"/>
          <w:kern w:val="0"/>
          <w:lang w:val="en-US" w:eastAsia="fr-FR"/>
          <w14:ligatures w14:val="none"/>
        </w:rPr>
      </w:pPr>
      <w:r>
        <w:rPr>
          <w:rFonts w:ascii="Times New Roman" w:eastAsia="Times New Roman" w:hAnsi="Times New Roman" w:cs="Times New Roman"/>
          <w:color w:val="404040"/>
          <w:kern w:val="0"/>
          <w:lang w:val="en-US" w:eastAsia="fr-FR"/>
          <w14:ligatures w14:val="none"/>
        </w:rPr>
        <w:t>Fig 1:</w:t>
      </w:r>
      <w:r w:rsidR="00564705">
        <w:rPr>
          <w:rFonts w:ascii="Times New Roman" w:eastAsia="Times New Roman" w:hAnsi="Times New Roman" w:cs="Times New Roman"/>
          <w:color w:val="404040"/>
          <w:kern w:val="0"/>
          <w:lang w:val="en-US" w:eastAsia="fr-FR"/>
          <w14:ligatures w14:val="none"/>
        </w:rPr>
        <w:t xml:space="preserve"> </w:t>
      </w:r>
      <w:r w:rsidR="00564705" w:rsidRPr="00564705">
        <w:rPr>
          <w:rFonts w:ascii="Times New Roman" w:eastAsia="Times New Roman" w:hAnsi="Times New Roman" w:cs="Times New Roman"/>
          <w:b/>
          <w:bCs/>
          <w:color w:val="404040"/>
          <w:kern w:val="0"/>
          <w:lang w:val="en-US" w:eastAsia="fr-FR"/>
          <w14:ligatures w14:val="none"/>
        </w:rPr>
        <w:t xml:space="preserve">Maximum score, Achieved score and Performance gap </w:t>
      </w:r>
      <w:proofErr w:type="spellStart"/>
      <w:r w:rsidR="00564705" w:rsidRPr="00564705">
        <w:rPr>
          <w:rFonts w:ascii="Times New Roman" w:eastAsia="Times New Roman" w:hAnsi="Times New Roman" w:cs="Times New Roman"/>
          <w:b/>
          <w:bCs/>
          <w:color w:val="404040"/>
          <w:kern w:val="0"/>
          <w:lang w:val="en-US" w:eastAsia="fr-FR"/>
          <w14:ligatures w14:val="none"/>
        </w:rPr>
        <w:t>programme</w:t>
      </w:r>
      <w:proofErr w:type="spellEnd"/>
    </w:p>
    <w:p w14:paraId="50229F10" w14:textId="6E798C41" w:rsidR="00CC4D9C" w:rsidRPr="007A0CEC" w:rsidRDefault="00CC4D9C" w:rsidP="005529A4">
      <w:pPr>
        <w:shd w:val="clear" w:color="auto" w:fill="FFFFFF"/>
        <w:spacing w:before="274" w:after="206" w:line="360" w:lineRule="auto"/>
        <w:outlineLvl w:val="3"/>
        <w:rPr>
          <w:rFonts w:ascii="Times New Roman" w:eastAsia="Times New Roman" w:hAnsi="Times New Roman" w:cs="Times New Roman"/>
          <w:b/>
          <w:bCs/>
          <w:color w:val="404040"/>
          <w:kern w:val="0"/>
          <w:lang w:val="en-US" w:eastAsia="fr-FR"/>
          <w14:ligatures w14:val="none"/>
        </w:rPr>
      </w:pPr>
      <w:r w:rsidRPr="007A0CEC">
        <w:rPr>
          <w:rFonts w:ascii="Times New Roman" w:hAnsi="Times New Roman" w:cs="Times New Roman"/>
          <w:noProof/>
        </w:rPr>
        <w:drawing>
          <wp:inline distT="0" distB="0" distL="0" distR="0" wp14:anchorId="48067D7E" wp14:editId="0E985C54">
            <wp:extent cx="5787851" cy="2622550"/>
            <wp:effectExtent l="0" t="0" r="3810" b="6350"/>
            <wp:docPr id="1071001024" name="Chart 1">
              <a:extLst xmlns:a="http://schemas.openxmlformats.org/drawingml/2006/main">
                <a:ext uri="{FF2B5EF4-FFF2-40B4-BE49-F238E27FC236}">
                  <a16:creationId xmlns:a16="http://schemas.microsoft.com/office/drawing/2014/main" id="{1B4E2005-8DD9-4A78-5C46-47328F1759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6E79F82" w14:textId="16658817" w:rsidR="0034299B" w:rsidRPr="007A0CEC" w:rsidRDefault="0034299B" w:rsidP="005529A4">
      <w:pPr>
        <w:shd w:val="clear" w:color="auto" w:fill="FFFFFF"/>
        <w:spacing w:before="274" w:after="206" w:line="360" w:lineRule="auto"/>
        <w:outlineLvl w:val="3"/>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Graduate Employment Outcomes</w:t>
      </w:r>
    </w:p>
    <w:p w14:paraId="6EDF10DF" w14:textId="3D63925A" w:rsidR="0034299B" w:rsidRPr="007A0CEC" w:rsidRDefault="00565C4B"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Outcome data on employment was robust, with 75% of graduates finding jobs in less than six months. Sector-wise analysis of the placement depicts that the private sector accounts for a 60% share, particularly the laboratory technicians accomplished 100% placement. Employer interviews, as part of the study, commended graduates’ clinical capabilities but indicated areas for further development, such as rural practice readiness and management abilities. The tracer surveys indicated that those who have dual certifications (e.g., auxiliary + technical certificate) enjoyed a 5-10% higher employment rate compared to their counterparts with only one qualification.</w:t>
      </w:r>
    </w:p>
    <w:p w14:paraId="7E773012" w14:textId="2DE9440E" w:rsidR="00565C4B" w:rsidRPr="007A0CEC" w:rsidRDefault="00F1012C"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Pr>
          <w:rFonts w:ascii="Times New Roman" w:eastAsia="Times New Roman" w:hAnsi="Times New Roman" w:cs="Times New Roman"/>
          <w:color w:val="404040"/>
          <w:kern w:val="0"/>
          <w:lang w:val="en-US" w:eastAsia="fr-FR"/>
          <w14:ligatures w14:val="none"/>
        </w:rPr>
        <w:lastRenderedPageBreak/>
        <w:t xml:space="preserve">Table </w:t>
      </w:r>
      <w:proofErr w:type="gramStart"/>
      <w:r>
        <w:rPr>
          <w:rFonts w:ascii="Times New Roman" w:eastAsia="Times New Roman" w:hAnsi="Times New Roman" w:cs="Times New Roman"/>
          <w:color w:val="404040"/>
          <w:kern w:val="0"/>
          <w:lang w:val="en-US" w:eastAsia="fr-FR"/>
          <w14:ligatures w14:val="none"/>
        </w:rPr>
        <w:t>2 :</w:t>
      </w:r>
      <w:proofErr w:type="gramEnd"/>
      <w:r>
        <w:rPr>
          <w:rFonts w:ascii="Times New Roman" w:eastAsia="Times New Roman" w:hAnsi="Times New Roman" w:cs="Times New Roman"/>
          <w:color w:val="404040"/>
          <w:kern w:val="0"/>
          <w:lang w:val="en-US" w:eastAsia="fr-FR"/>
          <w14:ligatures w14:val="none"/>
        </w:rPr>
        <w:t xml:space="preserve"> </w:t>
      </w:r>
      <w:r w:rsidR="00597C88" w:rsidRPr="00423515">
        <w:rPr>
          <w:rFonts w:ascii="Times New Roman" w:eastAsia="Times New Roman" w:hAnsi="Times New Roman" w:cs="Times New Roman"/>
          <w:b/>
          <w:bCs/>
          <w:color w:val="404040"/>
          <w:kern w:val="0"/>
          <w:lang w:val="en-US" w:eastAsia="fr-FR"/>
          <w14:ligatures w14:val="none"/>
        </w:rPr>
        <w:t>Employment rate in the private, public sectors in different program</w:t>
      </w:r>
    </w:p>
    <w:tbl>
      <w:tblPr>
        <w:tblStyle w:val="GridTable1Light"/>
        <w:tblW w:w="0" w:type="auto"/>
        <w:tblLook w:val="04A0" w:firstRow="1" w:lastRow="0" w:firstColumn="1" w:lastColumn="0" w:noHBand="0" w:noVBand="1"/>
      </w:tblPr>
      <w:tblGrid>
        <w:gridCol w:w="1877"/>
        <w:gridCol w:w="2076"/>
        <w:gridCol w:w="2856"/>
      </w:tblGrid>
      <w:tr w:rsidR="00C512E0" w:rsidRPr="007A0CEC" w14:paraId="5AF66767" w14:textId="77777777" w:rsidTr="00CE7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CD01AC" w14:textId="77777777" w:rsidR="00C512E0" w:rsidRPr="007A0CEC" w:rsidRDefault="00C512E0" w:rsidP="005529A4">
            <w:pPr>
              <w:spacing w:line="360" w:lineRule="auto"/>
              <w:rPr>
                <w:rFonts w:ascii="Times New Roman" w:eastAsia="Times New Roman" w:hAnsi="Times New Roman" w:cs="Times New Roman"/>
                <w:b w:val="0"/>
                <w:bCs w:val="0"/>
                <w:color w:val="404040"/>
                <w:kern w:val="0"/>
                <w:lang w:eastAsia="fr-FR"/>
                <w14:ligatures w14:val="none"/>
              </w:rPr>
            </w:pPr>
            <w:r w:rsidRPr="007A0CEC">
              <w:rPr>
                <w:rFonts w:ascii="Times New Roman" w:eastAsia="Times New Roman" w:hAnsi="Times New Roman" w:cs="Times New Roman"/>
                <w:color w:val="404040"/>
                <w:kern w:val="0"/>
                <w:lang w:eastAsia="fr-FR"/>
                <w14:ligatures w14:val="none"/>
              </w:rPr>
              <w:t>Program</w:t>
            </w:r>
          </w:p>
        </w:tc>
        <w:tc>
          <w:tcPr>
            <w:tcW w:w="0" w:type="auto"/>
            <w:hideMark/>
          </w:tcPr>
          <w:p w14:paraId="66C6033E" w14:textId="77777777" w:rsidR="00C512E0" w:rsidRPr="007A0CEC" w:rsidRDefault="00C512E0" w:rsidP="005529A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404040"/>
                <w:kern w:val="0"/>
                <w:lang w:eastAsia="fr-FR"/>
                <w14:ligatures w14:val="none"/>
              </w:rPr>
            </w:pPr>
            <w:proofErr w:type="spellStart"/>
            <w:r w:rsidRPr="007A0CEC">
              <w:rPr>
                <w:rFonts w:ascii="Times New Roman" w:eastAsia="Times New Roman" w:hAnsi="Times New Roman" w:cs="Times New Roman"/>
                <w:color w:val="404040"/>
                <w:kern w:val="0"/>
                <w:lang w:eastAsia="fr-FR"/>
                <w14:ligatures w14:val="none"/>
              </w:rPr>
              <w:t>Employment</w:t>
            </w:r>
            <w:proofErr w:type="spellEnd"/>
            <w:r w:rsidRPr="007A0CEC">
              <w:rPr>
                <w:rFonts w:ascii="Times New Roman" w:eastAsia="Times New Roman" w:hAnsi="Times New Roman" w:cs="Times New Roman"/>
                <w:color w:val="404040"/>
                <w:kern w:val="0"/>
                <w:lang w:eastAsia="fr-FR"/>
                <w14:ligatures w14:val="none"/>
              </w:rPr>
              <w:t xml:space="preserve"> Rate</w:t>
            </w:r>
          </w:p>
        </w:tc>
        <w:tc>
          <w:tcPr>
            <w:tcW w:w="2856" w:type="dxa"/>
            <w:hideMark/>
          </w:tcPr>
          <w:p w14:paraId="5577409B" w14:textId="77777777" w:rsidR="00C512E0" w:rsidRPr="007A0CEC" w:rsidRDefault="00C512E0" w:rsidP="005529A4">
            <w:pPr>
              <w:spacing w:line="36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404040"/>
                <w:kern w:val="0"/>
                <w:lang w:eastAsia="fr-FR"/>
                <w14:ligatures w14:val="none"/>
              </w:rPr>
            </w:pPr>
            <w:proofErr w:type="spellStart"/>
            <w:r w:rsidRPr="007A0CEC">
              <w:rPr>
                <w:rFonts w:ascii="Times New Roman" w:eastAsia="Times New Roman" w:hAnsi="Times New Roman" w:cs="Times New Roman"/>
                <w:color w:val="404040"/>
                <w:kern w:val="0"/>
                <w:lang w:eastAsia="fr-FR"/>
                <w14:ligatures w14:val="none"/>
              </w:rPr>
              <w:t>Sector</w:t>
            </w:r>
            <w:proofErr w:type="spellEnd"/>
            <w:r w:rsidRPr="007A0CEC">
              <w:rPr>
                <w:rFonts w:ascii="Times New Roman" w:eastAsia="Times New Roman" w:hAnsi="Times New Roman" w:cs="Times New Roman"/>
                <w:color w:val="404040"/>
                <w:kern w:val="0"/>
                <w:lang w:eastAsia="fr-FR"/>
                <w14:ligatures w14:val="none"/>
              </w:rPr>
              <w:t xml:space="preserve"> (</w:t>
            </w:r>
            <w:proofErr w:type="spellStart"/>
            <w:r w:rsidRPr="007A0CEC">
              <w:rPr>
                <w:rFonts w:ascii="Times New Roman" w:eastAsia="Times New Roman" w:hAnsi="Times New Roman" w:cs="Times New Roman"/>
                <w:color w:val="404040"/>
                <w:kern w:val="0"/>
                <w:lang w:eastAsia="fr-FR"/>
                <w14:ligatures w14:val="none"/>
              </w:rPr>
              <w:t>Private</w:t>
            </w:r>
            <w:proofErr w:type="spellEnd"/>
            <w:r w:rsidRPr="007A0CEC">
              <w:rPr>
                <w:rFonts w:ascii="Times New Roman" w:eastAsia="Times New Roman" w:hAnsi="Times New Roman" w:cs="Times New Roman"/>
                <w:color w:val="404040"/>
                <w:kern w:val="0"/>
                <w:lang w:eastAsia="fr-FR"/>
                <w14:ligatures w14:val="none"/>
              </w:rPr>
              <w:t>/Public)</w:t>
            </w:r>
          </w:p>
        </w:tc>
      </w:tr>
      <w:tr w:rsidR="00C512E0" w:rsidRPr="007A0CEC" w14:paraId="4E82818D" w14:textId="77777777" w:rsidTr="00CE7125">
        <w:trPr>
          <w:trHeight w:val="321"/>
        </w:trPr>
        <w:tc>
          <w:tcPr>
            <w:cnfStyle w:val="001000000000" w:firstRow="0" w:lastRow="0" w:firstColumn="1" w:lastColumn="0" w:oddVBand="0" w:evenVBand="0" w:oddHBand="0" w:evenHBand="0" w:firstRowFirstColumn="0" w:firstRowLastColumn="0" w:lastRowFirstColumn="0" w:lastRowLastColumn="0"/>
            <w:tcW w:w="0" w:type="auto"/>
            <w:hideMark/>
          </w:tcPr>
          <w:p w14:paraId="39E9C63E" w14:textId="77777777" w:rsidR="00C512E0" w:rsidRPr="007A0CEC" w:rsidRDefault="00C512E0" w:rsidP="005529A4">
            <w:pPr>
              <w:spacing w:line="360" w:lineRule="auto"/>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Nursing</w:t>
            </w:r>
          </w:p>
        </w:tc>
        <w:tc>
          <w:tcPr>
            <w:tcW w:w="0" w:type="auto"/>
            <w:hideMark/>
          </w:tcPr>
          <w:p w14:paraId="5866FA9C"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92%</w:t>
            </w:r>
          </w:p>
        </w:tc>
        <w:tc>
          <w:tcPr>
            <w:tcW w:w="2856" w:type="dxa"/>
            <w:hideMark/>
          </w:tcPr>
          <w:p w14:paraId="01A91475"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58%/42%</w:t>
            </w:r>
          </w:p>
        </w:tc>
      </w:tr>
      <w:tr w:rsidR="00C512E0" w:rsidRPr="007A0CEC" w14:paraId="32869B82" w14:textId="77777777" w:rsidTr="00CE7125">
        <w:trPr>
          <w:trHeight w:val="258"/>
        </w:trPr>
        <w:tc>
          <w:tcPr>
            <w:cnfStyle w:val="001000000000" w:firstRow="0" w:lastRow="0" w:firstColumn="1" w:lastColumn="0" w:oddVBand="0" w:evenVBand="0" w:oddHBand="0" w:evenHBand="0" w:firstRowFirstColumn="0" w:firstRowLastColumn="0" w:lastRowFirstColumn="0" w:lastRowLastColumn="0"/>
            <w:tcW w:w="0" w:type="auto"/>
            <w:hideMark/>
          </w:tcPr>
          <w:p w14:paraId="7FB0EF23" w14:textId="77777777" w:rsidR="00C512E0" w:rsidRPr="007A0CEC" w:rsidRDefault="00C512E0" w:rsidP="005529A4">
            <w:pPr>
              <w:spacing w:line="360" w:lineRule="auto"/>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Midwifery</w:t>
            </w:r>
            <w:proofErr w:type="spellEnd"/>
          </w:p>
        </w:tc>
        <w:tc>
          <w:tcPr>
            <w:tcW w:w="0" w:type="auto"/>
            <w:hideMark/>
          </w:tcPr>
          <w:p w14:paraId="41D3131E"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85%</w:t>
            </w:r>
          </w:p>
        </w:tc>
        <w:tc>
          <w:tcPr>
            <w:tcW w:w="2856" w:type="dxa"/>
            <w:hideMark/>
          </w:tcPr>
          <w:p w14:paraId="5991340C"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60%/40%</w:t>
            </w:r>
          </w:p>
        </w:tc>
      </w:tr>
      <w:tr w:rsidR="00C512E0" w:rsidRPr="007A0CEC" w14:paraId="24C7FDA6" w14:textId="77777777" w:rsidTr="00CE7125">
        <w:trPr>
          <w:trHeight w:val="125"/>
        </w:trPr>
        <w:tc>
          <w:tcPr>
            <w:cnfStyle w:val="001000000000" w:firstRow="0" w:lastRow="0" w:firstColumn="1" w:lastColumn="0" w:oddVBand="0" w:evenVBand="0" w:oddHBand="0" w:evenHBand="0" w:firstRowFirstColumn="0" w:firstRowLastColumn="0" w:lastRowFirstColumn="0" w:lastRowLastColumn="0"/>
            <w:tcW w:w="0" w:type="auto"/>
            <w:hideMark/>
          </w:tcPr>
          <w:p w14:paraId="71089A52" w14:textId="77777777" w:rsidR="00C512E0" w:rsidRPr="007A0CEC" w:rsidRDefault="00C512E0" w:rsidP="005529A4">
            <w:pPr>
              <w:spacing w:line="360" w:lineRule="auto"/>
              <w:rPr>
                <w:rFonts w:ascii="Times New Roman" w:eastAsia="Times New Roman" w:hAnsi="Times New Roman" w:cs="Times New Roman"/>
                <w:kern w:val="0"/>
                <w:lang w:eastAsia="fr-FR"/>
                <w14:ligatures w14:val="none"/>
              </w:rPr>
            </w:pPr>
            <w:proofErr w:type="spellStart"/>
            <w:r w:rsidRPr="007A0CEC">
              <w:rPr>
                <w:rFonts w:ascii="Times New Roman" w:eastAsia="Times New Roman" w:hAnsi="Times New Roman" w:cs="Times New Roman"/>
                <w:kern w:val="0"/>
                <w:lang w:eastAsia="fr-FR"/>
                <w14:ligatures w14:val="none"/>
              </w:rPr>
              <w:t>Lab</w:t>
            </w:r>
            <w:proofErr w:type="spellEnd"/>
            <w:r w:rsidRPr="007A0CEC">
              <w:rPr>
                <w:rFonts w:ascii="Times New Roman" w:eastAsia="Times New Roman" w:hAnsi="Times New Roman" w:cs="Times New Roman"/>
                <w:kern w:val="0"/>
                <w:lang w:eastAsia="fr-FR"/>
                <w14:ligatures w14:val="none"/>
              </w:rPr>
              <w:t xml:space="preserve"> </w:t>
            </w:r>
            <w:proofErr w:type="spellStart"/>
            <w:r w:rsidRPr="007A0CEC">
              <w:rPr>
                <w:rFonts w:ascii="Times New Roman" w:eastAsia="Times New Roman" w:hAnsi="Times New Roman" w:cs="Times New Roman"/>
                <w:kern w:val="0"/>
                <w:lang w:eastAsia="fr-FR"/>
                <w14:ligatures w14:val="none"/>
              </w:rPr>
              <w:t>Technology</w:t>
            </w:r>
            <w:proofErr w:type="spellEnd"/>
          </w:p>
        </w:tc>
        <w:tc>
          <w:tcPr>
            <w:tcW w:w="0" w:type="auto"/>
            <w:hideMark/>
          </w:tcPr>
          <w:p w14:paraId="721542A8"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100%</w:t>
            </w:r>
          </w:p>
        </w:tc>
        <w:tc>
          <w:tcPr>
            <w:tcW w:w="2856" w:type="dxa"/>
            <w:hideMark/>
          </w:tcPr>
          <w:p w14:paraId="34AB2570" w14:textId="77777777" w:rsidR="00C512E0" w:rsidRPr="007A0CEC" w:rsidRDefault="00C512E0" w:rsidP="005529A4">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fr-FR"/>
                <w14:ligatures w14:val="none"/>
              </w:rPr>
            </w:pPr>
            <w:r w:rsidRPr="007A0CEC">
              <w:rPr>
                <w:rFonts w:ascii="Times New Roman" w:eastAsia="Times New Roman" w:hAnsi="Times New Roman" w:cs="Times New Roman"/>
                <w:kern w:val="0"/>
                <w:lang w:eastAsia="fr-FR"/>
                <w14:ligatures w14:val="none"/>
              </w:rPr>
              <w:t>70%/30%</w:t>
            </w:r>
          </w:p>
        </w:tc>
      </w:tr>
    </w:tbl>
    <w:p w14:paraId="38C52205" w14:textId="7E2698A2" w:rsidR="0034299B" w:rsidRPr="007A0CEC" w:rsidRDefault="0034299B" w:rsidP="005529A4">
      <w:pPr>
        <w:shd w:val="clear" w:color="auto" w:fill="FFFFFF"/>
        <w:spacing w:before="274" w:after="206" w:line="360" w:lineRule="auto"/>
        <w:outlineLvl w:val="3"/>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Regional Distribution and Workforce Impact</w:t>
      </w:r>
    </w:p>
    <w:p w14:paraId="5A262ED5" w14:textId="4BD01FE7" w:rsidR="0034299B" w:rsidRPr="007A0CEC" w:rsidRDefault="0034299B" w:rsidP="005529A4">
      <w:pPr>
        <w:shd w:val="clear" w:color="auto" w:fill="FFFFFF"/>
        <w:spacing w:before="206" w:after="0"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 xml:space="preserve">The network's graduate output shows significant geographic variation in workforce contribution. While Bamako-based campuses produce the majority of graduates (62%), regional campuses in Tombouctou and </w:t>
      </w:r>
      <w:proofErr w:type="spellStart"/>
      <w:r w:rsidRPr="007A0CEC">
        <w:rPr>
          <w:rFonts w:ascii="Times New Roman" w:eastAsia="Times New Roman" w:hAnsi="Times New Roman" w:cs="Times New Roman"/>
          <w:color w:val="404040"/>
          <w:kern w:val="0"/>
          <w:lang w:val="en-US" w:eastAsia="fr-FR"/>
          <w14:ligatures w14:val="none"/>
        </w:rPr>
        <w:t>Bandiagara</w:t>
      </w:r>
      <w:proofErr w:type="spellEnd"/>
      <w:r w:rsidRPr="007A0CEC">
        <w:rPr>
          <w:rFonts w:ascii="Times New Roman" w:eastAsia="Times New Roman" w:hAnsi="Times New Roman" w:cs="Times New Roman"/>
          <w:color w:val="404040"/>
          <w:kern w:val="0"/>
          <w:lang w:val="en-US" w:eastAsia="fr-FR"/>
          <w14:ligatures w14:val="none"/>
        </w:rPr>
        <w:t xml:space="preserve"> make important contributions to local health workforce needs. Analysis of employment locations indicates that 68% of graduates remain within their training region, suggesting the network is successfully addressing geographic maldistribution of health workers in Mali.</w:t>
      </w:r>
    </w:p>
    <w:p w14:paraId="3D9573CB" w14:textId="73D6E304" w:rsidR="00941479" w:rsidRPr="007A0CEC" w:rsidRDefault="00941479" w:rsidP="005529A4">
      <w:pPr>
        <w:shd w:val="clear" w:color="auto" w:fill="FFFFFF"/>
        <w:spacing w:before="274" w:after="206" w:line="360" w:lineRule="auto"/>
        <w:outlineLvl w:val="2"/>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Discussion</w:t>
      </w:r>
    </w:p>
    <w:p w14:paraId="730676DD" w14:textId="21448C64" w:rsidR="003F3306" w:rsidRPr="007A0CEC" w:rsidRDefault="003F330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study results offer important implications regarding the contribution of private health schools, such as the "Le Bouctou" network, to meeting human resource needs in the health sector in Mali. Our findings reveal that great contributions to the health workforce come from the private sector</w:t>
      </w:r>
      <w:r w:rsidR="003865FA">
        <w:rPr>
          <w:rFonts w:ascii="Times New Roman" w:eastAsia="Times New Roman" w:hAnsi="Times New Roman" w:cs="Times New Roman"/>
          <w:color w:val="404040"/>
          <w:kern w:val="0"/>
          <w:lang w:val="en-US" w:eastAsia="fr-FR"/>
          <w14:ligatures w14:val="none"/>
        </w:rPr>
        <w:fldChar w:fldCharType="begin"/>
      </w:r>
      <w:r w:rsidR="003865FA">
        <w:rPr>
          <w:rFonts w:ascii="Times New Roman" w:eastAsia="Times New Roman" w:hAnsi="Times New Roman" w:cs="Times New Roman"/>
          <w:color w:val="404040"/>
          <w:kern w:val="0"/>
          <w:lang w:val="en-US" w:eastAsia="fr-FR"/>
          <w14:ligatures w14:val="none"/>
        </w:rPr>
        <w:instrText xml:space="preserve"> ADDIN ZOTERO_ITEM CSL_CITATION {"citationID":"iIauOZ4d","properties":{"formattedCitation":"(14)","plainCitation":"(14)","noteIndex":0},"citationItems":[{"id":3279,"uris":["http://zotero.org/users/8468661/items/EDVYLUM9"],"itemData":{"id":3279,"type":"article-journal","abstract":"The expansion of the private healthcare sector in some low-income and middle-income countries (LMICs) has raised key questions and debates regarding the governance of this sector, and the role of actors representing the sector in policy processes. Research on the role played by this sector, understood here as private hospitals, pharmacies and insurance companies, remains underdeveloped in the literature. In this paper, we present the results of a scoping review focused on synthesising scholarship on the role of private healthcare sector actors in health policy processes pertaining to health service delivery and financing in LMICs. We explore the role of organisations or groups—for example, individual companies, corporations or interest groups—representing healthcare sector actors, and use a conceptual framework of institutions, ideas, interests and networks to guide our analysis. The screening process resulted in 15 papers identified for data extraction. We found that the literature in this domain is highly interdisciplinary but nascent, with largely descriptive work and undertheorisation of policy process dynamics. Many studies described institutional mechanisms enabling private sector participation in decision-making in generic terms. Some studies reported competing institutional frameworks for particular policy areas (eg, commerce compared with health in the context of medical tourism). Private healthcare actors showed considerable heterogeneity in their organisation. Papers also referred to a range of strategies used by these actors. Finally, policy outcomes described in the cases were highly context specific and dependent on the interaction between institutions, interests, ideas and networks. Overall, our analysis suggests that the role of private healthcare actors in health policy processes in LMICs, particularly emerging industries such as hospitals, holds key insights that will be crucial to understanding and managing their role in expanding health service access.","container-title":"BMJ Global Health","DOI":"10.1136/bmjgh-2023-013408","ISSN":"2059-7908","issue":"Suppl 5","journalAbbreviation":"BMJ Glob Health","note":"PMID: 38316466\nPMCID: PMC11077349","page":"e013408","source":"PubMed Central","title":"The role of private healthcare sector actors in health service delivery and financing policy processes in low-and middle-income countries: a scoping review","title-short":"The role of private healthcare sector actors in health service delivery and financing policy processes in low-and middle-income countries","volume":"8","author":[{"family":"Sriram","given":"Veena"},{"family":"Yilmaz","given":"Volkan"},{"family":"Kaur","given":"Simran"},{"family":"Andres","given":"Chloei"},{"family":"Cheng","given":"Michael"},{"family":"Meessen","given":"Bruno"}],"issued":{"date-parts":[["2024",2,5]]}}}],"schema":"https://github.com/citation-style-language/schema/raw/master/csl-citation.json"} </w:instrText>
      </w:r>
      <w:r w:rsidR="003865FA">
        <w:rPr>
          <w:rFonts w:ascii="Times New Roman" w:eastAsia="Times New Roman" w:hAnsi="Times New Roman" w:cs="Times New Roman"/>
          <w:color w:val="404040"/>
          <w:kern w:val="0"/>
          <w:lang w:val="en-US" w:eastAsia="fr-FR"/>
          <w14:ligatures w14:val="none"/>
        </w:rPr>
        <w:fldChar w:fldCharType="separate"/>
      </w:r>
      <w:r w:rsidR="003865FA" w:rsidRPr="003865FA">
        <w:rPr>
          <w:rFonts w:ascii="Times New Roman" w:hAnsi="Times New Roman" w:cs="Times New Roman"/>
          <w:lang w:val="en-US"/>
        </w:rPr>
        <w:t>(14)</w:t>
      </w:r>
      <w:r w:rsidR="003865FA">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r w:rsidR="005450B3" w:rsidRPr="005450B3">
        <w:rPr>
          <w:rFonts w:ascii="Segoe UI" w:hAnsi="Segoe UI" w:cs="Segoe UI"/>
          <w:color w:val="404040"/>
          <w:shd w:val="clear" w:color="auto" w:fill="FFFFFF"/>
          <w:lang w:val="en-US"/>
        </w:rPr>
        <w:t xml:space="preserve"> </w:t>
      </w:r>
      <w:r w:rsidR="005450B3" w:rsidRPr="005450B3">
        <w:rPr>
          <w:rFonts w:ascii="Times New Roman" w:eastAsia="Times New Roman" w:hAnsi="Times New Roman" w:cs="Times New Roman"/>
          <w:color w:val="404040"/>
          <w:kern w:val="0"/>
          <w:highlight w:val="yellow"/>
          <w:lang w:val="en-US" w:eastAsia="fr-FR"/>
          <w14:ligatures w14:val="none"/>
        </w:rPr>
        <w:t xml:space="preserve">The 'Le </w:t>
      </w:r>
      <w:proofErr w:type="spellStart"/>
      <w:r w:rsidR="005450B3" w:rsidRPr="005450B3">
        <w:rPr>
          <w:rFonts w:ascii="Times New Roman" w:eastAsia="Times New Roman" w:hAnsi="Times New Roman" w:cs="Times New Roman"/>
          <w:color w:val="404040"/>
          <w:kern w:val="0"/>
          <w:highlight w:val="yellow"/>
          <w:lang w:val="en-US" w:eastAsia="fr-FR"/>
          <w14:ligatures w14:val="none"/>
        </w:rPr>
        <w:t>Bouctou</w:t>
      </w:r>
      <w:proofErr w:type="spellEnd"/>
      <w:r w:rsidR="005450B3" w:rsidRPr="005450B3">
        <w:rPr>
          <w:rFonts w:ascii="Times New Roman" w:eastAsia="Times New Roman" w:hAnsi="Times New Roman" w:cs="Times New Roman"/>
          <w:color w:val="404040"/>
          <w:kern w:val="0"/>
          <w:highlight w:val="yellow"/>
          <w:lang w:val="en-US" w:eastAsia="fr-FR"/>
          <w14:ligatures w14:val="none"/>
        </w:rPr>
        <w:t>' network trained 3,436 health professionals</w:t>
      </w:r>
      <w:r w:rsidRPr="005450B3">
        <w:rPr>
          <w:rFonts w:ascii="Times New Roman" w:eastAsia="Times New Roman" w:hAnsi="Times New Roman" w:cs="Times New Roman"/>
          <w:color w:val="404040"/>
          <w:kern w:val="0"/>
          <w:highlight w:val="yellow"/>
          <w:lang w:val="en-US" w:eastAsia="fr-FR"/>
          <w14:ligatures w14:val="none"/>
        </w:rPr>
        <w:t xml:space="preserve"> over five years and a 75% six-month post-graduation employment rate</w:t>
      </w:r>
      <w:r w:rsidRPr="007A0CEC">
        <w:rPr>
          <w:rFonts w:ascii="Times New Roman" w:eastAsia="Times New Roman" w:hAnsi="Times New Roman" w:cs="Times New Roman"/>
          <w:color w:val="404040"/>
          <w:kern w:val="0"/>
          <w:lang w:val="en-US" w:eastAsia="fr-FR"/>
          <w14:ligatures w14:val="none"/>
        </w:rPr>
        <w:t xml:space="preserve"> . But the research also exposed broader issues that need to be tackled for private health training in Mali to reach its full potential. Here, we situate these findings within the wider literature and consider their implications for policy and practice.</w:t>
      </w:r>
    </w:p>
    <w:p w14:paraId="5A0AFC09" w14:textId="5570B214" w:rsidR="003F3306" w:rsidRPr="007A0CEC" w:rsidRDefault="003F330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The "Le Bouctou" network has greatly increased the capacity for training health personnel in Mali, and the graduates produced as nurses, midwives, and laboratory technicians are filling major gaps in the country, which has serious shortages of such professional specialties. The 75% employment rate is consistent with evidence across the world that private health schools contribute to creating workforce availability, especially in low-resource contexts where public schools are overstretched (WHO, 2023)</w:t>
      </w:r>
      <w:r w:rsidR="003865FA">
        <w:rPr>
          <w:rFonts w:ascii="Times New Roman" w:eastAsia="Times New Roman" w:hAnsi="Times New Roman" w:cs="Times New Roman"/>
          <w:color w:val="404040"/>
          <w:kern w:val="0"/>
          <w:lang w:val="en-US" w:eastAsia="fr-FR"/>
          <w14:ligatures w14:val="none"/>
        </w:rPr>
        <w:t xml:space="preserve"> </w:t>
      </w:r>
      <w:r w:rsidR="003865FA">
        <w:rPr>
          <w:rFonts w:ascii="Times New Roman" w:eastAsia="Times New Roman" w:hAnsi="Times New Roman" w:cs="Times New Roman"/>
          <w:color w:val="404040"/>
          <w:kern w:val="0"/>
          <w:lang w:val="en-US" w:eastAsia="fr-FR"/>
          <w14:ligatures w14:val="none"/>
        </w:rPr>
        <w:fldChar w:fldCharType="begin"/>
      </w:r>
      <w:r w:rsidR="00A31616">
        <w:rPr>
          <w:rFonts w:ascii="Times New Roman" w:eastAsia="Times New Roman" w:hAnsi="Times New Roman" w:cs="Times New Roman"/>
          <w:color w:val="404040"/>
          <w:kern w:val="0"/>
          <w:lang w:val="en-US" w:eastAsia="fr-FR"/>
          <w14:ligatures w14:val="none"/>
        </w:rPr>
        <w:instrText xml:space="preserve"> ADDIN ZOTERO_ITEM CSL_CITATION {"citationID":"kQcZpLLX","properties":{"formattedCitation":"(14)","plainCitation":"(14)","dontUpdate":true,"noteIndex":0},"citationItems":[{"id":3279,"uris":["http://zotero.org/users/8468661/items/EDVYLUM9"],"itemData":{"id":3279,"type":"article-journal","abstract":"The expansion of the private healthcare sector in some low-income and middle-income countries (LMICs) has raised key questions and debates regarding the governance of this sector, and the role of actors representing the sector in policy processes. Research on the role played by this sector, understood here as private hospitals, pharmacies and insurance companies, remains underdeveloped in the literature. In this paper, we present the results of a scoping review focused on synthesising scholarship on the role of private healthcare sector actors in health policy processes pertaining to health service delivery and financing in LMICs. We explore the role of organisations or groups—for example, individual companies, corporations or interest groups—representing healthcare sector actors, and use a conceptual framework of institutions, ideas, interests and networks to guide our analysis. The screening process resulted in 15 papers identified for data extraction. We found that the literature in this domain is highly interdisciplinary but nascent, with largely descriptive work and undertheorisation of policy process dynamics. Many studies described institutional mechanisms enabling private sector participation in decision-making in generic terms. Some studies reported competing institutional frameworks for particular policy areas (eg, commerce compared with health in the context of medical tourism). Private healthcare actors showed considerable heterogeneity in their organisation. Papers also referred to a range of strategies used by these actors. Finally, policy outcomes described in the cases were highly context specific and dependent on the interaction between institutions, interests, ideas and networks. Overall, our analysis suggests that the role of private healthcare actors in health policy processes in LMICs, particularly emerging industries such as hospitals, holds key insights that will be crucial to understanding and managing their role in expanding health service access.","container-title":"BMJ Global Health","DOI":"10.1136/bmjgh-2023-013408","ISSN":"2059-7908","issue":"Suppl 5","journalAbbreviation":"BMJ Glob Health","note":"PMID: 38316466\nPMCID: PMC11077349","page":"e013408","source":"PubMed Central","title":"The role of private healthcare sector actors in health service delivery and financing policy processes in low-and middle-income countries: a scoping review","title-short":"The role of private healthcare sector actors in health service delivery and financing policy processes in low-and middle-income countries","volume":"8","author":[{"family":"Sriram","given":"Veena"},{"family":"Yilmaz","given":"Volkan"},{"family":"Kaur","given":"Simran"},{"family":"Andres","given":"Chloei"},{"family":"Cheng","given":"Michael"},{"family":"Meessen","given":"Bruno"}],"issued":{"date-parts":[["2024",2,5]]}}}],"schema":"https://github.com/citation-style-language/schema/raw/master/csl-citation.json"} </w:instrText>
      </w:r>
      <w:r w:rsidR="003865FA">
        <w:rPr>
          <w:rFonts w:ascii="Times New Roman" w:eastAsia="Times New Roman" w:hAnsi="Times New Roman" w:cs="Times New Roman"/>
          <w:color w:val="404040"/>
          <w:kern w:val="0"/>
          <w:lang w:val="en-US" w:eastAsia="fr-FR"/>
          <w14:ligatures w14:val="none"/>
        </w:rPr>
        <w:fldChar w:fldCharType="separate"/>
      </w:r>
      <w:r w:rsidR="003865FA" w:rsidRPr="003865FA">
        <w:rPr>
          <w:rFonts w:ascii="Times New Roman" w:hAnsi="Times New Roman" w:cs="Times New Roman"/>
          <w:lang w:val="en-US"/>
        </w:rPr>
        <w:t>(14</w:t>
      </w:r>
      <w:r w:rsidR="003865FA">
        <w:rPr>
          <w:rFonts w:ascii="Times New Roman" w:eastAsia="Times New Roman" w:hAnsi="Times New Roman" w:cs="Times New Roman"/>
          <w:color w:val="404040"/>
          <w:kern w:val="0"/>
          <w:lang w:val="en-US" w:eastAsia="fr-FR"/>
          <w14:ligatures w14:val="none"/>
        </w:rPr>
        <w:fldChar w:fldCharType="end"/>
      </w:r>
      <w:r w:rsidR="003865FA">
        <w:rPr>
          <w:rFonts w:ascii="Times New Roman" w:eastAsia="Times New Roman" w:hAnsi="Times New Roman" w:cs="Times New Roman"/>
          <w:color w:val="404040"/>
          <w:kern w:val="0"/>
          <w:lang w:val="en-US" w:eastAsia="fr-FR"/>
          <w14:ligatures w14:val="none"/>
        </w:rPr>
        <w:t xml:space="preserve">, </w:t>
      </w:r>
      <w:r w:rsidR="003865FA">
        <w:rPr>
          <w:rFonts w:ascii="Times New Roman" w:eastAsia="Times New Roman" w:hAnsi="Times New Roman" w:cs="Times New Roman"/>
          <w:color w:val="404040"/>
          <w:kern w:val="0"/>
          <w:lang w:val="en-US" w:eastAsia="fr-FR"/>
          <w14:ligatures w14:val="none"/>
        </w:rPr>
        <w:fldChar w:fldCharType="begin"/>
      </w:r>
      <w:r w:rsidR="00A31616">
        <w:rPr>
          <w:rFonts w:ascii="Times New Roman" w:eastAsia="Times New Roman" w:hAnsi="Times New Roman" w:cs="Times New Roman"/>
          <w:color w:val="404040"/>
          <w:kern w:val="0"/>
          <w:lang w:val="en-US" w:eastAsia="fr-FR"/>
          <w14:ligatures w14:val="none"/>
        </w:rPr>
        <w:instrText xml:space="preserve"> ADDIN ZOTERO_ITEM CSL_CITATION {"citationID":"Y9i7cMpl","properties":{"formattedCitation":"(15)","plainCitation":"(15)","dontUpdate":true,"noteIndex":0},"citationItems":[{"id":3282,"uris":["http://zotero.org/users/8468661/items/EUPPIHGN"],"itemData":{"id":3282,"type":"article-journal","abstract":"Globally, the health workforce has long suffered from labour shortages. This has been exacerbated by the workload increase caused by the COVID-19 pandemic. Major collapses in healthcare systems across the world during the peak of the pandemic led to calls for strategies to alleviate the increasing job attrition problem within the healthcare sector. This turnover may worsen given the overwhelming pressures experienced by the health workforce during the pandemic, and proactive measures should be taken to retain healthcare workers. This review aims to examine the factors affecting turnover intention among healthcare workers during the COVID-19 pandemic.","container-title":"Human Resources for Health","DOI":"10.1186/s12960-022-00764-7","ISSN":"1478-4491","issue":"1","journalAbbreviation":"Human Resources for Health","page":"70","source":"BioMed Central","title":"A global overview of healthcare workers’ turnover intention amid COVID-19 pandemic: a systematic review with future directions","title-short":"A global overview of healthcare workers’ turnover intention amid COVID-19 pandemic","volume":"20","author":[{"family":"Poon","given":"Yuan-Sheng Ryan"},{"family":"Lin","given":"Yongxing Patrick"},{"family":"Griffiths","given":"Peter"},{"family":"Yong","given":"Keng Kwang"},{"family":"Seah","given":"Betsy"},{"family":"Liaw","given":"Sok Ying"}],"issued":{"date-parts":[["2022",9,24]]}}}],"schema":"https://github.com/citation-style-language/schema/raw/master/csl-citation.json"} </w:instrText>
      </w:r>
      <w:r w:rsidR="003865FA">
        <w:rPr>
          <w:rFonts w:ascii="Times New Roman" w:eastAsia="Times New Roman" w:hAnsi="Times New Roman" w:cs="Times New Roman"/>
          <w:color w:val="404040"/>
          <w:kern w:val="0"/>
          <w:lang w:val="en-US" w:eastAsia="fr-FR"/>
          <w14:ligatures w14:val="none"/>
        </w:rPr>
        <w:fldChar w:fldCharType="separate"/>
      </w:r>
      <w:r w:rsidR="003865FA" w:rsidRPr="00203993">
        <w:rPr>
          <w:rFonts w:ascii="Times New Roman" w:hAnsi="Times New Roman" w:cs="Times New Roman"/>
          <w:lang w:val="en-US"/>
        </w:rPr>
        <w:t>15)</w:t>
      </w:r>
      <w:r w:rsidR="003865FA">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p>
    <w:p w14:paraId="7089FFBC" w14:textId="57F56CFA" w:rsidR="003F3306" w:rsidRPr="007A0CEC" w:rsidRDefault="003F3306" w:rsidP="005529A4">
      <w:pPr>
        <w:shd w:val="clear" w:color="auto" w:fill="FFFFFF"/>
        <w:spacing w:before="206" w:after="206" w:line="360" w:lineRule="auto"/>
        <w:jc w:val="both"/>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 xml:space="preserve">Significantly, 60% of graduates chose the private, not the public, sector, indicating that private schools have been supplementing rather than displacing public sector training by broadening </w:t>
      </w:r>
      <w:r w:rsidRPr="007A0CEC">
        <w:rPr>
          <w:rFonts w:ascii="Times New Roman" w:eastAsia="Times New Roman" w:hAnsi="Times New Roman" w:cs="Times New Roman"/>
          <w:color w:val="404040"/>
          <w:kern w:val="0"/>
          <w:lang w:val="en-US" w:eastAsia="fr-FR"/>
          <w14:ligatures w14:val="none"/>
        </w:rPr>
        <w:lastRenderedPageBreak/>
        <w:t>employment opportunities</w:t>
      </w:r>
      <w:r w:rsidR="00203993">
        <w:rPr>
          <w:rFonts w:ascii="Times New Roman" w:eastAsia="Times New Roman" w:hAnsi="Times New Roman" w:cs="Times New Roman"/>
          <w:color w:val="404040"/>
          <w:kern w:val="0"/>
          <w:lang w:val="en-US" w:eastAsia="fr-FR"/>
          <w14:ligatures w14:val="none"/>
        </w:rPr>
        <w:fldChar w:fldCharType="begin"/>
      </w:r>
      <w:r w:rsidR="00203993">
        <w:rPr>
          <w:rFonts w:ascii="Times New Roman" w:eastAsia="Times New Roman" w:hAnsi="Times New Roman" w:cs="Times New Roman"/>
          <w:color w:val="404040"/>
          <w:kern w:val="0"/>
          <w:lang w:val="en-US" w:eastAsia="fr-FR"/>
          <w14:ligatures w14:val="none"/>
        </w:rPr>
        <w:instrText xml:space="preserve"> ADDIN ZOTERO_ITEM CSL_CITATION {"citationID":"tRn3DAjN","properties":{"formattedCitation":"(16)","plainCitation":"(16)","noteIndex":0},"citationItems":[{"id":3285,"uris":["http://zotero.org/users/8468661/items/4ZTSG7SG"],"itemData":{"id":3285,"type":"article-journal","abstract":"The unprecedented growth of educated workforce following the economic development and diversity in workplace has widened the career choices of young people in Bangladesh. However, it intensifies a dilemma among the job seekers about determining their career goals, because career goals are often influenced by certain socio-demographic and cultural aspects. Hence, this cross-sectional study was designed to investigate the career choices of university students in Bangladesh and to identify its determinants. Administering a self-administered questionnaire (SAQ), data were collected from 422 students at a public university using the multistage stratified sampling. Data were analyzed by bivariate (chi-square) and multivariate (exploratory factor analysis and binary logistic regression) analyses. Findings suggest that the career choices of students vary regarding their gender, religion, and academic track. For example, female (AOR: 0.281; 95% CI: 0.144 to 0.547) and Muslim (AOR: 3.648; 95% CI: 1.765 to 7.542) students preferred public jobs, whereas students of commerce (AOR: 0.344; 95% CI: 0.144 to 0.820) went for private ones. Among socioeconomic issues, only the father’s occupation had a substantial effect on career decisions (AOR: 0.347; 95% CI: 0.144 to 0.820). The career choice was also determined by the job prospects (AOR: 1.251; 95% CI: 1.161 to 1.347), preference of family (AOR: 1.238; 95% CI: 1.099 to 1.394), as well as job diversity (AOR: 0.879; 95% CI: 0.795 to 0.972). Based on the findings of this study, it is recommended that the government should address the trends and patterns of career choices of students through empirical research when formulating future educational and career-related policies in Bangladesh.","container-title":"PLoS ONE","DOI":"10.1371/journal.pone.0258331","ISSN":"1932-6203","issue":"10","journalAbbreviation":"PLoS One","note":"PMID: 34634094\nPMCID: PMC8504751","page":"e0258331","source":"PubMed Central","title":"Public vs. private job dilemma: Influencing factors in career selection for university graduates","title-short":"Public vs. private job dilemma","volume":"16","author":[{"family":"Suhi","given":"Sadia Sharmin"},{"family":"Oyshi","given":"Ferdousi Jahan"},{"family":"Al Mamun","given":"Md. Abdulla"},{"family":"Jahan","given":"Nusrat"},{"family":"Shohel","given":"Tunvir Ahamed"},{"family":"Rahman","given":"Molla Azizur"},{"family":"Islam","given":"Md. Nazrul"},{"family":"Hossain","given":"Md. Tanvir"}],"issued":{"date-parts":[["2021",10,11]]}}}],"schema":"https://github.com/citation-style-language/schema/raw/master/csl-citation.json"} </w:instrText>
      </w:r>
      <w:r w:rsidR="00203993">
        <w:rPr>
          <w:rFonts w:ascii="Times New Roman" w:eastAsia="Times New Roman" w:hAnsi="Times New Roman" w:cs="Times New Roman"/>
          <w:color w:val="404040"/>
          <w:kern w:val="0"/>
          <w:lang w:val="en-US" w:eastAsia="fr-FR"/>
          <w14:ligatures w14:val="none"/>
        </w:rPr>
        <w:fldChar w:fldCharType="separate"/>
      </w:r>
      <w:r w:rsidR="00203993" w:rsidRPr="00203993">
        <w:rPr>
          <w:rFonts w:ascii="Times New Roman" w:hAnsi="Times New Roman" w:cs="Times New Roman"/>
          <w:lang w:val="en-US"/>
        </w:rPr>
        <w:t>(16)</w:t>
      </w:r>
      <w:r w:rsidR="00203993">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This resonates with experiences in other sub-Saharan African settings, where private providers have been key to expanding health education</w:t>
      </w:r>
      <w:r w:rsidR="00203993">
        <w:rPr>
          <w:rFonts w:ascii="Times New Roman" w:eastAsia="Times New Roman" w:hAnsi="Times New Roman" w:cs="Times New Roman"/>
          <w:color w:val="404040"/>
          <w:kern w:val="0"/>
          <w:lang w:val="en-US" w:eastAsia="fr-FR"/>
          <w14:ligatures w14:val="none"/>
        </w:rPr>
        <w:fldChar w:fldCharType="begin"/>
      </w:r>
      <w:r w:rsidR="00203993">
        <w:rPr>
          <w:rFonts w:ascii="Times New Roman" w:eastAsia="Times New Roman" w:hAnsi="Times New Roman" w:cs="Times New Roman"/>
          <w:color w:val="404040"/>
          <w:kern w:val="0"/>
          <w:lang w:val="en-US" w:eastAsia="fr-FR"/>
          <w14:ligatures w14:val="none"/>
        </w:rPr>
        <w:instrText xml:space="preserve"> ADDIN ZOTERO_ITEM CSL_CITATION {"citationID":"GZI78jmP","properties":{"formattedCitation":"(17)","plainCitation":"(17)","noteIndex":0},"citationItems":[{"id":3288,"uris":["http://zotero.org/users/8468661/items/2AU8AQCT"],"itemData":{"id":3288,"type":"article-journal","abstract":"One of the major needs for medical schools and health systems in less affluent countries is system strengthening through the training and development of faculty, doctors, nurses, and other skilled health care workers. Partnering with medical schools in more affluent countries such as the United States is one potential approach for medical schools in underresourced areas, such as Sub-Saharan Africa. Most commonly, these partnerships have focused on research agendas or limited educational exchanges. In this perspective, the authors present an approach to strengthening collaborative relationships between three medical schools in the United States and four in Sub-Saharan Africa. The approach is explicitly focused on achieving partnerships that enable institutions to improve care. It developed from an initiative to fund partnerships or \"collaboratives\" that address 10 key learning questions determined to be central to focusing efforts on strengthening education systems and, in turn, improving health in Sub-Saharan Africa. The leaders of the schools involved in these partnerships met multiple times across three years to discuss how their collaboratives could address the ten learning questions including what is the best approach and what are the key ingredients for creating effective, multidimensional collaborations between academic institutions in the North and institutions in Sub-Saharan Africa. Collaboratively, they defined a framework of evidence that can be used for evaluating their current initiatives and, potentially, for structuring future partnerships.","container-title":"Academic medicine : journal of the Association of American Medical Colleges","DOI":"10.1097/ACM.0b013e31823ede39","journalAbbreviation":"Academic medicine : journal of the Association of American Medical Colleges","page":"216-20","source":"ResearchGate","title":"Perspective: Partnering for Medical Education in Sub-Saharan Africa: Seeking the Evidence for Effective Collaborations","title-short":"Perspective","volume":"87","author":[{"family":"Kolars","given":"Joseph"},{"family":"Cahill","given":"Kathleen"},{"family":"Donkor","given":"Peter"},{"family":"Kaaya","given":"Ephata"},{"family":"Lawson","given":"Aaron"},{"family":"Serwadda","given":"David"},{"family":"Sewankambo","given":"Nelson"}],"issued":{"date-parts":[["2011",12,20]]}}}],"schema":"https://github.com/citation-style-language/schema/raw/master/csl-citation.json"} </w:instrText>
      </w:r>
      <w:r w:rsidR="00203993">
        <w:rPr>
          <w:rFonts w:ascii="Times New Roman" w:eastAsia="Times New Roman" w:hAnsi="Times New Roman" w:cs="Times New Roman"/>
          <w:color w:val="404040"/>
          <w:kern w:val="0"/>
          <w:lang w:val="en-US" w:eastAsia="fr-FR"/>
          <w14:ligatures w14:val="none"/>
        </w:rPr>
        <w:fldChar w:fldCharType="separate"/>
      </w:r>
      <w:r w:rsidR="00203993" w:rsidRPr="00466CBF">
        <w:rPr>
          <w:rFonts w:ascii="Times New Roman" w:hAnsi="Times New Roman" w:cs="Times New Roman"/>
          <w:lang w:val="en-US"/>
        </w:rPr>
        <w:t>(17)</w:t>
      </w:r>
      <w:r w:rsidR="00203993">
        <w:rPr>
          <w:rFonts w:ascii="Times New Roman" w:eastAsia="Times New Roman" w:hAnsi="Times New Roman" w:cs="Times New Roman"/>
          <w:color w:val="404040"/>
          <w:kern w:val="0"/>
          <w:lang w:val="en-US" w:eastAsia="fr-FR"/>
          <w14:ligatures w14:val="none"/>
        </w:rPr>
        <w:fldChar w:fldCharType="end"/>
      </w:r>
      <w:r w:rsidR="00475DBA">
        <w:rPr>
          <w:rFonts w:ascii="Times New Roman" w:eastAsia="Times New Roman" w:hAnsi="Times New Roman" w:cs="Times New Roman"/>
          <w:color w:val="404040"/>
          <w:kern w:val="0"/>
          <w:lang w:val="en-US" w:eastAsia="fr-FR"/>
          <w14:ligatures w14:val="none"/>
        </w:rPr>
        <w:t xml:space="preserve">, </w:t>
      </w:r>
      <w:r w:rsidR="00475DBA">
        <w:rPr>
          <w:rFonts w:ascii="Times New Roman" w:eastAsia="Times New Roman" w:hAnsi="Times New Roman" w:cs="Times New Roman"/>
          <w:color w:val="404040"/>
          <w:kern w:val="0"/>
          <w:lang w:val="en-US" w:eastAsia="fr-FR"/>
          <w14:ligatures w14:val="none"/>
        </w:rPr>
        <w:fldChar w:fldCharType="begin"/>
      </w:r>
      <w:r w:rsidR="00475DBA">
        <w:rPr>
          <w:rFonts w:ascii="Times New Roman" w:eastAsia="Times New Roman" w:hAnsi="Times New Roman" w:cs="Times New Roman"/>
          <w:color w:val="404040"/>
          <w:kern w:val="0"/>
          <w:lang w:val="en-US" w:eastAsia="fr-FR"/>
          <w14:ligatures w14:val="none"/>
        </w:rPr>
        <w:instrText xml:space="preserve"> ADDIN ZOTERO_ITEM CSL_CITATION {"citationID":"MtLY4obL","properties":{"formattedCitation":"(18)","plainCitation":"(18)","noteIndex":0},"citationItems":[{"id":3290,"uris":["http://zotero.org/users/8468661/items/JUVPDYDN"],"itemData":{"id":3290,"type":"article-journal","abstract":"Maternal health is a critical public health issue worldwide, with Sub-Saharan Africa (SSA) facing severe challenges in maternal mortality and morbidity. Despite global efforts, progress in SSA remains slow. The Sustainable Development Goals highlight the need for urgent action in this area. Value-based healthcare presents a promising approach to enhance maternal health in SSA by maximising health outcomes for mothers and newborns, enriching patient experiences and efficient resource use. However, the impact and implementation of value-based healthcare in Sub-Saharan Africa’s maternal health sector are not well studied. To evaluate the effectiveness and value of value-based healthcare interventions in improving maternal health outcomes in Sub-Saharan Africa. A systematic review was carried out drawing on articles from six databases published between 2000 and 2024. The results suggest that VBHC can significantly improve maternal health, evidenced by successful implementations like obstetric units in Sierra Leone and integrated care in South Africa, which improved outcomes and cost-effectiveness. The success of value-based healthcare interventions hinges on addressing access to quality care, infrastructure, and socioeconomic barriers. Further research is essential to confirm value-based healthcare efficacy in SSA and guide policy for better maternal health outcomes.","container-title":"Women","DOI":"10.3390/women4030017","ISSN":"2673-4184","issue":"3","language":"en","license":"http://creativecommons.org/licenses/by/3.0/","note":"number: 3\npublisher: Multidisciplinary Digital Publishing Institute","page":"226-240","source":"www.mdpi.com","title":"Evaluating Value-Based Maternal Healthcare in Sub-Saharan Africa: A Systematic Review","title-short":"Evaluating Value-Based Maternal Healthcare in Sub-Saharan Africa","volume":"4","author":[{"family":"Lukwa","given":"Akim Tafadzwa"},{"family":"Chiwire","given":"Plaxcedes"},{"family":"Aggrey","given":"Siya"},{"family":"Akinsolu","given":"Folahanmi Tomiwa"},{"family":"Nyabunze","given":"Admire"},{"family":"Okova","given":"Denis"}],"issued":{"date-parts":[["2024",9]]}}}],"schema":"https://github.com/citation-style-language/schema/raw/master/csl-citation.json"} </w:instrText>
      </w:r>
      <w:r w:rsidR="00475DBA">
        <w:rPr>
          <w:rFonts w:ascii="Times New Roman" w:eastAsia="Times New Roman" w:hAnsi="Times New Roman" w:cs="Times New Roman"/>
          <w:color w:val="404040"/>
          <w:kern w:val="0"/>
          <w:lang w:val="en-US" w:eastAsia="fr-FR"/>
          <w14:ligatures w14:val="none"/>
        </w:rPr>
        <w:fldChar w:fldCharType="separate"/>
      </w:r>
      <w:r w:rsidR="00475DBA" w:rsidRPr="00466CBF">
        <w:rPr>
          <w:rFonts w:ascii="Times New Roman" w:hAnsi="Times New Roman" w:cs="Times New Roman"/>
          <w:lang w:val="en-US"/>
        </w:rPr>
        <w:t>(18)</w:t>
      </w:r>
      <w:r w:rsidR="00475DBA">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EE0000"/>
          <w:kern w:val="0"/>
          <w:lang w:val="en-US" w:eastAsia="fr-FR"/>
          <w14:ligatures w14:val="none"/>
        </w:rPr>
        <w:t>.</w:t>
      </w:r>
    </w:p>
    <w:p w14:paraId="2CFD272E" w14:textId="02E160CD" w:rsidR="009F16C4" w:rsidRPr="007A0CEC" w:rsidRDefault="009F16C4"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 xml:space="preserve">According to our analysis based on the AMAQ-SUP-assessment system performance levels in pedagogy (25/25 in 85% of networks) and infrastructure were very good, which demonstrates the network’s focus on competency-based training. High acceptance rates (82% "excellent" teaching quality) and employer commendation of clinical competencies indicate that other schools may be able to educate according to national standards. </w:t>
      </w:r>
    </w:p>
    <w:p w14:paraId="0D3929FE" w14:textId="2FC15E6E" w:rsidR="009F16C4" w:rsidRDefault="009F16C4"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But the low score in employment monitoring (17.5/24) raises a fundamental issue: they are finding work, but there is little systematic follow-up of their careers over time. This reflects concerns found in other private health education sectors where growth has occurred quicker than measures to assure quality (Frenk et al., 2010)</w:t>
      </w:r>
      <w:r w:rsidR="00440655" w:rsidRPr="00440655">
        <w:rPr>
          <w:rFonts w:ascii="Times New Roman" w:eastAsia="Times New Roman" w:hAnsi="Times New Roman" w:cs="Times New Roman"/>
          <w:color w:val="404040"/>
          <w:kern w:val="0"/>
          <w:lang w:val="en-US" w:eastAsia="fr-FR"/>
          <w14:ligatures w14:val="none"/>
        </w:rPr>
        <w:t xml:space="preserve"> </w:t>
      </w:r>
      <w:r w:rsidR="00440655">
        <w:rPr>
          <w:rFonts w:ascii="Times New Roman" w:eastAsia="Times New Roman" w:hAnsi="Times New Roman" w:cs="Times New Roman"/>
          <w:color w:val="404040"/>
          <w:kern w:val="0"/>
          <w:lang w:val="en-US" w:eastAsia="fr-FR"/>
          <w14:ligatures w14:val="none"/>
        </w:rPr>
        <w:fldChar w:fldCharType="begin"/>
      </w:r>
      <w:r w:rsidR="00440655">
        <w:rPr>
          <w:rFonts w:ascii="Times New Roman" w:eastAsia="Times New Roman" w:hAnsi="Times New Roman" w:cs="Times New Roman"/>
          <w:color w:val="404040"/>
          <w:kern w:val="0"/>
          <w:lang w:val="en-US" w:eastAsia="fr-FR"/>
          <w14:ligatures w14:val="none"/>
        </w:rPr>
        <w:instrText xml:space="preserve"> ADDIN ZOTERO_ITEM CSL_CITATION {"citationID":"rbIQdsnU","properties":{"formattedCitation":"(19)","plainCitation":"(19)","noteIndex":0},"citationItems":[{"id":3294,"uris":["http://zotero.org/users/8468661/items/BYXLVFCF"],"itemData":{"id":3294,"type":"article-journal","container-title":"Lancet (London, England)","DOI":"10.1016/S0140-6736(10)61854-5","ISSN":"1474-547X","issue":"9756","journalAbbreviation":"Lancet","language":"eng","note":"PMID: 21112623","page":"1923-1958","source":"PubMed","title":"Health professionals for a new century: transforming education to strengthen health systems in an interdependent world","title-short":"Health professionals for a new century","volume":"376","author":[{"family":"Frenk","given":"Julio"},{"family":"Chen","given":"Lincoln"},{"family":"Bhutta","given":"Zulfiqar A."},{"family":"Cohen","given":"Jordan"},{"family":"Crisp","given":"Nigel"},{"family":"Evans","given":"Timothy"},{"family":"Fineberg","given":"Harvey"},{"family":"Garcia","given":"Patricia"},{"family":"Ke","given":"Yang"},{"family":"Kelley","given":"Patrick"},{"family":"Kistnasamy","given":"Barry"},{"family":"Meleis","given":"Afaf"},{"family":"Naylor","given":"David"},{"family":"Pablos-Mendez","given":"Ariel"},{"family":"Reddy","given":"Srinath"},{"family":"Scrimshaw","given":"Susan"},{"family":"Sepulveda","given":"Jaime"},{"family":"Serwadda","given":"David"},{"family":"Zurayk","given":"Huda"}],"issued":{"date-parts":[["2010",12,4]]}}}],"schema":"https://github.com/citation-style-language/schema/raw/master/csl-citation.json"} </w:instrText>
      </w:r>
      <w:r w:rsidR="00440655">
        <w:rPr>
          <w:rFonts w:ascii="Times New Roman" w:eastAsia="Times New Roman" w:hAnsi="Times New Roman" w:cs="Times New Roman"/>
          <w:color w:val="404040"/>
          <w:kern w:val="0"/>
          <w:lang w:val="en-US" w:eastAsia="fr-FR"/>
          <w14:ligatures w14:val="none"/>
        </w:rPr>
        <w:fldChar w:fldCharType="separate"/>
      </w:r>
      <w:r w:rsidR="00440655" w:rsidRPr="00440655">
        <w:rPr>
          <w:rFonts w:ascii="Times New Roman" w:hAnsi="Times New Roman" w:cs="Times New Roman"/>
          <w:lang w:val="en-US"/>
        </w:rPr>
        <w:t>(19)</w:t>
      </w:r>
      <w:r w:rsidR="00440655">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r w:rsidR="0079363E" w:rsidRPr="007A0CEC">
        <w:rPr>
          <w:rFonts w:ascii="Times New Roman" w:eastAsia="Times New Roman" w:hAnsi="Times New Roman" w:cs="Times New Roman"/>
          <w:color w:val="404040"/>
          <w:kern w:val="0"/>
          <w:lang w:val="en-US" w:eastAsia="fr-FR"/>
          <w14:ligatures w14:val="none"/>
        </w:rPr>
        <w:t xml:space="preserve"> </w:t>
      </w:r>
      <w:r w:rsidRPr="007A0CEC">
        <w:rPr>
          <w:rFonts w:ascii="Times New Roman" w:eastAsia="Times New Roman" w:hAnsi="Times New Roman" w:cs="Times New Roman"/>
          <w:color w:val="404040"/>
          <w:kern w:val="0"/>
          <w:lang w:val="en-US" w:eastAsia="fr-FR"/>
          <w14:ligatures w14:val="none"/>
        </w:rPr>
        <w:t xml:space="preserve">The concentration of campuses in urban areas (85% of students from cities) compounds Mali’s rural-urban imbalance in the workforce whereby 20% of health professionals provide 70% of the population in rural and remote communities with healthcare (Ministry of Health, 2022). </w:t>
      </w:r>
    </w:p>
    <w:p w14:paraId="1F4A2DCA" w14:textId="6108145C" w:rsidR="005450B3" w:rsidRPr="005450B3" w:rsidRDefault="005450B3"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5450B3">
        <w:rPr>
          <w:rFonts w:ascii="Times New Roman" w:eastAsia="Times New Roman" w:hAnsi="Times New Roman" w:cs="Times New Roman"/>
          <w:color w:val="404040"/>
          <w:kern w:val="0"/>
          <w:highlight w:val="yellow"/>
          <w:lang w:val="en-US" w:eastAsia="fr-FR"/>
          <w14:ligatures w14:val="none"/>
        </w:rPr>
        <w:t>Our finding of weak graduate tracking systems is consistent with challenges in other LMICs (WHO, 2023; Touré et al., 2022). Mali could use regional models like Senegal's national health workforce observatory to enhance monitoring.</w:t>
      </w:r>
    </w:p>
    <w:p w14:paraId="3134251D" w14:textId="565EB42D" w:rsidR="009F16C4" w:rsidRPr="007A0CEC" w:rsidRDefault="009F16C4"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 xml:space="preserve">In addition, a high proportion of female students was also observed (82.7%); however, lower and nonsignificant pass rates for females (80% compared with 83% for males) point to gender-specific considerations such as cultural roles or inadequate mentorship that may need to be investigated in further detail. These results are consistent with regional studies </w:t>
      </w:r>
      <w:r w:rsidR="00440655" w:rsidRPr="007A0CEC">
        <w:rPr>
          <w:rFonts w:ascii="Times New Roman" w:eastAsia="Times New Roman" w:hAnsi="Times New Roman" w:cs="Times New Roman"/>
          <w:color w:val="404040"/>
          <w:kern w:val="0"/>
          <w:lang w:val="en-US" w:eastAsia="fr-FR"/>
          <w14:ligatures w14:val="none"/>
        </w:rPr>
        <w:t>that</w:t>
      </w:r>
      <w:r w:rsidR="00440655">
        <w:rPr>
          <w:rFonts w:ascii="Times New Roman" w:eastAsia="Times New Roman" w:hAnsi="Times New Roman" w:cs="Times New Roman"/>
          <w:color w:val="404040"/>
          <w:kern w:val="0"/>
          <w:lang w:val="en-US" w:eastAsia="fr-FR"/>
          <w14:ligatures w14:val="none"/>
        </w:rPr>
        <w:t xml:space="preserve"> </w:t>
      </w:r>
      <w:r w:rsidR="00440655" w:rsidRPr="007A0CEC">
        <w:rPr>
          <w:rFonts w:ascii="Times New Roman" w:eastAsia="Times New Roman" w:hAnsi="Times New Roman" w:cs="Times New Roman"/>
          <w:color w:val="404040"/>
          <w:kern w:val="0"/>
          <w:lang w:val="en-US" w:eastAsia="fr-FR"/>
          <w14:ligatures w14:val="none"/>
        </w:rPr>
        <w:t>have</w:t>
      </w:r>
      <w:r w:rsidRPr="007A0CEC">
        <w:rPr>
          <w:rFonts w:ascii="Times New Roman" w:eastAsia="Times New Roman" w:hAnsi="Times New Roman" w:cs="Times New Roman"/>
          <w:color w:val="404040"/>
          <w:kern w:val="0"/>
          <w:lang w:val="en-US" w:eastAsia="fr-FR"/>
          <w14:ligatures w14:val="none"/>
        </w:rPr>
        <w:t xml:space="preserve"> shown disparities in access to health education (Dovlo, 2018)</w:t>
      </w:r>
      <w:r w:rsidR="00AF172A">
        <w:rPr>
          <w:rFonts w:ascii="Times New Roman" w:eastAsia="Times New Roman" w:hAnsi="Times New Roman" w:cs="Times New Roman"/>
          <w:color w:val="404040"/>
          <w:kern w:val="0"/>
          <w:lang w:val="en-US" w:eastAsia="fr-FR"/>
          <w14:ligatures w14:val="none"/>
        </w:rPr>
        <w:fldChar w:fldCharType="begin"/>
      </w:r>
      <w:r w:rsidR="00AF172A">
        <w:rPr>
          <w:rFonts w:ascii="Times New Roman" w:eastAsia="Times New Roman" w:hAnsi="Times New Roman" w:cs="Times New Roman"/>
          <w:color w:val="404040"/>
          <w:kern w:val="0"/>
          <w:lang w:val="en-US" w:eastAsia="fr-FR"/>
          <w14:ligatures w14:val="none"/>
        </w:rPr>
        <w:instrText xml:space="preserve"> ADDIN ZOTERO_ITEM CSL_CITATION {"citationID":"uSsTCdtC","properties":{"formattedCitation":"(20)","plainCitation":"(20)","noteIndex":0},"citationItems":[{"id":3297,"uris":["http://zotero.org/users/8468661/items/PN3MIQLJ"],"itemData":{"id":3297,"type":"article-journal","abstract":"As countries embrace the ambitious universal health coverage (UHC) agenda whose major tenents include reaching everyone with the needed good quality services, strengthening the planning process to work towards a common objective is paramount. Drawing from country experiences-Swaziland and Zanzibar, we reviewed strategic planning processes to assess the extent to which they impact on realising alignment towards a collective health sector objective. Employing qualitative approaches, we reviewed strategic plans under implementation in the health sector and using an interview guide consisting of open-ended questions, interviewed key informants at the national and district level. Results showed that strategic plans are too many with majority of program strategies not well aligned to the health sector strategic plan, are not costed, and there overlaps in objectives among the several strategies addressing the same program. Weaknesses in the development process, perceived poor quality of the strategies, limited capacity, high staff turnover, and inadequate funding were the identified challenges that abate the utility of the strategic plans. Moving towards UHC starts with a robust planning process that rallies all actors and all available resources around a common objective. The planning process should be strengthened through ensuring participatory processes, evidence informed prioritisation, MoH institutional capacity to lead the process, and consideration for implementation feasibility. Flexibility to take into consideration emerging evidence and new developments in global health needs consideration.","container-title":"The International Journal of Health Planning and Management","DOI":"10.1002/hpm.2585","ISSN":"1099-1751","issue":"4","journalAbbreviation":"Int J Health Plann Manage","language":"eng","note":"PMID: 30074277","page":"1093-1109","source":"PubMed","title":"Moving towards universal health coverage: The need for a strengthened planning process","title-short":"Moving towards universal health coverage","volume":"33","author":[{"family":"Nabyonga-Orem","given":"Juliet"},{"family":"Nabukalu","given":"Belinda J."},{"family":"Andemichael","given":"Ghirmay"},{"family":"Khosi-Mthetwa","given":"Rosemary"},{"family":"Shaame","given":"Attiye"},{"family":"Myeni","given":"Sebentile"},{"family":"Quinto","given":"Ebony"},{"family":"Dovlo","given":"Delanyo"}],"issued":{"date-parts":[["2018",10]]}}}],"schema":"https://github.com/citation-style-language/schema/raw/master/csl-citation.json"} </w:instrText>
      </w:r>
      <w:r w:rsidR="00AF172A">
        <w:rPr>
          <w:rFonts w:ascii="Times New Roman" w:eastAsia="Times New Roman" w:hAnsi="Times New Roman" w:cs="Times New Roman"/>
          <w:color w:val="404040"/>
          <w:kern w:val="0"/>
          <w:lang w:val="en-US" w:eastAsia="fr-FR"/>
          <w14:ligatures w14:val="none"/>
        </w:rPr>
        <w:fldChar w:fldCharType="separate"/>
      </w:r>
      <w:r w:rsidR="00AF172A" w:rsidRPr="00466CBF">
        <w:rPr>
          <w:rFonts w:ascii="Times New Roman" w:hAnsi="Times New Roman" w:cs="Times New Roman"/>
          <w:lang w:val="en-US"/>
        </w:rPr>
        <w:t>(20)</w:t>
      </w:r>
      <w:r w:rsidR="00AF172A">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w:t>
      </w:r>
    </w:p>
    <w:p w14:paraId="3880986F" w14:textId="73AE962B" w:rsidR="009F16C4" w:rsidRPr="007A0CEC" w:rsidRDefault="00F072EB" w:rsidP="005529A4">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F072EB">
        <w:rPr>
          <w:rFonts w:ascii="Times New Roman" w:eastAsia="Times New Roman" w:hAnsi="Times New Roman" w:cs="Times New Roman"/>
          <w:color w:val="404040"/>
          <w:kern w:val="0"/>
          <w:highlight w:val="yellow"/>
          <w:lang w:val="en-US" w:eastAsia="fr-FR"/>
          <w14:ligatures w14:val="none"/>
        </w:rPr>
        <w:t>Training by the private sector could fill 15–20% of Mali's annual (PNDRH, 2023) shortage in Human Resources for Health (HHR).</w:t>
      </w:r>
      <w:r>
        <w:rPr>
          <w:rFonts w:ascii="Times New Roman" w:eastAsia="Times New Roman" w:hAnsi="Times New Roman" w:cs="Times New Roman"/>
          <w:color w:val="404040"/>
          <w:kern w:val="0"/>
          <w:lang w:val="en-US" w:eastAsia="fr-FR"/>
          <w14:ligatures w14:val="none"/>
        </w:rPr>
        <w:t xml:space="preserve"> </w:t>
      </w:r>
      <w:r w:rsidR="009F16C4" w:rsidRPr="007A0CEC">
        <w:rPr>
          <w:rFonts w:ascii="Times New Roman" w:eastAsia="Times New Roman" w:hAnsi="Times New Roman" w:cs="Times New Roman"/>
          <w:color w:val="404040"/>
          <w:kern w:val="0"/>
          <w:lang w:val="en-US" w:eastAsia="fr-FR"/>
          <w14:ligatures w14:val="none"/>
        </w:rPr>
        <w:t>To unlock the potential of private health schools, the Government of Mali and partners are encouraged to take the following steps:</w:t>
      </w:r>
    </w:p>
    <w:p w14:paraId="440F58BF" w14:textId="77777777" w:rsidR="0079363E" w:rsidRPr="00A31616" w:rsidRDefault="009F16C4" w:rsidP="00A31616">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A31616">
        <w:rPr>
          <w:rFonts w:ascii="Times New Roman" w:eastAsia="Times New Roman" w:hAnsi="Times New Roman" w:cs="Times New Roman"/>
          <w:color w:val="404040"/>
          <w:kern w:val="0"/>
          <w:lang w:val="en-US" w:eastAsia="fr-FR"/>
          <w14:ligatures w14:val="none"/>
        </w:rPr>
        <w:t xml:space="preserve">Improve the quality assurance role of AMAQ-SUP to require standard graduate tracking and investments for rural </w:t>
      </w:r>
      <w:r w:rsidR="0079363E" w:rsidRPr="00A31616">
        <w:rPr>
          <w:rFonts w:ascii="Times New Roman" w:eastAsia="Times New Roman" w:hAnsi="Times New Roman" w:cs="Times New Roman"/>
          <w:color w:val="404040"/>
          <w:kern w:val="0"/>
          <w:lang w:val="en-US" w:eastAsia="fr-FR"/>
          <w14:ligatures w14:val="none"/>
        </w:rPr>
        <w:t>campuses.</w:t>
      </w:r>
    </w:p>
    <w:p w14:paraId="41622618" w14:textId="77777777" w:rsidR="0079363E" w:rsidRPr="00A31616" w:rsidRDefault="009F16C4" w:rsidP="00A31616">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A31616">
        <w:rPr>
          <w:rFonts w:ascii="Times New Roman" w:eastAsia="Times New Roman" w:hAnsi="Times New Roman" w:cs="Times New Roman"/>
          <w:color w:val="404040"/>
          <w:kern w:val="0"/>
          <w:lang w:val="en-US" w:eastAsia="fr-FR"/>
          <w14:ligatures w14:val="none"/>
        </w:rPr>
        <w:t>Strengthen Public-Private Partnerships: Institutionalize connections between private schools and public health institutions for clinical rotations and job pathways.</w:t>
      </w:r>
    </w:p>
    <w:p w14:paraId="649C1F6E" w14:textId="77777777" w:rsidR="0079363E" w:rsidRPr="00A31616" w:rsidRDefault="009F16C4" w:rsidP="00A31616">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A31616">
        <w:rPr>
          <w:rFonts w:ascii="Times New Roman" w:eastAsia="Times New Roman" w:hAnsi="Times New Roman" w:cs="Times New Roman"/>
          <w:color w:val="404040"/>
          <w:kern w:val="0"/>
          <w:lang w:val="en-US" w:eastAsia="fr-FR"/>
          <w14:ligatures w14:val="none"/>
        </w:rPr>
        <w:lastRenderedPageBreak/>
        <w:t>Close Equity Gap: Establish scholarships or incentive schemes for rural students, gender-sensitive support systems.</w:t>
      </w:r>
    </w:p>
    <w:p w14:paraId="7F2F290C" w14:textId="77777777" w:rsidR="005529A4" w:rsidRPr="00A31616" w:rsidRDefault="009F16C4" w:rsidP="00A31616">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A31616">
        <w:rPr>
          <w:rFonts w:ascii="Times New Roman" w:eastAsia="Times New Roman" w:hAnsi="Times New Roman" w:cs="Times New Roman"/>
          <w:color w:val="404040"/>
          <w:kern w:val="0"/>
          <w:lang w:val="en-US" w:eastAsia="fr-FR"/>
          <w14:ligatures w14:val="none"/>
        </w:rPr>
        <w:t xml:space="preserve">Scale Best Practices: Extend "Le </w:t>
      </w:r>
      <w:proofErr w:type="spellStart"/>
      <w:r w:rsidRPr="00A31616">
        <w:rPr>
          <w:rFonts w:ascii="Times New Roman" w:eastAsia="Times New Roman" w:hAnsi="Times New Roman" w:cs="Times New Roman"/>
          <w:color w:val="404040"/>
          <w:kern w:val="0"/>
          <w:lang w:val="en-US" w:eastAsia="fr-FR"/>
          <w14:ligatures w14:val="none"/>
        </w:rPr>
        <w:t>Bouctou’s</w:t>
      </w:r>
      <w:proofErr w:type="spellEnd"/>
      <w:r w:rsidRPr="00A31616">
        <w:rPr>
          <w:rFonts w:ascii="Times New Roman" w:eastAsia="Times New Roman" w:hAnsi="Times New Roman" w:cs="Times New Roman"/>
          <w:color w:val="404040"/>
          <w:kern w:val="0"/>
          <w:lang w:val="en-US" w:eastAsia="fr-FR"/>
          <w14:ligatures w14:val="none"/>
        </w:rPr>
        <w:t>" best practices (e.g., clinical integration) to other private health care facilities with the support of AESP.</w:t>
      </w:r>
    </w:p>
    <w:p w14:paraId="73255655" w14:textId="681EB6BE" w:rsidR="0079363E" w:rsidRPr="007A0CEC" w:rsidRDefault="0079363E" w:rsidP="007A0CEC">
      <w:pPr>
        <w:shd w:val="clear" w:color="auto" w:fill="FFFFFF"/>
        <w:spacing w:before="274" w:after="206" w:line="360" w:lineRule="auto"/>
        <w:jc w:val="both"/>
        <w:outlineLvl w:val="2"/>
        <w:rPr>
          <w:rFonts w:ascii="Times New Roman" w:eastAsia="Times New Roman" w:hAnsi="Times New Roman" w:cs="Times New Roman"/>
          <w:color w:val="404040"/>
          <w:kern w:val="0"/>
          <w:lang w:val="en-US" w:eastAsia="fr-FR"/>
          <w14:ligatures w14:val="none"/>
        </w:rPr>
      </w:pPr>
      <w:r w:rsidRPr="007A0CEC">
        <w:rPr>
          <w:rFonts w:ascii="Times New Roman" w:eastAsia="Times New Roman" w:hAnsi="Times New Roman" w:cs="Times New Roman"/>
          <w:color w:val="404040"/>
          <w:kern w:val="0"/>
          <w:lang w:val="en-US" w:eastAsia="fr-FR"/>
          <w14:ligatures w14:val="none"/>
        </w:rPr>
        <w:t>This study has several limitations. First, job data was based in part on self-reporting, which can inflate placement rates</w:t>
      </w:r>
      <w:r w:rsidR="00155BD2">
        <w:rPr>
          <w:rFonts w:ascii="Times New Roman" w:eastAsia="Times New Roman" w:hAnsi="Times New Roman" w:cs="Times New Roman"/>
          <w:color w:val="404040"/>
          <w:kern w:val="0"/>
          <w:lang w:val="en-US" w:eastAsia="fr-FR"/>
          <w14:ligatures w14:val="none"/>
        </w:rPr>
        <w:t xml:space="preserve"> </w:t>
      </w:r>
      <w:r w:rsidR="00A31616">
        <w:rPr>
          <w:rFonts w:ascii="Times New Roman" w:eastAsia="Times New Roman" w:hAnsi="Times New Roman" w:cs="Times New Roman"/>
          <w:color w:val="404040"/>
          <w:kern w:val="0"/>
          <w:lang w:val="en-US" w:eastAsia="fr-FR"/>
          <w14:ligatures w14:val="none"/>
        </w:rPr>
        <w:fldChar w:fldCharType="begin"/>
      </w:r>
      <w:r w:rsidR="00A31616">
        <w:rPr>
          <w:rFonts w:ascii="Times New Roman" w:eastAsia="Times New Roman" w:hAnsi="Times New Roman" w:cs="Times New Roman"/>
          <w:color w:val="404040"/>
          <w:kern w:val="0"/>
          <w:lang w:val="en-US" w:eastAsia="fr-FR"/>
          <w14:ligatures w14:val="none"/>
        </w:rPr>
        <w:instrText xml:space="preserve"> ADDIN ZOTERO_ITEM CSL_CITATION {"citationID":"aCQzV2ev","properties":{"formattedCitation":"(21)","plainCitation":"(21)","noteIndex":0},"citationItems":[{"id":3299,"uris":["http://zotero.org/users/8468661/items/2JASHH7M"],"itemData":{"id":3299,"type":"post-weblog","abstract":"Self-Report Constraints can significantly shape the quality of data collected in research. When individuals provide their own insights, the potential for misunderstanding or misrepresentation can distort findings. This section explores...","container-title":"Insight7 - AI Tool For Interview Analysis &amp; Market Research","language":"en-US","title":"Understanding the Limitations of SelfReported Data","URL":"https://insight7.io/understanding-the-limitations-of-selfreported-data/","author":[{"family":"Insight","given":"Hello"}],"accessed":{"date-parts":[["2025",7,30]]},"issued":{"date-parts":[["2025",2,26]]}}}],"schema":"https://github.com/citation-style-language/schema/raw/master/csl-citation.json"} </w:instrText>
      </w:r>
      <w:r w:rsidR="00A31616">
        <w:rPr>
          <w:rFonts w:ascii="Times New Roman" w:eastAsia="Times New Roman" w:hAnsi="Times New Roman" w:cs="Times New Roman"/>
          <w:color w:val="404040"/>
          <w:kern w:val="0"/>
          <w:lang w:val="en-US" w:eastAsia="fr-FR"/>
          <w14:ligatures w14:val="none"/>
        </w:rPr>
        <w:fldChar w:fldCharType="separate"/>
      </w:r>
      <w:r w:rsidR="00A31616" w:rsidRPr="00A31616">
        <w:rPr>
          <w:rFonts w:ascii="Times New Roman" w:hAnsi="Times New Roman" w:cs="Times New Roman"/>
          <w:lang w:val="en-US"/>
        </w:rPr>
        <w:t>(21)</w:t>
      </w:r>
      <w:r w:rsidR="00A31616">
        <w:rPr>
          <w:rFonts w:ascii="Times New Roman" w:eastAsia="Times New Roman" w:hAnsi="Times New Roman" w:cs="Times New Roman"/>
          <w:color w:val="404040"/>
          <w:kern w:val="0"/>
          <w:lang w:val="en-US" w:eastAsia="fr-FR"/>
          <w14:ligatures w14:val="none"/>
        </w:rPr>
        <w:fldChar w:fldCharType="end"/>
      </w:r>
      <w:r w:rsidRPr="007A0CEC">
        <w:rPr>
          <w:rFonts w:ascii="Times New Roman" w:eastAsia="Times New Roman" w:hAnsi="Times New Roman" w:cs="Times New Roman"/>
          <w:color w:val="404040"/>
          <w:kern w:val="0"/>
          <w:lang w:val="en-US" w:eastAsia="fr-FR"/>
          <w14:ligatures w14:val="none"/>
        </w:rPr>
        <w:t>. Second, the study is limited by its single network of schools, though "Le Bouctou" is typical of the larger private school system in Mali. Further studies should focus on longitudinal follow-up of graduates and should compare performance across institutions.</w:t>
      </w:r>
    </w:p>
    <w:p w14:paraId="7CDEE1AA" w14:textId="5A2C5E2A" w:rsidR="0020281C" w:rsidRPr="007A0CEC" w:rsidRDefault="00941479" w:rsidP="005529A4">
      <w:pPr>
        <w:shd w:val="clear" w:color="auto" w:fill="FFFFFF"/>
        <w:spacing w:before="274" w:after="206" w:line="360" w:lineRule="auto"/>
        <w:outlineLvl w:val="2"/>
        <w:rPr>
          <w:rFonts w:ascii="Times New Roman" w:eastAsia="Times New Roman" w:hAnsi="Times New Roman" w:cs="Times New Roman"/>
          <w:b/>
          <w:bCs/>
          <w:color w:val="404040"/>
          <w:kern w:val="0"/>
          <w:lang w:val="en-US" w:eastAsia="fr-FR"/>
          <w14:ligatures w14:val="none"/>
        </w:rPr>
      </w:pPr>
      <w:r w:rsidRPr="007A0CEC">
        <w:rPr>
          <w:rFonts w:ascii="Times New Roman" w:eastAsia="Times New Roman" w:hAnsi="Times New Roman" w:cs="Times New Roman"/>
          <w:b/>
          <w:bCs/>
          <w:color w:val="404040"/>
          <w:kern w:val="0"/>
          <w:lang w:val="en-US" w:eastAsia="fr-FR"/>
          <w14:ligatures w14:val="none"/>
        </w:rPr>
        <w:t>Conclusion</w:t>
      </w:r>
    </w:p>
    <w:p w14:paraId="403AA1F4" w14:textId="1ED4CF94" w:rsidR="008B62B4" w:rsidRDefault="005529A4" w:rsidP="007A0CEC">
      <w:pPr>
        <w:shd w:val="clear" w:color="auto" w:fill="FFFFFF"/>
        <w:spacing w:before="206" w:after="206" w:line="360" w:lineRule="auto"/>
        <w:jc w:val="both"/>
        <w:rPr>
          <w:rFonts w:ascii="Times New Roman" w:hAnsi="Times New Roman" w:cs="Times New Roman"/>
          <w:color w:val="404040"/>
          <w:shd w:val="clear" w:color="auto" w:fill="FFFFFF"/>
          <w:lang w:val="en-US"/>
        </w:rPr>
      </w:pPr>
      <w:r w:rsidRPr="007A0CEC">
        <w:rPr>
          <w:rFonts w:ascii="Times New Roman" w:hAnsi="Times New Roman" w:cs="Times New Roman"/>
          <w:color w:val="404040"/>
          <w:shd w:val="clear" w:color="auto" w:fill="FFFFFF"/>
          <w:lang w:val="en-US"/>
        </w:rPr>
        <w:t>Private health schools like "Le Bouctou" are a critical strategy in Mali’s health workforce strategy, providing quality, replicable training that is responsive to national needs. Yet, systemic changes are needed to develop accessibility, strong quality assurance, and sustainable relationships with the public authorities. Overcoming these obstacles would enable Mali to maximize the role of private health education in meeting its health workforce targets.</w:t>
      </w:r>
    </w:p>
    <w:p w14:paraId="4BA4C7A4" w14:textId="77777777" w:rsidR="008B62B4" w:rsidRPr="00614411" w:rsidRDefault="008B62B4" w:rsidP="008B62B4">
      <w:pPr>
        <w:rPr>
          <w:rFonts w:ascii="Times New Roman" w:eastAsia="Calibri" w:hAnsi="Times New Roman" w:cs="Times New Roman"/>
          <w:b/>
          <w:bCs/>
          <w:highlight w:val="yellow"/>
          <w:lang w:val="en-US"/>
        </w:rPr>
      </w:pPr>
      <w:bookmarkStart w:id="0" w:name="_Hlk204003461"/>
      <w:r w:rsidRPr="00614411">
        <w:rPr>
          <w:rFonts w:ascii="Times New Roman" w:eastAsia="Calibri" w:hAnsi="Times New Roman" w:cs="Times New Roman"/>
          <w:b/>
          <w:bCs/>
          <w:highlight w:val="yellow"/>
          <w:lang w:val="en-US"/>
        </w:rPr>
        <w:t>Disclaimer (Artificial intelligence)</w:t>
      </w:r>
    </w:p>
    <w:p w14:paraId="08C1A2F9" w14:textId="6B996F4E" w:rsidR="008B62B4" w:rsidRPr="00614411" w:rsidRDefault="008B62B4" w:rsidP="00614411">
      <w:pPr>
        <w:jc w:val="both"/>
        <w:rPr>
          <w:rFonts w:ascii="Times New Roman" w:eastAsia="Calibri" w:hAnsi="Times New Roman" w:cs="Times New Roman"/>
          <w:highlight w:val="yellow"/>
          <w:lang w:val="en-US"/>
        </w:rPr>
      </w:pPr>
      <w:r w:rsidRPr="00614411">
        <w:rPr>
          <w:rFonts w:ascii="Times New Roman" w:eastAsia="Calibri" w:hAnsi="Times New Roman" w:cs="Times New Roman"/>
          <w:highlight w:val="yellow"/>
          <w:lang w:val="en-US"/>
        </w:rPr>
        <w:t xml:space="preserve">Author(s) hereby </w:t>
      </w:r>
      <w:r w:rsidR="00614411" w:rsidRPr="00614411">
        <w:rPr>
          <w:rFonts w:ascii="Times New Roman" w:eastAsia="Calibri" w:hAnsi="Times New Roman" w:cs="Times New Roman"/>
          <w:highlight w:val="yellow"/>
          <w:lang w:val="en-US"/>
        </w:rPr>
        <w:t>declares</w:t>
      </w:r>
      <w:r w:rsidRPr="00614411">
        <w:rPr>
          <w:rFonts w:ascii="Times New Roman" w:eastAsia="Calibri" w:hAnsi="Times New Roman" w:cs="Times New Roman"/>
          <w:highlight w:val="yellow"/>
          <w:lang w:val="en-US"/>
        </w:rPr>
        <w:t xml:space="preserve"> that NO generative AI technologies such as Large Language Models (ChatGPT, COPILOT, etc.) and text-to-image generators have been used during the writing or editing of this manuscript. </w:t>
      </w:r>
    </w:p>
    <w:bookmarkEnd w:id="0"/>
    <w:p w14:paraId="4F03A2C9" w14:textId="77777777" w:rsidR="00183586" w:rsidRDefault="00941479" w:rsidP="00A31616">
      <w:pPr>
        <w:pStyle w:val="Bibliography"/>
        <w:rPr>
          <w:rFonts w:eastAsia="Times New Roman"/>
          <w:color w:val="404040"/>
          <w:lang w:val="en-US" w:eastAsia="fr-FR"/>
          <w14:ligatures w14:val="none"/>
        </w:rPr>
      </w:pPr>
      <w:r w:rsidRPr="007A0CEC">
        <w:rPr>
          <w:rFonts w:eastAsia="Times New Roman"/>
          <w:b/>
          <w:bCs/>
          <w:color w:val="404040"/>
          <w:lang w:val="en-US" w:eastAsia="fr-FR"/>
          <w14:ligatures w14:val="none"/>
        </w:rPr>
        <w:t>References</w:t>
      </w:r>
    </w:p>
    <w:p w14:paraId="44C2C7F2" w14:textId="34D4490F" w:rsidR="00A31616" w:rsidRPr="00A31616" w:rsidRDefault="001D6628" w:rsidP="00A31616">
      <w:pPr>
        <w:pStyle w:val="Bibliography"/>
        <w:rPr>
          <w:rFonts w:ascii="Times New Roman" w:hAnsi="Times New Roman" w:cs="Times New Roman"/>
          <w:lang w:val="en-US"/>
        </w:rPr>
      </w:pPr>
      <w:r>
        <w:rPr>
          <w:rFonts w:eastAsia="Times New Roman"/>
          <w:color w:val="404040"/>
          <w:lang w:val="en-US" w:eastAsia="fr-FR"/>
          <w14:ligatures w14:val="none"/>
        </w:rPr>
        <w:fldChar w:fldCharType="begin"/>
      </w:r>
      <w:r>
        <w:rPr>
          <w:rFonts w:eastAsia="Times New Roman"/>
          <w:color w:val="404040"/>
          <w:lang w:val="en-US" w:eastAsia="fr-FR"/>
          <w14:ligatures w14:val="none"/>
        </w:rPr>
        <w:instrText xml:space="preserve"> ADDIN ZOTERO_BIBL {"uncited":[],"omitted":[],"custom":[]} CSL_BIBLIOGRAPHY </w:instrText>
      </w:r>
      <w:r>
        <w:rPr>
          <w:rFonts w:eastAsia="Times New Roman"/>
          <w:color w:val="404040"/>
          <w:lang w:val="en-US" w:eastAsia="fr-FR"/>
          <w14:ligatures w14:val="none"/>
        </w:rPr>
        <w:fldChar w:fldCharType="separate"/>
      </w:r>
      <w:r w:rsidR="00A31616" w:rsidRPr="00A31616">
        <w:rPr>
          <w:rFonts w:ascii="Times New Roman" w:hAnsi="Times New Roman" w:cs="Times New Roman"/>
          <w:lang w:val="en-US"/>
        </w:rPr>
        <w:t>1.</w:t>
      </w:r>
      <w:r w:rsidR="00A31616" w:rsidRPr="00A31616">
        <w:rPr>
          <w:rFonts w:ascii="Times New Roman" w:hAnsi="Times New Roman" w:cs="Times New Roman"/>
          <w:lang w:val="en-US"/>
        </w:rPr>
        <w:tab/>
        <w:t xml:space="preserve">Willcox ML, Peersman W, Daou P, Diakité C, Bajunirwe F, Mubangizi V, et al. Human resources for primary health care in sub-Saharan Africa: progress or stagnation? Hum Resour Health. 2015 Sep 10;13:76. </w:t>
      </w:r>
    </w:p>
    <w:p w14:paraId="7F7D5771"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2.</w:t>
      </w:r>
      <w:r w:rsidRPr="00A31616">
        <w:rPr>
          <w:rFonts w:ascii="Times New Roman" w:hAnsi="Times New Roman" w:cs="Times New Roman"/>
          <w:lang w:val="en-US"/>
        </w:rPr>
        <w:tab/>
        <w:t>Mukhtarova,Padhi,Debasmita H Zahid,Khurshid,Ayesha,Turkan Mustafa Qizi. World Bank. [cited 2025 Jul 29]. Human Resources for Health in Mali : Key Findings from a Public Sector Healthcare Employee Survey. Available from: https://documents.banquemondiale.org/fr/publication/documents-reports/documentdetail/en/099121423040030563</w:t>
      </w:r>
    </w:p>
    <w:p w14:paraId="069083AA"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3.</w:t>
      </w:r>
      <w:r w:rsidRPr="00A31616">
        <w:rPr>
          <w:rFonts w:ascii="Times New Roman" w:hAnsi="Times New Roman" w:cs="Times New Roman"/>
          <w:lang w:val="en-US"/>
        </w:rPr>
        <w:tab/>
        <w:t>Mali - The World Factbook [Internet]. [cited 2025 Jul 29]. Available from: https://www.cia.gov/the-world-factbook/about/archives/2023/countries/mali/</w:t>
      </w:r>
    </w:p>
    <w:p w14:paraId="7117BCBD"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4.</w:t>
      </w:r>
      <w:r w:rsidRPr="00A31616">
        <w:rPr>
          <w:rFonts w:ascii="Times New Roman" w:hAnsi="Times New Roman" w:cs="Times New Roman"/>
          <w:lang w:val="en-US"/>
        </w:rPr>
        <w:tab/>
        <w:t xml:space="preserve">Ahmat A, Okoroafor S, Kazanga I, Asamani J, Millogo J, Abdou Illou MM, et al. The health workforce status in the WHO African Region: findings of a cross-sectional study. BMJ Glob Health. 2022 May 1;7. </w:t>
      </w:r>
    </w:p>
    <w:p w14:paraId="36B09067"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lastRenderedPageBreak/>
        <w:t>5.</w:t>
      </w:r>
      <w:r w:rsidRPr="00A31616">
        <w:rPr>
          <w:rFonts w:ascii="Times New Roman" w:hAnsi="Times New Roman" w:cs="Times New Roman"/>
          <w:lang w:val="en-US"/>
        </w:rPr>
        <w:tab/>
        <w:t xml:space="preserve">Densen P. Challenges and Opportunities Facing Medical Education. Trans Am Clin Climatol Assoc. 2011;122:48–58. </w:t>
      </w:r>
    </w:p>
    <w:p w14:paraId="2EA08F11" w14:textId="21D83E52"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6.</w:t>
      </w:r>
      <w:r w:rsidRPr="00A31616">
        <w:rPr>
          <w:rFonts w:ascii="Times New Roman" w:hAnsi="Times New Roman" w:cs="Times New Roman"/>
          <w:lang w:val="en-US"/>
        </w:rPr>
        <w:tab/>
        <w:t xml:space="preserve">Alexander SM, Gilleskie D, Díaz-González de Ferris M. Changing the Clock in Medical Education: Addressing Physician Shortages and Patient Outcomes. J Med Educ Curric Dev. 2024 Jun </w:t>
      </w:r>
      <w:r w:rsidR="00A627B0" w:rsidRPr="00A31616">
        <w:rPr>
          <w:rFonts w:ascii="Times New Roman" w:hAnsi="Times New Roman" w:cs="Times New Roman"/>
          <w:lang w:val="en-US"/>
        </w:rPr>
        <w:t>18; 11:23821205241264692</w:t>
      </w:r>
      <w:r w:rsidRPr="00A31616">
        <w:rPr>
          <w:rFonts w:ascii="Times New Roman" w:hAnsi="Times New Roman" w:cs="Times New Roman"/>
          <w:lang w:val="en-US"/>
        </w:rPr>
        <w:t xml:space="preserve">. </w:t>
      </w:r>
    </w:p>
    <w:p w14:paraId="609D5C3C"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7.</w:t>
      </w:r>
      <w:r w:rsidRPr="00A31616">
        <w:rPr>
          <w:rFonts w:ascii="Times New Roman" w:hAnsi="Times New Roman" w:cs="Times New Roman"/>
          <w:lang w:val="en-US"/>
        </w:rPr>
        <w:tab/>
        <w:t>Lamiaux M, Rouzaud F, Woods W. Private Health Sector Assessment in Mali : The Post-Bamako Initiative Reality. 2011 [cited 2025 Jul 29]; Available from: https://agris.fao.org/search/en/providers/122582/records/647390fc68b4c299a3f9c4c7</w:t>
      </w:r>
    </w:p>
    <w:p w14:paraId="0FE85A91" w14:textId="7186884A"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8.</w:t>
      </w:r>
      <w:r w:rsidRPr="00A31616">
        <w:rPr>
          <w:rFonts w:ascii="Times New Roman" w:hAnsi="Times New Roman" w:cs="Times New Roman"/>
          <w:lang w:val="en-US"/>
        </w:rPr>
        <w:tab/>
        <w:t xml:space="preserve">Touré CO, Bijou S, Joiner M, Brown A, Tessougué J, Maiga H, et al. Accreditation of private midwifery and nursing schools in Mali: a local sustainable solution to increasing the supply of qualified health workers. Hum Resour Health. 2021 Sep </w:t>
      </w:r>
      <w:r w:rsidR="00A627B0" w:rsidRPr="00A31616">
        <w:rPr>
          <w:rFonts w:ascii="Times New Roman" w:hAnsi="Times New Roman" w:cs="Times New Roman"/>
          <w:lang w:val="en-US"/>
        </w:rPr>
        <w:t>28; 19:119</w:t>
      </w:r>
      <w:r w:rsidRPr="00A31616">
        <w:rPr>
          <w:rFonts w:ascii="Times New Roman" w:hAnsi="Times New Roman" w:cs="Times New Roman"/>
          <w:lang w:val="en-US"/>
        </w:rPr>
        <w:t xml:space="preserve">. </w:t>
      </w:r>
    </w:p>
    <w:p w14:paraId="5FE72E50"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9.</w:t>
      </w:r>
      <w:r w:rsidRPr="00A31616">
        <w:rPr>
          <w:rFonts w:ascii="Times New Roman" w:hAnsi="Times New Roman" w:cs="Times New Roman"/>
          <w:lang w:val="en-US"/>
        </w:rPr>
        <w:tab/>
        <w:t>Francois,Woods,Wendy L Mathieu,Rouzaud. World Bank. [cited 2025 Jul 29]. Private health sector assessment in Mali : the post-Bamako initiative reality : Etude sur le secteur prive de la sante au Mali. Available from: https://documents.worldbank.org/pt/publication/documents-reports/documentdetail/en/369281468282262618</w:t>
      </w:r>
    </w:p>
    <w:p w14:paraId="42E89166"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10.</w:t>
      </w:r>
      <w:r w:rsidRPr="00A31616">
        <w:rPr>
          <w:rFonts w:ascii="Times New Roman" w:hAnsi="Times New Roman" w:cs="Times New Roman"/>
          <w:lang w:val="en-US"/>
        </w:rPr>
        <w:tab/>
        <w:t>Lamiaux M, Rouzaud F, Woods W. Private Health Sector Assessment in Mali: The Post-Bamako Initiative Reality. 2011 Jan 1 [cited 2025 Jul 29]; Available from: https://policycommons.net/artifacts/1505753/private-health-sector-assessment-in-mali/2169240/</w:t>
      </w:r>
    </w:p>
    <w:p w14:paraId="6F1EC3D4"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11.</w:t>
      </w:r>
      <w:r w:rsidRPr="00A31616">
        <w:rPr>
          <w:rFonts w:ascii="Times New Roman" w:hAnsi="Times New Roman" w:cs="Times New Roman"/>
          <w:lang w:val="en-US"/>
        </w:rPr>
        <w:tab/>
        <w:t>World Bank [Internet]. [cited 2025 Jul 29]. Mali - Health Sector Development Program. Available from: https://documents.worldbank.org/en/publication/documents-reports/documentdetail/en/351671468049788152</w:t>
      </w:r>
    </w:p>
    <w:p w14:paraId="0A4B8AB0"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12.</w:t>
      </w:r>
      <w:r w:rsidRPr="00A31616">
        <w:rPr>
          <w:rFonts w:ascii="Times New Roman" w:hAnsi="Times New Roman" w:cs="Times New Roman"/>
          <w:lang w:val="en-US"/>
        </w:rPr>
        <w:tab/>
        <w:t xml:space="preserve">George D, Mallery P. IBM SPSS Statistics 26 Step by Step: A Simple Guide and Reference. 16th ed. New York: Routledge; 2019. 402 p. </w:t>
      </w:r>
    </w:p>
    <w:p w14:paraId="0F14405B"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13.</w:t>
      </w:r>
      <w:r w:rsidRPr="00A31616">
        <w:rPr>
          <w:rFonts w:ascii="Times New Roman" w:hAnsi="Times New Roman" w:cs="Times New Roman"/>
          <w:lang w:val="en-US"/>
        </w:rPr>
        <w:tab/>
        <w:t xml:space="preserve">Doni L, Perin A, Manzione L, Gebbia V, Mattioli R, Speranza GB, et al. The impact of anemia on quality of life and hospitalisation in elderly cancer patients undergoing chemotherapy. Crit Rev Oncol Hematol. 2011 Jan 1;77(1):70–7. </w:t>
      </w:r>
    </w:p>
    <w:p w14:paraId="16F5A24D"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14.</w:t>
      </w:r>
      <w:r w:rsidRPr="00A31616">
        <w:rPr>
          <w:rFonts w:ascii="Times New Roman" w:hAnsi="Times New Roman" w:cs="Times New Roman"/>
          <w:lang w:val="en-US"/>
        </w:rPr>
        <w:tab/>
        <w:t xml:space="preserve">Sriram V, Yilmaz V, Kaur S, Andres C, Cheng M, Meessen B. The role of private healthcare sector actors in health service delivery and financing policy processes in low-and middle-income countries: a scoping review. BMJ Glob Health. 2024 Feb 5;8(Suppl 5):e013408. </w:t>
      </w:r>
    </w:p>
    <w:p w14:paraId="68602323"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15.</w:t>
      </w:r>
      <w:r w:rsidRPr="00A31616">
        <w:rPr>
          <w:rFonts w:ascii="Times New Roman" w:hAnsi="Times New Roman" w:cs="Times New Roman"/>
          <w:lang w:val="en-US"/>
        </w:rPr>
        <w:tab/>
        <w:t xml:space="preserve">Poon YSR, Lin YP, Griffiths P, Yong KK, Seah B, Liaw SY. A global overview of healthcare workers’ turnover intention amid COVID-19 pandemic: a systematic review with future directions. Hum Resour Health. 2022 Sep 24;20(1):70. </w:t>
      </w:r>
    </w:p>
    <w:p w14:paraId="4B30D446"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16.</w:t>
      </w:r>
      <w:r w:rsidRPr="00A31616">
        <w:rPr>
          <w:rFonts w:ascii="Times New Roman" w:hAnsi="Times New Roman" w:cs="Times New Roman"/>
          <w:lang w:val="en-US"/>
        </w:rPr>
        <w:tab/>
        <w:t xml:space="preserve">Suhi SS, Oyshi FJ, Al Mamun MdA, Jahan N, Shohel TA, Rahman MA, et al. Public vs. private job dilemma: Influencing factors in career selection for university graduates. PLoS ONE. 2021 Oct 11;16(10):e0258331. </w:t>
      </w:r>
    </w:p>
    <w:p w14:paraId="2B4C641D" w14:textId="28A8CE8C"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lastRenderedPageBreak/>
        <w:t>17.</w:t>
      </w:r>
      <w:r w:rsidRPr="00A31616">
        <w:rPr>
          <w:rFonts w:ascii="Times New Roman" w:hAnsi="Times New Roman" w:cs="Times New Roman"/>
          <w:lang w:val="en-US"/>
        </w:rPr>
        <w:tab/>
        <w:t xml:space="preserve">Kolars J, Cahill K, Donkor P, Kaaya E, Lawson A, Serwadda D, et al. Perspective: Partnering for Medical Education in Sub-Saharan Africa: Seeking </w:t>
      </w:r>
      <w:r w:rsidR="00AD7D95" w:rsidRPr="00A31616">
        <w:rPr>
          <w:rFonts w:ascii="Times New Roman" w:hAnsi="Times New Roman" w:cs="Times New Roman"/>
          <w:lang w:val="en-US"/>
        </w:rPr>
        <w:t>Evidence</w:t>
      </w:r>
      <w:r w:rsidRPr="00A31616">
        <w:rPr>
          <w:rFonts w:ascii="Times New Roman" w:hAnsi="Times New Roman" w:cs="Times New Roman"/>
          <w:lang w:val="en-US"/>
        </w:rPr>
        <w:t xml:space="preserve"> for Effective Collaborations. Acad Med J Assoc Am Med Coll. 2011 Dec 20;87:216–20. </w:t>
      </w:r>
    </w:p>
    <w:p w14:paraId="2CA9687B"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18.</w:t>
      </w:r>
      <w:r w:rsidRPr="00A31616">
        <w:rPr>
          <w:rFonts w:ascii="Times New Roman" w:hAnsi="Times New Roman" w:cs="Times New Roman"/>
          <w:lang w:val="en-US"/>
        </w:rPr>
        <w:tab/>
        <w:t xml:space="preserve">Lukwa AT, Chiwire P, Aggrey S, Akinsolu FT, Nyabunze A, Okova D. Evaluating Value-Based Maternal Healthcare in Sub-Saharan Africa: A Systematic Review. Women. 2024 Sep;4(3):226–40. </w:t>
      </w:r>
    </w:p>
    <w:p w14:paraId="7A19F625"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19.</w:t>
      </w:r>
      <w:r w:rsidRPr="00A31616">
        <w:rPr>
          <w:rFonts w:ascii="Times New Roman" w:hAnsi="Times New Roman" w:cs="Times New Roman"/>
          <w:lang w:val="en-US"/>
        </w:rPr>
        <w:tab/>
        <w:t xml:space="preserve">Frenk J, Chen L, Bhutta ZA, Cohen J, Crisp N, Evans T, et al. Health professionals for a new century: transforming education to strengthen health systems in an interdependent world. Lancet Lond Engl. 2010 Dec 4;376(9756):1923–58. </w:t>
      </w:r>
    </w:p>
    <w:p w14:paraId="5104E3E0"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20.</w:t>
      </w:r>
      <w:r w:rsidRPr="00A31616">
        <w:rPr>
          <w:rFonts w:ascii="Times New Roman" w:hAnsi="Times New Roman" w:cs="Times New Roman"/>
          <w:lang w:val="en-US"/>
        </w:rPr>
        <w:tab/>
        <w:t xml:space="preserve">Nabyonga-Orem J, Nabukalu BJ, Andemichael G, Khosi-Mthetwa R, Shaame A, Myeni S, et al. Moving towards universal health coverage: The need for a strengthened planning process. Int J Health Plann Manage. 2018 Oct;33(4):1093–109. </w:t>
      </w:r>
    </w:p>
    <w:p w14:paraId="43A6DAB9" w14:textId="77777777" w:rsidR="00A31616" w:rsidRPr="00A31616" w:rsidRDefault="00A31616" w:rsidP="00A31616">
      <w:pPr>
        <w:pStyle w:val="Bibliography"/>
        <w:rPr>
          <w:rFonts w:ascii="Times New Roman" w:hAnsi="Times New Roman" w:cs="Times New Roman"/>
          <w:lang w:val="en-US"/>
        </w:rPr>
      </w:pPr>
      <w:r w:rsidRPr="00A31616">
        <w:rPr>
          <w:rFonts w:ascii="Times New Roman" w:hAnsi="Times New Roman" w:cs="Times New Roman"/>
          <w:lang w:val="en-US"/>
        </w:rPr>
        <w:t>21.</w:t>
      </w:r>
      <w:r w:rsidRPr="00A31616">
        <w:rPr>
          <w:rFonts w:ascii="Times New Roman" w:hAnsi="Times New Roman" w:cs="Times New Roman"/>
          <w:lang w:val="en-US"/>
        </w:rPr>
        <w:tab/>
        <w:t>Insight H. Understanding the Limitations of SelfReported Data [Internet]. Insight7 - AI Tool For Interview Analysis &amp; Market Research. 2025 [cited 2025 Jul 30]. Available from: https://insight7.io/understanding-the-limitations-of-selfreported-data/</w:t>
      </w:r>
    </w:p>
    <w:p w14:paraId="701E0B96" w14:textId="747EBCFC" w:rsidR="00941479" w:rsidRPr="00466CBF" w:rsidRDefault="001D6628" w:rsidP="00466CBF">
      <w:pPr>
        <w:shd w:val="clear" w:color="auto" w:fill="FFFFFF"/>
        <w:spacing w:before="206" w:after="206" w:line="360" w:lineRule="auto"/>
        <w:rPr>
          <w:rFonts w:ascii="Times New Roman" w:eastAsia="Times New Roman" w:hAnsi="Times New Roman" w:cs="Times New Roman"/>
          <w:color w:val="404040"/>
          <w:kern w:val="0"/>
          <w:lang w:val="en-US" w:eastAsia="fr-FR"/>
          <w14:ligatures w14:val="none"/>
        </w:rPr>
      </w:pPr>
      <w:r>
        <w:rPr>
          <w:rFonts w:ascii="Times New Roman" w:eastAsia="Times New Roman" w:hAnsi="Times New Roman" w:cs="Times New Roman"/>
          <w:color w:val="404040"/>
          <w:kern w:val="0"/>
          <w:lang w:val="en-US" w:eastAsia="fr-FR"/>
          <w14:ligatures w14:val="none"/>
        </w:rPr>
        <w:fldChar w:fldCharType="end"/>
      </w:r>
    </w:p>
    <w:sectPr w:rsidR="00941479" w:rsidRPr="00466CBF" w:rsidSect="00001EC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D3EE5" w14:textId="77777777" w:rsidR="006F16F3" w:rsidRDefault="006F16F3" w:rsidP="00001EC8">
      <w:pPr>
        <w:spacing w:after="0" w:line="240" w:lineRule="auto"/>
      </w:pPr>
      <w:r>
        <w:separator/>
      </w:r>
    </w:p>
  </w:endnote>
  <w:endnote w:type="continuationSeparator" w:id="0">
    <w:p w14:paraId="0B5FEC14" w14:textId="77777777" w:rsidR="006F16F3" w:rsidRDefault="006F16F3" w:rsidP="00001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97DF" w14:textId="77777777" w:rsidR="00001EC8" w:rsidRDefault="00001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60451" w14:textId="77777777" w:rsidR="00001EC8" w:rsidRDefault="00001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E88D" w14:textId="77777777" w:rsidR="00001EC8" w:rsidRDefault="00001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C5F65" w14:textId="77777777" w:rsidR="006F16F3" w:rsidRDefault="006F16F3" w:rsidP="00001EC8">
      <w:pPr>
        <w:spacing w:after="0" w:line="240" w:lineRule="auto"/>
      </w:pPr>
      <w:r>
        <w:separator/>
      </w:r>
    </w:p>
  </w:footnote>
  <w:footnote w:type="continuationSeparator" w:id="0">
    <w:p w14:paraId="30D7A6E4" w14:textId="77777777" w:rsidR="006F16F3" w:rsidRDefault="006F16F3" w:rsidP="00001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60A6" w14:textId="303440B5" w:rsidR="00001EC8" w:rsidRDefault="00000000">
    <w:pPr>
      <w:pStyle w:val="Header"/>
    </w:pPr>
    <w:r>
      <w:rPr>
        <w:noProof/>
      </w:rPr>
      <w:pict w14:anchorId="0B254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9892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7AF8E" w14:textId="15AB63CB" w:rsidR="00001EC8" w:rsidRDefault="00000000">
    <w:pPr>
      <w:pStyle w:val="Header"/>
    </w:pPr>
    <w:r>
      <w:rPr>
        <w:noProof/>
      </w:rPr>
      <w:pict w14:anchorId="67287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9892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3E632" w14:textId="00F72EEE" w:rsidR="00001EC8" w:rsidRDefault="00000000">
    <w:pPr>
      <w:pStyle w:val="Header"/>
    </w:pPr>
    <w:r>
      <w:rPr>
        <w:noProof/>
      </w:rPr>
      <w:pict w14:anchorId="03C03D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69892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F06"/>
    <w:multiLevelType w:val="multilevel"/>
    <w:tmpl w:val="65A84A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7F4C4D"/>
    <w:multiLevelType w:val="multilevel"/>
    <w:tmpl w:val="E244F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120D1"/>
    <w:multiLevelType w:val="multilevel"/>
    <w:tmpl w:val="3A308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C55F6"/>
    <w:multiLevelType w:val="multilevel"/>
    <w:tmpl w:val="19AAD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34BA9"/>
    <w:multiLevelType w:val="multilevel"/>
    <w:tmpl w:val="CBE6D82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20191F8E"/>
    <w:multiLevelType w:val="hybridMultilevel"/>
    <w:tmpl w:val="6570E8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3010AC"/>
    <w:multiLevelType w:val="multilevel"/>
    <w:tmpl w:val="75C21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75913"/>
    <w:multiLevelType w:val="multilevel"/>
    <w:tmpl w:val="CC846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EA080A"/>
    <w:multiLevelType w:val="multilevel"/>
    <w:tmpl w:val="1D106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C5B22"/>
    <w:multiLevelType w:val="multilevel"/>
    <w:tmpl w:val="E8000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D4274E"/>
    <w:multiLevelType w:val="hybridMultilevel"/>
    <w:tmpl w:val="1ABAA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C73605F"/>
    <w:multiLevelType w:val="multilevel"/>
    <w:tmpl w:val="BDB8D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6075B4"/>
    <w:multiLevelType w:val="multilevel"/>
    <w:tmpl w:val="A0AC7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F430B"/>
    <w:multiLevelType w:val="multilevel"/>
    <w:tmpl w:val="90FC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E367B0"/>
    <w:multiLevelType w:val="multilevel"/>
    <w:tmpl w:val="0FDCA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D127E1"/>
    <w:multiLevelType w:val="multilevel"/>
    <w:tmpl w:val="5D1E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090894"/>
    <w:multiLevelType w:val="hybridMultilevel"/>
    <w:tmpl w:val="7DEA1116"/>
    <w:lvl w:ilvl="0" w:tplc="A2202470">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9972349"/>
    <w:multiLevelType w:val="multilevel"/>
    <w:tmpl w:val="DC72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25212B"/>
    <w:multiLevelType w:val="hybridMultilevel"/>
    <w:tmpl w:val="34A405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C693E71"/>
    <w:multiLevelType w:val="multilevel"/>
    <w:tmpl w:val="8DE6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773FD8"/>
    <w:multiLevelType w:val="multilevel"/>
    <w:tmpl w:val="ED3CB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AE5EF8"/>
    <w:multiLevelType w:val="multilevel"/>
    <w:tmpl w:val="4454D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8206273">
    <w:abstractNumId w:val="8"/>
  </w:num>
  <w:num w:numId="2" w16cid:durableId="667707041">
    <w:abstractNumId w:val="2"/>
  </w:num>
  <w:num w:numId="3" w16cid:durableId="1193376940">
    <w:abstractNumId w:val="13"/>
  </w:num>
  <w:num w:numId="4" w16cid:durableId="1635284141">
    <w:abstractNumId w:val="7"/>
  </w:num>
  <w:num w:numId="5" w16cid:durableId="2061974507">
    <w:abstractNumId w:val="17"/>
  </w:num>
  <w:num w:numId="6" w16cid:durableId="1019501574">
    <w:abstractNumId w:val="15"/>
  </w:num>
  <w:num w:numId="7" w16cid:durableId="728306506">
    <w:abstractNumId w:val="9"/>
  </w:num>
  <w:num w:numId="8" w16cid:durableId="2045714173">
    <w:abstractNumId w:val="3"/>
  </w:num>
  <w:num w:numId="9" w16cid:durableId="1002124999">
    <w:abstractNumId w:val="4"/>
  </w:num>
  <w:num w:numId="10" w16cid:durableId="937450822">
    <w:abstractNumId w:val="0"/>
  </w:num>
  <w:num w:numId="11" w16cid:durableId="1382943776">
    <w:abstractNumId w:val="14"/>
  </w:num>
  <w:num w:numId="12" w16cid:durableId="1453283522">
    <w:abstractNumId w:val="6"/>
  </w:num>
  <w:num w:numId="13" w16cid:durableId="673608228">
    <w:abstractNumId w:val="11"/>
  </w:num>
  <w:num w:numId="14" w16cid:durableId="2049715722">
    <w:abstractNumId w:val="19"/>
  </w:num>
  <w:num w:numId="15" w16cid:durableId="871576043">
    <w:abstractNumId w:val="12"/>
  </w:num>
  <w:num w:numId="16" w16cid:durableId="623925252">
    <w:abstractNumId w:val="1"/>
  </w:num>
  <w:num w:numId="17" w16cid:durableId="1492676958">
    <w:abstractNumId w:val="18"/>
  </w:num>
  <w:num w:numId="18" w16cid:durableId="1852723965">
    <w:abstractNumId w:val="16"/>
  </w:num>
  <w:num w:numId="19" w16cid:durableId="128128484">
    <w:abstractNumId w:val="21"/>
  </w:num>
  <w:num w:numId="20" w16cid:durableId="983200064">
    <w:abstractNumId w:val="5"/>
  </w:num>
  <w:num w:numId="21" w16cid:durableId="2092652855">
    <w:abstractNumId w:val="10"/>
  </w:num>
  <w:num w:numId="22" w16cid:durableId="10262967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Q0MjO1NDMzszC3MDBT0lEKTi0uzszPAykwrAUAb11OmiwAAAA="/>
  </w:docVars>
  <w:rsids>
    <w:rsidRoot w:val="00941479"/>
    <w:rsid w:val="00001EC8"/>
    <w:rsid w:val="000514B7"/>
    <w:rsid w:val="00111086"/>
    <w:rsid w:val="0013015E"/>
    <w:rsid w:val="001441BE"/>
    <w:rsid w:val="00155BD2"/>
    <w:rsid w:val="00183586"/>
    <w:rsid w:val="001D6628"/>
    <w:rsid w:val="001E6508"/>
    <w:rsid w:val="001E6AB8"/>
    <w:rsid w:val="001F0C78"/>
    <w:rsid w:val="0020281C"/>
    <w:rsid w:val="00203993"/>
    <w:rsid w:val="00261E68"/>
    <w:rsid w:val="002B15AA"/>
    <w:rsid w:val="002D45B5"/>
    <w:rsid w:val="002E2406"/>
    <w:rsid w:val="002F3296"/>
    <w:rsid w:val="00302C06"/>
    <w:rsid w:val="003119DF"/>
    <w:rsid w:val="0034299B"/>
    <w:rsid w:val="003865FA"/>
    <w:rsid w:val="003A2686"/>
    <w:rsid w:val="003B1DD4"/>
    <w:rsid w:val="003F3306"/>
    <w:rsid w:val="004227B2"/>
    <w:rsid w:val="00423515"/>
    <w:rsid w:val="00440655"/>
    <w:rsid w:val="00466CBF"/>
    <w:rsid w:val="00470A28"/>
    <w:rsid w:val="00475DBA"/>
    <w:rsid w:val="00494A10"/>
    <w:rsid w:val="004F395D"/>
    <w:rsid w:val="005450B3"/>
    <w:rsid w:val="005529A4"/>
    <w:rsid w:val="00564705"/>
    <w:rsid w:val="00565C4B"/>
    <w:rsid w:val="00597C88"/>
    <w:rsid w:val="005B78B6"/>
    <w:rsid w:val="005E339D"/>
    <w:rsid w:val="006036E8"/>
    <w:rsid w:val="00614411"/>
    <w:rsid w:val="00664935"/>
    <w:rsid w:val="006D398E"/>
    <w:rsid w:val="006F16F3"/>
    <w:rsid w:val="00722802"/>
    <w:rsid w:val="00781AC0"/>
    <w:rsid w:val="0079363E"/>
    <w:rsid w:val="007A0CEC"/>
    <w:rsid w:val="007C6BCF"/>
    <w:rsid w:val="007E7A13"/>
    <w:rsid w:val="00816E44"/>
    <w:rsid w:val="008563E5"/>
    <w:rsid w:val="00865335"/>
    <w:rsid w:val="0088436F"/>
    <w:rsid w:val="008A2F14"/>
    <w:rsid w:val="008B62B4"/>
    <w:rsid w:val="008C5391"/>
    <w:rsid w:val="008D51F6"/>
    <w:rsid w:val="008F7AB6"/>
    <w:rsid w:val="00904938"/>
    <w:rsid w:val="00915E22"/>
    <w:rsid w:val="00941479"/>
    <w:rsid w:val="00994AF8"/>
    <w:rsid w:val="009A2F47"/>
    <w:rsid w:val="009F16C4"/>
    <w:rsid w:val="00A31616"/>
    <w:rsid w:val="00A627B0"/>
    <w:rsid w:val="00A710A9"/>
    <w:rsid w:val="00AD7D95"/>
    <w:rsid w:val="00AF172A"/>
    <w:rsid w:val="00AF68F3"/>
    <w:rsid w:val="00B06ADB"/>
    <w:rsid w:val="00B50F8A"/>
    <w:rsid w:val="00B65843"/>
    <w:rsid w:val="00B67593"/>
    <w:rsid w:val="00B67C19"/>
    <w:rsid w:val="00B933CE"/>
    <w:rsid w:val="00B940CD"/>
    <w:rsid w:val="00C35456"/>
    <w:rsid w:val="00C512E0"/>
    <w:rsid w:val="00C53A2F"/>
    <w:rsid w:val="00CB0588"/>
    <w:rsid w:val="00CC4D9C"/>
    <w:rsid w:val="00CD6D8D"/>
    <w:rsid w:val="00CE21DA"/>
    <w:rsid w:val="00CE7125"/>
    <w:rsid w:val="00D00C91"/>
    <w:rsid w:val="00D140DE"/>
    <w:rsid w:val="00D47BB2"/>
    <w:rsid w:val="00DA3C90"/>
    <w:rsid w:val="00DA4800"/>
    <w:rsid w:val="00DE621B"/>
    <w:rsid w:val="00E720A0"/>
    <w:rsid w:val="00E74BF6"/>
    <w:rsid w:val="00F072EB"/>
    <w:rsid w:val="00F1012C"/>
    <w:rsid w:val="00F335E7"/>
    <w:rsid w:val="00F70529"/>
    <w:rsid w:val="00FA66AE"/>
    <w:rsid w:val="00FC07C8"/>
    <w:rsid w:val="00FD7A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6B148"/>
  <w15:chartTrackingRefBased/>
  <w15:docId w15:val="{781B3A9D-9FC8-4604-8915-6A032682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E0"/>
  </w:style>
  <w:style w:type="paragraph" w:styleId="Heading1">
    <w:name w:val="heading 1"/>
    <w:basedOn w:val="Normal"/>
    <w:next w:val="Normal"/>
    <w:link w:val="Heading1Char"/>
    <w:uiPriority w:val="9"/>
    <w:qFormat/>
    <w:rsid w:val="009414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14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414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14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14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14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14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14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14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14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14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414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14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14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14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14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14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1479"/>
    <w:rPr>
      <w:rFonts w:eastAsiaTheme="majorEastAsia" w:cstheme="majorBidi"/>
      <w:color w:val="272727" w:themeColor="text1" w:themeTint="D8"/>
    </w:rPr>
  </w:style>
  <w:style w:type="paragraph" w:styleId="Title">
    <w:name w:val="Title"/>
    <w:basedOn w:val="Normal"/>
    <w:next w:val="Normal"/>
    <w:link w:val="TitleChar"/>
    <w:uiPriority w:val="10"/>
    <w:qFormat/>
    <w:rsid w:val="009414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14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14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14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1479"/>
    <w:pPr>
      <w:spacing w:before="160"/>
      <w:jc w:val="center"/>
    </w:pPr>
    <w:rPr>
      <w:i/>
      <w:iCs/>
      <w:color w:val="404040" w:themeColor="text1" w:themeTint="BF"/>
    </w:rPr>
  </w:style>
  <w:style w:type="character" w:customStyle="1" w:styleId="QuoteChar">
    <w:name w:val="Quote Char"/>
    <w:basedOn w:val="DefaultParagraphFont"/>
    <w:link w:val="Quote"/>
    <w:uiPriority w:val="29"/>
    <w:rsid w:val="00941479"/>
    <w:rPr>
      <w:i/>
      <w:iCs/>
      <w:color w:val="404040" w:themeColor="text1" w:themeTint="BF"/>
    </w:rPr>
  </w:style>
  <w:style w:type="paragraph" w:styleId="ListParagraph">
    <w:name w:val="List Paragraph"/>
    <w:basedOn w:val="Normal"/>
    <w:uiPriority w:val="34"/>
    <w:qFormat/>
    <w:rsid w:val="00941479"/>
    <w:pPr>
      <w:ind w:left="720"/>
      <w:contextualSpacing/>
    </w:pPr>
  </w:style>
  <w:style w:type="character" w:styleId="IntenseEmphasis">
    <w:name w:val="Intense Emphasis"/>
    <w:basedOn w:val="DefaultParagraphFont"/>
    <w:uiPriority w:val="21"/>
    <w:qFormat/>
    <w:rsid w:val="00941479"/>
    <w:rPr>
      <w:i/>
      <w:iCs/>
      <w:color w:val="0F4761" w:themeColor="accent1" w:themeShade="BF"/>
    </w:rPr>
  </w:style>
  <w:style w:type="paragraph" w:styleId="IntenseQuote">
    <w:name w:val="Intense Quote"/>
    <w:basedOn w:val="Normal"/>
    <w:next w:val="Normal"/>
    <w:link w:val="IntenseQuoteChar"/>
    <w:uiPriority w:val="30"/>
    <w:qFormat/>
    <w:rsid w:val="009414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1479"/>
    <w:rPr>
      <w:i/>
      <w:iCs/>
      <w:color w:val="0F4761" w:themeColor="accent1" w:themeShade="BF"/>
    </w:rPr>
  </w:style>
  <w:style w:type="character" w:styleId="IntenseReference">
    <w:name w:val="Intense Reference"/>
    <w:basedOn w:val="DefaultParagraphFont"/>
    <w:uiPriority w:val="32"/>
    <w:qFormat/>
    <w:rsid w:val="00941479"/>
    <w:rPr>
      <w:b/>
      <w:bCs/>
      <w:smallCaps/>
      <w:color w:val="0F4761" w:themeColor="accent1" w:themeShade="BF"/>
      <w:spacing w:val="5"/>
    </w:rPr>
  </w:style>
  <w:style w:type="table" w:styleId="PlainTable2">
    <w:name w:val="Plain Table 2"/>
    <w:basedOn w:val="TableNormal"/>
    <w:uiPriority w:val="42"/>
    <w:rsid w:val="00816E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s-markdown-paragraph">
    <w:name w:val="ds-markdown-paragraph"/>
    <w:basedOn w:val="Normal"/>
    <w:rsid w:val="000514B7"/>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styleId="Strong">
    <w:name w:val="Strong"/>
    <w:basedOn w:val="DefaultParagraphFont"/>
    <w:uiPriority w:val="22"/>
    <w:qFormat/>
    <w:rsid w:val="000514B7"/>
    <w:rPr>
      <w:b/>
      <w:bCs/>
    </w:rPr>
  </w:style>
  <w:style w:type="table" w:styleId="GridTable1Light">
    <w:name w:val="Grid Table 1 Light"/>
    <w:basedOn w:val="TableNormal"/>
    <w:uiPriority w:val="46"/>
    <w:rsid w:val="00CE712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DA3C90"/>
  </w:style>
  <w:style w:type="paragraph" w:styleId="Bibliography">
    <w:name w:val="Bibliography"/>
    <w:basedOn w:val="Normal"/>
    <w:next w:val="Normal"/>
    <w:uiPriority w:val="37"/>
    <w:unhideWhenUsed/>
    <w:rsid w:val="001D6628"/>
    <w:pPr>
      <w:tabs>
        <w:tab w:val="left" w:pos="384"/>
      </w:tabs>
      <w:spacing w:after="240" w:line="240" w:lineRule="auto"/>
      <w:ind w:left="384" w:hanging="384"/>
    </w:pPr>
  </w:style>
  <w:style w:type="paragraph" w:styleId="Header">
    <w:name w:val="header"/>
    <w:basedOn w:val="Normal"/>
    <w:link w:val="HeaderChar"/>
    <w:uiPriority w:val="99"/>
    <w:unhideWhenUsed/>
    <w:rsid w:val="00001E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EC8"/>
  </w:style>
  <w:style w:type="paragraph" w:styleId="Footer">
    <w:name w:val="footer"/>
    <w:basedOn w:val="Normal"/>
    <w:link w:val="FooterChar"/>
    <w:uiPriority w:val="99"/>
    <w:unhideWhenUsed/>
    <w:rsid w:val="00001E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8424">
      <w:bodyDiv w:val="1"/>
      <w:marLeft w:val="0"/>
      <w:marRight w:val="0"/>
      <w:marTop w:val="0"/>
      <w:marBottom w:val="0"/>
      <w:divBdr>
        <w:top w:val="none" w:sz="0" w:space="0" w:color="auto"/>
        <w:left w:val="none" w:sz="0" w:space="0" w:color="auto"/>
        <w:bottom w:val="none" w:sz="0" w:space="0" w:color="auto"/>
        <w:right w:val="none" w:sz="0" w:space="0" w:color="auto"/>
      </w:divBdr>
      <w:divsChild>
        <w:div w:id="113405906">
          <w:marLeft w:val="0"/>
          <w:marRight w:val="0"/>
          <w:marTop w:val="0"/>
          <w:marBottom w:val="0"/>
          <w:divBdr>
            <w:top w:val="none" w:sz="0" w:space="0" w:color="auto"/>
            <w:left w:val="none" w:sz="0" w:space="0" w:color="auto"/>
            <w:bottom w:val="none" w:sz="0" w:space="0" w:color="auto"/>
            <w:right w:val="none" w:sz="0" w:space="0" w:color="auto"/>
          </w:divBdr>
        </w:div>
      </w:divsChild>
    </w:div>
    <w:div w:id="421604709">
      <w:bodyDiv w:val="1"/>
      <w:marLeft w:val="0"/>
      <w:marRight w:val="0"/>
      <w:marTop w:val="0"/>
      <w:marBottom w:val="0"/>
      <w:divBdr>
        <w:top w:val="none" w:sz="0" w:space="0" w:color="auto"/>
        <w:left w:val="none" w:sz="0" w:space="0" w:color="auto"/>
        <w:bottom w:val="none" w:sz="0" w:space="0" w:color="auto"/>
        <w:right w:val="none" w:sz="0" w:space="0" w:color="auto"/>
      </w:divBdr>
      <w:divsChild>
        <w:div w:id="1554736411">
          <w:marLeft w:val="0"/>
          <w:marRight w:val="0"/>
          <w:marTop w:val="0"/>
          <w:marBottom w:val="0"/>
          <w:divBdr>
            <w:top w:val="none" w:sz="0" w:space="0" w:color="auto"/>
            <w:left w:val="none" w:sz="0" w:space="0" w:color="auto"/>
            <w:bottom w:val="none" w:sz="0" w:space="0" w:color="auto"/>
            <w:right w:val="none" w:sz="0" w:space="0" w:color="auto"/>
          </w:divBdr>
        </w:div>
      </w:divsChild>
    </w:div>
    <w:div w:id="475992374">
      <w:bodyDiv w:val="1"/>
      <w:marLeft w:val="0"/>
      <w:marRight w:val="0"/>
      <w:marTop w:val="0"/>
      <w:marBottom w:val="0"/>
      <w:divBdr>
        <w:top w:val="none" w:sz="0" w:space="0" w:color="auto"/>
        <w:left w:val="none" w:sz="0" w:space="0" w:color="auto"/>
        <w:bottom w:val="none" w:sz="0" w:space="0" w:color="auto"/>
        <w:right w:val="none" w:sz="0" w:space="0" w:color="auto"/>
      </w:divBdr>
    </w:div>
    <w:div w:id="539057275">
      <w:bodyDiv w:val="1"/>
      <w:marLeft w:val="0"/>
      <w:marRight w:val="0"/>
      <w:marTop w:val="0"/>
      <w:marBottom w:val="0"/>
      <w:divBdr>
        <w:top w:val="none" w:sz="0" w:space="0" w:color="auto"/>
        <w:left w:val="none" w:sz="0" w:space="0" w:color="auto"/>
        <w:bottom w:val="none" w:sz="0" w:space="0" w:color="auto"/>
        <w:right w:val="none" w:sz="0" w:space="0" w:color="auto"/>
      </w:divBdr>
      <w:divsChild>
        <w:div w:id="1129982082">
          <w:marLeft w:val="0"/>
          <w:marRight w:val="0"/>
          <w:marTop w:val="0"/>
          <w:marBottom w:val="0"/>
          <w:divBdr>
            <w:top w:val="none" w:sz="0" w:space="0" w:color="auto"/>
            <w:left w:val="none" w:sz="0" w:space="0" w:color="auto"/>
            <w:bottom w:val="none" w:sz="0" w:space="0" w:color="auto"/>
            <w:right w:val="none" w:sz="0" w:space="0" w:color="auto"/>
          </w:divBdr>
        </w:div>
      </w:divsChild>
    </w:div>
    <w:div w:id="1412771992">
      <w:bodyDiv w:val="1"/>
      <w:marLeft w:val="0"/>
      <w:marRight w:val="0"/>
      <w:marTop w:val="0"/>
      <w:marBottom w:val="0"/>
      <w:divBdr>
        <w:top w:val="none" w:sz="0" w:space="0" w:color="auto"/>
        <w:left w:val="none" w:sz="0" w:space="0" w:color="auto"/>
        <w:bottom w:val="none" w:sz="0" w:space="0" w:color="auto"/>
        <w:right w:val="none" w:sz="0" w:space="0" w:color="auto"/>
      </w:divBdr>
    </w:div>
    <w:div w:id="1808620325">
      <w:bodyDiv w:val="1"/>
      <w:marLeft w:val="0"/>
      <w:marRight w:val="0"/>
      <w:marTop w:val="0"/>
      <w:marBottom w:val="0"/>
      <w:divBdr>
        <w:top w:val="none" w:sz="0" w:space="0" w:color="auto"/>
        <w:left w:val="none" w:sz="0" w:space="0" w:color="auto"/>
        <w:bottom w:val="none" w:sz="0" w:space="0" w:color="auto"/>
        <w:right w:val="none" w:sz="0" w:space="0" w:color="auto"/>
      </w:divBdr>
    </w:div>
    <w:div w:id="1810439830">
      <w:bodyDiv w:val="1"/>
      <w:marLeft w:val="0"/>
      <w:marRight w:val="0"/>
      <w:marTop w:val="0"/>
      <w:marBottom w:val="0"/>
      <w:divBdr>
        <w:top w:val="none" w:sz="0" w:space="0" w:color="auto"/>
        <w:left w:val="none" w:sz="0" w:space="0" w:color="auto"/>
        <w:bottom w:val="none" w:sz="0" w:space="0" w:color="auto"/>
        <w:right w:val="none" w:sz="0" w:space="0" w:color="auto"/>
      </w:divBdr>
    </w:div>
    <w:div w:id="213879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Maximum Score</c:v>
                </c:pt>
              </c:strCache>
            </c:strRef>
          </c:tx>
          <c:spPr>
            <a:solidFill>
              <a:schemeClr val="accent6"/>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Pedagogy</c:v>
                </c:pt>
                <c:pt idx="1">
                  <c:v>Infrastructure</c:v>
                </c:pt>
                <c:pt idx="2">
                  <c:v>Governance</c:v>
                </c:pt>
                <c:pt idx="3">
                  <c:v>Employment Tracking</c:v>
                </c:pt>
                <c:pt idx="4">
                  <c:v>Clinical Integration</c:v>
                </c:pt>
              </c:strCache>
            </c:strRef>
          </c:cat>
          <c:val>
            <c:numRef>
              <c:f>Sheet1!$B$2:$B$6</c:f>
              <c:numCache>
                <c:formatCode>General</c:formatCode>
                <c:ptCount val="5"/>
                <c:pt idx="0">
                  <c:v>25</c:v>
                </c:pt>
                <c:pt idx="1">
                  <c:v>20</c:v>
                </c:pt>
                <c:pt idx="2">
                  <c:v>15</c:v>
                </c:pt>
                <c:pt idx="3">
                  <c:v>24</c:v>
                </c:pt>
                <c:pt idx="4">
                  <c:v>10</c:v>
                </c:pt>
              </c:numCache>
            </c:numRef>
          </c:val>
          <c:extLst>
            <c:ext xmlns:c16="http://schemas.microsoft.com/office/drawing/2014/chart" uri="{C3380CC4-5D6E-409C-BE32-E72D297353CC}">
              <c16:uniqueId val="{00000000-E315-4252-BE17-632ABA7911C2}"/>
            </c:ext>
          </c:extLst>
        </c:ser>
        <c:ser>
          <c:idx val="1"/>
          <c:order val="1"/>
          <c:tx>
            <c:strRef>
              <c:f>Sheet1!$C$1</c:f>
              <c:strCache>
                <c:ptCount val="1"/>
                <c:pt idx="0">
                  <c:v>Achieved Score</c:v>
                </c:pt>
              </c:strCache>
            </c:strRef>
          </c:tx>
          <c:spPr>
            <a:solidFill>
              <a:schemeClr val="accent5"/>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Pedagogy</c:v>
                </c:pt>
                <c:pt idx="1">
                  <c:v>Infrastructure</c:v>
                </c:pt>
                <c:pt idx="2">
                  <c:v>Governance</c:v>
                </c:pt>
                <c:pt idx="3">
                  <c:v>Employment Tracking</c:v>
                </c:pt>
                <c:pt idx="4">
                  <c:v>Clinical Integration</c:v>
                </c:pt>
              </c:strCache>
            </c:strRef>
          </c:cat>
          <c:val>
            <c:numRef>
              <c:f>Sheet1!$C$2:$C$6</c:f>
              <c:numCache>
                <c:formatCode>General</c:formatCode>
                <c:ptCount val="5"/>
                <c:pt idx="0">
                  <c:v>23.4</c:v>
                </c:pt>
                <c:pt idx="1">
                  <c:v>18.7</c:v>
                </c:pt>
                <c:pt idx="2">
                  <c:v>14.2</c:v>
                </c:pt>
                <c:pt idx="3">
                  <c:v>17.5</c:v>
                </c:pt>
                <c:pt idx="4">
                  <c:v>9.1999999999999993</c:v>
                </c:pt>
              </c:numCache>
            </c:numRef>
          </c:val>
          <c:extLst>
            <c:ext xmlns:c16="http://schemas.microsoft.com/office/drawing/2014/chart" uri="{C3380CC4-5D6E-409C-BE32-E72D297353CC}">
              <c16:uniqueId val="{00000001-E315-4252-BE17-632ABA7911C2}"/>
            </c:ext>
          </c:extLst>
        </c:ser>
        <c:ser>
          <c:idx val="2"/>
          <c:order val="2"/>
          <c:tx>
            <c:strRef>
              <c:f>Sheet1!$D$1</c:f>
              <c:strCache>
                <c:ptCount val="1"/>
                <c:pt idx="0">
                  <c:v>Performance Gap</c:v>
                </c:pt>
              </c:strCache>
            </c:strRef>
          </c:tx>
          <c:spPr>
            <a:solidFill>
              <a:schemeClr val="accent4"/>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Pedagogy</c:v>
                </c:pt>
                <c:pt idx="1">
                  <c:v>Infrastructure</c:v>
                </c:pt>
                <c:pt idx="2">
                  <c:v>Governance</c:v>
                </c:pt>
                <c:pt idx="3">
                  <c:v>Employment Tracking</c:v>
                </c:pt>
                <c:pt idx="4">
                  <c:v>Clinical Integration</c:v>
                </c:pt>
              </c:strCache>
            </c:strRef>
          </c:cat>
          <c:val>
            <c:numRef>
              <c:f>Sheet1!$D$2:$D$6</c:f>
              <c:numCache>
                <c:formatCode>General</c:formatCode>
                <c:ptCount val="5"/>
                <c:pt idx="0">
                  <c:v>1.6000000000000014</c:v>
                </c:pt>
                <c:pt idx="1">
                  <c:v>1.3000000000000007</c:v>
                </c:pt>
                <c:pt idx="2">
                  <c:v>0.80000000000000071</c:v>
                </c:pt>
                <c:pt idx="3">
                  <c:v>6.5</c:v>
                </c:pt>
                <c:pt idx="4">
                  <c:v>0.80000000000000071</c:v>
                </c:pt>
              </c:numCache>
            </c:numRef>
          </c:val>
          <c:extLst>
            <c:ext xmlns:c16="http://schemas.microsoft.com/office/drawing/2014/chart" uri="{C3380CC4-5D6E-409C-BE32-E72D297353CC}">
              <c16:uniqueId val="{00000002-E315-4252-BE17-632ABA7911C2}"/>
            </c:ext>
          </c:extLst>
        </c:ser>
        <c:dLbls>
          <c:dLblPos val="outEnd"/>
          <c:showLegendKey val="0"/>
          <c:showVal val="1"/>
          <c:showCatName val="0"/>
          <c:showSerName val="0"/>
          <c:showPercent val="0"/>
          <c:showBubbleSize val="0"/>
        </c:dLbls>
        <c:gapWidth val="444"/>
        <c:overlap val="-90"/>
        <c:axId val="828582031"/>
        <c:axId val="828575791"/>
      </c:barChart>
      <c:catAx>
        <c:axId val="8285820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28575791"/>
        <c:crosses val="autoZero"/>
        <c:auto val="1"/>
        <c:lblAlgn val="ctr"/>
        <c:lblOffset val="100"/>
        <c:noMultiLvlLbl val="0"/>
      </c:catAx>
      <c:valAx>
        <c:axId val="828575791"/>
        <c:scaling>
          <c:orientation val="minMax"/>
        </c:scaling>
        <c:delete val="1"/>
        <c:axPos val="l"/>
        <c:numFmt formatCode="General" sourceLinked="1"/>
        <c:majorTickMark val="none"/>
        <c:minorTickMark val="none"/>
        <c:tickLblPos val="nextTo"/>
        <c:crossAx val="82858203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ABC24-E8CF-4197-94BD-B86F0554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11468</Words>
  <Characters>63075</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Abdoulaye Diawara</dc:creator>
  <cp:keywords/>
  <dc:description/>
  <cp:lastModifiedBy>Abdoulaye Diawara</cp:lastModifiedBy>
  <cp:revision>3</cp:revision>
  <dcterms:created xsi:type="dcterms:W3CDTF">2025-08-15T10:34:00Z</dcterms:created>
  <dcterms:modified xsi:type="dcterms:W3CDTF">2025-08-15T15:02:00Z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id="F7wHmKPZ"/&gt;&lt;style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y fmtid="{D5CDD505-2E9C-101B-9397-08002B2CF9AE}" pid="4" name="GrammarlyDocumentId">
    <vt:lpwstr>b3ceab30-c830-4896-bbba-e2e1de6707c6</vt:lpwstr>
  </property>
</Properties>
</file>