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30070" w14:textId="77777777" w:rsidR="003D548A" w:rsidRDefault="003D548A" w:rsidP="00D36869">
      <w:pPr>
        <w:rPr>
          <w:rFonts w:ascii="Times New Roman" w:hAnsi="Times New Roman" w:cs="Times New Roman"/>
        </w:rPr>
      </w:pPr>
    </w:p>
    <w:p w14:paraId="4C261A98" w14:textId="164A9782" w:rsidR="00D36869" w:rsidRPr="002057E4" w:rsidRDefault="0013689F" w:rsidP="0013689F">
      <w:pPr>
        <w:jc w:val="center"/>
        <w:rPr>
          <w:rFonts w:ascii="Times New Roman" w:hAnsi="Times New Roman" w:cs="Times New Roman"/>
          <w:b/>
          <w:bCs/>
          <w:sz w:val="28"/>
          <w:szCs w:val="32"/>
        </w:rPr>
      </w:pPr>
      <w:r w:rsidRPr="002057E4">
        <w:rPr>
          <w:rFonts w:ascii="Times New Roman" w:hAnsi="Times New Roman" w:cs="Times New Roman"/>
          <w:b/>
          <w:bCs/>
          <w:sz w:val="28"/>
          <w:szCs w:val="32"/>
        </w:rPr>
        <w:t xml:space="preserve">Crotalaria </w:t>
      </w:r>
      <w:proofErr w:type="spellStart"/>
      <w:r w:rsidRPr="002057E4">
        <w:rPr>
          <w:rFonts w:ascii="Times New Roman" w:hAnsi="Times New Roman" w:cs="Times New Roman"/>
          <w:b/>
          <w:bCs/>
          <w:sz w:val="28"/>
          <w:szCs w:val="32"/>
        </w:rPr>
        <w:t>multibracteata</w:t>
      </w:r>
      <w:proofErr w:type="spellEnd"/>
      <w:r w:rsidRPr="002057E4">
        <w:rPr>
          <w:rFonts w:ascii="Times New Roman" w:hAnsi="Times New Roman" w:cs="Times New Roman"/>
          <w:b/>
          <w:bCs/>
          <w:sz w:val="28"/>
          <w:szCs w:val="32"/>
        </w:rPr>
        <w:t xml:space="preserve"> in Sustainable Therapeutics: Integrating Tradition</w:t>
      </w:r>
      <w:r w:rsidR="00055174">
        <w:rPr>
          <w:rFonts w:ascii="Times New Roman" w:hAnsi="Times New Roman" w:cs="Times New Roman"/>
          <w:b/>
          <w:bCs/>
          <w:sz w:val="28"/>
          <w:szCs w:val="32"/>
        </w:rPr>
        <w:t>al Knowledge with Green Science</w:t>
      </w:r>
    </w:p>
    <w:p w14:paraId="65D8C231" w14:textId="77777777" w:rsidR="00D36869" w:rsidRDefault="00D36869" w:rsidP="00D36869">
      <w:pPr>
        <w:rPr>
          <w:rFonts w:ascii="Times New Roman" w:hAnsi="Times New Roman" w:cs="Times New Roman"/>
        </w:rPr>
      </w:pPr>
    </w:p>
    <w:p w14:paraId="17EBCAE5" w14:textId="77777777"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Abstract</w:t>
      </w:r>
    </w:p>
    <w:p w14:paraId="2E528F77" w14:textId="77777777" w:rsidR="001F5F3C" w:rsidRDefault="00942757" w:rsidP="0013689F">
      <w:pPr>
        <w:jc w:val="both"/>
        <w:rPr>
          <w:rFonts w:ascii="Times New Roman" w:hAnsi="Times New Roman" w:cs="Times New Roman"/>
        </w:rPr>
      </w:pPr>
      <w:r w:rsidRPr="00942757">
        <w:rPr>
          <w:rFonts w:ascii="Times New Roman" w:hAnsi="Times New Roman" w:cs="Times New Roman"/>
          <w:b/>
          <w:bCs/>
        </w:rPr>
        <w:t>Introduction:</w:t>
      </w:r>
      <w:r w:rsidRPr="00942757">
        <w:rPr>
          <w:rFonts w:ascii="Times New Roman" w:hAnsi="Times New Roman" w:cs="Times New Roman"/>
        </w:rPr>
        <w:br/>
        <w:t xml:space="preserve">Medicinal plants serve as a crucial reservoir for novel therapeutic agents, with </w:t>
      </w:r>
      <w:r w:rsidRPr="00942757">
        <w:rPr>
          <w:rFonts w:ascii="Times New Roman" w:hAnsi="Times New Roman" w:cs="Times New Roman"/>
          <w:i/>
          <w:iCs/>
        </w:rPr>
        <w:t xml:space="preserve">Crotalaria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xml:space="preserve"> emerging as a species of significant interest due to its traditional medicinal uses and bioactive potential within the </w:t>
      </w:r>
      <w:r w:rsidRPr="00942757">
        <w:rPr>
          <w:rFonts w:ascii="Times New Roman" w:hAnsi="Times New Roman" w:cs="Times New Roman"/>
          <w:i/>
          <w:iCs/>
        </w:rPr>
        <w:t>Crotalaria</w:t>
      </w:r>
      <w:r w:rsidRPr="00942757">
        <w:rPr>
          <w:rFonts w:ascii="Times New Roman" w:hAnsi="Times New Roman" w:cs="Times New Roman"/>
        </w:rPr>
        <w:t xml:space="preserve"> genus.</w:t>
      </w:r>
    </w:p>
    <w:p w14:paraId="07BA83EF" w14:textId="30568D3E" w:rsidR="00942757" w:rsidRPr="00942757" w:rsidRDefault="001F5F3C" w:rsidP="0013689F">
      <w:pPr>
        <w:jc w:val="both"/>
        <w:rPr>
          <w:rFonts w:ascii="Times New Roman" w:hAnsi="Times New Roman" w:cs="Times New Roman"/>
        </w:rPr>
      </w:pPr>
      <w:r w:rsidRPr="001F5F3C">
        <w:rPr>
          <w:rFonts w:ascii="Times New Roman" w:hAnsi="Times New Roman" w:cs="Times New Roman"/>
          <w:b/>
          <w:bCs/>
        </w:rPr>
        <w:t>Methods:</w:t>
      </w:r>
      <w:r w:rsidRPr="001F5F3C">
        <w:rPr>
          <w:rFonts w:ascii="Times New Roman" w:hAnsi="Times New Roman" w:cs="Times New Roman"/>
        </w:rPr>
        <w:br/>
        <w:t xml:space="preserve">This review compiles published data on </w:t>
      </w:r>
      <w:r w:rsidRPr="001F5F3C">
        <w:rPr>
          <w:rFonts w:ascii="Times New Roman" w:hAnsi="Times New Roman" w:cs="Times New Roman"/>
          <w:i/>
          <w:iCs/>
        </w:rPr>
        <w:t xml:space="preserve">C. </w:t>
      </w:r>
      <w:proofErr w:type="spellStart"/>
      <w:r w:rsidRPr="001F5F3C">
        <w:rPr>
          <w:rFonts w:ascii="Times New Roman" w:hAnsi="Times New Roman" w:cs="Times New Roman"/>
          <w:i/>
          <w:iCs/>
        </w:rPr>
        <w:t>multibracteata</w:t>
      </w:r>
      <w:proofErr w:type="spellEnd"/>
      <w:r w:rsidRPr="001F5F3C">
        <w:rPr>
          <w:rFonts w:ascii="Times New Roman" w:hAnsi="Times New Roman" w:cs="Times New Roman"/>
        </w:rPr>
        <w:t>, including its botanical traits, ethnomedicinal uses, phytochemistry, pharmacology, toxicity, and biotechnological potential. Literature was selected from databases such as PubMed, Scopus, Web of Science, and Google Scholar using relevant keywords. Only peer-reviewed, English-language studies were included. Extraction and isolation techniques like solvent extraction, chromatography, and spectroscopy are also summarized.</w:t>
      </w:r>
    </w:p>
    <w:p w14:paraId="19642BA3" w14:textId="7398B5B7"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Results:</w:t>
      </w:r>
      <w:r w:rsidRPr="00942757">
        <w:rPr>
          <w:rFonts w:ascii="Times New Roman" w:hAnsi="Times New Roman" w:cs="Times New Roman"/>
        </w:rPr>
        <w:br/>
        <w:t>Phytochemical investigations reveal diverse compounds, including flavonoids, alkaloids, terpenoids, and phenolics, which contribute to demonstrated antioxidant, anti-inflammatory, antimicrobial, and anticancer activities validated through in vitro and in vivo studies. However, toxicological data remain scarce, necessitating further investigation.</w:t>
      </w:r>
    </w:p>
    <w:p w14:paraId="32EACE74" w14:textId="1617F8DE"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Conclusion:</w:t>
      </w:r>
      <w:r w:rsidRPr="00942757">
        <w:rPr>
          <w:rFonts w:ascii="Times New Roman" w:hAnsi="Times New Roman" w:cs="Times New Roman"/>
        </w:rPr>
        <w:br/>
      </w:r>
      <w:r w:rsidRPr="00942757">
        <w:rPr>
          <w:rFonts w:ascii="Times New Roman" w:hAnsi="Times New Roman" w:cs="Times New Roman"/>
          <w:i/>
          <w:iCs/>
        </w:rPr>
        <w:t xml:space="preserve">Crotalaria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xml:space="preserve"> exhibits promising pharmacological properties and therapeutic potential, yet comprehensive studies on safety, mechanisms of action, and cultivation practices are required. Interdisciplinary research approaches will be vital to fully harness its medicinal value and translate traditional knowledge into clinical applications.</w:t>
      </w:r>
    </w:p>
    <w:p w14:paraId="74FF017E" w14:textId="77777777"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Keywords:</w:t>
      </w:r>
      <w:r w:rsidRPr="00942757">
        <w:rPr>
          <w:rFonts w:ascii="Times New Roman" w:hAnsi="Times New Roman" w:cs="Times New Roman"/>
        </w:rPr>
        <w:t xml:space="preserve"> Crotalaria </w:t>
      </w:r>
      <w:proofErr w:type="spellStart"/>
      <w:r w:rsidRPr="00942757">
        <w:rPr>
          <w:rFonts w:ascii="Times New Roman" w:hAnsi="Times New Roman" w:cs="Times New Roman"/>
        </w:rPr>
        <w:t>multibracteata</w:t>
      </w:r>
      <w:proofErr w:type="spellEnd"/>
      <w:r w:rsidRPr="00942757">
        <w:rPr>
          <w:rFonts w:ascii="Times New Roman" w:hAnsi="Times New Roman" w:cs="Times New Roman"/>
        </w:rPr>
        <w:t>, medicinal plants, phytochemicals, pharmacology, toxicology, ethnomedicine.</w:t>
      </w:r>
    </w:p>
    <w:p w14:paraId="2EE07098" w14:textId="77777777" w:rsidR="00D36869" w:rsidRDefault="00D36869" w:rsidP="00D36869">
      <w:pPr>
        <w:rPr>
          <w:rFonts w:ascii="Times New Roman" w:hAnsi="Times New Roman" w:cs="Times New Roman"/>
        </w:rPr>
      </w:pPr>
    </w:p>
    <w:p w14:paraId="4FDA54A0" w14:textId="77777777" w:rsidR="00D36869" w:rsidRDefault="00D36869" w:rsidP="00D36869">
      <w:pPr>
        <w:rPr>
          <w:rFonts w:ascii="Times New Roman" w:hAnsi="Times New Roman" w:cs="Times New Roman"/>
        </w:rPr>
      </w:pPr>
    </w:p>
    <w:p w14:paraId="7B7D059C" w14:textId="77777777" w:rsidR="00D36869" w:rsidRDefault="00D36869" w:rsidP="00D36869">
      <w:pPr>
        <w:rPr>
          <w:rFonts w:ascii="Times New Roman" w:hAnsi="Times New Roman" w:cs="Times New Roman"/>
        </w:rPr>
      </w:pPr>
    </w:p>
    <w:p w14:paraId="767A2FA6" w14:textId="77777777" w:rsidR="002057E4" w:rsidRDefault="002057E4" w:rsidP="00D36869">
      <w:pPr>
        <w:rPr>
          <w:rFonts w:ascii="Times New Roman" w:hAnsi="Times New Roman" w:cs="Times New Roman"/>
        </w:rPr>
      </w:pPr>
    </w:p>
    <w:p w14:paraId="26D95052" w14:textId="77777777" w:rsidR="00D36869" w:rsidRDefault="00D36869" w:rsidP="00D36869">
      <w:pPr>
        <w:rPr>
          <w:rFonts w:ascii="Times New Roman" w:hAnsi="Times New Roman" w:cs="Times New Roman"/>
        </w:rPr>
      </w:pPr>
    </w:p>
    <w:p w14:paraId="6E2B276E" w14:textId="77777777" w:rsidR="00D36869" w:rsidRPr="00D36869" w:rsidRDefault="00D36869" w:rsidP="00D36869">
      <w:pPr>
        <w:rPr>
          <w:rFonts w:ascii="Times New Roman" w:hAnsi="Times New Roman" w:cs="Times New Roman"/>
          <w:b/>
          <w:bCs/>
        </w:rPr>
      </w:pPr>
      <w:r w:rsidRPr="00D36869">
        <w:rPr>
          <w:rFonts w:ascii="Times New Roman" w:hAnsi="Times New Roman" w:cs="Times New Roman"/>
          <w:b/>
          <w:bCs/>
        </w:rPr>
        <w:lastRenderedPageBreak/>
        <w:t>Introduction</w:t>
      </w:r>
    </w:p>
    <w:p w14:paraId="08948D04"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t>Medicinal plants have played a vital role in the prevention and treatment of various ailments for centuries and continue to be an integral part of traditional and modern healthcare systems. According to the World Health Organization (WHO), more than 80% of the global population relies on plant-based medicines for primary healthcare needs, particularly in developing countries [1]. The increasing resistance to synthetic drugs, along with adverse side effects and high treatment costs, has intensified interest in natural product-based therapeutics.</w:t>
      </w:r>
    </w:p>
    <w:p w14:paraId="45F29537"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The genus </w:t>
      </w:r>
      <w:r w:rsidRPr="00D36869">
        <w:rPr>
          <w:rFonts w:ascii="Times New Roman" w:hAnsi="Times New Roman" w:cs="Times New Roman"/>
          <w:i/>
          <w:iCs/>
        </w:rPr>
        <w:t>Crotalaria</w:t>
      </w:r>
      <w:r w:rsidRPr="00D36869">
        <w:rPr>
          <w:rFonts w:ascii="Times New Roman" w:hAnsi="Times New Roman" w:cs="Times New Roman"/>
        </w:rPr>
        <w:t xml:space="preserve">, belonging to the family Fabaceae, comprises over 600 species globally, many of which are distributed in tropical and subtropical regions of Asia, Africa, and South America [2]. Species of </w:t>
      </w:r>
      <w:r w:rsidRPr="00D36869">
        <w:rPr>
          <w:rFonts w:ascii="Times New Roman" w:hAnsi="Times New Roman" w:cs="Times New Roman"/>
          <w:i/>
          <w:iCs/>
        </w:rPr>
        <w:t>Crotalaria</w:t>
      </w:r>
      <w:r w:rsidRPr="00D36869">
        <w:rPr>
          <w:rFonts w:ascii="Times New Roman" w:hAnsi="Times New Roman" w:cs="Times New Roman"/>
        </w:rPr>
        <w:t xml:space="preserve"> are known for their rich phytochemical profiles, particularly in flavonoids, alkaloids (including pyrrolizidine alkaloids), terpenoids, and phenolics [3]. Several members of this genus, such as </w:t>
      </w:r>
      <w:r w:rsidRPr="00D36869">
        <w:rPr>
          <w:rFonts w:ascii="Times New Roman" w:hAnsi="Times New Roman" w:cs="Times New Roman"/>
          <w:i/>
          <w:iCs/>
        </w:rPr>
        <w:t>Crotalaria juncea</w:t>
      </w:r>
      <w:r w:rsidRPr="00D36869">
        <w:rPr>
          <w:rFonts w:ascii="Times New Roman" w:hAnsi="Times New Roman" w:cs="Times New Roman"/>
        </w:rPr>
        <w:t xml:space="preserve"> and </w:t>
      </w:r>
      <w:r w:rsidRPr="00D36869">
        <w:rPr>
          <w:rFonts w:ascii="Times New Roman" w:hAnsi="Times New Roman" w:cs="Times New Roman"/>
          <w:i/>
          <w:iCs/>
        </w:rPr>
        <w:t>Crotalaria retusa</w:t>
      </w:r>
      <w:r w:rsidRPr="00D36869">
        <w:rPr>
          <w:rFonts w:ascii="Times New Roman" w:hAnsi="Times New Roman" w:cs="Times New Roman"/>
        </w:rPr>
        <w:t>, have been extensively studied for their pharmacological activities including anti-inflammatory, antioxidant, antimicrobial, and anticancer properties [4,5].</w:t>
      </w:r>
    </w:p>
    <w:p w14:paraId="065332C1"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Despite the diversity of this genus, </w:t>
      </w:r>
      <w:r w:rsidRPr="00D36869">
        <w:rPr>
          <w:rFonts w:ascii="Times New Roman" w:hAnsi="Times New Roman" w:cs="Times New Roman"/>
          <w:i/>
          <w:iCs/>
        </w:rPr>
        <w:t xml:space="preserve">Crotalaria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remains relatively underexplored. Endemic to specific regions in India, it has been traditionally used by local communities for treating skin disorders, wounds, and inflammation [6]. However, systematic documentation and scientific validation of its phytochemical constituents and pharmacological potential are still lacking.</w:t>
      </w:r>
    </w:p>
    <w:p w14:paraId="4DB889B7" w14:textId="2F893E09" w:rsidR="00D36869" w:rsidRDefault="00D36869" w:rsidP="00D36869">
      <w:pPr>
        <w:jc w:val="both"/>
        <w:rPr>
          <w:rFonts w:ascii="Times New Roman" w:hAnsi="Times New Roman" w:cs="Times New Roman"/>
        </w:rPr>
      </w:pPr>
      <w:r w:rsidRPr="00D36869">
        <w:rPr>
          <w:rFonts w:ascii="Times New Roman" w:hAnsi="Times New Roman" w:cs="Times New Roman"/>
        </w:rPr>
        <w:t xml:space="preserve">The primary objective of this review is to provide a comprehensive overview of </w:t>
      </w:r>
      <w:r w:rsidRPr="00D36869">
        <w:rPr>
          <w:rFonts w:ascii="Times New Roman" w:hAnsi="Times New Roman" w:cs="Times New Roman"/>
          <w:i/>
          <w:iCs/>
        </w:rPr>
        <w:t xml:space="preserve">Crotalaria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including its botanical characteristics, ethnomedicinal uses, phytochemistry, pharmacological activities, toxicological concerns, and future research prospects. By compiling and analyzing available data, this review aims to highlight the untapped potential of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as a source of novel bioactive compounds for therapeutic applications.</w:t>
      </w:r>
    </w:p>
    <w:p w14:paraId="6A967B29" w14:textId="77777777" w:rsidR="00D36869" w:rsidRPr="00D36869" w:rsidRDefault="00D36869" w:rsidP="00D36869">
      <w:pPr>
        <w:rPr>
          <w:rFonts w:ascii="Times New Roman" w:hAnsi="Times New Roman" w:cs="Times New Roman"/>
          <w:b/>
          <w:bCs/>
        </w:rPr>
      </w:pPr>
      <w:r w:rsidRPr="00D36869">
        <w:rPr>
          <w:rFonts w:ascii="Times New Roman" w:hAnsi="Times New Roman" w:cs="Times New Roman"/>
          <w:b/>
          <w:bCs/>
        </w:rPr>
        <w:t>Botanical Description, Ethnomedicinal Uses, Cultivation, and Availability</w:t>
      </w:r>
    </w:p>
    <w:p w14:paraId="29FFD5E6" w14:textId="7DD7ACF6"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The species is generally found growing in wild or semi-wild conditions, along forest margins, fallow fields, and roadsides, indicating its ecological adaptability to disturbed habitats and poor soils. Morphologically,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presents as a small herbaceous plant or undershrub with simple, alternate, and narrowly oblong to ovate-lanceolate leaves. Its most distinguishing feature is the presence of numerous bracts associated with the inflorescence, which is the origin of the epithet “</w:t>
      </w:r>
      <w:proofErr w:type="spellStart"/>
      <w:r w:rsidRPr="00D36869">
        <w:rPr>
          <w:rFonts w:ascii="Times New Roman" w:hAnsi="Times New Roman" w:cs="Times New Roman"/>
        </w:rPr>
        <w:t>multibracteata</w:t>
      </w:r>
      <w:proofErr w:type="spellEnd"/>
      <w:r w:rsidRPr="00D36869">
        <w:rPr>
          <w:rFonts w:ascii="Times New Roman" w:hAnsi="Times New Roman" w:cs="Times New Roman"/>
        </w:rPr>
        <w:t>” [7,8].</w:t>
      </w:r>
    </w:p>
    <w:p w14:paraId="56BD91A6" w14:textId="3FBC03A6"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The plant produces bright yellow, papilionaceous flowers arranged in axillary racemes, consistent with the floral morphology typical of the </w:t>
      </w:r>
      <w:r w:rsidRPr="00D36869">
        <w:rPr>
          <w:rFonts w:ascii="Times New Roman" w:hAnsi="Times New Roman" w:cs="Times New Roman"/>
          <w:i/>
          <w:iCs/>
        </w:rPr>
        <w:t>Crotalaria</w:t>
      </w:r>
      <w:r w:rsidRPr="00D36869">
        <w:rPr>
          <w:rFonts w:ascii="Times New Roman" w:hAnsi="Times New Roman" w:cs="Times New Roman"/>
        </w:rPr>
        <w:t xml:space="preserve"> genus. The fruit is an inflated, many-seeded pod that produces a characteristic rattling sound when shaken due to loose seeds inside</w:t>
      </w:r>
      <w:r>
        <w:rPr>
          <w:rFonts w:ascii="Times New Roman" w:hAnsi="Times New Roman" w:cs="Times New Roman"/>
        </w:rPr>
        <w:t xml:space="preserve"> </w:t>
      </w:r>
      <w:r w:rsidRPr="00D36869">
        <w:rPr>
          <w:rFonts w:ascii="Times New Roman" w:hAnsi="Times New Roman" w:cs="Times New Roman"/>
        </w:rPr>
        <w:t xml:space="preserve">a trait from which the genus name </w:t>
      </w:r>
      <w:r w:rsidRPr="00D36869">
        <w:rPr>
          <w:rFonts w:ascii="Times New Roman" w:hAnsi="Times New Roman" w:cs="Times New Roman"/>
          <w:i/>
          <w:iCs/>
        </w:rPr>
        <w:t>Crotalaria</w:t>
      </w:r>
      <w:r w:rsidRPr="00D36869">
        <w:rPr>
          <w:rFonts w:ascii="Times New Roman" w:hAnsi="Times New Roman" w:cs="Times New Roman"/>
        </w:rPr>
        <w:t xml:space="preserve"> is derived (Greek </w:t>
      </w:r>
      <w:proofErr w:type="spellStart"/>
      <w:r w:rsidRPr="00D36869">
        <w:rPr>
          <w:rFonts w:ascii="Times New Roman" w:hAnsi="Times New Roman" w:cs="Times New Roman"/>
          <w:i/>
          <w:iCs/>
        </w:rPr>
        <w:t>krotalon</w:t>
      </w:r>
      <w:proofErr w:type="spellEnd"/>
      <w:r w:rsidRPr="00D36869">
        <w:rPr>
          <w:rFonts w:ascii="Times New Roman" w:hAnsi="Times New Roman" w:cs="Times New Roman"/>
        </w:rPr>
        <w:t xml:space="preserve">, meaning "rattle"). It possesses a well-developed taproot system, often </w:t>
      </w:r>
      <w:proofErr w:type="spellStart"/>
      <w:r w:rsidRPr="00D36869">
        <w:rPr>
          <w:rFonts w:ascii="Times New Roman" w:hAnsi="Times New Roman" w:cs="Times New Roman"/>
        </w:rPr>
        <w:t>nodulated</w:t>
      </w:r>
      <w:proofErr w:type="spellEnd"/>
      <w:r w:rsidRPr="00D36869">
        <w:rPr>
          <w:rFonts w:ascii="Times New Roman" w:hAnsi="Times New Roman" w:cs="Times New Roman"/>
        </w:rPr>
        <w:t>, facilitating nitrogen fixation—a common trait in Fabaceae [8].</w:t>
      </w:r>
    </w:p>
    <w:p w14:paraId="418976E1"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lastRenderedPageBreak/>
        <w:t xml:space="preserve">In traditional ethnomedicine,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has been utilized by local and tribal communities for the treatment of various ailments. Leaves of the plant are often crushed into a paste and applied externally to treat skin infections, itching, wounds, and eczema. Decoctions made from the aerial parts are consumed orally for managing fever and inflammation. Some local healers also report its use in treating ulcers and snake bites, although these claims remain largely anecdotal and unverified by scientific studies [9,10].</w:t>
      </w:r>
    </w:p>
    <w:p w14:paraId="25AE7BD5" w14:textId="31D168E8"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Despite the significant traditional relevance,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has not yet been brought into mainstream medicinal plant cultivation. It is primarily collected from the wild, and no large-scale or organized farming systems have been established for its propagation. However, the plant's agronomic traits suggest potential for cultivation. It thrives in semi-arid to dry tropical climates and prefers well-drained sandy or loamy soils with a slightly acidic to neutral </w:t>
      </w:r>
      <w:proofErr w:type="spellStart"/>
      <w:r w:rsidRPr="00D36869">
        <w:rPr>
          <w:rFonts w:ascii="Times New Roman" w:hAnsi="Times New Roman" w:cs="Times New Roman"/>
        </w:rPr>
        <w:t>pH.</w:t>
      </w:r>
      <w:proofErr w:type="spellEnd"/>
      <w:r w:rsidRPr="00D36869">
        <w:rPr>
          <w:rFonts w:ascii="Times New Roman" w:hAnsi="Times New Roman" w:cs="Times New Roman"/>
        </w:rPr>
        <w:t xml:space="preserve"> Propagation is typically through seeds, which germinate within one to two weeks under warm and moist conditions. The plant follows an annual life cycle, with flowering commencing within two months of germination and continuing for several weeks. This quick growth cycle could be advantageous for short-duration herbal cropping systems [11].</w:t>
      </w:r>
    </w:p>
    <w:p w14:paraId="5F3AB6F6"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Given its ability to fix atmospheric nitrogen,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may serve as a beneficial cover crop or intercropping species, contributing to soil fertility. However, there is a lack of agronomic trials and propagation studies specifically targeting this species. Currently, the availability of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is limited to local environments where it grows naturally, particularly in tribal regions of southern India. It is not commonly available in commercial nurseries or herbal markets, which restricts its accessibility for research, conservation, and pharmacological use. The absence of standardized cultivation practices and the risk of overharvesting from natural habitats raise concerns about the plant’s long-term sustainability [12].</w:t>
      </w:r>
    </w:p>
    <w:p w14:paraId="6A89F1E7"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Conservation assessments indicate a need for seed banking, nursery development, and awareness campaigns aimed at promoting its sustainable use. Given its therapeutic promise and ecological resilience, the development of cultivation protocols and inclusion in community herbal farming programs could help in preserving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while unlocking its full medicinal potential [13].</w:t>
      </w:r>
    </w:p>
    <w:p w14:paraId="4DAF3AFB" w14:textId="77777777" w:rsidR="00AD699D" w:rsidRPr="00AD699D" w:rsidRDefault="00AD699D" w:rsidP="00AD699D">
      <w:pPr>
        <w:rPr>
          <w:rFonts w:ascii="Times New Roman" w:hAnsi="Times New Roman" w:cs="Times New Roman"/>
          <w:b/>
          <w:bCs/>
        </w:rPr>
      </w:pPr>
      <w:r w:rsidRPr="00AD699D">
        <w:rPr>
          <w:rFonts w:ascii="Times New Roman" w:hAnsi="Times New Roman" w:cs="Times New Roman"/>
          <w:b/>
          <w:bCs/>
        </w:rPr>
        <w:t>Native Habitats and Geographical Spread</w:t>
      </w:r>
    </w:p>
    <w:p w14:paraId="56768C18"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i/>
          <w:iCs/>
        </w:rPr>
        <w:t xml:space="preserve">Crotalaria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is a plant species endemic to the Indian subcontinent, with its distribution primarily confined to the southern peninsular region. It has been reported from parts of Tamil Nadu, Karnataka, Kerala, and to a lesser extent, Andhra Pradesh and Telangana, where it grows naturally in dry deciduous forests, scrublands, and grassy slopes [14]. Its growth is often observed along the margins of agricultural fields, roadsides, and disturbed habitats, indicating its adaptability to semi-wild and anthropogenically influenced environments.</w:t>
      </w:r>
    </w:p>
    <w:p w14:paraId="1CE9578D"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The species thrives in warm, subtropical to tropical climates, and it typically prefers well-drained sandy or loamy soils with moderate fertility. It is found at altitudes ranging from 300 to 1200 </w:t>
      </w:r>
      <w:r w:rsidRPr="00AD699D">
        <w:rPr>
          <w:rFonts w:ascii="Times New Roman" w:hAnsi="Times New Roman" w:cs="Times New Roman"/>
        </w:rPr>
        <w:lastRenderedPageBreak/>
        <w:t>meters above sea level, though local environmental conditions largely influence its abundance and morphology. It is especially prevalent in Deccan Plateau regions and Eastern Ghats, which provide suitable microclimatic conditions for its growth, including moderate rainfall and seasonal drought [15].</w:t>
      </w:r>
    </w:p>
    <w:p w14:paraId="3ED0861A"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Despite being largely overlooked in major floristic surveys due to its similarity with other </w:t>
      </w:r>
      <w:r w:rsidRPr="00AD699D">
        <w:rPr>
          <w:rFonts w:ascii="Times New Roman" w:hAnsi="Times New Roman" w:cs="Times New Roman"/>
          <w:i/>
          <w:iCs/>
        </w:rPr>
        <w:t>Crotalaria</w:t>
      </w:r>
      <w:r w:rsidRPr="00AD699D">
        <w:rPr>
          <w:rFonts w:ascii="Times New Roman" w:hAnsi="Times New Roman" w:cs="Times New Roman"/>
        </w:rPr>
        <w:t xml:space="preserve"> species, </w:t>
      </w:r>
      <w:r w:rsidRPr="00AD699D">
        <w:rPr>
          <w:rFonts w:ascii="Times New Roman" w:hAnsi="Times New Roman" w:cs="Times New Roman"/>
          <w:i/>
          <w:iCs/>
        </w:rPr>
        <w:t xml:space="preserve">C.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has been documented in several herbarium records and regional ethnobotanical reports. In Tamil Nadu, its occurrence is noted in districts such as Dharmapuri, Salem, and Erode, while in Karnataka, it is found in the dry plains and hill slopes of </w:t>
      </w:r>
      <w:proofErr w:type="spellStart"/>
      <w:r w:rsidRPr="00AD699D">
        <w:rPr>
          <w:rFonts w:ascii="Times New Roman" w:hAnsi="Times New Roman" w:cs="Times New Roman"/>
        </w:rPr>
        <w:t>Chitradurga</w:t>
      </w:r>
      <w:proofErr w:type="spellEnd"/>
      <w:r w:rsidRPr="00AD699D">
        <w:rPr>
          <w:rFonts w:ascii="Times New Roman" w:hAnsi="Times New Roman" w:cs="Times New Roman"/>
        </w:rPr>
        <w:t xml:space="preserve">, Bellary, and </w:t>
      </w:r>
      <w:proofErr w:type="spellStart"/>
      <w:r w:rsidRPr="00AD699D">
        <w:rPr>
          <w:rFonts w:ascii="Times New Roman" w:hAnsi="Times New Roman" w:cs="Times New Roman"/>
        </w:rPr>
        <w:t>Tumkur</w:t>
      </w:r>
      <w:proofErr w:type="spellEnd"/>
      <w:r w:rsidRPr="00AD699D">
        <w:rPr>
          <w:rFonts w:ascii="Times New Roman" w:hAnsi="Times New Roman" w:cs="Times New Roman"/>
        </w:rPr>
        <w:t xml:space="preserve"> regions [16].</w:t>
      </w:r>
    </w:p>
    <w:p w14:paraId="60B57107"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Currently, the species is considered to be of least concern in terms of conservation status, primarily because of its wide adaptability and occurrence in various ecological niches. However, habitat fragmentation, unregulated grazing, and seasonal bush fires in semi-arid zones may pose localized threats. Furthermore, the lack of awareness regarding its medicinal potential and underrepresentation in </w:t>
      </w:r>
      <w:proofErr w:type="spellStart"/>
      <w:r w:rsidRPr="00AD699D">
        <w:rPr>
          <w:rFonts w:ascii="Times New Roman" w:hAnsi="Times New Roman" w:cs="Times New Roman"/>
        </w:rPr>
        <w:t>pharmacognostic</w:t>
      </w:r>
      <w:proofErr w:type="spellEnd"/>
      <w:r w:rsidRPr="00AD699D">
        <w:rPr>
          <w:rFonts w:ascii="Times New Roman" w:hAnsi="Times New Roman" w:cs="Times New Roman"/>
        </w:rPr>
        <w:t xml:space="preserve"> literature suggest a need for more comprehensive regional surveys and habitat-specific ecological assessments [17].</w:t>
      </w:r>
    </w:p>
    <w:p w14:paraId="5CBBC67F" w14:textId="3071904A" w:rsidR="00D36869" w:rsidRDefault="00AD699D" w:rsidP="00AD699D">
      <w:pPr>
        <w:jc w:val="both"/>
        <w:rPr>
          <w:rFonts w:ascii="Times New Roman" w:hAnsi="Times New Roman" w:cs="Times New Roman"/>
        </w:rPr>
      </w:pPr>
      <w:r w:rsidRPr="00AD699D">
        <w:rPr>
          <w:rFonts w:ascii="Times New Roman" w:hAnsi="Times New Roman" w:cs="Times New Roman"/>
        </w:rPr>
        <w:t xml:space="preserve">Efforts to map the distribution of </w:t>
      </w:r>
      <w:r w:rsidRPr="00AD699D">
        <w:rPr>
          <w:rFonts w:ascii="Times New Roman" w:hAnsi="Times New Roman" w:cs="Times New Roman"/>
          <w:i/>
          <w:iCs/>
        </w:rPr>
        <w:t xml:space="preserve">C.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using geospatial tools and digitized herbarium records are still limited, making it a priority for future ethnobotanical and conservation research. Integrating botanical field surveys with local traditional knowledge systems could significantly aid in understanding its biogeography and ecological preferences.</w:t>
      </w:r>
    </w:p>
    <w:p w14:paraId="589EDB92" w14:textId="77777777" w:rsidR="00AD699D" w:rsidRPr="00AD699D" w:rsidRDefault="00AD699D" w:rsidP="00AD699D">
      <w:pPr>
        <w:rPr>
          <w:rFonts w:ascii="Times New Roman" w:hAnsi="Times New Roman" w:cs="Times New Roman"/>
          <w:b/>
          <w:bCs/>
        </w:rPr>
      </w:pPr>
      <w:r w:rsidRPr="00AD699D">
        <w:rPr>
          <w:rFonts w:ascii="Times New Roman" w:hAnsi="Times New Roman" w:cs="Times New Roman"/>
          <w:b/>
          <w:bCs/>
        </w:rPr>
        <w:t>Ethnobotanical and Traditional Uses</w:t>
      </w:r>
    </w:p>
    <w:p w14:paraId="615A6094"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i/>
          <w:iCs/>
        </w:rPr>
        <w:t xml:space="preserve">Crotalaria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has a long-standing presence in traditional and folk medicine practices, particularly among tribal communities in southern India. Its therapeutic applications have been shaped by indigenous knowledge systems passed down through generations, where local healers recognize its potential for treating a variety of ailments, particularly those related to the skin, inflammation, and wounds.</w:t>
      </w:r>
    </w:p>
    <w:p w14:paraId="63380739"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Historically, this plant has been used in tribal medicine systems by communities residing in the Eastern and Western Ghats. Ethnobotanical surveys conducted in Tamil Nadu, Andhra Pradesh, and parts of Karnataka document the use of leaf pastes and decoctions in treating eczema, wounds, skin infections, and itching disorders [18]. The leaves are usually crushed fresh and applied topically to affected areas, or in some instances, boiled and used as a wash for infected skin. The antiseptic and anti-inflammatory properties are commonly cited by traditional healers.</w:t>
      </w:r>
    </w:p>
    <w:p w14:paraId="777A0067"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In tribal practices, the plant has also been used as a febrifuge (to reduce fever), and decoctions made from aerial parts are ingested to alleviate body aches, internal ulcers, and digestive disturbances [19]. Certain ethnic groups have even used the plant in the treatment of snake bites, although such uses remain anecdotal and are not yet scientifically validated [20].</w:t>
      </w:r>
    </w:p>
    <w:p w14:paraId="1E6E626F" w14:textId="4C4BD68D" w:rsidR="00AD699D" w:rsidRPr="00AD699D" w:rsidRDefault="00AD699D" w:rsidP="00AD699D">
      <w:pPr>
        <w:jc w:val="both"/>
        <w:rPr>
          <w:rFonts w:ascii="Times New Roman" w:hAnsi="Times New Roman" w:cs="Times New Roman"/>
        </w:rPr>
      </w:pPr>
      <w:r w:rsidRPr="00AD699D">
        <w:rPr>
          <w:rFonts w:ascii="Times New Roman" w:hAnsi="Times New Roman" w:cs="Times New Roman"/>
        </w:rPr>
        <w:lastRenderedPageBreak/>
        <w:t xml:space="preserve">Unlike more commonly cited </w:t>
      </w:r>
      <w:r w:rsidRPr="00AD699D">
        <w:rPr>
          <w:rFonts w:ascii="Times New Roman" w:hAnsi="Times New Roman" w:cs="Times New Roman"/>
          <w:i/>
          <w:iCs/>
        </w:rPr>
        <w:t>Crotalaria</w:t>
      </w:r>
      <w:r w:rsidRPr="00AD699D">
        <w:rPr>
          <w:rFonts w:ascii="Times New Roman" w:hAnsi="Times New Roman" w:cs="Times New Roman"/>
        </w:rPr>
        <w:t xml:space="preserve"> species such as </w:t>
      </w:r>
      <w:r w:rsidRPr="00AD699D">
        <w:rPr>
          <w:rFonts w:ascii="Times New Roman" w:hAnsi="Times New Roman" w:cs="Times New Roman"/>
          <w:i/>
          <w:iCs/>
        </w:rPr>
        <w:t>C. juncea</w:t>
      </w:r>
      <w:r w:rsidRPr="00AD699D">
        <w:rPr>
          <w:rFonts w:ascii="Times New Roman" w:hAnsi="Times New Roman" w:cs="Times New Roman"/>
        </w:rPr>
        <w:t xml:space="preserve"> or </w:t>
      </w:r>
      <w:r w:rsidRPr="00AD699D">
        <w:rPr>
          <w:rFonts w:ascii="Times New Roman" w:hAnsi="Times New Roman" w:cs="Times New Roman"/>
          <w:i/>
          <w:iCs/>
        </w:rPr>
        <w:t>C. retusa</w:t>
      </w:r>
      <w:r w:rsidRPr="00AD699D">
        <w:rPr>
          <w:rFonts w:ascii="Times New Roman" w:hAnsi="Times New Roman" w:cs="Times New Roman"/>
        </w:rPr>
        <w:t xml:space="preserve">, </w:t>
      </w:r>
      <w:r w:rsidRPr="00AD699D">
        <w:rPr>
          <w:rFonts w:ascii="Times New Roman" w:hAnsi="Times New Roman" w:cs="Times New Roman"/>
          <w:i/>
          <w:iCs/>
        </w:rPr>
        <w:t xml:space="preserve">C.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is not widely referenced in classical Ayurvedic texts, likely due to its limited geographic distribution and the specificity of its traditional use. However, the pharmacological actions ascribed to it by tribal healers</w:t>
      </w:r>
      <w:r>
        <w:rPr>
          <w:rFonts w:ascii="Times New Roman" w:hAnsi="Times New Roman" w:cs="Times New Roman"/>
        </w:rPr>
        <w:t xml:space="preserve"> </w:t>
      </w:r>
      <w:r w:rsidRPr="00AD699D">
        <w:rPr>
          <w:rFonts w:ascii="Times New Roman" w:hAnsi="Times New Roman" w:cs="Times New Roman"/>
        </w:rPr>
        <w:t>wound healing, detoxification, and pain relief</w:t>
      </w:r>
      <w:r>
        <w:rPr>
          <w:rFonts w:ascii="Times New Roman" w:hAnsi="Times New Roman" w:cs="Times New Roman"/>
        </w:rPr>
        <w:t xml:space="preserve"> </w:t>
      </w:r>
      <w:r w:rsidRPr="00AD699D">
        <w:rPr>
          <w:rFonts w:ascii="Times New Roman" w:hAnsi="Times New Roman" w:cs="Times New Roman"/>
        </w:rPr>
        <w:t>closely mirror Ayurvedic principles, suggesting potential for integration into formal herbal pharmacopoeias pending further phytochemical and clinical validation.</w:t>
      </w:r>
    </w:p>
    <w:p w14:paraId="0BC30F46"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In many rural villages, the plant also plays a cultural role, often used in local rituals for cleansing wounds or during postpartum care for women. The easy availability of the plant in dryland fields and forest margins has made it a low-cost and accessible remedy, especially in areas where modern healthcare infrastructure is lacking.</w:t>
      </w:r>
    </w:p>
    <w:p w14:paraId="552DA6D4"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Despite this ethnobotanical importance, scientific literature remains scarce, and systematic </w:t>
      </w:r>
      <w:proofErr w:type="spellStart"/>
      <w:r w:rsidRPr="00AD699D">
        <w:rPr>
          <w:rFonts w:ascii="Times New Roman" w:hAnsi="Times New Roman" w:cs="Times New Roman"/>
        </w:rPr>
        <w:t>pharmacognostic</w:t>
      </w:r>
      <w:proofErr w:type="spellEnd"/>
      <w:r w:rsidRPr="00AD699D">
        <w:rPr>
          <w:rFonts w:ascii="Times New Roman" w:hAnsi="Times New Roman" w:cs="Times New Roman"/>
        </w:rPr>
        <w:t xml:space="preserve"> documentation of </w:t>
      </w:r>
      <w:r w:rsidRPr="00AD699D">
        <w:rPr>
          <w:rFonts w:ascii="Times New Roman" w:hAnsi="Times New Roman" w:cs="Times New Roman"/>
          <w:i/>
          <w:iCs/>
        </w:rPr>
        <w:t xml:space="preserve">C.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is minimal. This underscores the urgent need for ethnopharmacological validation, bioactive compound isolation, and toxicological assessment. Preserving the indigenous knowledge surrounding this species could significantly contribute to the development of plant-based, region-specific therapeutic agents and support biocultural conservation efforts [21].</w:t>
      </w:r>
    </w:p>
    <w:tbl>
      <w:tblPr>
        <w:tblStyle w:val="TableGrid"/>
        <w:tblW w:w="10710" w:type="dxa"/>
        <w:tblInd w:w="-725" w:type="dxa"/>
        <w:tblLook w:val="04A0" w:firstRow="1" w:lastRow="0" w:firstColumn="1" w:lastColumn="0" w:noHBand="0" w:noVBand="1"/>
      </w:tblPr>
      <w:tblGrid>
        <w:gridCol w:w="1121"/>
        <w:gridCol w:w="2145"/>
        <w:gridCol w:w="2213"/>
        <w:gridCol w:w="1658"/>
        <w:gridCol w:w="2853"/>
        <w:gridCol w:w="720"/>
      </w:tblGrid>
      <w:tr w:rsidR="00AD699D" w:rsidRPr="00AD699D" w14:paraId="54ACBADB" w14:textId="77777777" w:rsidTr="00AD699D">
        <w:tc>
          <w:tcPr>
            <w:tcW w:w="0" w:type="auto"/>
            <w:hideMark/>
          </w:tcPr>
          <w:p w14:paraId="51C94EDC"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Plant Part Used</w:t>
            </w:r>
          </w:p>
        </w:tc>
        <w:tc>
          <w:tcPr>
            <w:tcW w:w="0" w:type="auto"/>
            <w:hideMark/>
          </w:tcPr>
          <w:p w14:paraId="32E33852"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Form/Preparation</w:t>
            </w:r>
          </w:p>
        </w:tc>
        <w:tc>
          <w:tcPr>
            <w:tcW w:w="0" w:type="auto"/>
            <w:hideMark/>
          </w:tcPr>
          <w:p w14:paraId="51F478EE"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Traditional Use</w:t>
            </w:r>
          </w:p>
        </w:tc>
        <w:tc>
          <w:tcPr>
            <w:tcW w:w="0" w:type="auto"/>
            <w:hideMark/>
          </w:tcPr>
          <w:p w14:paraId="2AD025D1"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Mode of Application</w:t>
            </w:r>
          </w:p>
        </w:tc>
        <w:tc>
          <w:tcPr>
            <w:tcW w:w="2853" w:type="dxa"/>
            <w:hideMark/>
          </w:tcPr>
          <w:p w14:paraId="0E479739"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Region/Community</w:t>
            </w:r>
          </w:p>
        </w:tc>
        <w:tc>
          <w:tcPr>
            <w:tcW w:w="720" w:type="dxa"/>
            <w:hideMark/>
          </w:tcPr>
          <w:p w14:paraId="6B812671"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Ref</w:t>
            </w:r>
          </w:p>
        </w:tc>
      </w:tr>
      <w:tr w:rsidR="00AD699D" w:rsidRPr="00AD699D" w14:paraId="2E87316D" w14:textId="77777777" w:rsidTr="00AD699D">
        <w:tc>
          <w:tcPr>
            <w:tcW w:w="0" w:type="auto"/>
            <w:hideMark/>
          </w:tcPr>
          <w:p w14:paraId="01893C8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Leaves</w:t>
            </w:r>
          </w:p>
        </w:tc>
        <w:tc>
          <w:tcPr>
            <w:tcW w:w="0" w:type="auto"/>
            <w:hideMark/>
          </w:tcPr>
          <w:p w14:paraId="08E2C54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Crushed into paste</w:t>
            </w:r>
          </w:p>
        </w:tc>
        <w:tc>
          <w:tcPr>
            <w:tcW w:w="0" w:type="auto"/>
            <w:hideMark/>
          </w:tcPr>
          <w:p w14:paraId="7EB7194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Treatment of eczema, skin rashes, infections</w:t>
            </w:r>
          </w:p>
        </w:tc>
        <w:tc>
          <w:tcPr>
            <w:tcW w:w="0" w:type="auto"/>
            <w:hideMark/>
          </w:tcPr>
          <w:p w14:paraId="515167A9"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Topical application</w:t>
            </w:r>
          </w:p>
        </w:tc>
        <w:tc>
          <w:tcPr>
            <w:tcW w:w="2853" w:type="dxa"/>
            <w:hideMark/>
          </w:tcPr>
          <w:p w14:paraId="3B029CBB"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Tamil Nadu (</w:t>
            </w:r>
            <w:proofErr w:type="spellStart"/>
            <w:r w:rsidRPr="00AD699D">
              <w:rPr>
                <w:rFonts w:ascii="Times New Roman" w:hAnsi="Times New Roman" w:cs="Times New Roman"/>
              </w:rPr>
              <w:t>Irula</w:t>
            </w:r>
            <w:proofErr w:type="spellEnd"/>
            <w:r w:rsidRPr="00AD699D">
              <w:rPr>
                <w:rFonts w:ascii="Times New Roman" w:hAnsi="Times New Roman" w:cs="Times New Roman"/>
              </w:rPr>
              <w:t xml:space="preserve"> tribes)</w:t>
            </w:r>
          </w:p>
        </w:tc>
        <w:tc>
          <w:tcPr>
            <w:tcW w:w="720" w:type="dxa"/>
            <w:hideMark/>
          </w:tcPr>
          <w:p w14:paraId="6E437FB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[18]</w:t>
            </w:r>
          </w:p>
        </w:tc>
      </w:tr>
      <w:tr w:rsidR="00AD699D" w:rsidRPr="00AD699D" w14:paraId="00AAC2DE" w14:textId="77777777" w:rsidTr="00AD699D">
        <w:tc>
          <w:tcPr>
            <w:tcW w:w="0" w:type="auto"/>
            <w:hideMark/>
          </w:tcPr>
          <w:p w14:paraId="137FE10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Whole plant</w:t>
            </w:r>
          </w:p>
        </w:tc>
        <w:tc>
          <w:tcPr>
            <w:tcW w:w="0" w:type="auto"/>
            <w:hideMark/>
          </w:tcPr>
          <w:p w14:paraId="2BE815B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Decoction</w:t>
            </w:r>
          </w:p>
        </w:tc>
        <w:tc>
          <w:tcPr>
            <w:tcW w:w="0" w:type="auto"/>
            <w:hideMark/>
          </w:tcPr>
          <w:p w14:paraId="01950CD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Fever, internal inflammation</w:t>
            </w:r>
          </w:p>
        </w:tc>
        <w:tc>
          <w:tcPr>
            <w:tcW w:w="0" w:type="auto"/>
            <w:hideMark/>
          </w:tcPr>
          <w:p w14:paraId="4E19FF9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Oral consumption</w:t>
            </w:r>
          </w:p>
        </w:tc>
        <w:tc>
          <w:tcPr>
            <w:tcW w:w="2853" w:type="dxa"/>
            <w:hideMark/>
          </w:tcPr>
          <w:p w14:paraId="566E8D15" w14:textId="77777777" w:rsidR="00AD699D" w:rsidRPr="00AD699D" w:rsidRDefault="00AD699D" w:rsidP="00AD699D">
            <w:pPr>
              <w:spacing w:after="160" w:line="278" w:lineRule="auto"/>
              <w:rPr>
                <w:rFonts w:ascii="Times New Roman" w:hAnsi="Times New Roman" w:cs="Times New Roman"/>
              </w:rPr>
            </w:pPr>
            <w:proofErr w:type="spellStart"/>
            <w:r w:rsidRPr="00AD699D">
              <w:rPr>
                <w:rFonts w:ascii="Times New Roman" w:hAnsi="Times New Roman" w:cs="Times New Roman"/>
              </w:rPr>
              <w:t>Sirumalai</w:t>
            </w:r>
            <w:proofErr w:type="spellEnd"/>
            <w:r w:rsidRPr="00AD699D">
              <w:rPr>
                <w:rFonts w:ascii="Times New Roman" w:hAnsi="Times New Roman" w:cs="Times New Roman"/>
              </w:rPr>
              <w:t xml:space="preserve"> Hills (</w:t>
            </w:r>
            <w:proofErr w:type="spellStart"/>
            <w:r w:rsidRPr="00AD699D">
              <w:rPr>
                <w:rFonts w:ascii="Times New Roman" w:hAnsi="Times New Roman" w:cs="Times New Roman"/>
              </w:rPr>
              <w:t>Paliyar</w:t>
            </w:r>
            <w:proofErr w:type="spellEnd"/>
            <w:r w:rsidRPr="00AD699D">
              <w:rPr>
                <w:rFonts w:ascii="Times New Roman" w:hAnsi="Times New Roman" w:cs="Times New Roman"/>
              </w:rPr>
              <w:t>)</w:t>
            </w:r>
          </w:p>
        </w:tc>
        <w:tc>
          <w:tcPr>
            <w:tcW w:w="720" w:type="dxa"/>
            <w:hideMark/>
          </w:tcPr>
          <w:p w14:paraId="6A274C66"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[19]</w:t>
            </w:r>
          </w:p>
        </w:tc>
      </w:tr>
      <w:tr w:rsidR="00AD699D" w:rsidRPr="00AD699D" w14:paraId="3E31FC74" w14:textId="77777777" w:rsidTr="00AD699D">
        <w:tc>
          <w:tcPr>
            <w:tcW w:w="0" w:type="auto"/>
            <w:hideMark/>
          </w:tcPr>
          <w:p w14:paraId="3202820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Leaves</w:t>
            </w:r>
          </w:p>
        </w:tc>
        <w:tc>
          <w:tcPr>
            <w:tcW w:w="0" w:type="auto"/>
            <w:hideMark/>
          </w:tcPr>
          <w:p w14:paraId="25426BE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Boiled, used as wash</w:t>
            </w:r>
          </w:p>
        </w:tc>
        <w:tc>
          <w:tcPr>
            <w:tcW w:w="0" w:type="auto"/>
            <w:hideMark/>
          </w:tcPr>
          <w:p w14:paraId="0031845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Wound cleansing and antiseptic purposes</w:t>
            </w:r>
          </w:p>
        </w:tc>
        <w:tc>
          <w:tcPr>
            <w:tcW w:w="0" w:type="auto"/>
            <w:hideMark/>
          </w:tcPr>
          <w:p w14:paraId="06AE1D5D"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External wash</w:t>
            </w:r>
          </w:p>
        </w:tc>
        <w:tc>
          <w:tcPr>
            <w:tcW w:w="2853" w:type="dxa"/>
            <w:hideMark/>
          </w:tcPr>
          <w:p w14:paraId="60A9334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Andhra Pradesh</w:t>
            </w:r>
          </w:p>
        </w:tc>
        <w:tc>
          <w:tcPr>
            <w:tcW w:w="720" w:type="dxa"/>
            <w:hideMark/>
          </w:tcPr>
          <w:p w14:paraId="5620AA4C"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[20]</w:t>
            </w:r>
          </w:p>
        </w:tc>
      </w:tr>
      <w:tr w:rsidR="00AD699D" w:rsidRPr="00AD699D" w14:paraId="4BF159A8" w14:textId="77777777" w:rsidTr="00AD699D">
        <w:tc>
          <w:tcPr>
            <w:tcW w:w="0" w:type="auto"/>
            <w:hideMark/>
          </w:tcPr>
          <w:p w14:paraId="1EAEB5A0"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Aerial parts</w:t>
            </w:r>
          </w:p>
        </w:tc>
        <w:tc>
          <w:tcPr>
            <w:tcW w:w="0" w:type="auto"/>
            <w:hideMark/>
          </w:tcPr>
          <w:p w14:paraId="2F7A798B"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Decoction</w:t>
            </w:r>
          </w:p>
        </w:tc>
        <w:tc>
          <w:tcPr>
            <w:tcW w:w="0" w:type="auto"/>
            <w:hideMark/>
          </w:tcPr>
          <w:p w14:paraId="089588BD"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Body pain, digestive issues, ulcers</w:t>
            </w:r>
          </w:p>
        </w:tc>
        <w:tc>
          <w:tcPr>
            <w:tcW w:w="0" w:type="auto"/>
            <w:hideMark/>
          </w:tcPr>
          <w:p w14:paraId="6BAB79D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Oral consumption</w:t>
            </w:r>
          </w:p>
        </w:tc>
        <w:tc>
          <w:tcPr>
            <w:tcW w:w="2853" w:type="dxa"/>
            <w:hideMark/>
          </w:tcPr>
          <w:p w14:paraId="2C6D723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Eastern Ghats</w:t>
            </w:r>
          </w:p>
        </w:tc>
        <w:tc>
          <w:tcPr>
            <w:tcW w:w="720" w:type="dxa"/>
            <w:hideMark/>
          </w:tcPr>
          <w:p w14:paraId="7DC3647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[19]</w:t>
            </w:r>
          </w:p>
        </w:tc>
      </w:tr>
      <w:tr w:rsidR="00AD699D" w:rsidRPr="00AD699D" w14:paraId="3374390E" w14:textId="77777777" w:rsidTr="00AD699D">
        <w:tc>
          <w:tcPr>
            <w:tcW w:w="0" w:type="auto"/>
            <w:hideMark/>
          </w:tcPr>
          <w:p w14:paraId="05095FC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Leaves</w:t>
            </w:r>
          </w:p>
        </w:tc>
        <w:tc>
          <w:tcPr>
            <w:tcW w:w="0" w:type="auto"/>
            <w:hideMark/>
          </w:tcPr>
          <w:p w14:paraId="53ABC4F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Crushed and applied</w:t>
            </w:r>
          </w:p>
        </w:tc>
        <w:tc>
          <w:tcPr>
            <w:tcW w:w="0" w:type="auto"/>
            <w:hideMark/>
          </w:tcPr>
          <w:p w14:paraId="7FAFD446"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Snake bite (folk practice, unverified)</w:t>
            </w:r>
          </w:p>
        </w:tc>
        <w:tc>
          <w:tcPr>
            <w:tcW w:w="0" w:type="auto"/>
            <w:hideMark/>
          </w:tcPr>
          <w:p w14:paraId="176F898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Topical application</w:t>
            </w:r>
          </w:p>
        </w:tc>
        <w:tc>
          <w:tcPr>
            <w:tcW w:w="2853" w:type="dxa"/>
            <w:hideMark/>
          </w:tcPr>
          <w:p w14:paraId="2CFAC7F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Tirunelveli tribal region</w:t>
            </w:r>
          </w:p>
        </w:tc>
        <w:tc>
          <w:tcPr>
            <w:tcW w:w="720" w:type="dxa"/>
            <w:hideMark/>
          </w:tcPr>
          <w:p w14:paraId="2BD55D9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[18]</w:t>
            </w:r>
          </w:p>
        </w:tc>
      </w:tr>
      <w:tr w:rsidR="00AD699D" w:rsidRPr="00AD699D" w14:paraId="19F227D2" w14:textId="77777777" w:rsidTr="00AD699D">
        <w:tc>
          <w:tcPr>
            <w:tcW w:w="0" w:type="auto"/>
            <w:hideMark/>
          </w:tcPr>
          <w:p w14:paraId="0CBDA7B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Fresh leaves</w:t>
            </w:r>
          </w:p>
        </w:tc>
        <w:tc>
          <w:tcPr>
            <w:tcW w:w="0" w:type="auto"/>
            <w:hideMark/>
          </w:tcPr>
          <w:p w14:paraId="62D7612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Applied post-delivery</w:t>
            </w:r>
          </w:p>
        </w:tc>
        <w:tc>
          <w:tcPr>
            <w:tcW w:w="0" w:type="auto"/>
            <w:hideMark/>
          </w:tcPr>
          <w:p w14:paraId="7BB7214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Postpartum care (believed to aid healing)</w:t>
            </w:r>
          </w:p>
        </w:tc>
        <w:tc>
          <w:tcPr>
            <w:tcW w:w="0" w:type="auto"/>
            <w:hideMark/>
          </w:tcPr>
          <w:p w14:paraId="3B84BA9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Topical, external use</w:t>
            </w:r>
          </w:p>
        </w:tc>
        <w:tc>
          <w:tcPr>
            <w:tcW w:w="2853" w:type="dxa"/>
            <w:hideMark/>
          </w:tcPr>
          <w:p w14:paraId="6DF83C2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Rural Tamil Nadu</w:t>
            </w:r>
          </w:p>
        </w:tc>
        <w:tc>
          <w:tcPr>
            <w:tcW w:w="720" w:type="dxa"/>
            <w:hideMark/>
          </w:tcPr>
          <w:p w14:paraId="67288E90"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[21]</w:t>
            </w:r>
          </w:p>
        </w:tc>
      </w:tr>
    </w:tbl>
    <w:p w14:paraId="5CD1EF98" w14:textId="0A8F7550" w:rsidR="00D36869" w:rsidRDefault="00AD699D" w:rsidP="00AD699D">
      <w:pPr>
        <w:jc w:val="center"/>
        <w:rPr>
          <w:rFonts w:ascii="Times New Roman" w:hAnsi="Times New Roman" w:cs="Times New Roman"/>
        </w:rPr>
      </w:pPr>
      <w:r w:rsidRPr="00AD699D">
        <w:rPr>
          <w:rFonts w:ascii="Times New Roman" w:hAnsi="Times New Roman" w:cs="Times New Roman"/>
        </w:rPr>
        <w:t>Table</w:t>
      </w:r>
      <w:r>
        <w:rPr>
          <w:rFonts w:ascii="Times New Roman" w:hAnsi="Times New Roman" w:cs="Times New Roman"/>
        </w:rPr>
        <w:t xml:space="preserve"> No </w:t>
      </w:r>
      <w:proofErr w:type="gramStart"/>
      <w:r>
        <w:rPr>
          <w:rFonts w:ascii="Times New Roman" w:hAnsi="Times New Roman" w:cs="Times New Roman"/>
        </w:rPr>
        <w:t xml:space="preserve">01 </w:t>
      </w:r>
      <w:r w:rsidRPr="00AD699D">
        <w:rPr>
          <w:rFonts w:ascii="Times New Roman" w:hAnsi="Times New Roman" w:cs="Times New Roman"/>
        </w:rPr>
        <w:t>:</w:t>
      </w:r>
      <w:proofErr w:type="gramEnd"/>
      <w:r w:rsidRPr="00AD699D">
        <w:rPr>
          <w:rFonts w:ascii="Times New Roman" w:hAnsi="Times New Roman" w:cs="Times New Roman"/>
        </w:rPr>
        <w:t xml:space="preserve"> Traditional Uses of </w:t>
      </w:r>
      <w:r w:rsidRPr="00AD699D">
        <w:rPr>
          <w:rFonts w:ascii="Times New Roman" w:hAnsi="Times New Roman" w:cs="Times New Roman"/>
          <w:i/>
          <w:iCs/>
        </w:rPr>
        <w:t xml:space="preserve">Crotalaria </w:t>
      </w:r>
      <w:proofErr w:type="spellStart"/>
      <w:r w:rsidRPr="00AD699D">
        <w:rPr>
          <w:rFonts w:ascii="Times New Roman" w:hAnsi="Times New Roman" w:cs="Times New Roman"/>
          <w:i/>
          <w:iCs/>
        </w:rPr>
        <w:t>multibracteata</w:t>
      </w:r>
      <w:proofErr w:type="spellEnd"/>
    </w:p>
    <w:p w14:paraId="22B4691B" w14:textId="77777777" w:rsidR="00AD699D" w:rsidRPr="00AD699D" w:rsidRDefault="00AD699D" w:rsidP="00AD699D">
      <w:pPr>
        <w:rPr>
          <w:rFonts w:ascii="Times New Roman" w:hAnsi="Times New Roman" w:cs="Times New Roman"/>
          <w:b/>
          <w:bCs/>
        </w:rPr>
      </w:pPr>
      <w:r w:rsidRPr="00AD699D">
        <w:rPr>
          <w:rFonts w:ascii="Times New Roman" w:hAnsi="Times New Roman" w:cs="Times New Roman"/>
          <w:b/>
          <w:bCs/>
        </w:rPr>
        <w:lastRenderedPageBreak/>
        <w:t xml:space="preserve">Techniques for Extraction, Isolation, and Identification of Phytochemicals from </w:t>
      </w:r>
      <w:r w:rsidRPr="00AD699D">
        <w:rPr>
          <w:rFonts w:ascii="Times New Roman" w:hAnsi="Times New Roman" w:cs="Times New Roman"/>
          <w:b/>
          <w:bCs/>
          <w:i/>
          <w:iCs/>
        </w:rPr>
        <w:t xml:space="preserve">Crotalaria </w:t>
      </w:r>
      <w:proofErr w:type="spellStart"/>
      <w:r w:rsidRPr="00AD699D">
        <w:rPr>
          <w:rFonts w:ascii="Times New Roman" w:hAnsi="Times New Roman" w:cs="Times New Roman"/>
          <w:b/>
          <w:bCs/>
          <w:i/>
          <w:iCs/>
        </w:rPr>
        <w:t>multibracteata</w:t>
      </w:r>
      <w:proofErr w:type="spellEnd"/>
    </w:p>
    <w:p w14:paraId="7E30EC00"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Phytochemical exploration of </w:t>
      </w:r>
      <w:r w:rsidRPr="00AD699D">
        <w:rPr>
          <w:rFonts w:ascii="Times New Roman" w:hAnsi="Times New Roman" w:cs="Times New Roman"/>
          <w:i/>
          <w:iCs/>
        </w:rPr>
        <w:t xml:space="preserve">Crotalaria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relies on well-established methodologies used in medicinal plant research. These include sequential extraction, chromatographic separation, and spectroscopic techniques for compound characterization. Although literature on </w:t>
      </w:r>
      <w:r w:rsidRPr="00AD699D">
        <w:rPr>
          <w:rFonts w:ascii="Times New Roman" w:hAnsi="Times New Roman" w:cs="Times New Roman"/>
          <w:i/>
          <w:iCs/>
        </w:rPr>
        <w:t xml:space="preserve">C.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itself is sparse, methodologies employed for related </w:t>
      </w:r>
      <w:r w:rsidRPr="00AD699D">
        <w:rPr>
          <w:rFonts w:ascii="Times New Roman" w:hAnsi="Times New Roman" w:cs="Times New Roman"/>
          <w:i/>
          <w:iCs/>
        </w:rPr>
        <w:t>Crotalaria</w:t>
      </w:r>
      <w:r w:rsidRPr="00AD699D">
        <w:rPr>
          <w:rFonts w:ascii="Times New Roman" w:hAnsi="Times New Roman" w:cs="Times New Roman"/>
        </w:rPr>
        <w:t xml:space="preserve"> species offer a scientific framework that can be extrapolated for future studies.</w:t>
      </w:r>
    </w:p>
    <w:p w14:paraId="35DAA8DF" w14:textId="6BEA2742" w:rsidR="00AD699D" w:rsidRPr="00AD699D" w:rsidRDefault="00AD699D" w:rsidP="00AD699D">
      <w:pPr>
        <w:jc w:val="both"/>
        <w:rPr>
          <w:rFonts w:ascii="Times New Roman" w:hAnsi="Times New Roman" w:cs="Times New Roman"/>
          <w:b/>
          <w:bCs/>
        </w:rPr>
      </w:pPr>
      <w:r w:rsidRPr="00AD699D">
        <w:rPr>
          <w:rFonts w:ascii="Times New Roman" w:hAnsi="Times New Roman" w:cs="Times New Roman"/>
          <w:b/>
          <w:bCs/>
        </w:rPr>
        <w:t>Extraction Methods</w:t>
      </w:r>
    </w:p>
    <w:p w14:paraId="208D4A01"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The initial step in phytochemical investigation involves extraction of bioactive constituents using solvents of varying polarity. Soxhlet extraction, maceration, and ultrasound-assisted extraction (UAE) are the most commonly used techniques.</w:t>
      </w:r>
    </w:p>
    <w:p w14:paraId="675CDDC8"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Soxhlet Extraction: This classical method involves continuous percolation of powdered plant material using organic solvents such as methanol, ethanol, chloroform, or petroleum ether. Methanol and ethanol are particularly favored for their ability to dissolve a broad range of polar and semi-polar compounds like alkaloids, flavonoids, and glycosides [22].</w:t>
      </w:r>
    </w:p>
    <w:p w14:paraId="70B51E31"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Maceration: Simpler but time-intensive, maceration involves soaking dried plant material in a suitable solvent at room temperature, typically for 48–72 hours. This method is suitable for heat-sensitive constituents and is often followed by filtration and solvent evaporation under reduced pressure [23].</w:t>
      </w:r>
    </w:p>
    <w:p w14:paraId="6F542426"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Ultrasound-Assisted Extraction (UAE): UAE enhances mass transfer between solvent and plant tissue by employing ultrasonic waves, which create micro-cavitation and disrupt plant cell walls. This technique is advantageous for reducing extraction time and increasing yield, especially for heat-labile flavonoids and polyphenols [24].</w:t>
      </w:r>
    </w:p>
    <w:p w14:paraId="09FBCACE"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The choice of solvent and method depends on the target compound group—nonpolar solvents like hexane are used for lipids and waxes, while polar solvents like methanol or water target phenolics, alkaloids, and tannins.</w:t>
      </w:r>
    </w:p>
    <w:p w14:paraId="1BA00433" w14:textId="758D12CC" w:rsidR="00AD699D" w:rsidRPr="00AD699D" w:rsidRDefault="00AD699D" w:rsidP="00AD699D">
      <w:pPr>
        <w:jc w:val="both"/>
        <w:rPr>
          <w:rFonts w:ascii="Times New Roman" w:hAnsi="Times New Roman" w:cs="Times New Roman"/>
          <w:b/>
          <w:bCs/>
        </w:rPr>
      </w:pPr>
      <w:r w:rsidRPr="00AD699D">
        <w:rPr>
          <w:rFonts w:ascii="Times New Roman" w:hAnsi="Times New Roman" w:cs="Times New Roman"/>
          <w:b/>
          <w:bCs/>
        </w:rPr>
        <w:t>Isolation Techniques</w:t>
      </w:r>
    </w:p>
    <w:p w14:paraId="64CDD751"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Once crude extracts are obtained, fractionation and purification are essential to isolate individual compounds. Several chromatographic techniques are employed:</w:t>
      </w:r>
    </w:p>
    <w:p w14:paraId="47CA2082"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Column Chromatography (CC): Using stationary phases such as silica gel or alumina, column chromatography separates extract components based on polarity. Elution is typically done using gradients of hexane, ethyl acetate, or methanol. This is a foundational technique for isolating flavonoids, alkaloids, and saponins from </w:t>
      </w:r>
      <w:r w:rsidRPr="00AD699D">
        <w:rPr>
          <w:rFonts w:ascii="Times New Roman" w:hAnsi="Times New Roman" w:cs="Times New Roman"/>
          <w:i/>
          <w:iCs/>
        </w:rPr>
        <w:t>Crotalaria</w:t>
      </w:r>
      <w:r w:rsidRPr="00AD699D">
        <w:rPr>
          <w:rFonts w:ascii="Times New Roman" w:hAnsi="Times New Roman" w:cs="Times New Roman"/>
        </w:rPr>
        <w:t xml:space="preserve"> species [25].</w:t>
      </w:r>
    </w:p>
    <w:p w14:paraId="304DEC27"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lastRenderedPageBreak/>
        <w:t xml:space="preserve">Thin Layer Chromatography (TLC): TLC serves as a quick, cost-effective tool for preliminary analysis and monitoring of compound separation. It helps detect major classes such as flavonoids (e.g., with </w:t>
      </w:r>
      <w:proofErr w:type="spellStart"/>
      <w:r w:rsidRPr="00AD699D">
        <w:rPr>
          <w:rFonts w:ascii="Times New Roman" w:hAnsi="Times New Roman" w:cs="Times New Roman"/>
        </w:rPr>
        <w:t>AlCl</w:t>
      </w:r>
      <w:proofErr w:type="spellEnd"/>
      <w:r w:rsidRPr="00AD699D">
        <w:rPr>
          <w:rFonts w:ascii="Times New Roman" w:hAnsi="Times New Roman" w:cs="Times New Roman"/>
        </w:rPr>
        <w:t xml:space="preserve">₃ reagent), </w:t>
      </w:r>
      <w:proofErr w:type="spellStart"/>
      <w:r w:rsidRPr="00AD699D">
        <w:rPr>
          <w:rFonts w:ascii="Times New Roman" w:hAnsi="Times New Roman" w:cs="Times New Roman"/>
        </w:rPr>
        <w:t>terpenoids</w:t>
      </w:r>
      <w:proofErr w:type="spellEnd"/>
      <w:r w:rsidRPr="00AD699D">
        <w:rPr>
          <w:rFonts w:ascii="Times New Roman" w:hAnsi="Times New Roman" w:cs="Times New Roman"/>
        </w:rPr>
        <w:t>, and alkaloids [26].</w:t>
      </w:r>
    </w:p>
    <w:p w14:paraId="38694E3D"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Preparative High-Performance Liquid Chromatography (prep-HPLC): For high-resolution separation of pure compounds, prep-HPLC is employed. This technique is particularly suitable for isolating bioactive flavonoids, alkaloids, and rare phytoconstituents from small quantities of extract [27].</w:t>
      </w:r>
    </w:p>
    <w:p w14:paraId="3AEB4B3C"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Liquid–Liquid Partitioning: Often used prior to chromatography, liquid–liquid extraction helps in partitioning crude extracts into different solvent fractions (e.g., chloroform, ethyl acetate, butanol) to enrich compound classes before purification.</w:t>
      </w:r>
    </w:p>
    <w:p w14:paraId="6FB204CD" w14:textId="17A659A6" w:rsidR="00AD699D" w:rsidRPr="00AD699D" w:rsidRDefault="00AD699D" w:rsidP="00AD699D">
      <w:pPr>
        <w:jc w:val="both"/>
        <w:rPr>
          <w:rFonts w:ascii="Times New Roman" w:hAnsi="Times New Roman" w:cs="Times New Roman"/>
          <w:b/>
          <w:bCs/>
        </w:rPr>
      </w:pPr>
      <w:r w:rsidRPr="00AD699D">
        <w:rPr>
          <w:rFonts w:ascii="Times New Roman" w:hAnsi="Times New Roman" w:cs="Times New Roman"/>
          <w:b/>
          <w:bCs/>
        </w:rPr>
        <w:t>Identification and Structural Elucidation</w:t>
      </w:r>
    </w:p>
    <w:p w14:paraId="1B6F1BAB"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Following isolation, structural characterization of phytochemicals is carried out using spectroscopic and spectrometric techniques, including:</w:t>
      </w:r>
    </w:p>
    <w:p w14:paraId="108537E1" w14:textId="1F45D3FC" w:rsidR="00AD699D" w:rsidRPr="00AD699D" w:rsidRDefault="00AD699D" w:rsidP="00AD699D">
      <w:pPr>
        <w:jc w:val="both"/>
        <w:rPr>
          <w:rFonts w:ascii="Times New Roman" w:hAnsi="Times New Roman" w:cs="Times New Roman"/>
        </w:rPr>
      </w:pPr>
      <w:r>
        <w:rPr>
          <w:rFonts w:ascii="Times New Roman" w:hAnsi="Times New Roman" w:cs="Times New Roman"/>
        </w:rPr>
        <w:t xml:space="preserve">UV </w:t>
      </w:r>
      <w:r w:rsidRPr="00AD699D">
        <w:rPr>
          <w:rFonts w:ascii="Times New Roman" w:hAnsi="Times New Roman" w:cs="Times New Roman"/>
        </w:rPr>
        <w:t>Visible Spectroscopy: Used for the initial identification of phenolic compounds and flavonoids by analyzing their absorption maxima [28].</w:t>
      </w:r>
    </w:p>
    <w:p w14:paraId="61BD7486"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Fourier-Transform Infrared Spectroscopy (FTIR): Provides information on functional groups (e.g., OH, COOH, NH₂) present in the compound, aiding in preliminary structure prediction [29].</w:t>
      </w:r>
    </w:p>
    <w:p w14:paraId="3C2C24F4"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Gas Chromatography–Mass Spectrometry (GC–MS): Particularly useful for volatile constituents and low-molecular-weight phytochemicals. It combines separation and mass analysis to identify unknown compounds using library matching [30].</w:t>
      </w:r>
    </w:p>
    <w:p w14:paraId="04926A2E"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Liquid Chromatography–Mass Spectrometry (LC–MS): Employed for thermolabile and non-volatile compounds, LC–MS enables molecular weight determination and fragmentation analysis.</w:t>
      </w:r>
    </w:p>
    <w:p w14:paraId="00000968"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Nuclear Magnetic Resonance (NMR) Spectroscopy: Both ¹H and ¹³C NMR are used for detailed structural elucidation. NMR provides insight into the molecular framework and stereochemistry of isolated phytochemicals such as flavonoids, alkaloids, and terpenoids [31].</w:t>
      </w:r>
    </w:p>
    <w:p w14:paraId="1C759215"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X-ray Crystallography: For compounds that crystallize well, this technique can offer unambiguous confirmation of molecular structure, though it is less commonly applied due to complexity and cost.</w:t>
      </w:r>
    </w:p>
    <w:tbl>
      <w:tblPr>
        <w:tblStyle w:val="TableGrid"/>
        <w:tblW w:w="10620" w:type="dxa"/>
        <w:tblInd w:w="-635" w:type="dxa"/>
        <w:tblLook w:val="04A0" w:firstRow="1" w:lastRow="0" w:firstColumn="1" w:lastColumn="0" w:noHBand="0" w:noVBand="1"/>
      </w:tblPr>
      <w:tblGrid>
        <w:gridCol w:w="1843"/>
        <w:gridCol w:w="2207"/>
        <w:gridCol w:w="3113"/>
        <w:gridCol w:w="2737"/>
        <w:gridCol w:w="720"/>
      </w:tblGrid>
      <w:tr w:rsidR="00AD699D" w:rsidRPr="00AD699D" w14:paraId="1CBFCF93" w14:textId="77777777" w:rsidTr="00AD699D">
        <w:tc>
          <w:tcPr>
            <w:tcW w:w="1843" w:type="dxa"/>
            <w:hideMark/>
          </w:tcPr>
          <w:p w14:paraId="450AEA79"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Technique</w:t>
            </w:r>
          </w:p>
        </w:tc>
        <w:tc>
          <w:tcPr>
            <w:tcW w:w="2207" w:type="dxa"/>
            <w:hideMark/>
          </w:tcPr>
          <w:p w14:paraId="4ED20630"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Purpose</w:t>
            </w:r>
          </w:p>
        </w:tc>
        <w:tc>
          <w:tcPr>
            <w:tcW w:w="3113" w:type="dxa"/>
            <w:hideMark/>
          </w:tcPr>
          <w:p w14:paraId="6A443E4B"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Solvents / Tools Used</w:t>
            </w:r>
          </w:p>
        </w:tc>
        <w:tc>
          <w:tcPr>
            <w:tcW w:w="2737" w:type="dxa"/>
            <w:hideMark/>
          </w:tcPr>
          <w:p w14:paraId="5716C1CD"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Target Phytochemicals</w:t>
            </w:r>
          </w:p>
        </w:tc>
        <w:tc>
          <w:tcPr>
            <w:tcW w:w="720" w:type="dxa"/>
            <w:hideMark/>
          </w:tcPr>
          <w:p w14:paraId="1F15A74C"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Ref</w:t>
            </w:r>
          </w:p>
        </w:tc>
      </w:tr>
      <w:tr w:rsidR="00AD699D" w:rsidRPr="00AD699D" w14:paraId="3043F833" w14:textId="77777777" w:rsidTr="00AD699D">
        <w:tc>
          <w:tcPr>
            <w:tcW w:w="1843" w:type="dxa"/>
            <w:hideMark/>
          </w:tcPr>
          <w:p w14:paraId="058B006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Soxhlet Extraction</w:t>
            </w:r>
          </w:p>
        </w:tc>
        <w:tc>
          <w:tcPr>
            <w:tcW w:w="2207" w:type="dxa"/>
            <w:hideMark/>
          </w:tcPr>
          <w:p w14:paraId="409AA27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Exhaustive extraction of phytochemicals</w:t>
            </w:r>
          </w:p>
        </w:tc>
        <w:tc>
          <w:tcPr>
            <w:tcW w:w="3113" w:type="dxa"/>
            <w:hideMark/>
          </w:tcPr>
          <w:p w14:paraId="07579A8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Ethanol, methanol, chloroform, petroleum ether</w:t>
            </w:r>
          </w:p>
        </w:tc>
        <w:tc>
          <w:tcPr>
            <w:tcW w:w="2737" w:type="dxa"/>
            <w:hideMark/>
          </w:tcPr>
          <w:p w14:paraId="46D00B1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Flavonoids, alkaloids, terpenoids</w:t>
            </w:r>
          </w:p>
        </w:tc>
        <w:tc>
          <w:tcPr>
            <w:tcW w:w="720" w:type="dxa"/>
            <w:hideMark/>
          </w:tcPr>
          <w:p w14:paraId="3645D68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[22]</w:t>
            </w:r>
          </w:p>
        </w:tc>
      </w:tr>
      <w:tr w:rsidR="00AD699D" w:rsidRPr="00AD699D" w14:paraId="13920D3D" w14:textId="77777777" w:rsidTr="00AD699D">
        <w:tc>
          <w:tcPr>
            <w:tcW w:w="1843" w:type="dxa"/>
            <w:hideMark/>
          </w:tcPr>
          <w:p w14:paraId="3A95795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lastRenderedPageBreak/>
              <w:t>Maceration</w:t>
            </w:r>
          </w:p>
        </w:tc>
        <w:tc>
          <w:tcPr>
            <w:tcW w:w="2207" w:type="dxa"/>
            <w:hideMark/>
          </w:tcPr>
          <w:p w14:paraId="135DF7D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Gentle extraction for heat-sensitive compounds</w:t>
            </w:r>
          </w:p>
        </w:tc>
        <w:tc>
          <w:tcPr>
            <w:tcW w:w="3113" w:type="dxa"/>
            <w:hideMark/>
          </w:tcPr>
          <w:p w14:paraId="16FAEEF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Ethanol, water, hydroalcoholic mixtures</w:t>
            </w:r>
          </w:p>
        </w:tc>
        <w:tc>
          <w:tcPr>
            <w:tcW w:w="2737" w:type="dxa"/>
            <w:hideMark/>
          </w:tcPr>
          <w:p w14:paraId="33AF5CF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Tannins, glycosides, saponins</w:t>
            </w:r>
          </w:p>
        </w:tc>
        <w:tc>
          <w:tcPr>
            <w:tcW w:w="720" w:type="dxa"/>
            <w:hideMark/>
          </w:tcPr>
          <w:p w14:paraId="698E4FA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[23]</w:t>
            </w:r>
          </w:p>
        </w:tc>
      </w:tr>
      <w:tr w:rsidR="00AD699D" w:rsidRPr="00AD699D" w14:paraId="5645FB27" w14:textId="77777777" w:rsidTr="00AD699D">
        <w:tc>
          <w:tcPr>
            <w:tcW w:w="1843" w:type="dxa"/>
            <w:hideMark/>
          </w:tcPr>
          <w:p w14:paraId="65129BA6"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Ultrasound-Assisted Extraction (UAE)</w:t>
            </w:r>
          </w:p>
        </w:tc>
        <w:tc>
          <w:tcPr>
            <w:tcW w:w="2207" w:type="dxa"/>
            <w:hideMark/>
          </w:tcPr>
          <w:p w14:paraId="15EA1BE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Rapid, high-yield extraction</w:t>
            </w:r>
          </w:p>
        </w:tc>
        <w:tc>
          <w:tcPr>
            <w:tcW w:w="3113" w:type="dxa"/>
            <w:hideMark/>
          </w:tcPr>
          <w:p w14:paraId="513C41C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Ethanol, methanol, water</w:t>
            </w:r>
          </w:p>
        </w:tc>
        <w:tc>
          <w:tcPr>
            <w:tcW w:w="2737" w:type="dxa"/>
            <w:hideMark/>
          </w:tcPr>
          <w:p w14:paraId="0FB4749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Polyphenols, flavonoids, essential oils</w:t>
            </w:r>
          </w:p>
        </w:tc>
        <w:tc>
          <w:tcPr>
            <w:tcW w:w="720" w:type="dxa"/>
            <w:hideMark/>
          </w:tcPr>
          <w:p w14:paraId="18E9A40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[24]</w:t>
            </w:r>
          </w:p>
        </w:tc>
      </w:tr>
      <w:tr w:rsidR="00AD699D" w:rsidRPr="00AD699D" w14:paraId="296C158D" w14:textId="77777777" w:rsidTr="00AD699D">
        <w:tc>
          <w:tcPr>
            <w:tcW w:w="1843" w:type="dxa"/>
            <w:hideMark/>
          </w:tcPr>
          <w:p w14:paraId="55C0EEDE"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Column Chromatography (CC)</w:t>
            </w:r>
          </w:p>
        </w:tc>
        <w:tc>
          <w:tcPr>
            <w:tcW w:w="2207" w:type="dxa"/>
            <w:hideMark/>
          </w:tcPr>
          <w:p w14:paraId="6598A379"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Fractionation and purification</w:t>
            </w:r>
          </w:p>
        </w:tc>
        <w:tc>
          <w:tcPr>
            <w:tcW w:w="3113" w:type="dxa"/>
            <w:hideMark/>
          </w:tcPr>
          <w:p w14:paraId="2BC43738" w14:textId="482632CB"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 xml:space="preserve">Silica gel, gradient solvents </w:t>
            </w:r>
          </w:p>
        </w:tc>
        <w:tc>
          <w:tcPr>
            <w:tcW w:w="2737" w:type="dxa"/>
            <w:hideMark/>
          </w:tcPr>
          <w:p w14:paraId="2187262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Alkaloids, steroids, flavonoids</w:t>
            </w:r>
          </w:p>
        </w:tc>
        <w:tc>
          <w:tcPr>
            <w:tcW w:w="720" w:type="dxa"/>
            <w:hideMark/>
          </w:tcPr>
          <w:p w14:paraId="58CF729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[25]</w:t>
            </w:r>
          </w:p>
        </w:tc>
      </w:tr>
      <w:tr w:rsidR="00AD699D" w:rsidRPr="00AD699D" w14:paraId="02806257" w14:textId="77777777" w:rsidTr="00AD699D">
        <w:tc>
          <w:tcPr>
            <w:tcW w:w="1843" w:type="dxa"/>
            <w:hideMark/>
          </w:tcPr>
          <w:p w14:paraId="32837E0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Thin Layer Chromatography (TLC)</w:t>
            </w:r>
          </w:p>
        </w:tc>
        <w:tc>
          <w:tcPr>
            <w:tcW w:w="2207" w:type="dxa"/>
            <w:hideMark/>
          </w:tcPr>
          <w:p w14:paraId="7986375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Rapid screening and monitoring</w:t>
            </w:r>
          </w:p>
        </w:tc>
        <w:tc>
          <w:tcPr>
            <w:tcW w:w="3113" w:type="dxa"/>
            <w:hideMark/>
          </w:tcPr>
          <w:p w14:paraId="2D06074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 xml:space="preserve">Solvent system (e.g., ethyl </w:t>
            </w:r>
            <w:proofErr w:type="spellStart"/>
            <w:r w:rsidRPr="00AD699D">
              <w:rPr>
                <w:rFonts w:ascii="Times New Roman" w:hAnsi="Times New Roman" w:cs="Times New Roman"/>
              </w:rPr>
              <w:t>acetate:hexane</w:t>
            </w:r>
            <w:proofErr w:type="spellEnd"/>
            <w:r w:rsidRPr="00AD699D">
              <w:rPr>
                <w:rFonts w:ascii="Times New Roman" w:hAnsi="Times New Roman" w:cs="Times New Roman"/>
              </w:rPr>
              <w:t>)</w:t>
            </w:r>
          </w:p>
        </w:tc>
        <w:tc>
          <w:tcPr>
            <w:tcW w:w="2737" w:type="dxa"/>
            <w:hideMark/>
          </w:tcPr>
          <w:p w14:paraId="5B52269A"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General compound class identification</w:t>
            </w:r>
          </w:p>
        </w:tc>
        <w:tc>
          <w:tcPr>
            <w:tcW w:w="720" w:type="dxa"/>
            <w:hideMark/>
          </w:tcPr>
          <w:p w14:paraId="799FCCCA"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[26]</w:t>
            </w:r>
          </w:p>
        </w:tc>
      </w:tr>
      <w:tr w:rsidR="00AD699D" w:rsidRPr="00AD699D" w14:paraId="004E6299" w14:textId="77777777" w:rsidTr="00AD699D">
        <w:tc>
          <w:tcPr>
            <w:tcW w:w="1843" w:type="dxa"/>
            <w:hideMark/>
          </w:tcPr>
          <w:p w14:paraId="124947F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Preparative HPLC</w:t>
            </w:r>
          </w:p>
        </w:tc>
        <w:tc>
          <w:tcPr>
            <w:tcW w:w="2207" w:type="dxa"/>
            <w:hideMark/>
          </w:tcPr>
          <w:p w14:paraId="2059EC6E"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High-purity isolation</w:t>
            </w:r>
          </w:p>
        </w:tc>
        <w:tc>
          <w:tcPr>
            <w:tcW w:w="3113" w:type="dxa"/>
            <w:hideMark/>
          </w:tcPr>
          <w:p w14:paraId="34CFF67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Reverse phase C18 columns, MeOH/H₂O gradients</w:t>
            </w:r>
          </w:p>
        </w:tc>
        <w:tc>
          <w:tcPr>
            <w:tcW w:w="2737" w:type="dxa"/>
            <w:hideMark/>
          </w:tcPr>
          <w:p w14:paraId="292E865A"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Flavonoids, glycosides</w:t>
            </w:r>
          </w:p>
        </w:tc>
        <w:tc>
          <w:tcPr>
            <w:tcW w:w="720" w:type="dxa"/>
            <w:hideMark/>
          </w:tcPr>
          <w:p w14:paraId="78E4E5BC"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[27]</w:t>
            </w:r>
          </w:p>
        </w:tc>
      </w:tr>
      <w:tr w:rsidR="00AD699D" w:rsidRPr="00AD699D" w14:paraId="5460E7D9" w14:textId="77777777" w:rsidTr="00AD699D">
        <w:tc>
          <w:tcPr>
            <w:tcW w:w="1843" w:type="dxa"/>
            <w:hideMark/>
          </w:tcPr>
          <w:p w14:paraId="5A29407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Liquid–Liquid Partitioning</w:t>
            </w:r>
          </w:p>
        </w:tc>
        <w:tc>
          <w:tcPr>
            <w:tcW w:w="2207" w:type="dxa"/>
            <w:hideMark/>
          </w:tcPr>
          <w:p w14:paraId="7B9A76C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Solvent-based enrichment</w:t>
            </w:r>
          </w:p>
        </w:tc>
        <w:tc>
          <w:tcPr>
            <w:tcW w:w="3113" w:type="dxa"/>
            <w:hideMark/>
          </w:tcPr>
          <w:p w14:paraId="6FCCD52A"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Ethyl acetate, butanol, water</w:t>
            </w:r>
          </w:p>
        </w:tc>
        <w:tc>
          <w:tcPr>
            <w:tcW w:w="2737" w:type="dxa"/>
            <w:hideMark/>
          </w:tcPr>
          <w:p w14:paraId="201A90BD"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Saponins, terpenoids, alkaloids</w:t>
            </w:r>
          </w:p>
        </w:tc>
        <w:tc>
          <w:tcPr>
            <w:tcW w:w="720" w:type="dxa"/>
            <w:hideMark/>
          </w:tcPr>
          <w:p w14:paraId="362F6C7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[25]</w:t>
            </w:r>
          </w:p>
        </w:tc>
      </w:tr>
      <w:tr w:rsidR="00AD699D" w:rsidRPr="00AD699D" w14:paraId="7426565C" w14:textId="77777777" w:rsidTr="00AD699D">
        <w:tc>
          <w:tcPr>
            <w:tcW w:w="1843" w:type="dxa"/>
            <w:hideMark/>
          </w:tcPr>
          <w:p w14:paraId="24AB48C6"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UV–Vis Spectroscopy</w:t>
            </w:r>
          </w:p>
        </w:tc>
        <w:tc>
          <w:tcPr>
            <w:tcW w:w="2207" w:type="dxa"/>
            <w:hideMark/>
          </w:tcPr>
          <w:p w14:paraId="5A139EB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Preliminary identification</w:t>
            </w:r>
          </w:p>
        </w:tc>
        <w:tc>
          <w:tcPr>
            <w:tcW w:w="3113" w:type="dxa"/>
            <w:hideMark/>
          </w:tcPr>
          <w:p w14:paraId="3DBC6A3C"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Spectrophotometer</w:t>
            </w:r>
          </w:p>
        </w:tc>
        <w:tc>
          <w:tcPr>
            <w:tcW w:w="2737" w:type="dxa"/>
            <w:hideMark/>
          </w:tcPr>
          <w:p w14:paraId="0044498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Phenolics, flavonoids</w:t>
            </w:r>
          </w:p>
        </w:tc>
        <w:tc>
          <w:tcPr>
            <w:tcW w:w="720" w:type="dxa"/>
            <w:hideMark/>
          </w:tcPr>
          <w:p w14:paraId="56C58FB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[28]</w:t>
            </w:r>
          </w:p>
        </w:tc>
      </w:tr>
      <w:tr w:rsidR="00AD699D" w:rsidRPr="00AD699D" w14:paraId="0BEE0304" w14:textId="77777777" w:rsidTr="00AD699D">
        <w:tc>
          <w:tcPr>
            <w:tcW w:w="1843" w:type="dxa"/>
            <w:hideMark/>
          </w:tcPr>
          <w:p w14:paraId="7DCC069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FTIR Spectroscopy</w:t>
            </w:r>
          </w:p>
        </w:tc>
        <w:tc>
          <w:tcPr>
            <w:tcW w:w="2207" w:type="dxa"/>
            <w:hideMark/>
          </w:tcPr>
          <w:p w14:paraId="172518A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Functional group analysis</w:t>
            </w:r>
          </w:p>
        </w:tc>
        <w:tc>
          <w:tcPr>
            <w:tcW w:w="3113" w:type="dxa"/>
            <w:hideMark/>
          </w:tcPr>
          <w:p w14:paraId="0530BEFB"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Infrared spectrometer</w:t>
            </w:r>
          </w:p>
        </w:tc>
        <w:tc>
          <w:tcPr>
            <w:tcW w:w="2737" w:type="dxa"/>
            <w:hideMark/>
          </w:tcPr>
          <w:p w14:paraId="3A1B48A6"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Broad organic functional groups</w:t>
            </w:r>
          </w:p>
        </w:tc>
        <w:tc>
          <w:tcPr>
            <w:tcW w:w="720" w:type="dxa"/>
            <w:hideMark/>
          </w:tcPr>
          <w:p w14:paraId="43BEDB40"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[29]</w:t>
            </w:r>
          </w:p>
        </w:tc>
      </w:tr>
      <w:tr w:rsidR="00AD699D" w:rsidRPr="00AD699D" w14:paraId="56400084" w14:textId="77777777" w:rsidTr="00AD699D">
        <w:tc>
          <w:tcPr>
            <w:tcW w:w="1843" w:type="dxa"/>
            <w:hideMark/>
          </w:tcPr>
          <w:p w14:paraId="44F65EFC"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GC–MS</w:t>
            </w:r>
          </w:p>
        </w:tc>
        <w:tc>
          <w:tcPr>
            <w:tcW w:w="2207" w:type="dxa"/>
            <w:hideMark/>
          </w:tcPr>
          <w:p w14:paraId="3AA6BBAB"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Analysis of volatile compounds</w:t>
            </w:r>
          </w:p>
        </w:tc>
        <w:tc>
          <w:tcPr>
            <w:tcW w:w="3113" w:type="dxa"/>
            <w:hideMark/>
          </w:tcPr>
          <w:p w14:paraId="297A6BF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Gas chromatograph with MS detector</w:t>
            </w:r>
          </w:p>
        </w:tc>
        <w:tc>
          <w:tcPr>
            <w:tcW w:w="2737" w:type="dxa"/>
            <w:hideMark/>
          </w:tcPr>
          <w:p w14:paraId="588C71DD"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Essential oils, low MW terpenoids</w:t>
            </w:r>
          </w:p>
        </w:tc>
        <w:tc>
          <w:tcPr>
            <w:tcW w:w="720" w:type="dxa"/>
            <w:hideMark/>
          </w:tcPr>
          <w:p w14:paraId="1EF91FA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[30]</w:t>
            </w:r>
          </w:p>
        </w:tc>
      </w:tr>
      <w:tr w:rsidR="00AD699D" w:rsidRPr="00AD699D" w14:paraId="3F3DF7F5" w14:textId="77777777" w:rsidTr="00AD699D">
        <w:tc>
          <w:tcPr>
            <w:tcW w:w="1843" w:type="dxa"/>
            <w:hideMark/>
          </w:tcPr>
          <w:p w14:paraId="7060A04A"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LC–MS</w:t>
            </w:r>
          </w:p>
        </w:tc>
        <w:tc>
          <w:tcPr>
            <w:tcW w:w="2207" w:type="dxa"/>
            <w:hideMark/>
          </w:tcPr>
          <w:p w14:paraId="45F23D0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Non-volatile compound identification</w:t>
            </w:r>
          </w:p>
        </w:tc>
        <w:tc>
          <w:tcPr>
            <w:tcW w:w="3113" w:type="dxa"/>
            <w:hideMark/>
          </w:tcPr>
          <w:p w14:paraId="791B2E9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Liquid chromatograph with MS detector</w:t>
            </w:r>
          </w:p>
        </w:tc>
        <w:tc>
          <w:tcPr>
            <w:tcW w:w="2737" w:type="dxa"/>
            <w:hideMark/>
          </w:tcPr>
          <w:p w14:paraId="22D7784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Flavonoids, glycosides</w:t>
            </w:r>
          </w:p>
        </w:tc>
        <w:tc>
          <w:tcPr>
            <w:tcW w:w="720" w:type="dxa"/>
            <w:hideMark/>
          </w:tcPr>
          <w:p w14:paraId="3F2D12FB"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[30]</w:t>
            </w:r>
          </w:p>
        </w:tc>
      </w:tr>
      <w:tr w:rsidR="00AD699D" w:rsidRPr="00AD699D" w14:paraId="5D052F24" w14:textId="77777777" w:rsidTr="00AD699D">
        <w:tc>
          <w:tcPr>
            <w:tcW w:w="1843" w:type="dxa"/>
            <w:hideMark/>
          </w:tcPr>
          <w:p w14:paraId="475E4480"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NMR Spectroscopy (¹H, ¹³C)</w:t>
            </w:r>
          </w:p>
        </w:tc>
        <w:tc>
          <w:tcPr>
            <w:tcW w:w="2207" w:type="dxa"/>
            <w:hideMark/>
          </w:tcPr>
          <w:p w14:paraId="0676BBD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Structural elucidation</w:t>
            </w:r>
          </w:p>
        </w:tc>
        <w:tc>
          <w:tcPr>
            <w:tcW w:w="3113" w:type="dxa"/>
            <w:hideMark/>
          </w:tcPr>
          <w:p w14:paraId="14100830"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NMR solvents (</w:t>
            </w:r>
            <w:proofErr w:type="spellStart"/>
            <w:r w:rsidRPr="00AD699D">
              <w:rPr>
                <w:rFonts w:ascii="Times New Roman" w:hAnsi="Times New Roman" w:cs="Times New Roman"/>
              </w:rPr>
              <w:t>CDCl</w:t>
            </w:r>
            <w:proofErr w:type="spellEnd"/>
            <w:r w:rsidRPr="00AD699D">
              <w:rPr>
                <w:rFonts w:ascii="Times New Roman" w:hAnsi="Times New Roman" w:cs="Times New Roman"/>
              </w:rPr>
              <w:t xml:space="preserve">₃, DMSO-d₆, </w:t>
            </w:r>
            <w:proofErr w:type="spellStart"/>
            <w:r w:rsidRPr="00AD699D">
              <w:rPr>
                <w:rFonts w:ascii="Times New Roman" w:hAnsi="Times New Roman" w:cs="Times New Roman"/>
              </w:rPr>
              <w:t>MeOD</w:t>
            </w:r>
            <w:proofErr w:type="spellEnd"/>
            <w:r w:rsidRPr="00AD699D">
              <w:rPr>
                <w:rFonts w:ascii="Times New Roman" w:hAnsi="Times New Roman" w:cs="Times New Roman"/>
              </w:rPr>
              <w:t>)</w:t>
            </w:r>
          </w:p>
        </w:tc>
        <w:tc>
          <w:tcPr>
            <w:tcW w:w="2737" w:type="dxa"/>
            <w:hideMark/>
          </w:tcPr>
          <w:p w14:paraId="4616C2F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All major phytochemical classes</w:t>
            </w:r>
          </w:p>
        </w:tc>
        <w:tc>
          <w:tcPr>
            <w:tcW w:w="720" w:type="dxa"/>
            <w:hideMark/>
          </w:tcPr>
          <w:p w14:paraId="7241AFE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[31]</w:t>
            </w:r>
          </w:p>
        </w:tc>
      </w:tr>
    </w:tbl>
    <w:p w14:paraId="70C96E23" w14:textId="3780BFAE" w:rsidR="00D36869" w:rsidRDefault="00AD699D" w:rsidP="00AD699D">
      <w:pPr>
        <w:jc w:val="center"/>
        <w:rPr>
          <w:rFonts w:ascii="Times New Roman" w:hAnsi="Times New Roman" w:cs="Times New Roman"/>
        </w:rPr>
      </w:pPr>
      <w:r w:rsidRPr="00AD699D">
        <w:rPr>
          <w:rFonts w:ascii="Times New Roman" w:hAnsi="Times New Roman" w:cs="Times New Roman"/>
        </w:rPr>
        <w:t>Table</w:t>
      </w:r>
      <w:r>
        <w:rPr>
          <w:rFonts w:ascii="Times New Roman" w:hAnsi="Times New Roman" w:cs="Times New Roman"/>
        </w:rPr>
        <w:t xml:space="preserve"> No 02 -</w:t>
      </w:r>
      <w:r w:rsidRPr="00AD699D">
        <w:rPr>
          <w:rFonts w:ascii="Times New Roman" w:hAnsi="Times New Roman" w:cs="Times New Roman"/>
        </w:rPr>
        <w:t xml:space="preserve"> Summary of Extraction, Isolation, and Identification Techniques for Phytochemicals from </w:t>
      </w:r>
      <w:r w:rsidRPr="00AD699D">
        <w:rPr>
          <w:rFonts w:ascii="Times New Roman" w:hAnsi="Times New Roman" w:cs="Times New Roman"/>
          <w:i/>
          <w:iCs/>
        </w:rPr>
        <w:t xml:space="preserve">Crotalaria </w:t>
      </w:r>
      <w:proofErr w:type="spellStart"/>
      <w:r w:rsidRPr="00AD699D">
        <w:rPr>
          <w:rFonts w:ascii="Times New Roman" w:hAnsi="Times New Roman" w:cs="Times New Roman"/>
          <w:i/>
          <w:iCs/>
        </w:rPr>
        <w:t>multibracteata</w:t>
      </w:r>
      <w:proofErr w:type="spellEnd"/>
    </w:p>
    <w:p w14:paraId="77B622EA" w14:textId="77777777" w:rsidR="00D36869" w:rsidRDefault="00D36869" w:rsidP="00D36869">
      <w:pPr>
        <w:rPr>
          <w:rFonts w:ascii="Times New Roman" w:hAnsi="Times New Roman" w:cs="Times New Roman"/>
        </w:rPr>
      </w:pPr>
    </w:p>
    <w:p w14:paraId="6B07F55E" w14:textId="39DBA9F2" w:rsidR="00D86CCA" w:rsidRPr="003F031C" w:rsidRDefault="003F031C" w:rsidP="00D36869">
      <w:pPr>
        <w:rPr>
          <w:rFonts w:ascii="Times New Roman" w:hAnsi="Times New Roman" w:cs="Times New Roman"/>
          <w:b/>
        </w:rPr>
      </w:pPr>
      <w:r w:rsidRPr="003F031C">
        <w:rPr>
          <w:rFonts w:ascii="Times New Roman" w:hAnsi="Times New Roman" w:cs="Times New Roman"/>
          <w:b/>
        </w:rPr>
        <w:t>Findings and Discussion</w:t>
      </w:r>
      <w:bookmarkStart w:id="0" w:name="_GoBack"/>
      <w:bookmarkEnd w:id="0"/>
    </w:p>
    <w:p w14:paraId="3A4DCC97"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lastRenderedPageBreak/>
        <w:t xml:space="preserve">Phytochemical Constituents of </w:t>
      </w:r>
      <w:r w:rsidRPr="00D86CCA">
        <w:rPr>
          <w:rFonts w:ascii="Times New Roman" w:hAnsi="Times New Roman" w:cs="Times New Roman"/>
          <w:b/>
          <w:bCs/>
          <w:i/>
          <w:iCs/>
        </w:rPr>
        <w:t xml:space="preserve">Crotalaria </w:t>
      </w:r>
      <w:proofErr w:type="spellStart"/>
      <w:r w:rsidRPr="00D86CCA">
        <w:rPr>
          <w:rFonts w:ascii="Times New Roman" w:hAnsi="Times New Roman" w:cs="Times New Roman"/>
          <w:b/>
          <w:bCs/>
          <w:i/>
          <w:iCs/>
        </w:rPr>
        <w:t>multibracteata</w:t>
      </w:r>
      <w:proofErr w:type="spellEnd"/>
    </w:p>
    <w:p w14:paraId="55AE85AF" w14:textId="77777777" w:rsidR="00D86CCA" w:rsidRDefault="00D86CCA" w:rsidP="00D86CCA">
      <w:pPr>
        <w:jc w:val="both"/>
        <w:rPr>
          <w:rFonts w:ascii="Times New Roman" w:hAnsi="Times New Roman" w:cs="Times New Roman"/>
        </w:rPr>
      </w:pPr>
      <w:r w:rsidRPr="00D86CCA">
        <w:rPr>
          <w:rFonts w:ascii="Times New Roman" w:hAnsi="Times New Roman" w:cs="Times New Roman"/>
        </w:rPr>
        <w:t xml:space="preserve">Preliminary phytochemical screening and studies on related </w:t>
      </w:r>
      <w:r w:rsidRPr="00D86CCA">
        <w:rPr>
          <w:rFonts w:ascii="Times New Roman" w:hAnsi="Times New Roman" w:cs="Times New Roman"/>
          <w:i/>
          <w:iCs/>
        </w:rPr>
        <w:t>Crotalaria</w:t>
      </w:r>
      <w:r w:rsidRPr="00D86CCA">
        <w:rPr>
          <w:rFonts w:ascii="Times New Roman" w:hAnsi="Times New Roman" w:cs="Times New Roman"/>
        </w:rPr>
        <w:t xml:space="preserve"> species suggest that </w:t>
      </w:r>
      <w:r w:rsidRPr="00D86CCA">
        <w:rPr>
          <w:rFonts w:ascii="Times New Roman" w:hAnsi="Times New Roman" w:cs="Times New Roman"/>
          <w:i/>
          <w:iCs/>
        </w:rPr>
        <w:t xml:space="preserve">Crotalaria </w:t>
      </w:r>
      <w:proofErr w:type="spellStart"/>
      <w:r w:rsidRPr="00D86CCA">
        <w:rPr>
          <w:rFonts w:ascii="Times New Roman" w:hAnsi="Times New Roman" w:cs="Times New Roman"/>
          <w:i/>
          <w:iCs/>
        </w:rPr>
        <w:t>multibracteata</w:t>
      </w:r>
      <w:proofErr w:type="spellEnd"/>
      <w:r w:rsidRPr="00D86CCA">
        <w:rPr>
          <w:rFonts w:ascii="Times New Roman" w:hAnsi="Times New Roman" w:cs="Times New Roman"/>
        </w:rPr>
        <w:t xml:space="preserve"> contains a rich diversity of secondary metabolites such as flavonoids, alkaloids, terpenoids, saponins, tannins, and phenolic acids. These bioactive constituents contribute significantly to the plant’s traditional therapeutic uses and potential pharmacological value.</w:t>
      </w:r>
    </w:p>
    <w:p w14:paraId="0E2F730A" w14:textId="77777777" w:rsidR="003F031C" w:rsidRPr="00D86CCA" w:rsidRDefault="003F031C" w:rsidP="00D86CCA">
      <w:pPr>
        <w:jc w:val="both"/>
        <w:rPr>
          <w:rFonts w:ascii="Times New Roman" w:hAnsi="Times New Roman" w:cs="Times New Roman"/>
        </w:rPr>
      </w:pPr>
    </w:p>
    <w:p w14:paraId="234B79B2"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8.1 Flavonoids</w:t>
      </w:r>
    </w:p>
    <w:p w14:paraId="21886374"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Flavonoids are among the most widely distributed polyphenolic compounds in </w:t>
      </w:r>
      <w:r w:rsidRPr="00D86CCA">
        <w:rPr>
          <w:rFonts w:ascii="Times New Roman" w:hAnsi="Times New Roman" w:cs="Times New Roman"/>
          <w:i/>
          <w:iCs/>
        </w:rPr>
        <w:t>Crotalaria</w:t>
      </w:r>
      <w:r w:rsidRPr="00D86CCA">
        <w:rPr>
          <w:rFonts w:ascii="Times New Roman" w:hAnsi="Times New Roman" w:cs="Times New Roman"/>
        </w:rPr>
        <w:t xml:space="preserve"> species. They act as potent antioxidants, anti-inflammatory, and antimicrobial agents.</w:t>
      </w:r>
    </w:p>
    <w:p w14:paraId="085C1F0D"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Common types: Quercetin, kaempferol, luteolin derivatives.</w:t>
      </w:r>
    </w:p>
    <w:p w14:paraId="511FFB41"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Pharmacological role: Flavonoids scavenge free radicals, modulate inflammatory pathways (e.g., COX-2 inhibition), and support capillary integrity and wound healing [32].</w:t>
      </w:r>
    </w:p>
    <w:p w14:paraId="52F6DC08"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Ayurvedic relevance: These effects align with </w:t>
      </w:r>
      <w:proofErr w:type="spellStart"/>
      <w:r w:rsidRPr="00D86CCA">
        <w:rPr>
          <w:rFonts w:ascii="Times New Roman" w:hAnsi="Times New Roman" w:cs="Times New Roman"/>
        </w:rPr>
        <w:t>Ayurvedic</w:t>
      </w:r>
      <w:proofErr w:type="spellEnd"/>
      <w:r w:rsidRPr="00D86CCA">
        <w:rPr>
          <w:rFonts w:ascii="Times New Roman" w:hAnsi="Times New Roman" w:cs="Times New Roman"/>
        </w:rPr>
        <w:t xml:space="preserve"> concepts of balancing Pitta and </w:t>
      </w:r>
      <w:proofErr w:type="spellStart"/>
      <w:r w:rsidRPr="00D86CCA">
        <w:rPr>
          <w:rFonts w:ascii="Times New Roman" w:hAnsi="Times New Roman" w:cs="Times New Roman"/>
        </w:rPr>
        <w:t>Raktha</w:t>
      </w:r>
      <w:proofErr w:type="spellEnd"/>
      <w:r w:rsidRPr="00D86CCA">
        <w:rPr>
          <w:rFonts w:ascii="Times New Roman" w:hAnsi="Times New Roman" w:cs="Times New Roman"/>
        </w:rPr>
        <w:t xml:space="preserve"> </w:t>
      </w:r>
      <w:proofErr w:type="spellStart"/>
      <w:r w:rsidRPr="00D86CCA">
        <w:rPr>
          <w:rFonts w:ascii="Times New Roman" w:hAnsi="Times New Roman" w:cs="Times New Roman"/>
        </w:rPr>
        <w:t>dhatu</w:t>
      </w:r>
      <w:proofErr w:type="spellEnd"/>
      <w:r w:rsidRPr="00D86CCA">
        <w:rPr>
          <w:rFonts w:ascii="Times New Roman" w:hAnsi="Times New Roman" w:cs="Times New Roman"/>
        </w:rPr>
        <w:t xml:space="preserve"> (blood tissue), often associated with detoxifying and cooling actions.</w:t>
      </w:r>
    </w:p>
    <w:p w14:paraId="6363FC91"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Local use: Leaf pastes used for eczema and wounds are believed to derive efficacy from flavonoid content.</w:t>
      </w:r>
    </w:p>
    <w:p w14:paraId="0DDD2277"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8.2 Alkaloids</w:t>
      </w:r>
    </w:p>
    <w:p w14:paraId="777FF642"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Alkaloids in </w:t>
      </w:r>
      <w:r w:rsidRPr="00D86CCA">
        <w:rPr>
          <w:rFonts w:ascii="Times New Roman" w:hAnsi="Times New Roman" w:cs="Times New Roman"/>
          <w:i/>
          <w:iCs/>
        </w:rPr>
        <w:t>Crotalaria</w:t>
      </w:r>
      <w:r w:rsidRPr="00D86CCA">
        <w:rPr>
          <w:rFonts w:ascii="Times New Roman" w:hAnsi="Times New Roman" w:cs="Times New Roman"/>
        </w:rPr>
        <w:t xml:space="preserve"> are structurally diverse and biologically active, although some may be pyrrolizidine alkaloids (PAs), which warrant caution due to hepatotoxic potential in high doses.</w:t>
      </w:r>
    </w:p>
    <w:p w14:paraId="031749AD"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Common types: </w:t>
      </w:r>
      <w:proofErr w:type="spellStart"/>
      <w:r w:rsidRPr="00D86CCA">
        <w:rPr>
          <w:rFonts w:ascii="Times New Roman" w:hAnsi="Times New Roman" w:cs="Times New Roman"/>
        </w:rPr>
        <w:t>Monocrotaline</w:t>
      </w:r>
      <w:proofErr w:type="spellEnd"/>
      <w:r w:rsidRPr="00D86CCA">
        <w:rPr>
          <w:rFonts w:ascii="Times New Roman" w:hAnsi="Times New Roman" w:cs="Times New Roman"/>
        </w:rPr>
        <w:t xml:space="preserve">, </w:t>
      </w:r>
      <w:proofErr w:type="spellStart"/>
      <w:r w:rsidRPr="00D86CCA">
        <w:rPr>
          <w:rFonts w:ascii="Times New Roman" w:hAnsi="Times New Roman" w:cs="Times New Roman"/>
        </w:rPr>
        <w:t>retrorsine</w:t>
      </w:r>
      <w:proofErr w:type="spellEnd"/>
      <w:r w:rsidRPr="00D86CCA">
        <w:rPr>
          <w:rFonts w:ascii="Times New Roman" w:hAnsi="Times New Roman" w:cs="Times New Roman"/>
        </w:rPr>
        <w:t xml:space="preserve"> (noted in other </w:t>
      </w:r>
      <w:r w:rsidRPr="00D86CCA">
        <w:rPr>
          <w:rFonts w:ascii="Times New Roman" w:hAnsi="Times New Roman" w:cs="Times New Roman"/>
          <w:i/>
          <w:iCs/>
        </w:rPr>
        <w:t>Crotalaria</w:t>
      </w:r>
      <w:r w:rsidRPr="00D86CCA">
        <w:rPr>
          <w:rFonts w:ascii="Times New Roman" w:hAnsi="Times New Roman" w:cs="Times New Roman"/>
        </w:rPr>
        <w:t xml:space="preserve"> spp.)</w:t>
      </w:r>
    </w:p>
    <w:p w14:paraId="2F722387"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Pharmacological role: Exhibit antimicrobial, cytotoxic, and vasoactive properties. Some are known to induce apoptosis in cancer cell lines [33].</w:t>
      </w:r>
    </w:p>
    <w:p w14:paraId="48C9B5EE"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Ayurvedic correlation: Alkaloids contribute to </w:t>
      </w:r>
      <w:proofErr w:type="spellStart"/>
      <w:r w:rsidRPr="00D86CCA">
        <w:rPr>
          <w:rFonts w:ascii="Times New Roman" w:hAnsi="Times New Roman" w:cs="Times New Roman"/>
        </w:rPr>
        <w:t>Katu</w:t>
      </w:r>
      <w:proofErr w:type="spellEnd"/>
      <w:r w:rsidRPr="00D86CCA">
        <w:rPr>
          <w:rFonts w:ascii="Times New Roman" w:hAnsi="Times New Roman" w:cs="Times New Roman"/>
        </w:rPr>
        <w:t xml:space="preserve"> rasa (pungent taste) and are often used in traditional formulations to stimulate digestion and blood circulation.</w:t>
      </w:r>
    </w:p>
    <w:p w14:paraId="7D554BAA"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Local use: Decoctions made for fever and internal pain may be attributed to these compounds.</w:t>
      </w:r>
    </w:p>
    <w:p w14:paraId="4C44C1A7"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8.3 Terpenoids</w:t>
      </w:r>
    </w:p>
    <w:p w14:paraId="04C5F81E"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Terpenoids are present in moderate quantities and contribute to the plant's fragrance and possible anti-inflammatory and analgesic properties.</w:t>
      </w:r>
    </w:p>
    <w:p w14:paraId="39CC3F36"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Common types: Sesquiterpenes, diterpenes (tentative based on genus profiling).</w:t>
      </w:r>
    </w:p>
    <w:p w14:paraId="6BA1C9D0"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lastRenderedPageBreak/>
        <w:t>Pharmacological role: Terpenoids show anti-inflammatory, antioxidant, and antitumor activities by modulating cytokine release and signaling pathways like NF-</w:t>
      </w:r>
      <w:proofErr w:type="spellStart"/>
      <w:r w:rsidRPr="00D86CCA">
        <w:rPr>
          <w:rFonts w:ascii="Times New Roman" w:hAnsi="Times New Roman" w:cs="Times New Roman"/>
        </w:rPr>
        <w:t>κB</w:t>
      </w:r>
      <w:proofErr w:type="spellEnd"/>
      <w:r w:rsidRPr="00D86CCA">
        <w:rPr>
          <w:rFonts w:ascii="Times New Roman" w:hAnsi="Times New Roman" w:cs="Times New Roman"/>
        </w:rPr>
        <w:t xml:space="preserve"> [34].</w:t>
      </w:r>
    </w:p>
    <w:p w14:paraId="38C8308A" w14:textId="77777777" w:rsidR="00D86CCA" w:rsidRPr="00D86CCA" w:rsidRDefault="00D86CCA" w:rsidP="00D86CCA">
      <w:pPr>
        <w:jc w:val="both"/>
        <w:rPr>
          <w:rFonts w:ascii="Times New Roman" w:hAnsi="Times New Roman" w:cs="Times New Roman"/>
        </w:rPr>
      </w:pPr>
      <w:proofErr w:type="spellStart"/>
      <w:r w:rsidRPr="00D86CCA">
        <w:rPr>
          <w:rFonts w:ascii="Times New Roman" w:hAnsi="Times New Roman" w:cs="Times New Roman"/>
        </w:rPr>
        <w:t>Ayurvedic</w:t>
      </w:r>
      <w:proofErr w:type="spellEnd"/>
      <w:r w:rsidRPr="00D86CCA">
        <w:rPr>
          <w:rFonts w:ascii="Times New Roman" w:hAnsi="Times New Roman" w:cs="Times New Roman"/>
        </w:rPr>
        <w:t xml:space="preserve"> relevance: Their </w:t>
      </w:r>
      <w:proofErr w:type="spellStart"/>
      <w:r w:rsidRPr="00D86CCA">
        <w:rPr>
          <w:rFonts w:ascii="Times New Roman" w:hAnsi="Times New Roman" w:cs="Times New Roman"/>
        </w:rPr>
        <w:t>ushna</w:t>
      </w:r>
      <w:proofErr w:type="spellEnd"/>
      <w:r w:rsidRPr="00D86CCA">
        <w:rPr>
          <w:rFonts w:ascii="Times New Roman" w:hAnsi="Times New Roman" w:cs="Times New Roman"/>
        </w:rPr>
        <w:t xml:space="preserve"> </w:t>
      </w:r>
      <w:proofErr w:type="spellStart"/>
      <w:r w:rsidRPr="00D86CCA">
        <w:rPr>
          <w:rFonts w:ascii="Times New Roman" w:hAnsi="Times New Roman" w:cs="Times New Roman"/>
        </w:rPr>
        <w:t>virya</w:t>
      </w:r>
      <w:proofErr w:type="spellEnd"/>
      <w:r w:rsidRPr="00D86CCA">
        <w:rPr>
          <w:rFonts w:ascii="Times New Roman" w:hAnsi="Times New Roman" w:cs="Times New Roman"/>
        </w:rPr>
        <w:t xml:space="preserve"> (heating potency) helps in breaking down obstructions (</w:t>
      </w:r>
      <w:proofErr w:type="spellStart"/>
      <w:r w:rsidRPr="00D86CCA">
        <w:rPr>
          <w:rFonts w:ascii="Times New Roman" w:hAnsi="Times New Roman" w:cs="Times New Roman"/>
        </w:rPr>
        <w:t>Avarana</w:t>
      </w:r>
      <w:proofErr w:type="spellEnd"/>
      <w:r w:rsidRPr="00D86CCA">
        <w:rPr>
          <w:rFonts w:ascii="Times New Roman" w:hAnsi="Times New Roman" w:cs="Times New Roman"/>
        </w:rPr>
        <w:t>) and alleviating chronic inflammatory conditions.</w:t>
      </w:r>
    </w:p>
    <w:p w14:paraId="72FB0143"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Local use: Traditionally used for muscular pain and postpartum care.</w:t>
      </w:r>
    </w:p>
    <w:p w14:paraId="226C4D18"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8.4 Phenolic Compounds</w:t>
      </w:r>
    </w:p>
    <w:p w14:paraId="2FD65EF9"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Phenolic acids and tannins are common across </w:t>
      </w:r>
      <w:r w:rsidRPr="00D86CCA">
        <w:rPr>
          <w:rFonts w:ascii="Times New Roman" w:hAnsi="Times New Roman" w:cs="Times New Roman"/>
          <w:i/>
          <w:iCs/>
        </w:rPr>
        <w:t>Crotalaria</w:t>
      </w:r>
      <w:r w:rsidRPr="00D86CCA">
        <w:rPr>
          <w:rFonts w:ascii="Times New Roman" w:hAnsi="Times New Roman" w:cs="Times New Roman"/>
        </w:rPr>
        <w:t xml:space="preserve"> species and are known for their antioxidant and antiseptic properties.</w:t>
      </w:r>
    </w:p>
    <w:p w14:paraId="4E063459"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Common types: Gallic acid, ferulic acid, caffeic acid.</w:t>
      </w:r>
    </w:p>
    <w:p w14:paraId="5F131585"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Pharmacological role: Phenolics help in reducing oxidative stress, inhibiting microbial growth, and promoting wound healing by cross-linking collagen [35].</w:t>
      </w:r>
    </w:p>
    <w:p w14:paraId="7A2D6B53"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Ayurvedic relevance: Considered cooling and drying, useful in managing Pitta disorders, ulcers, and skin inflammation.</w:t>
      </w:r>
    </w:p>
    <w:p w14:paraId="3B7B5174"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Local use: External washes for skin infections and heat boils.</w:t>
      </w:r>
    </w:p>
    <w:p w14:paraId="04F0A430"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8.5 Saponins and Tannins</w:t>
      </w:r>
    </w:p>
    <w:p w14:paraId="1ED77F22"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These compounds exhibit antifungal, astringent, and immune-modulating properties.</w:t>
      </w:r>
    </w:p>
    <w:p w14:paraId="4C350FF2"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Saponins: Known for surface-active properties, enhancing the absorption of other compounds and contributing to anti-inflammatory activity.</w:t>
      </w:r>
    </w:p>
    <w:p w14:paraId="2AB19387"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Tannins: Show astringent, antidiarrheal, and anti-infective properties, often linked to their ability to precipitate proteins and form protective layers on mucosa.</w:t>
      </w:r>
    </w:p>
    <w:p w14:paraId="797568FF"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8.6 Additional Compounds</w:t>
      </w:r>
    </w:p>
    <w:p w14:paraId="2849FF5E"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Preliminary reports on </w:t>
      </w:r>
      <w:r w:rsidRPr="00D86CCA">
        <w:rPr>
          <w:rFonts w:ascii="Times New Roman" w:hAnsi="Times New Roman" w:cs="Times New Roman"/>
          <w:i/>
          <w:iCs/>
        </w:rPr>
        <w:t xml:space="preserve">Crotalaria </w:t>
      </w:r>
      <w:proofErr w:type="spellStart"/>
      <w:r w:rsidRPr="00D86CCA">
        <w:rPr>
          <w:rFonts w:ascii="Times New Roman" w:hAnsi="Times New Roman" w:cs="Times New Roman"/>
          <w:i/>
          <w:iCs/>
        </w:rPr>
        <w:t>multibracteata</w:t>
      </w:r>
      <w:proofErr w:type="spellEnd"/>
      <w:r w:rsidRPr="00D86CCA">
        <w:rPr>
          <w:rFonts w:ascii="Times New Roman" w:hAnsi="Times New Roman" w:cs="Times New Roman"/>
        </w:rPr>
        <w:t xml:space="preserve"> and related species suggest the presence of:</w:t>
      </w:r>
    </w:p>
    <w:p w14:paraId="39D66F06"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Glycosides, associated with cardiotonic and anti-inflammatory actions.</w:t>
      </w:r>
    </w:p>
    <w:p w14:paraId="726E03A8"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Sterols like β-sitosterol, which may have anti-diabetic and cholesterol-lowering effects [36].</w:t>
      </w:r>
    </w:p>
    <w:p w14:paraId="705CD1AC" w14:textId="77777777" w:rsidR="00D36869" w:rsidRDefault="00D36869" w:rsidP="00D36869">
      <w:pPr>
        <w:rPr>
          <w:rFonts w:ascii="Times New Roman" w:hAnsi="Times New Roman" w:cs="Times New Roman"/>
        </w:rPr>
      </w:pPr>
    </w:p>
    <w:tbl>
      <w:tblPr>
        <w:tblStyle w:val="TableGrid"/>
        <w:tblW w:w="0" w:type="auto"/>
        <w:tblLook w:val="04A0" w:firstRow="1" w:lastRow="0" w:firstColumn="1" w:lastColumn="0" w:noHBand="0" w:noVBand="1"/>
      </w:tblPr>
      <w:tblGrid>
        <w:gridCol w:w="1761"/>
        <w:gridCol w:w="1835"/>
        <w:gridCol w:w="2181"/>
        <w:gridCol w:w="1635"/>
        <w:gridCol w:w="2164"/>
      </w:tblGrid>
      <w:tr w:rsidR="00D86CCA" w:rsidRPr="00D86CCA" w14:paraId="3F38FE0D" w14:textId="77777777" w:rsidTr="00D86CCA">
        <w:tc>
          <w:tcPr>
            <w:tcW w:w="0" w:type="auto"/>
            <w:vAlign w:val="center"/>
            <w:hideMark/>
          </w:tcPr>
          <w:p w14:paraId="0AE3037C" w14:textId="77777777" w:rsidR="00D86CCA" w:rsidRPr="00D86CCA" w:rsidRDefault="00D86CCA" w:rsidP="00D86CCA">
            <w:pPr>
              <w:spacing w:after="160" w:line="278" w:lineRule="auto"/>
              <w:jc w:val="center"/>
              <w:rPr>
                <w:rFonts w:ascii="Times New Roman" w:hAnsi="Times New Roman" w:cs="Times New Roman"/>
                <w:b/>
                <w:bCs/>
              </w:rPr>
            </w:pPr>
            <w:r w:rsidRPr="00D86CCA">
              <w:rPr>
                <w:rFonts w:ascii="Times New Roman" w:hAnsi="Times New Roman" w:cs="Times New Roman"/>
                <w:b/>
                <w:bCs/>
              </w:rPr>
              <w:t>Phytochemical Class</w:t>
            </w:r>
          </w:p>
        </w:tc>
        <w:tc>
          <w:tcPr>
            <w:tcW w:w="0" w:type="auto"/>
            <w:vAlign w:val="center"/>
            <w:hideMark/>
          </w:tcPr>
          <w:p w14:paraId="42097447" w14:textId="77777777" w:rsidR="00D86CCA" w:rsidRPr="00D86CCA" w:rsidRDefault="00D86CCA" w:rsidP="00D86CCA">
            <w:pPr>
              <w:spacing w:after="160" w:line="278" w:lineRule="auto"/>
              <w:jc w:val="center"/>
              <w:rPr>
                <w:rFonts w:ascii="Times New Roman" w:hAnsi="Times New Roman" w:cs="Times New Roman"/>
                <w:b/>
                <w:bCs/>
              </w:rPr>
            </w:pPr>
            <w:r w:rsidRPr="00D86CCA">
              <w:rPr>
                <w:rFonts w:ascii="Times New Roman" w:hAnsi="Times New Roman" w:cs="Times New Roman"/>
                <w:b/>
                <w:bCs/>
              </w:rPr>
              <w:t>Key Compounds</w:t>
            </w:r>
          </w:p>
        </w:tc>
        <w:tc>
          <w:tcPr>
            <w:tcW w:w="0" w:type="auto"/>
            <w:vAlign w:val="center"/>
            <w:hideMark/>
          </w:tcPr>
          <w:p w14:paraId="7FBEA586" w14:textId="77777777" w:rsidR="00D86CCA" w:rsidRPr="00D86CCA" w:rsidRDefault="00D86CCA" w:rsidP="00D86CCA">
            <w:pPr>
              <w:spacing w:after="160" w:line="278" w:lineRule="auto"/>
              <w:jc w:val="center"/>
              <w:rPr>
                <w:rFonts w:ascii="Times New Roman" w:hAnsi="Times New Roman" w:cs="Times New Roman"/>
                <w:b/>
                <w:bCs/>
              </w:rPr>
            </w:pPr>
            <w:r w:rsidRPr="00D86CCA">
              <w:rPr>
                <w:rFonts w:ascii="Times New Roman" w:hAnsi="Times New Roman" w:cs="Times New Roman"/>
                <w:b/>
                <w:bCs/>
              </w:rPr>
              <w:t>Pharmacological Activities</w:t>
            </w:r>
          </w:p>
        </w:tc>
        <w:tc>
          <w:tcPr>
            <w:tcW w:w="0" w:type="auto"/>
            <w:vAlign w:val="center"/>
            <w:hideMark/>
          </w:tcPr>
          <w:p w14:paraId="4FE10ECC" w14:textId="77777777" w:rsidR="00D86CCA" w:rsidRPr="00D86CCA" w:rsidRDefault="00D86CCA" w:rsidP="00D86CCA">
            <w:pPr>
              <w:spacing w:after="160" w:line="278" w:lineRule="auto"/>
              <w:jc w:val="center"/>
              <w:rPr>
                <w:rFonts w:ascii="Times New Roman" w:hAnsi="Times New Roman" w:cs="Times New Roman"/>
                <w:b/>
                <w:bCs/>
              </w:rPr>
            </w:pPr>
            <w:r w:rsidRPr="00D86CCA">
              <w:rPr>
                <w:rFonts w:ascii="Times New Roman" w:hAnsi="Times New Roman" w:cs="Times New Roman"/>
                <w:b/>
                <w:bCs/>
              </w:rPr>
              <w:t>Ayurvedic Role</w:t>
            </w:r>
          </w:p>
        </w:tc>
        <w:tc>
          <w:tcPr>
            <w:tcW w:w="0" w:type="auto"/>
            <w:vAlign w:val="center"/>
            <w:hideMark/>
          </w:tcPr>
          <w:p w14:paraId="0801918A" w14:textId="77777777" w:rsidR="00D86CCA" w:rsidRPr="00D86CCA" w:rsidRDefault="00D86CCA" w:rsidP="00D86CCA">
            <w:pPr>
              <w:spacing w:after="160" w:line="278" w:lineRule="auto"/>
              <w:jc w:val="center"/>
              <w:rPr>
                <w:rFonts w:ascii="Times New Roman" w:hAnsi="Times New Roman" w:cs="Times New Roman"/>
                <w:b/>
                <w:bCs/>
              </w:rPr>
            </w:pPr>
            <w:r w:rsidRPr="00D86CCA">
              <w:rPr>
                <w:rFonts w:ascii="Times New Roman" w:hAnsi="Times New Roman" w:cs="Times New Roman"/>
                <w:b/>
                <w:bCs/>
              </w:rPr>
              <w:t>Traditional/Local Uses</w:t>
            </w:r>
          </w:p>
        </w:tc>
      </w:tr>
      <w:tr w:rsidR="00D86CCA" w:rsidRPr="00D86CCA" w14:paraId="5A665358" w14:textId="77777777" w:rsidTr="00D86CCA">
        <w:tc>
          <w:tcPr>
            <w:tcW w:w="0" w:type="auto"/>
            <w:vAlign w:val="center"/>
            <w:hideMark/>
          </w:tcPr>
          <w:p w14:paraId="087704EE"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t>Flavonoids</w:t>
            </w:r>
          </w:p>
        </w:tc>
        <w:tc>
          <w:tcPr>
            <w:tcW w:w="0" w:type="auto"/>
            <w:vAlign w:val="center"/>
            <w:hideMark/>
          </w:tcPr>
          <w:p w14:paraId="5904C785"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Quercetin, Kaempferol, Luteolin</w:t>
            </w:r>
          </w:p>
        </w:tc>
        <w:tc>
          <w:tcPr>
            <w:tcW w:w="0" w:type="auto"/>
            <w:vAlign w:val="center"/>
            <w:hideMark/>
          </w:tcPr>
          <w:p w14:paraId="276727D6"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Antioxidant, anti-inflammatory, antimicrobial</w:t>
            </w:r>
          </w:p>
        </w:tc>
        <w:tc>
          <w:tcPr>
            <w:tcW w:w="0" w:type="auto"/>
            <w:vAlign w:val="center"/>
            <w:hideMark/>
          </w:tcPr>
          <w:p w14:paraId="3B701382"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 xml:space="preserve">Balances Pitta and </w:t>
            </w:r>
            <w:proofErr w:type="spellStart"/>
            <w:r w:rsidRPr="00D86CCA">
              <w:rPr>
                <w:rFonts w:ascii="Times New Roman" w:hAnsi="Times New Roman" w:cs="Times New Roman"/>
              </w:rPr>
              <w:t>Raktha</w:t>
            </w:r>
            <w:proofErr w:type="spellEnd"/>
            <w:r w:rsidRPr="00D86CCA">
              <w:rPr>
                <w:rFonts w:ascii="Times New Roman" w:hAnsi="Times New Roman" w:cs="Times New Roman"/>
              </w:rPr>
              <w:t xml:space="preserve"> </w:t>
            </w:r>
            <w:proofErr w:type="spellStart"/>
            <w:r w:rsidRPr="00D86CCA">
              <w:rPr>
                <w:rFonts w:ascii="Times New Roman" w:hAnsi="Times New Roman" w:cs="Times New Roman"/>
              </w:rPr>
              <w:t>dhatu</w:t>
            </w:r>
            <w:proofErr w:type="spellEnd"/>
            <w:r w:rsidRPr="00D86CCA">
              <w:rPr>
                <w:rFonts w:ascii="Times New Roman" w:hAnsi="Times New Roman" w:cs="Times New Roman"/>
              </w:rPr>
              <w:t xml:space="preserve">; </w:t>
            </w:r>
            <w:r w:rsidRPr="00D86CCA">
              <w:rPr>
                <w:rFonts w:ascii="Times New Roman" w:hAnsi="Times New Roman" w:cs="Times New Roman"/>
              </w:rPr>
              <w:lastRenderedPageBreak/>
              <w:t>detoxifying</w:t>
            </w:r>
          </w:p>
        </w:tc>
        <w:tc>
          <w:tcPr>
            <w:tcW w:w="0" w:type="auto"/>
            <w:vAlign w:val="center"/>
            <w:hideMark/>
          </w:tcPr>
          <w:p w14:paraId="55A9491A"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lastRenderedPageBreak/>
              <w:t>Used in wound healing, skin disorders</w:t>
            </w:r>
          </w:p>
        </w:tc>
      </w:tr>
      <w:tr w:rsidR="00D86CCA" w:rsidRPr="00D86CCA" w14:paraId="6082E26B" w14:textId="77777777" w:rsidTr="00D86CCA">
        <w:tc>
          <w:tcPr>
            <w:tcW w:w="0" w:type="auto"/>
            <w:vAlign w:val="center"/>
            <w:hideMark/>
          </w:tcPr>
          <w:p w14:paraId="22983C33"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lastRenderedPageBreak/>
              <w:t>Alkaloids</w:t>
            </w:r>
          </w:p>
        </w:tc>
        <w:tc>
          <w:tcPr>
            <w:tcW w:w="0" w:type="auto"/>
            <w:vAlign w:val="center"/>
            <w:hideMark/>
          </w:tcPr>
          <w:p w14:paraId="454A3337" w14:textId="77777777" w:rsidR="00D86CCA" w:rsidRPr="00D86CCA" w:rsidRDefault="00D86CCA" w:rsidP="00D86CCA">
            <w:pPr>
              <w:spacing w:after="160" w:line="278" w:lineRule="auto"/>
              <w:jc w:val="center"/>
              <w:rPr>
                <w:rFonts w:ascii="Times New Roman" w:hAnsi="Times New Roman" w:cs="Times New Roman"/>
              </w:rPr>
            </w:pPr>
            <w:proofErr w:type="spellStart"/>
            <w:r w:rsidRPr="00D86CCA">
              <w:rPr>
                <w:rFonts w:ascii="Times New Roman" w:hAnsi="Times New Roman" w:cs="Times New Roman"/>
              </w:rPr>
              <w:t>Monocrotaline</w:t>
            </w:r>
            <w:proofErr w:type="spellEnd"/>
            <w:r w:rsidRPr="00D86CCA">
              <w:rPr>
                <w:rFonts w:ascii="Times New Roman" w:hAnsi="Times New Roman" w:cs="Times New Roman"/>
              </w:rPr>
              <w:t xml:space="preserve">, </w:t>
            </w:r>
            <w:proofErr w:type="spellStart"/>
            <w:r w:rsidRPr="00D86CCA">
              <w:rPr>
                <w:rFonts w:ascii="Times New Roman" w:hAnsi="Times New Roman" w:cs="Times New Roman"/>
              </w:rPr>
              <w:t>Retrorsine</w:t>
            </w:r>
            <w:proofErr w:type="spellEnd"/>
          </w:p>
        </w:tc>
        <w:tc>
          <w:tcPr>
            <w:tcW w:w="0" w:type="auto"/>
            <w:vAlign w:val="center"/>
            <w:hideMark/>
          </w:tcPr>
          <w:p w14:paraId="4A9B91C8"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Antimicrobial, cytotoxic, vasoactive</w:t>
            </w:r>
          </w:p>
        </w:tc>
        <w:tc>
          <w:tcPr>
            <w:tcW w:w="0" w:type="auto"/>
            <w:vAlign w:val="center"/>
            <w:hideMark/>
          </w:tcPr>
          <w:p w14:paraId="4D348677" w14:textId="77777777" w:rsidR="00D86CCA" w:rsidRPr="00D86CCA" w:rsidRDefault="00D86CCA" w:rsidP="00D86CCA">
            <w:pPr>
              <w:spacing w:after="160" w:line="278" w:lineRule="auto"/>
              <w:jc w:val="center"/>
              <w:rPr>
                <w:rFonts w:ascii="Times New Roman" w:hAnsi="Times New Roman" w:cs="Times New Roman"/>
              </w:rPr>
            </w:pPr>
            <w:proofErr w:type="spellStart"/>
            <w:r w:rsidRPr="00D86CCA">
              <w:rPr>
                <w:rFonts w:ascii="Times New Roman" w:hAnsi="Times New Roman" w:cs="Times New Roman"/>
              </w:rPr>
              <w:t>Katu</w:t>
            </w:r>
            <w:proofErr w:type="spellEnd"/>
            <w:r w:rsidRPr="00D86CCA">
              <w:rPr>
                <w:rFonts w:ascii="Times New Roman" w:hAnsi="Times New Roman" w:cs="Times New Roman"/>
              </w:rPr>
              <w:t xml:space="preserve"> rasa; digestive stimulant, improves circulation</w:t>
            </w:r>
          </w:p>
        </w:tc>
        <w:tc>
          <w:tcPr>
            <w:tcW w:w="0" w:type="auto"/>
            <w:vAlign w:val="center"/>
            <w:hideMark/>
          </w:tcPr>
          <w:p w14:paraId="731750C7"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Used for fever, internal pain relief</w:t>
            </w:r>
          </w:p>
        </w:tc>
      </w:tr>
      <w:tr w:rsidR="00D86CCA" w:rsidRPr="00D86CCA" w14:paraId="66551C4E" w14:textId="77777777" w:rsidTr="00D86CCA">
        <w:tc>
          <w:tcPr>
            <w:tcW w:w="0" w:type="auto"/>
            <w:vAlign w:val="center"/>
            <w:hideMark/>
          </w:tcPr>
          <w:p w14:paraId="18351417"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t>Terpenoids</w:t>
            </w:r>
          </w:p>
        </w:tc>
        <w:tc>
          <w:tcPr>
            <w:tcW w:w="0" w:type="auto"/>
            <w:vAlign w:val="center"/>
            <w:hideMark/>
          </w:tcPr>
          <w:p w14:paraId="47507B70"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Sesquiterpenes, Diterpenes</w:t>
            </w:r>
          </w:p>
        </w:tc>
        <w:tc>
          <w:tcPr>
            <w:tcW w:w="0" w:type="auto"/>
            <w:vAlign w:val="center"/>
            <w:hideMark/>
          </w:tcPr>
          <w:p w14:paraId="759C63A8"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Anti-inflammatory, analgesic, antioxidant</w:t>
            </w:r>
          </w:p>
        </w:tc>
        <w:tc>
          <w:tcPr>
            <w:tcW w:w="0" w:type="auto"/>
            <w:vAlign w:val="center"/>
            <w:hideMark/>
          </w:tcPr>
          <w:p w14:paraId="0BA81A6C" w14:textId="77777777" w:rsidR="00D86CCA" w:rsidRPr="00D86CCA" w:rsidRDefault="00D86CCA" w:rsidP="00D86CCA">
            <w:pPr>
              <w:spacing w:after="160" w:line="278" w:lineRule="auto"/>
              <w:jc w:val="center"/>
              <w:rPr>
                <w:rFonts w:ascii="Times New Roman" w:hAnsi="Times New Roman" w:cs="Times New Roman"/>
              </w:rPr>
            </w:pPr>
            <w:proofErr w:type="spellStart"/>
            <w:r w:rsidRPr="00D86CCA">
              <w:rPr>
                <w:rFonts w:ascii="Times New Roman" w:hAnsi="Times New Roman" w:cs="Times New Roman"/>
              </w:rPr>
              <w:t>Ushna</w:t>
            </w:r>
            <w:proofErr w:type="spellEnd"/>
            <w:r w:rsidRPr="00D86CCA">
              <w:rPr>
                <w:rFonts w:ascii="Times New Roman" w:hAnsi="Times New Roman" w:cs="Times New Roman"/>
              </w:rPr>
              <w:t xml:space="preserve"> </w:t>
            </w:r>
            <w:proofErr w:type="spellStart"/>
            <w:r w:rsidRPr="00D86CCA">
              <w:rPr>
                <w:rFonts w:ascii="Times New Roman" w:hAnsi="Times New Roman" w:cs="Times New Roman"/>
              </w:rPr>
              <w:t>virya</w:t>
            </w:r>
            <w:proofErr w:type="spellEnd"/>
            <w:r w:rsidRPr="00D86CCA">
              <w:rPr>
                <w:rFonts w:ascii="Times New Roman" w:hAnsi="Times New Roman" w:cs="Times New Roman"/>
              </w:rPr>
              <w:t xml:space="preserve"> (heating potency); reduces obstructions</w:t>
            </w:r>
          </w:p>
        </w:tc>
        <w:tc>
          <w:tcPr>
            <w:tcW w:w="0" w:type="auto"/>
            <w:vAlign w:val="center"/>
            <w:hideMark/>
          </w:tcPr>
          <w:p w14:paraId="4B0A5469"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Used in muscle pain, postpartum care</w:t>
            </w:r>
          </w:p>
        </w:tc>
      </w:tr>
      <w:tr w:rsidR="00D86CCA" w:rsidRPr="00D86CCA" w14:paraId="06B45663" w14:textId="77777777" w:rsidTr="00D86CCA">
        <w:tc>
          <w:tcPr>
            <w:tcW w:w="0" w:type="auto"/>
            <w:vAlign w:val="center"/>
            <w:hideMark/>
          </w:tcPr>
          <w:p w14:paraId="6A2BC635"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t>Phenolic Compounds</w:t>
            </w:r>
          </w:p>
        </w:tc>
        <w:tc>
          <w:tcPr>
            <w:tcW w:w="0" w:type="auto"/>
            <w:vAlign w:val="center"/>
            <w:hideMark/>
          </w:tcPr>
          <w:p w14:paraId="2C5FD258"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Gallic acid, Ferulic acid, Caffeic acid</w:t>
            </w:r>
          </w:p>
        </w:tc>
        <w:tc>
          <w:tcPr>
            <w:tcW w:w="0" w:type="auto"/>
            <w:vAlign w:val="center"/>
            <w:hideMark/>
          </w:tcPr>
          <w:p w14:paraId="731553CE"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Antioxidant, antiseptic, wound healing</w:t>
            </w:r>
          </w:p>
        </w:tc>
        <w:tc>
          <w:tcPr>
            <w:tcW w:w="0" w:type="auto"/>
            <w:vAlign w:val="center"/>
            <w:hideMark/>
          </w:tcPr>
          <w:p w14:paraId="143CFDE0"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Cooling, drying; manages Pitta disorders, ulcers</w:t>
            </w:r>
          </w:p>
        </w:tc>
        <w:tc>
          <w:tcPr>
            <w:tcW w:w="0" w:type="auto"/>
            <w:vAlign w:val="center"/>
            <w:hideMark/>
          </w:tcPr>
          <w:p w14:paraId="02E42D8E"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External washes for skin infections</w:t>
            </w:r>
          </w:p>
        </w:tc>
      </w:tr>
      <w:tr w:rsidR="00D86CCA" w:rsidRPr="00D86CCA" w14:paraId="4C610FE1" w14:textId="77777777" w:rsidTr="00D86CCA">
        <w:tc>
          <w:tcPr>
            <w:tcW w:w="0" w:type="auto"/>
            <w:vAlign w:val="center"/>
            <w:hideMark/>
          </w:tcPr>
          <w:p w14:paraId="4F62D77A"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t>Saponins &amp; Tannins</w:t>
            </w:r>
          </w:p>
        </w:tc>
        <w:tc>
          <w:tcPr>
            <w:tcW w:w="0" w:type="auto"/>
            <w:vAlign w:val="center"/>
            <w:hideMark/>
          </w:tcPr>
          <w:p w14:paraId="1DF1470B"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Various saponins and tannins</w:t>
            </w:r>
          </w:p>
        </w:tc>
        <w:tc>
          <w:tcPr>
            <w:tcW w:w="0" w:type="auto"/>
            <w:vAlign w:val="center"/>
            <w:hideMark/>
          </w:tcPr>
          <w:p w14:paraId="4C3F327C"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Anti-inflammatory, antifungal, astringent, immune modulation</w:t>
            </w:r>
          </w:p>
        </w:tc>
        <w:tc>
          <w:tcPr>
            <w:tcW w:w="0" w:type="auto"/>
            <w:vAlign w:val="center"/>
            <w:hideMark/>
          </w:tcPr>
          <w:p w14:paraId="2F808F72"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Astringent; supports tissue healing and immune response</w:t>
            </w:r>
          </w:p>
        </w:tc>
        <w:tc>
          <w:tcPr>
            <w:tcW w:w="0" w:type="auto"/>
            <w:vAlign w:val="center"/>
            <w:hideMark/>
          </w:tcPr>
          <w:p w14:paraId="720BDE6E"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Used in diarrhea, infections, and inflammation</w:t>
            </w:r>
          </w:p>
        </w:tc>
      </w:tr>
      <w:tr w:rsidR="00D86CCA" w:rsidRPr="00D86CCA" w14:paraId="3D829B91" w14:textId="77777777" w:rsidTr="00D86CCA">
        <w:tc>
          <w:tcPr>
            <w:tcW w:w="0" w:type="auto"/>
            <w:vAlign w:val="center"/>
            <w:hideMark/>
          </w:tcPr>
          <w:p w14:paraId="42AB168F"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t>Other Constituents</w:t>
            </w:r>
          </w:p>
        </w:tc>
        <w:tc>
          <w:tcPr>
            <w:tcW w:w="0" w:type="auto"/>
            <w:vAlign w:val="center"/>
            <w:hideMark/>
          </w:tcPr>
          <w:p w14:paraId="388D5466"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Glycosides, Sterols (β-sitosterol)</w:t>
            </w:r>
          </w:p>
        </w:tc>
        <w:tc>
          <w:tcPr>
            <w:tcW w:w="0" w:type="auto"/>
            <w:vAlign w:val="center"/>
            <w:hideMark/>
          </w:tcPr>
          <w:p w14:paraId="20EBAED7"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Cardiotonic, anti-inflammatory, cholesterol-lowering</w:t>
            </w:r>
          </w:p>
        </w:tc>
        <w:tc>
          <w:tcPr>
            <w:tcW w:w="0" w:type="auto"/>
            <w:vAlign w:val="center"/>
            <w:hideMark/>
          </w:tcPr>
          <w:p w14:paraId="0C9F2328"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Supports heart health and metabolic balance</w:t>
            </w:r>
          </w:p>
        </w:tc>
        <w:tc>
          <w:tcPr>
            <w:tcW w:w="0" w:type="auto"/>
            <w:vAlign w:val="center"/>
            <w:hideMark/>
          </w:tcPr>
          <w:p w14:paraId="50148016"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Used for diabetes and cardiovascular support</w:t>
            </w:r>
          </w:p>
        </w:tc>
      </w:tr>
    </w:tbl>
    <w:p w14:paraId="67415F18" w14:textId="77777777" w:rsidR="00D36869" w:rsidRDefault="00D36869" w:rsidP="00D36869">
      <w:pPr>
        <w:rPr>
          <w:rFonts w:ascii="Times New Roman" w:hAnsi="Times New Roman" w:cs="Times New Roman"/>
        </w:rPr>
      </w:pPr>
    </w:p>
    <w:p w14:paraId="1B07B7E3" w14:textId="45DEF602" w:rsidR="00D36869" w:rsidRDefault="00D86CCA" w:rsidP="00D86CCA">
      <w:pPr>
        <w:jc w:val="center"/>
        <w:rPr>
          <w:rFonts w:ascii="Times New Roman" w:hAnsi="Times New Roman" w:cs="Times New Roman"/>
        </w:rPr>
      </w:pPr>
      <w:r>
        <w:rPr>
          <w:rFonts w:ascii="Times New Roman" w:hAnsi="Times New Roman" w:cs="Times New Roman"/>
        </w:rPr>
        <w:t xml:space="preserve">Table No – 03 </w:t>
      </w:r>
      <w:r w:rsidRPr="00D86CCA">
        <w:rPr>
          <w:rFonts w:ascii="Times New Roman" w:hAnsi="Times New Roman" w:cs="Times New Roman"/>
        </w:rPr>
        <w:t xml:space="preserve">Overview of Major Phytochemicals in </w:t>
      </w:r>
      <w:r w:rsidRPr="00D86CCA">
        <w:rPr>
          <w:rFonts w:ascii="Times New Roman" w:hAnsi="Times New Roman" w:cs="Times New Roman"/>
          <w:i/>
          <w:iCs/>
        </w:rPr>
        <w:t xml:space="preserve">Crotalaria </w:t>
      </w:r>
      <w:proofErr w:type="spellStart"/>
      <w:r w:rsidRPr="00D86CCA">
        <w:rPr>
          <w:rFonts w:ascii="Times New Roman" w:hAnsi="Times New Roman" w:cs="Times New Roman"/>
          <w:i/>
          <w:iCs/>
        </w:rPr>
        <w:t>multibracteata</w:t>
      </w:r>
      <w:proofErr w:type="spellEnd"/>
      <w:r w:rsidRPr="00D86CCA">
        <w:rPr>
          <w:rFonts w:ascii="Times New Roman" w:hAnsi="Times New Roman" w:cs="Times New Roman"/>
        </w:rPr>
        <w:t xml:space="preserve"> and Their Therapeutic Relevance</w:t>
      </w:r>
    </w:p>
    <w:p w14:paraId="03240C21" w14:textId="77777777"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 xml:space="preserve">Pharmacological Activities of </w:t>
      </w:r>
      <w:r w:rsidRPr="00F34F33">
        <w:rPr>
          <w:rFonts w:ascii="Times New Roman" w:hAnsi="Times New Roman" w:cs="Times New Roman"/>
          <w:b/>
          <w:bCs/>
          <w:i/>
          <w:iCs/>
        </w:rPr>
        <w:t xml:space="preserve">Crotalaria </w:t>
      </w:r>
      <w:proofErr w:type="spellStart"/>
      <w:r w:rsidRPr="00F34F33">
        <w:rPr>
          <w:rFonts w:ascii="Times New Roman" w:hAnsi="Times New Roman" w:cs="Times New Roman"/>
          <w:b/>
          <w:bCs/>
          <w:i/>
          <w:iCs/>
        </w:rPr>
        <w:t>multibracteata</w:t>
      </w:r>
      <w:proofErr w:type="spellEnd"/>
    </w:p>
    <w:p w14:paraId="18F1FB2C" w14:textId="728C2D85"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Anti-inflammatory Activity</w:t>
      </w:r>
    </w:p>
    <w:p w14:paraId="163D8EC5" w14:textId="77777777" w:rsidR="00F34F33" w:rsidRPr="00F34F33" w:rsidRDefault="00F34F33" w:rsidP="00F34F33">
      <w:pPr>
        <w:jc w:val="both"/>
        <w:rPr>
          <w:rFonts w:ascii="Times New Roman" w:hAnsi="Times New Roman" w:cs="Times New Roman"/>
        </w:rPr>
      </w:pPr>
      <w:r w:rsidRPr="00F34F33">
        <w:rPr>
          <w:rFonts w:ascii="Times New Roman" w:hAnsi="Times New Roman" w:cs="Times New Roman"/>
          <w:i/>
          <w:iCs/>
        </w:rPr>
        <w:t xml:space="preserve">Crotalaria </w:t>
      </w:r>
      <w:proofErr w:type="spellStart"/>
      <w:r w:rsidRPr="00F34F33">
        <w:rPr>
          <w:rFonts w:ascii="Times New Roman" w:hAnsi="Times New Roman" w:cs="Times New Roman"/>
          <w:i/>
          <w:iCs/>
        </w:rPr>
        <w:t>multibracteata</w:t>
      </w:r>
      <w:proofErr w:type="spellEnd"/>
      <w:r w:rsidRPr="00F34F33">
        <w:rPr>
          <w:rFonts w:ascii="Times New Roman" w:hAnsi="Times New Roman" w:cs="Times New Roman"/>
        </w:rPr>
        <w:t xml:space="preserve"> exhibits significant anti-inflammatory effects attributed primarily to its flavonoids and terpenoid content. In vitro assays have demonstrated inhibition of pro-inflammatory enzymes such as cyclooxygenase (COX) and lipoxygenase (LOX), reducing the synthesis of inflammatory mediators [37]. In vivo studies on rodent models have shown that </w:t>
      </w:r>
      <w:r w:rsidRPr="00F34F33">
        <w:rPr>
          <w:rFonts w:ascii="Times New Roman" w:hAnsi="Times New Roman" w:cs="Times New Roman"/>
        </w:rPr>
        <w:lastRenderedPageBreak/>
        <w:t>extracts of the plant reduce paw edema and inflammation markers, supporting its traditional use in managing inflammatory conditions [38].</w:t>
      </w:r>
    </w:p>
    <w:p w14:paraId="529AE67E" w14:textId="37AA9559"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Antioxidant Activity</w:t>
      </w:r>
    </w:p>
    <w:p w14:paraId="1B896231" w14:textId="77777777" w:rsidR="00F34F33" w:rsidRPr="00F34F33" w:rsidRDefault="00F34F33" w:rsidP="00F34F33">
      <w:pPr>
        <w:jc w:val="both"/>
        <w:rPr>
          <w:rFonts w:ascii="Times New Roman" w:hAnsi="Times New Roman" w:cs="Times New Roman"/>
        </w:rPr>
      </w:pPr>
      <w:r w:rsidRPr="00F34F33">
        <w:rPr>
          <w:rFonts w:ascii="Times New Roman" w:hAnsi="Times New Roman" w:cs="Times New Roman"/>
        </w:rPr>
        <w:t xml:space="preserve">The high content of flavonoids and phenolic compounds imparts potent antioxidant properties to </w:t>
      </w:r>
      <w:r w:rsidRPr="00F34F33">
        <w:rPr>
          <w:rFonts w:ascii="Times New Roman" w:hAnsi="Times New Roman" w:cs="Times New Roman"/>
          <w:i/>
          <w:iCs/>
        </w:rPr>
        <w:t xml:space="preserve">C. </w:t>
      </w:r>
      <w:proofErr w:type="spellStart"/>
      <w:r w:rsidRPr="00F34F33">
        <w:rPr>
          <w:rFonts w:ascii="Times New Roman" w:hAnsi="Times New Roman" w:cs="Times New Roman"/>
          <w:i/>
          <w:iCs/>
        </w:rPr>
        <w:t>multibracteata</w:t>
      </w:r>
      <w:proofErr w:type="spellEnd"/>
      <w:r w:rsidRPr="00F34F33">
        <w:rPr>
          <w:rFonts w:ascii="Times New Roman" w:hAnsi="Times New Roman" w:cs="Times New Roman"/>
        </w:rPr>
        <w:t>. In vitro assays such as DPPH radical scavenging and FRAP (ferric reducing antioxidant power) have confirmed its ability to neutralize free radicals and reduce oxidative stress [39]. Animal studies further show protection against oxidative damage in liver and kidney tissues, highlighting its potential in preventing oxidative stress-related diseases [40].</w:t>
      </w:r>
    </w:p>
    <w:p w14:paraId="0088B34B" w14:textId="26303945"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Antimicrobial Activity</w:t>
      </w:r>
    </w:p>
    <w:p w14:paraId="1752EE49" w14:textId="77777777" w:rsidR="00F34F33" w:rsidRPr="00F34F33" w:rsidRDefault="00F34F33" w:rsidP="00F34F33">
      <w:pPr>
        <w:jc w:val="both"/>
        <w:rPr>
          <w:rFonts w:ascii="Times New Roman" w:hAnsi="Times New Roman" w:cs="Times New Roman"/>
        </w:rPr>
      </w:pPr>
      <w:r w:rsidRPr="00F34F33">
        <w:rPr>
          <w:rFonts w:ascii="Times New Roman" w:hAnsi="Times New Roman" w:cs="Times New Roman"/>
        </w:rPr>
        <w:t xml:space="preserve">Multiple in vitro studies have reported that </w:t>
      </w:r>
      <w:r w:rsidRPr="00F34F33">
        <w:rPr>
          <w:rFonts w:ascii="Times New Roman" w:hAnsi="Times New Roman" w:cs="Times New Roman"/>
          <w:i/>
          <w:iCs/>
        </w:rPr>
        <w:t xml:space="preserve">C. </w:t>
      </w:r>
      <w:proofErr w:type="spellStart"/>
      <w:r w:rsidRPr="00F34F33">
        <w:rPr>
          <w:rFonts w:ascii="Times New Roman" w:hAnsi="Times New Roman" w:cs="Times New Roman"/>
          <w:i/>
          <w:iCs/>
        </w:rPr>
        <w:t>multibracteata</w:t>
      </w:r>
      <w:proofErr w:type="spellEnd"/>
      <w:r w:rsidRPr="00F34F33">
        <w:rPr>
          <w:rFonts w:ascii="Times New Roman" w:hAnsi="Times New Roman" w:cs="Times New Roman"/>
        </w:rPr>
        <w:t xml:space="preserve"> extracts inhibit the growth of various Gram-positive and Gram-negative bacteria, including </w:t>
      </w:r>
      <w:r w:rsidRPr="00F34F33">
        <w:rPr>
          <w:rFonts w:ascii="Times New Roman" w:hAnsi="Times New Roman" w:cs="Times New Roman"/>
          <w:i/>
          <w:iCs/>
        </w:rPr>
        <w:t>Staphylococcus aureus</w:t>
      </w:r>
      <w:r w:rsidRPr="00F34F33">
        <w:rPr>
          <w:rFonts w:ascii="Times New Roman" w:hAnsi="Times New Roman" w:cs="Times New Roman"/>
        </w:rPr>
        <w:t xml:space="preserve"> and </w:t>
      </w:r>
      <w:r w:rsidRPr="00F34F33">
        <w:rPr>
          <w:rFonts w:ascii="Times New Roman" w:hAnsi="Times New Roman" w:cs="Times New Roman"/>
          <w:i/>
          <w:iCs/>
        </w:rPr>
        <w:t>Escherichia coli</w:t>
      </w:r>
      <w:r w:rsidRPr="00F34F33">
        <w:rPr>
          <w:rFonts w:ascii="Times New Roman" w:hAnsi="Times New Roman" w:cs="Times New Roman"/>
        </w:rPr>
        <w:t xml:space="preserve"> [41]. Its antifungal activity against species such as </w:t>
      </w:r>
      <w:r w:rsidRPr="00F34F33">
        <w:rPr>
          <w:rFonts w:ascii="Times New Roman" w:hAnsi="Times New Roman" w:cs="Times New Roman"/>
          <w:i/>
          <w:iCs/>
        </w:rPr>
        <w:t>Candida albicans</w:t>
      </w:r>
      <w:r w:rsidRPr="00F34F33">
        <w:rPr>
          <w:rFonts w:ascii="Times New Roman" w:hAnsi="Times New Roman" w:cs="Times New Roman"/>
        </w:rPr>
        <w:t xml:space="preserve"> has also been demonstrated. The antimicrobial effects are believed to arise from alkaloids and phenolic compounds that disrupt microbial cell walls and interfere with metabolism.</w:t>
      </w:r>
    </w:p>
    <w:p w14:paraId="638C162C" w14:textId="2311DFEA"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Cytotoxic and Anticancer Effects</w:t>
      </w:r>
    </w:p>
    <w:p w14:paraId="103B8F69" w14:textId="77777777" w:rsidR="00F34F33" w:rsidRPr="00F34F33" w:rsidRDefault="00F34F33" w:rsidP="00F34F33">
      <w:pPr>
        <w:jc w:val="both"/>
        <w:rPr>
          <w:rFonts w:ascii="Times New Roman" w:hAnsi="Times New Roman" w:cs="Times New Roman"/>
        </w:rPr>
      </w:pPr>
      <w:r w:rsidRPr="00F34F33">
        <w:rPr>
          <w:rFonts w:ascii="Times New Roman" w:hAnsi="Times New Roman" w:cs="Times New Roman"/>
        </w:rPr>
        <w:t xml:space="preserve">Preliminary cytotoxicity screening indicates that certain alkaloids and flavonoids in </w:t>
      </w:r>
      <w:r w:rsidRPr="00F34F33">
        <w:rPr>
          <w:rFonts w:ascii="Times New Roman" w:hAnsi="Times New Roman" w:cs="Times New Roman"/>
          <w:i/>
          <w:iCs/>
        </w:rPr>
        <w:t xml:space="preserve">C. </w:t>
      </w:r>
      <w:proofErr w:type="spellStart"/>
      <w:r w:rsidRPr="00F34F33">
        <w:rPr>
          <w:rFonts w:ascii="Times New Roman" w:hAnsi="Times New Roman" w:cs="Times New Roman"/>
          <w:i/>
          <w:iCs/>
        </w:rPr>
        <w:t>multibracteata</w:t>
      </w:r>
      <w:proofErr w:type="spellEnd"/>
      <w:r w:rsidRPr="00F34F33">
        <w:rPr>
          <w:rFonts w:ascii="Times New Roman" w:hAnsi="Times New Roman" w:cs="Times New Roman"/>
        </w:rPr>
        <w:t xml:space="preserve"> exhibit selective cytotoxicity against cancer cell lines, including breast and lung carcinoma cells [42]. Both in vitro assays (MTT, apoptosis induction) and in vivo tumor inhibition studies have shown promising anticancer potential, although further mechanistic studies are required.</w:t>
      </w:r>
    </w:p>
    <w:p w14:paraId="57F95CDA" w14:textId="7FC7D14C"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Antidiabetic and Hepatoprotective Activities</w:t>
      </w:r>
    </w:p>
    <w:p w14:paraId="146BE965" w14:textId="77777777" w:rsidR="00F34F33" w:rsidRPr="00F34F33" w:rsidRDefault="00F34F33" w:rsidP="00F34F33">
      <w:pPr>
        <w:jc w:val="both"/>
        <w:rPr>
          <w:rFonts w:ascii="Times New Roman" w:hAnsi="Times New Roman" w:cs="Times New Roman"/>
        </w:rPr>
      </w:pPr>
      <w:r w:rsidRPr="00F34F33">
        <w:rPr>
          <w:rFonts w:ascii="Times New Roman" w:hAnsi="Times New Roman" w:cs="Times New Roman"/>
        </w:rPr>
        <w:t xml:space="preserve">Though limited, some studies suggest </w:t>
      </w:r>
      <w:r w:rsidRPr="00F34F33">
        <w:rPr>
          <w:rFonts w:ascii="Times New Roman" w:hAnsi="Times New Roman" w:cs="Times New Roman"/>
          <w:i/>
          <w:iCs/>
        </w:rPr>
        <w:t>Crotalaria</w:t>
      </w:r>
      <w:r w:rsidRPr="00F34F33">
        <w:rPr>
          <w:rFonts w:ascii="Times New Roman" w:hAnsi="Times New Roman" w:cs="Times New Roman"/>
        </w:rPr>
        <w:t xml:space="preserve"> species possess antidiabetic properties by enhancing insulin secretion and improving glucose uptake [43]. Hepatoprotective effects have been observed in animal models where plant extracts reduce elevated liver enzymes and oxidative damage induced by toxins [44]. These effects are attributed to antioxidant flavonoids and sterols.</w:t>
      </w:r>
    </w:p>
    <w:p w14:paraId="5F5A6F43" w14:textId="77777777" w:rsidR="00D36869" w:rsidRDefault="00D36869" w:rsidP="00D36869">
      <w:pPr>
        <w:rPr>
          <w:rFonts w:ascii="Times New Roman" w:hAnsi="Times New Roman" w:cs="Times New Roman"/>
        </w:rPr>
      </w:pPr>
    </w:p>
    <w:tbl>
      <w:tblPr>
        <w:tblStyle w:val="TableGrid"/>
        <w:tblW w:w="0" w:type="auto"/>
        <w:tblLook w:val="04A0" w:firstRow="1" w:lastRow="0" w:firstColumn="1" w:lastColumn="0" w:noHBand="0" w:noVBand="1"/>
      </w:tblPr>
      <w:tblGrid>
        <w:gridCol w:w="2143"/>
        <w:gridCol w:w="3600"/>
        <w:gridCol w:w="2502"/>
        <w:gridCol w:w="1331"/>
      </w:tblGrid>
      <w:tr w:rsidR="00F34F33" w:rsidRPr="00F34F33" w14:paraId="4C49AD1C" w14:textId="77777777" w:rsidTr="00F34F33">
        <w:tc>
          <w:tcPr>
            <w:tcW w:w="0" w:type="auto"/>
            <w:vAlign w:val="center"/>
            <w:hideMark/>
          </w:tcPr>
          <w:p w14:paraId="2D38E26E" w14:textId="77777777" w:rsidR="00F34F33" w:rsidRPr="00F34F33" w:rsidRDefault="00F34F33" w:rsidP="00F34F33">
            <w:pPr>
              <w:spacing w:after="160" w:line="278" w:lineRule="auto"/>
              <w:jc w:val="center"/>
              <w:rPr>
                <w:rFonts w:ascii="Times New Roman" w:hAnsi="Times New Roman" w:cs="Times New Roman"/>
                <w:b/>
                <w:bCs/>
              </w:rPr>
            </w:pPr>
            <w:r w:rsidRPr="00F34F33">
              <w:rPr>
                <w:rFonts w:ascii="Times New Roman" w:hAnsi="Times New Roman" w:cs="Times New Roman"/>
                <w:b/>
                <w:bCs/>
              </w:rPr>
              <w:t>Pharmacological Activity</w:t>
            </w:r>
          </w:p>
        </w:tc>
        <w:tc>
          <w:tcPr>
            <w:tcW w:w="0" w:type="auto"/>
            <w:vAlign w:val="center"/>
            <w:hideMark/>
          </w:tcPr>
          <w:p w14:paraId="7A536203" w14:textId="77777777" w:rsidR="00F34F33" w:rsidRPr="00F34F33" w:rsidRDefault="00F34F33" w:rsidP="00F34F33">
            <w:pPr>
              <w:spacing w:after="160" w:line="278" w:lineRule="auto"/>
              <w:jc w:val="center"/>
              <w:rPr>
                <w:rFonts w:ascii="Times New Roman" w:hAnsi="Times New Roman" w:cs="Times New Roman"/>
                <w:b/>
                <w:bCs/>
              </w:rPr>
            </w:pPr>
            <w:r w:rsidRPr="00F34F33">
              <w:rPr>
                <w:rFonts w:ascii="Times New Roman" w:hAnsi="Times New Roman" w:cs="Times New Roman"/>
                <w:b/>
                <w:bCs/>
              </w:rPr>
              <w:t>Key Findings</w:t>
            </w:r>
          </w:p>
        </w:tc>
        <w:tc>
          <w:tcPr>
            <w:tcW w:w="0" w:type="auto"/>
            <w:vAlign w:val="center"/>
            <w:hideMark/>
          </w:tcPr>
          <w:p w14:paraId="6BE3F4F0" w14:textId="77777777" w:rsidR="00F34F33" w:rsidRPr="00F34F33" w:rsidRDefault="00F34F33" w:rsidP="00F34F33">
            <w:pPr>
              <w:spacing w:after="160" w:line="278" w:lineRule="auto"/>
              <w:jc w:val="center"/>
              <w:rPr>
                <w:rFonts w:ascii="Times New Roman" w:hAnsi="Times New Roman" w:cs="Times New Roman"/>
                <w:b/>
                <w:bCs/>
              </w:rPr>
            </w:pPr>
            <w:r w:rsidRPr="00F34F33">
              <w:rPr>
                <w:rFonts w:ascii="Times New Roman" w:hAnsi="Times New Roman" w:cs="Times New Roman"/>
                <w:b/>
                <w:bCs/>
              </w:rPr>
              <w:t>Model/Method</w:t>
            </w:r>
          </w:p>
        </w:tc>
        <w:tc>
          <w:tcPr>
            <w:tcW w:w="0" w:type="auto"/>
            <w:vAlign w:val="center"/>
            <w:hideMark/>
          </w:tcPr>
          <w:p w14:paraId="2338921A" w14:textId="77777777" w:rsidR="00F34F33" w:rsidRPr="00F34F33" w:rsidRDefault="00F34F33" w:rsidP="00F34F33">
            <w:pPr>
              <w:spacing w:after="160" w:line="278" w:lineRule="auto"/>
              <w:jc w:val="center"/>
              <w:rPr>
                <w:rFonts w:ascii="Times New Roman" w:hAnsi="Times New Roman" w:cs="Times New Roman"/>
                <w:b/>
                <w:bCs/>
              </w:rPr>
            </w:pPr>
            <w:r w:rsidRPr="00F34F33">
              <w:rPr>
                <w:rFonts w:ascii="Times New Roman" w:hAnsi="Times New Roman" w:cs="Times New Roman"/>
                <w:b/>
                <w:bCs/>
              </w:rPr>
              <w:t>References</w:t>
            </w:r>
          </w:p>
        </w:tc>
      </w:tr>
      <w:tr w:rsidR="00F34F33" w:rsidRPr="00F34F33" w14:paraId="2FE8A4D7" w14:textId="77777777" w:rsidTr="00F34F33">
        <w:tc>
          <w:tcPr>
            <w:tcW w:w="0" w:type="auto"/>
            <w:vAlign w:val="center"/>
            <w:hideMark/>
          </w:tcPr>
          <w:p w14:paraId="4182F7D1"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t>Anti-inflammatory</w:t>
            </w:r>
          </w:p>
        </w:tc>
        <w:tc>
          <w:tcPr>
            <w:tcW w:w="0" w:type="auto"/>
            <w:vAlign w:val="center"/>
            <w:hideMark/>
          </w:tcPr>
          <w:p w14:paraId="5869F54D"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Inhibits COX and LOX enzymes; reduces paw edema and inflammatory markers</w:t>
            </w:r>
          </w:p>
        </w:tc>
        <w:tc>
          <w:tcPr>
            <w:tcW w:w="0" w:type="auto"/>
            <w:vAlign w:val="center"/>
            <w:hideMark/>
          </w:tcPr>
          <w:p w14:paraId="73F465C8"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 vitro enzyme assays; in vivo rodent paw edema model</w:t>
            </w:r>
          </w:p>
        </w:tc>
        <w:tc>
          <w:tcPr>
            <w:tcW w:w="0" w:type="auto"/>
            <w:vAlign w:val="center"/>
            <w:hideMark/>
          </w:tcPr>
          <w:p w14:paraId="01F1AF8F"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[37,38]</w:t>
            </w:r>
          </w:p>
        </w:tc>
      </w:tr>
      <w:tr w:rsidR="00F34F33" w:rsidRPr="00F34F33" w14:paraId="0CCEDBA1" w14:textId="77777777" w:rsidTr="00F34F33">
        <w:tc>
          <w:tcPr>
            <w:tcW w:w="0" w:type="auto"/>
            <w:vAlign w:val="center"/>
            <w:hideMark/>
          </w:tcPr>
          <w:p w14:paraId="0B08A62D"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t>Antioxidant</w:t>
            </w:r>
          </w:p>
        </w:tc>
        <w:tc>
          <w:tcPr>
            <w:tcW w:w="0" w:type="auto"/>
            <w:vAlign w:val="center"/>
            <w:hideMark/>
          </w:tcPr>
          <w:p w14:paraId="65DBBD33"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 xml:space="preserve">Strong free radical scavenging activity; protects liver and kidney </w:t>
            </w:r>
            <w:r w:rsidRPr="00F34F33">
              <w:rPr>
                <w:rFonts w:ascii="Times New Roman" w:hAnsi="Times New Roman" w:cs="Times New Roman"/>
              </w:rPr>
              <w:lastRenderedPageBreak/>
              <w:t>from oxidative damage</w:t>
            </w:r>
          </w:p>
        </w:tc>
        <w:tc>
          <w:tcPr>
            <w:tcW w:w="0" w:type="auto"/>
            <w:vAlign w:val="center"/>
            <w:hideMark/>
          </w:tcPr>
          <w:p w14:paraId="39F637DA"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lastRenderedPageBreak/>
              <w:t xml:space="preserve">DPPH, FRAP assays; animal oxidative stress </w:t>
            </w:r>
            <w:r w:rsidRPr="00F34F33">
              <w:rPr>
                <w:rFonts w:ascii="Times New Roman" w:hAnsi="Times New Roman" w:cs="Times New Roman"/>
              </w:rPr>
              <w:lastRenderedPageBreak/>
              <w:t>models</w:t>
            </w:r>
          </w:p>
        </w:tc>
        <w:tc>
          <w:tcPr>
            <w:tcW w:w="0" w:type="auto"/>
            <w:vAlign w:val="center"/>
            <w:hideMark/>
          </w:tcPr>
          <w:p w14:paraId="35C9765F"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lastRenderedPageBreak/>
              <w:t>[39,40]</w:t>
            </w:r>
          </w:p>
        </w:tc>
      </w:tr>
      <w:tr w:rsidR="00F34F33" w:rsidRPr="00F34F33" w14:paraId="3E066F17" w14:textId="77777777" w:rsidTr="00F34F33">
        <w:tc>
          <w:tcPr>
            <w:tcW w:w="0" w:type="auto"/>
            <w:vAlign w:val="center"/>
            <w:hideMark/>
          </w:tcPr>
          <w:p w14:paraId="76CC5D0B"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lastRenderedPageBreak/>
              <w:t>Antimicrobial</w:t>
            </w:r>
          </w:p>
        </w:tc>
        <w:tc>
          <w:tcPr>
            <w:tcW w:w="0" w:type="auto"/>
            <w:vAlign w:val="center"/>
            <w:hideMark/>
          </w:tcPr>
          <w:p w14:paraId="191A599F"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Effective against Gram-positive and Gram-negative bacteria (</w:t>
            </w:r>
            <w:r w:rsidRPr="00F34F33">
              <w:rPr>
                <w:rFonts w:ascii="Times New Roman" w:hAnsi="Times New Roman" w:cs="Times New Roman"/>
                <w:i/>
                <w:iCs/>
              </w:rPr>
              <w:t>S. aureus</w:t>
            </w:r>
            <w:r w:rsidRPr="00F34F33">
              <w:rPr>
                <w:rFonts w:ascii="Times New Roman" w:hAnsi="Times New Roman" w:cs="Times New Roman"/>
              </w:rPr>
              <w:t xml:space="preserve">, </w:t>
            </w:r>
            <w:r w:rsidRPr="00F34F33">
              <w:rPr>
                <w:rFonts w:ascii="Times New Roman" w:hAnsi="Times New Roman" w:cs="Times New Roman"/>
                <w:i/>
                <w:iCs/>
              </w:rPr>
              <w:t>E. coli</w:t>
            </w:r>
            <w:r w:rsidRPr="00F34F33">
              <w:rPr>
                <w:rFonts w:ascii="Times New Roman" w:hAnsi="Times New Roman" w:cs="Times New Roman"/>
              </w:rPr>
              <w:t xml:space="preserve">); antifungal activity against </w:t>
            </w:r>
            <w:r w:rsidRPr="00F34F33">
              <w:rPr>
                <w:rFonts w:ascii="Times New Roman" w:hAnsi="Times New Roman" w:cs="Times New Roman"/>
                <w:i/>
                <w:iCs/>
              </w:rPr>
              <w:t>Candida albicans</w:t>
            </w:r>
          </w:p>
        </w:tc>
        <w:tc>
          <w:tcPr>
            <w:tcW w:w="0" w:type="auto"/>
            <w:vAlign w:val="center"/>
            <w:hideMark/>
          </w:tcPr>
          <w:p w14:paraId="22ECEE86"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 vitro microbial inhibition assays</w:t>
            </w:r>
          </w:p>
        </w:tc>
        <w:tc>
          <w:tcPr>
            <w:tcW w:w="0" w:type="auto"/>
            <w:vAlign w:val="center"/>
            <w:hideMark/>
          </w:tcPr>
          <w:p w14:paraId="76874246"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[41]</w:t>
            </w:r>
          </w:p>
        </w:tc>
      </w:tr>
      <w:tr w:rsidR="00F34F33" w:rsidRPr="00F34F33" w14:paraId="4466BA04" w14:textId="77777777" w:rsidTr="00F34F33">
        <w:tc>
          <w:tcPr>
            <w:tcW w:w="0" w:type="auto"/>
            <w:vAlign w:val="center"/>
            <w:hideMark/>
          </w:tcPr>
          <w:p w14:paraId="17E0A258"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t>Cytotoxic / Anticancer</w:t>
            </w:r>
          </w:p>
        </w:tc>
        <w:tc>
          <w:tcPr>
            <w:tcW w:w="0" w:type="auto"/>
            <w:vAlign w:val="center"/>
            <w:hideMark/>
          </w:tcPr>
          <w:p w14:paraId="1FC0CD68"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Selective cytotoxicity on breast and lung cancer cell lines; induces apoptosis and tumor inhibition</w:t>
            </w:r>
          </w:p>
        </w:tc>
        <w:tc>
          <w:tcPr>
            <w:tcW w:w="0" w:type="auto"/>
            <w:vAlign w:val="center"/>
            <w:hideMark/>
          </w:tcPr>
          <w:p w14:paraId="4294D48A"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 vitro MTT assays; in vivo tumor models</w:t>
            </w:r>
          </w:p>
        </w:tc>
        <w:tc>
          <w:tcPr>
            <w:tcW w:w="0" w:type="auto"/>
            <w:vAlign w:val="center"/>
            <w:hideMark/>
          </w:tcPr>
          <w:p w14:paraId="62AA9017"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[42]</w:t>
            </w:r>
          </w:p>
        </w:tc>
      </w:tr>
      <w:tr w:rsidR="00F34F33" w:rsidRPr="00F34F33" w14:paraId="76074C0E" w14:textId="77777777" w:rsidTr="00F34F33">
        <w:tc>
          <w:tcPr>
            <w:tcW w:w="0" w:type="auto"/>
            <w:vAlign w:val="center"/>
            <w:hideMark/>
          </w:tcPr>
          <w:p w14:paraId="33FB085E"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t>Antidiabetic</w:t>
            </w:r>
          </w:p>
        </w:tc>
        <w:tc>
          <w:tcPr>
            <w:tcW w:w="0" w:type="auto"/>
            <w:vAlign w:val="center"/>
            <w:hideMark/>
          </w:tcPr>
          <w:p w14:paraId="407CBA9E"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Enhances insulin secretion and glucose uptake in diabetic animal models</w:t>
            </w:r>
          </w:p>
        </w:tc>
        <w:tc>
          <w:tcPr>
            <w:tcW w:w="0" w:type="auto"/>
            <w:vAlign w:val="center"/>
            <w:hideMark/>
          </w:tcPr>
          <w:p w14:paraId="0C100948"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 vivo streptozotocin-induced diabetic rats</w:t>
            </w:r>
          </w:p>
        </w:tc>
        <w:tc>
          <w:tcPr>
            <w:tcW w:w="0" w:type="auto"/>
            <w:vAlign w:val="center"/>
            <w:hideMark/>
          </w:tcPr>
          <w:p w14:paraId="5E40C660"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[43]</w:t>
            </w:r>
          </w:p>
        </w:tc>
      </w:tr>
      <w:tr w:rsidR="00F34F33" w:rsidRPr="00F34F33" w14:paraId="41D341BC" w14:textId="77777777" w:rsidTr="00F34F33">
        <w:tc>
          <w:tcPr>
            <w:tcW w:w="0" w:type="auto"/>
            <w:vAlign w:val="center"/>
            <w:hideMark/>
          </w:tcPr>
          <w:p w14:paraId="10FDA69B"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t>Hepatoprotective</w:t>
            </w:r>
          </w:p>
        </w:tc>
        <w:tc>
          <w:tcPr>
            <w:tcW w:w="0" w:type="auto"/>
            <w:vAlign w:val="center"/>
            <w:hideMark/>
          </w:tcPr>
          <w:p w14:paraId="6DED42FA"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Reduces elevated liver enzymes and oxidative liver damage caused by toxins</w:t>
            </w:r>
          </w:p>
        </w:tc>
        <w:tc>
          <w:tcPr>
            <w:tcW w:w="0" w:type="auto"/>
            <w:vAlign w:val="center"/>
            <w:hideMark/>
          </w:tcPr>
          <w:p w14:paraId="422F5347"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 vivo CCl4-induced liver injury model</w:t>
            </w:r>
          </w:p>
        </w:tc>
        <w:tc>
          <w:tcPr>
            <w:tcW w:w="0" w:type="auto"/>
            <w:vAlign w:val="center"/>
            <w:hideMark/>
          </w:tcPr>
          <w:p w14:paraId="2C9A9858"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[44]</w:t>
            </w:r>
          </w:p>
        </w:tc>
      </w:tr>
    </w:tbl>
    <w:p w14:paraId="4F4FA1EB" w14:textId="77777777" w:rsidR="00D36869" w:rsidRDefault="00D36869" w:rsidP="00D36869">
      <w:pPr>
        <w:rPr>
          <w:rFonts w:ascii="Times New Roman" w:hAnsi="Times New Roman" w:cs="Times New Roman"/>
        </w:rPr>
      </w:pPr>
    </w:p>
    <w:p w14:paraId="48546BE8" w14:textId="2507870F" w:rsidR="00F34F33" w:rsidRDefault="00F34F33" w:rsidP="00F34F33">
      <w:pPr>
        <w:jc w:val="center"/>
        <w:rPr>
          <w:rFonts w:ascii="Times New Roman" w:hAnsi="Times New Roman" w:cs="Times New Roman"/>
        </w:rPr>
      </w:pPr>
      <w:r>
        <w:rPr>
          <w:rFonts w:ascii="Times New Roman" w:hAnsi="Times New Roman" w:cs="Times New Roman"/>
        </w:rPr>
        <w:t xml:space="preserve">Table No 04 - </w:t>
      </w:r>
      <w:r w:rsidRPr="00F34F33">
        <w:rPr>
          <w:rFonts w:ascii="Times New Roman" w:hAnsi="Times New Roman" w:cs="Times New Roman"/>
        </w:rPr>
        <w:t xml:space="preserve">Summary of Pharmacological Activities of </w:t>
      </w:r>
      <w:r w:rsidRPr="00F34F33">
        <w:rPr>
          <w:rFonts w:ascii="Times New Roman" w:hAnsi="Times New Roman" w:cs="Times New Roman"/>
          <w:i/>
          <w:iCs/>
        </w:rPr>
        <w:t xml:space="preserve">Crotalaria </w:t>
      </w:r>
      <w:proofErr w:type="spellStart"/>
      <w:r w:rsidRPr="00F34F33">
        <w:rPr>
          <w:rFonts w:ascii="Times New Roman" w:hAnsi="Times New Roman" w:cs="Times New Roman"/>
          <w:i/>
          <w:iCs/>
        </w:rPr>
        <w:t>multibracteata</w:t>
      </w:r>
      <w:proofErr w:type="spellEnd"/>
      <w:r w:rsidRPr="00F34F33">
        <w:rPr>
          <w:rFonts w:ascii="Times New Roman" w:hAnsi="Times New Roman" w:cs="Times New Roman"/>
        </w:rPr>
        <w:t xml:space="preserve"> with Experimental Models</w:t>
      </w:r>
    </w:p>
    <w:p w14:paraId="3CF291D9" w14:textId="77777777" w:rsidR="0034573E" w:rsidRPr="0034573E" w:rsidRDefault="0034573E" w:rsidP="0034573E">
      <w:pPr>
        <w:jc w:val="both"/>
        <w:rPr>
          <w:rFonts w:ascii="Times New Roman" w:hAnsi="Times New Roman" w:cs="Times New Roman"/>
          <w:b/>
          <w:bCs/>
        </w:rPr>
      </w:pPr>
      <w:r w:rsidRPr="0034573E">
        <w:rPr>
          <w:rFonts w:ascii="Times New Roman" w:hAnsi="Times New Roman" w:cs="Times New Roman"/>
          <w:b/>
          <w:bCs/>
        </w:rPr>
        <w:t xml:space="preserve">Toxicological Profile of </w:t>
      </w:r>
      <w:r w:rsidRPr="0034573E">
        <w:rPr>
          <w:rFonts w:ascii="Times New Roman" w:hAnsi="Times New Roman" w:cs="Times New Roman"/>
          <w:b/>
          <w:bCs/>
          <w:i/>
          <w:iCs/>
        </w:rPr>
        <w:t xml:space="preserve">Crotalaria </w:t>
      </w:r>
      <w:proofErr w:type="spellStart"/>
      <w:r w:rsidRPr="0034573E">
        <w:rPr>
          <w:rFonts w:ascii="Times New Roman" w:hAnsi="Times New Roman" w:cs="Times New Roman"/>
          <w:b/>
          <w:bCs/>
          <w:i/>
          <w:iCs/>
        </w:rPr>
        <w:t>multibracteata</w:t>
      </w:r>
      <w:proofErr w:type="spellEnd"/>
    </w:p>
    <w:p w14:paraId="40D212DD" w14:textId="77777777" w:rsidR="0034573E" w:rsidRPr="0034573E" w:rsidRDefault="0034573E" w:rsidP="0034573E">
      <w:pPr>
        <w:jc w:val="both"/>
        <w:rPr>
          <w:rFonts w:ascii="Times New Roman" w:hAnsi="Times New Roman" w:cs="Times New Roman"/>
        </w:rPr>
      </w:pPr>
      <w:r w:rsidRPr="0034573E">
        <w:rPr>
          <w:rFonts w:ascii="Times New Roman" w:hAnsi="Times New Roman" w:cs="Times New Roman"/>
        </w:rPr>
        <w:t xml:space="preserve">Certain species within the </w:t>
      </w:r>
      <w:r w:rsidRPr="0034573E">
        <w:rPr>
          <w:rFonts w:ascii="Times New Roman" w:hAnsi="Times New Roman" w:cs="Times New Roman"/>
          <w:i/>
          <w:iCs/>
        </w:rPr>
        <w:t>Crotalaria</w:t>
      </w:r>
      <w:r w:rsidRPr="0034573E">
        <w:rPr>
          <w:rFonts w:ascii="Times New Roman" w:hAnsi="Times New Roman" w:cs="Times New Roman"/>
        </w:rPr>
        <w:t xml:space="preserve"> genus are known to contain pyrrolizidine alkaloids (PAs), which have been associated with hepatotoxicity, genotoxicity, and potential carcinogenicity when consumed in high doses or over prolonged periods [45]. These alkaloids can cause </w:t>
      </w:r>
      <w:proofErr w:type="spellStart"/>
      <w:r w:rsidRPr="0034573E">
        <w:rPr>
          <w:rFonts w:ascii="Times New Roman" w:hAnsi="Times New Roman" w:cs="Times New Roman"/>
        </w:rPr>
        <w:t>veno</w:t>
      </w:r>
      <w:proofErr w:type="spellEnd"/>
      <w:r w:rsidRPr="0034573E">
        <w:rPr>
          <w:rFonts w:ascii="Times New Roman" w:hAnsi="Times New Roman" w:cs="Times New Roman"/>
        </w:rPr>
        <w:t>-occlusive disease, liver fibrosis, and other toxic effects primarily through metabolic activation in the liver, producing reactive intermediates that damage hepatic tissue [46].</w:t>
      </w:r>
    </w:p>
    <w:p w14:paraId="562A8ABD" w14:textId="77777777" w:rsidR="0034573E" w:rsidRPr="0034573E" w:rsidRDefault="0034573E" w:rsidP="0034573E">
      <w:pPr>
        <w:jc w:val="both"/>
        <w:rPr>
          <w:rFonts w:ascii="Times New Roman" w:hAnsi="Times New Roman" w:cs="Times New Roman"/>
        </w:rPr>
      </w:pPr>
      <w:r w:rsidRPr="0034573E">
        <w:rPr>
          <w:rFonts w:ascii="Times New Roman" w:hAnsi="Times New Roman" w:cs="Times New Roman"/>
        </w:rPr>
        <w:t xml:space="preserve">In the case of </w:t>
      </w:r>
      <w:r w:rsidRPr="0034573E">
        <w:rPr>
          <w:rFonts w:ascii="Times New Roman" w:hAnsi="Times New Roman" w:cs="Times New Roman"/>
          <w:i/>
          <w:iCs/>
        </w:rPr>
        <w:t xml:space="preserve">Crotalaria </w:t>
      </w:r>
      <w:proofErr w:type="spellStart"/>
      <w:r w:rsidRPr="0034573E">
        <w:rPr>
          <w:rFonts w:ascii="Times New Roman" w:hAnsi="Times New Roman" w:cs="Times New Roman"/>
          <w:i/>
          <w:iCs/>
        </w:rPr>
        <w:t>multibracteata</w:t>
      </w:r>
      <w:proofErr w:type="spellEnd"/>
      <w:r w:rsidRPr="0034573E">
        <w:rPr>
          <w:rFonts w:ascii="Times New Roman" w:hAnsi="Times New Roman" w:cs="Times New Roman"/>
        </w:rPr>
        <w:t>, phytochemical studies have confirmed the presence of some PAs, although their concentrations tend to vary based on geographic location, plant part, and harvesting time [47]. Toxicological evaluations using in vitro cytotoxicity assays and in vivo animal models have reported dose-dependent toxicity, with higher doses showing liver enzyme elevation and histopathological alterations [48].</w:t>
      </w:r>
    </w:p>
    <w:p w14:paraId="3919686D" w14:textId="77777777" w:rsidR="0034573E" w:rsidRPr="0034573E" w:rsidRDefault="0034573E" w:rsidP="0034573E">
      <w:pPr>
        <w:jc w:val="both"/>
        <w:rPr>
          <w:rFonts w:ascii="Times New Roman" w:hAnsi="Times New Roman" w:cs="Times New Roman"/>
        </w:rPr>
      </w:pPr>
      <w:r w:rsidRPr="0034573E">
        <w:rPr>
          <w:rFonts w:ascii="Times New Roman" w:hAnsi="Times New Roman" w:cs="Times New Roman"/>
        </w:rPr>
        <w:t>However, controlled administration of standardized extracts at recommended doses has shown an acceptable safety margin in acute and sub-chronic toxicity studies. For example, oral doses up to 500 mg/kg body weight in rodents did not produce significant adverse effects over 28 days of exposure, suggesting a relatively safe dosage range for therapeutic exploration [49].</w:t>
      </w:r>
    </w:p>
    <w:p w14:paraId="1EC7E96D" w14:textId="77777777" w:rsidR="0034573E" w:rsidRPr="0034573E" w:rsidRDefault="0034573E" w:rsidP="0034573E">
      <w:pPr>
        <w:jc w:val="both"/>
        <w:rPr>
          <w:rFonts w:ascii="Times New Roman" w:hAnsi="Times New Roman" w:cs="Times New Roman"/>
        </w:rPr>
      </w:pPr>
      <w:r w:rsidRPr="0034573E">
        <w:rPr>
          <w:rFonts w:ascii="Times New Roman" w:hAnsi="Times New Roman" w:cs="Times New Roman"/>
        </w:rPr>
        <w:t xml:space="preserve">Nonetheless, caution is advised when considering long-term use or high-dose therapies due to the potential risk of PA accumulation. It is recommended that future research focuses on detailed PA </w:t>
      </w:r>
      <w:r w:rsidRPr="0034573E">
        <w:rPr>
          <w:rFonts w:ascii="Times New Roman" w:hAnsi="Times New Roman" w:cs="Times New Roman"/>
        </w:rPr>
        <w:lastRenderedPageBreak/>
        <w:t>profiling, detoxification techniques, and establishing clear therapeutic indices to ensure safe clinical use [50].</w:t>
      </w:r>
    </w:p>
    <w:p w14:paraId="793FF6EB" w14:textId="77777777" w:rsidR="00AA5F3C" w:rsidRPr="00AA5F3C" w:rsidRDefault="00AA5F3C" w:rsidP="00AA5F3C">
      <w:pPr>
        <w:jc w:val="both"/>
        <w:rPr>
          <w:rFonts w:ascii="Times New Roman" w:hAnsi="Times New Roman" w:cs="Times New Roman"/>
          <w:b/>
          <w:bCs/>
        </w:rPr>
      </w:pPr>
      <w:r w:rsidRPr="00AA5F3C">
        <w:rPr>
          <w:rFonts w:ascii="Times New Roman" w:hAnsi="Times New Roman" w:cs="Times New Roman"/>
          <w:b/>
          <w:bCs/>
        </w:rPr>
        <w:t xml:space="preserve">Biotechnological and Agronomic Aspects of </w:t>
      </w:r>
      <w:r w:rsidRPr="00AA5F3C">
        <w:rPr>
          <w:rFonts w:ascii="Times New Roman" w:hAnsi="Times New Roman" w:cs="Times New Roman"/>
          <w:b/>
          <w:bCs/>
          <w:i/>
          <w:iCs/>
        </w:rPr>
        <w:t xml:space="preserve">Crotalaria </w:t>
      </w:r>
      <w:proofErr w:type="spellStart"/>
      <w:r w:rsidRPr="00AA5F3C">
        <w:rPr>
          <w:rFonts w:ascii="Times New Roman" w:hAnsi="Times New Roman" w:cs="Times New Roman"/>
          <w:b/>
          <w:bCs/>
          <w:i/>
          <w:iCs/>
        </w:rPr>
        <w:t>multibracteata</w:t>
      </w:r>
      <w:proofErr w:type="spellEnd"/>
    </w:p>
    <w:p w14:paraId="25F097C0" w14:textId="77777777" w:rsidR="00AA5F3C" w:rsidRPr="00AA5F3C" w:rsidRDefault="00AA5F3C" w:rsidP="00AA5F3C">
      <w:pPr>
        <w:jc w:val="both"/>
        <w:rPr>
          <w:rFonts w:ascii="Times New Roman" w:hAnsi="Times New Roman" w:cs="Times New Roman"/>
        </w:rPr>
      </w:pPr>
      <w:r w:rsidRPr="00AA5F3C">
        <w:rPr>
          <w:rFonts w:ascii="Times New Roman" w:hAnsi="Times New Roman" w:cs="Times New Roman"/>
        </w:rPr>
        <w:t xml:space="preserve">The propagation of </w:t>
      </w:r>
      <w:r w:rsidRPr="00AA5F3C">
        <w:rPr>
          <w:rFonts w:ascii="Times New Roman" w:hAnsi="Times New Roman" w:cs="Times New Roman"/>
          <w:i/>
          <w:iCs/>
        </w:rPr>
        <w:t xml:space="preserve">Crotalaria </w:t>
      </w:r>
      <w:proofErr w:type="spellStart"/>
      <w:r w:rsidRPr="00AA5F3C">
        <w:rPr>
          <w:rFonts w:ascii="Times New Roman" w:hAnsi="Times New Roman" w:cs="Times New Roman"/>
          <w:i/>
          <w:iCs/>
        </w:rPr>
        <w:t>multibracteata</w:t>
      </w:r>
      <w:proofErr w:type="spellEnd"/>
      <w:r w:rsidRPr="00AA5F3C">
        <w:rPr>
          <w:rFonts w:ascii="Times New Roman" w:hAnsi="Times New Roman" w:cs="Times New Roman"/>
        </w:rPr>
        <w:t xml:space="preserve"> primarily occurs through seeds, which exhibit varying germination rates depending on environmental conditions and seed treatment methods. Techniques such as scarification and soaking in gibberellic acid (GA3) have been employed to enhance germination percentage and speed, facilitating more reliable establishment of seedlings in cultivation systems [51]. Additionally, in vitro propagation via tissue culture methods including nodal explants and callus induction has been explored to produce disease-free plants and mass propagation of elite genotypes, although these studies remain limited and warrant further optimization [52].</w:t>
      </w:r>
    </w:p>
    <w:p w14:paraId="19FA5654" w14:textId="77777777" w:rsidR="00AA5F3C" w:rsidRPr="00AA5F3C" w:rsidRDefault="00AA5F3C" w:rsidP="00AA5F3C">
      <w:pPr>
        <w:jc w:val="both"/>
        <w:rPr>
          <w:rFonts w:ascii="Times New Roman" w:hAnsi="Times New Roman" w:cs="Times New Roman"/>
        </w:rPr>
      </w:pPr>
      <w:r w:rsidRPr="00AA5F3C">
        <w:rPr>
          <w:rFonts w:ascii="Times New Roman" w:hAnsi="Times New Roman" w:cs="Times New Roman"/>
        </w:rPr>
        <w:t xml:space="preserve">From an agronomic perspective, </w:t>
      </w:r>
      <w:r w:rsidRPr="00AA5F3C">
        <w:rPr>
          <w:rFonts w:ascii="Times New Roman" w:hAnsi="Times New Roman" w:cs="Times New Roman"/>
          <w:i/>
          <w:iCs/>
        </w:rPr>
        <w:t xml:space="preserve">Crotalaria </w:t>
      </w:r>
      <w:proofErr w:type="spellStart"/>
      <w:r w:rsidRPr="00AA5F3C">
        <w:rPr>
          <w:rFonts w:ascii="Times New Roman" w:hAnsi="Times New Roman" w:cs="Times New Roman"/>
          <w:i/>
          <w:iCs/>
        </w:rPr>
        <w:t>multibracteata</w:t>
      </w:r>
      <w:proofErr w:type="spellEnd"/>
      <w:r w:rsidRPr="00AA5F3C">
        <w:rPr>
          <w:rFonts w:ascii="Times New Roman" w:hAnsi="Times New Roman" w:cs="Times New Roman"/>
        </w:rPr>
        <w:t xml:space="preserve"> shows adaptability to a range of soil types but prefers well-drained, sandy loam soils with moderate moisture levels. It thrives under tropical and subtropical climates, with optimal growth reported under full sunlight exposure and temperatures between 20–30°C [53]. Due to its nitrogen-fixing ability, </w:t>
      </w:r>
      <w:r w:rsidRPr="00AA5F3C">
        <w:rPr>
          <w:rFonts w:ascii="Times New Roman" w:hAnsi="Times New Roman" w:cs="Times New Roman"/>
          <w:i/>
          <w:iCs/>
        </w:rPr>
        <w:t>Crotalaria</w:t>
      </w:r>
      <w:r w:rsidRPr="00AA5F3C">
        <w:rPr>
          <w:rFonts w:ascii="Times New Roman" w:hAnsi="Times New Roman" w:cs="Times New Roman"/>
        </w:rPr>
        <w:t xml:space="preserve"> species are often employed as green manure crops in sustainable agriculture, improving soil fertility and structure, thus reducing the need for synthetic fertilizers [54]. The cultivation potential of </w:t>
      </w:r>
      <w:r w:rsidRPr="00AA5F3C">
        <w:rPr>
          <w:rFonts w:ascii="Times New Roman" w:hAnsi="Times New Roman" w:cs="Times New Roman"/>
          <w:i/>
          <w:iCs/>
        </w:rPr>
        <w:t xml:space="preserve">C. </w:t>
      </w:r>
      <w:proofErr w:type="spellStart"/>
      <w:r w:rsidRPr="00AA5F3C">
        <w:rPr>
          <w:rFonts w:ascii="Times New Roman" w:hAnsi="Times New Roman" w:cs="Times New Roman"/>
          <w:i/>
          <w:iCs/>
        </w:rPr>
        <w:t>multibracteata</w:t>
      </w:r>
      <w:proofErr w:type="spellEnd"/>
      <w:r w:rsidRPr="00AA5F3C">
        <w:rPr>
          <w:rFonts w:ascii="Times New Roman" w:hAnsi="Times New Roman" w:cs="Times New Roman"/>
        </w:rPr>
        <w:t xml:space="preserve"> for medicinal purposes is promising, yet detailed agronomic studies on yield optimization and harvesting times are sparse, indicating a gap in research that needs addressing for commercial-scale production [55].</w:t>
      </w:r>
    </w:p>
    <w:p w14:paraId="33CE831F" w14:textId="77777777" w:rsidR="00AA5F3C" w:rsidRPr="00AA5F3C" w:rsidRDefault="00AA5F3C" w:rsidP="00AA5F3C">
      <w:pPr>
        <w:jc w:val="both"/>
        <w:rPr>
          <w:rFonts w:ascii="Times New Roman" w:hAnsi="Times New Roman" w:cs="Times New Roman"/>
        </w:rPr>
      </w:pPr>
      <w:r w:rsidRPr="00AA5F3C">
        <w:rPr>
          <w:rFonts w:ascii="Times New Roman" w:hAnsi="Times New Roman" w:cs="Times New Roman"/>
        </w:rPr>
        <w:t xml:space="preserve">In the realm of green synthesis, recent preliminary investigations have utilized </w:t>
      </w:r>
      <w:r w:rsidRPr="00AA5F3C">
        <w:rPr>
          <w:rFonts w:ascii="Times New Roman" w:hAnsi="Times New Roman" w:cs="Times New Roman"/>
          <w:i/>
          <w:iCs/>
        </w:rPr>
        <w:t>Crotalaria</w:t>
      </w:r>
      <w:r w:rsidRPr="00AA5F3C">
        <w:rPr>
          <w:rFonts w:ascii="Times New Roman" w:hAnsi="Times New Roman" w:cs="Times New Roman"/>
        </w:rPr>
        <w:t xml:space="preserve"> plant extracts, including </w:t>
      </w:r>
      <w:r w:rsidRPr="00AA5F3C">
        <w:rPr>
          <w:rFonts w:ascii="Times New Roman" w:hAnsi="Times New Roman" w:cs="Times New Roman"/>
          <w:i/>
          <w:iCs/>
        </w:rPr>
        <w:t xml:space="preserve">C. </w:t>
      </w:r>
      <w:proofErr w:type="spellStart"/>
      <w:r w:rsidRPr="00AA5F3C">
        <w:rPr>
          <w:rFonts w:ascii="Times New Roman" w:hAnsi="Times New Roman" w:cs="Times New Roman"/>
          <w:i/>
          <w:iCs/>
        </w:rPr>
        <w:t>multibracteata</w:t>
      </w:r>
      <w:proofErr w:type="spellEnd"/>
      <w:r w:rsidRPr="00AA5F3C">
        <w:rPr>
          <w:rFonts w:ascii="Times New Roman" w:hAnsi="Times New Roman" w:cs="Times New Roman"/>
        </w:rPr>
        <w:t xml:space="preserve">, as reducing and stabilizing agents in the biosynthesis of metal nanoparticles such as silver and gold nanoparticles. These biogenic nanoparticles exhibit potent antimicrobial and antioxidant properties, making the plant a valuable resource in nanotechnology applications aimed at environmentally friendly synthesis routes [56]. However, systematic studies focusing specifically on </w:t>
      </w:r>
      <w:r w:rsidRPr="00AA5F3C">
        <w:rPr>
          <w:rFonts w:ascii="Times New Roman" w:hAnsi="Times New Roman" w:cs="Times New Roman"/>
          <w:i/>
          <w:iCs/>
        </w:rPr>
        <w:t xml:space="preserve">C. </w:t>
      </w:r>
      <w:proofErr w:type="spellStart"/>
      <w:r w:rsidRPr="00AA5F3C">
        <w:rPr>
          <w:rFonts w:ascii="Times New Roman" w:hAnsi="Times New Roman" w:cs="Times New Roman"/>
          <w:i/>
          <w:iCs/>
        </w:rPr>
        <w:t>multibracteata</w:t>
      </w:r>
      <w:proofErr w:type="spellEnd"/>
      <w:r w:rsidRPr="00AA5F3C">
        <w:rPr>
          <w:rFonts w:ascii="Times New Roman" w:hAnsi="Times New Roman" w:cs="Times New Roman"/>
        </w:rPr>
        <w:t xml:space="preserve"> remain limited and should be expanded to fully harness its potential in this emerging field.</w:t>
      </w:r>
    </w:p>
    <w:p w14:paraId="4AC71634" w14:textId="77777777" w:rsidR="00942757" w:rsidRPr="00942757" w:rsidRDefault="00942757" w:rsidP="00942757">
      <w:pPr>
        <w:jc w:val="both"/>
        <w:rPr>
          <w:rFonts w:ascii="Times New Roman" w:hAnsi="Times New Roman" w:cs="Times New Roman"/>
        </w:rPr>
      </w:pPr>
      <w:r w:rsidRPr="00942757">
        <w:rPr>
          <w:rFonts w:ascii="Times New Roman" w:hAnsi="Times New Roman" w:cs="Times New Roman"/>
          <w:b/>
          <w:bCs/>
        </w:rPr>
        <w:t>Conclusion</w:t>
      </w:r>
    </w:p>
    <w:p w14:paraId="4F5288A1" w14:textId="13F13757" w:rsidR="00C50F6E" w:rsidRDefault="00942757" w:rsidP="002D2C30">
      <w:pPr>
        <w:jc w:val="both"/>
        <w:rPr>
          <w:rFonts w:ascii="Times New Roman" w:hAnsi="Times New Roman" w:cs="Times New Roman"/>
        </w:rPr>
      </w:pPr>
      <w:r w:rsidRPr="00942757">
        <w:rPr>
          <w:rFonts w:ascii="Times New Roman" w:hAnsi="Times New Roman" w:cs="Times New Roman"/>
          <w:i/>
          <w:iCs/>
        </w:rPr>
        <w:t xml:space="preserve">Crotalaria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xml:space="preserve"> represents a promising yet underexplored medicinal plant with a diverse range of bioactive compounds, including flavonoids, alkaloids, terpenoids, and phenolics, that contribute to its notable pharmacological activities such as antioxidant, anti-inflammatory, antimicrobial, and cytotoxic effects. Its traditional and ethnomedicinal uses underscore its therapeutic potential, while recent scientific studies have begun to validate these claims through both </w:t>
      </w:r>
      <w:r w:rsidRPr="00942757">
        <w:rPr>
          <w:rFonts w:ascii="Times New Roman" w:hAnsi="Times New Roman" w:cs="Times New Roman"/>
          <w:i/>
          <w:iCs/>
        </w:rPr>
        <w:t>in vitro</w:t>
      </w:r>
      <w:r w:rsidRPr="00942757">
        <w:rPr>
          <w:rFonts w:ascii="Times New Roman" w:hAnsi="Times New Roman" w:cs="Times New Roman"/>
        </w:rPr>
        <w:t xml:space="preserve"> and </w:t>
      </w:r>
      <w:r w:rsidRPr="00942757">
        <w:rPr>
          <w:rFonts w:ascii="Times New Roman" w:hAnsi="Times New Roman" w:cs="Times New Roman"/>
          <w:i/>
          <w:iCs/>
        </w:rPr>
        <w:t xml:space="preserve">in vivo </w:t>
      </w:r>
      <w:r w:rsidRPr="00942757">
        <w:rPr>
          <w:rFonts w:ascii="Times New Roman" w:hAnsi="Times New Roman" w:cs="Times New Roman"/>
        </w:rPr>
        <w:t xml:space="preserve">research. Despite this progress, significant gaps remain, particularly in detailed toxicological profiling, mechanism-based pharmacological investigations, and large-scale cultivation strategies. Future interdisciplinary research integrating modern biotechnological tools and advanced extraction techniques will be critical to unlocking the full </w:t>
      </w:r>
      <w:r w:rsidRPr="00942757">
        <w:rPr>
          <w:rFonts w:ascii="Times New Roman" w:hAnsi="Times New Roman" w:cs="Times New Roman"/>
        </w:rPr>
        <w:lastRenderedPageBreak/>
        <w:t xml:space="preserve">potential of </w:t>
      </w:r>
      <w:r w:rsidRPr="00942757">
        <w:rPr>
          <w:rFonts w:ascii="Times New Roman" w:hAnsi="Times New Roman" w:cs="Times New Roman"/>
          <w:i/>
          <w:iCs/>
        </w:rPr>
        <w:t xml:space="preserve">C.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xml:space="preserve">. Furthermore, the exploration of its applications in pharmaceutical, nutraceutical, and green synthesis fields could pave the way for novel therapies and sustainable agricultural practices. In summary, </w:t>
      </w:r>
      <w:r w:rsidRPr="00942757">
        <w:rPr>
          <w:rFonts w:ascii="Times New Roman" w:hAnsi="Times New Roman" w:cs="Times New Roman"/>
          <w:i/>
          <w:iCs/>
        </w:rPr>
        <w:t xml:space="preserve">Crotalaria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xml:space="preserve"> holds considerable promise as a source of new therapeutic agents, but comprehensive research efforts are essential to translate its traditional knowledge into safe and effective clinical applications.</w:t>
      </w:r>
    </w:p>
    <w:p w14:paraId="37786609" w14:textId="77777777" w:rsidR="00055174" w:rsidRPr="00055174" w:rsidRDefault="00055174" w:rsidP="00055174">
      <w:pPr>
        <w:jc w:val="both"/>
        <w:rPr>
          <w:rFonts w:ascii="Times New Roman" w:hAnsi="Times New Roman" w:cs="Times New Roman"/>
        </w:rPr>
      </w:pPr>
      <w:r w:rsidRPr="00055174">
        <w:rPr>
          <w:rFonts w:ascii="Times New Roman" w:hAnsi="Times New Roman" w:cs="Times New Roman"/>
        </w:rPr>
        <w:t>Disclaimer (Artificial intelligence)</w:t>
      </w:r>
    </w:p>
    <w:p w14:paraId="20EF405D" w14:textId="77777777" w:rsidR="00055174" w:rsidRPr="00055174" w:rsidRDefault="00055174" w:rsidP="00055174">
      <w:pPr>
        <w:jc w:val="both"/>
        <w:rPr>
          <w:rFonts w:ascii="Times New Roman" w:hAnsi="Times New Roman" w:cs="Times New Roman"/>
        </w:rPr>
      </w:pPr>
      <w:r w:rsidRPr="00055174">
        <w:rPr>
          <w:rFonts w:ascii="Times New Roman" w:hAnsi="Times New Roman" w:cs="Times New Roman"/>
        </w:rPr>
        <w:t xml:space="preserve">Option 1: </w:t>
      </w:r>
    </w:p>
    <w:p w14:paraId="1584E224" w14:textId="77777777" w:rsidR="00055174" w:rsidRPr="00055174" w:rsidRDefault="00055174" w:rsidP="00055174">
      <w:pPr>
        <w:jc w:val="both"/>
        <w:rPr>
          <w:rFonts w:ascii="Times New Roman" w:hAnsi="Times New Roman" w:cs="Times New Roman"/>
        </w:rPr>
      </w:pPr>
      <w:r w:rsidRPr="00055174">
        <w:rPr>
          <w:rFonts w:ascii="Times New Roman" w:hAnsi="Times New Roman" w:cs="Times New Roman"/>
        </w:rPr>
        <w:t>Author(s) hereby declare that NO generative AI technologies such as Large Language Models (</w:t>
      </w:r>
      <w:proofErr w:type="spellStart"/>
      <w:r w:rsidRPr="00055174">
        <w:rPr>
          <w:rFonts w:ascii="Times New Roman" w:hAnsi="Times New Roman" w:cs="Times New Roman"/>
        </w:rPr>
        <w:t>ChatGPT</w:t>
      </w:r>
      <w:proofErr w:type="spellEnd"/>
      <w:r w:rsidRPr="00055174">
        <w:rPr>
          <w:rFonts w:ascii="Times New Roman" w:hAnsi="Times New Roman" w:cs="Times New Roman"/>
        </w:rPr>
        <w:t xml:space="preserve">, COPILOT, etc.) and text-to-image generators have been used during the writing or editing of this manuscript. </w:t>
      </w:r>
    </w:p>
    <w:p w14:paraId="25E434F4" w14:textId="77777777" w:rsidR="00055174" w:rsidRPr="00055174" w:rsidRDefault="00055174" w:rsidP="00055174">
      <w:pPr>
        <w:jc w:val="both"/>
        <w:rPr>
          <w:rFonts w:ascii="Times New Roman" w:hAnsi="Times New Roman" w:cs="Times New Roman"/>
        </w:rPr>
      </w:pPr>
      <w:r w:rsidRPr="00055174">
        <w:rPr>
          <w:rFonts w:ascii="Times New Roman" w:hAnsi="Times New Roman" w:cs="Times New Roman"/>
        </w:rPr>
        <w:t xml:space="preserve">Option 2: </w:t>
      </w:r>
    </w:p>
    <w:p w14:paraId="3ED03F1F" w14:textId="77777777" w:rsidR="00055174" w:rsidRPr="00055174" w:rsidRDefault="00055174" w:rsidP="00055174">
      <w:pPr>
        <w:jc w:val="both"/>
        <w:rPr>
          <w:rFonts w:ascii="Times New Roman" w:hAnsi="Times New Roman" w:cs="Times New Roman"/>
        </w:rPr>
      </w:pPr>
      <w:r w:rsidRPr="00055174">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1250DE" w14:textId="77777777" w:rsidR="00055174" w:rsidRPr="00055174" w:rsidRDefault="00055174" w:rsidP="00055174">
      <w:pPr>
        <w:jc w:val="both"/>
        <w:rPr>
          <w:rFonts w:ascii="Times New Roman" w:hAnsi="Times New Roman" w:cs="Times New Roman"/>
        </w:rPr>
      </w:pPr>
      <w:r w:rsidRPr="00055174">
        <w:rPr>
          <w:rFonts w:ascii="Times New Roman" w:hAnsi="Times New Roman" w:cs="Times New Roman"/>
        </w:rPr>
        <w:t>Details of the AI usage are given below:</w:t>
      </w:r>
    </w:p>
    <w:p w14:paraId="17B52EDD" w14:textId="77777777" w:rsidR="00055174" w:rsidRPr="00055174" w:rsidRDefault="00055174" w:rsidP="00055174">
      <w:pPr>
        <w:jc w:val="both"/>
        <w:rPr>
          <w:rFonts w:ascii="Times New Roman" w:hAnsi="Times New Roman" w:cs="Times New Roman"/>
        </w:rPr>
      </w:pPr>
      <w:r w:rsidRPr="00055174">
        <w:rPr>
          <w:rFonts w:ascii="Times New Roman" w:hAnsi="Times New Roman" w:cs="Times New Roman"/>
        </w:rPr>
        <w:t>1.</w:t>
      </w:r>
    </w:p>
    <w:p w14:paraId="1CD3A270" w14:textId="77777777" w:rsidR="00055174" w:rsidRPr="00055174" w:rsidRDefault="00055174" w:rsidP="00055174">
      <w:pPr>
        <w:jc w:val="both"/>
        <w:rPr>
          <w:rFonts w:ascii="Times New Roman" w:hAnsi="Times New Roman" w:cs="Times New Roman"/>
        </w:rPr>
      </w:pPr>
      <w:r w:rsidRPr="00055174">
        <w:rPr>
          <w:rFonts w:ascii="Times New Roman" w:hAnsi="Times New Roman" w:cs="Times New Roman"/>
        </w:rPr>
        <w:t>2.</w:t>
      </w:r>
    </w:p>
    <w:p w14:paraId="25CEDD90" w14:textId="7E0B6778" w:rsidR="00055174" w:rsidRPr="002D2C30" w:rsidRDefault="00055174" w:rsidP="00055174">
      <w:pPr>
        <w:jc w:val="both"/>
        <w:rPr>
          <w:rFonts w:ascii="Times New Roman" w:hAnsi="Times New Roman" w:cs="Times New Roman"/>
        </w:rPr>
      </w:pPr>
      <w:r w:rsidRPr="00055174">
        <w:rPr>
          <w:rFonts w:ascii="Times New Roman" w:hAnsi="Times New Roman" w:cs="Times New Roman"/>
        </w:rPr>
        <w:t>3.</w:t>
      </w:r>
    </w:p>
    <w:p w14:paraId="59EA0827" w14:textId="77777777" w:rsidR="001F5F3C" w:rsidRPr="002D2C30" w:rsidRDefault="001F5F3C" w:rsidP="002D2C30">
      <w:pPr>
        <w:rPr>
          <w:rFonts w:ascii="Times New Roman" w:hAnsi="Times New Roman" w:cs="Times New Roman"/>
        </w:rPr>
      </w:pPr>
    </w:p>
    <w:p w14:paraId="132DAAE6" w14:textId="6F52C6C9" w:rsidR="001F5F3C" w:rsidRPr="002D2C30" w:rsidRDefault="002D2C30" w:rsidP="002D2C30">
      <w:pPr>
        <w:rPr>
          <w:rFonts w:ascii="Times New Roman" w:hAnsi="Times New Roman" w:cs="Times New Roman"/>
          <w:b/>
          <w:bCs/>
        </w:rPr>
      </w:pPr>
      <w:r w:rsidRPr="002D2C30">
        <w:rPr>
          <w:rFonts w:ascii="Times New Roman" w:hAnsi="Times New Roman" w:cs="Times New Roman"/>
          <w:b/>
          <w:bCs/>
        </w:rPr>
        <w:t>References</w:t>
      </w:r>
      <w:r w:rsidR="001F5F3C" w:rsidRPr="002D2C30">
        <w:rPr>
          <w:rFonts w:ascii="Times New Roman" w:hAnsi="Times New Roman" w:cs="Times New Roman"/>
          <w:b/>
          <w:bCs/>
        </w:rPr>
        <w:t xml:space="preserve"> </w:t>
      </w:r>
    </w:p>
    <w:p w14:paraId="4E1297AD" w14:textId="77777777" w:rsidR="002D2C30" w:rsidRDefault="002D2C30" w:rsidP="00C50F6E">
      <w:pPr>
        <w:pStyle w:val="ListParagraph"/>
        <w:rPr>
          <w:rFonts w:ascii="Times New Roman" w:hAnsi="Times New Roman" w:cs="Times New Roman"/>
        </w:rPr>
      </w:pPr>
    </w:p>
    <w:p w14:paraId="13134640" w14:textId="6D9E380F"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 xml:space="preserve">World Health Organization. Traditional medicine: definitions. Geneva: World Health Organization; 2023. Available from: </w:t>
      </w:r>
      <w:hyperlink r:id="rId6" w:tgtFrame="_new" w:history="1">
        <w:r w:rsidRPr="001F5F3C">
          <w:rPr>
            <w:rStyle w:val="Hyperlink"/>
            <w:rFonts w:ascii="Times New Roman" w:hAnsi="Times New Roman" w:cs="Times New Roman"/>
          </w:rPr>
          <w:t>https://www.who.int/publications/i/item/9789241506096</w:t>
        </w:r>
      </w:hyperlink>
    </w:p>
    <w:p w14:paraId="657AD2A6" w14:textId="6A31002F"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Polhill RM. Crotalaria in Africa and Madagascar. Rotterdam: Balkema; 1982.</w:t>
      </w:r>
    </w:p>
    <w:p w14:paraId="33F01C7F" w14:textId="05757C95"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Singh S, Sharma B, Gupta V. Phytochemical and pharmacological profile of genus Crotalaria: A review. Int J Pharm Sci Rev Res. 2015;32(1):112-120. Available from: https://www.globalresearchonline.net/journalcontents/v32-1/21.pdf</w:t>
      </w:r>
    </w:p>
    <w:p w14:paraId="1D820716" w14:textId="78105742" w:rsidR="001F5F3C" w:rsidRPr="001F5F3C" w:rsidRDefault="001F5F3C" w:rsidP="0071654E">
      <w:pPr>
        <w:pStyle w:val="ListParagraph"/>
        <w:numPr>
          <w:ilvl w:val="0"/>
          <w:numId w:val="15"/>
        </w:numPr>
        <w:ind w:left="180"/>
        <w:jc w:val="both"/>
        <w:rPr>
          <w:rFonts w:ascii="Times New Roman" w:hAnsi="Times New Roman" w:cs="Times New Roman"/>
        </w:rPr>
      </w:pPr>
      <w:proofErr w:type="spellStart"/>
      <w:r w:rsidRPr="001F5F3C">
        <w:rPr>
          <w:rFonts w:ascii="Times New Roman" w:hAnsi="Times New Roman" w:cs="Times New Roman"/>
        </w:rPr>
        <w:t>Ambasta</w:t>
      </w:r>
      <w:proofErr w:type="spellEnd"/>
      <w:r w:rsidRPr="001F5F3C">
        <w:rPr>
          <w:rFonts w:ascii="Times New Roman" w:hAnsi="Times New Roman" w:cs="Times New Roman"/>
        </w:rPr>
        <w:t xml:space="preserve"> SP. The Useful Plants of India. New Delhi: CSIR Publications; 2006.</w:t>
      </w:r>
    </w:p>
    <w:p w14:paraId="20568D64" w14:textId="0ABE1262"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Bhosale R, Mote SR. Pharmacological evaluation of Crotalaria species: A review. J Pharm Res. 2018;12(2):78–85. Available from: https://www.jprsolutions.info/article_detail.php?article_id=3315</w:t>
      </w:r>
    </w:p>
    <w:p w14:paraId="337B0A39" w14:textId="5BB8A67A"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lastRenderedPageBreak/>
        <w:t xml:space="preserve">Reddy KRC, Rao SK. Ethnobotanical uses of some Fabaceae species in Eastern Ghats of Andhra Pradesh. Indian J </w:t>
      </w:r>
      <w:proofErr w:type="spellStart"/>
      <w:r w:rsidRPr="001F5F3C">
        <w:rPr>
          <w:rFonts w:ascii="Times New Roman" w:hAnsi="Times New Roman" w:cs="Times New Roman"/>
        </w:rPr>
        <w:t>Tradit</w:t>
      </w:r>
      <w:proofErr w:type="spellEnd"/>
      <w:r w:rsidRPr="001F5F3C">
        <w:rPr>
          <w:rFonts w:ascii="Times New Roman" w:hAnsi="Times New Roman" w:cs="Times New Roman"/>
        </w:rPr>
        <w:t xml:space="preserve"> </w:t>
      </w:r>
      <w:proofErr w:type="spellStart"/>
      <w:r w:rsidRPr="001F5F3C">
        <w:rPr>
          <w:rFonts w:ascii="Times New Roman" w:hAnsi="Times New Roman" w:cs="Times New Roman"/>
        </w:rPr>
        <w:t>Knowl</w:t>
      </w:r>
      <w:proofErr w:type="spellEnd"/>
      <w:r w:rsidRPr="001F5F3C">
        <w:rPr>
          <w:rFonts w:ascii="Times New Roman" w:hAnsi="Times New Roman" w:cs="Times New Roman"/>
        </w:rPr>
        <w:t>. 2011;10(3):521–525. Available from: https://nopr.niscair.res.in/handle/123456789/11602</w:t>
      </w:r>
    </w:p>
    <w:p w14:paraId="1243FED5" w14:textId="741E498F"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 xml:space="preserve">Wight R, Arnott GN. </w:t>
      </w:r>
      <w:proofErr w:type="spellStart"/>
      <w:r w:rsidRPr="001F5F3C">
        <w:rPr>
          <w:rFonts w:ascii="Times New Roman" w:hAnsi="Times New Roman" w:cs="Times New Roman"/>
        </w:rPr>
        <w:t>Prodromus</w:t>
      </w:r>
      <w:proofErr w:type="spellEnd"/>
      <w:r w:rsidRPr="001F5F3C">
        <w:rPr>
          <w:rFonts w:ascii="Times New Roman" w:hAnsi="Times New Roman" w:cs="Times New Roman"/>
        </w:rPr>
        <w:t xml:space="preserve"> Florae </w:t>
      </w:r>
      <w:proofErr w:type="spellStart"/>
      <w:r w:rsidRPr="001F5F3C">
        <w:rPr>
          <w:rFonts w:ascii="Times New Roman" w:hAnsi="Times New Roman" w:cs="Times New Roman"/>
        </w:rPr>
        <w:t>Peninsulae</w:t>
      </w:r>
      <w:proofErr w:type="spellEnd"/>
      <w:r w:rsidRPr="001F5F3C">
        <w:rPr>
          <w:rFonts w:ascii="Times New Roman" w:hAnsi="Times New Roman" w:cs="Times New Roman"/>
        </w:rPr>
        <w:t xml:space="preserve"> </w:t>
      </w:r>
      <w:proofErr w:type="spellStart"/>
      <w:r w:rsidRPr="001F5F3C">
        <w:rPr>
          <w:rFonts w:ascii="Times New Roman" w:hAnsi="Times New Roman" w:cs="Times New Roman"/>
        </w:rPr>
        <w:t>Indiae</w:t>
      </w:r>
      <w:proofErr w:type="spellEnd"/>
      <w:r w:rsidRPr="001F5F3C">
        <w:rPr>
          <w:rFonts w:ascii="Times New Roman" w:hAnsi="Times New Roman" w:cs="Times New Roman"/>
        </w:rPr>
        <w:t xml:space="preserve"> </w:t>
      </w:r>
      <w:proofErr w:type="spellStart"/>
      <w:r w:rsidRPr="001F5F3C">
        <w:rPr>
          <w:rFonts w:ascii="Times New Roman" w:hAnsi="Times New Roman" w:cs="Times New Roman"/>
        </w:rPr>
        <w:t>Orientalis</w:t>
      </w:r>
      <w:proofErr w:type="spellEnd"/>
      <w:r w:rsidRPr="001F5F3C">
        <w:rPr>
          <w:rFonts w:ascii="Times New Roman" w:hAnsi="Times New Roman" w:cs="Times New Roman"/>
        </w:rPr>
        <w:t xml:space="preserve">. London: </w:t>
      </w:r>
      <w:proofErr w:type="spellStart"/>
      <w:r w:rsidRPr="001F5F3C">
        <w:rPr>
          <w:rFonts w:ascii="Times New Roman" w:hAnsi="Times New Roman" w:cs="Times New Roman"/>
        </w:rPr>
        <w:t>Parbury</w:t>
      </w:r>
      <w:proofErr w:type="spellEnd"/>
      <w:r w:rsidRPr="001F5F3C">
        <w:rPr>
          <w:rFonts w:ascii="Times New Roman" w:hAnsi="Times New Roman" w:cs="Times New Roman"/>
        </w:rPr>
        <w:t>, Allen, &amp; Co.; 1834. Available from: https://www.biodiversitylibrary.org/bibliography/252</w:t>
      </w:r>
    </w:p>
    <w:p w14:paraId="5593E7DA" w14:textId="1880B1BB"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Gamble JS. Flora of the Presidency of Madras. Vol. 1–3. Calcutta: Botanical Survey of India; 1935. Available from: https://openlibrary.org/works/OL23030M/Flora_of_the_Presidency_of_Madras</w:t>
      </w:r>
    </w:p>
    <w:p w14:paraId="2632720F" w14:textId="3A4B2F2C"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Kirtikar KR, Basu BD. Indian Medicinal Plants. Vol. 1. Allahabad: Lalit Mohan Basu Publications; 2001. Available from: https://wellcomecollection.org/works/desy87fu</w:t>
      </w:r>
    </w:p>
    <w:p w14:paraId="784E7772" w14:textId="40F990CB" w:rsidR="001F5F3C" w:rsidRPr="001F5F3C" w:rsidRDefault="001F5F3C" w:rsidP="0071654E">
      <w:pPr>
        <w:pStyle w:val="ListParagraph"/>
        <w:numPr>
          <w:ilvl w:val="0"/>
          <w:numId w:val="15"/>
        </w:numPr>
        <w:ind w:left="180"/>
        <w:jc w:val="both"/>
        <w:rPr>
          <w:rFonts w:ascii="Times New Roman" w:hAnsi="Times New Roman" w:cs="Times New Roman"/>
        </w:rPr>
      </w:pPr>
      <w:proofErr w:type="spellStart"/>
      <w:r w:rsidRPr="001F5F3C">
        <w:rPr>
          <w:rFonts w:ascii="Times New Roman" w:hAnsi="Times New Roman" w:cs="Times New Roman"/>
        </w:rPr>
        <w:t>Ignacimuthu</w:t>
      </w:r>
      <w:proofErr w:type="spellEnd"/>
      <w:r w:rsidRPr="001F5F3C">
        <w:rPr>
          <w:rFonts w:ascii="Times New Roman" w:hAnsi="Times New Roman" w:cs="Times New Roman"/>
        </w:rPr>
        <w:t xml:space="preserve"> S, </w:t>
      </w:r>
      <w:proofErr w:type="spellStart"/>
      <w:r w:rsidRPr="001F5F3C">
        <w:rPr>
          <w:rFonts w:ascii="Times New Roman" w:hAnsi="Times New Roman" w:cs="Times New Roman"/>
        </w:rPr>
        <w:t>Ayyanar</w:t>
      </w:r>
      <w:proofErr w:type="spellEnd"/>
      <w:r w:rsidRPr="001F5F3C">
        <w:rPr>
          <w:rFonts w:ascii="Times New Roman" w:hAnsi="Times New Roman" w:cs="Times New Roman"/>
        </w:rPr>
        <w:t xml:space="preserve"> M. Ethnobotanical survey of medicinal plants used by tribals in Theni district, Tamil Nadu, India. J </w:t>
      </w:r>
      <w:proofErr w:type="spellStart"/>
      <w:r w:rsidRPr="001F5F3C">
        <w:rPr>
          <w:rFonts w:ascii="Times New Roman" w:hAnsi="Times New Roman" w:cs="Times New Roman"/>
        </w:rPr>
        <w:t>Ethnopharmacol</w:t>
      </w:r>
      <w:proofErr w:type="spellEnd"/>
      <w:r w:rsidRPr="001F5F3C">
        <w:rPr>
          <w:rFonts w:ascii="Times New Roman" w:hAnsi="Times New Roman" w:cs="Times New Roman"/>
        </w:rPr>
        <w:t>. 2009;123(2):287–292. Available from: https://doi.org/10.1016/j.jep.2009.02.008</w:t>
      </w:r>
    </w:p>
    <w:p w14:paraId="754953FC" w14:textId="5BBD1049"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 xml:space="preserve">Singh AG, Duggal S. Cultivation potential of some Indian medicinal legumes: A review. Indian J </w:t>
      </w:r>
      <w:proofErr w:type="spellStart"/>
      <w:r w:rsidRPr="001F5F3C">
        <w:rPr>
          <w:rFonts w:ascii="Times New Roman" w:hAnsi="Times New Roman" w:cs="Times New Roman"/>
        </w:rPr>
        <w:t>Tradit</w:t>
      </w:r>
      <w:proofErr w:type="spellEnd"/>
      <w:r w:rsidRPr="001F5F3C">
        <w:rPr>
          <w:rFonts w:ascii="Times New Roman" w:hAnsi="Times New Roman" w:cs="Times New Roman"/>
        </w:rPr>
        <w:t xml:space="preserve"> </w:t>
      </w:r>
      <w:proofErr w:type="spellStart"/>
      <w:r w:rsidRPr="001F5F3C">
        <w:rPr>
          <w:rFonts w:ascii="Times New Roman" w:hAnsi="Times New Roman" w:cs="Times New Roman"/>
        </w:rPr>
        <w:t>Knowl</w:t>
      </w:r>
      <w:proofErr w:type="spellEnd"/>
      <w:r w:rsidRPr="001F5F3C">
        <w:rPr>
          <w:rFonts w:ascii="Times New Roman" w:hAnsi="Times New Roman" w:cs="Times New Roman"/>
        </w:rPr>
        <w:t>. 2016;15(2):302–308. Available from: https://nopr.niscair.res.in/handle/123456789/34706</w:t>
      </w:r>
    </w:p>
    <w:p w14:paraId="1927E941" w14:textId="4349F343"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Ved DK, Goraya GS. Demand and supply of medicinal plants in India. New Delhi: NMPB &amp; FRLHT; 2008. Available from: https://www.nmpb.nic.in/sites/default/files/2020-11/Demand%20and%20Supply%20of%20Medicinal%20Plants%20in%20India.pdf</w:t>
      </w:r>
    </w:p>
    <w:p w14:paraId="2B2C1C16" w14:textId="74CE7DBB"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 xml:space="preserve">Rao MR, Palanisamy A. Conservation strategies for wild medicinal plants: A case study on Crotalaria species in southern India. </w:t>
      </w:r>
      <w:proofErr w:type="spellStart"/>
      <w:r w:rsidRPr="001F5F3C">
        <w:rPr>
          <w:rFonts w:ascii="Times New Roman" w:hAnsi="Times New Roman" w:cs="Times New Roman"/>
        </w:rPr>
        <w:t>Int</w:t>
      </w:r>
      <w:proofErr w:type="spellEnd"/>
      <w:r w:rsidRPr="001F5F3C">
        <w:rPr>
          <w:rFonts w:ascii="Times New Roman" w:hAnsi="Times New Roman" w:cs="Times New Roman"/>
        </w:rPr>
        <w:t xml:space="preserve"> J </w:t>
      </w:r>
      <w:proofErr w:type="spellStart"/>
      <w:r w:rsidRPr="001F5F3C">
        <w:rPr>
          <w:rFonts w:ascii="Times New Roman" w:hAnsi="Times New Roman" w:cs="Times New Roman"/>
        </w:rPr>
        <w:t>Conserv</w:t>
      </w:r>
      <w:proofErr w:type="spellEnd"/>
      <w:r w:rsidRPr="001F5F3C">
        <w:rPr>
          <w:rFonts w:ascii="Times New Roman" w:hAnsi="Times New Roman" w:cs="Times New Roman"/>
        </w:rPr>
        <w:t xml:space="preserve"> Sci. 2020;11(3):917–924. Available from: https://www.ijcs.uaic.ro/articles/IJCS-20-30.pdf</w:t>
      </w:r>
    </w:p>
    <w:p w14:paraId="563E37AE" w14:textId="27C43BD7"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 xml:space="preserve">Singh NP, </w:t>
      </w:r>
      <w:proofErr w:type="spellStart"/>
      <w:r w:rsidRPr="001F5F3C">
        <w:rPr>
          <w:rFonts w:ascii="Times New Roman" w:hAnsi="Times New Roman" w:cs="Times New Roman"/>
        </w:rPr>
        <w:t>Lakshminarasimhan</w:t>
      </w:r>
      <w:proofErr w:type="spellEnd"/>
      <w:r w:rsidRPr="001F5F3C">
        <w:rPr>
          <w:rFonts w:ascii="Times New Roman" w:hAnsi="Times New Roman" w:cs="Times New Roman"/>
        </w:rPr>
        <w:t xml:space="preserve"> P, </w:t>
      </w:r>
      <w:proofErr w:type="spellStart"/>
      <w:r w:rsidRPr="001F5F3C">
        <w:rPr>
          <w:rFonts w:ascii="Times New Roman" w:hAnsi="Times New Roman" w:cs="Times New Roman"/>
        </w:rPr>
        <w:t>Karthikeyan</w:t>
      </w:r>
      <w:proofErr w:type="spellEnd"/>
      <w:r w:rsidRPr="001F5F3C">
        <w:rPr>
          <w:rFonts w:ascii="Times New Roman" w:hAnsi="Times New Roman" w:cs="Times New Roman"/>
        </w:rPr>
        <w:t xml:space="preserve"> S, Prasanna PV. Flora of Tamil Nadu: Analysis. Botanical Survey of India; 2000. Available from: https://www.bsienvis.nic.in/Database/Flora_of_Tamil_Nadu_Analysis_1197.aspx</w:t>
      </w:r>
    </w:p>
    <w:p w14:paraId="2BEAF730" w14:textId="6A204FBD" w:rsidR="001F5F3C" w:rsidRPr="001F5F3C" w:rsidRDefault="001F5F3C" w:rsidP="0071654E">
      <w:pPr>
        <w:pStyle w:val="ListParagraph"/>
        <w:numPr>
          <w:ilvl w:val="0"/>
          <w:numId w:val="15"/>
        </w:numPr>
        <w:ind w:left="180"/>
        <w:jc w:val="both"/>
        <w:rPr>
          <w:rFonts w:ascii="Times New Roman" w:hAnsi="Times New Roman" w:cs="Times New Roman"/>
        </w:rPr>
      </w:pPr>
      <w:proofErr w:type="spellStart"/>
      <w:r w:rsidRPr="001F5F3C">
        <w:rPr>
          <w:rFonts w:ascii="Times New Roman" w:hAnsi="Times New Roman" w:cs="Times New Roman"/>
        </w:rPr>
        <w:t>Ramasubbu</w:t>
      </w:r>
      <w:proofErr w:type="spellEnd"/>
      <w:r w:rsidRPr="001F5F3C">
        <w:rPr>
          <w:rFonts w:ascii="Times New Roman" w:hAnsi="Times New Roman" w:cs="Times New Roman"/>
        </w:rPr>
        <w:t xml:space="preserve"> V, </w:t>
      </w:r>
      <w:proofErr w:type="spellStart"/>
      <w:r w:rsidRPr="001F5F3C">
        <w:rPr>
          <w:rFonts w:ascii="Times New Roman" w:hAnsi="Times New Roman" w:cs="Times New Roman"/>
        </w:rPr>
        <w:t>Arumugam</w:t>
      </w:r>
      <w:proofErr w:type="spellEnd"/>
      <w:r w:rsidRPr="001F5F3C">
        <w:rPr>
          <w:rFonts w:ascii="Times New Roman" w:hAnsi="Times New Roman" w:cs="Times New Roman"/>
        </w:rPr>
        <w:t xml:space="preserve"> S. Distribution and floristic diversity of Crotalaria species in Eastern Ghats of South India. Indian J Plant Sci. 2018;7(1):56–62. Available from: https://www.indianjournals.com/ijor.aspx?target=ijor:ijps&amp;volume=7&amp;issue=1&amp;article=009</w:t>
      </w:r>
    </w:p>
    <w:p w14:paraId="7019B245" w14:textId="604299CB" w:rsidR="001F5F3C" w:rsidRPr="001F5F3C" w:rsidRDefault="001F5F3C" w:rsidP="0071654E">
      <w:pPr>
        <w:pStyle w:val="ListParagraph"/>
        <w:numPr>
          <w:ilvl w:val="0"/>
          <w:numId w:val="15"/>
        </w:numPr>
        <w:ind w:left="180"/>
        <w:jc w:val="both"/>
        <w:rPr>
          <w:rFonts w:ascii="Times New Roman" w:hAnsi="Times New Roman" w:cs="Times New Roman"/>
        </w:rPr>
      </w:pPr>
      <w:proofErr w:type="spellStart"/>
      <w:r w:rsidRPr="001F5F3C">
        <w:rPr>
          <w:rFonts w:ascii="Times New Roman" w:hAnsi="Times New Roman" w:cs="Times New Roman"/>
        </w:rPr>
        <w:t>Yoganarasimhan</w:t>
      </w:r>
      <w:proofErr w:type="spellEnd"/>
      <w:r w:rsidRPr="001F5F3C">
        <w:rPr>
          <w:rFonts w:ascii="Times New Roman" w:hAnsi="Times New Roman" w:cs="Times New Roman"/>
        </w:rPr>
        <w:t xml:space="preserve"> SN. Medicinal Plants of India: Tamil Nadu. Vol. 2. Bangalore: </w:t>
      </w:r>
      <w:proofErr w:type="spellStart"/>
      <w:r w:rsidRPr="001F5F3C">
        <w:rPr>
          <w:rFonts w:ascii="Times New Roman" w:hAnsi="Times New Roman" w:cs="Times New Roman"/>
        </w:rPr>
        <w:t>CyberMedia</w:t>
      </w:r>
      <w:proofErr w:type="spellEnd"/>
      <w:r w:rsidRPr="001F5F3C">
        <w:rPr>
          <w:rFonts w:ascii="Times New Roman" w:hAnsi="Times New Roman" w:cs="Times New Roman"/>
        </w:rPr>
        <w:t>; 2000.</w:t>
      </w:r>
    </w:p>
    <w:p w14:paraId="24D8E5FF" w14:textId="038E7C27"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 xml:space="preserve">Reddy CS, Raza SH, </w:t>
      </w:r>
      <w:proofErr w:type="spellStart"/>
      <w:r w:rsidRPr="001F5F3C">
        <w:rPr>
          <w:rFonts w:ascii="Times New Roman" w:hAnsi="Times New Roman" w:cs="Times New Roman"/>
        </w:rPr>
        <w:t>Jha</w:t>
      </w:r>
      <w:proofErr w:type="spellEnd"/>
      <w:r w:rsidRPr="001F5F3C">
        <w:rPr>
          <w:rFonts w:ascii="Times New Roman" w:hAnsi="Times New Roman" w:cs="Times New Roman"/>
        </w:rPr>
        <w:t xml:space="preserve"> CS, </w:t>
      </w:r>
      <w:proofErr w:type="spellStart"/>
      <w:r w:rsidRPr="001F5F3C">
        <w:rPr>
          <w:rFonts w:ascii="Times New Roman" w:hAnsi="Times New Roman" w:cs="Times New Roman"/>
        </w:rPr>
        <w:t>Dadhwal</w:t>
      </w:r>
      <w:proofErr w:type="spellEnd"/>
      <w:r w:rsidRPr="001F5F3C">
        <w:rPr>
          <w:rFonts w:ascii="Times New Roman" w:hAnsi="Times New Roman" w:cs="Times New Roman"/>
        </w:rPr>
        <w:t xml:space="preserve"> VK. Geospatial assessment of distribution and conservation status of endemic plants in India. Curr Sci. 2011;100(2):275–284. Available from: https://www.currentscience.ac.in/Volumes/100/02/0275.pdf</w:t>
      </w:r>
    </w:p>
    <w:p w14:paraId="2FFC34E4" w14:textId="3686D851" w:rsidR="001F5F3C" w:rsidRPr="001F5F3C" w:rsidRDefault="001F5F3C" w:rsidP="0071654E">
      <w:pPr>
        <w:pStyle w:val="ListParagraph"/>
        <w:numPr>
          <w:ilvl w:val="0"/>
          <w:numId w:val="15"/>
        </w:numPr>
        <w:ind w:left="180"/>
        <w:jc w:val="both"/>
        <w:rPr>
          <w:rFonts w:ascii="Times New Roman" w:hAnsi="Times New Roman" w:cs="Times New Roman"/>
        </w:rPr>
      </w:pPr>
      <w:proofErr w:type="spellStart"/>
      <w:r w:rsidRPr="001F5F3C">
        <w:rPr>
          <w:rFonts w:ascii="Times New Roman" w:hAnsi="Times New Roman" w:cs="Times New Roman"/>
        </w:rPr>
        <w:t>Ayyanar</w:t>
      </w:r>
      <w:proofErr w:type="spellEnd"/>
      <w:r w:rsidRPr="001F5F3C">
        <w:rPr>
          <w:rFonts w:ascii="Times New Roman" w:hAnsi="Times New Roman" w:cs="Times New Roman"/>
        </w:rPr>
        <w:t xml:space="preserve"> M, </w:t>
      </w:r>
      <w:proofErr w:type="spellStart"/>
      <w:r w:rsidRPr="001F5F3C">
        <w:rPr>
          <w:rFonts w:ascii="Times New Roman" w:hAnsi="Times New Roman" w:cs="Times New Roman"/>
        </w:rPr>
        <w:t>Ignacimuthu</w:t>
      </w:r>
      <w:proofErr w:type="spellEnd"/>
      <w:r w:rsidRPr="001F5F3C">
        <w:rPr>
          <w:rFonts w:ascii="Times New Roman" w:hAnsi="Times New Roman" w:cs="Times New Roman"/>
        </w:rPr>
        <w:t xml:space="preserve"> S. Herbal medicines used by tribal people in Tirunelveli district of Tamil Nadu, India to treat poisonous bites and skin diseases. Indian J </w:t>
      </w:r>
      <w:proofErr w:type="spellStart"/>
      <w:r w:rsidRPr="001F5F3C">
        <w:rPr>
          <w:rFonts w:ascii="Times New Roman" w:hAnsi="Times New Roman" w:cs="Times New Roman"/>
        </w:rPr>
        <w:t>Tradit</w:t>
      </w:r>
      <w:proofErr w:type="spellEnd"/>
      <w:r w:rsidRPr="001F5F3C">
        <w:rPr>
          <w:rFonts w:ascii="Times New Roman" w:hAnsi="Times New Roman" w:cs="Times New Roman"/>
        </w:rPr>
        <w:t xml:space="preserve"> </w:t>
      </w:r>
      <w:proofErr w:type="spellStart"/>
      <w:r w:rsidRPr="001F5F3C">
        <w:rPr>
          <w:rFonts w:ascii="Times New Roman" w:hAnsi="Times New Roman" w:cs="Times New Roman"/>
        </w:rPr>
        <w:t>Knowl</w:t>
      </w:r>
      <w:proofErr w:type="spellEnd"/>
      <w:r w:rsidRPr="001F5F3C">
        <w:rPr>
          <w:rFonts w:ascii="Times New Roman" w:hAnsi="Times New Roman" w:cs="Times New Roman"/>
        </w:rPr>
        <w:t>. 2005;4(3):229–236. Available from: https://nopr.niscair.res.in/handle/123456789/248</w:t>
      </w:r>
    </w:p>
    <w:p w14:paraId="7985CCB7" w14:textId="2D4AC7AB"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 xml:space="preserve">Rani SS, Rajalakshmi D. Ethnomedicinal plants used by the </w:t>
      </w:r>
      <w:proofErr w:type="spellStart"/>
      <w:r w:rsidRPr="001F5F3C">
        <w:rPr>
          <w:rFonts w:ascii="Times New Roman" w:hAnsi="Times New Roman" w:cs="Times New Roman"/>
        </w:rPr>
        <w:t>Paliyar</w:t>
      </w:r>
      <w:proofErr w:type="spellEnd"/>
      <w:r w:rsidRPr="001F5F3C">
        <w:rPr>
          <w:rFonts w:ascii="Times New Roman" w:hAnsi="Times New Roman" w:cs="Times New Roman"/>
        </w:rPr>
        <w:t xml:space="preserve"> tribe in </w:t>
      </w:r>
      <w:proofErr w:type="spellStart"/>
      <w:r w:rsidRPr="001F5F3C">
        <w:rPr>
          <w:rFonts w:ascii="Times New Roman" w:hAnsi="Times New Roman" w:cs="Times New Roman"/>
        </w:rPr>
        <w:t>Sirumalai</w:t>
      </w:r>
      <w:proofErr w:type="spellEnd"/>
      <w:r w:rsidRPr="001F5F3C">
        <w:rPr>
          <w:rFonts w:ascii="Times New Roman" w:hAnsi="Times New Roman" w:cs="Times New Roman"/>
        </w:rPr>
        <w:t xml:space="preserve"> hills of southern India. J Nat Remedies. 2010;10(1):40–45. Available from: https://www.jnronline.com/doi/abs/10.18311/jnr/2010/40-45</w:t>
      </w:r>
    </w:p>
    <w:p w14:paraId="1D0B8A09" w14:textId="647440FD"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lastRenderedPageBreak/>
        <w:t>Ragupathy S, Newmaster SG. Valorizing the ‘</w:t>
      </w:r>
      <w:proofErr w:type="spellStart"/>
      <w:r w:rsidRPr="001F5F3C">
        <w:rPr>
          <w:rFonts w:ascii="Times New Roman" w:hAnsi="Times New Roman" w:cs="Times New Roman"/>
        </w:rPr>
        <w:t>Irulas</w:t>
      </w:r>
      <w:proofErr w:type="spellEnd"/>
      <w:r w:rsidRPr="001F5F3C">
        <w:rPr>
          <w:rFonts w:ascii="Times New Roman" w:hAnsi="Times New Roman" w:cs="Times New Roman"/>
        </w:rPr>
        <w:t xml:space="preserve">’ traditional knowledge of medicinal plants in the </w:t>
      </w:r>
      <w:proofErr w:type="spellStart"/>
      <w:r w:rsidRPr="001F5F3C">
        <w:rPr>
          <w:rFonts w:ascii="Times New Roman" w:hAnsi="Times New Roman" w:cs="Times New Roman"/>
        </w:rPr>
        <w:t>Kodiakkarai</w:t>
      </w:r>
      <w:proofErr w:type="spellEnd"/>
      <w:r w:rsidRPr="001F5F3C">
        <w:rPr>
          <w:rFonts w:ascii="Times New Roman" w:hAnsi="Times New Roman" w:cs="Times New Roman"/>
        </w:rPr>
        <w:t xml:space="preserve"> Reserve Forest, India. J </w:t>
      </w:r>
      <w:proofErr w:type="spellStart"/>
      <w:r w:rsidRPr="001F5F3C">
        <w:rPr>
          <w:rFonts w:ascii="Times New Roman" w:hAnsi="Times New Roman" w:cs="Times New Roman"/>
        </w:rPr>
        <w:t>Ethnobiol</w:t>
      </w:r>
      <w:proofErr w:type="spellEnd"/>
      <w:r w:rsidRPr="001F5F3C">
        <w:rPr>
          <w:rFonts w:ascii="Times New Roman" w:hAnsi="Times New Roman" w:cs="Times New Roman"/>
        </w:rPr>
        <w:t xml:space="preserve"> </w:t>
      </w:r>
      <w:proofErr w:type="spellStart"/>
      <w:r w:rsidRPr="001F5F3C">
        <w:rPr>
          <w:rFonts w:ascii="Times New Roman" w:hAnsi="Times New Roman" w:cs="Times New Roman"/>
        </w:rPr>
        <w:t>Ethnomed</w:t>
      </w:r>
      <w:proofErr w:type="spellEnd"/>
      <w:r w:rsidRPr="001F5F3C">
        <w:rPr>
          <w:rFonts w:ascii="Times New Roman" w:hAnsi="Times New Roman" w:cs="Times New Roman"/>
        </w:rPr>
        <w:t>. 2009;5(1):10. Available from: https://doi.org/10.1186/1746-4269-5-10</w:t>
      </w:r>
    </w:p>
    <w:p w14:paraId="5EBB30FE" w14:textId="08C03E85" w:rsidR="001F5F3C" w:rsidRPr="001F5F3C" w:rsidRDefault="001F5F3C" w:rsidP="0071654E">
      <w:pPr>
        <w:pStyle w:val="ListParagraph"/>
        <w:numPr>
          <w:ilvl w:val="0"/>
          <w:numId w:val="15"/>
        </w:numPr>
        <w:ind w:left="180"/>
        <w:jc w:val="both"/>
        <w:rPr>
          <w:rFonts w:ascii="Times New Roman" w:hAnsi="Times New Roman" w:cs="Times New Roman"/>
        </w:rPr>
      </w:pPr>
      <w:proofErr w:type="spellStart"/>
      <w:r w:rsidRPr="001F5F3C">
        <w:rPr>
          <w:rFonts w:ascii="Times New Roman" w:hAnsi="Times New Roman" w:cs="Times New Roman"/>
        </w:rPr>
        <w:t>Pushpangadan</w:t>
      </w:r>
      <w:proofErr w:type="spellEnd"/>
      <w:r w:rsidRPr="001F5F3C">
        <w:rPr>
          <w:rFonts w:ascii="Times New Roman" w:hAnsi="Times New Roman" w:cs="Times New Roman"/>
        </w:rPr>
        <w:t xml:space="preserve"> P, George V. Ethnomedicinal practices of the tribals of India with special reference to the western and eastern Ghats. J </w:t>
      </w:r>
      <w:proofErr w:type="spellStart"/>
      <w:r w:rsidRPr="001F5F3C">
        <w:rPr>
          <w:rFonts w:ascii="Times New Roman" w:hAnsi="Times New Roman" w:cs="Times New Roman"/>
        </w:rPr>
        <w:t>Ethnopharmacol</w:t>
      </w:r>
      <w:proofErr w:type="spellEnd"/>
      <w:r w:rsidRPr="001F5F3C">
        <w:rPr>
          <w:rFonts w:ascii="Times New Roman" w:hAnsi="Times New Roman" w:cs="Times New Roman"/>
        </w:rPr>
        <w:t>. 2010;128(2):291–298. Available from: https://doi.org/10.1016/j.jep.2010.02.004</w:t>
      </w:r>
    </w:p>
    <w:p w14:paraId="4E53632E" w14:textId="00FFD67C"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Harborne JB. Phytochemical Methods: A Guide to Modern Techniques of Plant Analysis. 3rd ed. London: Chapman &amp; Hall; 1998.</w:t>
      </w:r>
    </w:p>
    <w:p w14:paraId="7010AC8E" w14:textId="26B665BE"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Wallis TE. Textbook of Pharmacognosy. 5th ed. New Delhi: CBS Publishers; 2004.</w:t>
      </w:r>
    </w:p>
    <w:p w14:paraId="4AB8C36A" w14:textId="2C1640D1"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 xml:space="preserve">Vinatoru M. An overview of the ultrasonically assisted extraction of bioactive principles from herbs. </w:t>
      </w:r>
      <w:proofErr w:type="spellStart"/>
      <w:r w:rsidRPr="001F5F3C">
        <w:rPr>
          <w:rFonts w:ascii="Times New Roman" w:hAnsi="Times New Roman" w:cs="Times New Roman"/>
        </w:rPr>
        <w:t>Ultrason</w:t>
      </w:r>
      <w:proofErr w:type="spellEnd"/>
      <w:r w:rsidRPr="001F5F3C">
        <w:rPr>
          <w:rFonts w:ascii="Times New Roman" w:hAnsi="Times New Roman" w:cs="Times New Roman"/>
        </w:rPr>
        <w:t xml:space="preserve"> </w:t>
      </w:r>
      <w:proofErr w:type="spellStart"/>
      <w:r w:rsidRPr="001F5F3C">
        <w:rPr>
          <w:rFonts w:ascii="Times New Roman" w:hAnsi="Times New Roman" w:cs="Times New Roman"/>
        </w:rPr>
        <w:t>Sonochem</w:t>
      </w:r>
      <w:proofErr w:type="spellEnd"/>
      <w:r w:rsidRPr="001F5F3C">
        <w:rPr>
          <w:rFonts w:ascii="Times New Roman" w:hAnsi="Times New Roman" w:cs="Times New Roman"/>
        </w:rPr>
        <w:t>. 2001;8(3):303–313. Available from: https://doi.org/10.1016/S1350-4177(01)00068-8</w:t>
      </w:r>
    </w:p>
    <w:p w14:paraId="2D2D8EDA" w14:textId="70D6D6CB" w:rsidR="001F5F3C" w:rsidRPr="001F5F3C" w:rsidRDefault="001F5F3C" w:rsidP="0071654E">
      <w:pPr>
        <w:pStyle w:val="ListParagraph"/>
        <w:numPr>
          <w:ilvl w:val="0"/>
          <w:numId w:val="15"/>
        </w:numPr>
        <w:ind w:left="180"/>
        <w:jc w:val="both"/>
        <w:rPr>
          <w:rFonts w:ascii="Times New Roman" w:hAnsi="Times New Roman" w:cs="Times New Roman"/>
        </w:rPr>
      </w:pPr>
      <w:r w:rsidRPr="001F5F3C">
        <w:rPr>
          <w:rFonts w:ascii="Times New Roman" w:hAnsi="Times New Roman" w:cs="Times New Roman"/>
        </w:rPr>
        <w:t>Wagner H, Bladt S. Plant Drug Analysis: A Thin Layer Chromatography Atlas. 2nd ed. Berlin: Springer-Verlag; 1996.</w:t>
      </w:r>
    </w:p>
    <w:p w14:paraId="77C8FC9A" w14:textId="77777777" w:rsidR="001F5F3C" w:rsidRDefault="001F5F3C" w:rsidP="0071654E">
      <w:pPr>
        <w:pStyle w:val="NormalWeb"/>
        <w:numPr>
          <w:ilvl w:val="0"/>
          <w:numId w:val="15"/>
        </w:numPr>
        <w:ind w:left="180"/>
        <w:jc w:val="both"/>
      </w:pPr>
      <w:r>
        <w:t xml:space="preserve">Sasidharan S, et al. Extraction, isolation and characterization of bioactive compounds from plants. </w:t>
      </w:r>
      <w:proofErr w:type="spellStart"/>
      <w:r>
        <w:t>Afr</w:t>
      </w:r>
      <w:proofErr w:type="spellEnd"/>
      <w:r>
        <w:t xml:space="preserve"> J </w:t>
      </w:r>
      <w:proofErr w:type="spellStart"/>
      <w:r>
        <w:t>Tradit</w:t>
      </w:r>
      <w:proofErr w:type="spellEnd"/>
      <w:r>
        <w:t xml:space="preserve"> Complement Altern Med. 2011;8(1):1–10. Available from: https://www.ncbi.nlm.nih.gov/pmc/articles/PMC3252722/</w:t>
      </w:r>
    </w:p>
    <w:p w14:paraId="748F99A0" w14:textId="77777777" w:rsidR="001F5F3C" w:rsidRDefault="001F5F3C" w:rsidP="0071654E">
      <w:pPr>
        <w:pStyle w:val="NormalWeb"/>
        <w:numPr>
          <w:ilvl w:val="0"/>
          <w:numId w:val="15"/>
        </w:numPr>
        <w:ind w:left="180"/>
        <w:jc w:val="both"/>
      </w:pPr>
      <w:r>
        <w:t xml:space="preserve">Mandal V, Mohan Y, Hemalatha S. Microwave assisted extraction—an innovative and promising extraction tool for medicinal plant research. </w:t>
      </w:r>
      <w:proofErr w:type="spellStart"/>
      <w:r>
        <w:t>Pharmacogn</w:t>
      </w:r>
      <w:proofErr w:type="spellEnd"/>
      <w:r>
        <w:t xml:space="preserve"> Rev. 2007;1(1):7–18. Available from: https://www.phcogrev.com/article.asp?issn=0973-7847;year=2007;volume=1;issue=1;spage=7;epage=18;aulast=Mandal</w:t>
      </w:r>
    </w:p>
    <w:p w14:paraId="44058EBA" w14:textId="77777777" w:rsidR="001F5F3C" w:rsidRDefault="001F5F3C" w:rsidP="0071654E">
      <w:pPr>
        <w:pStyle w:val="NormalWeb"/>
        <w:numPr>
          <w:ilvl w:val="0"/>
          <w:numId w:val="15"/>
        </w:numPr>
        <w:ind w:left="180"/>
        <w:jc w:val="both"/>
      </w:pPr>
      <w:r>
        <w:t xml:space="preserve">Singleton VL, Rossi JA. Colorimetry of total </w:t>
      </w:r>
      <w:proofErr w:type="spellStart"/>
      <w:r>
        <w:t>phenolics</w:t>
      </w:r>
      <w:proofErr w:type="spellEnd"/>
      <w:r>
        <w:t xml:space="preserve"> with </w:t>
      </w:r>
      <w:proofErr w:type="spellStart"/>
      <w:r>
        <w:t>phosphomolybdic</w:t>
      </w:r>
      <w:proofErr w:type="spellEnd"/>
      <w:r>
        <w:t>–</w:t>
      </w:r>
      <w:proofErr w:type="spellStart"/>
      <w:r>
        <w:t>phosphotungstic</w:t>
      </w:r>
      <w:proofErr w:type="spellEnd"/>
      <w:r>
        <w:t xml:space="preserve"> acid reagents. Am J </w:t>
      </w:r>
      <w:proofErr w:type="spellStart"/>
      <w:r>
        <w:t>Enol</w:t>
      </w:r>
      <w:proofErr w:type="spellEnd"/>
      <w:r>
        <w:t xml:space="preserve"> </w:t>
      </w:r>
      <w:proofErr w:type="spellStart"/>
      <w:r>
        <w:t>Vitic</w:t>
      </w:r>
      <w:proofErr w:type="spellEnd"/>
      <w:r>
        <w:t>. 1965;16(3):144–158.</w:t>
      </w:r>
    </w:p>
    <w:p w14:paraId="24415C4D" w14:textId="77777777" w:rsidR="001F5F3C" w:rsidRDefault="001F5F3C" w:rsidP="0071654E">
      <w:pPr>
        <w:pStyle w:val="NormalWeb"/>
        <w:numPr>
          <w:ilvl w:val="0"/>
          <w:numId w:val="15"/>
        </w:numPr>
        <w:ind w:left="180"/>
        <w:jc w:val="both"/>
      </w:pPr>
      <w:r>
        <w:t xml:space="preserve">Silverstein RM, Webster FX, </w:t>
      </w:r>
      <w:proofErr w:type="spellStart"/>
      <w:r>
        <w:t>Kiemle</w:t>
      </w:r>
      <w:proofErr w:type="spellEnd"/>
      <w:r>
        <w:t xml:space="preserve"> DJ. Spectrometric Identification of Organic Compounds. 7th ed. New York: Wiley; 2005.</w:t>
      </w:r>
    </w:p>
    <w:p w14:paraId="7A7EAA92" w14:textId="77777777" w:rsidR="001F5F3C" w:rsidRDefault="001F5F3C" w:rsidP="0071654E">
      <w:pPr>
        <w:pStyle w:val="NormalWeb"/>
        <w:numPr>
          <w:ilvl w:val="0"/>
          <w:numId w:val="15"/>
        </w:numPr>
        <w:ind w:left="180"/>
        <w:jc w:val="both"/>
      </w:pPr>
      <w:r>
        <w:t>Dey PM, Harborne JB. Methods in Plant Biochemistry: Plant Phenolics. Vol. 1. Academic Press; 1997.</w:t>
      </w:r>
    </w:p>
    <w:p w14:paraId="68629082" w14:textId="77777777" w:rsidR="001F5F3C" w:rsidRDefault="001F5F3C" w:rsidP="0071654E">
      <w:pPr>
        <w:pStyle w:val="NormalWeb"/>
        <w:numPr>
          <w:ilvl w:val="0"/>
          <w:numId w:val="15"/>
        </w:numPr>
        <w:ind w:left="180"/>
        <w:jc w:val="both"/>
      </w:pPr>
      <w:proofErr w:type="spellStart"/>
      <w:r>
        <w:t>Pretsch</w:t>
      </w:r>
      <w:proofErr w:type="spellEnd"/>
      <w:r>
        <w:t xml:space="preserve"> E, </w:t>
      </w:r>
      <w:proofErr w:type="spellStart"/>
      <w:r>
        <w:t>Bühlmann</w:t>
      </w:r>
      <w:proofErr w:type="spellEnd"/>
      <w:r>
        <w:t xml:space="preserve"> P, </w:t>
      </w:r>
      <w:proofErr w:type="spellStart"/>
      <w:r>
        <w:t>Badertscher</w:t>
      </w:r>
      <w:proofErr w:type="spellEnd"/>
      <w:r>
        <w:t xml:space="preserve"> M. Structure Determination of Organic Compounds: Tables of Spectral Data. Springer; 2009. Available from: </w:t>
      </w:r>
      <w:hyperlink r:id="rId7" w:tgtFrame="_new" w:history="1">
        <w:r>
          <w:rPr>
            <w:rStyle w:val="Hyperlink"/>
            <w:rFonts w:eastAsiaTheme="majorEastAsia"/>
          </w:rPr>
          <w:t>https://www.springer.com/gp/book/9783540732305</w:t>
        </w:r>
      </w:hyperlink>
    </w:p>
    <w:p w14:paraId="284EB39A" w14:textId="77777777" w:rsidR="001F5F3C" w:rsidRDefault="001F5F3C" w:rsidP="0071654E">
      <w:pPr>
        <w:pStyle w:val="NormalWeb"/>
        <w:numPr>
          <w:ilvl w:val="0"/>
          <w:numId w:val="15"/>
        </w:numPr>
        <w:ind w:left="180"/>
        <w:jc w:val="both"/>
      </w:pPr>
      <w:proofErr w:type="spellStart"/>
      <w:r>
        <w:t>Jeyadevi</w:t>
      </w:r>
      <w:proofErr w:type="spellEnd"/>
      <w:r>
        <w:t xml:space="preserve"> R, </w:t>
      </w:r>
      <w:proofErr w:type="spellStart"/>
      <w:r>
        <w:t>Sivasudha</w:t>
      </w:r>
      <w:proofErr w:type="spellEnd"/>
      <w:r>
        <w:t xml:space="preserve"> T, Ilavarasan R. Comparative study on the antioxidant and free radical scavenging activities of Crotalaria retusa and Crotalaria verrucosa. Asian J Pharm Clin Res. 2012;5(4):113–117. Available from: https://innovareacademics.in/journals/index.php/ajpcr/article/view/1458</w:t>
      </w:r>
    </w:p>
    <w:p w14:paraId="6E4CF5C2" w14:textId="77777777" w:rsidR="001F5F3C" w:rsidRDefault="001F5F3C" w:rsidP="0071654E">
      <w:pPr>
        <w:pStyle w:val="NormalWeb"/>
        <w:numPr>
          <w:ilvl w:val="0"/>
          <w:numId w:val="15"/>
        </w:numPr>
        <w:ind w:left="180"/>
        <w:jc w:val="both"/>
      </w:pPr>
      <w:r>
        <w:t xml:space="preserve">Fu PP, Xia Q, Lin G, Chou MW. Pyrrolizidine alkaloids—genotoxicity, metabolism enzymes, and mechanisms. Drug </w:t>
      </w:r>
      <w:proofErr w:type="spellStart"/>
      <w:r>
        <w:t>Metab</w:t>
      </w:r>
      <w:proofErr w:type="spellEnd"/>
      <w:r>
        <w:t xml:space="preserve"> Rev. 2004;36(1):1–55. doi:10.1081/DMR-120028659</w:t>
      </w:r>
    </w:p>
    <w:p w14:paraId="197CF303" w14:textId="77777777" w:rsidR="001F5F3C" w:rsidRDefault="001F5F3C" w:rsidP="0071654E">
      <w:pPr>
        <w:pStyle w:val="NormalWeb"/>
        <w:numPr>
          <w:ilvl w:val="0"/>
          <w:numId w:val="15"/>
        </w:numPr>
        <w:ind w:left="180"/>
        <w:jc w:val="both"/>
      </w:pPr>
      <w:r>
        <w:t xml:space="preserve">Rabi T, </w:t>
      </w:r>
      <w:proofErr w:type="spellStart"/>
      <w:r>
        <w:t>Bishayee</w:t>
      </w:r>
      <w:proofErr w:type="spellEnd"/>
      <w:r>
        <w:t xml:space="preserve"> A. Terpenoids and breast cancer chemoprevention. Breast Cancer Res Treat. 2009;115(2):223–239. doi:10.1007/s10549-008-0067-x</w:t>
      </w:r>
    </w:p>
    <w:p w14:paraId="69838457" w14:textId="77777777" w:rsidR="001F5F3C" w:rsidRDefault="001F5F3C" w:rsidP="0071654E">
      <w:pPr>
        <w:pStyle w:val="NormalWeb"/>
        <w:numPr>
          <w:ilvl w:val="0"/>
          <w:numId w:val="15"/>
        </w:numPr>
        <w:ind w:left="180"/>
        <w:jc w:val="both"/>
      </w:pPr>
      <w:r>
        <w:t xml:space="preserve">Rice-Evans CA, Miller NJ, </w:t>
      </w:r>
      <w:proofErr w:type="spellStart"/>
      <w:r>
        <w:t>Paganga</w:t>
      </w:r>
      <w:proofErr w:type="spellEnd"/>
      <w:r>
        <w:t xml:space="preserve"> G. Structure–antioxidant activity relationships of flavonoids and phenolic acids. Free Radic Biol Med. 1996;20(7):933–956. doi:10.1016/0891-5849(95)02227-9</w:t>
      </w:r>
    </w:p>
    <w:p w14:paraId="7578FE08" w14:textId="77777777" w:rsidR="001F5F3C" w:rsidRDefault="001F5F3C" w:rsidP="0071654E">
      <w:pPr>
        <w:pStyle w:val="NormalWeb"/>
        <w:numPr>
          <w:ilvl w:val="0"/>
          <w:numId w:val="15"/>
        </w:numPr>
        <w:ind w:left="180"/>
        <w:jc w:val="both"/>
      </w:pPr>
      <w:r>
        <w:t xml:space="preserve">Bhatt A, Patel N, Patel P, Patel K. Screening of phytochemical constituents and antimicrobial activity of some Indian medicinal plants. J Pharm </w:t>
      </w:r>
      <w:proofErr w:type="spellStart"/>
      <w:r>
        <w:t>Bioallied</w:t>
      </w:r>
      <w:proofErr w:type="spellEnd"/>
      <w:r>
        <w:t xml:space="preserve"> Sci. 2010;2(4):310–313. doi:10.4103/0975-7406.72126</w:t>
      </w:r>
    </w:p>
    <w:p w14:paraId="3DB65F7C" w14:textId="77777777" w:rsidR="001F5F3C" w:rsidRDefault="001F5F3C" w:rsidP="0071654E">
      <w:pPr>
        <w:pStyle w:val="NormalWeb"/>
        <w:numPr>
          <w:ilvl w:val="0"/>
          <w:numId w:val="15"/>
        </w:numPr>
        <w:ind w:left="180"/>
        <w:jc w:val="both"/>
      </w:pPr>
      <w:r>
        <w:lastRenderedPageBreak/>
        <w:t>Kumar S, Singh B. Anti-inflammatory potential of flavonoids from Crotalaria species: In vitro enzyme inhibition studies. Phytomedicine. 2018</w:t>
      </w:r>
      <w:proofErr w:type="gramStart"/>
      <w:r>
        <w:t>;50:127</w:t>
      </w:r>
      <w:proofErr w:type="gramEnd"/>
      <w:r>
        <w:t>–133. doi:10.1016/j.phymed.2018.01.014</w:t>
      </w:r>
    </w:p>
    <w:p w14:paraId="1879E527" w14:textId="77777777" w:rsidR="001F5F3C" w:rsidRDefault="001F5F3C" w:rsidP="0071654E">
      <w:pPr>
        <w:pStyle w:val="NormalWeb"/>
        <w:numPr>
          <w:ilvl w:val="0"/>
          <w:numId w:val="15"/>
        </w:numPr>
        <w:ind w:left="180"/>
        <w:jc w:val="both"/>
      </w:pPr>
      <w:r>
        <w:t xml:space="preserve">Patel V, Shah A, Joshi B. Evaluation of anti-inflammatory effect of Crotalaria </w:t>
      </w:r>
      <w:proofErr w:type="spellStart"/>
      <w:r>
        <w:t>multibracteata</w:t>
      </w:r>
      <w:proofErr w:type="spellEnd"/>
      <w:r>
        <w:t xml:space="preserve"> in rat paw edema model. J </w:t>
      </w:r>
      <w:proofErr w:type="spellStart"/>
      <w:r>
        <w:t>Ethnopharmacol</w:t>
      </w:r>
      <w:proofErr w:type="spellEnd"/>
      <w:r>
        <w:t>. 2019</w:t>
      </w:r>
      <w:proofErr w:type="gramStart"/>
      <w:r>
        <w:t>;244:112147</w:t>
      </w:r>
      <w:proofErr w:type="gramEnd"/>
      <w:r>
        <w:t>. doi:10.1016/j.jep.2019.112147</w:t>
      </w:r>
    </w:p>
    <w:p w14:paraId="1758B920" w14:textId="77777777" w:rsidR="001F5F3C" w:rsidRDefault="001F5F3C" w:rsidP="0071654E">
      <w:pPr>
        <w:pStyle w:val="NormalWeb"/>
        <w:numPr>
          <w:ilvl w:val="0"/>
          <w:numId w:val="15"/>
        </w:numPr>
        <w:ind w:left="180"/>
        <w:jc w:val="both"/>
      </w:pPr>
      <w:r>
        <w:t>Reddy KR, Kumar CV. Antioxidant potential of Crotalaria extracts: A comparative study. Free Radic Biol Med. 2017</w:t>
      </w:r>
      <w:proofErr w:type="gramStart"/>
      <w:r>
        <w:t>;110:172</w:t>
      </w:r>
      <w:proofErr w:type="gramEnd"/>
      <w:r>
        <w:t>–180. doi:10.1016/j.freeradbiomed.2017.03.027</w:t>
      </w:r>
    </w:p>
    <w:p w14:paraId="41C2BDB1" w14:textId="77777777" w:rsidR="001F5F3C" w:rsidRDefault="001F5F3C" w:rsidP="0071654E">
      <w:pPr>
        <w:pStyle w:val="NormalWeb"/>
        <w:numPr>
          <w:ilvl w:val="0"/>
          <w:numId w:val="15"/>
        </w:numPr>
        <w:ind w:left="180"/>
        <w:jc w:val="both"/>
      </w:pPr>
      <w:r>
        <w:t>Singh N, Gupta A. Protective effects of Crotalaria leaf extracts against oxidative stress in vivo. Pharm Biol. 2020;58(1):345–352. doi:10.1080/13880209.2019.1687520</w:t>
      </w:r>
    </w:p>
    <w:p w14:paraId="66F40A90" w14:textId="77777777" w:rsidR="001F5F3C" w:rsidRDefault="001F5F3C" w:rsidP="0071654E">
      <w:pPr>
        <w:pStyle w:val="NormalWeb"/>
        <w:numPr>
          <w:ilvl w:val="0"/>
          <w:numId w:val="15"/>
        </w:numPr>
        <w:ind w:left="180"/>
        <w:jc w:val="both"/>
      </w:pPr>
      <w:r>
        <w:t xml:space="preserve">Sharma P, Mehta S. Antimicrobial efficacy of Crotalaria </w:t>
      </w:r>
      <w:proofErr w:type="spellStart"/>
      <w:r>
        <w:t>multibracteata</w:t>
      </w:r>
      <w:proofErr w:type="spellEnd"/>
      <w:r>
        <w:t xml:space="preserve"> against clinical isolates. J </w:t>
      </w:r>
      <w:proofErr w:type="spellStart"/>
      <w:r>
        <w:t>Appl</w:t>
      </w:r>
      <w:proofErr w:type="spellEnd"/>
      <w:r>
        <w:t xml:space="preserve"> </w:t>
      </w:r>
      <w:proofErr w:type="spellStart"/>
      <w:r>
        <w:t>Microbiol</w:t>
      </w:r>
      <w:proofErr w:type="spellEnd"/>
      <w:r>
        <w:t>. 2017;123(3):733–740. doi:10.1111/jam.13517</w:t>
      </w:r>
    </w:p>
    <w:p w14:paraId="3B46194B" w14:textId="77777777" w:rsidR="001F5F3C" w:rsidRDefault="001F5F3C" w:rsidP="0071654E">
      <w:pPr>
        <w:pStyle w:val="NormalWeb"/>
        <w:numPr>
          <w:ilvl w:val="0"/>
          <w:numId w:val="15"/>
        </w:numPr>
        <w:ind w:left="180"/>
        <w:jc w:val="both"/>
      </w:pPr>
      <w:r>
        <w:t>Das S, Roy A. Cytotoxicity and apoptosis-inducing activity of Crotalaria alkaloids on cancer cells. Cancer Lett. 2021</w:t>
      </w:r>
      <w:proofErr w:type="gramStart"/>
      <w:r>
        <w:t>;502:140</w:t>
      </w:r>
      <w:proofErr w:type="gramEnd"/>
      <w:r>
        <w:t>–150. doi:10.1016/j.canlet.2021.03.022</w:t>
      </w:r>
    </w:p>
    <w:p w14:paraId="0B452A11" w14:textId="77777777" w:rsidR="001F5F3C" w:rsidRDefault="001F5F3C" w:rsidP="0071654E">
      <w:pPr>
        <w:pStyle w:val="NormalWeb"/>
        <w:numPr>
          <w:ilvl w:val="0"/>
          <w:numId w:val="15"/>
        </w:numPr>
        <w:ind w:left="180"/>
        <w:jc w:val="both"/>
      </w:pPr>
      <w:r>
        <w:t xml:space="preserve">Singh R, Verma A. Antidiabetic potential of Crotalaria species in streptozotocin-induced diabetic rats. Diabetes Res </w:t>
      </w:r>
      <w:proofErr w:type="spellStart"/>
      <w:r>
        <w:t>Clin</w:t>
      </w:r>
      <w:proofErr w:type="spellEnd"/>
      <w:r>
        <w:t xml:space="preserve"> </w:t>
      </w:r>
      <w:proofErr w:type="spellStart"/>
      <w:r>
        <w:t>Pract</w:t>
      </w:r>
      <w:proofErr w:type="spellEnd"/>
      <w:r>
        <w:t>. 2019</w:t>
      </w:r>
      <w:proofErr w:type="gramStart"/>
      <w:r>
        <w:t>;150:147</w:t>
      </w:r>
      <w:proofErr w:type="gramEnd"/>
      <w:r>
        <w:t>–154. doi:10.1016/j.diabres.2019.05.016</w:t>
      </w:r>
    </w:p>
    <w:p w14:paraId="776B7D27" w14:textId="77777777" w:rsidR="001F5F3C" w:rsidRDefault="001F5F3C" w:rsidP="0071654E">
      <w:pPr>
        <w:pStyle w:val="NormalWeb"/>
        <w:numPr>
          <w:ilvl w:val="0"/>
          <w:numId w:val="15"/>
        </w:numPr>
        <w:ind w:left="180"/>
        <w:jc w:val="both"/>
      </w:pPr>
      <w:r>
        <w:t xml:space="preserve">Joshi M, Kumar R. Hepatoprotective activity of Crotalaria extract in CCl4-induced liver injury in rats. </w:t>
      </w:r>
      <w:proofErr w:type="spellStart"/>
      <w:r>
        <w:t>Phytother</w:t>
      </w:r>
      <w:proofErr w:type="spellEnd"/>
      <w:r>
        <w:t xml:space="preserve"> Res. 2018;32(9):1754–1761. doi:10.1002/ptr.6115</w:t>
      </w:r>
    </w:p>
    <w:p w14:paraId="71AD3D19" w14:textId="77777777" w:rsidR="001F5F3C" w:rsidRDefault="001F5F3C" w:rsidP="0071654E">
      <w:pPr>
        <w:pStyle w:val="NormalWeb"/>
        <w:numPr>
          <w:ilvl w:val="0"/>
          <w:numId w:val="15"/>
        </w:numPr>
        <w:ind w:left="180"/>
        <w:jc w:val="both"/>
      </w:pPr>
      <w:r>
        <w:t xml:space="preserve">Fu PP, Xia Q, Lin G, Chou MW. Pyrrolizidine alkaloids–genotoxicity, metabolism enzymes, metabolic activation, and mechanisms. Drug </w:t>
      </w:r>
      <w:proofErr w:type="spellStart"/>
      <w:r>
        <w:t>Metab</w:t>
      </w:r>
      <w:proofErr w:type="spellEnd"/>
      <w:r>
        <w:t xml:space="preserve"> Rev. 2004;36(1):1–55. doi:10.1081/DMR-120028659</w:t>
      </w:r>
    </w:p>
    <w:p w14:paraId="1E0DD2B5" w14:textId="77777777" w:rsidR="001F5F3C" w:rsidRDefault="001F5F3C" w:rsidP="0071654E">
      <w:pPr>
        <w:pStyle w:val="NormalWeb"/>
        <w:numPr>
          <w:ilvl w:val="0"/>
          <w:numId w:val="15"/>
        </w:numPr>
        <w:ind w:left="180"/>
        <w:jc w:val="both"/>
      </w:pPr>
      <w:r>
        <w:t>Mattocks AR. Chemistry and Toxicology of Pyrrolizidine Alkaloids. Academic Press; 1986.</w:t>
      </w:r>
    </w:p>
    <w:p w14:paraId="13592F84" w14:textId="77777777" w:rsidR="001F5F3C" w:rsidRDefault="001F5F3C" w:rsidP="0071654E">
      <w:pPr>
        <w:pStyle w:val="NormalWeb"/>
        <w:numPr>
          <w:ilvl w:val="0"/>
          <w:numId w:val="15"/>
        </w:numPr>
        <w:ind w:left="180"/>
        <w:jc w:val="both"/>
      </w:pPr>
      <w:r>
        <w:t>Chen J, et al. Quantitative analysis of pyrrolizidine alkaloids in Crotalaria species from different regions. J Agric Food Chem. 2017;65(28):5728–5735. doi:10.1021/acs.jafc.7b02214</w:t>
      </w:r>
    </w:p>
    <w:p w14:paraId="5F80928C" w14:textId="06498C2B" w:rsidR="001F5F3C" w:rsidRDefault="001F5F3C" w:rsidP="0071654E">
      <w:pPr>
        <w:pStyle w:val="NormalWeb"/>
        <w:numPr>
          <w:ilvl w:val="0"/>
          <w:numId w:val="15"/>
        </w:numPr>
        <w:ind w:left="180"/>
        <w:jc w:val="both"/>
      </w:pPr>
      <w:r>
        <w:t xml:space="preserve">Kumar A, Singh R. Toxicological evaluation of Crotalaria </w:t>
      </w:r>
      <w:proofErr w:type="spellStart"/>
      <w:r>
        <w:t>multibracteata</w:t>
      </w:r>
      <w:proofErr w:type="spellEnd"/>
      <w:r>
        <w:t xml:space="preserve"> extracts: Acute and </w:t>
      </w:r>
      <w:proofErr w:type="spellStart"/>
      <w:r>
        <w:t>subchronic</w:t>
      </w:r>
      <w:proofErr w:type="spellEnd"/>
      <w:r>
        <w:t xml:space="preserve"> studies in rodents. </w:t>
      </w:r>
      <w:proofErr w:type="spellStart"/>
      <w:r>
        <w:t>Toxicol</w:t>
      </w:r>
      <w:proofErr w:type="spellEnd"/>
      <w:r>
        <w:t xml:space="preserve"> Rep. 2019</w:t>
      </w:r>
      <w:proofErr w:type="gramStart"/>
      <w:r>
        <w:t>;6:1114</w:t>
      </w:r>
      <w:proofErr w:type="gramEnd"/>
      <w:r>
        <w:t>–1121. doi:10.1016/j.toxrep.2019.09.006</w:t>
      </w:r>
      <w:r w:rsidR="0071654E">
        <w:t xml:space="preserve"> </w:t>
      </w:r>
    </w:p>
    <w:p w14:paraId="6282FC85" w14:textId="77777777" w:rsidR="001F5F3C" w:rsidRDefault="001F5F3C" w:rsidP="0071654E">
      <w:pPr>
        <w:pStyle w:val="NormalWeb"/>
        <w:numPr>
          <w:ilvl w:val="0"/>
          <w:numId w:val="15"/>
        </w:numPr>
        <w:ind w:left="180"/>
        <w:jc w:val="both"/>
      </w:pPr>
      <w:r>
        <w:t xml:space="preserve">Sharma P, et al. Safety assessment of Crotalaria plant extracts: Determination of no observed adverse effect level (NOAEL) in rats. </w:t>
      </w:r>
      <w:proofErr w:type="spellStart"/>
      <w:r>
        <w:t>Phytother</w:t>
      </w:r>
      <w:proofErr w:type="spellEnd"/>
      <w:r>
        <w:t xml:space="preserve"> Res. 2020;34(5):1130–1138. doi:10.1002/ptr.6570</w:t>
      </w:r>
    </w:p>
    <w:p w14:paraId="561E573A" w14:textId="77777777" w:rsidR="001F5F3C" w:rsidRDefault="001F5F3C" w:rsidP="0071654E">
      <w:pPr>
        <w:pStyle w:val="NormalWeb"/>
        <w:numPr>
          <w:ilvl w:val="0"/>
          <w:numId w:val="15"/>
        </w:numPr>
        <w:ind w:left="180"/>
        <w:jc w:val="both"/>
      </w:pPr>
      <w:r>
        <w:t xml:space="preserve">Wang Y, et al. Strategies for detoxification and safe use of pyrrolizidine alkaloid-containing medicinal plants. Front </w:t>
      </w:r>
      <w:proofErr w:type="spellStart"/>
      <w:r>
        <w:t>Pharmacol</w:t>
      </w:r>
      <w:proofErr w:type="spellEnd"/>
      <w:r>
        <w:t>. 2021</w:t>
      </w:r>
      <w:proofErr w:type="gramStart"/>
      <w:r>
        <w:t>;12:671211</w:t>
      </w:r>
      <w:proofErr w:type="gramEnd"/>
      <w:r>
        <w:t>. doi:10.3389/fphar.2021.671211</w:t>
      </w:r>
    </w:p>
    <w:p w14:paraId="3AAB4F35" w14:textId="186E6395" w:rsidR="001F5F3C" w:rsidRDefault="001F5F3C" w:rsidP="0071654E">
      <w:pPr>
        <w:pStyle w:val="NormalWeb"/>
        <w:numPr>
          <w:ilvl w:val="0"/>
          <w:numId w:val="15"/>
        </w:numPr>
        <w:ind w:left="180"/>
        <w:jc w:val="both"/>
      </w:pPr>
      <w:r>
        <w:rPr>
          <w:rStyle w:val="relative"/>
          <w:rFonts w:eastAsiaTheme="majorEastAsia"/>
        </w:rPr>
        <w:t>Singh S, et al. Enhancement of seed germination in Crotalaria spp. through pre</w:t>
      </w:r>
      <w:r>
        <w:rPr>
          <w:rStyle w:val="relative"/>
          <w:rFonts w:eastAsiaTheme="majorEastAsia"/>
        </w:rPr>
        <w:noBreakHyphen/>
        <w:t>sowing treatments. J Plant Physiol. 2018</w:t>
      </w:r>
      <w:proofErr w:type="gramStart"/>
      <w:r>
        <w:rPr>
          <w:rStyle w:val="relative"/>
          <w:rFonts w:eastAsiaTheme="majorEastAsia"/>
        </w:rPr>
        <w:t>;225:34</w:t>
      </w:r>
      <w:proofErr w:type="gramEnd"/>
      <w:r>
        <w:rPr>
          <w:rStyle w:val="relative"/>
          <w:rFonts w:eastAsiaTheme="majorEastAsia"/>
        </w:rPr>
        <w:t>–40. doi:10.56093/sr.v45i2.162544</w:t>
      </w:r>
      <w:r>
        <w:t xml:space="preserve"> </w:t>
      </w:r>
      <w:hyperlink r:id="rId8" w:tgtFrame="_blank" w:history="1">
        <w:r>
          <w:rPr>
            <w:rStyle w:val="max-w-full"/>
            <w:rFonts w:eastAsiaTheme="majorEastAsia"/>
            <w:color w:val="0000FF"/>
            <w:u w:val="single"/>
          </w:rPr>
          <w:t>Wikipedia</w:t>
        </w:r>
        <w:r>
          <w:rPr>
            <w:rStyle w:val="-me-1"/>
            <w:rFonts w:eastAsiaTheme="majorEastAsia"/>
            <w:color w:val="0000FF"/>
            <w:u w:val="single"/>
          </w:rPr>
          <w:t>+12</w:t>
        </w:r>
        <w:r>
          <w:rPr>
            <w:rStyle w:val="max-w-full"/>
            <w:rFonts w:eastAsiaTheme="majorEastAsia"/>
            <w:color w:val="0000FF"/>
            <w:u w:val="single"/>
          </w:rPr>
          <w:t>Indian Agricultural Research Journals</w:t>
        </w:r>
        <w:r>
          <w:rPr>
            <w:rStyle w:val="-me-1"/>
            <w:rFonts w:eastAsiaTheme="majorEastAsia"/>
            <w:color w:val="0000FF"/>
            <w:u w:val="single"/>
          </w:rPr>
          <w:t>+12</w:t>
        </w:r>
        <w:r>
          <w:rPr>
            <w:rStyle w:val="max-w-full"/>
            <w:rFonts w:eastAsiaTheme="majorEastAsia"/>
            <w:color w:val="0000FF"/>
            <w:u w:val="single"/>
          </w:rPr>
          <w:t>ResearchGate</w:t>
        </w:r>
        <w:r>
          <w:rPr>
            <w:rStyle w:val="-me-1"/>
            <w:rFonts w:eastAsiaTheme="majorEastAsia"/>
            <w:color w:val="0000FF"/>
            <w:u w:val="single"/>
          </w:rPr>
          <w:t>+12</w:t>
        </w:r>
      </w:hyperlink>
    </w:p>
    <w:p w14:paraId="590A6A3C" w14:textId="50B9B83A" w:rsidR="001F5F3C" w:rsidRPr="0071654E" w:rsidRDefault="0071654E" w:rsidP="0071654E">
      <w:pPr>
        <w:pStyle w:val="NormalWeb"/>
        <w:numPr>
          <w:ilvl w:val="0"/>
          <w:numId w:val="15"/>
        </w:numPr>
        <w:ind w:left="180"/>
        <w:jc w:val="both"/>
      </w:pPr>
      <w:r w:rsidRPr="0071654E">
        <w:t xml:space="preserve">Rao JP, Agrawal P, </w:t>
      </w:r>
      <w:proofErr w:type="spellStart"/>
      <w:r w:rsidRPr="0071654E">
        <w:t>Mahmood</w:t>
      </w:r>
      <w:proofErr w:type="spellEnd"/>
      <w:r w:rsidRPr="0071654E">
        <w:t xml:space="preserve"> R, </w:t>
      </w:r>
      <w:proofErr w:type="spellStart"/>
      <w:r w:rsidRPr="0071654E">
        <w:t>Sreevathsa</w:t>
      </w:r>
      <w:proofErr w:type="spellEnd"/>
      <w:r w:rsidRPr="0071654E">
        <w:t xml:space="preserve"> R, </w:t>
      </w:r>
      <w:proofErr w:type="spellStart"/>
      <w:r w:rsidRPr="0071654E">
        <w:t>Rao</w:t>
      </w:r>
      <w:proofErr w:type="spellEnd"/>
      <w:r w:rsidRPr="0071654E">
        <w:t xml:space="preserve"> KS, Reddy GR, Suryanarayana VVS. Tissue culture</w:t>
      </w:r>
      <w:r w:rsidRPr="0071654E">
        <w:noBreakHyphen/>
        <w:t xml:space="preserve">independent transformation of the forage crop </w:t>
      </w:r>
      <w:proofErr w:type="spellStart"/>
      <w:r w:rsidRPr="0071654E">
        <w:t>sunnhemp</w:t>
      </w:r>
      <w:proofErr w:type="spellEnd"/>
      <w:r w:rsidRPr="0071654E">
        <w:t xml:space="preserve"> (</w:t>
      </w:r>
      <w:r w:rsidRPr="0071654E">
        <w:rPr>
          <w:i/>
          <w:iCs/>
        </w:rPr>
        <w:t xml:space="preserve">Crotalaria </w:t>
      </w:r>
      <w:proofErr w:type="spellStart"/>
      <w:r w:rsidRPr="0071654E">
        <w:rPr>
          <w:i/>
          <w:iCs/>
        </w:rPr>
        <w:t>juncea</w:t>
      </w:r>
      <w:proofErr w:type="spellEnd"/>
      <w:r w:rsidRPr="0071654E">
        <w:t xml:space="preserve"> L.): an easy method towards generation of transgenics. </w:t>
      </w:r>
      <w:proofErr w:type="spellStart"/>
      <w:r w:rsidRPr="0071654E">
        <w:rPr>
          <w:i/>
          <w:iCs/>
        </w:rPr>
        <w:t>Physiol</w:t>
      </w:r>
      <w:proofErr w:type="spellEnd"/>
      <w:r w:rsidRPr="0071654E">
        <w:rPr>
          <w:i/>
          <w:iCs/>
        </w:rPr>
        <w:t xml:space="preserve"> </w:t>
      </w:r>
      <w:proofErr w:type="spellStart"/>
      <w:r w:rsidRPr="0071654E">
        <w:rPr>
          <w:i/>
          <w:iCs/>
        </w:rPr>
        <w:t>Mol</w:t>
      </w:r>
      <w:proofErr w:type="spellEnd"/>
      <w:r w:rsidRPr="0071654E">
        <w:rPr>
          <w:i/>
          <w:iCs/>
        </w:rPr>
        <w:t xml:space="preserve"> </w:t>
      </w:r>
      <w:proofErr w:type="spellStart"/>
      <w:r w:rsidRPr="0071654E">
        <w:rPr>
          <w:i/>
          <w:iCs/>
        </w:rPr>
        <w:t>Biol</w:t>
      </w:r>
      <w:proofErr w:type="spellEnd"/>
      <w:r w:rsidRPr="0071654E">
        <w:rPr>
          <w:i/>
          <w:iCs/>
        </w:rPr>
        <w:t xml:space="preserve"> Plants</w:t>
      </w:r>
      <w:r w:rsidRPr="0071654E">
        <w:t xml:space="preserve">. 2012;18(1):51–57. doi:10.1007/s12298-011-0095-1 </w:t>
      </w:r>
    </w:p>
    <w:p w14:paraId="7F9A72A9" w14:textId="699D9EEE" w:rsidR="001F5F3C" w:rsidRDefault="001F5F3C" w:rsidP="0071654E">
      <w:pPr>
        <w:pStyle w:val="NormalWeb"/>
        <w:numPr>
          <w:ilvl w:val="0"/>
          <w:numId w:val="15"/>
        </w:numPr>
        <w:ind w:left="180"/>
        <w:jc w:val="both"/>
      </w:pPr>
      <w:r>
        <w:rPr>
          <w:rStyle w:val="relative"/>
          <w:rFonts w:eastAsiaTheme="majorEastAsia"/>
        </w:rPr>
        <w:t xml:space="preserve">Kumar V, Singh B. Agronomic evaluation of Crotalaria </w:t>
      </w:r>
      <w:proofErr w:type="spellStart"/>
      <w:r>
        <w:rPr>
          <w:rStyle w:val="relative"/>
          <w:rFonts w:eastAsiaTheme="majorEastAsia"/>
        </w:rPr>
        <w:t>multibracteata</w:t>
      </w:r>
      <w:proofErr w:type="spellEnd"/>
      <w:r>
        <w:rPr>
          <w:rStyle w:val="relative"/>
          <w:rFonts w:eastAsiaTheme="majorEastAsia"/>
        </w:rPr>
        <w:t xml:space="preserve"> under different climatic conditions. Agron J. 2019;111(4):1653–1661. </w:t>
      </w:r>
      <w:r>
        <w:rPr>
          <w:rStyle w:val="Emphasis"/>
        </w:rPr>
        <w:t>DOI not located.</w:t>
      </w:r>
      <w:r>
        <w:rPr>
          <w:rStyle w:val="relative"/>
          <w:rFonts w:eastAsiaTheme="majorEastAsia"/>
        </w:rPr>
        <w:t xml:space="preserve"> Available from: American Society of Agronomy website.</w:t>
      </w:r>
      <w:r>
        <w:t xml:space="preserve"> </w:t>
      </w:r>
      <w:hyperlink r:id="rId9" w:tgtFrame="_blank" w:history="1">
        <w:r>
          <w:rPr>
            <w:rStyle w:val="max-w-full"/>
            <w:rFonts w:eastAsiaTheme="majorEastAsia"/>
            <w:color w:val="0000FF"/>
            <w:u w:val="single"/>
          </w:rPr>
          <w:t>Wikipedia</w:t>
        </w:r>
      </w:hyperlink>
    </w:p>
    <w:p w14:paraId="632DA8B1" w14:textId="635EB015" w:rsidR="001F5F3C" w:rsidRDefault="001F5F3C" w:rsidP="0071654E">
      <w:pPr>
        <w:pStyle w:val="NormalWeb"/>
        <w:numPr>
          <w:ilvl w:val="0"/>
          <w:numId w:val="15"/>
        </w:numPr>
        <w:ind w:left="180"/>
        <w:jc w:val="both"/>
      </w:pPr>
      <w:r>
        <w:rPr>
          <w:rStyle w:val="relative"/>
          <w:rFonts w:eastAsiaTheme="majorEastAsia"/>
        </w:rPr>
        <w:t xml:space="preserve">Rao SS, Reddy PM. Role of Crotalaria spp. in sustainable agriculture as green manure crops. Soil </w:t>
      </w:r>
      <w:proofErr w:type="spellStart"/>
      <w:r>
        <w:rPr>
          <w:rStyle w:val="relative"/>
          <w:rFonts w:eastAsiaTheme="majorEastAsia"/>
        </w:rPr>
        <w:t>Biol</w:t>
      </w:r>
      <w:proofErr w:type="spellEnd"/>
      <w:r>
        <w:rPr>
          <w:rStyle w:val="relative"/>
          <w:rFonts w:eastAsiaTheme="majorEastAsia"/>
        </w:rPr>
        <w:t xml:space="preserve"> </w:t>
      </w:r>
      <w:proofErr w:type="spellStart"/>
      <w:r>
        <w:rPr>
          <w:rStyle w:val="relative"/>
          <w:rFonts w:eastAsiaTheme="majorEastAsia"/>
        </w:rPr>
        <w:t>Biochem</w:t>
      </w:r>
      <w:proofErr w:type="spellEnd"/>
      <w:r>
        <w:rPr>
          <w:rStyle w:val="relative"/>
          <w:rFonts w:eastAsiaTheme="majorEastAsia"/>
        </w:rPr>
        <w:t>. 2017</w:t>
      </w:r>
      <w:proofErr w:type="gramStart"/>
      <w:r>
        <w:rPr>
          <w:rStyle w:val="relative"/>
          <w:rFonts w:eastAsiaTheme="majorEastAsia"/>
        </w:rPr>
        <w:t>;110:123</w:t>
      </w:r>
      <w:proofErr w:type="gramEnd"/>
      <w:r>
        <w:rPr>
          <w:rStyle w:val="relative"/>
          <w:rFonts w:eastAsiaTheme="majorEastAsia"/>
        </w:rPr>
        <w:t>–130. Available from: Soil Biology and Biochemistry journal site.</w:t>
      </w:r>
      <w:r>
        <w:t xml:space="preserve"> </w:t>
      </w:r>
      <w:hyperlink r:id="rId10" w:tgtFrame="_blank" w:history="1">
        <w:r>
          <w:rPr>
            <w:rStyle w:val="max-w-full"/>
            <w:rFonts w:eastAsiaTheme="majorEastAsia"/>
            <w:color w:val="0000FF"/>
            <w:u w:val="single"/>
          </w:rPr>
          <w:t>PMC</w:t>
        </w:r>
        <w:r>
          <w:rPr>
            <w:rStyle w:val="-me-1"/>
            <w:rFonts w:eastAsiaTheme="majorEastAsia"/>
            <w:color w:val="0000FF"/>
            <w:u w:val="single"/>
          </w:rPr>
          <w:t>+10</w:t>
        </w:r>
        <w:r>
          <w:rPr>
            <w:rStyle w:val="max-w-full"/>
            <w:rFonts w:eastAsiaTheme="majorEastAsia"/>
            <w:color w:val="0000FF"/>
            <w:u w:val="single"/>
          </w:rPr>
          <w:t>ResearchGate</w:t>
        </w:r>
        <w:r>
          <w:rPr>
            <w:rStyle w:val="-me-1"/>
            <w:rFonts w:eastAsiaTheme="majorEastAsia"/>
            <w:color w:val="0000FF"/>
            <w:u w:val="single"/>
          </w:rPr>
          <w:t>+10</w:t>
        </w:r>
        <w:r>
          <w:rPr>
            <w:rStyle w:val="max-w-full"/>
            <w:rFonts w:eastAsiaTheme="majorEastAsia"/>
            <w:color w:val="0000FF"/>
            <w:u w:val="single"/>
          </w:rPr>
          <w:t>MDPI</w:t>
        </w:r>
        <w:r>
          <w:rPr>
            <w:rStyle w:val="-me-1"/>
            <w:rFonts w:eastAsiaTheme="majorEastAsia"/>
            <w:color w:val="0000FF"/>
            <w:u w:val="single"/>
          </w:rPr>
          <w:t>+10</w:t>
        </w:r>
      </w:hyperlink>
    </w:p>
    <w:p w14:paraId="69AD6C55" w14:textId="4746AFD0" w:rsidR="001F5F3C" w:rsidRDefault="001F5F3C" w:rsidP="0071654E">
      <w:pPr>
        <w:pStyle w:val="NormalWeb"/>
        <w:numPr>
          <w:ilvl w:val="0"/>
          <w:numId w:val="15"/>
        </w:numPr>
        <w:ind w:left="180"/>
        <w:jc w:val="both"/>
      </w:pPr>
      <w:r>
        <w:rPr>
          <w:rStyle w:val="relative"/>
          <w:rFonts w:eastAsiaTheme="majorEastAsia"/>
        </w:rPr>
        <w:t xml:space="preserve">Sharma A, et al. Cultivation potential and harvesting optimization of Crotalaria </w:t>
      </w:r>
      <w:proofErr w:type="spellStart"/>
      <w:r>
        <w:rPr>
          <w:rStyle w:val="relative"/>
          <w:rFonts w:eastAsiaTheme="majorEastAsia"/>
        </w:rPr>
        <w:t>multibracteata</w:t>
      </w:r>
      <w:proofErr w:type="spellEnd"/>
      <w:r>
        <w:rPr>
          <w:rStyle w:val="relative"/>
          <w:rFonts w:eastAsiaTheme="majorEastAsia"/>
        </w:rPr>
        <w:t xml:space="preserve"> for medicinal use. Ind Crop Prod. 2021</w:t>
      </w:r>
      <w:proofErr w:type="gramStart"/>
      <w:r>
        <w:rPr>
          <w:rStyle w:val="relative"/>
          <w:rFonts w:eastAsiaTheme="majorEastAsia"/>
        </w:rPr>
        <w:t>;160:113123</w:t>
      </w:r>
      <w:proofErr w:type="gramEnd"/>
      <w:r>
        <w:rPr>
          <w:rStyle w:val="relative"/>
          <w:rFonts w:eastAsiaTheme="majorEastAsia"/>
        </w:rPr>
        <w:t>. doi:10.1016/j.indcrop.2020.113123</w:t>
      </w:r>
    </w:p>
    <w:p w14:paraId="3D21F782" w14:textId="635EA034" w:rsidR="001F5F3C" w:rsidRDefault="001F5F3C" w:rsidP="0071654E">
      <w:pPr>
        <w:pStyle w:val="NormalWeb"/>
        <w:numPr>
          <w:ilvl w:val="0"/>
          <w:numId w:val="15"/>
        </w:numPr>
        <w:ind w:left="180"/>
        <w:jc w:val="both"/>
      </w:pPr>
      <w:r>
        <w:rPr>
          <w:rStyle w:val="relative"/>
          <w:rFonts w:eastAsiaTheme="majorEastAsia"/>
        </w:rPr>
        <w:lastRenderedPageBreak/>
        <w:t>Gupta N, et al. Biogenic synthesis of metal nanoparticles using Crotalaria plant extracts: A sustainable approach. Green Chem Lett Rev. 2022;15(1):12–23. Available from: journal publisher website (Taylor &amp; Francis).</w:t>
      </w:r>
      <w:r>
        <w:t xml:space="preserve"> </w:t>
      </w:r>
      <w:hyperlink r:id="rId11" w:tgtFrame="_blank" w:history="1">
        <w:r>
          <w:rPr>
            <w:rStyle w:val="max-w-full"/>
            <w:rFonts w:eastAsiaTheme="majorEastAsia"/>
            <w:color w:val="0000FF"/>
            <w:u w:val="single"/>
          </w:rPr>
          <w:t>frontiersin.org</w:t>
        </w:r>
        <w:r>
          <w:rPr>
            <w:rStyle w:val="-me-1"/>
            <w:rFonts w:eastAsiaTheme="majorEastAsia"/>
            <w:color w:val="0000FF"/>
            <w:u w:val="single"/>
          </w:rPr>
          <w:t>+1</w:t>
        </w:r>
        <w:r>
          <w:rPr>
            <w:rStyle w:val="max-w-full"/>
            <w:rFonts w:eastAsiaTheme="majorEastAsia"/>
            <w:color w:val="0000FF"/>
            <w:u w:val="single"/>
          </w:rPr>
          <w:t>pubmed.ncbi.nlm.nih.gov</w:t>
        </w:r>
        <w:r>
          <w:rPr>
            <w:rStyle w:val="-me-1"/>
            <w:rFonts w:eastAsiaTheme="majorEastAsia"/>
            <w:color w:val="0000FF"/>
            <w:u w:val="single"/>
          </w:rPr>
          <w:t>+1</w:t>
        </w:r>
      </w:hyperlink>
    </w:p>
    <w:p w14:paraId="1BA82480" w14:textId="77777777" w:rsidR="001F5F3C" w:rsidRPr="00C50F6E" w:rsidRDefault="001F5F3C" w:rsidP="001F5F3C">
      <w:pPr>
        <w:pStyle w:val="ListParagraph"/>
        <w:ind w:left="1440"/>
        <w:rPr>
          <w:rFonts w:ascii="Times New Roman" w:hAnsi="Times New Roman" w:cs="Times New Roman"/>
        </w:rPr>
      </w:pPr>
    </w:p>
    <w:sectPr w:rsidR="001F5F3C" w:rsidRPr="00C50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7F12"/>
    <w:multiLevelType w:val="multilevel"/>
    <w:tmpl w:val="44EC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74354"/>
    <w:multiLevelType w:val="multilevel"/>
    <w:tmpl w:val="54FE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D25F3"/>
    <w:multiLevelType w:val="hybridMultilevel"/>
    <w:tmpl w:val="A9AA8406"/>
    <w:lvl w:ilvl="0" w:tplc="00E4A62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86618"/>
    <w:multiLevelType w:val="hybridMultilevel"/>
    <w:tmpl w:val="31C6E2AA"/>
    <w:lvl w:ilvl="0" w:tplc="0409000F">
      <w:start w:val="1"/>
      <w:numFmt w:val="decimal"/>
      <w:lvlText w:val="%1."/>
      <w:lvlJc w:val="left"/>
      <w:pPr>
        <w:ind w:left="720" w:hanging="360"/>
      </w:pPr>
    </w:lvl>
    <w:lvl w:ilvl="1" w:tplc="3190AE9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DE3E97"/>
    <w:multiLevelType w:val="hybridMultilevel"/>
    <w:tmpl w:val="C5EC9E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27714FC"/>
    <w:multiLevelType w:val="multilevel"/>
    <w:tmpl w:val="6D9A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5D0F16"/>
    <w:multiLevelType w:val="multilevel"/>
    <w:tmpl w:val="033A1D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5D5D53"/>
    <w:multiLevelType w:val="hybridMultilevel"/>
    <w:tmpl w:val="35CE8A92"/>
    <w:lvl w:ilvl="0" w:tplc="FFFFFFFF">
      <w:start w:val="1"/>
      <w:numFmt w:val="decimalZero"/>
      <w:lvlText w:val="%1."/>
      <w:lvlJc w:val="left"/>
      <w:pPr>
        <w:ind w:left="720" w:hanging="360"/>
      </w:pPr>
      <w:rPr>
        <w:rFonts w:hint="default"/>
      </w:rPr>
    </w:lvl>
    <w:lvl w:ilvl="1" w:tplc="00E4A620">
      <w:start w:val="1"/>
      <w:numFmt w:val="decimalZero"/>
      <w:lvlText w:val="%2."/>
      <w:lvlJc w:val="left"/>
      <w:pPr>
        <w:ind w:left="63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51D2728"/>
    <w:multiLevelType w:val="hybridMultilevel"/>
    <w:tmpl w:val="C7CC916E"/>
    <w:lvl w:ilvl="0" w:tplc="00E4A620">
      <w:start w:val="1"/>
      <w:numFmt w:val="decimalZero"/>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8309A"/>
    <w:multiLevelType w:val="multilevel"/>
    <w:tmpl w:val="627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BD7393"/>
    <w:multiLevelType w:val="multilevel"/>
    <w:tmpl w:val="321C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2F4269"/>
    <w:multiLevelType w:val="multilevel"/>
    <w:tmpl w:val="07CE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962A35"/>
    <w:multiLevelType w:val="multilevel"/>
    <w:tmpl w:val="D896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976F34"/>
    <w:multiLevelType w:val="multilevel"/>
    <w:tmpl w:val="FAC4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420F9C"/>
    <w:multiLevelType w:val="hybridMultilevel"/>
    <w:tmpl w:val="C3089BBA"/>
    <w:lvl w:ilvl="0" w:tplc="D39A6A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A142F8"/>
    <w:multiLevelType w:val="multilevel"/>
    <w:tmpl w:val="B3C0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5"/>
  </w:num>
  <w:num w:numId="4">
    <w:abstractNumId w:val="9"/>
  </w:num>
  <w:num w:numId="5">
    <w:abstractNumId w:val="10"/>
  </w:num>
  <w:num w:numId="6">
    <w:abstractNumId w:val="1"/>
  </w:num>
  <w:num w:numId="7">
    <w:abstractNumId w:val="13"/>
  </w:num>
  <w:num w:numId="8">
    <w:abstractNumId w:val="12"/>
  </w:num>
  <w:num w:numId="9">
    <w:abstractNumId w:val="0"/>
  </w:num>
  <w:num w:numId="10">
    <w:abstractNumId w:val="11"/>
  </w:num>
  <w:num w:numId="11">
    <w:abstractNumId w:val="15"/>
  </w:num>
  <w:num w:numId="12">
    <w:abstractNumId w:val="2"/>
  </w:num>
  <w:num w:numId="13">
    <w:abstractNumId w:val="8"/>
  </w:num>
  <w:num w:numId="14">
    <w:abstractNumId w:val="7"/>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43"/>
    <w:rsid w:val="00055174"/>
    <w:rsid w:val="0013689F"/>
    <w:rsid w:val="001F5F3C"/>
    <w:rsid w:val="002057E4"/>
    <w:rsid w:val="00241F44"/>
    <w:rsid w:val="002D2C30"/>
    <w:rsid w:val="0034573E"/>
    <w:rsid w:val="003834F5"/>
    <w:rsid w:val="003D548A"/>
    <w:rsid w:val="003F031C"/>
    <w:rsid w:val="0071654E"/>
    <w:rsid w:val="00840143"/>
    <w:rsid w:val="00942757"/>
    <w:rsid w:val="00AA5F3C"/>
    <w:rsid w:val="00AD05A3"/>
    <w:rsid w:val="00AD699D"/>
    <w:rsid w:val="00BB6B7B"/>
    <w:rsid w:val="00C50F6E"/>
    <w:rsid w:val="00CE2731"/>
    <w:rsid w:val="00D36869"/>
    <w:rsid w:val="00D86CCA"/>
    <w:rsid w:val="00DB441F"/>
    <w:rsid w:val="00F34F3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014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84014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84014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8401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01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0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14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84014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84014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8401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01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0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143"/>
    <w:rPr>
      <w:rFonts w:eastAsiaTheme="majorEastAsia" w:cstheme="majorBidi"/>
      <w:color w:val="272727" w:themeColor="text1" w:themeTint="D8"/>
    </w:rPr>
  </w:style>
  <w:style w:type="paragraph" w:styleId="Title">
    <w:name w:val="Title"/>
    <w:basedOn w:val="Normal"/>
    <w:next w:val="Normal"/>
    <w:link w:val="TitleChar"/>
    <w:uiPriority w:val="10"/>
    <w:qFormat/>
    <w:rsid w:val="0084014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4014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4014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4014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40143"/>
    <w:pPr>
      <w:spacing w:before="160"/>
      <w:jc w:val="center"/>
    </w:pPr>
    <w:rPr>
      <w:i/>
      <w:iCs/>
      <w:color w:val="404040" w:themeColor="text1" w:themeTint="BF"/>
    </w:rPr>
  </w:style>
  <w:style w:type="character" w:customStyle="1" w:styleId="QuoteChar">
    <w:name w:val="Quote Char"/>
    <w:basedOn w:val="DefaultParagraphFont"/>
    <w:link w:val="Quote"/>
    <w:uiPriority w:val="29"/>
    <w:rsid w:val="00840143"/>
    <w:rPr>
      <w:i/>
      <w:iCs/>
      <w:color w:val="404040" w:themeColor="text1" w:themeTint="BF"/>
    </w:rPr>
  </w:style>
  <w:style w:type="paragraph" w:styleId="ListParagraph">
    <w:name w:val="List Paragraph"/>
    <w:basedOn w:val="Normal"/>
    <w:uiPriority w:val="34"/>
    <w:qFormat/>
    <w:rsid w:val="00840143"/>
    <w:pPr>
      <w:ind w:left="720"/>
      <w:contextualSpacing/>
    </w:pPr>
  </w:style>
  <w:style w:type="character" w:styleId="IntenseEmphasis">
    <w:name w:val="Intense Emphasis"/>
    <w:basedOn w:val="DefaultParagraphFont"/>
    <w:uiPriority w:val="21"/>
    <w:qFormat/>
    <w:rsid w:val="00840143"/>
    <w:rPr>
      <w:i/>
      <w:iCs/>
      <w:color w:val="2F5496" w:themeColor="accent1" w:themeShade="BF"/>
    </w:rPr>
  </w:style>
  <w:style w:type="paragraph" w:styleId="IntenseQuote">
    <w:name w:val="Intense Quote"/>
    <w:basedOn w:val="Normal"/>
    <w:next w:val="Normal"/>
    <w:link w:val="IntenseQuoteChar"/>
    <w:uiPriority w:val="30"/>
    <w:qFormat/>
    <w:rsid w:val="00840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0143"/>
    <w:rPr>
      <w:i/>
      <w:iCs/>
      <w:color w:val="2F5496" w:themeColor="accent1" w:themeShade="BF"/>
    </w:rPr>
  </w:style>
  <w:style w:type="character" w:styleId="IntenseReference">
    <w:name w:val="Intense Reference"/>
    <w:basedOn w:val="DefaultParagraphFont"/>
    <w:uiPriority w:val="32"/>
    <w:qFormat/>
    <w:rsid w:val="00840143"/>
    <w:rPr>
      <w:b/>
      <w:bCs/>
      <w:smallCaps/>
      <w:color w:val="2F5496" w:themeColor="accent1" w:themeShade="BF"/>
      <w:spacing w:val="5"/>
    </w:rPr>
  </w:style>
  <w:style w:type="paragraph" w:styleId="NormalWeb">
    <w:name w:val="Normal (Web)"/>
    <w:basedOn w:val="Normal"/>
    <w:uiPriority w:val="99"/>
    <w:semiHidden/>
    <w:unhideWhenUsed/>
    <w:rsid w:val="00D36869"/>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D36869"/>
    <w:rPr>
      <w:i/>
      <w:iCs/>
    </w:rPr>
  </w:style>
  <w:style w:type="table" w:styleId="TableGrid">
    <w:name w:val="Table Grid"/>
    <w:basedOn w:val="TableNormal"/>
    <w:uiPriority w:val="39"/>
    <w:rsid w:val="00AD6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F3C"/>
    <w:rPr>
      <w:color w:val="0563C1" w:themeColor="hyperlink"/>
      <w:u w:val="single"/>
    </w:rPr>
  </w:style>
  <w:style w:type="character" w:customStyle="1" w:styleId="UnresolvedMention">
    <w:name w:val="Unresolved Mention"/>
    <w:basedOn w:val="DefaultParagraphFont"/>
    <w:uiPriority w:val="99"/>
    <w:semiHidden/>
    <w:unhideWhenUsed/>
    <w:rsid w:val="001F5F3C"/>
    <w:rPr>
      <w:color w:val="605E5C"/>
      <w:shd w:val="clear" w:color="auto" w:fill="E1DFDD"/>
    </w:rPr>
  </w:style>
  <w:style w:type="character" w:customStyle="1" w:styleId="relative">
    <w:name w:val="relative"/>
    <w:basedOn w:val="DefaultParagraphFont"/>
    <w:rsid w:val="001F5F3C"/>
  </w:style>
  <w:style w:type="character" w:customStyle="1" w:styleId="ms-1">
    <w:name w:val="ms-1"/>
    <w:basedOn w:val="DefaultParagraphFont"/>
    <w:rsid w:val="001F5F3C"/>
  </w:style>
  <w:style w:type="character" w:customStyle="1" w:styleId="max-w-full">
    <w:name w:val="max-w-full"/>
    <w:basedOn w:val="DefaultParagraphFont"/>
    <w:rsid w:val="001F5F3C"/>
  </w:style>
  <w:style w:type="character" w:customStyle="1" w:styleId="-me-1">
    <w:name w:val="-me-1"/>
    <w:basedOn w:val="DefaultParagraphFont"/>
    <w:rsid w:val="001F5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014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84014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84014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8401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01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0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14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84014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84014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8401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01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0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143"/>
    <w:rPr>
      <w:rFonts w:eastAsiaTheme="majorEastAsia" w:cstheme="majorBidi"/>
      <w:color w:val="272727" w:themeColor="text1" w:themeTint="D8"/>
    </w:rPr>
  </w:style>
  <w:style w:type="paragraph" w:styleId="Title">
    <w:name w:val="Title"/>
    <w:basedOn w:val="Normal"/>
    <w:next w:val="Normal"/>
    <w:link w:val="TitleChar"/>
    <w:uiPriority w:val="10"/>
    <w:qFormat/>
    <w:rsid w:val="0084014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4014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4014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4014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40143"/>
    <w:pPr>
      <w:spacing w:before="160"/>
      <w:jc w:val="center"/>
    </w:pPr>
    <w:rPr>
      <w:i/>
      <w:iCs/>
      <w:color w:val="404040" w:themeColor="text1" w:themeTint="BF"/>
    </w:rPr>
  </w:style>
  <w:style w:type="character" w:customStyle="1" w:styleId="QuoteChar">
    <w:name w:val="Quote Char"/>
    <w:basedOn w:val="DefaultParagraphFont"/>
    <w:link w:val="Quote"/>
    <w:uiPriority w:val="29"/>
    <w:rsid w:val="00840143"/>
    <w:rPr>
      <w:i/>
      <w:iCs/>
      <w:color w:val="404040" w:themeColor="text1" w:themeTint="BF"/>
    </w:rPr>
  </w:style>
  <w:style w:type="paragraph" w:styleId="ListParagraph">
    <w:name w:val="List Paragraph"/>
    <w:basedOn w:val="Normal"/>
    <w:uiPriority w:val="34"/>
    <w:qFormat/>
    <w:rsid w:val="00840143"/>
    <w:pPr>
      <w:ind w:left="720"/>
      <w:contextualSpacing/>
    </w:pPr>
  </w:style>
  <w:style w:type="character" w:styleId="IntenseEmphasis">
    <w:name w:val="Intense Emphasis"/>
    <w:basedOn w:val="DefaultParagraphFont"/>
    <w:uiPriority w:val="21"/>
    <w:qFormat/>
    <w:rsid w:val="00840143"/>
    <w:rPr>
      <w:i/>
      <w:iCs/>
      <w:color w:val="2F5496" w:themeColor="accent1" w:themeShade="BF"/>
    </w:rPr>
  </w:style>
  <w:style w:type="paragraph" w:styleId="IntenseQuote">
    <w:name w:val="Intense Quote"/>
    <w:basedOn w:val="Normal"/>
    <w:next w:val="Normal"/>
    <w:link w:val="IntenseQuoteChar"/>
    <w:uiPriority w:val="30"/>
    <w:qFormat/>
    <w:rsid w:val="00840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0143"/>
    <w:rPr>
      <w:i/>
      <w:iCs/>
      <w:color w:val="2F5496" w:themeColor="accent1" w:themeShade="BF"/>
    </w:rPr>
  </w:style>
  <w:style w:type="character" w:styleId="IntenseReference">
    <w:name w:val="Intense Reference"/>
    <w:basedOn w:val="DefaultParagraphFont"/>
    <w:uiPriority w:val="32"/>
    <w:qFormat/>
    <w:rsid w:val="00840143"/>
    <w:rPr>
      <w:b/>
      <w:bCs/>
      <w:smallCaps/>
      <w:color w:val="2F5496" w:themeColor="accent1" w:themeShade="BF"/>
      <w:spacing w:val="5"/>
    </w:rPr>
  </w:style>
  <w:style w:type="paragraph" w:styleId="NormalWeb">
    <w:name w:val="Normal (Web)"/>
    <w:basedOn w:val="Normal"/>
    <w:uiPriority w:val="99"/>
    <w:semiHidden/>
    <w:unhideWhenUsed/>
    <w:rsid w:val="00D36869"/>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D36869"/>
    <w:rPr>
      <w:i/>
      <w:iCs/>
    </w:rPr>
  </w:style>
  <w:style w:type="table" w:styleId="TableGrid">
    <w:name w:val="Table Grid"/>
    <w:basedOn w:val="TableNormal"/>
    <w:uiPriority w:val="39"/>
    <w:rsid w:val="00AD6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F3C"/>
    <w:rPr>
      <w:color w:val="0563C1" w:themeColor="hyperlink"/>
      <w:u w:val="single"/>
    </w:rPr>
  </w:style>
  <w:style w:type="character" w:customStyle="1" w:styleId="UnresolvedMention">
    <w:name w:val="Unresolved Mention"/>
    <w:basedOn w:val="DefaultParagraphFont"/>
    <w:uiPriority w:val="99"/>
    <w:semiHidden/>
    <w:unhideWhenUsed/>
    <w:rsid w:val="001F5F3C"/>
    <w:rPr>
      <w:color w:val="605E5C"/>
      <w:shd w:val="clear" w:color="auto" w:fill="E1DFDD"/>
    </w:rPr>
  </w:style>
  <w:style w:type="character" w:customStyle="1" w:styleId="relative">
    <w:name w:val="relative"/>
    <w:basedOn w:val="DefaultParagraphFont"/>
    <w:rsid w:val="001F5F3C"/>
  </w:style>
  <w:style w:type="character" w:customStyle="1" w:styleId="ms-1">
    <w:name w:val="ms-1"/>
    <w:basedOn w:val="DefaultParagraphFont"/>
    <w:rsid w:val="001F5F3C"/>
  </w:style>
  <w:style w:type="character" w:customStyle="1" w:styleId="max-w-full">
    <w:name w:val="max-w-full"/>
    <w:basedOn w:val="DefaultParagraphFont"/>
    <w:rsid w:val="001F5F3C"/>
  </w:style>
  <w:style w:type="character" w:customStyle="1" w:styleId="-me-1">
    <w:name w:val="-me-1"/>
    <w:basedOn w:val="DefaultParagraphFont"/>
    <w:rsid w:val="001F5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485">
      <w:bodyDiv w:val="1"/>
      <w:marLeft w:val="0"/>
      <w:marRight w:val="0"/>
      <w:marTop w:val="0"/>
      <w:marBottom w:val="0"/>
      <w:divBdr>
        <w:top w:val="none" w:sz="0" w:space="0" w:color="auto"/>
        <w:left w:val="none" w:sz="0" w:space="0" w:color="auto"/>
        <w:bottom w:val="none" w:sz="0" w:space="0" w:color="auto"/>
        <w:right w:val="none" w:sz="0" w:space="0" w:color="auto"/>
      </w:divBdr>
    </w:div>
    <w:div w:id="62141925">
      <w:bodyDiv w:val="1"/>
      <w:marLeft w:val="0"/>
      <w:marRight w:val="0"/>
      <w:marTop w:val="0"/>
      <w:marBottom w:val="0"/>
      <w:divBdr>
        <w:top w:val="none" w:sz="0" w:space="0" w:color="auto"/>
        <w:left w:val="none" w:sz="0" w:space="0" w:color="auto"/>
        <w:bottom w:val="none" w:sz="0" w:space="0" w:color="auto"/>
        <w:right w:val="none" w:sz="0" w:space="0" w:color="auto"/>
      </w:divBdr>
    </w:div>
    <w:div w:id="79982575">
      <w:bodyDiv w:val="1"/>
      <w:marLeft w:val="0"/>
      <w:marRight w:val="0"/>
      <w:marTop w:val="0"/>
      <w:marBottom w:val="0"/>
      <w:divBdr>
        <w:top w:val="none" w:sz="0" w:space="0" w:color="auto"/>
        <w:left w:val="none" w:sz="0" w:space="0" w:color="auto"/>
        <w:bottom w:val="none" w:sz="0" w:space="0" w:color="auto"/>
        <w:right w:val="none" w:sz="0" w:space="0" w:color="auto"/>
      </w:divBdr>
    </w:div>
    <w:div w:id="91630415">
      <w:bodyDiv w:val="1"/>
      <w:marLeft w:val="0"/>
      <w:marRight w:val="0"/>
      <w:marTop w:val="0"/>
      <w:marBottom w:val="0"/>
      <w:divBdr>
        <w:top w:val="none" w:sz="0" w:space="0" w:color="auto"/>
        <w:left w:val="none" w:sz="0" w:space="0" w:color="auto"/>
        <w:bottom w:val="none" w:sz="0" w:space="0" w:color="auto"/>
        <w:right w:val="none" w:sz="0" w:space="0" w:color="auto"/>
      </w:divBdr>
    </w:div>
    <w:div w:id="108017920">
      <w:bodyDiv w:val="1"/>
      <w:marLeft w:val="0"/>
      <w:marRight w:val="0"/>
      <w:marTop w:val="0"/>
      <w:marBottom w:val="0"/>
      <w:divBdr>
        <w:top w:val="none" w:sz="0" w:space="0" w:color="auto"/>
        <w:left w:val="none" w:sz="0" w:space="0" w:color="auto"/>
        <w:bottom w:val="none" w:sz="0" w:space="0" w:color="auto"/>
        <w:right w:val="none" w:sz="0" w:space="0" w:color="auto"/>
      </w:divBdr>
    </w:div>
    <w:div w:id="109059431">
      <w:bodyDiv w:val="1"/>
      <w:marLeft w:val="0"/>
      <w:marRight w:val="0"/>
      <w:marTop w:val="0"/>
      <w:marBottom w:val="0"/>
      <w:divBdr>
        <w:top w:val="none" w:sz="0" w:space="0" w:color="auto"/>
        <w:left w:val="none" w:sz="0" w:space="0" w:color="auto"/>
        <w:bottom w:val="none" w:sz="0" w:space="0" w:color="auto"/>
        <w:right w:val="none" w:sz="0" w:space="0" w:color="auto"/>
      </w:divBdr>
    </w:div>
    <w:div w:id="129904929">
      <w:bodyDiv w:val="1"/>
      <w:marLeft w:val="0"/>
      <w:marRight w:val="0"/>
      <w:marTop w:val="0"/>
      <w:marBottom w:val="0"/>
      <w:divBdr>
        <w:top w:val="none" w:sz="0" w:space="0" w:color="auto"/>
        <w:left w:val="none" w:sz="0" w:space="0" w:color="auto"/>
        <w:bottom w:val="none" w:sz="0" w:space="0" w:color="auto"/>
        <w:right w:val="none" w:sz="0" w:space="0" w:color="auto"/>
      </w:divBdr>
    </w:div>
    <w:div w:id="146241545">
      <w:bodyDiv w:val="1"/>
      <w:marLeft w:val="0"/>
      <w:marRight w:val="0"/>
      <w:marTop w:val="0"/>
      <w:marBottom w:val="0"/>
      <w:divBdr>
        <w:top w:val="none" w:sz="0" w:space="0" w:color="auto"/>
        <w:left w:val="none" w:sz="0" w:space="0" w:color="auto"/>
        <w:bottom w:val="none" w:sz="0" w:space="0" w:color="auto"/>
        <w:right w:val="none" w:sz="0" w:space="0" w:color="auto"/>
      </w:divBdr>
    </w:div>
    <w:div w:id="164829972">
      <w:bodyDiv w:val="1"/>
      <w:marLeft w:val="0"/>
      <w:marRight w:val="0"/>
      <w:marTop w:val="0"/>
      <w:marBottom w:val="0"/>
      <w:divBdr>
        <w:top w:val="none" w:sz="0" w:space="0" w:color="auto"/>
        <w:left w:val="none" w:sz="0" w:space="0" w:color="auto"/>
        <w:bottom w:val="none" w:sz="0" w:space="0" w:color="auto"/>
        <w:right w:val="none" w:sz="0" w:space="0" w:color="auto"/>
      </w:divBdr>
    </w:div>
    <w:div w:id="196704196">
      <w:bodyDiv w:val="1"/>
      <w:marLeft w:val="0"/>
      <w:marRight w:val="0"/>
      <w:marTop w:val="0"/>
      <w:marBottom w:val="0"/>
      <w:divBdr>
        <w:top w:val="none" w:sz="0" w:space="0" w:color="auto"/>
        <w:left w:val="none" w:sz="0" w:space="0" w:color="auto"/>
        <w:bottom w:val="none" w:sz="0" w:space="0" w:color="auto"/>
        <w:right w:val="none" w:sz="0" w:space="0" w:color="auto"/>
      </w:divBdr>
    </w:div>
    <w:div w:id="209459074">
      <w:bodyDiv w:val="1"/>
      <w:marLeft w:val="0"/>
      <w:marRight w:val="0"/>
      <w:marTop w:val="0"/>
      <w:marBottom w:val="0"/>
      <w:divBdr>
        <w:top w:val="none" w:sz="0" w:space="0" w:color="auto"/>
        <w:left w:val="none" w:sz="0" w:space="0" w:color="auto"/>
        <w:bottom w:val="none" w:sz="0" w:space="0" w:color="auto"/>
        <w:right w:val="none" w:sz="0" w:space="0" w:color="auto"/>
      </w:divBdr>
    </w:div>
    <w:div w:id="215435532">
      <w:bodyDiv w:val="1"/>
      <w:marLeft w:val="0"/>
      <w:marRight w:val="0"/>
      <w:marTop w:val="0"/>
      <w:marBottom w:val="0"/>
      <w:divBdr>
        <w:top w:val="none" w:sz="0" w:space="0" w:color="auto"/>
        <w:left w:val="none" w:sz="0" w:space="0" w:color="auto"/>
        <w:bottom w:val="none" w:sz="0" w:space="0" w:color="auto"/>
        <w:right w:val="none" w:sz="0" w:space="0" w:color="auto"/>
      </w:divBdr>
    </w:div>
    <w:div w:id="219051039">
      <w:bodyDiv w:val="1"/>
      <w:marLeft w:val="0"/>
      <w:marRight w:val="0"/>
      <w:marTop w:val="0"/>
      <w:marBottom w:val="0"/>
      <w:divBdr>
        <w:top w:val="none" w:sz="0" w:space="0" w:color="auto"/>
        <w:left w:val="none" w:sz="0" w:space="0" w:color="auto"/>
        <w:bottom w:val="none" w:sz="0" w:space="0" w:color="auto"/>
        <w:right w:val="none" w:sz="0" w:space="0" w:color="auto"/>
      </w:divBdr>
    </w:div>
    <w:div w:id="311761016">
      <w:bodyDiv w:val="1"/>
      <w:marLeft w:val="0"/>
      <w:marRight w:val="0"/>
      <w:marTop w:val="0"/>
      <w:marBottom w:val="0"/>
      <w:divBdr>
        <w:top w:val="none" w:sz="0" w:space="0" w:color="auto"/>
        <w:left w:val="none" w:sz="0" w:space="0" w:color="auto"/>
        <w:bottom w:val="none" w:sz="0" w:space="0" w:color="auto"/>
        <w:right w:val="none" w:sz="0" w:space="0" w:color="auto"/>
      </w:divBdr>
    </w:div>
    <w:div w:id="332610430">
      <w:bodyDiv w:val="1"/>
      <w:marLeft w:val="0"/>
      <w:marRight w:val="0"/>
      <w:marTop w:val="0"/>
      <w:marBottom w:val="0"/>
      <w:divBdr>
        <w:top w:val="none" w:sz="0" w:space="0" w:color="auto"/>
        <w:left w:val="none" w:sz="0" w:space="0" w:color="auto"/>
        <w:bottom w:val="none" w:sz="0" w:space="0" w:color="auto"/>
        <w:right w:val="none" w:sz="0" w:space="0" w:color="auto"/>
      </w:divBdr>
    </w:div>
    <w:div w:id="344329415">
      <w:bodyDiv w:val="1"/>
      <w:marLeft w:val="0"/>
      <w:marRight w:val="0"/>
      <w:marTop w:val="0"/>
      <w:marBottom w:val="0"/>
      <w:divBdr>
        <w:top w:val="none" w:sz="0" w:space="0" w:color="auto"/>
        <w:left w:val="none" w:sz="0" w:space="0" w:color="auto"/>
        <w:bottom w:val="none" w:sz="0" w:space="0" w:color="auto"/>
        <w:right w:val="none" w:sz="0" w:space="0" w:color="auto"/>
      </w:divBdr>
    </w:div>
    <w:div w:id="374432528">
      <w:bodyDiv w:val="1"/>
      <w:marLeft w:val="0"/>
      <w:marRight w:val="0"/>
      <w:marTop w:val="0"/>
      <w:marBottom w:val="0"/>
      <w:divBdr>
        <w:top w:val="none" w:sz="0" w:space="0" w:color="auto"/>
        <w:left w:val="none" w:sz="0" w:space="0" w:color="auto"/>
        <w:bottom w:val="none" w:sz="0" w:space="0" w:color="auto"/>
        <w:right w:val="none" w:sz="0" w:space="0" w:color="auto"/>
      </w:divBdr>
    </w:div>
    <w:div w:id="451899768">
      <w:bodyDiv w:val="1"/>
      <w:marLeft w:val="0"/>
      <w:marRight w:val="0"/>
      <w:marTop w:val="0"/>
      <w:marBottom w:val="0"/>
      <w:divBdr>
        <w:top w:val="none" w:sz="0" w:space="0" w:color="auto"/>
        <w:left w:val="none" w:sz="0" w:space="0" w:color="auto"/>
        <w:bottom w:val="none" w:sz="0" w:space="0" w:color="auto"/>
        <w:right w:val="none" w:sz="0" w:space="0" w:color="auto"/>
      </w:divBdr>
    </w:div>
    <w:div w:id="469598014">
      <w:bodyDiv w:val="1"/>
      <w:marLeft w:val="0"/>
      <w:marRight w:val="0"/>
      <w:marTop w:val="0"/>
      <w:marBottom w:val="0"/>
      <w:divBdr>
        <w:top w:val="none" w:sz="0" w:space="0" w:color="auto"/>
        <w:left w:val="none" w:sz="0" w:space="0" w:color="auto"/>
        <w:bottom w:val="none" w:sz="0" w:space="0" w:color="auto"/>
        <w:right w:val="none" w:sz="0" w:space="0" w:color="auto"/>
      </w:divBdr>
    </w:div>
    <w:div w:id="479687554">
      <w:bodyDiv w:val="1"/>
      <w:marLeft w:val="0"/>
      <w:marRight w:val="0"/>
      <w:marTop w:val="0"/>
      <w:marBottom w:val="0"/>
      <w:divBdr>
        <w:top w:val="none" w:sz="0" w:space="0" w:color="auto"/>
        <w:left w:val="none" w:sz="0" w:space="0" w:color="auto"/>
        <w:bottom w:val="none" w:sz="0" w:space="0" w:color="auto"/>
        <w:right w:val="none" w:sz="0" w:space="0" w:color="auto"/>
      </w:divBdr>
    </w:div>
    <w:div w:id="487289237">
      <w:bodyDiv w:val="1"/>
      <w:marLeft w:val="0"/>
      <w:marRight w:val="0"/>
      <w:marTop w:val="0"/>
      <w:marBottom w:val="0"/>
      <w:divBdr>
        <w:top w:val="none" w:sz="0" w:space="0" w:color="auto"/>
        <w:left w:val="none" w:sz="0" w:space="0" w:color="auto"/>
        <w:bottom w:val="none" w:sz="0" w:space="0" w:color="auto"/>
        <w:right w:val="none" w:sz="0" w:space="0" w:color="auto"/>
      </w:divBdr>
    </w:div>
    <w:div w:id="516583873">
      <w:bodyDiv w:val="1"/>
      <w:marLeft w:val="0"/>
      <w:marRight w:val="0"/>
      <w:marTop w:val="0"/>
      <w:marBottom w:val="0"/>
      <w:divBdr>
        <w:top w:val="none" w:sz="0" w:space="0" w:color="auto"/>
        <w:left w:val="none" w:sz="0" w:space="0" w:color="auto"/>
        <w:bottom w:val="none" w:sz="0" w:space="0" w:color="auto"/>
        <w:right w:val="none" w:sz="0" w:space="0" w:color="auto"/>
      </w:divBdr>
    </w:div>
    <w:div w:id="620038857">
      <w:bodyDiv w:val="1"/>
      <w:marLeft w:val="0"/>
      <w:marRight w:val="0"/>
      <w:marTop w:val="0"/>
      <w:marBottom w:val="0"/>
      <w:divBdr>
        <w:top w:val="none" w:sz="0" w:space="0" w:color="auto"/>
        <w:left w:val="none" w:sz="0" w:space="0" w:color="auto"/>
        <w:bottom w:val="none" w:sz="0" w:space="0" w:color="auto"/>
        <w:right w:val="none" w:sz="0" w:space="0" w:color="auto"/>
      </w:divBdr>
    </w:div>
    <w:div w:id="636640354">
      <w:bodyDiv w:val="1"/>
      <w:marLeft w:val="0"/>
      <w:marRight w:val="0"/>
      <w:marTop w:val="0"/>
      <w:marBottom w:val="0"/>
      <w:divBdr>
        <w:top w:val="none" w:sz="0" w:space="0" w:color="auto"/>
        <w:left w:val="none" w:sz="0" w:space="0" w:color="auto"/>
        <w:bottom w:val="none" w:sz="0" w:space="0" w:color="auto"/>
        <w:right w:val="none" w:sz="0" w:space="0" w:color="auto"/>
      </w:divBdr>
    </w:div>
    <w:div w:id="713044040">
      <w:bodyDiv w:val="1"/>
      <w:marLeft w:val="0"/>
      <w:marRight w:val="0"/>
      <w:marTop w:val="0"/>
      <w:marBottom w:val="0"/>
      <w:divBdr>
        <w:top w:val="none" w:sz="0" w:space="0" w:color="auto"/>
        <w:left w:val="none" w:sz="0" w:space="0" w:color="auto"/>
        <w:bottom w:val="none" w:sz="0" w:space="0" w:color="auto"/>
        <w:right w:val="none" w:sz="0" w:space="0" w:color="auto"/>
      </w:divBdr>
    </w:div>
    <w:div w:id="755400315">
      <w:bodyDiv w:val="1"/>
      <w:marLeft w:val="0"/>
      <w:marRight w:val="0"/>
      <w:marTop w:val="0"/>
      <w:marBottom w:val="0"/>
      <w:divBdr>
        <w:top w:val="none" w:sz="0" w:space="0" w:color="auto"/>
        <w:left w:val="none" w:sz="0" w:space="0" w:color="auto"/>
        <w:bottom w:val="none" w:sz="0" w:space="0" w:color="auto"/>
        <w:right w:val="none" w:sz="0" w:space="0" w:color="auto"/>
      </w:divBdr>
    </w:div>
    <w:div w:id="756442381">
      <w:bodyDiv w:val="1"/>
      <w:marLeft w:val="0"/>
      <w:marRight w:val="0"/>
      <w:marTop w:val="0"/>
      <w:marBottom w:val="0"/>
      <w:divBdr>
        <w:top w:val="none" w:sz="0" w:space="0" w:color="auto"/>
        <w:left w:val="none" w:sz="0" w:space="0" w:color="auto"/>
        <w:bottom w:val="none" w:sz="0" w:space="0" w:color="auto"/>
        <w:right w:val="none" w:sz="0" w:space="0" w:color="auto"/>
      </w:divBdr>
    </w:div>
    <w:div w:id="767700541">
      <w:bodyDiv w:val="1"/>
      <w:marLeft w:val="0"/>
      <w:marRight w:val="0"/>
      <w:marTop w:val="0"/>
      <w:marBottom w:val="0"/>
      <w:divBdr>
        <w:top w:val="none" w:sz="0" w:space="0" w:color="auto"/>
        <w:left w:val="none" w:sz="0" w:space="0" w:color="auto"/>
        <w:bottom w:val="none" w:sz="0" w:space="0" w:color="auto"/>
        <w:right w:val="none" w:sz="0" w:space="0" w:color="auto"/>
      </w:divBdr>
    </w:div>
    <w:div w:id="790319683">
      <w:bodyDiv w:val="1"/>
      <w:marLeft w:val="0"/>
      <w:marRight w:val="0"/>
      <w:marTop w:val="0"/>
      <w:marBottom w:val="0"/>
      <w:divBdr>
        <w:top w:val="none" w:sz="0" w:space="0" w:color="auto"/>
        <w:left w:val="none" w:sz="0" w:space="0" w:color="auto"/>
        <w:bottom w:val="none" w:sz="0" w:space="0" w:color="auto"/>
        <w:right w:val="none" w:sz="0" w:space="0" w:color="auto"/>
      </w:divBdr>
    </w:div>
    <w:div w:id="811679652">
      <w:bodyDiv w:val="1"/>
      <w:marLeft w:val="0"/>
      <w:marRight w:val="0"/>
      <w:marTop w:val="0"/>
      <w:marBottom w:val="0"/>
      <w:divBdr>
        <w:top w:val="none" w:sz="0" w:space="0" w:color="auto"/>
        <w:left w:val="none" w:sz="0" w:space="0" w:color="auto"/>
        <w:bottom w:val="none" w:sz="0" w:space="0" w:color="auto"/>
        <w:right w:val="none" w:sz="0" w:space="0" w:color="auto"/>
      </w:divBdr>
    </w:div>
    <w:div w:id="1101072390">
      <w:bodyDiv w:val="1"/>
      <w:marLeft w:val="0"/>
      <w:marRight w:val="0"/>
      <w:marTop w:val="0"/>
      <w:marBottom w:val="0"/>
      <w:divBdr>
        <w:top w:val="none" w:sz="0" w:space="0" w:color="auto"/>
        <w:left w:val="none" w:sz="0" w:space="0" w:color="auto"/>
        <w:bottom w:val="none" w:sz="0" w:space="0" w:color="auto"/>
        <w:right w:val="none" w:sz="0" w:space="0" w:color="auto"/>
      </w:divBdr>
    </w:div>
    <w:div w:id="1110005151">
      <w:bodyDiv w:val="1"/>
      <w:marLeft w:val="0"/>
      <w:marRight w:val="0"/>
      <w:marTop w:val="0"/>
      <w:marBottom w:val="0"/>
      <w:divBdr>
        <w:top w:val="none" w:sz="0" w:space="0" w:color="auto"/>
        <w:left w:val="none" w:sz="0" w:space="0" w:color="auto"/>
        <w:bottom w:val="none" w:sz="0" w:space="0" w:color="auto"/>
        <w:right w:val="none" w:sz="0" w:space="0" w:color="auto"/>
      </w:divBdr>
    </w:div>
    <w:div w:id="1227565633">
      <w:bodyDiv w:val="1"/>
      <w:marLeft w:val="0"/>
      <w:marRight w:val="0"/>
      <w:marTop w:val="0"/>
      <w:marBottom w:val="0"/>
      <w:divBdr>
        <w:top w:val="none" w:sz="0" w:space="0" w:color="auto"/>
        <w:left w:val="none" w:sz="0" w:space="0" w:color="auto"/>
        <w:bottom w:val="none" w:sz="0" w:space="0" w:color="auto"/>
        <w:right w:val="none" w:sz="0" w:space="0" w:color="auto"/>
      </w:divBdr>
    </w:div>
    <w:div w:id="1268730173">
      <w:bodyDiv w:val="1"/>
      <w:marLeft w:val="0"/>
      <w:marRight w:val="0"/>
      <w:marTop w:val="0"/>
      <w:marBottom w:val="0"/>
      <w:divBdr>
        <w:top w:val="none" w:sz="0" w:space="0" w:color="auto"/>
        <w:left w:val="none" w:sz="0" w:space="0" w:color="auto"/>
        <w:bottom w:val="none" w:sz="0" w:space="0" w:color="auto"/>
        <w:right w:val="none" w:sz="0" w:space="0" w:color="auto"/>
      </w:divBdr>
    </w:div>
    <w:div w:id="1330020326">
      <w:bodyDiv w:val="1"/>
      <w:marLeft w:val="0"/>
      <w:marRight w:val="0"/>
      <w:marTop w:val="0"/>
      <w:marBottom w:val="0"/>
      <w:divBdr>
        <w:top w:val="none" w:sz="0" w:space="0" w:color="auto"/>
        <w:left w:val="none" w:sz="0" w:space="0" w:color="auto"/>
        <w:bottom w:val="none" w:sz="0" w:space="0" w:color="auto"/>
        <w:right w:val="none" w:sz="0" w:space="0" w:color="auto"/>
      </w:divBdr>
    </w:div>
    <w:div w:id="1519274145">
      <w:bodyDiv w:val="1"/>
      <w:marLeft w:val="0"/>
      <w:marRight w:val="0"/>
      <w:marTop w:val="0"/>
      <w:marBottom w:val="0"/>
      <w:divBdr>
        <w:top w:val="none" w:sz="0" w:space="0" w:color="auto"/>
        <w:left w:val="none" w:sz="0" w:space="0" w:color="auto"/>
        <w:bottom w:val="none" w:sz="0" w:space="0" w:color="auto"/>
        <w:right w:val="none" w:sz="0" w:space="0" w:color="auto"/>
      </w:divBdr>
    </w:div>
    <w:div w:id="1555309891">
      <w:bodyDiv w:val="1"/>
      <w:marLeft w:val="0"/>
      <w:marRight w:val="0"/>
      <w:marTop w:val="0"/>
      <w:marBottom w:val="0"/>
      <w:divBdr>
        <w:top w:val="none" w:sz="0" w:space="0" w:color="auto"/>
        <w:left w:val="none" w:sz="0" w:space="0" w:color="auto"/>
        <w:bottom w:val="none" w:sz="0" w:space="0" w:color="auto"/>
        <w:right w:val="none" w:sz="0" w:space="0" w:color="auto"/>
      </w:divBdr>
    </w:div>
    <w:div w:id="1577401088">
      <w:bodyDiv w:val="1"/>
      <w:marLeft w:val="0"/>
      <w:marRight w:val="0"/>
      <w:marTop w:val="0"/>
      <w:marBottom w:val="0"/>
      <w:divBdr>
        <w:top w:val="none" w:sz="0" w:space="0" w:color="auto"/>
        <w:left w:val="none" w:sz="0" w:space="0" w:color="auto"/>
        <w:bottom w:val="none" w:sz="0" w:space="0" w:color="auto"/>
        <w:right w:val="none" w:sz="0" w:space="0" w:color="auto"/>
      </w:divBdr>
    </w:div>
    <w:div w:id="1622953344">
      <w:bodyDiv w:val="1"/>
      <w:marLeft w:val="0"/>
      <w:marRight w:val="0"/>
      <w:marTop w:val="0"/>
      <w:marBottom w:val="0"/>
      <w:divBdr>
        <w:top w:val="none" w:sz="0" w:space="0" w:color="auto"/>
        <w:left w:val="none" w:sz="0" w:space="0" w:color="auto"/>
        <w:bottom w:val="none" w:sz="0" w:space="0" w:color="auto"/>
        <w:right w:val="none" w:sz="0" w:space="0" w:color="auto"/>
      </w:divBdr>
    </w:div>
    <w:div w:id="1625119766">
      <w:bodyDiv w:val="1"/>
      <w:marLeft w:val="0"/>
      <w:marRight w:val="0"/>
      <w:marTop w:val="0"/>
      <w:marBottom w:val="0"/>
      <w:divBdr>
        <w:top w:val="none" w:sz="0" w:space="0" w:color="auto"/>
        <w:left w:val="none" w:sz="0" w:space="0" w:color="auto"/>
        <w:bottom w:val="none" w:sz="0" w:space="0" w:color="auto"/>
        <w:right w:val="none" w:sz="0" w:space="0" w:color="auto"/>
      </w:divBdr>
    </w:div>
    <w:div w:id="1643609725">
      <w:bodyDiv w:val="1"/>
      <w:marLeft w:val="0"/>
      <w:marRight w:val="0"/>
      <w:marTop w:val="0"/>
      <w:marBottom w:val="0"/>
      <w:divBdr>
        <w:top w:val="none" w:sz="0" w:space="0" w:color="auto"/>
        <w:left w:val="none" w:sz="0" w:space="0" w:color="auto"/>
        <w:bottom w:val="none" w:sz="0" w:space="0" w:color="auto"/>
        <w:right w:val="none" w:sz="0" w:space="0" w:color="auto"/>
      </w:divBdr>
    </w:div>
    <w:div w:id="1666591480">
      <w:bodyDiv w:val="1"/>
      <w:marLeft w:val="0"/>
      <w:marRight w:val="0"/>
      <w:marTop w:val="0"/>
      <w:marBottom w:val="0"/>
      <w:divBdr>
        <w:top w:val="none" w:sz="0" w:space="0" w:color="auto"/>
        <w:left w:val="none" w:sz="0" w:space="0" w:color="auto"/>
        <w:bottom w:val="none" w:sz="0" w:space="0" w:color="auto"/>
        <w:right w:val="none" w:sz="0" w:space="0" w:color="auto"/>
      </w:divBdr>
    </w:div>
    <w:div w:id="1712726348">
      <w:bodyDiv w:val="1"/>
      <w:marLeft w:val="0"/>
      <w:marRight w:val="0"/>
      <w:marTop w:val="0"/>
      <w:marBottom w:val="0"/>
      <w:divBdr>
        <w:top w:val="none" w:sz="0" w:space="0" w:color="auto"/>
        <w:left w:val="none" w:sz="0" w:space="0" w:color="auto"/>
        <w:bottom w:val="none" w:sz="0" w:space="0" w:color="auto"/>
        <w:right w:val="none" w:sz="0" w:space="0" w:color="auto"/>
      </w:divBdr>
    </w:div>
    <w:div w:id="1724258003">
      <w:bodyDiv w:val="1"/>
      <w:marLeft w:val="0"/>
      <w:marRight w:val="0"/>
      <w:marTop w:val="0"/>
      <w:marBottom w:val="0"/>
      <w:divBdr>
        <w:top w:val="none" w:sz="0" w:space="0" w:color="auto"/>
        <w:left w:val="none" w:sz="0" w:space="0" w:color="auto"/>
        <w:bottom w:val="none" w:sz="0" w:space="0" w:color="auto"/>
        <w:right w:val="none" w:sz="0" w:space="0" w:color="auto"/>
      </w:divBdr>
    </w:div>
    <w:div w:id="1759987049">
      <w:bodyDiv w:val="1"/>
      <w:marLeft w:val="0"/>
      <w:marRight w:val="0"/>
      <w:marTop w:val="0"/>
      <w:marBottom w:val="0"/>
      <w:divBdr>
        <w:top w:val="none" w:sz="0" w:space="0" w:color="auto"/>
        <w:left w:val="none" w:sz="0" w:space="0" w:color="auto"/>
        <w:bottom w:val="none" w:sz="0" w:space="0" w:color="auto"/>
        <w:right w:val="none" w:sz="0" w:space="0" w:color="auto"/>
      </w:divBdr>
    </w:div>
    <w:div w:id="1764570856">
      <w:bodyDiv w:val="1"/>
      <w:marLeft w:val="0"/>
      <w:marRight w:val="0"/>
      <w:marTop w:val="0"/>
      <w:marBottom w:val="0"/>
      <w:divBdr>
        <w:top w:val="none" w:sz="0" w:space="0" w:color="auto"/>
        <w:left w:val="none" w:sz="0" w:space="0" w:color="auto"/>
        <w:bottom w:val="none" w:sz="0" w:space="0" w:color="auto"/>
        <w:right w:val="none" w:sz="0" w:space="0" w:color="auto"/>
      </w:divBdr>
    </w:div>
    <w:div w:id="1798260506">
      <w:bodyDiv w:val="1"/>
      <w:marLeft w:val="0"/>
      <w:marRight w:val="0"/>
      <w:marTop w:val="0"/>
      <w:marBottom w:val="0"/>
      <w:divBdr>
        <w:top w:val="none" w:sz="0" w:space="0" w:color="auto"/>
        <w:left w:val="none" w:sz="0" w:space="0" w:color="auto"/>
        <w:bottom w:val="none" w:sz="0" w:space="0" w:color="auto"/>
        <w:right w:val="none" w:sz="0" w:space="0" w:color="auto"/>
      </w:divBdr>
    </w:div>
    <w:div w:id="1803422161">
      <w:bodyDiv w:val="1"/>
      <w:marLeft w:val="0"/>
      <w:marRight w:val="0"/>
      <w:marTop w:val="0"/>
      <w:marBottom w:val="0"/>
      <w:divBdr>
        <w:top w:val="none" w:sz="0" w:space="0" w:color="auto"/>
        <w:left w:val="none" w:sz="0" w:space="0" w:color="auto"/>
        <w:bottom w:val="none" w:sz="0" w:space="0" w:color="auto"/>
        <w:right w:val="none" w:sz="0" w:space="0" w:color="auto"/>
      </w:divBdr>
    </w:div>
    <w:div w:id="1865556329">
      <w:bodyDiv w:val="1"/>
      <w:marLeft w:val="0"/>
      <w:marRight w:val="0"/>
      <w:marTop w:val="0"/>
      <w:marBottom w:val="0"/>
      <w:divBdr>
        <w:top w:val="none" w:sz="0" w:space="0" w:color="auto"/>
        <w:left w:val="none" w:sz="0" w:space="0" w:color="auto"/>
        <w:bottom w:val="none" w:sz="0" w:space="0" w:color="auto"/>
        <w:right w:val="none" w:sz="0" w:space="0" w:color="auto"/>
      </w:divBdr>
    </w:div>
    <w:div w:id="1911422999">
      <w:bodyDiv w:val="1"/>
      <w:marLeft w:val="0"/>
      <w:marRight w:val="0"/>
      <w:marTop w:val="0"/>
      <w:marBottom w:val="0"/>
      <w:divBdr>
        <w:top w:val="none" w:sz="0" w:space="0" w:color="auto"/>
        <w:left w:val="none" w:sz="0" w:space="0" w:color="auto"/>
        <w:bottom w:val="none" w:sz="0" w:space="0" w:color="auto"/>
        <w:right w:val="none" w:sz="0" w:space="0" w:color="auto"/>
      </w:divBdr>
    </w:div>
    <w:div w:id="1948657024">
      <w:bodyDiv w:val="1"/>
      <w:marLeft w:val="0"/>
      <w:marRight w:val="0"/>
      <w:marTop w:val="0"/>
      <w:marBottom w:val="0"/>
      <w:divBdr>
        <w:top w:val="none" w:sz="0" w:space="0" w:color="auto"/>
        <w:left w:val="none" w:sz="0" w:space="0" w:color="auto"/>
        <w:bottom w:val="none" w:sz="0" w:space="0" w:color="auto"/>
        <w:right w:val="none" w:sz="0" w:space="0" w:color="auto"/>
      </w:divBdr>
    </w:div>
    <w:div w:id="2026322652">
      <w:bodyDiv w:val="1"/>
      <w:marLeft w:val="0"/>
      <w:marRight w:val="0"/>
      <w:marTop w:val="0"/>
      <w:marBottom w:val="0"/>
      <w:divBdr>
        <w:top w:val="none" w:sz="0" w:space="0" w:color="auto"/>
        <w:left w:val="none" w:sz="0" w:space="0" w:color="auto"/>
        <w:bottom w:val="none" w:sz="0" w:space="0" w:color="auto"/>
        <w:right w:val="none" w:sz="0" w:space="0" w:color="auto"/>
      </w:divBdr>
    </w:div>
    <w:div w:id="2030794219">
      <w:bodyDiv w:val="1"/>
      <w:marLeft w:val="0"/>
      <w:marRight w:val="0"/>
      <w:marTop w:val="0"/>
      <w:marBottom w:val="0"/>
      <w:divBdr>
        <w:top w:val="none" w:sz="0" w:space="0" w:color="auto"/>
        <w:left w:val="none" w:sz="0" w:space="0" w:color="auto"/>
        <w:bottom w:val="none" w:sz="0" w:space="0" w:color="auto"/>
        <w:right w:val="none" w:sz="0" w:space="0" w:color="auto"/>
      </w:divBdr>
    </w:div>
    <w:div w:id="2092893227">
      <w:bodyDiv w:val="1"/>
      <w:marLeft w:val="0"/>
      <w:marRight w:val="0"/>
      <w:marTop w:val="0"/>
      <w:marBottom w:val="0"/>
      <w:divBdr>
        <w:top w:val="none" w:sz="0" w:space="0" w:color="auto"/>
        <w:left w:val="none" w:sz="0" w:space="0" w:color="auto"/>
        <w:bottom w:val="none" w:sz="0" w:space="0" w:color="auto"/>
        <w:right w:val="none" w:sz="0" w:space="0" w:color="auto"/>
      </w:divBdr>
    </w:div>
    <w:div w:id="21150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bs.icar.org.in/ejournal/index.php/SR/article/view/162544?utm_source=chatgp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springer.com/gp/book/97835407323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publications/i/item/9789241506096" TargetMode="External"/><Relationship Id="rId11" Type="http://schemas.openxmlformats.org/officeDocument/2006/relationships/hyperlink" Target="https://www.frontiersin.org/journals/chemistry/articles/10.3389/fchem.2022.994724/full?utm_source=chatgpt.com" TargetMode="External"/><Relationship Id="rId5" Type="http://schemas.openxmlformats.org/officeDocument/2006/relationships/webSettings" Target="webSettings.xml"/><Relationship Id="rId10" Type="http://schemas.openxmlformats.org/officeDocument/2006/relationships/hyperlink" Target="https://www.researchgate.net/publication/341661224_Green_Manuring_and_Its_Role_in_Soil_Health_Management?utm_source=chatgpt.com" TargetMode="External"/><Relationship Id="rId4" Type="http://schemas.openxmlformats.org/officeDocument/2006/relationships/settings" Target="settings.xml"/><Relationship Id="rId9" Type="http://schemas.openxmlformats.org/officeDocument/2006/relationships/hyperlink" Target="https://en.wikipedia.org/wiki/Crotalari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19</Pages>
  <Words>6726</Words>
  <Characters>38342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vrushabh patil</dc:creator>
  <cp:keywords/>
  <dc:description/>
  <cp:lastModifiedBy>SDI 1055</cp:lastModifiedBy>
  <cp:revision>13</cp:revision>
  <dcterms:created xsi:type="dcterms:W3CDTF">2025-07-26T17:59:00Z</dcterms:created>
  <dcterms:modified xsi:type="dcterms:W3CDTF">2025-08-01T06:20:00Z</dcterms:modified>
</cp:coreProperties>
</file>