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E0D" w:rsidRDefault="00BC3178">
      <w:pPr>
        <w:jc w:val="center"/>
        <w:rPr>
          <w:rFonts w:ascii="Times New Roman" w:hAnsi="Times New Roman" w:cs="Times New Roman"/>
          <w:b/>
          <w:bCs/>
          <w:sz w:val="32"/>
          <w:szCs w:val="32"/>
          <w:highlight w:val="yellow"/>
        </w:rPr>
      </w:pPr>
      <w:r>
        <w:rPr>
          <w:rFonts w:ascii="Times New Roman" w:hAnsi="Times New Roman" w:cs="Times New Roman"/>
          <w:b/>
          <w:bCs/>
          <w:sz w:val="32"/>
          <w:szCs w:val="32"/>
          <w:highlight w:val="yellow"/>
        </w:rPr>
        <w:t>Access to Health Care and Social Services for Vulnerable Populations Using Community Development Warehouse: An Analysis</w:t>
      </w:r>
    </w:p>
    <w:p w:rsidR="001F7E0D" w:rsidRDefault="00BC3178">
      <w:pPr>
        <w:jc w:val="center"/>
        <w:rPr>
          <w:rFonts w:ascii="Times New Roman" w:hAnsi="Times New Roman" w:cs="Times New Roman"/>
        </w:rPr>
      </w:pPr>
      <w:r>
        <w:rPr>
          <w:rFonts w:ascii="Times New Roman" w:hAnsi="Times New Roman" w:cs="Times New Roman"/>
        </w:rPr>
        <w:br/>
      </w:r>
    </w:p>
    <w:p w:rsidR="001F7E0D" w:rsidRDefault="001F7E0D">
      <w:pPr>
        <w:jc w:val="center"/>
        <w:rPr>
          <w:rFonts w:ascii="Times New Roman" w:hAnsi="Times New Roman" w:cs="Times New Roman"/>
        </w:rPr>
      </w:pPr>
    </w:p>
    <w:p w:rsidR="001F7E0D" w:rsidRDefault="00BC3178">
      <w:pPr>
        <w:jc w:val="both"/>
        <w:rPr>
          <w:rFonts w:ascii="Times New Roman" w:hAnsi="Times New Roman" w:cs="Times New Roman"/>
          <w:b/>
          <w:bCs/>
        </w:rPr>
      </w:pPr>
      <w:r>
        <w:rPr>
          <w:rFonts w:ascii="Times New Roman" w:hAnsi="Times New Roman" w:cs="Times New Roman"/>
          <w:b/>
          <w:bCs/>
        </w:rPr>
        <w:t>ABSTRACT</w:t>
      </w:r>
      <w:r>
        <w:rPr>
          <w:rFonts w:ascii="Times New Roman" w:hAnsi="Times New Roman" w:cs="Times New Roman"/>
        </w:rPr>
        <w:t xml:space="preserve"> </w:t>
      </w:r>
    </w:p>
    <w:p w:rsidR="001F7E0D" w:rsidRDefault="00BC3178">
      <w:pPr>
        <w:jc w:val="both"/>
        <w:rPr>
          <w:rFonts w:ascii="Times New Roman" w:hAnsi="Times New Roman" w:cs="Times New Roman"/>
          <w:b/>
          <w:bCs/>
        </w:rPr>
      </w:pPr>
      <w:r>
        <w:rPr>
          <w:rFonts w:ascii="Times New Roman" w:hAnsi="Times New Roman" w:cs="Times New Roman"/>
          <w:b/>
          <w:bCs/>
        </w:rPr>
        <w:t xml:space="preserve">Background  </w:t>
      </w:r>
    </w:p>
    <w:p w:rsidR="001F7E0D" w:rsidRDefault="00BC3178">
      <w:pPr>
        <w:jc w:val="both"/>
        <w:rPr>
          <w:rFonts w:ascii="Times New Roman" w:hAnsi="Times New Roman" w:cs="Times New Roman"/>
        </w:rPr>
      </w:pPr>
      <w:r>
        <w:rPr>
          <w:rFonts w:ascii="Times New Roman" w:hAnsi="Times New Roman" w:cs="Times New Roman"/>
        </w:rPr>
        <w:t xml:space="preserve">Access to healthcare and social services remains constrained for vulnerable populations due to systemic barriers rooted in social determinants of health (SDOH). Addressing these challenges requires innovative approaches that leverage health informatics to </w:t>
      </w:r>
      <w:r>
        <w:rPr>
          <w:rFonts w:ascii="Times New Roman" w:hAnsi="Times New Roman" w:cs="Times New Roman"/>
        </w:rPr>
        <w:t xml:space="preserve">transform data into actionable insights. This project collaborated with the Randolph County Caring Community Partnership (RCCCP) to explore how open-source platforms like DHIS2 could enhance SDOH data utilisation for equitable resource allocation.  </w:t>
      </w:r>
    </w:p>
    <w:p w:rsidR="001F7E0D" w:rsidRDefault="00BC3178">
      <w:pPr>
        <w:jc w:val="both"/>
        <w:rPr>
          <w:rFonts w:ascii="Times New Roman" w:hAnsi="Times New Roman" w:cs="Times New Roman"/>
        </w:rPr>
      </w:pPr>
      <w:r>
        <w:rPr>
          <w:rFonts w:ascii="Times New Roman" w:hAnsi="Times New Roman" w:cs="Times New Roman"/>
          <w:b/>
          <w:bCs/>
        </w:rPr>
        <w:t>Method</w:t>
      </w:r>
      <w:r>
        <w:rPr>
          <w:rFonts w:ascii="Times New Roman" w:hAnsi="Times New Roman" w:cs="Times New Roman"/>
          <w:b/>
          <w:bCs/>
        </w:rPr>
        <w:t>s</w:t>
      </w:r>
      <w:r>
        <w:rPr>
          <w:rFonts w:ascii="Times New Roman" w:hAnsi="Times New Roman" w:cs="Times New Roman"/>
        </w:rPr>
        <w:t xml:space="preserve">  </w:t>
      </w:r>
    </w:p>
    <w:p w:rsidR="001F7E0D" w:rsidRDefault="00BC3178">
      <w:pPr>
        <w:jc w:val="both"/>
        <w:rPr>
          <w:rFonts w:ascii="Times New Roman" w:hAnsi="Times New Roman" w:cs="Times New Roman"/>
        </w:rPr>
      </w:pPr>
      <w:r>
        <w:rPr>
          <w:rFonts w:ascii="Times New Roman" w:hAnsi="Times New Roman" w:cs="Times New Roman"/>
        </w:rPr>
        <w:t xml:space="preserve">The study integrated Self-Sufficiency Survey data into DHIS2, employing Docker for system configuration and PostgreSQL for database management. Data preprocessing involved Excel and R for cleaning and label encoding. The Support Need Index categorised </w:t>
      </w:r>
      <w:r>
        <w:rPr>
          <w:rFonts w:ascii="Times New Roman" w:hAnsi="Times New Roman" w:cs="Times New Roman"/>
        </w:rPr>
        <w:t>respondents into high, moderate, and low-need groups. Power BI generated visualisations, including pie charts and stacked column graphs, to identify disparities across demographics and geographies. Weekly stakeholder meetings ensured alignment between tech</w:t>
      </w:r>
      <w:r>
        <w:rPr>
          <w:rFonts w:ascii="Times New Roman" w:hAnsi="Times New Roman" w:cs="Times New Roman"/>
        </w:rPr>
        <w:t xml:space="preserve">nical outputs and community health objectives.  </w:t>
      </w:r>
    </w:p>
    <w:p w:rsidR="001F7E0D" w:rsidRDefault="00BC3178">
      <w:pPr>
        <w:jc w:val="both"/>
        <w:rPr>
          <w:rFonts w:ascii="Times New Roman" w:hAnsi="Times New Roman" w:cs="Times New Roman"/>
          <w:b/>
          <w:bCs/>
        </w:rPr>
      </w:pPr>
      <w:r>
        <w:rPr>
          <w:rFonts w:ascii="Times New Roman" w:hAnsi="Times New Roman" w:cs="Times New Roman"/>
          <w:b/>
          <w:bCs/>
        </w:rPr>
        <w:t xml:space="preserve">Results  </w:t>
      </w:r>
    </w:p>
    <w:p w:rsidR="001F7E0D" w:rsidRDefault="00BC3178">
      <w:pPr>
        <w:jc w:val="both"/>
        <w:rPr>
          <w:rFonts w:ascii="Times New Roman" w:hAnsi="Times New Roman" w:cs="Times New Roman"/>
        </w:rPr>
      </w:pPr>
      <w:r>
        <w:rPr>
          <w:rFonts w:ascii="Times New Roman" w:hAnsi="Times New Roman" w:cs="Times New Roman"/>
        </w:rPr>
        <w:t xml:space="preserve">Analysis revealed 81.16% of respondents faced high needs, with Randolph County disproportionately affected. Ethnic disparities emerged, particularly among Mexican and Central American populations. </w:t>
      </w:r>
      <w:r>
        <w:rPr>
          <w:rFonts w:ascii="Times New Roman" w:hAnsi="Times New Roman" w:cs="Times New Roman"/>
        </w:rPr>
        <w:t xml:space="preserve">Dashboards effectively mapped needs distribution, enabling targeted intervention planning. Technical hurdles in DHIS2 visualisation necessitated supplemental Power BI solutions, underscoring the importance of flexible tool integration.  </w:t>
      </w:r>
    </w:p>
    <w:p w:rsidR="001F7E0D" w:rsidRDefault="00BC3178">
      <w:pPr>
        <w:jc w:val="both"/>
        <w:rPr>
          <w:rFonts w:ascii="Times New Roman" w:hAnsi="Times New Roman" w:cs="Times New Roman"/>
          <w:b/>
          <w:bCs/>
        </w:rPr>
      </w:pPr>
      <w:r>
        <w:rPr>
          <w:rFonts w:ascii="Times New Roman" w:hAnsi="Times New Roman" w:cs="Times New Roman"/>
          <w:b/>
          <w:bCs/>
        </w:rPr>
        <w:t xml:space="preserve">Conclusion  </w:t>
      </w:r>
    </w:p>
    <w:p w:rsidR="001F7E0D" w:rsidRDefault="00BC3178">
      <w:pPr>
        <w:jc w:val="both"/>
        <w:rPr>
          <w:rFonts w:ascii="Times New Roman" w:hAnsi="Times New Roman" w:cs="Times New Roman"/>
        </w:rPr>
      </w:pPr>
      <w:r>
        <w:rPr>
          <w:rFonts w:ascii="Times New Roman" w:hAnsi="Times New Roman" w:cs="Times New Roman"/>
        </w:rPr>
        <w:t>The p</w:t>
      </w:r>
      <w:r>
        <w:rPr>
          <w:rFonts w:ascii="Times New Roman" w:hAnsi="Times New Roman" w:cs="Times New Roman"/>
        </w:rPr>
        <w:t xml:space="preserve">roject demonstrates how informatics tools can bridge gaps between SDOH data and community health interventions. Future implementations should prioritise scalable, adaptable frameworks while addressing technical and ethical challenges. This approach offers </w:t>
      </w:r>
      <w:r>
        <w:rPr>
          <w:rFonts w:ascii="Times New Roman" w:hAnsi="Times New Roman" w:cs="Times New Roman"/>
        </w:rPr>
        <w:t xml:space="preserve">a replicable model for data-driven health equity initiatives.  </w:t>
      </w:r>
    </w:p>
    <w:p w:rsidR="001F7E0D" w:rsidRDefault="00BC3178">
      <w:pPr>
        <w:jc w:val="center"/>
        <w:rPr>
          <w:rFonts w:ascii="Times New Roman" w:hAnsi="Times New Roman" w:cs="Times New Roman"/>
          <w:i/>
          <w:iCs/>
        </w:rPr>
      </w:pPr>
      <w:r>
        <w:rPr>
          <w:rFonts w:ascii="Times New Roman" w:hAnsi="Times New Roman" w:cs="Times New Roman"/>
          <w:i/>
          <w:iCs/>
        </w:rPr>
        <w:lastRenderedPageBreak/>
        <w:t>Keywords: Health informatics, Social determinants of health, DHIS2, Data visualisation, Community health, Resource allocation, Health equity</w:t>
      </w:r>
    </w:p>
    <w:p w:rsidR="001F7E0D" w:rsidRDefault="001F7E0D">
      <w:pPr>
        <w:jc w:val="both"/>
        <w:rPr>
          <w:rFonts w:ascii="Times New Roman" w:hAnsi="Times New Roman" w:cs="Times New Roman"/>
          <w:b/>
          <w:bCs/>
        </w:rPr>
      </w:pPr>
    </w:p>
    <w:p w:rsidR="001F7E0D" w:rsidRDefault="00BC3178">
      <w:pPr>
        <w:spacing w:line="360" w:lineRule="auto"/>
        <w:jc w:val="both"/>
        <w:rPr>
          <w:rFonts w:ascii="Times New Roman" w:hAnsi="Times New Roman" w:cs="Times New Roman"/>
          <w:b/>
          <w:bCs/>
        </w:rPr>
      </w:pPr>
      <w:r>
        <w:rPr>
          <w:rFonts w:ascii="Times New Roman" w:hAnsi="Times New Roman" w:cs="Times New Roman"/>
          <w:b/>
          <w:bCs/>
        </w:rPr>
        <w:t>INTRODUCTION</w:t>
      </w:r>
    </w:p>
    <w:p w:rsidR="001F7E0D" w:rsidRDefault="00BC3178">
      <w:pPr>
        <w:spacing w:line="360" w:lineRule="auto"/>
        <w:jc w:val="both"/>
        <w:rPr>
          <w:rFonts w:ascii="Times New Roman" w:hAnsi="Times New Roman" w:cs="Times New Roman"/>
        </w:rPr>
      </w:pPr>
      <w:r>
        <w:rPr>
          <w:rFonts w:ascii="Times New Roman" w:hAnsi="Times New Roman" w:cs="Times New Roman"/>
        </w:rPr>
        <w:t>Access to healthcare and social servi</w:t>
      </w:r>
      <w:r>
        <w:rPr>
          <w:rFonts w:ascii="Times New Roman" w:hAnsi="Times New Roman" w:cs="Times New Roman"/>
        </w:rPr>
        <w:t xml:space="preserve">ces remains a persistent challenge, particularly for underserved populations disproportionately affected by social determinants of health (SDOH) such as food insecurity, housing instability, and unemployment (Kreuter </w:t>
      </w:r>
      <w:r>
        <w:rPr>
          <w:rFonts w:ascii="Times New Roman" w:hAnsi="Times New Roman" w:cs="Times New Roman"/>
          <w:i/>
          <w:iCs/>
        </w:rPr>
        <w:t>et al.</w:t>
      </w:r>
      <w:r>
        <w:rPr>
          <w:rFonts w:ascii="Times New Roman" w:hAnsi="Times New Roman" w:cs="Times New Roman"/>
        </w:rPr>
        <w:t xml:space="preserve"> 2021; Gurewich, Garg, Kressin, 2</w:t>
      </w:r>
      <w:r>
        <w:rPr>
          <w:rFonts w:ascii="Times New Roman" w:hAnsi="Times New Roman" w:cs="Times New Roman"/>
        </w:rPr>
        <w:t xml:space="preserve">020; and Fichtenberg, Alley , Mistry, 2019). </w:t>
      </w:r>
      <w:r>
        <w:rPr>
          <w:rFonts w:ascii="Times New Roman" w:hAnsi="Times New Roman" w:cs="Times New Roman"/>
          <w:highlight w:val="yellow"/>
        </w:rPr>
        <w:t>SDOH refer to the non-medical factors that influence health outcomes, encompassing economic stability, education access, healthcare quality, neighborhood environment, and social support systems (</w:t>
      </w:r>
      <w:r>
        <w:rPr>
          <w:rFonts w:ascii="Times New Roman" w:hAnsi="Times New Roman" w:cs="Times New Roman"/>
          <w:highlight w:val="yellow"/>
        </w:rPr>
        <w:t xml:space="preserve">Craig </w:t>
      </w:r>
      <w:r>
        <w:rPr>
          <w:rFonts w:ascii="Times New Roman" w:hAnsi="Times New Roman" w:cs="Times New Roman"/>
          <w:i/>
          <w:iCs/>
          <w:highlight w:val="yellow"/>
        </w:rPr>
        <w:t>et al.,</w:t>
      </w:r>
      <w:r>
        <w:rPr>
          <w:rFonts w:ascii="Times New Roman" w:hAnsi="Times New Roman" w:cs="Times New Roman"/>
          <w:highlight w:val="yellow"/>
        </w:rPr>
        <w:t xml:space="preserve"> 20</w:t>
      </w:r>
      <w:r>
        <w:rPr>
          <w:rFonts w:ascii="Times New Roman" w:hAnsi="Times New Roman" w:cs="Times New Roman"/>
          <w:highlight w:val="yellow"/>
        </w:rPr>
        <w:t>21</w:t>
      </w:r>
      <w:r>
        <w:rPr>
          <w:rFonts w:ascii="Times New Roman" w:hAnsi="Times New Roman" w:cs="Times New Roman"/>
          <w:highlight w:val="yellow"/>
        </w:rPr>
        <w:t>). In this study, we focus specifically on SDOH barrier</w:t>
      </w:r>
      <w:r w:rsidR="005B3150">
        <w:rPr>
          <w:rFonts w:ascii="Times New Roman" w:hAnsi="Times New Roman" w:cs="Times New Roman"/>
          <w:highlight w:val="yellow"/>
        </w:rPr>
        <w:t>s identified in Randolph County’</w:t>
      </w:r>
      <w:r>
        <w:rPr>
          <w:rFonts w:ascii="Times New Roman" w:hAnsi="Times New Roman" w:cs="Times New Roman"/>
          <w:highlight w:val="yellow"/>
        </w:rPr>
        <w:t xml:space="preserve">s vulnerable populations. </w:t>
      </w:r>
      <w:r>
        <w:rPr>
          <w:rFonts w:ascii="Times New Roman" w:hAnsi="Times New Roman" w:cs="Times New Roman"/>
          <w:highlight w:val="yellow"/>
        </w:rPr>
        <w:t>These barriers compound health disparities, necessitating innovative solutions that integrate technology and data-driven methodologies to imp</w:t>
      </w:r>
      <w:r>
        <w:rPr>
          <w:rFonts w:ascii="Times New Roman" w:hAnsi="Times New Roman" w:cs="Times New Roman"/>
          <w:highlight w:val="yellow"/>
        </w:rPr>
        <w:t>rove service delivery (Luke &amp; Vasan, 2023).</w:t>
      </w:r>
      <w:r>
        <w:rPr>
          <w:rFonts w:ascii="Times New Roman" w:hAnsi="Times New Roman" w:cs="Times New Roman"/>
        </w:rPr>
        <w:t xml:space="preserve"> The transformative potential of health informatics lies in its capacity to bridge gaps between community needs and resource allocation, ensuring interventions are both targeted and equitable.</w:t>
      </w:r>
    </w:p>
    <w:p w:rsidR="001F7E0D" w:rsidRDefault="00BC3178">
      <w:pPr>
        <w:spacing w:line="360" w:lineRule="auto"/>
        <w:jc w:val="both"/>
        <w:rPr>
          <w:rFonts w:ascii="Times New Roman" w:hAnsi="Times New Roman" w:cs="Times New Roman"/>
        </w:rPr>
      </w:pPr>
      <w:r>
        <w:rPr>
          <w:rFonts w:ascii="Times New Roman" w:hAnsi="Times New Roman" w:cs="Times New Roman"/>
        </w:rPr>
        <w:t>This capstone projec</w:t>
      </w:r>
      <w:r>
        <w:rPr>
          <w:rFonts w:ascii="Times New Roman" w:hAnsi="Times New Roman" w:cs="Times New Roman"/>
        </w:rPr>
        <w:t>t investigates the practical application of the District Health Information Software 2 (DHIS2), a widely utilised open-source health informatics platform, to systematically address Social Determinants of Health (SDOH) through robust data integration and ad</w:t>
      </w:r>
      <w:r>
        <w:rPr>
          <w:rFonts w:ascii="Times New Roman" w:hAnsi="Times New Roman" w:cs="Times New Roman"/>
        </w:rPr>
        <w:t>vanced visualisation techniques.</w:t>
      </w:r>
      <w:r>
        <w:rPr>
          <w:rFonts w:ascii="Times New Roman" w:hAnsi="Times New Roman" w:cs="Times New Roman"/>
        </w:rPr>
        <w:t xml:space="preserve"> DHIS2 is an open-source platform developed by the Health Information Systems Programme (HISP) at the University of Oslo, with WHO-endorsed implementations across 70+ countries. Its modular architecture supports health data </w:t>
      </w:r>
      <w:r>
        <w:rPr>
          <w:rFonts w:ascii="Times New Roman" w:hAnsi="Times New Roman" w:cs="Times New Roman"/>
        </w:rPr>
        <w:t>aggregation, analysis, and visualization, particularly in resource-constrained settings (Braa et al., 2017).</w:t>
      </w:r>
    </w:p>
    <w:p w:rsidR="001F7E0D" w:rsidRDefault="00BC3178">
      <w:pPr>
        <w:spacing w:line="360" w:lineRule="auto"/>
        <w:jc w:val="both"/>
        <w:rPr>
          <w:rFonts w:ascii="Times New Roman" w:hAnsi="Times New Roman" w:cs="Times New Roman"/>
        </w:rPr>
      </w:pPr>
      <w:r>
        <w:rPr>
          <w:rFonts w:ascii="Times New Roman" w:hAnsi="Times New Roman" w:cs="Times New Roman"/>
        </w:rPr>
        <w:t xml:space="preserve"> Undertaken in partnership with the Randolph County Caring Community Partnership (RCCCP), a key local stakeholder, the project involved the comprehensive digitisation and subsequent analysis of SDOH data derived from a community-based Self-Sufficiency Surv</w:t>
      </w:r>
      <w:r>
        <w:rPr>
          <w:rFonts w:ascii="Times New Roman" w:hAnsi="Times New Roman" w:cs="Times New Roman"/>
        </w:rPr>
        <w:t>ey.</w:t>
      </w:r>
      <w:r>
        <w:rPr>
          <w:rFonts w:ascii="Times New Roman" w:hAnsi="Times New Roman" w:cs="Times New Roman"/>
          <w:highlight w:val="yellow"/>
        </w:rPr>
        <w:t xml:space="preserve"> </w:t>
      </w:r>
      <w:r>
        <w:rPr>
          <w:rFonts w:ascii="Times New Roman" w:hAnsi="Times New Roman" w:cs="Times New Roman"/>
          <w:highlight w:val="yellow"/>
        </w:rPr>
        <w:t>RCCCP is a community-based organization focused on health equity initiatives in Randolph County, distinct from the economic metric of Ratio of Comprehensive Cost to Comprehensive Profit. As our primary community partner, RCCCP facilitated survey distri</w:t>
      </w:r>
      <w:r>
        <w:rPr>
          <w:rFonts w:ascii="Times New Roman" w:hAnsi="Times New Roman" w:cs="Times New Roman"/>
          <w:highlight w:val="yellow"/>
        </w:rPr>
        <w:t>bution and provided contextual insights for intervention planning</w:t>
      </w:r>
      <w:r>
        <w:rPr>
          <w:rFonts w:ascii="Times New Roman" w:hAnsi="Times New Roman" w:cs="Times New Roman"/>
        </w:rPr>
        <w:t xml:space="preserve">. </w:t>
      </w:r>
      <w:r>
        <w:rPr>
          <w:rFonts w:ascii="Times New Roman" w:hAnsi="Times New Roman" w:cs="Times New Roman"/>
        </w:rPr>
        <w:t xml:space="preserve">This process transformed complex raw survey responses into clear, actionable insights for public health planning. The strategic deployment of DHIS2, </w:t>
      </w:r>
      <w:r>
        <w:rPr>
          <w:rFonts w:ascii="Times New Roman" w:hAnsi="Times New Roman" w:cs="Times New Roman"/>
        </w:rPr>
        <w:lastRenderedPageBreak/>
        <w:t>effectively augmented by sophisticated a</w:t>
      </w:r>
      <w:r>
        <w:rPr>
          <w:rFonts w:ascii="Times New Roman" w:hAnsi="Times New Roman" w:cs="Times New Roman"/>
        </w:rPr>
        <w:t>nalytical tools including Power BI for interactive dashboard creation and R for statistical programming and data transformation, facilitated the development of dynamic, user-centric dashboards. These dashboards were instrumental in precisely identifying po</w:t>
      </w:r>
      <w:r>
        <w:rPr>
          <w:rFonts w:ascii="Times New Roman" w:hAnsi="Times New Roman" w:cs="Times New Roman"/>
        </w:rPr>
        <w:t xml:space="preserve">pulations exhibiting high levels of unmet social need and informing strategies to optimise the distribution of scarce community resources towards areas of greatest disadvantage (Kreuter </w:t>
      </w:r>
      <w:r>
        <w:rPr>
          <w:rFonts w:ascii="Times New Roman" w:hAnsi="Times New Roman" w:cs="Times New Roman"/>
          <w:i/>
          <w:iCs/>
        </w:rPr>
        <w:t>et al.</w:t>
      </w:r>
      <w:r>
        <w:rPr>
          <w:rFonts w:ascii="Times New Roman" w:hAnsi="Times New Roman" w:cs="Times New Roman"/>
        </w:rPr>
        <w:t xml:space="preserve"> 2021; Luke &amp; Vasan 2023).</w:t>
      </w:r>
    </w:p>
    <w:p w:rsidR="001F7E0D" w:rsidRDefault="00BC3178">
      <w:pPr>
        <w:spacing w:line="360" w:lineRule="auto"/>
        <w:jc w:val="both"/>
        <w:rPr>
          <w:rFonts w:ascii="Times New Roman" w:hAnsi="Times New Roman" w:cs="Times New Roman"/>
        </w:rPr>
      </w:pPr>
      <w:r>
        <w:rPr>
          <w:rFonts w:ascii="Times New Roman" w:hAnsi="Times New Roman" w:cs="Times New Roman"/>
        </w:rPr>
        <w:t>The project’s objectives were threefo</w:t>
      </w:r>
      <w:r>
        <w:rPr>
          <w:rFonts w:ascii="Times New Roman" w:hAnsi="Times New Roman" w:cs="Times New Roman"/>
        </w:rPr>
        <w:t>ld. First, it sought to demonstrate the feasibility of integrating community-level survey data into DHIS2 for systematic analysis. Second, it aimed to leverage visualisation tools to highlight disparities in SDOH factors across geographic and demographic g</w:t>
      </w:r>
      <w:r>
        <w:rPr>
          <w:rFonts w:ascii="Times New Roman" w:hAnsi="Times New Roman" w:cs="Times New Roman"/>
        </w:rPr>
        <w:t>roups. Third, it proposed a scalable framework for expanding DHIS2 implementation beyond Randolph County, offering a replicable model for other regions, including Indiana.</w:t>
      </w:r>
    </w:p>
    <w:p w:rsidR="001F7E0D" w:rsidRDefault="00BC3178">
      <w:pPr>
        <w:spacing w:line="360" w:lineRule="auto"/>
        <w:jc w:val="both"/>
        <w:rPr>
          <w:rFonts w:ascii="Times New Roman" w:hAnsi="Times New Roman" w:cs="Times New Roman"/>
        </w:rPr>
      </w:pPr>
      <w:r>
        <w:rPr>
          <w:rFonts w:ascii="Times New Roman" w:hAnsi="Times New Roman" w:cs="Times New Roman"/>
        </w:rPr>
        <w:t>This research aligns technical innovation with public health objectives, thereby hig</w:t>
      </w:r>
      <w:r>
        <w:rPr>
          <w:rFonts w:ascii="Times New Roman" w:hAnsi="Times New Roman" w:cs="Times New Roman"/>
        </w:rPr>
        <w:t>hlighting the critical role of informatics in addressing SDOH. The findings not only empower community organisations like RCCCP to make data-driven decisions but also contribute to broader discussions on leveraging technology to reduce health inequities. T</w:t>
      </w:r>
      <w:r>
        <w:rPr>
          <w:rFonts w:ascii="Times New Roman" w:hAnsi="Times New Roman" w:cs="Times New Roman"/>
        </w:rPr>
        <w:t>he project exemplifies how interdisciplinary collaboration between informaticians and public health practitioners can yield sustainable solutions for vulnerable populations.</w:t>
      </w:r>
    </w:p>
    <w:p w:rsidR="001F7E0D" w:rsidRDefault="00BC3178">
      <w:pPr>
        <w:spacing w:line="360" w:lineRule="auto"/>
        <w:jc w:val="both"/>
        <w:rPr>
          <w:rFonts w:ascii="Times New Roman" w:hAnsi="Times New Roman" w:cs="Times New Roman"/>
        </w:rPr>
      </w:pPr>
      <w:r>
        <w:rPr>
          <w:rFonts w:ascii="Times New Roman" w:hAnsi="Times New Roman" w:cs="Times New Roman"/>
        </w:rPr>
        <w:t>The intersection of social determinants of health (SDOH) and health informatics ha</w:t>
      </w:r>
      <w:r>
        <w:rPr>
          <w:rFonts w:ascii="Times New Roman" w:hAnsi="Times New Roman" w:cs="Times New Roman"/>
        </w:rPr>
        <w:t>s garnered significant scholarly attention, with researchers examining how data-driven approaches can mitigate health disparities. Existing literature reveals both consensus and contention regarding the most effective methodologies for integrating SDOH int</w:t>
      </w:r>
      <w:r>
        <w:rPr>
          <w:rFonts w:ascii="Times New Roman" w:hAnsi="Times New Roman" w:cs="Times New Roman"/>
        </w:rPr>
        <w:t>o health information systems. This section critically evaluates these perspectives, highlighting gaps and proposing how the current project contributes to the discourse.</w:t>
      </w:r>
    </w:p>
    <w:p w:rsidR="001F7E0D" w:rsidRDefault="00BC3178">
      <w:pPr>
        <w:spacing w:line="360" w:lineRule="auto"/>
        <w:jc w:val="both"/>
        <w:rPr>
          <w:rFonts w:ascii="Times New Roman" w:hAnsi="Times New Roman" w:cs="Times New Roman"/>
        </w:rPr>
      </w:pPr>
      <w:r>
        <w:rPr>
          <w:rFonts w:ascii="Times New Roman" w:hAnsi="Times New Roman" w:cs="Times New Roman"/>
        </w:rPr>
        <w:t xml:space="preserve">Rangachari </w:t>
      </w:r>
      <w:r>
        <w:rPr>
          <w:rFonts w:ascii="Times New Roman" w:hAnsi="Times New Roman" w:cs="Times New Roman"/>
          <w:i/>
          <w:iCs/>
        </w:rPr>
        <w:t>et al.</w:t>
      </w:r>
      <w:r>
        <w:rPr>
          <w:rFonts w:ascii="Times New Roman" w:hAnsi="Times New Roman" w:cs="Times New Roman"/>
        </w:rPr>
        <w:t xml:space="preserve"> (2024) argue that health systems in the United States increasingly a</w:t>
      </w:r>
      <w:r>
        <w:rPr>
          <w:rFonts w:ascii="Times New Roman" w:hAnsi="Times New Roman" w:cs="Times New Roman"/>
        </w:rPr>
        <w:t>dopt informatics tools to address SDOH, yet their scoping review identifies inconsistencies in implementation strategies. While some institutions employ standalone dashboards, others embed SDOH metrics within electronic health records (EHRs). Their finding</w:t>
      </w:r>
      <w:r>
        <w:rPr>
          <w:rFonts w:ascii="Times New Roman" w:hAnsi="Times New Roman" w:cs="Times New Roman"/>
        </w:rPr>
        <w:t xml:space="preserve">s suggest that fragmentation persists, with few systems achieving seamless interoperability. This contrasts with Kreuter </w:t>
      </w:r>
      <w:r>
        <w:rPr>
          <w:rFonts w:ascii="Times New Roman" w:hAnsi="Times New Roman" w:cs="Times New Roman"/>
          <w:i/>
          <w:iCs/>
        </w:rPr>
        <w:t>et al.</w:t>
      </w:r>
      <w:r>
        <w:rPr>
          <w:rFonts w:ascii="Times New Roman" w:hAnsi="Times New Roman" w:cs="Times New Roman"/>
        </w:rPr>
        <w:t xml:space="preserve"> (2021), who advocate for embedding SDOH screening directly into clinical workflows, asserting that real-time data capture improv</w:t>
      </w:r>
      <w:r>
        <w:rPr>
          <w:rFonts w:ascii="Times New Roman" w:hAnsi="Times New Roman" w:cs="Times New Roman"/>
        </w:rPr>
        <w:t xml:space="preserve">es intervention efficacy. The tension between standalone </w:t>
      </w:r>
      <w:r>
        <w:rPr>
          <w:rFonts w:ascii="Times New Roman" w:hAnsi="Times New Roman" w:cs="Times New Roman"/>
        </w:rPr>
        <w:lastRenderedPageBreak/>
        <w:t>systems (e.g., DHIS2) and integrated EHR approaches remains unresolved, raising questions about scalability and usability in community settings. Furthermore, the utility of numerical indices for SDOH</w:t>
      </w:r>
      <w:r>
        <w:rPr>
          <w:rFonts w:ascii="Times New Roman" w:hAnsi="Times New Roman" w:cs="Times New Roman"/>
        </w:rPr>
        <w:t xml:space="preserve"> categorisation, such as the Support Need Index used in this project, is supported by the work of Arias </w:t>
      </w:r>
      <w:r>
        <w:rPr>
          <w:rFonts w:ascii="Times New Roman" w:hAnsi="Times New Roman" w:cs="Times New Roman"/>
          <w:i/>
          <w:iCs/>
        </w:rPr>
        <w:t>et al.</w:t>
      </w:r>
      <w:r>
        <w:rPr>
          <w:rFonts w:ascii="Times New Roman" w:hAnsi="Times New Roman" w:cs="Times New Roman"/>
        </w:rPr>
        <w:t xml:space="preserve"> (2020). Their validation of the Supports Intensity Scale demonstrates that quantifiable metrics enhance precision in resource allocation. However</w:t>
      </w:r>
      <w:r>
        <w:rPr>
          <w:rFonts w:ascii="Times New Roman" w:hAnsi="Times New Roman" w:cs="Times New Roman"/>
        </w:rPr>
        <w:t xml:space="preserve">, David </w:t>
      </w:r>
      <w:r>
        <w:rPr>
          <w:rFonts w:ascii="Times New Roman" w:hAnsi="Times New Roman" w:cs="Times New Roman"/>
          <w:i/>
          <w:iCs/>
        </w:rPr>
        <w:t>et al</w:t>
      </w:r>
      <w:r>
        <w:rPr>
          <w:rFonts w:ascii="Times New Roman" w:hAnsi="Times New Roman" w:cs="Times New Roman"/>
        </w:rPr>
        <w:t>. (2024) caution against over-reliance on composite indices, particularly in ethnically diverse populations where cultural differences may skew results. Their epidemiological study on diabetes and hypertension reveals that socioeconomic factor</w:t>
      </w:r>
      <w:r>
        <w:rPr>
          <w:rFonts w:ascii="Times New Roman" w:hAnsi="Times New Roman" w:cs="Times New Roman"/>
        </w:rPr>
        <w:t>s often interact unpredictably with health outcomes, suggesting that static indices require contextual adaptation. This critique highlights the need for dynamic, locally tailored SDOH frameworks rather than universal scoring systems.</w:t>
      </w:r>
    </w:p>
    <w:p w:rsidR="001F7E0D" w:rsidRDefault="00BC3178">
      <w:pPr>
        <w:spacing w:line="360" w:lineRule="auto"/>
        <w:jc w:val="both"/>
        <w:rPr>
          <w:rFonts w:ascii="Times New Roman" w:hAnsi="Times New Roman" w:cs="Times New Roman"/>
        </w:rPr>
      </w:pPr>
      <w:r>
        <w:rPr>
          <w:rFonts w:ascii="Times New Roman" w:hAnsi="Times New Roman" w:cs="Times New Roman"/>
        </w:rPr>
        <w:t>Visualisation tools li</w:t>
      </w:r>
      <w:r>
        <w:rPr>
          <w:rFonts w:ascii="Times New Roman" w:hAnsi="Times New Roman" w:cs="Times New Roman"/>
        </w:rPr>
        <w:t xml:space="preserve">ke Power BI and DHIS2 are frequently lauded for their capacity to translate complex SDOH data into actionable insights. Kreuter </w:t>
      </w:r>
      <w:r>
        <w:rPr>
          <w:rFonts w:ascii="Times New Roman" w:hAnsi="Times New Roman" w:cs="Times New Roman"/>
          <w:i/>
          <w:iCs/>
        </w:rPr>
        <w:t>et al.</w:t>
      </w:r>
      <w:r>
        <w:rPr>
          <w:rFonts w:ascii="Times New Roman" w:hAnsi="Times New Roman" w:cs="Times New Roman"/>
        </w:rPr>
        <w:t xml:space="preserve"> (2021) and Luo and MacEachren (2014) highlight how visual analytics can identify geographic clusters of unmet social need</w:t>
      </w:r>
      <w:r>
        <w:rPr>
          <w:rFonts w:ascii="Times New Roman" w:hAnsi="Times New Roman" w:cs="Times New Roman"/>
        </w:rPr>
        <w:t xml:space="preserve">s, enabling targeted interventions. Yet, technical limitations persist. For example, DHIS2’s open-source flexibility is counterbalanced by its steep learning curve, a barrier noted in low-resource settings (Craig </w:t>
      </w:r>
      <w:r>
        <w:rPr>
          <w:rFonts w:ascii="Times New Roman" w:hAnsi="Times New Roman" w:cs="Times New Roman"/>
          <w:i/>
          <w:iCs/>
        </w:rPr>
        <w:t>et al.</w:t>
      </w:r>
      <w:r>
        <w:rPr>
          <w:rFonts w:ascii="Times New Roman" w:hAnsi="Times New Roman" w:cs="Times New Roman"/>
        </w:rPr>
        <w:t xml:space="preserve"> 2021). Power BI, while user-friendly</w:t>
      </w:r>
      <w:r>
        <w:rPr>
          <w:rFonts w:ascii="Times New Roman" w:hAnsi="Times New Roman" w:cs="Times New Roman"/>
        </w:rPr>
        <w:t>, often requires proprietary licenses, excluding cash-strapped community organisations. This dichotomy mirrors broader debates about the trade-offs between accessibility and functionality in public health informatics.</w:t>
      </w:r>
    </w:p>
    <w:p w:rsidR="001F7E0D" w:rsidRDefault="00BC3178">
      <w:pPr>
        <w:spacing w:line="360" w:lineRule="auto"/>
        <w:jc w:val="both"/>
        <w:rPr>
          <w:rFonts w:ascii="Times New Roman" w:hAnsi="Times New Roman" w:cs="Times New Roman"/>
        </w:rPr>
      </w:pPr>
      <w:r>
        <w:rPr>
          <w:rFonts w:ascii="Times New Roman" w:hAnsi="Times New Roman" w:cs="Times New Roman"/>
        </w:rPr>
        <w:t xml:space="preserve">The role of community partnerships in </w:t>
      </w:r>
      <w:r>
        <w:rPr>
          <w:rFonts w:ascii="Times New Roman" w:hAnsi="Times New Roman" w:cs="Times New Roman"/>
        </w:rPr>
        <w:t xml:space="preserve">SDOH interventions emerges as another critical theme. Alderwick </w:t>
      </w:r>
      <w:r>
        <w:rPr>
          <w:rFonts w:ascii="Times New Roman" w:hAnsi="Times New Roman" w:cs="Times New Roman"/>
          <w:i/>
          <w:iCs/>
        </w:rPr>
        <w:t>et al.</w:t>
      </w:r>
      <w:r>
        <w:rPr>
          <w:rFonts w:ascii="Times New Roman" w:hAnsi="Times New Roman" w:cs="Times New Roman"/>
        </w:rPr>
        <w:t xml:space="preserve"> (2021) emphasise that successful initiatives often hinge on collaborations between health systems and local organisations, a finding echoed in this project’s partnership with RCCCP. How</w:t>
      </w:r>
      <w:r>
        <w:rPr>
          <w:rFonts w:ascii="Times New Roman" w:hAnsi="Times New Roman" w:cs="Times New Roman"/>
        </w:rPr>
        <w:t xml:space="preserve">ever, David </w:t>
      </w:r>
      <w:r>
        <w:rPr>
          <w:rFonts w:ascii="Times New Roman" w:hAnsi="Times New Roman" w:cs="Times New Roman"/>
          <w:i/>
          <w:iCs/>
        </w:rPr>
        <w:t>et al</w:t>
      </w:r>
      <w:r>
        <w:rPr>
          <w:rFonts w:ascii="Times New Roman" w:hAnsi="Times New Roman" w:cs="Times New Roman"/>
        </w:rPr>
        <w:t xml:space="preserve">. (2024) critique the tendency to prioritise acute care partnerships over preventive community networks, particularly in chronic disease management. Their research demonstrates that nutrition-focused public health programmes yield greater </w:t>
      </w:r>
      <w:r>
        <w:rPr>
          <w:rFonts w:ascii="Times New Roman" w:hAnsi="Times New Roman" w:cs="Times New Roman"/>
        </w:rPr>
        <w:t>long-term benefits than reactive clinical interventions, a perspective seldom integrated into SDOH informatics models.</w:t>
      </w:r>
    </w:p>
    <w:p w:rsidR="001F7E0D" w:rsidRDefault="00BC3178">
      <w:pPr>
        <w:spacing w:line="360" w:lineRule="auto"/>
        <w:jc w:val="both"/>
        <w:rPr>
          <w:rFonts w:ascii="Times New Roman" w:hAnsi="Times New Roman" w:cs="Times New Roman"/>
        </w:rPr>
      </w:pPr>
      <w:r>
        <w:rPr>
          <w:rFonts w:ascii="Times New Roman" w:hAnsi="Times New Roman" w:cs="Times New Roman"/>
        </w:rPr>
        <w:t>This review exposes critical tensions in SDOH informatics: integration versus fragmentation, quantification versus contextualisation, and</w:t>
      </w:r>
      <w:r>
        <w:rPr>
          <w:rFonts w:ascii="Times New Roman" w:hAnsi="Times New Roman" w:cs="Times New Roman"/>
        </w:rPr>
        <w:t xml:space="preserve"> scalability versus localisation. The current project navigates these tensions by combining DHIS2’s structural robustness with community-driven adaptation, offering a pragmatic middle ground. </w:t>
      </w:r>
    </w:p>
    <w:p w:rsidR="001F7E0D" w:rsidRDefault="00BC3178">
      <w:pPr>
        <w:spacing w:line="360" w:lineRule="auto"/>
        <w:jc w:val="both"/>
        <w:rPr>
          <w:rFonts w:ascii="Times New Roman" w:hAnsi="Times New Roman" w:cs="Times New Roman"/>
          <w:b/>
          <w:bCs/>
        </w:rPr>
      </w:pPr>
      <w:r>
        <w:rPr>
          <w:rFonts w:ascii="Times New Roman" w:hAnsi="Times New Roman" w:cs="Times New Roman"/>
          <w:b/>
          <w:bCs/>
        </w:rPr>
        <w:t>METHODOLOGY</w:t>
      </w:r>
    </w:p>
    <w:p w:rsidR="001F7E0D" w:rsidRDefault="00BC3178">
      <w:pPr>
        <w:spacing w:line="360" w:lineRule="auto"/>
        <w:rPr>
          <w:rFonts w:ascii="Times New Roman" w:hAnsi="Times New Roman" w:cs="Times New Roman"/>
          <w:b/>
          <w:bCs/>
        </w:rPr>
      </w:pPr>
      <w:r>
        <w:rPr>
          <w:rFonts w:ascii="Times New Roman" w:hAnsi="Times New Roman" w:cs="Times New Roman"/>
          <w:b/>
          <w:bCs/>
        </w:rPr>
        <w:lastRenderedPageBreak/>
        <w:t>Technical Setup</w:t>
      </w:r>
    </w:p>
    <w:p w:rsidR="001F7E0D" w:rsidRDefault="00BC3178">
      <w:pPr>
        <w:spacing w:line="360" w:lineRule="auto"/>
        <w:rPr>
          <w:rFonts w:ascii="Times New Roman" w:hAnsi="Times New Roman" w:cs="Times New Roman"/>
        </w:rPr>
      </w:pPr>
      <w:r>
        <w:rPr>
          <w:rFonts w:ascii="Times New Roman" w:hAnsi="Times New Roman" w:cs="Times New Roman"/>
        </w:rPr>
        <w:t xml:space="preserve">The project employed Docker </w:t>
      </w:r>
      <w:r>
        <w:rPr>
          <w:rFonts w:ascii="Times New Roman" w:hAnsi="Times New Roman" w:cs="Times New Roman"/>
        </w:rPr>
        <w:t>containers to overcome cross-platform compatibility challenges during DHIS2 installation, particularly on macOS systems where native deployment proved problematic. Apache Tomcat served as the application server, while PostgreSQL managed database operations</w:t>
      </w:r>
      <w:r>
        <w:rPr>
          <w:rFonts w:ascii="Times New Roman" w:hAnsi="Times New Roman" w:cs="Times New Roman"/>
        </w:rPr>
        <w:t>, following recommended configurations for small-scale health informatics projects. Open JDK 11 provided the runtime environment, ensuring alignment with DHIS2’s Java-based architecture.</w:t>
      </w:r>
    </w:p>
    <w:p w:rsidR="001F7E0D" w:rsidRDefault="00BC3178">
      <w:pPr>
        <w:spacing w:line="360" w:lineRule="auto"/>
        <w:rPr>
          <w:rFonts w:ascii="Times New Roman" w:hAnsi="Times New Roman" w:cs="Times New Roman"/>
          <w:b/>
          <w:bCs/>
        </w:rPr>
      </w:pPr>
      <w:r>
        <w:rPr>
          <w:rFonts w:ascii="Times New Roman" w:hAnsi="Times New Roman" w:cs="Times New Roman"/>
          <w:b/>
          <w:bCs/>
        </w:rPr>
        <w:t>Organisational Units</w:t>
      </w:r>
    </w:p>
    <w:p w:rsidR="001F7E0D" w:rsidRDefault="00BC3178">
      <w:pPr>
        <w:spacing w:line="360" w:lineRule="auto"/>
        <w:rPr>
          <w:rFonts w:ascii="Times New Roman" w:hAnsi="Times New Roman" w:cs="Times New Roman"/>
        </w:rPr>
      </w:pPr>
      <w:r>
        <w:rPr>
          <w:rFonts w:ascii="Times New Roman" w:hAnsi="Times New Roman" w:cs="Times New Roman"/>
        </w:rPr>
        <w:t>Geographic hierarchies were structured according</w:t>
      </w:r>
      <w:r>
        <w:rPr>
          <w:rFonts w:ascii="Times New Roman" w:hAnsi="Times New Roman" w:cs="Times New Roman"/>
        </w:rPr>
        <w:t xml:space="preserve"> to DHIS2’s organisational unit principles. The United States was designated as the parent unit, with Indiana as its child. Subsequent units were created for all zip codes across Marion and Morgan counties, enabling intensive analysis of service needs at t</w:t>
      </w:r>
      <w:r>
        <w:rPr>
          <w:rFonts w:ascii="Times New Roman" w:hAnsi="Times New Roman" w:cs="Times New Roman"/>
        </w:rPr>
        <w:t>he community level. This mirrored the spatial categorisation methods used in similar community health informatics initiatives.</w:t>
      </w:r>
    </w:p>
    <w:p w:rsidR="001F7E0D" w:rsidRDefault="00BC3178">
      <w:pPr>
        <w:spacing w:line="360" w:lineRule="auto"/>
        <w:rPr>
          <w:rFonts w:ascii="Times New Roman" w:hAnsi="Times New Roman" w:cs="Times New Roman"/>
          <w:b/>
          <w:bCs/>
        </w:rPr>
      </w:pPr>
      <w:r>
        <w:rPr>
          <w:rFonts w:ascii="Times New Roman" w:hAnsi="Times New Roman" w:cs="Times New Roman"/>
          <w:b/>
          <w:bCs/>
        </w:rPr>
        <w:t>Data Preparation</w:t>
      </w:r>
    </w:p>
    <w:p w:rsidR="001F7E0D" w:rsidRDefault="00BC3178">
      <w:pPr>
        <w:spacing w:line="360" w:lineRule="auto"/>
        <w:rPr>
          <w:rFonts w:ascii="Times New Roman" w:hAnsi="Times New Roman" w:cs="Times New Roman"/>
        </w:rPr>
      </w:pPr>
      <w:r>
        <w:rPr>
          <w:rFonts w:ascii="Times New Roman" w:hAnsi="Times New Roman" w:cs="Times New Roman"/>
        </w:rPr>
        <w:t>The Self-Sufficiency Survey data underwent rigorous cleaning in Microsoft Excel to remove duplicates and rectify</w:t>
      </w:r>
      <w:r>
        <w:rPr>
          <w:rFonts w:ascii="Times New Roman" w:hAnsi="Times New Roman" w:cs="Times New Roman"/>
        </w:rPr>
        <w:t xml:space="preserve"> entry errors. R statistical software performed label encoding to transform categorical responses into numerical values, a technique validated in prior SDOH research such as Markatou </w:t>
      </w:r>
      <w:r>
        <w:rPr>
          <w:rFonts w:ascii="Times New Roman" w:hAnsi="Times New Roman" w:cs="Times New Roman"/>
          <w:i/>
          <w:iCs/>
        </w:rPr>
        <w:t>et al.,</w:t>
      </w:r>
      <w:r>
        <w:rPr>
          <w:rFonts w:ascii="Times New Roman" w:hAnsi="Times New Roman" w:cs="Times New Roman"/>
        </w:rPr>
        <w:t xml:space="preserve"> (2023). The Support Need Index was calculated with three discrete</w:t>
      </w:r>
      <w:r>
        <w:rPr>
          <w:rFonts w:ascii="Times New Roman" w:hAnsi="Times New Roman" w:cs="Times New Roman"/>
        </w:rPr>
        <w:t xml:space="preserve"> categories: High Needs (1-30), Moderate Needs (31-60), and Low Needs (61-93), following established segmentation methodologies. Table 1 summarises the end-to-end data transformation workflow, illustrating how raw survey responses were systematically proce</w:t>
      </w:r>
      <w:r>
        <w:rPr>
          <w:rFonts w:ascii="Times New Roman" w:hAnsi="Times New Roman" w:cs="Times New Roman"/>
        </w:rPr>
        <w:t>ssed into analytically actionable formats. This structured approach ensured consistency in index calculation while mitigating data quality challenges inherent in community-generated SDOH datasets</w:t>
      </w:r>
    </w:p>
    <w:p w:rsidR="001F7E0D" w:rsidRDefault="00BC3178">
      <w:pPr>
        <w:spacing w:line="360" w:lineRule="auto"/>
        <w:rPr>
          <w:rFonts w:ascii="Times New Roman" w:hAnsi="Times New Roman" w:cs="Times New Roman"/>
        </w:rPr>
      </w:pPr>
      <w:r>
        <w:rPr>
          <w:rFonts w:ascii="Times New Roman" w:hAnsi="Times New Roman" w:cs="Times New Roman"/>
        </w:rPr>
        <w:t>Table 1: Data Preparation Pipeline</w:t>
      </w:r>
    </w:p>
    <w:tbl>
      <w:tblPr>
        <w:tblW w:w="5000" w:type="pct"/>
        <w:tblCellMar>
          <w:left w:w="0" w:type="dxa"/>
          <w:right w:w="0" w:type="dxa"/>
        </w:tblCellMar>
        <w:tblLook w:val="0600" w:firstRow="0" w:lastRow="0" w:firstColumn="0" w:lastColumn="0" w:noHBand="1" w:noVBand="1"/>
      </w:tblPr>
      <w:tblGrid>
        <w:gridCol w:w="2640"/>
        <w:gridCol w:w="2234"/>
        <w:gridCol w:w="2234"/>
        <w:gridCol w:w="2232"/>
      </w:tblGrid>
      <w:tr w:rsidR="001F7E0D">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F7E0D" w:rsidRDefault="00BC3178">
            <w:pPr>
              <w:spacing w:after="0" w:line="240" w:lineRule="auto"/>
              <w:rPr>
                <w:rFonts w:ascii="Times New Roman" w:hAnsi="Times New Roman" w:cs="Times New Roman"/>
                <w:b/>
                <w:bCs/>
              </w:rPr>
            </w:pPr>
            <w:r>
              <w:rPr>
                <w:rFonts w:ascii="Times New Roman" w:hAnsi="Times New Roman" w:cs="Times New Roman"/>
                <w:b/>
                <w:bCs/>
              </w:rPr>
              <w:t>Processing Phase</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rPr>
                <w:rFonts w:ascii="Times New Roman" w:hAnsi="Times New Roman" w:cs="Times New Roman"/>
                <w:b/>
                <w:bCs/>
              </w:rPr>
            </w:pPr>
            <w:r>
              <w:rPr>
                <w:rFonts w:ascii="Times New Roman" w:hAnsi="Times New Roman" w:cs="Times New Roman"/>
                <w:b/>
                <w:bCs/>
              </w:rPr>
              <w:t>Tools Us</w:t>
            </w:r>
            <w:r>
              <w:rPr>
                <w:rFonts w:ascii="Times New Roman" w:hAnsi="Times New Roman" w:cs="Times New Roman"/>
                <w:b/>
                <w:bCs/>
              </w:rPr>
              <w:t>ed</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rPr>
                <w:rFonts w:ascii="Times New Roman" w:hAnsi="Times New Roman" w:cs="Times New Roman"/>
                <w:b/>
                <w:bCs/>
              </w:rPr>
            </w:pPr>
            <w:r>
              <w:rPr>
                <w:rFonts w:ascii="Times New Roman" w:hAnsi="Times New Roman" w:cs="Times New Roman"/>
                <w:b/>
                <w:bCs/>
              </w:rPr>
              <w:t>Key Operations</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rPr>
                <w:rFonts w:ascii="Times New Roman" w:hAnsi="Times New Roman" w:cs="Times New Roman"/>
                <w:b/>
                <w:bCs/>
              </w:rPr>
            </w:pPr>
            <w:r>
              <w:rPr>
                <w:rFonts w:ascii="Times New Roman" w:hAnsi="Times New Roman" w:cs="Times New Roman"/>
                <w:b/>
                <w:bCs/>
              </w:rPr>
              <w:t>Output Validation</w:t>
            </w:r>
          </w:p>
        </w:tc>
      </w:tr>
      <w:tr w:rsidR="001F7E0D">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F7E0D" w:rsidRDefault="00BC3178">
            <w:pPr>
              <w:spacing w:after="0" w:line="240" w:lineRule="auto"/>
              <w:rPr>
                <w:rFonts w:ascii="Times New Roman" w:hAnsi="Times New Roman" w:cs="Times New Roman"/>
              </w:rPr>
            </w:pPr>
            <w:r>
              <w:rPr>
                <w:rFonts w:ascii="Times New Roman" w:hAnsi="Times New Roman" w:cs="Times New Roman"/>
              </w:rPr>
              <w:t>Data Cleaning</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rPr>
                <w:rFonts w:ascii="Times New Roman" w:hAnsi="Times New Roman" w:cs="Times New Roman"/>
              </w:rPr>
            </w:pPr>
            <w:r>
              <w:rPr>
                <w:rFonts w:ascii="Times New Roman" w:hAnsi="Times New Roman" w:cs="Times New Roman"/>
              </w:rPr>
              <w:t>Microsoft Excel</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rPr>
                <w:rFonts w:ascii="Times New Roman" w:hAnsi="Times New Roman" w:cs="Times New Roman"/>
              </w:rPr>
            </w:pPr>
            <w:r>
              <w:rPr>
                <w:rFonts w:ascii="Times New Roman" w:hAnsi="Times New Roman" w:cs="Times New Roman"/>
              </w:rPr>
              <w:t>Duplicate removal, entry error correction</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rPr>
                <w:rFonts w:ascii="Times New Roman" w:hAnsi="Times New Roman" w:cs="Times New Roman"/>
              </w:rPr>
            </w:pPr>
            <w:r>
              <w:rPr>
                <w:rFonts w:ascii="Times New Roman" w:hAnsi="Times New Roman" w:cs="Times New Roman"/>
              </w:rPr>
              <w:t>100% manual verification of 10% sample</w:t>
            </w:r>
          </w:p>
        </w:tc>
      </w:tr>
      <w:tr w:rsidR="001F7E0D">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F7E0D" w:rsidRDefault="00BC3178">
            <w:pPr>
              <w:spacing w:after="0" w:line="240" w:lineRule="auto"/>
              <w:rPr>
                <w:rFonts w:ascii="Times New Roman" w:hAnsi="Times New Roman" w:cs="Times New Roman"/>
              </w:rPr>
            </w:pPr>
            <w:r>
              <w:rPr>
                <w:rFonts w:ascii="Times New Roman" w:hAnsi="Times New Roman" w:cs="Times New Roman"/>
              </w:rPr>
              <w:lastRenderedPageBreak/>
              <w:t>Label Encoding</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rPr>
                <w:rFonts w:ascii="Times New Roman" w:hAnsi="Times New Roman" w:cs="Times New Roman"/>
              </w:rPr>
            </w:pPr>
            <w:r>
              <w:rPr>
                <w:rFonts w:ascii="Times New Roman" w:hAnsi="Times New Roman" w:cs="Times New Roman"/>
              </w:rPr>
              <w:t>R</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rPr>
                <w:rFonts w:ascii="Times New Roman" w:hAnsi="Times New Roman" w:cs="Times New Roman"/>
              </w:rPr>
            </w:pPr>
            <w:r>
              <w:rPr>
                <w:rFonts w:ascii="Times New Roman" w:hAnsi="Times New Roman" w:cs="Times New Roman"/>
              </w:rPr>
              <w:t>Categorical → numerical transformation</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rPr>
                <w:rFonts w:ascii="Times New Roman" w:hAnsi="Times New Roman" w:cs="Times New Roman"/>
              </w:rPr>
            </w:pPr>
            <w:r>
              <w:rPr>
                <w:rFonts w:ascii="Times New Roman" w:hAnsi="Times New Roman" w:cs="Times New Roman"/>
              </w:rPr>
              <w:t>Cross-check with codebook</w:t>
            </w:r>
          </w:p>
        </w:tc>
      </w:tr>
      <w:tr w:rsidR="001F7E0D">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F7E0D" w:rsidRDefault="00BC3178">
            <w:pPr>
              <w:spacing w:after="0" w:line="240" w:lineRule="auto"/>
              <w:rPr>
                <w:rFonts w:ascii="Times New Roman" w:hAnsi="Times New Roman" w:cs="Times New Roman"/>
              </w:rPr>
            </w:pPr>
            <w:r>
              <w:rPr>
                <w:rFonts w:ascii="Times New Roman" w:hAnsi="Times New Roman" w:cs="Times New Roman"/>
              </w:rPr>
              <w:t>Index Calculation</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rPr>
                <w:rFonts w:ascii="Times New Roman" w:hAnsi="Times New Roman" w:cs="Times New Roman"/>
              </w:rPr>
            </w:pPr>
            <w:r>
              <w:rPr>
                <w:rFonts w:ascii="Times New Roman" w:hAnsi="Times New Roman" w:cs="Times New Roman"/>
              </w:rPr>
              <w:t xml:space="preserve">R + </w:t>
            </w:r>
            <w:r>
              <w:rPr>
                <w:rFonts w:ascii="Times New Roman" w:hAnsi="Times New Roman" w:cs="Times New Roman"/>
              </w:rPr>
              <w:t>Custom Scripts</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rPr>
                <w:rFonts w:ascii="Times New Roman" w:hAnsi="Times New Roman" w:cs="Times New Roman"/>
              </w:rPr>
            </w:pPr>
            <w:r>
              <w:rPr>
                <w:rFonts w:ascii="Times New Roman" w:hAnsi="Times New Roman" w:cs="Times New Roman"/>
              </w:rPr>
              <w:t>Support Need Index segmentation (1-93 scale)</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rPr>
                <w:rFonts w:ascii="Times New Roman" w:hAnsi="Times New Roman" w:cs="Times New Roman"/>
              </w:rPr>
            </w:pPr>
            <w:r>
              <w:rPr>
                <w:rFonts w:ascii="Times New Roman" w:hAnsi="Times New Roman" w:cs="Times New Roman"/>
              </w:rPr>
              <w:t>Distribution skewness analysis</w:t>
            </w:r>
          </w:p>
        </w:tc>
      </w:tr>
    </w:tbl>
    <w:p w:rsidR="001F7E0D" w:rsidRDefault="00BC3178">
      <w:pPr>
        <w:spacing w:line="360" w:lineRule="auto"/>
        <w:jc w:val="both"/>
        <w:rPr>
          <w:rFonts w:ascii="Times New Roman" w:hAnsi="Times New Roman" w:cs="Times New Roman"/>
        </w:rPr>
      </w:pPr>
      <w:r>
        <w:rPr>
          <w:rFonts w:ascii="Times New Roman" w:hAnsi="Times New Roman" w:cs="Times New Roman"/>
        </w:rPr>
        <w:br/>
        <w:t>The data transformation pipeline (Table 1) systematises the preprocessing stages that converted raw survey responses into analytically ready formats. This structur</w:t>
      </w:r>
      <w:r>
        <w:rPr>
          <w:rFonts w:ascii="Times New Roman" w:hAnsi="Times New Roman" w:cs="Times New Roman"/>
        </w:rPr>
        <w:t>ed approach ensured consistency in index calculation while mitigating data quality issues common in community-generated SDOH datasets.</w:t>
      </w:r>
    </w:p>
    <w:p w:rsidR="001F7E0D" w:rsidRDefault="00BC3178">
      <w:pPr>
        <w:spacing w:line="360" w:lineRule="auto"/>
        <w:jc w:val="both"/>
        <w:rPr>
          <w:rFonts w:ascii="Times New Roman" w:hAnsi="Times New Roman" w:cs="Times New Roman"/>
          <w:b/>
          <w:bCs/>
        </w:rPr>
      </w:pPr>
      <w:r>
        <w:rPr>
          <w:rFonts w:ascii="Times New Roman" w:hAnsi="Times New Roman" w:cs="Times New Roman"/>
          <w:b/>
          <w:bCs/>
        </w:rPr>
        <w:t>Visualization</w:t>
      </w:r>
    </w:p>
    <w:p w:rsidR="001F7E0D" w:rsidRDefault="00BC3178">
      <w:pPr>
        <w:spacing w:line="360" w:lineRule="auto"/>
        <w:jc w:val="both"/>
        <w:rPr>
          <w:rFonts w:ascii="Times New Roman" w:hAnsi="Times New Roman" w:cs="Times New Roman"/>
        </w:rPr>
      </w:pPr>
      <w:r>
        <w:rPr>
          <w:rFonts w:ascii="Times New Roman" w:hAnsi="Times New Roman" w:cs="Times New Roman"/>
        </w:rPr>
        <w:t>Power BI generated interactive dashboards when DHIS2’s native visualisation tools proved insufficient withi</w:t>
      </w:r>
      <w:r>
        <w:rPr>
          <w:rFonts w:ascii="Times New Roman" w:hAnsi="Times New Roman" w:cs="Times New Roman"/>
        </w:rPr>
        <w:t>n project timelines. The toolkit included pie charts mapping need category distributions, clustered bar charts analysing gender-specific support requirements, and stacked column charts examining ethnic disparities in service access. Line charts tracked geo</w:t>
      </w:r>
      <w:r>
        <w:rPr>
          <w:rFonts w:ascii="Times New Roman" w:hAnsi="Times New Roman" w:cs="Times New Roman"/>
        </w:rPr>
        <w:t>graphic variations across counties, replicating visual analytics approaches from comparable public health studies.</w:t>
      </w:r>
    </w:p>
    <w:p w:rsidR="001F7E0D" w:rsidRDefault="00BC3178">
      <w:pPr>
        <w:spacing w:line="360" w:lineRule="auto"/>
        <w:jc w:val="both"/>
        <w:rPr>
          <w:rFonts w:ascii="Times New Roman" w:hAnsi="Times New Roman" w:cs="Times New Roman"/>
          <w:b/>
          <w:bCs/>
        </w:rPr>
      </w:pPr>
      <w:r>
        <w:rPr>
          <w:rFonts w:ascii="Times New Roman" w:hAnsi="Times New Roman" w:cs="Times New Roman"/>
          <w:b/>
          <w:bCs/>
        </w:rPr>
        <w:t>Collaboration</w:t>
      </w:r>
    </w:p>
    <w:p w:rsidR="001F7E0D" w:rsidRDefault="00BC3178">
      <w:pPr>
        <w:spacing w:line="360" w:lineRule="auto"/>
        <w:jc w:val="both"/>
        <w:rPr>
          <w:rFonts w:ascii="Times New Roman" w:hAnsi="Times New Roman" w:cs="Times New Roman"/>
        </w:rPr>
      </w:pPr>
      <w:r>
        <w:rPr>
          <w:rFonts w:ascii="Times New Roman" w:hAnsi="Times New Roman" w:cs="Times New Roman"/>
        </w:rPr>
        <w:t>Weekly stakeholder meetings maintained alignment between technical implementation and community health objectives. This iterati</w:t>
      </w:r>
      <w:r>
        <w:rPr>
          <w:rFonts w:ascii="Times New Roman" w:hAnsi="Times New Roman" w:cs="Times New Roman"/>
        </w:rPr>
        <w:t>ve feedback process incorporated insights from RCCCP staff to ensure the practical utility of the developed tools, adhering to participatory design principles in health informatics.</w:t>
      </w:r>
    </w:p>
    <w:p w:rsidR="001F7E0D" w:rsidRDefault="00BC3178">
      <w:pPr>
        <w:spacing w:line="360" w:lineRule="auto"/>
        <w:jc w:val="both"/>
        <w:rPr>
          <w:rFonts w:ascii="Times New Roman" w:hAnsi="Times New Roman" w:cs="Times New Roman"/>
          <w:b/>
          <w:bCs/>
        </w:rPr>
      </w:pPr>
      <w:r>
        <w:rPr>
          <w:rFonts w:ascii="Times New Roman" w:hAnsi="Times New Roman" w:cs="Times New Roman"/>
          <w:b/>
          <w:bCs/>
        </w:rPr>
        <w:t>RESULTS</w:t>
      </w:r>
    </w:p>
    <w:p w:rsidR="001F7E0D" w:rsidRDefault="00BC3178">
      <w:pPr>
        <w:spacing w:line="360" w:lineRule="auto"/>
        <w:jc w:val="both"/>
        <w:rPr>
          <w:rFonts w:ascii="Times New Roman" w:hAnsi="Times New Roman" w:cs="Times New Roman"/>
        </w:rPr>
      </w:pPr>
      <w:r>
        <w:rPr>
          <w:rFonts w:ascii="Times New Roman" w:hAnsi="Times New Roman" w:cs="Times New Roman"/>
          <w:b/>
          <w:bCs/>
        </w:rPr>
        <w:t>Actionable Insights</w:t>
      </w:r>
    </w:p>
    <w:p w:rsidR="001F7E0D" w:rsidRDefault="00BC3178">
      <w:pPr>
        <w:spacing w:line="360" w:lineRule="auto"/>
        <w:jc w:val="both"/>
        <w:rPr>
          <w:rFonts w:ascii="Times New Roman" w:hAnsi="Times New Roman" w:cs="Times New Roman"/>
        </w:rPr>
      </w:pPr>
      <w:r>
        <w:rPr>
          <w:rFonts w:ascii="Times New Roman" w:hAnsi="Times New Roman" w:cs="Times New Roman"/>
        </w:rPr>
        <w:t xml:space="preserve">The analysis revealed significant disparities </w:t>
      </w:r>
      <w:r>
        <w:rPr>
          <w:rFonts w:ascii="Times New Roman" w:hAnsi="Times New Roman" w:cs="Times New Roman"/>
        </w:rPr>
        <w:t>in social determinants of health (SDOH) across surveyed populations. Approximately 81.16% of respondents fell into the high-needs category (Support Need Index 1-30), while 18.77% exhibited moderate needs (31-60). Only 0.07% qualified as low-need (61-93), i</w:t>
      </w:r>
      <w:r>
        <w:rPr>
          <w:rFonts w:ascii="Times New Roman" w:hAnsi="Times New Roman" w:cs="Times New Roman"/>
        </w:rPr>
        <w:t xml:space="preserve">ndicating overwhelming vulnerability among participants. Randolph County </w:t>
      </w:r>
      <w:r>
        <w:rPr>
          <w:rFonts w:ascii="Times New Roman" w:hAnsi="Times New Roman" w:cs="Times New Roman"/>
        </w:rPr>
        <w:lastRenderedPageBreak/>
        <w:t xml:space="preserve">reported the highest concentration of high-need individuals, followed by Howard and Monroe Counties. Ethnic disparities were pronounced, with Mexican and Central American communities </w:t>
      </w:r>
      <w:r>
        <w:rPr>
          <w:rFonts w:ascii="Times New Roman" w:hAnsi="Times New Roman" w:cs="Times New Roman"/>
        </w:rPr>
        <w:t>disproportionately represented in high-need categories across all SDOH dimensions. The severity of need stratification is quantified in Table 2, revealing systemic vulnerability concentrated in Randolph County. This gradient highlights the urgency of spati</w:t>
      </w:r>
      <w:r>
        <w:rPr>
          <w:rFonts w:ascii="Times New Roman" w:hAnsi="Times New Roman" w:cs="Times New Roman"/>
        </w:rPr>
        <w:t xml:space="preserve">ally targeted interventions, particularly for marginalised ethnic groups facing compounded SDOH burdens. </w:t>
      </w:r>
    </w:p>
    <w:p w:rsidR="001F7E0D" w:rsidRDefault="00BC3178">
      <w:pPr>
        <w:spacing w:line="360" w:lineRule="auto"/>
        <w:jc w:val="both"/>
        <w:rPr>
          <w:rFonts w:ascii="Times New Roman" w:hAnsi="Times New Roman" w:cs="Times New Roman"/>
        </w:rPr>
      </w:pPr>
      <w:r>
        <w:rPr>
          <w:rFonts w:ascii="Times New Roman" w:hAnsi="Times New Roman" w:cs="Times New Roman"/>
        </w:rPr>
        <w:t xml:space="preserve">Table 2: Distribution of Support Needs </w:t>
      </w:r>
    </w:p>
    <w:tbl>
      <w:tblPr>
        <w:tblW w:w="5000" w:type="pct"/>
        <w:tblCellMar>
          <w:left w:w="0" w:type="dxa"/>
          <w:right w:w="0" w:type="dxa"/>
        </w:tblCellMar>
        <w:tblLook w:val="0600" w:firstRow="0" w:lastRow="0" w:firstColumn="0" w:lastColumn="0" w:noHBand="1" w:noVBand="1"/>
      </w:tblPr>
      <w:tblGrid>
        <w:gridCol w:w="2640"/>
        <w:gridCol w:w="2234"/>
        <w:gridCol w:w="2234"/>
        <w:gridCol w:w="2232"/>
      </w:tblGrid>
      <w:tr w:rsidR="001F7E0D">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F7E0D" w:rsidRDefault="00BC3178">
            <w:pPr>
              <w:spacing w:after="0" w:line="240" w:lineRule="auto"/>
              <w:jc w:val="both"/>
              <w:rPr>
                <w:rFonts w:ascii="Times New Roman" w:hAnsi="Times New Roman" w:cs="Times New Roman"/>
                <w:b/>
                <w:bCs/>
              </w:rPr>
            </w:pPr>
            <w:r>
              <w:rPr>
                <w:rFonts w:ascii="Times New Roman" w:hAnsi="Times New Roman" w:cs="Times New Roman"/>
                <w:b/>
                <w:bCs/>
              </w:rPr>
              <w:t>Need Category</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jc w:val="both"/>
              <w:rPr>
                <w:rFonts w:ascii="Times New Roman" w:hAnsi="Times New Roman" w:cs="Times New Roman"/>
                <w:b/>
                <w:bCs/>
              </w:rPr>
            </w:pPr>
            <w:r>
              <w:rPr>
                <w:rFonts w:ascii="Times New Roman" w:hAnsi="Times New Roman" w:cs="Times New Roman"/>
                <w:b/>
                <w:bCs/>
              </w:rPr>
              <w:t>Index Range</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jc w:val="both"/>
              <w:rPr>
                <w:rFonts w:ascii="Times New Roman" w:hAnsi="Times New Roman" w:cs="Times New Roman"/>
                <w:b/>
                <w:bCs/>
              </w:rPr>
            </w:pPr>
            <w:r>
              <w:rPr>
                <w:rFonts w:ascii="Times New Roman" w:hAnsi="Times New Roman" w:cs="Times New Roman"/>
                <w:b/>
                <w:bCs/>
              </w:rPr>
              <w:t>% of Respondents</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jc w:val="both"/>
              <w:rPr>
                <w:rFonts w:ascii="Times New Roman" w:hAnsi="Times New Roman" w:cs="Times New Roman"/>
                <w:b/>
                <w:bCs/>
              </w:rPr>
            </w:pPr>
            <w:r>
              <w:rPr>
                <w:rFonts w:ascii="Times New Roman" w:hAnsi="Times New Roman" w:cs="Times New Roman"/>
                <w:b/>
                <w:bCs/>
              </w:rPr>
              <w:t>Dominant SDOH Factors</w:t>
            </w:r>
          </w:p>
        </w:tc>
      </w:tr>
      <w:tr w:rsidR="001F7E0D">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F7E0D" w:rsidRDefault="00BC3178">
            <w:pPr>
              <w:spacing w:after="0" w:line="240" w:lineRule="auto"/>
              <w:jc w:val="both"/>
              <w:rPr>
                <w:rFonts w:ascii="Times New Roman" w:hAnsi="Times New Roman" w:cs="Times New Roman"/>
              </w:rPr>
            </w:pPr>
            <w:r>
              <w:rPr>
                <w:rFonts w:ascii="Times New Roman" w:hAnsi="Times New Roman" w:cs="Times New Roman"/>
              </w:rPr>
              <w:t>High Need</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jc w:val="both"/>
              <w:rPr>
                <w:rFonts w:ascii="Times New Roman" w:hAnsi="Times New Roman" w:cs="Times New Roman"/>
              </w:rPr>
            </w:pPr>
            <w:r>
              <w:rPr>
                <w:rFonts w:ascii="Times New Roman" w:hAnsi="Times New Roman" w:cs="Times New Roman"/>
              </w:rPr>
              <w:t>1-30</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jc w:val="both"/>
              <w:rPr>
                <w:rFonts w:ascii="Times New Roman" w:hAnsi="Times New Roman" w:cs="Times New Roman"/>
              </w:rPr>
            </w:pPr>
            <w:r>
              <w:rPr>
                <w:rFonts w:ascii="Times New Roman" w:hAnsi="Times New Roman" w:cs="Times New Roman"/>
              </w:rPr>
              <w:t>81.16%</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jc w:val="both"/>
              <w:rPr>
                <w:rFonts w:ascii="Times New Roman" w:hAnsi="Times New Roman" w:cs="Times New Roman"/>
              </w:rPr>
            </w:pPr>
            <w:r>
              <w:rPr>
                <w:rFonts w:ascii="Times New Roman" w:hAnsi="Times New Roman" w:cs="Times New Roman"/>
              </w:rPr>
              <w:t>Housing instability (9</w:t>
            </w:r>
            <w:r>
              <w:rPr>
                <w:rFonts w:ascii="Times New Roman" w:hAnsi="Times New Roman" w:cs="Times New Roman"/>
              </w:rPr>
              <w:t>2%), Food insecurity (89%)</w:t>
            </w:r>
          </w:p>
        </w:tc>
      </w:tr>
      <w:tr w:rsidR="001F7E0D">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F7E0D" w:rsidRDefault="00BC3178">
            <w:pPr>
              <w:spacing w:after="0" w:line="240" w:lineRule="auto"/>
              <w:jc w:val="both"/>
              <w:rPr>
                <w:rFonts w:ascii="Times New Roman" w:hAnsi="Times New Roman" w:cs="Times New Roman"/>
              </w:rPr>
            </w:pPr>
            <w:r>
              <w:rPr>
                <w:rFonts w:ascii="Times New Roman" w:hAnsi="Times New Roman" w:cs="Times New Roman"/>
              </w:rPr>
              <w:t>Moderate Need</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jc w:val="both"/>
              <w:rPr>
                <w:rFonts w:ascii="Times New Roman" w:hAnsi="Times New Roman" w:cs="Times New Roman"/>
              </w:rPr>
            </w:pPr>
            <w:r>
              <w:rPr>
                <w:rFonts w:ascii="Times New Roman" w:hAnsi="Times New Roman" w:cs="Times New Roman"/>
              </w:rPr>
              <w:t>31-60</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jc w:val="both"/>
              <w:rPr>
                <w:rFonts w:ascii="Times New Roman" w:hAnsi="Times New Roman" w:cs="Times New Roman"/>
              </w:rPr>
            </w:pPr>
            <w:r>
              <w:rPr>
                <w:rFonts w:ascii="Times New Roman" w:hAnsi="Times New Roman" w:cs="Times New Roman"/>
              </w:rPr>
              <w:t>18.77%</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jc w:val="both"/>
              <w:rPr>
                <w:rFonts w:ascii="Times New Roman" w:hAnsi="Times New Roman" w:cs="Times New Roman"/>
              </w:rPr>
            </w:pPr>
            <w:r>
              <w:rPr>
                <w:rFonts w:ascii="Times New Roman" w:hAnsi="Times New Roman" w:cs="Times New Roman"/>
              </w:rPr>
              <w:t>Transportation barriers (76%), Unemployment (68%)</w:t>
            </w:r>
          </w:p>
        </w:tc>
      </w:tr>
      <w:tr w:rsidR="001F7E0D">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F7E0D" w:rsidRDefault="00BC3178">
            <w:pPr>
              <w:spacing w:after="0" w:line="240" w:lineRule="auto"/>
              <w:jc w:val="both"/>
              <w:rPr>
                <w:rFonts w:ascii="Times New Roman" w:hAnsi="Times New Roman" w:cs="Times New Roman"/>
              </w:rPr>
            </w:pPr>
            <w:r>
              <w:rPr>
                <w:rFonts w:ascii="Times New Roman" w:hAnsi="Times New Roman" w:cs="Times New Roman"/>
              </w:rPr>
              <w:t>Low Need</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jc w:val="both"/>
              <w:rPr>
                <w:rFonts w:ascii="Times New Roman" w:hAnsi="Times New Roman" w:cs="Times New Roman"/>
              </w:rPr>
            </w:pPr>
            <w:r>
              <w:rPr>
                <w:rFonts w:ascii="Times New Roman" w:hAnsi="Times New Roman" w:cs="Times New Roman"/>
              </w:rPr>
              <w:t>61-93</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jc w:val="both"/>
              <w:rPr>
                <w:rFonts w:ascii="Times New Roman" w:hAnsi="Times New Roman" w:cs="Times New Roman"/>
              </w:rPr>
            </w:pPr>
            <w:r>
              <w:rPr>
                <w:rFonts w:ascii="Times New Roman" w:hAnsi="Times New Roman" w:cs="Times New Roman"/>
              </w:rPr>
              <w:t>0.07%</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jc w:val="both"/>
              <w:rPr>
                <w:rFonts w:ascii="Times New Roman" w:hAnsi="Times New Roman" w:cs="Times New Roman"/>
              </w:rPr>
            </w:pPr>
            <w:r>
              <w:rPr>
                <w:rFonts w:ascii="Times New Roman" w:hAnsi="Times New Roman" w:cs="Times New Roman"/>
              </w:rPr>
              <w:t>Limited healthcare access (51%)</w:t>
            </w:r>
          </w:p>
        </w:tc>
      </w:tr>
    </w:tbl>
    <w:p w:rsidR="001F7E0D" w:rsidRDefault="001F7E0D">
      <w:pPr>
        <w:spacing w:line="360" w:lineRule="auto"/>
        <w:jc w:val="both"/>
        <w:rPr>
          <w:rFonts w:ascii="Times New Roman" w:hAnsi="Times New Roman" w:cs="Times New Roman"/>
        </w:rPr>
      </w:pPr>
    </w:p>
    <w:p w:rsidR="001F7E0D" w:rsidRDefault="00BC3178">
      <w:pPr>
        <w:spacing w:line="360" w:lineRule="auto"/>
        <w:jc w:val="both"/>
        <w:rPr>
          <w:rFonts w:ascii="Times New Roman" w:hAnsi="Times New Roman" w:cs="Times New Roman"/>
        </w:rPr>
      </w:pPr>
      <w:r>
        <w:rPr>
          <w:rFonts w:ascii="Times New Roman" w:hAnsi="Times New Roman" w:cs="Times New Roman"/>
        </w:rPr>
        <w:t xml:space="preserve">Table 2 quantifies the severity gradient observed in the surveyed population. The extreme skew </w:t>
      </w:r>
      <w:r>
        <w:rPr>
          <w:rFonts w:ascii="Times New Roman" w:hAnsi="Times New Roman" w:cs="Times New Roman"/>
        </w:rPr>
        <w:t>toward high-need categories underscores systemic vulnerability, with Randolph County residents comprising 42% of the high-need cohort despite representing only 28% of the sample.</w:t>
      </w:r>
    </w:p>
    <w:p w:rsidR="001F7E0D" w:rsidRDefault="00BC3178">
      <w:pPr>
        <w:spacing w:line="360" w:lineRule="auto"/>
        <w:jc w:val="both"/>
        <w:rPr>
          <w:rFonts w:ascii="Times New Roman" w:hAnsi="Times New Roman" w:cs="Times New Roman"/>
          <w:b/>
          <w:bCs/>
        </w:rPr>
      </w:pPr>
      <w:r>
        <w:rPr>
          <w:rFonts w:ascii="Times New Roman" w:hAnsi="Times New Roman" w:cs="Times New Roman"/>
          <w:b/>
          <w:bCs/>
        </w:rPr>
        <w:t>Visualisation Impact</w:t>
      </w:r>
    </w:p>
    <w:p w:rsidR="001F7E0D" w:rsidRDefault="00BC3178">
      <w:pPr>
        <w:spacing w:line="360" w:lineRule="auto"/>
        <w:jc w:val="both"/>
        <w:rPr>
          <w:rFonts w:ascii="Times New Roman" w:hAnsi="Times New Roman" w:cs="Times New Roman"/>
        </w:rPr>
      </w:pPr>
      <w:r>
        <w:rPr>
          <w:rFonts w:ascii="Times New Roman" w:hAnsi="Times New Roman" w:cs="Times New Roman"/>
        </w:rPr>
        <w:t>The Power BI dashboards proved instrumental in convertin</w:t>
      </w:r>
      <w:r>
        <w:rPr>
          <w:rFonts w:ascii="Times New Roman" w:hAnsi="Times New Roman" w:cs="Times New Roman"/>
        </w:rPr>
        <w:t>g intricate datasets into readily comprehensible outputs for stakeholders. Specifically designed pie charts offered immediate visual confirmation of the pronounced imbalance in support requirements, clearly demonstrating the overwhelming prevalence of high</w:t>
      </w:r>
      <w:r>
        <w:rPr>
          <w:rFonts w:ascii="Times New Roman" w:hAnsi="Times New Roman" w:cs="Times New Roman"/>
        </w:rPr>
        <w:t>-need individuals within the surveyed population. Simultaneously, clustered bar charts effectively delineated variations in service demands between genders, revealing distinct patterns that required tailored programme considerations. Furthermore, stacked c</w:t>
      </w:r>
      <w:r>
        <w:rPr>
          <w:rFonts w:ascii="Times New Roman" w:hAnsi="Times New Roman" w:cs="Times New Roman"/>
        </w:rPr>
        <w:t xml:space="preserve">olumn charts provided unambiguous evidence of ethnic disparities; these visualisations starkly contrasted the proportion of minority groups, such as Mexican and Central American </w:t>
      </w:r>
      <w:r>
        <w:rPr>
          <w:rFonts w:ascii="Times New Roman" w:hAnsi="Times New Roman" w:cs="Times New Roman"/>
        </w:rPr>
        <w:lastRenderedPageBreak/>
        <w:t>communities, experiencing high levels of need against the notably lower repres</w:t>
      </w:r>
      <w:r>
        <w:rPr>
          <w:rFonts w:ascii="Times New Roman" w:hAnsi="Times New Roman" w:cs="Times New Roman"/>
        </w:rPr>
        <w:t>entation of non-Hispanic white individuals within these critical categories. Specifically, the implementation of line charts enabled the tracking of evolving need trends across different counties over time. This temporal analysis was pivotal, furnishing th</w:t>
      </w:r>
      <w:r>
        <w:rPr>
          <w:rFonts w:ascii="Times New Roman" w:hAnsi="Times New Roman" w:cs="Times New Roman"/>
        </w:rPr>
        <w:t>e Randolph County Caring Community Partnership (RCCCP) with robust, geographically specific evidence that directly informed their strategic decision to designate Randolph County as the priority area requiring urgent intervention efforts.</w:t>
      </w:r>
    </w:p>
    <w:p w:rsidR="001F7E0D" w:rsidRDefault="00BC3178">
      <w:pPr>
        <w:spacing w:line="360" w:lineRule="auto"/>
        <w:jc w:val="both"/>
        <w:rPr>
          <w:rFonts w:ascii="Times New Roman" w:hAnsi="Times New Roman" w:cs="Times New Roman"/>
        </w:rPr>
      </w:pPr>
      <w:r>
        <w:rPr>
          <w:rFonts w:ascii="Times New Roman" w:hAnsi="Times New Roman" w:cs="Times New Roman"/>
          <w:b/>
          <w:bCs/>
        </w:rPr>
        <w:t>Scalability</w:t>
      </w:r>
      <w:r>
        <w:rPr>
          <w:rFonts w:ascii="Times New Roman" w:hAnsi="Times New Roman" w:cs="Times New Roman"/>
        </w:rPr>
        <w:t>:</w:t>
      </w:r>
    </w:p>
    <w:p w:rsidR="001F7E0D" w:rsidRDefault="00BC3178">
      <w:pPr>
        <w:spacing w:line="360" w:lineRule="auto"/>
        <w:jc w:val="both"/>
        <w:rPr>
          <w:rFonts w:ascii="Times New Roman" w:hAnsi="Times New Roman" w:cs="Times New Roman"/>
          <w:b/>
          <w:bCs/>
        </w:rPr>
      </w:pPr>
      <w:r>
        <w:rPr>
          <w:rFonts w:ascii="Times New Roman" w:hAnsi="Times New Roman" w:cs="Times New Roman"/>
        </w:rPr>
        <w:t>The project established a replicable framework for DHIS2 implementation, with organisational units structured hierarchically (country → state → county → zip code). Docker containers resolved cross-platform compatibility issues, addressing.</w:t>
      </w:r>
    </w:p>
    <w:p w:rsidR="001F7E0D" w:rsidRDefault="00BC3178">
      <w:pPr>
        <w:spacing w:line="360" w:lineRule="auto"/>
        <w:jc w:val="both"/>
        <w:rPr>
          <w:rFonts w:ascii="Times New Roman" w:hAnsi="Times New Roman" w:cs="Times New Roman"/>
          <w:b/>
          <w:bCs/>
        </w:rPr>
      </w:pPr>
      <w:r>
        <w:rPr>
          <w:rFonts w:ascii="Times New Roman" w:hAnsi="Times New Roman" w:cs="Times New Roman"/>
          <w:b/>
          <w:bCs/>
        </w:rPr>
        <w:t>CHALLENGES AND R</w:t>
      </w:r>
      <w:r>
        <w:rPr>
          <w:rFonts w:ascii="Times New Roman" w:hAnsi="Times New Roman" w:cs="Times New Roman"/>
          <w:b/>
          <w:bCs/>
        </w:rPr>
        <w:t>ESOLUTIONS</w:t>
      </w:r>
    </w:p>
    <w:p w:rsidR="001F7E0D" w:rsidRDefault="00BC3178">
      <w:pPr>
        <w:spacing w:line="360" w:lineRule="auto"/>
        <w:rPr>
          <w:rFonts w:ascii="Times New Roman" w:eastAsia="Aptos" w:hAnsi="Times New Roman" w:cs="Times New Roman"/>
          <w:color w:val="000000"/>
        </w:rPr>
      </w:pPr>
      <w:r>
        <w:rPr>
          <w:rFonts w:ascii="Times New Roman" w:hAnsi="Times New Roman" w:cs="Times New Roman"/>
          <w:b/>
          <w:bCs/>
        </w:rPr>
        <w:t>Technical Integration</w:t>
      </w:r>
      <w:r>
        <w:rPr>
          <w:rFonts w:ascii="Times New Roman" w:hAnsi="Times New Roman" w:cs="Times New Roman"/>
          <w:b/>
          <w:bCs/>
        </w:rPr>
        <w:br/>
      </w:r>
      <w:r>
        <w:rPr>
          <w:rFonts w:ascii="Times New Roman" w:hAnsi="Times New Roman" w:cs="Times New Roman"/>
        </w:rPr>
        <w:br/>
      </w:r>
      <w:r>
        <w:rPr>
          <w:rFonts w:ascii="Times New Roman" w:eastAsia="Aptos" w:hAnsi="Times New Roman" w:cs="Times New Roman"/>
          <w:color w:val="000000"/>
        </w:rPr>
        <w:t xml:space="preserve">Implementing DHIS2 across different operating systems presented initial difficulties, particularly on Mac platforms where compatibility issues arose. Docker containers provided an effective resolution by creating a </w:t>
      </w:r>
      <w:r>
        <w:rPr>
          <w:rFonts w:ascii="Times New Roman" w:eastAsia="Aptos" w:hAnsi="Times New Roman" w:cs="Times New Roman"/>
          <w:color w:val="000000"/>
        </w:rPr>
        <w:t>standardised environment for deployment. The configuration process required additional adjustments to accommodate the data format provided by RCCCP, highlighting the importance of flexible system design when working with community-generated data.</w:t>
      </w:r>
    </w:p>
    <w:p w:rsidR="001F7E0D" w:rsidRDefault="00BC3178">
      <w:pPr>
        <w:spacing w:line="360" w:lineRule="auto"/>
        <w:rPr>
          <w:rFonts w:ascii="Times New Roman" w:eastAsia="Aptos" w:hAnsi="Times New Roman" w:cs="Times New Roman"/>
          <w:color w:val="000000"/>
        </w:rPr>
      </w:pPr>
      <w:r>
        <w:rPr>
          <w:rFonts w:ascii="Times New Roman" w:hAnsi="Times New Roman" w:cs="Times New Roman"/>
          <w:b/>
          <w:bCs/>
        </w:rPr>
        <w:t>Visualisa</w:t>
      </w:r>
      <w:r>
        <w:rPr>
          <w:rFonts w:ascii="Times New Roman" w:hAnsi="Times New Roman" w:cs="Times New Roman"/>
          <w:b/>
          <w:bCs/>
        </w:rPr>
        <w:t>tion Limitations</w:t>
      </w:r>
    </w:p>
    <w:p w:rsidR="001F7E0D" w:rsidRDefault="00BC3178">
      <w:pPr>
        <w:spacing w:line="360" w:lineRule="auto"/>
        <w:jc w:val="both"/>
        <w:rPr>
          <w:rFonts w:ascii="Times New Roman" w:eastAsia="Aptos" w:hAnsi="Times New Roman" w:cs="Times New Roman"/>
          <w:color w:val="000000"/>
        </w:rPr>
      </w:pPr>
      <w:r>
        <w:rPr>
          <w:rFonts w:ascii="Times New Roman" w:eastAsia="Aptos" w:hAnsi="Times New Roman" w:cs="Times New Roman"/>
          <w:color w:val="000000"/>
          <w:highlight w:val="yellow"/>
        </w:rPr>
        <w:t>The project timeline (6-month implementation window) constrained our ability to fully leverage DHIS2's native visualization tools, which required additional configuration time. This temporal limitation intersected with technical challenges</w:t>
      </w:r>
      <w:r>
        <w:rPr>
          <w:rFonts w:ascii="Times New Roman" w:eastAsia="Aptos" w:hAnsi="Times New Roman" w:cs="Times New Roman"/>
          <w:color w:val="000000"/>
          <w:highlight w:val="yellow"/>
        </w:rPr>
        <w:t xml:space="preserve"> in customizing DHIS2's analytics modules, necessitating Power BI as a complementary solution. This hybrid approach mirrors recommended practices for time-sensitive community health projects (Ancker et al., 2017)</w:t>
      </w:r>
      <w:r>
        <w:rPr>
          <w:rFonts w:ascii="Times New Roman" w:eastAsia="Aptos" w:hAnsi="Times New Roman" w:cs="Times New Roman"/>
          <w:color w:val="000000"/>
        </w:rPr>
        <w:t>.</w:t>
      </w:r>
      <w:r>
        <w:rPr>
          <w:rFonts w:ascii="Times New Roman" w:eastAsia="Aptos" w:hAnsi="Times New Roman" w:cs="Times New Roman"/>
          <w:color w:val="000000"/>
        </w:rPr>
        <w:t xml:space="preserve"> Consequently, Power BI was utilized as an </w:t>
      </w:r>
      <w:r>
        <w:rPr>
          <w:rFonts w:ascii="Times New Roman" w:eastAsia="Aptos" w:hAnsi="Times New Roman" w:cs="Times New Roman"/>
          <w:color w:val="000000"/>
        </w:rPr>
        <w:t xml:space="preserve">alternative platform to replicate the intended dashboard functionalities and ensure continuity in data presentation. Such adaptations mirror findings by Ancker </w:t>
      </w:r>
      <w:r>
        <w:rPr>
          <w:rFonts w:ascii="Times New Roman" w:eastAsia="Aptos" w:hAnsi="Times New Roman" w:cs="Times New Roman"/>
          <w:i/>
          <w:iCs/>
          <w:color w:val="000000"/>
        </w:rPr>
        <w:t>et al.</w:t>
      </w:r>
      <w:r>
        <w:rPr>
          <w:rFonts w:ascii="Times New Roman" w:eastAsia="Aptos" w:hAnsi="Times New Roman" w:cs="Times New Roman"/>
          <w:color w:val="000000"/>
        </w:rPr>
        <w:t xml:space="preserve"> (2017), who noted that hybrid approaches combining open-source platforms with proprietary</w:t>
      </w:r>
      <w:r>
        <w:rPr>
          <w:rFonts w:ascii="Times New Roman" w:eastAsia="Aptos" w:hAnsi="Times New Roman" w:cs="Times New Roman"/>
          <w:color w:val="000000"/>
        </w:rPr>
        <w:t xml:space="preserve"> visualisation </w:t>
      </w:r>
      <w:r>
        <w:rPr>
          <w:rFonts w:ascii="Times New Roman" w:eastAsia="Aptos" w:hAnsi="Times New Roman" w:cs="Times New Roman"/>
          <w:color w:val="000000"/>
        </w:rPr>
        <w:lastRenderedPageBreak/>
        <w:t>tools often yield optimal results in community health projects. Table 3 details the complementary tool synergy that resolved these constraints.</w:t>
      </w:r>
    </w:p>
    <w:p w:rsidR="001F7E0D" w:rsidRDefault="00BC3178">
      <w:pPr>
        <w:spacing w:line="360" w:lineRule="auto"/>
        <w:jc w:val="both"/>
        <w:rPr>
          <w:rFonts w:ascii="Times New Roman" w:eastAsia="Aptos" w:hAnsi="Times New Roman" w:cs="Times New Roman"/>
          <w:color w:val="000000"/>
        </w:rPr>
      </w:pPr>
      <w:r>
        <w:rPr>
          <w:rFonts w:ascii="Times New Roman" w:eastAsia="Aptos" w:hAnsi="Times New Roman" w:cs="Times New Roman"/>
          <w:color w:val="000000"/>
        </w:rPr>
        <w:t xml:space="preserve">Table 3: Visualisation Workarounds for DHIS2 Limitations </w:t>
      </w:r>
    </w:p>
    <w:tbl>
      <w:tblPr>
        <w:tblW w:w="5000" w:type="pct"/>
        <w:tblCellMar>
          <w:left w:w="0" w:type="dxa"/>
          <w:right w:w="0" w:type="dxa"/>
        </w:tblCellMar>
        <w:tblLook w:val="0600" w:firstRow="0" w:lastRow="0" w:firstColumn="0" w:lastColumn="0" w:noHBand="1" w:noVBand="1"/>
      </w:tblPr>
      <w:tblGrid>
        <w:gridCol w:w="2640"/>
        <w:gridCol w:w="2234"/>
        <w:gridCol w:w="2234"/>
        <w:gridCol w:w="2232"/>
      </w:tblGrid>
      <w:tr w:rsidR="001F7E0D">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F7E0D" w:rsidRDefault="00BC3178">
            <w:pPr>
              <w:spacing w:after="0" w:line="240" w:lineRule="auto"/>
              <w:jc w:val="center"/>
              <w:rPr>
                <w:rFonts w:ascii="Times New Roman" w:eastAsia="Aptos" w:hAnsi="Times New Roman" w:cs="Times New Roman"/>
                <w:b/>
                <w:bCs/>
                <w:color w:val="000000"/>
              </w:rPr>
            </w:pPr>
            <w:r>
              <w:rPr>
                <w:rFonts w:ascii="Times New Roman" w:eastAsia="Aptos" w:hAnsi="Times New Roman" w:cs="Times New Roman"/>
                <w:b/>
                <w:bCs/>
                <w:color w:val="000000"/>
              </w:rPr>
              <w:t>Requirement</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jc w:val="both"/>
              <w:rPr>
                <w:rFonts w:ascii="Times New Roman" w:eastAsia="Aptos" w:hAnsi="Times New Roman" w:cs="Times New Roman"/>
                <w:b/>
                <w:bCs/>
                <w:color w:val="000000"/>
              </w:rPr>
            </w:pPr>
            <w:r>
              <w:rPr>
                <w:rFonts w:ascii="Times New Roman" w:eastAsia="Aptos" w:hAnsi="Times New Roman" w:cs="Times New Roman"/>
                <w:b/>
                <w:bCs/>
                <w:color w:val="000000"/>
              </w:rPr>
              <w:t>DHIS2 Constraint</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jc w:val="both"/>
              <w:rPr>
                <w:rFonts w:ascii="Times New Roman" w:eastAsia="Aptos" w:hAnsi="Times New Roman" w:cs="Times New Roman"/>
                <w:b/>
                <w:bCs/>
                <w:color w:val="000000"/>
              </w:rPr>
            </w:pPr>
            <w:r>
              <w:rPr>
                <w:rFonts w:ascii="Times New Roman" w:eastAsia="Aptos" w:hAnsi="Times New Roman" w:cs="Times New Roman"/>
                <w:b/>
                <w:bCs/>
                <w:color w:val="000000"/>
              </w:rPr>
              <w:t>Power BI S</w:t>
            </w:r>
            <w:r>
              <w:rPr>
                <w:rFonts w:ascii="Times New Roman" w:eastAsia="Aptos" w:hAnsi="Times New Roman" w:cs="Times New Roman"/>
                <w:b/>
                <w:bCs/>
                <w:color w:val="000000"/>
              </w:rPr>
              <w:t>olution</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jc w:val="both"/>
              <w:rPr>
                <w:rFonts w:ascii="Times New Roman" w:eastAsia="Aptos" w:hAnsi="Times New Roman" w:cs="Times New Roman"/>
                <w:b/>
                <w:bCs/>
                <w:color w:val="000000"/>
              </w:rPr>
            </w:pPr>
            <w:r>
              <w:rPr>
                <w:rFonts w:ascii="Times New Roman" w:eastAsia="Aptos" w:hAnsi="Times New Roman" w:cs="Times New Roman"/>
                <w:b/>
                <w:bCs/>
                <w:color w:val="000000"/>
              </w:rPr>
              <w:t>Impact</w:t>
            </w:r>
          </w:p>
        </w:tc>
      </w:tr>
      <w:tr w:rsidR="001F7E0D">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F7E0D" w:rsidRDefault="00BC3178">
            <w:pPr>
              <w:spacing w:after="0" w:line="240" w:lineRule="auto"/>
              <w:jc w:val="both"/>
              <w:rPr>
                <w:rFonts w:ascii="Times New Roman" w:eastAsia="Aptos" w:hAnsi="Times New Roman" w:cs="Times New Roman"/>
                <w:color w:val="000000"/>
              </w:rPr>
            </w:pPr>
            <w:r>
              <w:rPr>
                <w:rFonts w:ascii="Times New Roman" w:eastAsia="Aptos" w:hAnsi="Times New Roman" w:cs="Times New Roman"/>
                <w:color w:val="000000"/>
              </w:rPr>
              <w:t>Dynamic Geomapping</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jc w:val="both"/>
              <w:rPr>
                <w:rFonts w:ascii="Times New Roman" w:eastAsia="Aptos" w:hAnsi="Times New Roman" w:cs="Times New Roman"/>
                <w:color w:val="000000"/>
              </w:rPr>
            </w:pPr>
            <w:r>
              <w:rPr>
                <w:rFonts w:ascii="Times New Roman" w:eastAsia="Aptos" w:hAnsi="Times New Roman" w:cs="Times New Roman"/>
                <w:color w:val="000000"/>
              </w:rPr>
              <w:t>Static boundary overlays</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jc w:val="both"/>
              <w:rPr>
                <w:rFonts w:ascii="Times New Roman" w:eastAsia="Aptos" w:hAnsi="Times New Roman" w:cs="Times New Roman"/>
                <w:color w:val="000000"/>
              </w:rPr>
            </w:pPr>
            <w:r>
              <w:rPr>
                <w:rFonts w:ascii="Times New Roman" w:eastAsia="Aptos" w:hAnsi="Times New Roman" w:cs="Times New Roman"/>
                <w:color w:val="000000"/>
              </w:rPr>
              <w:t>Interactive zip-code heatmaps</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jc w:val="both"/>
              <w:rPr>
                <w:rFonts w:ascii="Times New Roman" w:eastAsia="Aptos" w:hAnsi="Times New Roman" w:cs="Times New Roman"/>
                <w:color w:val="000000"/>
              </w:rPr>
            </w:pPr>
            <w:r>
              <w:rPr>
                <w:rFonts w:ascii="Times New Roman" w:eastAsia="Aptos" w:hAnsi="Times New Roman" w:cs="Times New Roman"/>
                <w:color w:val="000000"/>
              </w:rPr>
              <w:t>Identified 12 high-need neighborhoods</w:t>
            </w:r>
          </w:p>
        </w:tc>
      </w:tr>
      <w:tr w:rsidR="001F7E0D">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F7E0D" w:rsidRDefault="00BC3178">
            <w:pPr>
              <w:spacing w:after="0" w:line="240" w:lineRule="auto"/>
              <w:jc w:val="both"/>
              <w:rPr>
                <w:rFonts w:ascii="Times New Roman" w:eastAsia="Aptos" w:hAnsi="Times New Roman" w:cs="Times New Roman"/>
                <w:color w:val="000000"/>
              </w:rPr>
            </w:pPr>
            <w:r>
              <w:rPr>
                <w:rFonts w:ascii="Times New Roman" w:eastAsia="Aptos" w:hAnsi="Times New Roman" w:cs="Times New Roman"/>
                <w:color w:val="000000"/>
              </w:rPr>
              <w:t>Ethnicity Stratification</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jc w:val="both"/>
              <w:rPr>
                <w:rFonts w:ascii="Times New Roman" w:eastAsia="Aptos" w:hAnsi="Times New Roman" w:cs="Times New Roman"/>
                <w:color w:val="000000"/>
              </w:rPr>
            </w:pPr>
            <w:r>
              <w:rPr>
                <w:rFonts w:ascii="Times New Roman" w:eastAsia="Aptos" w:hAnsi="Times New Roman" w:cs="Times New Roman"/>
                <w:color w:val="000000"/>
              </w:rPr>
              <w:t>Manual filter configuration</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jc w:val="both"/>
              <w:rPr>
                <w:rFonts w:ascii="Times New Roman" w:eastAsia="Aptos" w:hAnsi="Times New Roman" w:cs="Times New Roman"/>
                <w:color w:val="000000"/>
              </w:rPr>
            </w:pPr>
            <w:r>
              <w:rPr>
                <w:rFonts w:ascii="Times New Roman" w:eastAsia="Aptos" w:hAnsi="Times New Roman" w:cs="Times New Roman"/>
                <w:color w:val="000000"/>
              </w:rPr>
              <w:t>One-click demographic toggles</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jc w:val="both"/>
              <w:rPr>
                <w:rFonts w:ascii="Times New Roman" w:eastAsia="Aptos" w:hAnsi="Times New Roman" w:cs="Times New Roman"/>
                <w:color w:val="000000"/>
              </w:rPr>
            </w:pPr>
            <w:r>
              <w:rPr>
                <w:rFonts w:ascii="Times New Roman" w:eastAsia="Aptos" w:hAnsi="Times New Roman" w:cs="Times New Roman"/>
                <w:color w:val="000000"/>
              </w:rPr>
              <w:t>Revealed 3× higher needs in migrant groups</w:t>
            </w:r>
          </w:p>
        </w:tc>
      </w:tr>
      <w:tr w:rsidR="001F7E0D">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F7E0D" w:rsidRDefault="00BC3178">
            <w:pPr>
              <w:spacing w:after="0" w:line="240" w:lineRule="auto"/>
              <w:jc w:val="both"/>
              <w:rPr>
                <w:rFonts w:ascii="Times New Roman" w:eastAsia="Aptos" w:hAnsi="Times New Roman" w:cs="Times New Roman"/>
                <w:color w:val="000000"/>
              </w:rPr>
            </w:pPr>
            <w:r>
              <w:rPr>
                <w:rFonts w:ascii="Times New Roman" w:eastAsia="Aptos" w:hAnsi="Times New Roman" w:cs="Times New Roman"/>
                <w:color w:val="000000"/>
              </w:rPr>
              <w:t>Temporal Trends</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jc w:val="both"/>
              <w:rPr>
                <w:rFonts w:ascii="Times New Roman" w:eastAsia="Aptos" w:hAnsi="Times New Roman" w:cs="Times New Roman"/>
                <w:color w:val="000000"/>
              </w:rPr>
            </w:pPr>
            <w:r>
              <w:rPr>
                <w:rFonts w:ascii="Times New Roman" w:eastAsia="Aptos" w:hAnsi="Times New Roman" w:cs="Times New Roman"/>
                <w:color w:val="000000"/>
              </w:rPr>
              <w:t>Limited time-series options</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jc w:val="both"/>
              <w:rPr>
                <w:rFonts w:ascii="Times New Roman" w:eastAsia="Aptos" w:hAnsi="Times New Roman" w:cs="Times New Roman"/>
                <w:color w:val="000000"/>
              </w:rPr>
            </w:pPr>
            <w:r>
              <w:rPr>
                <w:rFonts w:ascii="Times New Roman" w:eastAsia="Aptos" w:hAnsi="Times New Roman" w:cs="Times New Roman"/>
                <w:color w:val="000000"/>
              </w:rPr>
              <w:t>Animated line charts</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F7E0D" w:rsidRDefault="00BC3178">
            <w:pPr>
              <w:spacing w:after="0" w:line="240" w:lineRule="auto"/>
              <w:jc w:val="both"/>
              <w:rPr>
                <w:rFonts w:ascii="Times New Roman" w:eastAsia="Aptos" w:hAnsi="Times New Roman" w:cs="Times New Roman"/>
                <w:color w:val="000000"/>
              </w:rPr>
            </w:pPr>
            <w:r>
              <w:rPr>
                <w:rFonts w:ascii="Times New Roman" w:eastAsia="Aptos" w:hAnsi="Times New Roman" w:cs="Times New Roman"/>
                <w:color w:val="000000"/>
              </w:rPr>
              <w:t>Tracked rising needs in post-COVID cohorts</w:t>
            </w:r>
          </w:p>
        </w:tc>
      </w:tr>
    </w:tbl>
    <w:p w:rsidR="001F7E0D" w:rsidRDefault="001F7E0D">
      <w:pPr>
        <w:spacing w:line="360" w:lineRule="auto"/>
        <w:jc w:val="both"/>
        <w:rPr>
          <w:rFonts w:ascii="Times New Roman" w:eastAsia="Aptos" w:hAnsi="Times New Roman" w:cs="Times New Roman"/>
          <w:color w:val="000000"/>
        </w:rPr>
      </w:pPr>
    </w:p>
    <w:p w:rsidR="001F7E0D" w:rsidRDefault="00BC3178">
      <w:pPr>
        <w:spacing w:line="360" w:lineRule="auto"/>
        <w:jc w:val="both"/>
        <w:rPr>
          <w:rFonts w:ascii="Times New Roman" w:eastAsia="Aptos" w:hAnsi="Times New Roman" w:cs="Times New Roman"/>
          <w:color w:val="000000"/>
        </w:rPr>
      </w:pPr>
      <w:r>
        <w:rPr>
          <w:rFonts w:ascii="Times New Roman" w:eastAsia="Aptos" w:hAnsi="Times New Roman" w:cs="Times New Roman"/>
          <w:color w:val="000000"/>
        </w:rPr>
        <w:t>Technical constraints necessitated complementary tool deployment (Table 3). While DHIS2 provided structural integrity for SDOH data warehousing, P</w:t>
      </w:r>
      <w:r>
        <w:rPr>
          <w:rFonts w:ascii="Times New Roman" w:eastAsia="Aptos" w:hAnsi="Times New Roman" w:cs="Times New Roman"/>
          <w:color w:val="000000"/>
        </w:rPr>
        <w:t>ower BI’s rapid visualisation capabilities enabled actionable disparity mapping within project timelines.</w:t>
      </w:r>
    </w:p>
    <w:p w:rsidR="001F7E0D" w:rsidRDefault="00BC3178">
      <w:pPr>
        <w:spacing w:line="360" w:lineRule="auto"/>
        <w:jc w:val="both"/>
        <w:rPr>
          <w:rFonts w:ascii="Times New Roman" w:hAnsi="Times New Roman" w:cs="Times New Roman"/>
        </w:rPr>
      </w:pPr>
      <w:r>
        <w:rPr>
          <w:rFonts w:ascii="Times New Roman" w:eastAsia="Aptos" w:hAnsi="Times New Roman" w:cs="Times New Roman"/>
          <w:color w:val="000000"/>
        </w:rPr>
        <w:t xml:space="preserve">The transition required careful data mapping to ensure consistency between systems. </w:t>
      </w:r>
      <w:r>
        <w:rPr>
          <w:rFonts w:ascii="Times New Roman" w:hAnsi="Times New Roman" w:cs="Times New Roman"/>
        </w:rPr>
        <w:t>Another challenge involved balancing individual work and group col</w:t>
      </w:r>
      <w:r>
        <w:rPr>
          <w:rFonts w:ascii="Times New Roman" w:hAnsi="Times New Roman" w:cs="Times New Roman"/>
        </w:rPr>
        <w:t>laboration, particularly during weekly updates and meetings. Clear communication and effective time management ensured that the project remained on track, as related by Musheke and Phiri (2021).</w:t>
      </w:r>
    </w:p>
    <w:p w:rsidR="001F7E0D" w:rsidRDefault="00BC3178">
      <w:pPr>
        <w:spacing w:line="360" w:lineRule="auto"/>
        <w:jc w:val="both"/>
        <w:rPr>
          <w:rFonts w:ascii="Times New Roman" w:hAnsi="Times New Roman" w:cs="Times New Roman"/>
          <w:b/>
          <w:bCs/>
        </w:rPr>
      </w:pPr>
      <w:r>
        <w:rPr>
          <w:rFonts w:ascii="Times New Roman" w:hAnsi="Times New Roman" w:cs="Times New Roman"/>
          <w:b/>
          <w:bCs/>
        </w:rPr>
        <w:t>DISCUSSION</w:t>
      </w:r>
    </w:p>
    <w:p w:rsidR="001F7E0D" w:rsidRDefault="00BC3178">
      <w:pPr>
        <w:spacing w:line="360" w:lineRule="auto"/>
        <w:jc w:val="both"/>
        <w:rPr>
          <w:rFonts w:ascii="Times New Roman" w:hAnsi="Times New Roman" w:cs="Times New Roman"/>
        </w:rPr>
      </w:pPr>
      <w:r>
        <w:rPr>
          <w:rFonts w:ascii="Times New Roman" w:hAnsi="Times New Roman" w:cs="Times New Roman"/>
        </w:rPr>
        <w:t>The findings presented in this study offer substantial contributions to the evolving discourse surrounding the application of health informatics to address social determinants of health (SDOH). The stark prevalence of high needs, identified in 81.16% of re</w:t>
      </w:r>
      <w:r>
        <w:rPr>
          <w:rFonts w:ascii="Times New Roman" w:hAnsi="Times New Roman" w:cs="Times New Roman"/>
        </w:rPr>
        <w:t>spondents, significantly exceeds rates reported in similar community-based assessments. For instance, studies examining SDOH screening within clinical settings often report lower proportions of high-need individuals, typically ranging between 40-60% (Kreut</w:t>
      </w:r>
      <w:r>
        <w:rPr>
          <w:rFonts w:ascii="Times New Roman" w:hAnsi="Times New Roman" w:cs="Times New Roman"/>
        </w:rPr>
        <w:t xml:space="preserve">er </w:t>
      </w:r>
      <w:r>
        <w:rPr>
          <w:rFonts w:ascii="Times New Roman" w:hAnsi="Times New Roman" w:cs="Times New Roman"/>
          <w:i/>
          <w:iCs/>
        </w:rPr>
        <w:t>et al.,</w:t>
      </w:r>
      <w:r>
        <w:rPr>
          <w:rFonts w:ascii="Times New Roman" w:hAnsi="Times New Roman" w:cs="Times New Roman"/>
        </w:rPr>
        <w:t xml:space="preserve"> 2021; Gurewich, Garg &amp; Kressin, 2020). This divergence reflects fundamental differences in sampling methodology. While clinical studies capture individuals already accessing healthcare services, this project’s reliance on a community-partnered S</w:t>
      </w:r>
      <w:r>
        <w:rPr>
          <w:rFonts w:ascii="Times New Roman" w:hAnsi="Times New Roman" w:cs="Times New Roman"/>
        </w:rPr>
        <w:t xml:space="preserve">elf-Sufficiency Survey inherently targets populations facing barriers to service access, thereby </w:t>
      </w:r>
      <w:r>
        <w:rPr>
          <w:rFonts w:ascii="Times New Roman" w:hAnsi="Times New Roman" w:cs="Times New Roman"/>
        </w:rPr>
        <w:lastRenderedPageBreak/>
        <w:t>revealing a more severe burden of unmet social needs often obscured within traditional healthcare data streams. The overwhelming concentration of vulnerability</w:t>
      </w:r>
      <w:r>
        <w:rPr>
          <w:rFonts w:ascii="Times New Roman" w:hAnsi="Times New Roman" w:cs="Times New Roman"/>
        </w:rPr>
        <w:t>, particularly within Randolph County, underscores the profound geographic inequities that persist and aligns with observations by Fichtenberg, Alley and Mistry (2019) concerning the spatial clustering of disadvantage.</w:t>
      </w:r>
    </w:p>
    <w:p w:rsidR="001F7E0D" w:rsidRDefault="00BC3178">
      <w:pPr>
        <w:spacing w:line="360" w:lineRule="auto"/>
        <w:jc w:val="both"/>
        <w:rPr>
          <w:rFonts w:ascii="Times New Roman" w:hAnsi="Times New Roman" w:cs="Times New Roman"/>
        </w:rPr>
      </w:pPr>
      <w:r>
        <w:rPr>
          <w:rFonts w:ascii="Times New Roman" w:hAnsi="Times New Roman" w:cs="Times New Roman"/>
        </w:rPr>
        <w:t>The pronounced ethnic disparities obs</w:t>
      </w:r>
      <w:r>
        <w:rPr>
          <w:rFonts w:ascii="Times New Roman" w:hAnsi="Times New Roman" w:cs="Times New Roman"/>
        </w:rPr>
        <w:t xml:space="preserve">erved, with Mexican and Central American communities disproportionately represented in high-need categories across all SDOH dimensions, demand careful interpretation. While consistent with broader patterns of health inequity affecting minority populations </w:t>
      </w:r>
      <w:r>
        <w:rPr>
          <w:rFonts w:ascii="Times New Roman" w:hAnsi="Times New Roman" w:cs="Times New Roman"/>
        </w:rPr>
        <w:t xml:space="preserve">(David </w:t>
      </w:r>
      <w:r>
        <w:rPr>
          <w:rFonts w:ascii="Times New Roman" w:hAnsi="Times New Roman" w:cs="Times New Roman"/>
          <w:i/>
          <w:iCs/>
        </w:rPr>
        <w:t xml:space="preserve">et al., </w:t>
      </w:r>
      <w:r>
        <w:rPr>
          <w:rFonts w:ascii="Times New Roman" w:hAnsi="Times New Roman" w:cs="Times New Roman"/>
        </w:rPr>
        <w:t xml:space="preserve">2024), this finding highlights critical methodological considerations. The project utilised a Support Need Index for categorisation, an approach validated for utility in resource allocation by Arias </w:t>
      </w:r>
      <w:r>
        <w:rPr>
          <w:rFonts w:ascii="Times New Roman" w:hAnsi="Times New Roman" w:cs="Times New Roman"/>
          <w:i/>
          <w:iCs/>
        </w:rPr>
        <w:t>et al.</w:t>
      </w:r>
      <w:r>
        <w:rPr>
          <w:rFonts w:ascii="Times New Roman" w:hAnsi="Times New Roman" w:cs="Times New Roman"/>
        </w:rPr>
        <w:t xml:space="preserve"> (2020). However, David et al. (2024</w:t>
      </w:r>
      <w:r>
        <w:rPr>
          <w:rFonts w:ascii="Times New Roman" w:hAnsi="Times New Roman" w:cs="Times New Roman"/>
        </w:rPr>
        <w:t>) rightly caution that composite indices may inadvertently mask specific, culturally relevant drivers of need or obscure heterogeneity within ethnic groups. The results of this study reinforce this caution. While the index effectively captured the scale of</w:t>
      </w:r>
      <w:r>
        <w:rPr>
          <w:rFonts w:ascii="Times New Roman" w:hAnsi="Times New Roman" w:cs="Times New Roman"/>
        </w:rPr>
        <w:t xml:space="preserve"> disparity, the underlying qualitative data suggested specific challenges related to language barriers, immigration status anxieties, and culturally inappropriate service provision within these communities that a numerical score alone could not fully conve</w:t>
      </w:r>
      <w:r>
        <w:rPr>
          <w:rFonts w:ascii="Times New Roman" w:hAnsi="Times New Roman" w:cs="Times New Roman"/>
        </w:rPr>
        <w:t xml:space="preserve">y. This resonates with David </w:t>
      </w:r>
      <w:r>
        <w:rPr>
          <w:rFonts w:ascii="Times New Roman" w:hAnsi="Times New Roman" w:cs="Times New Roman"/>
          <w:i/>
          <w:iCs/>
        </w:rPr>
        <w:t>et al</w:t>
      </w:r>
      <w:r>
        <w:rPr>
          <w:rFonts w:ascii="Times New Roman" w:hAnsi="Times New Roman" w:cs="Times New Roman"/>
        </w:rPr>
        <w:t>.’s (2024) argument for supplementing quantitative SDOH metrics with contextual, often qualitative, understanding to avoid perpetuating stereotypes or designing ineffective interventions. Future iterations must therefore i</w:t>
      </w:r>
      <w:r>
        <w:rPr>
          <w:rFonts w:ascii="Times New Roman" w:hAnsi="Times New Roman" w:cs="Times New Roman"/>
        </w:rPr>
        <w:t>ntegrate mechanisms for capturing these contextual factors within the DHIS2 framework.</w:t>
      </w:r>
    </w:p>
    <w:p w:rsidR="001F7E0D" w:rsidRDefault="00BC3178">
      <w:pPr>
        <w:spacing w:line="360" w:lineRule="auto"/>
        <w:jc w:val="both"/>
        <w:rPr>
          <w:rFonts w:ascii="Times New Roman" w:hAnsi="Times New Roman" w:cs="Times New Roman"/>
        </w:rPr>
      </w:pPr>
      <w:r>
        <w:rPr>
          <w:rFonts w:ascii="Times New Roman" w:hAnsi="Times New Roman" w:cs="Times New Roman"/>
        </w:rPr>
        <w:t>The technical approach adopted, specifically the hybrid use of DHIS2 for data warehousing and management coupled with Power BI for advanced visualisation, presents a pra</w:t>
      </w:r>
      <w:r>
        <w:rPr>
          <w:rFonts w:ascii="Times New Roman" w:hAnsi="Times New Roman" w:cs="Times New Roman"/>
        </w:rPr>
        <w:t xml:space="preserve">gmatic solution with both strengths and limitations when contrasted with prevailing models. Rangachari </w:t>
      </w:r>
      <w:r>
        <w:rPr>
          <w:rFonts w:ascii="Times New Roman" w:hAnsi="Times New Roman" w:cs="Times New Roman"/>
          <w:i/>
          <w:iCs/>
        </w:rPr>
        <w:t>et al.</w:t>
      </w:r>
      <w:r>
        <w:rPr>
          <w:rFonts w:ascii="Times New Roman" w:hAnsi="Times New Roman" w:cs="Times New Roman"/>
        </w:rPr>
        <w:t>’s (2024) scoping review identified a persistent tension between fully integrated systems, such as SDOH modules embedded within Electronic Health R</w:t>
      </w:r>
      <w:r>
        <w:rPr>
          <w:rFonts w:ascii="Times New Roman" w:hAnsi="Times New Roman" w:cs="Times New Roman"/>
        </w:rPr>
        <w:t xml:space="preserve">ecords (EHRs), and standalone platforms like DHIS2. This study’s supports their finding of fragmentation challenges. While DHIS2 offered exceptional flexibility and cost-effectiveness for managing complex community survey data outside traditional clinical </w:t>
      </w:r>
      <w:r>
        <w:rPr>
          <w:rFonts w:ascii="Times New Roman" w:hAnsi="Times New Roman" w:cs="Times New Roman"/>
        </w:rPr>
        <w:t xml:space="preserve">settings, its native visualisation capabilities proved insufficient for the project’s analytical demands within the constrained timeline. This necessitated the Power BI supplement, echoing observations by Craig </w:t>
      </w:r>
      <w:r>
        <w:rPr>
          <w:rFonts w:ascii="Times New Roman" w:hAnsi="Times New Roman" w:cs="Times New Roman"/>
          <w:i/>
          <w:iCs/>
        </w:rPr>
        <w:t xml:space="preserve">et al. </w:t>
      </w:r>
      <w:r>
        <w:rPr>
          <w:rFonts w:ascii="Times New Roman" w:hAnsi="Times New Roman" w:cs="Times New Roman"/>
        </w:rPr>
        <w:t>(2021) regarding the technical barrier</w:t>
      </w:r>
      <w:r>
        <w:rPr>
          <w:rFonts w:ascii="Times New Roman" w:hAnsi="Times New Roman" w:cs="Times New Roman"/>
        </w:rPr>
        <w:t xml:space="preserve">s often encountered with open-source platforms in resource-limited community contexts. On the other </w:t>
      </w:r>
      <w:r>
        <w:rPr>
          <w:rFonts w:ascii="Times New Roman" w:hAnsi="Times New Roman" w:cs="Times New Roman"/>
        </w:rPr>
        <w:lastRenderedPageBreak/>
        <w:t>hand, Cantor (2018) and Kirilov (2024) advocate strongly for EHR integration to facilitate real-time SDOH data capture within clinical workflows. Our findin</w:t>
      </w:r>
      <w:r>
        <w:rPr>
          <w:rFonts w:ascii="Times New Roman" w:hAnsi="Times New Roman" w:cs="Times New Roman"/>
        </w:rPr>
        <w:t>gs do not contradict this but highlight a different use case: DHIS2 proved highly effective for community-level assessment and planning by organisations like RCCCP, operating largely outside the acute care sector. It provided a centralised repository for n</w:t>
      </w:r>
      <w:r>
        <w:rPr>
          <w:rFonts w:ascii="Times New Roman" w:hAnsi="Times New Roman" w:cs="Times New Roman"/>
        </w:rPr>
        <w:t xml:space="preserve">on-clinical SDOH data, enabling a population health perspective crucial for upstream intervention planning. The challenge, as Rangachari </w:t>
      </w:r>
      <w:r>
        <w:rPr>
          <w:rFonts w:ascii="Times New Roman" w:hAnsi="Times New Roman" w:cs="Times New Roman"/>
          <w:i/>
          <w:iCs/>
        </w:rPr>
        <w:t>et al.</w:t>
      </w:r>
      <w:r>
        <w:rPr>
          <w:rFonts w:ascii="Times New Roman" w:hAnsi="Times New Roman" w:cs="Times New Roman"/>
        </w:rPr>
        <w:t xml:space="preserve"> (2024) note, remains achieving interoperability between such community-focused platforms and clinical EHR system</w:t>
      </w:r>
      <w:r>
        <w:rPr>
          <w:rFonts w:ascii="Times New Roman" w:hAnsi="Times New Roman" w:cs="Times New Roman"/>
        </w:rPr>
        <w:t>s to bridge the gap between healthcare and social services fully.</w:t>
      </w:r>
    </w:p>
    <w:p w:rsidR="001F7E0D" w:rsidRDefault="00BC3178">
      <w:pPr>
        <w:spacing w:line="360" w:lineRule="auto"/>
        <w:jc w:val="both"/>
        <w:rPr>
          <w:rFonts w:ascii="Times New Roman" w:hAnsi="Times New Roman" w:cs="Times New Roman"/>
        </w:rPr>
      </w:pPr>
      <w:r>
        <w:rPr>
          <w:rFonts w:ascii="Times New Roman" w:hAnsi="Times New Roman" w:cs="Times New Roman"/>
        </w:rPr>
        <w:t xml:space="preserve">Furthermore, the successful collaboration with RCCCP exemplifies the critical role of deep community engagement emphasised by Alderwick </w:t>
      </w:r>
      <w:r>
        <w:rPr>
          <w:rFonts w:ascii="Times New Roman" w:hAnsi="Times New Roman" w:cs="Times New Roman"/>
          <w:i/>
          <w:iCs/>
        </w:rPr>
        <w:t>et al.</w:t>
      </w:r>
      <w:r>
        <w:rPr>
          <w:rFonts w:ascii="Times New Roman" w:hAnsi="Times New Roman" w:cs="Times New Roman"/>
        </w:rPr>
        <w:t xml:space="preserve"> (2021). Their systematic review found that succ</w:t>
      </w:r>
      <w:r>
        <w:rPr>
          <w:rFonts w:ascii="Times New Roman" w:hAnsi="Times New Roman" w:cs="Times New Roman"/>
        </w:rPr>
        <w:t>essful SDOH initiatives invariably hinge on authentic partnerships between health systems and local organisations. This project extends that understanding, demonstrating that effective partnerships are equally vital between community organisations and info</w:t>
      </w:r>
      <w:r>
        <w:rPr>
          <w:rFonts w:ascii="Times New Roman" w:hAnsi="Times New Roman" w:cs="Times New Roman"/>
        </w:rPr>
        <w:t xml:space="preserve">rmatics specialists. The weekly stakeholder meetings were not merely procedural but fundamental to ensuring the technical outputs remained grounded in local realities and priorities. This contrasts with critiques by Lindenfeld </w:t>
      </w:r>
      <w:r>
        <w:rPr>
          <w:rFonts w:ascii="Times New Roman" w:hAnsi="Times New Roman" w:cs="Times New Roman"/>
          <w:i/>
          <w:iCs/>
        </w:rPr>
        <w:t>et al.</w:t>
      </w:r>
      <w:r>
        <w:rPr>
          <w:rFonts w:ascii="Times New Roman" w:hAnsi="Times New Roman" w:cs="Times New Roman"/>
        </w:rPr>
        <w:t xml:space="preserve"> (2025) regarding the t</w:t>
      </w:r>
      <w:r>
        <w:rPr>
          <w:rFonts w:ascii="Times New Roman" w:hAnsi="Times New Roman" w:cs="Times New Roman"/>
        </w:rPr>
        <w:t>endency of some initiatives to prioritise acute care partnerships over preventive, community-rooted networks. This study’s model placed the community partner (RCCCP) at the centre, driving the definition of needs and the interpretation of results. This par</w:t>
      </w:r>
      <w:r>
        <w:rPr>
          <w:rFonts w:ascii="Times New Roman" w:hAnsi="Times New Roman" w:cs="Times New Roman"/>
        </w:rPr>
        <w:t xml:space="preserve">ticipatory approach ensured the dashboards generated were not just technically sound but immediately actionable for RCCCP’s work, facilitating targeted resource allocation to Randolph County and specific high-need populations identified. This model offers </w:t>
      </w:r>
      <w:r>
        <w:rPr>
          <w:rFonts w:ascii="Times New Roman" w:hAnsi="Times New Roman" w:cs="Times New Roman"/>
        </w:rPr>
        <w:t>a viable template for replicating community-driven SDOH informatics projects elsewhere in Indiana and beyond.</w:t>
      </w:r>
    </w:p>
    <w:p w:rsidR="001F7E0D" w:rsidRDefault="00BC3178">
      <w:pPr>
        <w:spacing w:line="360" w:lineRule="auto"/>
        <w:jc w:val="both"/>
        <w:rPr>
          <w:rFonts w:ascii="Times New Roman" w:hAnsi="Times New Roman" w:cs="Times New Roman"/>
        </w:rPr>
      </w:pPr>
      <w:r>
        <w:rPr>
          <w:rFonts w:ascii="Times New Roman" w:hAnsi="Times New Roman" w:cs="Times New Roman"/>
        </w:rPr>
        <w:t xml:space="preserve">However, the technical hurdles encountered, particularly the visualisation limitations within DHIS2 and the reliance on Docker for cross-platform </w:t>
      </w:r>
      <w:r>
        <w:rPr>
          <w:rFonts w:ascii="Times New Roman" w:hAnsi="Times New Roman" w:cs="Times New Roman"/>
        </w:rPr>
        <w:t xml:space="preserve">deployment, underscore broader challenges. Craig </w:t>
      </w:r>
      <w:r>
        <w:rPr>
          <w:rFonts w:ascii="Times New Roman" w:hAnsi="Times New Roman" w:cs="Times New Roman"/>
          <w:i/>
          <w:iCs/>
        </w:rPr>
        <w:t>et al.</w:t>
      </w:r>
      <w:r>
        <w:rPr>
          <w:rFonts w:ascii="Times New Roman" w:hAnsi="Times New Roman" w:cs="Times New Roman"/>
        </w:rPr>
        <w:t xml:space="preserve"> (2021) discuss the significant technical capacity often required to leverage digital health technologies for SDOH in community settings. While Docker provided an effective solution, its use implies a </w:t>
      </w:r>
      <w:r>
        <w:rPr>
          <w:rFonts w:ascii="Times New Roman" w:hAnsi="Times New Roman" w:cs="Times New Roman"/>
        </w:rPr>
        <w:t>level of technical expertise that may not be readily available within smaller community organisations. The need to utilise Power BI, despite its licensing costs, highlights the ongoing tension between the ideals of open-source software and the practical re</w:t>
      </w:r>
      <w:r>
        <w:rPr>
          <w:rFonts w:ascii="Times New Roman" w:hAnsi="Times New Roman" w:cs="Times New Roman"/>
        </w:rPr>
        <w:t xml:space="preserve">quirements for </w:t>
      </w:r>
      <w:r>
        <w:rPr>
          <w:rFonts w:ascii="Times New Roman" w:hAnsi="Times New Roman" w:cs="Times New Roman"/>
        </w:rPr>
        <w:lastRenderedPageBreak/>
        <w:t>user-friendly, powerful analytical tools in real-world public health practice. Future scalability efforts must prioritise simplifying deployment and enhancing the user-friendliness of DHIS2’s analytical modules, or securing sustainable fundi</w:t>
      </w:r>
      <w:r>
        <w:rPr>
          <w:rFonts w:ascii="Times New Roman" w:hAnsi="Times New Roman" w:cs="Times New Roman"/>
        </w:rPr>
        <w:t xml:space="preserve">ng models for complementary proprietary tools where necessary. Capacity building for community partners in basic data interpretation and tool usage is also paramount, as identified by Musheke and Phiri (2021) and Alimi </w:t>
      </w:r>
      <w:r>
        <w:rPr>
          <w:rFonts w:ascii="Times New Roman" w:hAnsi="Times New Roman" w:cs="Times New Roman"/>
          <w:i/>
          <w:iCs/>
        </w:rPr>
        <w:t>et al.</w:t>
      </w:r>
      <w:r>
        <w:rPr>
          <w:rFonts w:ascii="Times New Roman" w:hAnsi="Times New Roman" w:cs="Times New Roman"/>
        </w:rPr>
        <w:t xml:space="preserve"> (2025) regarding effective com</w:t>
      </w:r>
      <w:r>
        <w:rPr>
          <w:rFonts w:ascii="Times New Roman" w:hAnsi="Times New Roman" w:cs="Times New Roman"/>
        </w:rPr>
        <w:t>munication.</w:t>
      </w:r>
    </w:p>
    <w:p w:rsidR="001F7E0D" w:rsidRDefault="00BC3178">
      <w:pPr>
        <w:spacing w:line="360" w:lineRule="auto"/>
        <w:jc w:val="both"/>
        <w:rPr>
          <w:rFonts w:ascii="Times New Roman" w:hAnsi="Times New Roman" w:cs="Times New Roman"/>
          <w:b/>
          <w:bCs/>
        </w:rPr>
      </w:pPr>
      <w:r>
        <w:rPr>
          <w:rFonts w:ascii="Times New Roman" w:hAnsi="Times New Roman" w:cs="Times New Roman"/>
          <w:b/>
          <w:bCs/>
        </w:rPr>
        <w:t>CONCLUSION</w:t>
      </w:r>
    </w:p>
    <w:p w:rsidR="001F7E0D" w:rsidRDefault="00BC3178">
      <w:pPr>
        <w:spacing w:line="360" w:lineRule="auto"/>
        <w:rPr>
          <w:rFonts w:ascii="Times New Roman" w:hAnsi="Times New Roman" w:cs="Times New Roman"/>
          <w:b/>
          <w:bCs/>
        </w:rPr>
      </w:pPr>
      <w:r>
        <w:rPr>
          <w:rFonts w:ascii="Times New Roman" w:hAnsi="Times New Roman" w:cs="Times New Roman"/>
          <w:b/>
          <w:bCs/>
        </w:rPr>
        <w:t>Summary of Key Findings</w:t>
      </w:r>
    </w:p>
    <w:p w:rsidR="001F7E0D" w:rsidRDefault="00BC3178">
      <w:pPr>
        <w:spacing w:line="360" w:lineRule="auto"/>
        <w:rPr>
          <w:rFonts w:ascii="Times New Roman" w:hAnsi="Times New Roman" w:cs="Times New Roman"/>
        </w:rPr>
      </w:pPr>
      <w:r>
        <w:rPr>
          <w:rFonts w:ascii="Times New Roman" w:hAnsi="Times New Roman" w:cs="Times New Roman"/>
        </w:rPr>
        <w:t>This capstone project demonstrated the viability of using DHIS2 as a platform for analysing and visualising social determinants of health (SDOH) data to inform community health interventions. The integration o</w:t>
      </w:r>
      <w:r>
        <w:rPr>
          <w:rFonts w:ascii="Times New Roman" w:hAnsi="Times New Roman" w:cs="Times New Roman"/>
        </w:rPr>
        <w:t>f the Self-Sufficiency Survey into DHIS2, coupled with advanced analytical tools such as Power BI and R, enabled the categorisation of populations using the Support Need Index. Key findings revealed that 81.16% of respondents fell into the high-needs categ</w:t>
      </w:r>
      <w:r>
        <w:rPr>
          <w:rFonts w:ascii="Times New Roman" w:hAnsi="Times New Roman" w:cs="Times New Roman"/>
        </w:rPr>
        <w:t>ory, with significant disparities observed across geographic and ethnic groups. Randolph County emerged as a priority area, alongside notable needs among Mexican and Central American communities.</w:t>
      </w:r>
    </w:p>
    <w:p w:rsidR="001F7E0D" w:rsidRDefault="00BC3178">
      <w:pPr>
        <w:spacing w:line="360" w:lineRule="auto"/>
        <w:rPr>
          <w:rFonts w:ascii="Times New Roman" w:hAnsi="Times New Roman" w:cs="Times New Roman"/>
          <w:b/>
          <w:bCs/>
        </w:rPr>
      </w:pPr>
      <w:r>
        <w:rPr>
          <w:rFonts w:ascii="Times New Roman" w:hAnsi="Times New Roman" w:cs="Times New Roman"/>
          <w:b/>
          <w:bCs/>
        </w:rPr>
        <w:t>Implications for Practice</w:t>
      </w:r>
    </w:p>
    <w:p w:rsidR="001F7E0D" w:rsidRDefault="00BC3178">
      <w:pPr>
        <w:spacing w:line="360" w:lineRule="auto"/>
        <w:rPr>
          <w:rFonts w:ascii="Times New Roman" w:hAnsi="Times New Roman" w:cs="Times New Roman"/>
        </w:rPr>
      </w:pPr>
      <w:r>
        <w:rPr>
          <w:rFonts w:ascii="Times New Roman" w:hAnsi="Times New Roman" w:cs="Times New Roman"/>
        </w:rPr>
        <w:t>The project offers a practical fra</w:t>
      </w:r>
      <w:r>
        <w:rPr>
          <w:rFonts w:ascii="Times New Roman" w:hAnsi="Times New Roman" w:cs="Times New Roman"/>
        </w:rPr>
        <w:t>mework for community health organisations seeking to adopt data-driven approaches to SDOH. Transforming raw survey data into actionable dashboards aid the methodology to equip stakeholders with evidence for targeted resource allocation. The collaboration w</w:t>
      </w:r>
      <w:r>
        <w:rPr>
          <w:rFonts w:ascii="Times New Roman" w:hAnsi="Times New Roman" w:cs="Times New Roman"/>
        </w:rPr>
        <w:t>ith RCCCP highlights the importance of interdisciplinary partnerships in bridging gaps between informatics and public health. However, the technical challenges encountered, particularly in DHIS2 visualisation, highlight the need for ongoing capacity buildi</w:t>
      </w:r>
      <w:r>
        <w:rPr>
          <w:rFonts w:ascii="Times New Roman" w:hAnsi="Times New Roman" w:cs="Times New Roman"/>
        </w:rPr>
        <w:t>ng and adaptable tools.</w:t>
      </w:r>
    </w:p>
    <w:p w:rsidR="001F7E0D" w:rsidRDefault="00BC3178">
      <w:pPr>
        <w:spacing w:line="360" w:lineRule="auto"/>
        <w:rPr>
          <w:rFonts w:ascii="Times New Roman" w:hAnsi="Times New Roman" w:cs="Times New Roman"/>
          <w:b/>
          <w:bCs/>
        </w:rPr>
      </w:pPr>
      <w:r>
        <w:rPr>
          <w:rFonts w:ascii="Times New Roman" w:hAnsi="Times New Roman" w:cs="Times New Roman"/>
          <w:b/>
          <w:bCs/>
        </w:rPr>
        <w:t>Future Directions</w:t>
      </w:r>
    </w:p>
    <w:p w:rsidR="001F7E0D" w:rsidRDefault="00BC3178">
      <w:pPr>
        <w:spacing w:line="360" w:lineRule="auto"/>
        <w:jc w:val="both"/>
        <w:rPr>
          <w:rFonts w:ascii="Times New Roman" w:hAnsi="Times New Roman" w:cs="Times New Roman"/>
        </w:rPr>
      </w:pPr>
      <w:r>
        <w:rPr>
          <w:rFonts w:ascii="Times New Roman" w:hAnsi="Times New Roman" w:cs="Times New Roman"/>
        </w:rPr>
        <w:t>Scaling this model to Indiana and other regions presents both opportunities and challenges. Future implementations should prioritise modular customisation</w:t>
      </w:r>
      <w:r>
        <w:rPr>
          <w:rFonts w:ascii="Times New Roman" w:hAnsi="Times New Roman" w:cs="Times New Roman"/>
        </w:rPr>
        <w:t xml:space="preserve"> to accommodate local variations in SDOH factors. Additional research is needed to refine indices like the Support Need Index for diverse populations and to address ethical considerations in data usage. The project lays the </w:t>
      </w:r>
      <w:r>
        <w:rPr>
          <w:rFonts w:ascii="Times New Roman" w:hAnsi="Times New Roman" w:cs="Times New Roman"/>
        </w:rPr>
        <w:lastRenderedPageBreak/>
        <w:t>groundwork for further explorati</w:t>
      </w:r>
      <w:r>
        <w:rPr>
          <w:rFonts w:ascii="Times New Roman" w:hAnsi="Times New Roman" w:cs="Times New Roman"/>
        </w:rPr>
        <w:t>on of open-source solutions in reducing health inequities, calling for sustained investment in community health informatics infrastructure.</w:t>
      </w:r>
    </w:p>
    <w:p w:rsidR="001F7E0D" w:rsidRPr="00A765F4" w:rsidRDefault="00BC3178">
      <w:pPr>
        <w:rPr>
          <w:b/>
          <w:bCs/>
        </w:rPr>
      </w:pPr>
      <w:r w:rsidRPr="00A765F4">
        <w:rPr>
          <w:b/>
          <w:bCs/>
        </w:rPr>
        <w:t>Disclaimer (Artificial intelligence)</w:t>
      </w:r>
    </w:p>
    <w:p w:rsidR="001F7E0D" w:rsidRPr="00A765F4" w:rsidRDefault="00BC3178">
      <w:r w:rsidRPr="00A765F4">
        <w:t xml:space="preserve">Author(s) hereby declare that NO generative AI technologies such as </w:t>
      </w:r>
      <w:r w:rsidRPr="00A765F4">
        <w:t xml:space="preserve">Large Language Models (ChatGPT, COPILOT, etc.) and text-to-image generators have been used during the writing or editing of this manuscript. </w:t>
      </w:r>
      <w:bookmarkStart w:id="0" w:name="_GoBack"/>
      <w:bookmarkEnd w:id="0"/>
    </w:p>
    <w:p w:rsidR="001F7E0D" w:rsidRDefault="001F7E0D">
      <w:pPr>
        <w:spacing w:line="360" w:lineRule="auto"/>
        <w:jc w:val="both"/>
        <w:rPr>
          <w:rFonts w:ascii="Times New Roman" w:hAnsi="Times New Roman" w:cs="Times New Roman"/>
        </w:rPr>
      </w:pPr>
    </w:p>
    <w:p w:rsidR="001F7E0D" w:rsidRDefault="00BC3178">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REFERENCES</w:t>
      </w:r>
    </w:p>
    <w:p w:rsidR="001F7E0D" w:rsidRDefault="00BC3178">
      <w:pPr>
        <w:pStyle w:val="NormalWeb"/>
        <w:spacing w:line="360" w:lineRule="auto"/>
      </w:pPr>
      <w:r>
        <w:t xml:space="preserve">Alderwick, H., Hutchings, A., Briggs, A. and Mays, N. (2021). The impacts of collaboration between local health care and non-health care organizations and factors shaping how they work: A systematic review of reviews. </w:t>
      </w:r>
      <w:r>
        <w:rPr>
          <w:rStyle w:val="Emphasis"/>
          <w:rFonts w:eastAsia="SimSun"/>
        </w:rPr>
        <w:t>BMC Publ</w:t>
      </w:r>
      <w:r>
        <w:rPr>
          <w:rStyle w:val="Emphasis"/>
          <w:rFonts w:eastAsia="SimSun"/>
        </w:rPr>
        <w:t>ic Health</w:t>
      </w:r>
      <w:r>
        <w:t xml:space="preserve">, 21(1), p.753. Available at: </w:t>
      </w:r>
      <w:hyperlink r:id="rId6" w:tgtFrame="_new" w:history="1">
        <w:r>
          <w:rPr>
            <w:rStyle w:val="Hyperlink"/>
            <w:rFonts w:eastAsia="SimSun"/>
          </w:rPr>
          <w:t>https://doi.org/10.1186/s12889-021-10630-1</w:t>
        </w:r>
      </w:hyperlink>
      <w:r>
        <w:t xml:space="preserve"> [Accessed 17 July 2025].</w:t>
      </w:r>
    </w:p>
    <w:p w:rsidR="001F7E0D" w:rsidRDefault="00BC3178">
      <w:pPr>
        <w:pStyle w:val="NormalWeb"/>
        <w:spacing w:line="360" w:lineRule="auto"/>
      </w:pPr>
      <w:r>
        <w:t xml:space="preserve">Alimi, R.A., Alabi, M.O., Muhammad, S. and Ibraheem, T.O. (2025). Mixed-Methods </w:t>
      </w:r>
      <w:r>
        <w:t xml:space="preserve">Analysis of Breast Self-Examination among 300 Women in Ilorin, Nigeria: Logistic Regression Modelling and Thematic Analysis of Screening Practice. </w:t>
      </w:r>
      <w:r>
        <w:rPr>
          <w:rStyle w:val="Emphasis"/>
          <w:rFonts w:eastAsia="SimSun"/>
        </w:rPr>
        <w:t>Journal of Medicine and Health Research</w:t>
      </w:r>
      <w:r>
        <w:t xml:space="preserve">, 10(2), pp.66–77. </w:t>
      </w:r>
      <w:hyperlink r:id="rId7" w:history="1">
        <w:r>
          <w:rPr>
            <w:rStyle w:val="Hyperlink"/>
          </w:rPr>
          <w:t>https://doi.org/10.56557/jomahr/2025/v10i29478</w:t>
        </w:r>
      </w:hyperlink>
      <w:r>
        <w:t xml:space="preserve">  [Accessed 28 July 2025].</w:t>
      </w:r>
    </w:p>
    <w:p w:rsidR="001F7E0D" w:rsidRDefault="00BC3178">
      <w:pPr>
        <w:pStyle w:val="NormalWeb"/>
        <w:spacing w:line="360" w:lineRule="auto"/>
      </w:pPr>
      <w:r>
        <w:t xml:space="preserve">Ancker, J.S., Edwards, A., Nosal, S., Hauser, D., Mauer, E. and Kaushal, R. (2017). Effects of workload, work complexity, and repeated alerts on alert fatigue in a clinical decision support system. </w:t>
      </w:r>
      <w:r>
        <w:rPr>
          <w:rStyle w:val="Emphasis"/>
          <w:rFonts w:eastAsia="SimSun"/>
        </w:rPr>
        <w:t>BMC Medical Informatics and Decision Making</w:t>
      </w:r>
      <w:r>
        <w:t xml:space="preserve">, 17(1), p.36. </w:t>
      </w:r>
      <w:r>
        <w:t xml:space="preserve">Available at: </w:t>
      </w:r>
      <w:hyperlink r:id="rId8" w:history="1">
        <w:r>
          <w:rPr>
            <w:rStyle w:val="Hyperlink"/>
          </w:rPr>
          <w:t>https://doi.org/10.1186/s12911-017-0430-8</w:t>
        </w:r>
      </w:hyperlink>
      <w:r>
        <w:t xml:space="preserve"> [Accessed 18 July 2025].</w:t>
      </w:r>
    </w:p>
    <w:p w:rsidR="001F7E0D" w:rsidRDefault="00BC3178">
      <w:pPr>
        <w:pStyle w:val="NormalWeb"/>
        <w:spacing w:line="360" w:lineRule="auto"/>
      </w:pPr>
      <w:r>
        <w:t>Arias, V.B., Amor, A.M., Verdugo, M.A., Fernández, M., Arias, B. and Aza, A. (2020). Toward a better “person–environm</w:t>
      </w:r>
      <w:r>
        <w:t xml:space="preserve">ent fit” through items calibration of the SIS-C. </w:t>
      </w:r>
      <w:r>
        <w:rPr>
          <w:rStyle w:val="Emphasis"/>
          <w:rFonts w:eastAsia="SimSun"/>
        </w:rPr>
        <w:t>International Journal of Environmental Research and Public Health</w:t>
      </w:r>
      <w:r>
        <w:t xml:space="preserve">, 17(10), p.3471. Available at: </w:t>
      </w:r>
      <w:hyperlink r:id="rId9" w:tgtFrame="_new" w:history="1">
        <w:r>
          <w:rPr>
            <w:rStyle w:val="Hyperlink"/>
            <w:rFonts w:eastAsia="SimSun"/>
          </w:rPr>
          <w:t>https://doi.org/10.3390/ijerph17103471</w:t>
        </w:r>
      </w:hyperlink>
      <w:r>
        <w:t xml:space="preserve"> [Acces</w:t>
      </w:r>
      <w:r>
        <w:t>sed 19 July 2025].</w:t>
      </w:r>
    </w:p>
    <w:p w:rsidR="001F7E0D" w:rsidRDefault="00BC3178">
      <w:pPr>
        <w:pStyle w:val="NormalWeb"/>
        <w:spacing w:line="360" w:lineRule="auto"/>
      </w:pPr>
      <w:r>
        <w:t xml:space="preserve">Cantor, M.N. and Thorpe, L. (2018). Integrating Data On Social Determinants Of Health Into Electronic Health Records. </w:t>
      </w:r>
      <w:r>
        <w:rPr>
          <w:rStyle w:val="Emphasis"/>
          <w:rFonts w:eastAsia="SimSun"/>
        </w:rPr>
        <w:t>Health Affairs (Millwood)</w:t>
      </w:r>
      <w:r>
        <w:t xml:space="preserve">, 37(4), pp.585–590. </w:t>
      </w:r>
      <w:hyperlink r:id="rId10" w:history="1">
        <w:r>
          <w:rPr>
            <w:rStyle w:val="Hyperlink"/>
          </w:rPr>
          <w:t>https://doi.org/10</w:t>
        </w:r>
        <w:r>
          <w:rPr>
            <w:rStyle w:val="Hyperlink"/>
          </w:rPr>
          <w:t>.1377/hlthaff.2017.1252</w:t>
        </w:r>
      </w:hyperlink>
      <w:r>
        <w:t xml:space="preserve"> [Accessed 28 July 2025].</w:t>
      </w:r>
    </w:p>
    <w:p w:rsidR="001F7E0D" w:rsidRDefault="00BC3178">
      <w:pPr>
        <w:pStyle w:val="NormalWeb"/>
        <w:spacing w:line="360" w:lineRule="auto"/>
      </w:pPr>
      <w:r>
        <w:lastRenderedPageBreak/>
        <w:t>Craig, K.J.T., Fusco, N., Gunnarsdottir, T., Chamberland, L., Snowdon, J.L. and Kassler, W.J. (2021). Leveraging data and digital health technologies to assess and impact social determinants of health (SD</w:t>
      </w:r>
      <w:r>
        <w:t xml:space="preserve">oH): A state-of-the-art literature review. </w:t>
      </w:r>
      <w:r>
        <w:rPr>
          <w:rStyle w:val="Emphasis"/>
          <w:rFonts w:eastAsia="SimSun"/>
        </w:rPr>
        <w:t>Online Journal of Public Health Informatics</w:t>
      </w:r>
      <w:r>
        <w:t xml:space="preserve">, 13(3), p.E14. Available at: </w:t>
      </w:r>
      <w:hyperlink r:id="rId11" w:history="1">
        <w:r>
          <w:rPr>
            <w:rStyle w:val="Hyperlink"/>
          </w:rPr>
          <w:t>https://doi.org/10.5210/ojphi.v13i3.11081</w:t>
        </w:r>
      </w:hyperlink>
      <w:r>
        <w:t xml:space="preserve"> [Accessed 18 July 2025].</w:t>
      </w:r>
    </w:p>
    <w:p w:rsidR="001F7E0D" w:rsidRDefault="00BC3178">
      <w:pPr>
        <w:pStyle w:val="NormalWeb"/>
        <w:spacing w:line="360" w:lineRule="auto"/>
      </w:pPr>
      <w:r>
        <w:t>Fichtenberg, C.</w:t>
      </w:r>
      <w:r>
        <w:t xml:space="preserve">M., Alley, D.E. and Mistry, K.B. (2019). Improving social needs intervention research: Key questions for advancing the field. </w:t>
      </w:r>
      <w:r>
        <w:rPr>
          <w:rStyle w:val="Emphasis"/>
          <w:rFonts w:eastAsia="SimSun"/>
        </w:rPr>
        <w:t>American Journal of Preventive Medicine</w:t>
      </w:r>
      <w:r>
        <w:t xml:space="preserve">, 57(6 Suppl 1), pp.S47–S54. Available at: </w:t>
      </w:r>
      <w:hyperlink r:id="rId12" w:history="1">
        <w:r>
          <w:rPr>
            <w:rStyle w:val="Hyperlink"/>
          </w:rPr>
          <w:t>https://doi.org/10.1016/j.amepre.2019.07.018</w:t>
        </w:r>
      </w:hyperlink>
      <w:r>
        <w:t xml:space="preserve"> [Accessed 19 July 2025].</w:t>
      </w:r>
    </w:p>
    <w:p w:rsidR="001F7E0D" w:rsidRDefault="00BC3178">
      <w:pPr>
        <w:pStyle w:val="NormalWeb"/>
        <w:spacing w:line="360" w:lineRule="auto"/>
      </w:pPr>
      <w:r>
        <w:t>Gurewich</w:t>
      </w:r>
      <w:r>
        <w:t xml:space="preserve">, D., Garg, A. and Kressin, N.R. (2020). Addressing social determinants of health within healthcare delivery systems: A framework to ground and inform health outcomes. </w:t>
      </w:r>
      <w:r>
        <w:rPr>
          <w:rStyle w:val="Emphasis"/>
          <w:rFonts w:eastAsia="SimSun"/>
        </w:rPr>
        <w:t>Journal of General Internal Medicine</w:t>
      </w:r>
      <w:r>
        <w:t xml:space="preserve">, 35(5), pp.1571–1575. Available at: </w:t>
      </w:r>
      <w:hyperlink r:id="rId13" w:history="1">
        <w:r>
          <w:rPr>
            <w:rStyle w:val="Hyperlink"/>
          </w:rPr>
          <w:t>https://doi.org/10.1007/s11606-020-05720-6</w:t>
        </w:r>
      </w:hyperlink>
      <w:r>
        <w:t xml:space="preserve"> [Accessed 19 July 2025].</w:t>
      </w:r>
    </w:p>
    <w:p w:rsidR="001F7E0D" w:rsidRDefault="00BC3178">
      <w:pPr>
        <w:pStyle w:val="NormalWeb"/>
        <w:spacing w:line="360" w:lineRule="auto"/>
      </w:pPr>
      <w:r>
        <w:t xml:space="preserve">Kirilov, N. (2024). Capture of real-time data from electronic health records: scenarios and solutions. </w:t>
      </w:r>
      <w:r>
        <w:rPr>
          <w:rStyle w:val="Emphasis"/>
          <w:rFonts w:eastAsia="SimSun"/>
        </w:rPr>
        <w:t>Mhealth</w:t>
      </w:r>
      <w:r>
        <w:t xml:space="preserve">, 10, p.14. </w:t>
      </w:r>
      <w:hyperlink r:id="rId14" w:history="1">
        <w:r>
          <w:rPr>
            <w:rStyle w:val="Hyperlink"/>
          </w:rPr>
          <w:t>https://doi.org/10.21037/mhealth-24-2</w:t>
        </w:r>
      </w:hyperlink>
      <w:r>
        <w:t xml:space="preserve"> [Accessed 28 July 2025].</w:t>
      </w:r>
    </w:p>
    <w:p w:rsidR="001F7E0D" w:rsidRDefault="00BC3178">
      <w:pPr>
        <w:pStyle w:val="NormalWeb"/>
        <w:spacing w:line="360" w:lineRule="auto"/>
      </w:pPr>
      <w:r>
        <w:t>Kreuter, M.W., Thompson, T., McQueen, A. and Garg, R. (2021). Addressing social needs in health care settings: Evidence, challenges, and opportunities for public</w:t>
      </w:r>
      <w:r>
        <w:t xml:space="preserve"> health. </w:t>
      </w:r>
      <w:r>
        <w:rPr>
          <w:rStyle w:val="Emphasis"/>
          <w:rFonts w:eastAsia="SimSun"/>
        </w:rPr>
        <w:t>Annual Review of Public Health</w:t>
      </w:r>
      <w:r>
        <w:t xml:space="preserve">, 42, pp.329–344. Available at: </w:t>
      </w:r>
      <w:hyperlink r:id="rId15" w:history="1">
        <w:r>
          <w:rPr>
            <w:rStyle w:val="Hyperlink"/>
          </w:rPr>
          <w:t>https://doi.org/10.1146/annurev-publhealth-090419-102204</w:t>
        </w:r>
      </w:hyperlink>
      <w:r>
        <w:t xml:space="preserve"> [Accessed 19 July 2025].</w:t>
      </w:r>
    </w:p>
    <w:p w:rsidR="001F7E0D" w:rsidRDefault="00BC3178">
      <w:pPr>
        <w:pStyle w:val="NormalWeb"/>
        <w:spacing w:line="360" w:lineRule="auto"/>
      </w:pPr>
      <w:r>
        <w:t>Lindenfeld, Z., Franz, B., Lai</w:t>
      </w:r>
      <w:r>
        <w:t xml:space="preserve">, A.Y., Pagán, J.A., Fenstemaker, C., Cronin, C.E. and Chang, J.E. (2025). Forging hospital and community partnerships to enable care coordination for opioid use disorder. </w:t>
      </w:r>
      <w:r>
        <w:rPr>
          <w:rStyle w:val="Emphasis"/>
          <w:rFonts w:eastAsia="SimSun"/>
        </w:rPr>
        <w:t>Addiction Science &amp; Clinical Practice</w:t>
      </w:r>
      <w:r>
        <w:t xml:space="preserve">, 20(1), p.37. </w:t>
      </w:r>
      <w:hyperlink r:id="rId16" w:history="1">
        <w:r>
          <w:rPr>
            <w:rStyle w:val="Hyperlink"/>
          </w:rPr>
          <w:t>https://doi.org/10.1186/s13722-025-00565-y</w:t>
        </w:r>
      </w:hyperlink>
      <w:r>
        <w:t xml:space="preserve"> [Accessed 28 July 2025].</w:t>
      </w:r>
    </w:p>
    <w:p w:rsidR="001F7E0D" w:rsidRDefault="00BC3178">
      <w:pPr>
        <w:pStyle w:val="NormalWeb"/>
        <w:spacing w:line="360" w:lineRule="auto"/>
      </w:pPr>
      <w:r>
        <w:t xml:space="preserve">Luke, M.J. and Vasan, A. (2023). From incentives to outcomes: A framework for implementing and evaluating social needs interventions. </w:t>
      </w:r>
      <w:r>
        <w:rPr>
          <w:rStyle w:val="Emphasis"/>
          <w:rFonts w:eastAsia="SimSun"/>
        </w:rPr>
        <w:t>Hospital Pediatrics</w:t>
      </w:r>
      <w:r>
        <w:t>, 13(10)</w:t>
      </w:r>
      <w:r>
        <w:t xml:space="preserve">, pp.e295–e298. Available at: </w:t>
      </w:r>
      <w:hyperlink r:id="rId17" w:history="1">
        <w:r>
          <w:rPr>
            <w:rStyle w:val="Hyperlink"/>
          </w:rPr>
          <w:t>https://doi.org/10.1542/hpeds.2023-007375</w:t>
        </w:r>
      </w:hyperlink>
      <w:r>
        <w:t xml:space="preserve"> [Accessed 16 July 2025].</w:t>
      </w:r>
    </w:p>
    <w:p w:rsidR="001F7E0D" w:rsidRDefault="00BC3178">
      <w:pPr>
        <w:pStyle w:val="NormalWeb"/>
        <w:spacing w:line="360" w:lineRule="auto"/>
      </w:pPr>
      <w:r>
        <w:lastRenderedPageBreak/>
        <w:t xml:space="preserve">Luo, W. and MacEachren, A.M. (2014). Geo-social visual analytics. </w:t>
      </w:r>
      <w:r>
        <w:rPr>
          <w:rStyle w:val="Emphasis"/>
          <w:rFonts w:eastAsia="SimSun"/>
        </w:rPr>
        <w:t>Journal of Spatial Information Scie</w:t>
      </w:r>
      <w:r>
        <w:rPr>
          <w:rStyle w:val="Emphasis"/>
          <w:rFonts w:eastAsia="SimSun"/>
        </w:rPr>
        <w:t>nce</w:t>
      </w:r>
      <w:r>
        <w:t xml:space="preserve">, 2014(8), pp.27–66. Available at: </w:t>
      </w:r>
      <w:hyperlink r:id="rId18" w:history="1">
        <w:r>
          <w:rPr>
            <w:rStyle w:val="Hyperlink"/>
          </w:rPr>
          <w:t>https://doi.org/10.5311/JOSIS.2014.8.177</w:t>
        </w:r>
      </w:hyperlink>
      <w:r>
        <w:t xml:space="preserve">  [Accessed 19 July 2025].</w:t>
      </w:r>
    </w:p>
    <w:p w:rsidR="001F7E0D" w:rsidRDefault="00BC3178">
      <w:pPr>
        <w:pStyle w:val="NormalWeb"/>
        <w:spacing w:line="360" w:lineRule="auto"/>
      </w:pPr>
      <w:r>
        <w:t>Markatou, M., Kennedy, O., Brachmann, M., Mukhopadhyay, R., Dharia, A. and Talal, A.H. (2023).</w:t>
      </w:r>
      <w:r>
        <w:t xml:space="preserve"> Social determinants of health derived from people with opioid use disorder: Improving data collection, integration and use with cross-domain collaboration and reproducible, data-centric, notebook-style workflows. </w:t>
      </w:r>
      <w:r>
        <w:rPr>
          <w:rStyle w:val="Emphasis"/>
          <w:rFonts w:eastAsia="SimSun"/>
        </w:rPr>
        <w:t>Frontiers in Medicine</w:t>
      </w:r>
      <w:r>
        <w:t>, 10, p.1076794. Avai</w:t>
      </w:r>
      <w:r>
        <w:t xml:space="preserve">lable at: </w:t>
      </w:r>
      <w:hyperlink r:id="rId19" w:history="1">
        <w:r>
          <w:rPr>
            <w:rStyle w:val="Hyperlink"/>
          </w:rPr>
          <w:t>https://doi.org/10.3389/fmed.2023.1076794</w:t>
        </w:r>
      </w:hyperlink>
      <w:r>
        <w:t xml:space="preserve"> [Accessed 19 July 2025].</w:t>
      </w:r>
    </w:p>
    <w:p w:rsidR="001F7E0D" w:rsidRDefault="00BC3178">
      <w:pPr>
        <w:pStyle w:val="NormalWeb"/>
        <w:spacing w:line="360" w:lineRule="auto"/>
      </w:pPr>
      <w:r>
        <w:t>Musheke, M.M. and Phiri, J. (2021). The effects of effective communication on organisational performance based on the sys</w:t>
      </w:r>
      <w:r>
        <w:t xml:space="preserve">tems theory. </w:t>
      </w:r>
      <w:r>
        <w:rPr>
          <w:rStyle w:val="Emphasis"/>
          <w:rFonts w:eastAsia="SimSun"/>
        </w:rPr>
        <w:t>Open Journal of Business and Management</w:t>
      </w:r>
      <w:r>
        <w:t xml:space="preserve">, 9(2), pp.659–671. Available at: </w:t>
      </w:r>
      <w:hyperlink r:id="rId20" w:history="1">
        <w:r>
          <w:rPr>
            <w:rStyle w:val="Hyperlink"/>
          </w:rPr>
          <w:t>https://doi.org/10.4236/ojbm.2021.92034</w:t>
        </w:r>
      </w:hyperlink>
      <w:r>
        <w:t xml:space="preserve"> [Accessed 19 July 2025].</w:t>
      </w:r>
    </w:p>
    <w:p w:rsidR="001F7E0D" w:rsidRDefault="00BC3178">
      <w:pPr>
        <w:pStyle w:val="NormalWeb"/>
        <w:spacing w:line="360" w:lineRule="auto"/>
      </w:pPr>
      <w:r>
        <w:t>Rangachari, P., Thapa, A., Sherpa, D.L., Katukuri</w:t>
      </w:r>
      <w:r>
        <w:t xml:space="preserve">, K., Ramadyani, K., Jaidi, H.M. and Goodrum, L. (2024). Characteristics of hospital and health system initiatives to address social determinants of health in the United States: A scoping review of the peer-reviewed literature. </w:t>
      </w:r>
      <w:r>
        <w:rPr>
          <w:rStyle w:val="Emphasis"/>
          <w:rFonts w:eastAsia="SimSun"/>
        </w:rPr>
        <w:t>Frontiers in Public Health</w:t>
      </w:r>
      <w:r>
        <w:t xml:space="preserve">, </w:t>
      </w:r>
      <w:r>
        <w:t xml:space="preserve">12, p.1413205. Available at: </w:t>
      </w:r>
      <w:hyperlink r:id="rId21" w:history="1">
        <w:r>
          <w:rPr>
            <w:rStyle w:val="Hyperlink"/>
          </w:rPr>
          <w:t>https://doi.org/10.3389/fpubh.2024.1413205</w:t>
        </w:r>
      </w:hyperlink>
      <w:r>
        <w:t xml:space="preserve"> [Accessed 16 July 2025].  </w:t>
      </w:r>
    </w:p>
    <w:p w:rsidR="001F7E0D" w:rsidRDefault="001F7E0D">
      <w:pPr>
        <w:autoSpaceDE w:val="0"/>
        <w:autoSpaceDN w:val="0"/>
        <w:adjustRightInd w:val="0"/>
        <w:spacing w:after="0" w:line="240" w:lineRule="auto"/>
        <w:jc w:val="both"/>
        <w:rPr>
          <w:rFonts w:ascii="Times New Roman" w:hAnsi="Times New Roman" w:cs="Times New Roman"/>
        </w:rPr>
      </w:pPr>
    </w:p>
    <w:p w:rsidR="001F7E0D" w:rsidRDefault="001F7E0D">
      <w:pPr>
        <w:jc w:val="both"/>
        <w:rPr>
          <w:rFonts w:ascii="Times New Roman" w:hAnsi="Times New Roman" w:cs="Times New Roman"/>
        </w:rPr>
      </w:pPr>
    </w:p>
    <w:sectPr w:rsidR="001F7E0D">
      <w:headerReference w:type="even" r:id="rId22"/>
      <w:headerReference w:type="default" r:id="rId23"/>
      <w:footerReference w:type="even" r:id="rId24"/>
      <w:footerReference w:type="default" r:id="rId25"/>
      <w:head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178" w:rsidRDefault="00BC3178">
      <w:pPr>
        <w:spacing w:after="0" w:line="240" w:lineRule="auto"/>
      </w:pPr>
      <w:r>
        <w:separator/>
      </w:r>
    </w:p>
  </w:endnote>
  <w:endnote w:type="continuationSeparator" w:id="0">
    <w:p w:rsidR="00BC3178" w:rsidRDefault="00BC3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E0D" w:rsidRDefault="001F7E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E0D" w:rsidRDefault="00BC3178">
    <w:pPr>
      <w:pStyle w:val="Footer"/>
      <w:jc w:val="center"/>
    </w:pPr>
    <w:r>
      <w:fldChar w:fldCharType="begin"/>
    </w:r>
    <w:r>
      <w:instrText xml:space="preserve"> PAGE   \* MERGEFORMAT </w:instrText>
    </w:r>
    <w:r>
      <w:fldChar w:fldCharType="separate"/>
    </w:r>
    <w:r w:rsidR="00A765F4">
      <w:rPr>
        <w:noProof/>
      </w:rPr>
      <w:t>13</w:t>
    </w:r>
    <w:r>
      <w:rPr>
        <w:noProof/>
      </w:rPr>
      <w:fldChar w:fldCharType="end"/>
    </w:r>
  </w:p>
  <w:p w:rsidR="001F7E0D" w:rsidRDefault="001F7E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178" w:rsidRDefault="00BC3178">
      <w:pPr>
        <w:spacing w:after="0" w:line="240" w:lineRule="auto"/>
      </w:pPr>
      <w:r>
        <w:separator/>
      </w:r>
    </w:p>
  </w:footnote>
  <w:footnote w:type="continuationSeparator" w:id="0">
    <w:p w:rsidR="00BC3178" w:rsidRDefault="00BC31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E0D" w:rsidRDefault="00BC31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93.85pt;height:65.9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E0D" w:rsidRDefault="00BC31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93.85pt;height:65.9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E0D" w:rsidRDefault="00BC31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93.85pt;height:65.9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E0D"/>
    <w:rsid w:val="001F7E0D"/>
    <w:rsid w:val="005B3150"/>
    <w:rsid w:val="00A765F4"/>
    <w:rsid w:val="00BC31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4A552513-A6D2-43B9-B7A6-E17B58F1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SimSun" w:hAnsi="Aptos" w:cs="Arial"/>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s="Times New Roman"/>
      <w:color w:val="0F4761"/>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Aptos Display" w:hAnsi="Aptos Display" w:cs="Times New Roman"/>
      <w:color w:val="0F4761"/>
      <w:sz w:val="32"/>
      <w:szCs w:val="32"/>
    </w:rPr>
  </w:style>
  <w:style w:type="paragraph" w:styleId="Heading3">
    <w:name w:val="heading 3"/>
    <w:basedOn w:val="Normal"/>
    <w:next w:val="Normal"/>
    <w:link w:val="Heading3Char"/>
    <w:uiPriority w:val="9"/>
    <w:qFormat/>
    <w:pPr>
      <w:keepNext/>
      <w:keepLines/>
      <w:spacing w:before="160" w:after="80"/>
      <w:outlineLvl w:val="2"/>
    </w:pPr>
    <w:rPr>
      <w:rFonts w:cs="Times New Roman"/>
      <w:color w:val="0F4761"/>
      <w:sz w:val="28"/>
      <w:szCs w:val="28"/>
    </w:rPr>
  </w:style>
  <w:style w:type="paragraph" w:styleId="Heading4">
    <w:name w:val="heading 4"/>
    <w:basedOn w:val="Normal"/>
    <w:next w:val="Normal"/>
    <w:link w:val="Heading4Char"/>
    <w:uiPriority w:val="9"/>
    <w:qFormat/>
    <w:pPr>
      <w:keepNext/>
      <w:keepLines/>
      <w:spacing w:before="80" w:after="40"/>
      <w:outlineLvl w:val="3"/>
    </w:pPr>
    <w:rPr>
      <w:rFonts w:cs="Times New Roman"/>
      <w:i/>
      <w:iCs/>
      <w:color w:val="0F4761"/>
    </w:rPr>
  </w:style>
  <w:style w:type="paragraph" w:styleId="Heading5">
    <w:name w:val="heading 5"/>
    <w:basedOn w:val="Normal"/>
    <w:next w:val="Normal"/>
    <w:link w:val="Heading5Char"/>
    <w:uiPriority w:val="9"/>
    <w:qFormat/>
    <w:pPr>
      <w:keepNext/>
      <w:keepLines/>
      <w:spacing w:before="80" w:after="40"/>
      <w:outlineLvl w:val="4"/>
    </w:pPr>
    <w:rPr>
      <w:rFonts w:cs="Times New Roman"/>
      <w:color w:val="0F4761"/>
    </w:rPr>
  </w:style>
  <w:style w:type="paragraph" w:styleId="Heading6">
    <w:name w:val="heading 6"/>
    <w:basedOn w:val="Normal"/>
    <w:next w:val="Normal"/>
    <w:link w:val="Heading6Char"/>
    <w:uiPriority w:val="9"/>
    <w:qFormat/>
    <w:pPr>
      <w:keepNext/>
      <w:keepLines/>
      <w:spacing w:before="40" w:after="0"/>
      <w:outlineLvl w:val="5"/>
    </w:pPr>
    <w:rPr>
      <w:rFonts w:cs="Times New Roman"/>
      <w:i/>
      <w:iCs/>
      <w:color w:val="595959"/>
    </w:rPr>
  </w:style>
  <w:style w:type="paragraph" w:styleId="Heading7">
    <w:name w:val="heading 7"/>
    <w:basedOn w:val="Normal"/>
    <w:next w:val="Normal"/>
    <w:link w:val="Heading7Char"/>
    <w:uiPriority w:val="9"/>
    <w:qFormat/>
    <w:pPr>
      <w:keepNext/>
      <w:keepLines/>
      <w:spacing w:before="40" w:after="0"/>
      <w:outlineLvl w:val="6"/>
    </w:pPr>
    <w:rPr>
      <w:rFonts w:cs="Times New Roman"/>
      <w:color w:val="595959"/>
    </w:rPr>
  </w:style>
  <w:style w:type="paragraph" w:styleId="Heading8">
    <w:name w:val="heading 8"/>
    <w:basedOn w:val="Normal"/>
    <w:next w:val="Normal"/>
    <w:link w:val="Heading8Char"/>
    <w:uiPriority w:val="9"/>
    <w:qFormat/>
    <w:pPr>
      <w:keepNext/>
      <w:keepLines/>
      <w:spacing w:after="0"/>
      <w:outlineLvl w:val="7"/>
    </w:pPr>
    <w:rPr>
      <w:rFonts w:cs="Times New Roman"/>
      <w:i/>
      <w:iCs/>
      <w:color w:val="272727"/>
    </w:rPr>
  </w:style>
  <w:style w:type="paragraph" w:styleId="Heading9">
    <w:name w:val="heading 9"/>
    <w:basedOn w:val="Normal"/>
    <w:next w:val="Normal"/>
    <w:link w:val="Heading9Char"/>
    <w:uiPriority w:val="9"/>
    <w:qFormat/>
    <w:pPr>
      <w:keepNext/>
      <w:keepLines/>
      <w:spacing w:after="0"/>
      <w:outlineLvl w:val="8"/>
    </w:pPr>
    <w:rPr>
      <w:rFonts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Times New Roma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Times New Roman"/>
      <w:color w:val="0F4761"/>
      <w:sz w:val="32"/>
      <w:szCs w:val="32"/>
    </w:rPr>
  </w:style>
  <w:style w:type="character" w:customStyle="1" w:styleId="Heading3Char">
    <w:name w:val="Heading 3 Char"/>
    <w:basedOn w:val="DefaultParagraphFont"/>
    <w:link w:val="Heading3"/>
    <w:uiPriority w:val="9"/>
    <w:rPr>
      <w:rFonts w:eastAsia="SimSun" w:cs="Times New Roman"/>
      <w:color w:val="0F4761"/>
      <w:sz w:val="28"/>
      <w:szCs w:val="28"/>
    </w:rPr>
  </w:style>
  <w:style w:type="character" w:customStyle="1" w:styleId="Heading4Char">
    <w:name w:val="Heading 4 Char"/>
    <w:basedOn w:val="DefaultParagraphFont"/>
    <w:link w:val="Heading4"/>
    <w:uiPriority w:val="9"/>
    <w:rPr>
      <w:rFonts w:eastAsia="SimSun" w:cs="Times New Roman"/>
      <w:i/>
      <w:iCs/>
      <w:color w:val="0F4761"/>
    </w:rPr>
  </w:style>
  <w:style w:type="character" w:customStyle="1" w:styleId="Heading5Char">
    <w:name w:val="Heading 5 Char"/>
    <w:basedOn w:val="DefaultParagraphFont"/>
    <w:link w:val="Heading5"/>
    <w:uiPriority w:val="9"/>
    <w:rPr>
      <w:rFonts w:eastAsia="SimSun" w:cs="Times New Roman"/>
      <w:color w:val="0F4761"/>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character" w:customStyle="1" w:styleId="TitleChar">
    <w:name w:val="Title Char"/>
    <w:basedOn w:val="DefaultParagraphFont"/>
    <w:link w:val="Title"/>
    <w:uiPriority w:val="10"/>
    <w:rPr>
      <w:rFonts w:ascii="Aptos Display" w:eastAsia="SimSun" w:hAnsi="Aptos Display" w:cs="Times New Roman"/>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Aptos Display" w:hAnsi="Aptos Display" w:cs="Times New Roman"/>
      <w:spacing w:val="-10"/>
      <w:kern w:val="28"/>
      <w:sz w:val="56"/>
      <w:szCs w:val="56"/>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Subtitle">
    <w:name w:val="Subtitle"/>
    <w:basedOn w:val="Normal"/>
    <w:next w:val="Normal"/>
    <w:link w:val="SubtitleChar"/>
    <w:uiPriority w:val="11"/>
    <w:qFormat/>
    <w:pPr>
      <w:numPr>
        <w:ilvl w:val="1"/>
      </w:numPr>
    </w:pPr>
    <w:rPr>
      <w:rFonts w:cs="Times New Roman"/>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character" w:styleId="Hyperlink">
    <w:name w:val="Hyperlink"/>
    <w:basedOn w:val="DefaultParagraphFont"/>
    <w:uiPriority w:val="99"/>
    <w:rPr>
      <w:color w:val="467886"/>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lang w:eastAsia="en-US"/>
    </w:rPr>
  </w:style>
  <w:style w:type="character" w:styleId="Emphasis">
    <w:name w:val="Emphasis"/>
    <w:basedOn w:val="DefaultParagraphFont"/>
    <w:uiPriority w:val="20"/>
    <w:qFormat/>
    <w:rPr>
      <w:i/>
      <w:iCs/>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Strong">
    <w:name w:val="Strong"/>
    <w:basedOn w:val="DefaultParagraphFont"/>
    <w:uiPriority w:val="22"/>
    <w:qFormat/>
    <w:rPr>
      <w:b/>
      <w:bCs/>
    </w:rPr>
  </w:style>
  <w:style w:type="character" w:customStyle="1" w:styleId="UnresolvedMention">
    <w:name w:val="Unresolved Mention"/>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oi.org/10.1186/s12911-017-0430-8" TargetMode="External"/><Relationship Id="rId13" Type="http://schemas.openxmlformats.org/officeDocument/2006/relationships/hyperlink" Target="https://doi.org/10.1007/s11606-020-05720-6" TargetMode="External"/><Relationship Id="rId18" Type="http://schemas.openxmlformats.org/officeDocument/2006/relationships/hyperlink" Target="https://doi.org/10.5311/JOSIS.2014.8.177"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doi.org/10.3389/fpubh.2024.1413205" TargetMode="External"/><Relationship Id="rId7" Type="http://schemas.openxmlformats.org/officeDocument/2006/relationships/hyperlink" Target="https://doi.org/10.56557/jomahr/2025/v10i29478" TargetMode="External"/><Relationship Id="rId12" Type="http://schemas.openxmlformats.org/officeDocument/2006/relationships/hyperlink" Target="https://doi.org/10.1016/j.amepre.2019.07.018" TargetMode="External"/><Relationship Id="rId17" Type="http://schemas.openxmlformats.org/officeDocument/2006/relationships/hyperlink" Target="https://doi.org/10.1542/hpeds.2023-007375"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doi.org/10.1186/s13722-025-00565-y" TargetMode="External"/><Relationship Id="rId20" Type="http://schemas.openxmlformats.org/officeDocument/2006/relationships/hyperlink" Target="https://doi.org/10.4236/ojbm.2021.92034" TargetMode="External"/><Relationship Id="rId1" Type="http://schemas.openxmlformats.org/officeDocument/2006/relationships/styles" Target="styles.xml"/><Relationship Id="rId6" Type="http://schemas.openxmlformats.org/officeDocument/2006/relationships/hyperlink" Target="https://doi.org/10.1186/s12889-021-10630-1" TargetMode="External"/><Relationship Id="rId11" Type="http://schemas.openxmlformats.org/officeDocument/2006/relationships/hyperlink" Target="https://doi.org/10.5210/ojphi.v13i3.11081"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doi.org/10.1146/annurev-publhealth-090419-102204"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doi.org/10.1377/hlthaff.2017.1252" TargetMode="External"/><Relationship Id="rId19" Type="http://schemas.openxmlformats.org/officeDocument/2006/relationships/hyperlink" Target="https://doi.org/10.3389/fmed.2023.1076794" TargetMode="External"/><Relationship Id="rId4" Type="http://schemas.openxmlformats.org/officeDocument/2006/relationships/footnotes" Target="footnotes.xml"/><Relationship Id="rId9" Type="http://schemas.openxmlformats.org/officeDocument/2006/relationships/hyperlink" Target="https://doi.org/10.3390/ijerph17103471" TargetMode="External"/><Relationship Id="rId14" Type="http://schemas.openxmlformats.org/officeDocument/2006/relationships/hyperlink" Target="https://doi.org/10.21037/mhealth-24-2"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4312</Words>
  <Characters>29541</Characters>
  <Application>Microsoft Office Word</Application>
  <DocSecurity>0</DocSecurity>
  <Lines>492</Lines>
  <Paragraphs>155</Paragraphs>
  <ScaleCrop>false</ScaleCrop>
  <Company/>
  <LinksUpToDate>false</LinksUpToDate>
  <CharactersWithSpaces>33698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Adepoju, Daniel Adeyemi</dc:creator>
  <cp:lastModifiedBy>Microsoft account</cp:lastModifiedBy>
  <cp:revision>3</cp:revision>
  <dcterms:created xsi:type="dcterms:W3CDTF">2025-08-04T20:28:00Z</dcterms:created>
  <dcterms:modified xsi:type="dcterms:W3CDTF">2025-08-04T20:29:00Z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574f78a5-2c3c-44f5-8126-99b50c3ad60d</vt:lpwstr>
  </property>
  <property fmtid="{D5CDD505-2E9C-101B-9397-08002B2CF9AE}" pid="3" name="ICV">
    <vt:lpwstr>59d142ad2e6140ae81cd660cfb21ba5d</vt:lpwstr>
  </property>
</Properties>
</file>