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54B1" w14:textId="77777777" w:rsidR="008E1B3A" w:rsidRPr="008E1B3A" w:rsidRDefault="008E1B3A" w:rsidP="008E1B3A">
      <w:pPr>
        <w:spacing w:after="0" w:line="240" w:lineRule="auto"/>
        <w:jc w:val="center"/>
        <w:rPr>
          <w:rFonts w:ascii="Times New Roman" w:hAnsi="Times New Roman" w:cs="Times New Roman"/>
          <w:b/>
          <w:bCs/>
          <w:i/>
          <w:iCs/>
          <w:sz w:val="24"/>
          <w:szCs w:val="24"/>
          <w:u w:val="single"/>
        </w:rPr>
      </w:pPr>
      <w:r w:rsidRPr="008E1B3A">
        <w:rPr>
          <w:rFonts w:ascii="Times New Roman" w:hAnsi="Times New Roman" w:cs="Times New Roman"/>
          <w:b/>
          <w:bCs/>
          <w:i/>
          <w:iCs/>
          <w:sz w:val="24"/>
          <w:szCs w:val="24"/>
          <w:u w:val="single"/>
        </w:rPr>
        <w:t>Original Research Article</w:t>
      </w:r>
    </w:p>
    <w:p w14:paraId="701EAC42" w14:textId="4D6DF177" w:rsidR="005D5D39" w:rsidRPr="00BE2FDB" w:rsidRDefault="005D5D39" w:rsidP="001F79AD">
      <w:pPr>
        <w:spacing w:after="0" w:line="240" w:lineRule="auto"/>
        <w:jc w:val="center"/>
        <w:rPr>
          <w:rFonts w:ascii="Times New Roman" w:hAnsi="Times New Roman" w:cs="Times New Roman"/>
          <w:b/>
          <w:sz w:val="32"/>
          <w:szCs w:val="32"/>
        </w:rPr>
      </w:pPr>
      <w:r w:rsidRPr="00C5666E">
        <w:rPr>
          <w:rFonts w:ascii="Times New Roman" w:hAnsi="Times New Roman" w:cs="Times New Roman"/>
          <w:b/>
          <w:sz w:val="24"/>
          <w:szCs w:val="24"/>
        </w:rPr>
        <w:t xml:space="preserve">Predictive </w:t>
      </w:r>
      <w:r w:rsidR="000D06F3" w:rsidRPr="00C5666E">
        <w:rPr>
          <w:rFonts w:ascii="Times New Roman" w:hAnsi="Times New Roman" w:cs="Times New Roman"/>
          <w:b/>
          <w:sz w:val="24"/>
          <w:szCs w:val="24"/>
        </w:rPr>
        <w:t xml:space="preserve">Role of Anthropometric Parameters </w:t>
      </w:r>
      <w:r w:rsidR="00997BB7" w:rsidRPr="00C5666E">
        <w:rPr>
          <w:rFonts w:ascii="Times New Roman" w:hAnsi="Times New Roman" w:cs="Times New Roman"/>
          <w:b/>
          <w:sz w:val="24"/>
          <w:szCs w:val="24"/>
        </w:rPr>
        <w:t>i</w:t>
      </w:r>
      <w:r w:rsidR="000D06F3" w:rsidRPr="00C5666E">
        <w:rPr>
          <w:rFonts w:ascii="Times New Roman" w:hAnsi="Times New Roman" w:cs="Times New Roman"/>
          <w:b/>
          <w:sz w:val="24"/>
          <w:szCs w:val="24"/>
        </w:rPr>
        <w:t xml:space="preserve">n Diagnosing </w:t>
      </w:r>
      <w:r w:rsidR="00034105" w:rsidRPr="00C5666E">
        <w:rPr>
          <w:rFonts w:ascii="Times New Roman" w:hAnsi="Times New Roman" w:cs="Times New Roman"/>
          <w:b/>
          <w:sz w:val="24"/>
          <w:szCs w:val="24"/>
        </w:rPr>
        <w:t xml:space="preserve">Type 2 </w:t>
      </w:r>
      <w:r w:rsidR="000D06F3" w:rsidRPr="00C5666E">
        <w:rPr>
          <w:rFonts w:ascii="Times New Roman" w:hAnsi="Times New Roman" w:cs="Times New Roman"/>
          <w:b/>
          <w:sz w:val="24"/>
          <w:szCs w:val="24"/>
        </w:rPr>
        <w:t xml:space="preserve">Diabetes Mellitus </w:t>
      </w:r>
      <w:r w:rsidR="00D8675B">
        <w:rPr>
          <w:rFonts w:ascii="Times New Roman" w:hAnsi="Times New Roman" w:cs="Times New Roman"/>
          <w:b/>
          <w:sz w:val="24"/>
          <w:szCs w:val="24"/>
        </w:rPr>
        <w:t>a</w:t>
      </w:r>
      <w:r w:rsidR="000D06F3" w:rsidRPr="00C5666E">
        <w:rPr>
          <w:rFonts w:ascii="Times New Roman" w:hAnsi="Times New Roman" w:cs="Times New Roman"/>
          <w:b/>
          <w:sz w:val="24"/>
          <w:szCs w:val="24"/>
        </w:rPr>
        <w:t xml:space="preserve">mong Young Adults </w:t>
      </w:r>
      <w:r w:rsidR="00997BB7" w:rsidRPr="00C5666E">
        <w:rPr>
          <w:rFonts w:ascii="Times New Roman" w:hAnsi="Times New Roman" w:cs="Times New Roman"/>
          <w:b/>
          <w:sz w:val="24"/>
          <w:szCs w:val="24"/>
        </w:rPr>
        <w:t>in</w:t>
      </w:r>
      <w:r w:rsidR="000D06F3" w:rsidRPr="00C5666E">
        <w:rPr>
          <w:rFonts w:ascii="Times New Roman" w:hAnsi="Times New Roman" w:cs="Times New Roman"/>
          <w:b/>
          <w:sz w:val="24"/>
          <w:szCs w:val="24"/>
        </w:rPr>
        <w:t xml:space="preserve"> </w:t>
      </w:r>
      <w:r w:rsidRPr="00C5666E">
        <w:rPr>
          <w:rFonts w:ascii="Times New Roman" w:hAnsi="Times New Roman" w:cs="Times New Roman"/>
          <w:b/>
          <w:sz w:val="24"/>
          <w:szCs w:val="24"/>
        </w:rPr>
        <w:t>Rivers State</w:t>
      </w:r>
      <w:r w:rsidR="000D06F3" w:rsidRPr="00C5666E">
        <w:rPr>
          <w:rFonts w:ascii="Times New Roman" w:hAnsi="Times New Roman" w:cs="Times New Roman"/>
          <w:b/>
          <w:sz w:val="24"/>
          <w:szCs w:val="24"/>
        </w:rPr>
        <w:t xml:space="preserve">, </w:t>
      </w:r>
      <w:r w:rsidRPr="00C5666E">
        <w:rPr>
          <w:rFonts w:ascii="Times New Roman" w:hAnsi="Times New Roman" w:cs="Times New Roman"/>
          <w:b/>
          <w:sz w:val="24"/>
          <w:szCs w:val="24"/>
        </w:rPr>
        <w:t>Nigeria</w:t>
      </w:r>
    </w:p>
    <w:p w14:paraId="1D0340ED" w14:textId="77777777" w:rsidR="00B510D3" w:rsidRDefault="00B510D3" w:rsidP="00B510D3">
      <w:pPr>
        <w:spacing w:after="0" w:line="240" w:lineRule="auto"/>
        <w:rPr>
          <w:rFonts w:ascii="Times New Roman" w:hAnsi="Times New Roman" w:cs="Times New Roman"/>
          <w:b/>
          <w:sz w:val="24"/>
          <w:szCs w:val="24"/>
        </w:rPr>
      </w:pPr>
    </w:p>
    <w:p w14:paraId="0F9D2E58" w14:textId="77777777" w:rsidR="00BE2FDB" w:rsidRDefault="00BE2FDB" w:rsidP="006E3E13">
      <w:pPr>
        <w:spacing w:line="240" w:lineRule="auto"/>
        <w:jc w:val="both"/>
        <w:rPr>
          <w:rFonts w:ascii="Times New Roman" w:hAnsi="Times New Roman" w:cs="Times New Roman"/>
          <w:b/>
          <w:sz w:val="24"/>
          <w:szCs w:val="24"/>
        </w:rPr>
      </w:pPr>
    </w:p>
    <w:p w14:paraId="5795CA52" w14:textId="376A99DB" w:rsidR="00E5702D" w:rsidRPr="00583237" w:rsidRDefault="00E5702D" w:rsidP="006E3E13">
      <w:p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ABSTRACT</w:t>
      </w:r>
    </w:p>
    <w:p w14:paraId="287F7D76" w14:textId="5889EDC8" w:rsidR="00C240EA" w:rsidRPr="005F5935" w:rsidRDefault="00C240EA" w:rsidP="00960B65">
      <w:pPr>
        <w:spacing w:after="0" w:line="240" w:lineRule="auto"/>
        <w:jc w:val="both"/>
        <w:rPr>
          <w:rFonts w:ascii="Times New Roman" w:hAnsi="Times New Roman" w:cs="Times New Roman"/>
          <w:sz w:val="24"/>
          <w:szCs w:val="24"/>
        </w:rPr>
      </w:pPr>
      <w:r w:rsidRPr="005F5935">
        <w:rPr>
          <w:rFonts w:ascii="Times New Roman" w:hAnsi="Times New Roman" w:cs="Times New Roman"/>
          <w:sz w:val="24"/>
          <w:szCs w:val="24"/>
        </w:rPr>
        <w:t xml:space="preserve">Diabetes mellitus (DM) is a chronic metabolic disorder characterized by persistent hyperglycemia, posing a significant global public health challenge due to its association with increased morbidity and mortality. Early detection of risk factors is </w:t>
      </w:r>
      <w:r w:rsidR="00BF1034" w:rsidRPr="005F5935">
        <w:rPr>
          <w:rFonts w:ascii="Times New Roman" w:hAnsi="Times New Roman" w:cs="Times New Roman"/>
          <w:sz w:val="24"/>
          <w:szCs w:val="24"/>
        </w:rPr>
        <w:t>crucial in preventing disease onset and anthropometric parameters, such as body mass index (BMI), provide</w:t>
      </w:r>
      <w:r w:rsidRPr="005F5935">
        <w:rPr>
          <w:rFonts w:ascii="Times New Roman" w:hAnsi="Times New Roman" w:cs="Times New Roman"/>
          <w:sz w:val="24"/>
          <w:szCs w:val="24"/>
        </w:rPr>
        <w:t xml:space="preserve"> simple, non-invasive, and cost-effective tools for screening. This study evaluated the predictive role of anthropometric parameters, with a focus on BMI, in identifying young adults at risk of </w:t>
      </w:r>
      <w:r w:rsidR="00BF1034" w:rsidRPr="005F5935">
        <w:rPr>
          <w:rFonts w:ascii="Times New Roman" w:hAnsi="Times New Roman" w:cs="Times New Roman"/>
          <w:sz w:val="24"/>
          <w:szCs w:val="24"/>
        </w:rPr>
        <w:t xml:space="preserve">Type 2 </w:t>
      </w:r>
      <w:r w:rsidRPr="005F5935">
        <w:rPr>
          <w:rFonts w:ascii="Times New Roman" w:hAnsi="Times New Roman" w:cs="Times New Roman"/>
          <w:sz w:val="24"/>
          <w:szCs w:val="24"/>
        </w:rPr>
        <w:t>diabetes mellitus</w:t>
      </w:r>
      <w:r w:rsidR="00BF1034" w:rsidRPr="005F5935">
        <w:rPr>
          <w:rFonts w:ascii="Times New Roman" w:hAnsi="Times New Roman" w:cs="Times New Roman"/>
          <w:sz w:val="24"/>
          <w:szCs w:val="24"/>
        </w:rPr>
        <w:t xml:space="preserve"> (T2DM)</w:t>
      </w:r>
      <w:r w:rsidRPr="005F5935">
        <w:rPr>
          <w:rFonts w:ascii="Times New Roman" w:hAnsi="Times New Roman" w:cs="Times New Roman"/>
          <w:sz w:val="24"/>
          <w:szCs w:val="24"/>
        </w:rPr>
        <w:t xml:space="preserve"> in Rivers State, Nigeria. A cross-sectional survey was conducted among participants aged 18</w:t>
      </w:r>
      <w:r w:rsidR="00E75A96" w:rsidRPr="005F5935">
        <w:rPr>
          <w:rFonts w:ascii="Times New Roman" w:hAnsi="Times New Roman" w:cs="Times New Roman"/>
          <w:sz w:val="24"/>
          <w:szCs w:val="24"/>
        </w:rPr>
        <w:t>-</w:t>
      </w:r>
      <w:r w:rsidRPr="005F5935">
        <w:rPr>
          <w:rFonts w:ascii="Times New Roman" w:hAnsi="Times New Roman" w:cs="Times New Roman"/>
          <w:sz w:val="24"/>
          <w:szCs w:val="24"/>
        </w:rPr>
        <w:t>45 years, drawn from rural (Etche), urban (Port Harcourt), and reference (diagnosed diabetic</w:t>
      </w:r>
      <w:r w:rsidR="0047455C" w:rsidRPr="005F5935">
        <w:rPr>
          <w:rFonts w:ascii="Times New Roman" w:hAnsi="Times New Roman" w:cs="Times New Roman"/>
          <w:sz w:val="24"/>
          <w:szCs w:val="24"/>
        </w:rPr>
        <w:t>s</w:t>
      </w:r>
      <w:r w:rsidR="00822478" w:rsidRPr="005F5935">
        <w:rPr>
          <w:rFonts w:ascii="Times New Roman" w:hAnsi="Times New Roman" w:cs="Times New Roman"/>
          <w:sz w:val="24"/>
          <w:szCs w:val="24"/>
        </w:rPr>
        <w:t xml:space="preserve"> from the University of Port Harcourt</w:t>
      </w:r>
      <w:r w:rsidR="0047455C" w:rsidRPr="005F5935">
        <w:rPr>
          <w:rFonts w:ascii="Times New Roman" w:hAnsi="Times New Roman" w:cs="Times New Roman"/>
          <w:sz w:val="24"/>
          <w:szCs w:val="24"/>
        </w:rPr>
        <w:t xml:space="preserve"> Teaching Hospital</w:t>
      </w:r>
      <w:r w:rsidRPr="005F5935">
        <w:rPr>
          <w:rFonts w:ascii="Times New Roman" w:hAnsi="Times New Roman" w:cs="Times New Roman"/>
          <w:sz w:val="24"/>
          <w:szCs w:val="24"/>
        </w:rPr>
        <w:t>) populations. The Finnish Diabetes Risk Score (FINDRISC) and American Diabetes Association Risk Tool (ADART)</w:t>
      </w:r>
      <w:r w:rsidR="0047455C" w:rsidRPr="005F5935">
        <w:rPr>
          <w:rFonts w:ascii="Times New Roman" w:hAnsi="Times New Roman" w:cs="Times New Roman"/>
          <w:sz w:val="24"/>
          <w:szCs w:val="24"/>
        </w:rPr>
        <w:t xml:space="preserve"> were used to assess </w:t>
      </w:r>
      <w:r w:rsidR="00025781" w:rsidRPr="005F5935">
        <w:rPr>
          <w:rFonts w:ascii="Times New Roman" w:hAnsi="Times New Roman" w:cs="Times New Roman"/>
          <w:sz w:val="24"/>
          <w:szCs w:val="24"/>
        </w:rPr>
        <w:t xml:space="preserve">each </w:t>
      </w:r>
      <w:r w:rsidR="0047455C" w:rsidRPr="005F5935">
        <w:rPr>
          <w:rFonts w:ascii="Times New Roman" w:hAnsi="Times New Roman" w:cs="Times New Roman"/>
          <w:sz w:val="24"/>
          <w:szCs w:val="24"/>
        </w:rPr>
        <w:t>individual’s risk of developing T2DM.</w:t>
      </w:r>
      <w:r w:rsidRPr="005F5935">
        <w:rPr>
          <w:rFonts w:ascii="Times New Roman" w:hAnsi="Times New Roman" w:cs="Times New Roman"/>
          <w:sz w:val="24"/>
          <w:szCs w:val="24"/>
        </w:rPr>
        <w:t xml:space="preserve"> Results revealed a progressive increase in mean BMI from rural (22.4 ± 0.3 kg/m²) to urban (24.1 ± 0.3 kg/m²) and reference (26.3 ± 0.8 kg/m²) populations. </w:t>
      </w:r>
      <w:r w:rsidR="00025781" w:rsidRPr="005F5935">
        <w:rPr>
          <w:rFonts w:ascii="Times New Roman" w:hAnsi="Times New Roman" w:cs="Times New Roman"/>
          <w:sz w:val="24"/>
          <w:szCs w:val="24"/>
        </w:rPr>
        <w:t xml:space="preserve">The </w:t>
      </w:r>
      <w:r w:rsidRPr="005F5935">
        <w:rPr>
          <w:rFonts w:ascii="Times New Roman" w:hAnsi="Times New Roman" w:cs="Times New Roman"/>
          <w:sz w:val="24"/>
          <w:szCs w:val="24"/>
        </w:rPr>
        <w:t xml:space="preserve">BMI </w:t>
      </w:r>
      <w:r w:rsidR="00025781" w:rsidRPr="005F5935">
        <w:rPr>
          <w:rFonts w:ascii="Times New Roman" w:hAnsi="Times New Roman" w:cs="Times New Roman"/>
          <w:sz w:val="24"/>
          <w:szCs w:val="24"/>
        </w:rPr>
        <w:t xml:space="preserve">obtained from this study </w:t>
      </w:r>
      <w:r w:rsidRPr="005F5935">
        <w:rPr>
          <w:rFonts w:ascii="Times New Roman" w:hAnsi="Times New Roman" w:cs="Times New Roman"/>
          <w:sz w:val="24"/>
          <w:szCs w:val="24"/>
        </w:rPr>
        <w:t>showed a significant positive correlation with both FINDRISC (r = 0.420–0.560) and ADART (r = 0.410–0.490) scores across all groups, with the strongest association in the reference population. Overweight and obesity were more prevalent among urban dwellers and females, particularly in older age groups, suggesting lifestyle and gender-related risk disp</w:t>
      </w:r>
      <w:r w:rsidR="00DF16D8" w:rsidRPr="005F5935">
        <w:rPr>
          <w:rFonts w:ascii="Times New Roman" w:hAnsi="Times New Roman" w:cs="Times New Roman"/>
          <w:sz w:val="24"/>
          <w:szCs w:val="24"/>
        </w:rPr>
        <w:t>arities. The</w:t>
      </w:r>
      <w:r w:rsidR="00025781" w:rsidRPr="005F5935">
        <w:rPr>
          <w:rFonts w:ascii="Times New Roman" w:hAnsi="Times New Roman" w:cs="Times New Roman"/>
          <w:sz w:val="24"/>
          <w:szCs w:val="24"/>
        </w:rPr>
        <w:t>se</w:t>
      </w:r>
      <w:r w:rsidR="00DF16D8" w:rsidRPr="005F5935">
        <w:rPr>
          <w:rFonts w:ascii="Times New Roman" w:hAnsi="Times New Roman" w:cs="Times New Roman"/>
          <w:sz w:val="24"/>
          <w:szCs w:val="24"/>
        </w:rPr>
        <w:t xml:space="preserve"> findings emphasize</w:t>
      </w:r>
      <w:r w:rsidRPr="005F5935">
        <w:rPr>
          <w:rFonts w:ascii="Times New Roman" w:hAnsi="Times New Roman" w:cs="Times New Roman"/>
          <w:sz w:val="24"/>
          <w:szCs w:val="24"/>
        </w:rPr>
        <w:t xml:space="preserve"> BMI’s utility as a preliminary screening tool for diabetes risk stratification in resource-limited settings, while highlighting the need to incorporate additional central obesity measures for improved predictive accuracy. Integrating anthropometric screening into routine health checks could enable timely interventions to reduce the burden of diabetes in young adult populations.</w:t>
      </w:r>
    </w:p>
    <w:p w14:paraId="3DFCF142" w14:textId="77777777" w:rsidR="002E2B29" w:rsidRDefault="002E2B29" w:rsidP="00960B65">
      <w:pPr>
        <w:spacing w:after="0" w:line="240" w:lineRule="auto"/>
        <w:jc w:val="both"/>
        <w:rPr>
          <w:rFonts w:ascii="Times New Roman" w:hAnsi="Times New Roman" w:cs="Times New Roman"/>
          <w:sz w:val="24"/>
          <w:szCs w:val="24"/>
        </w:rPr>
      </w:pPr>
    </w:p>
    <w:p w14:paraId="2BC03F34" w14:textId="429C6879" w:rsidR="002E2B29" w:rsidRDefault="002E2B29" w:rsidP="00960B65">
      <w:pPr>
        <w:spacing w:after="0" w:line="240" w:lineRule="auto"/>
        <w:jc w:val="both"/>
        <w:rPr>
          <w:rFonts w:ascii="Times New Roman" w:hAnsi="Times New Roman" w:cs="Times New Roman"/>
          <w:sz w:val="24"/>
          <w:szCs w:val="24"/>
        </w:rPr>
      </w:pPr>
      <w:r w:rsidRPr="00874C1F">
        <w:rPr>
          <w:rFonts w:ascii="Times New Roman" w:hAnsi="Times New Roman" w:cs="Times New Roman"/>
          <w:b/>
          <w:sz w:val="24"/>
          <w:szCs w:val="24"/>
        </w:rPr>
        <w:t>Keywords:</w:t>
      </w:r>
      <w:r>
        <w:rPr>
          <w:rFonts w:ascii="Times New Roman" w:hAnsi="Times New Roman" w:cs="Times New Roman"/>
          <w:sz w:val="24"/>
          <w:szCs w:val="24"/>
        </w:rPr>
        <w:t xml:space="preserve">   </w:t>
      </w:r>
      <w:r w:rsidR="00034105">
        <w:rPr>
          <w:rFonts w:ascii="Times New Roman" w:hAnsi="Times New Roman" w:cs="Times New Roman"/>
          <w:sz w:val="24"/>
          <w:szCs w:val="24"/>
        </w:rPr>
        <w:t xml:space="preserve">Type 2 </w:t>
      </w:r>
      <w:r>
        <w:rPr>
          <w:rFonts w:ascii="Times New Roman" w:hAnsi="Times New Roman" w:cs="Times New Roman"/>
          <w:sz w:val="24"/>
          <w:szCs w:val="24"/>
        </w:rPr>
        <w:t>Diabetes mellitus, anthropometric parameters, body mass index (BMI</w:t>
      </w:r>
      <w:r w:rsidR="00D606AF">
        <w:rPr>
          <w:rFonts w:ascii="Times New Roman" w:hAnsi="Times New Roman" w:cs="Times New Roman"/>
          <w:sz w:val="24"/>
          <w:szCs w:val="24"/>
        </w:rPr>
        <w:t>)</w:t>
      </w:r>
    </w:p>
    <w:p w14:paraId="094579A6" w14:textId="77777777" w:rsidR="00960B65" w:rsidRPr="00583237" w:rsidRDefault="00960B65" w:rsidP="00960B65">
      <w:pPr>
        <w:spacing w:after="0" w:line="240" w:lineRule="auto"/>
        <w:jc w:val="both"/>
        <w:rPr>
          <w:rFonts w:ascii="Times New Roman" w:hAnsi="Times New Roman" w:cs="Times New Roman"/>
          <w:b/>
          <w:sz w:val="24"/>
          <w:szCs w:val="24"/>
        </w:rPr>
      </w:pPr>
    </w:p>
    <w:p w14:paraId="49587AEB" w14:textId="77777777" w:rsidR="007E131A" w:rsidRPr="00583237" w:rsidRDefault="007E131A" w:rsidP="006E3E13">
      <w:pPr>
        <w:pStyle w:val="ListParagraph"/>
        <w:numPr>
          <w:ilvl w:val="0"/>
          <w:numId w:val="26"/>
        </w:num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INTRODUCTION</w:t>
      </w:r>
    </w:p>
    <w:p w14:paraId="62706A40" w14:textId="114A9787" w:rsidR="00D22B19" w:rsidRPr="00D22B19" w:rsidRDefault="003B41FF" w:rsidP="00960B65">
      <w:pPr>
        <w:spacing w:after="0" w:line="240" w:lineRule="auto"/>
        <w:jc w:val="both"/>
        <w:rPr>
          <w:rFonts w:ascii="Times New Roman" w:eastAsia="Times New Roman" w:hAnsi="Times New Roman" w:cs="Times New Roman"/>
          <w:sz w:val="24"/>
          <w:szCs w:val="24"/>
        </w:rPr>
      </w:pPr>
      <w:r w:rsidRPr="00583237">
        <w:rPr>
          <w:rFonts w:ascii="Times New Roman" w:eastAsia="Times New Roman" w:hAnsi="Times New Roman" w:cs="Times New Roman"/>
          <w:sz w:val="24"/>
          <w:szCs w:val="24"/>
        </w:rPr>
        <w:t>Diabetes mellitus (DM), commonly referred to as diabetes, is a chronic and potentially fatal metabolic disease marked by consiste</w:t>
      </w:r>
      <w:r w:rsidR="004F4E68" w:rsidRPr="00583237">
        <w:rPr>
          <w:rFonts w:ascii="Times New Roman" w:eastAsia="Times New Roman" w:hAnsi="Times New Roman" w:cs="Times New Roman"/>
          <w:sz w:val="24"/>
          <w:szCs w:val="24"/>
        </w:rPr>
        <w:t>ntly high blood glucose levels, where e</w:t>
      </w:r>
      <w:r w:rsidRPr="00583237">
        <w:rPr>
          <w:rFonts w:ascii="Times New Roman" w:eastAsia="Times New Roman" w:hAnsi="Times New Roman" w:cs="Times New Roman"/>
          <w:sz w:val="24"/>
          <w:szCs w:val="24"/>
        </w:rPr>
        <w:t>ither the pancreas is unable to produce enough insulin, or the body is unable to use the insulin that is produced efficiently, resulting in severe hyperglycemia and other metabolic dys</w:t>
      </w:r>
      <w:r w:rsidR="004F4E68" w:rsidRPr="00583237">
        <w:rPr>
          <w:rFonts w:ascii="Times New Roman" w:eastAsia="Times New Roman" w:hAnsi="Times New Roman" w:cs="Times New Roman"/>
          <w:sz w:val="24"/>
          <w:szCs w:val="24"/>
        </w:rPr>
        <w:t xml:space="preserve">functions (Ahmad </w:t>
      </w:r>
      <w:r w:rsidR="00D114EB" w:rsidRPr="007B03C5">
        <w:rPr>
          <w:rFonts w:ascii="Times New Roman" w:eastAsia="Times New Roman" w:hAnsi="Times New Roman" w:cs="Times New Roman"/>
          <w:iCs/>
          <w:sz w:val="24"/>
          <w:szCs w:val="24"/>
        </w:rPr>
        <w:t>et al</w:t>
      </w:r>
      <w:r w:rsidR="004F4E68" w:rsidRPr="007B03C5">
        <w:rPr>
          <w:rFonts w:ascii="Times New Roman" w:eastAsia="Times New Roman" w:hAnsi="Times New Roman" w:cs="Times New Roman"/>
          <w:iCs/>
          <w:sz w:val="24"/>
          <w:szCs w:val="24"/>
        </w:rPr>
        <w:t>.,</w:t>
      </w:r>
      <w:r w:rsidR="004F4E68" w:rsidRPr="00583237">
        <w:rPr>
          <w:rFonts w:ascii="Times New Roman" w:eastAsia="Times New Roman" w:hAnsi="Times New Roman" w:cs="Times New Roman"/>
          <w:sz w:val="24"/>
          <w:szCs w:val="24"/>
        </w:rPr>
        <w:t xml:space="preserve"> 2022). So far, studies reveal that a</w:t>
      </w:r>
      <w:r w:rsidRPr="00583237">
        <w:rPr>
          <w:rFonts w:ascii="Times New Roman" w:eastAsia="Times New Roman" w:hAnsi="Times New Roman" w:cs="Times New Roman"/>
          <w:sz w:val="24"/>
          <w:szCs w:val="24"/>
        </w:rPr>
        <w:t>round 415 million adults between the ages of 20 and 79 hav</w:t>
      </w:r>
      <w:r w:rsidR="00500ED5">
        <w:rPr>
          <w:rFonts w:ascii="Times New Roman" w:eastAsia="Times New Roman" w:hAnsi="Times New Roman" w:cs="Times New Roman"/>
          <w:sz w:val="24"/>
          <w:szCs w:val="24"/>
        </w:rPr>
        <w:t xml:space="preserve">e diabetes worldwide. </w:t>
      </w:r>
      <w:r w:rsidR="00500ED5" w:rsidRPr="00500ED5">
        <w:rPr>
          <w:rFonts w:ascii="Times New Roman" w:eastAsia="Times New Roman" w:hAnsi="Times New Roman" w:cs="Times New Roman"/>
          <w:sz w:val="24"/>
          <w:szCs w:val="24"/>
        </w:rPr>
        <w:t>Estimates i</w:t>
      </w:r>
      <w:r w:rsidR="00500ED5">
        <w:rPr>
          <w:rFonts w:ascii="Times New Roman" w:eastAsia="Times New Roman" w:hAnsi="Times New Roman" w:cs="Times New Roman"/>
          <w:sz w:val="24"/>
          <w:szCs w:val="24"/>
        </w:rPr>
        <w:t>ndicate a further increase by 200 million in</w:t>
      </w:r>
      <w:r w:rsidRPr="00583237">
        <w:rPr>
          <w:rFonts w:ascii="Times New Roman" w:eastAsia="Times New Roman" w:hAnsi="Times New Roman" w:cs="Times New Roman"/>
          <w:sz w:val="24"/>
          <w:szCs w:val="24"/>
        </w:rPr>
        <w:t xml:space="preserve"> 2040</w:t>
      </w:r>
      <w:r w:rsidR="00500ED5">
        <w:rPr>
          <w:rFonts w:ascii="Times New Roman" w:eastAsia="Times New Roman" w:hAnsi="Times New Roman" w:cs="Times New Roman"/>
          <w:sz w:val="24"/>
          <w:szCs w:val="24"/>
        </w:rPr>
        <w:t xml:space="preserve"> </w:t>
      </w:r>
      <w:r w:rsidR="00500ED5" w:rsidRPr="00583237">
        <w:rPr>
          <w:rFonts w:ascii="Times New Roman" w:eastAsia="Times New Roman" w:hAnsi="Times New Roman" w:cs="Times New Roman"/>
          <w:sz w:val="24"/>
          <w:szCs w:val="24"/>
        </w:rPr>
        <w:t xml:space="preserve">(Ahmad </w:t>
      </w:r>
      <w:r w:rsidR="00500ED5" w:rsidRPr="007B03C5">
        <w:rPr>
          <w:rFonts w:ascii="Times New Roman" w:eastAsia="Times New Roman" w:hAnsi="Times New Roman" w:cs="Times New Roman"/>
          <w:iCs/>
          <w:sz w:val="24"/>
          <w:szCs w:val="24"/>
        </w:rPr>
        <w:t>et al.,</w:t>
      </w:r>
      <w:r w:rsidR="00500ED5" w:rsidRPr="00583237">
        <w:rPr>
          <w:rFonts w:ascii="Times New Roman" w:eastAsia="Times New Roman" w:hAnsi="Times New Roman" w:cs="Times New Roman"/>
          <w:sz w:val="24"/>
          <w:szCs w:val="24"/>
        </w:rPr>
        <w:t xml:space="preserve"> 2022</w:t>
      </w:r>
      <w:r w:rsidR="00500ED5">
        <w:rPr>
          <w:rFonts w:ascii="Times New Roman" w:eastAsia="Times New Roman" w:hAnsi="Times New Roman" w:cs="Times New Roman"/>
          <w:sz w:val="24"/>
          <w:szCs w:val="24"/>
        </w:rPr>
        <w:t>)</w:t>
      </w:r>
      <w:r w:rsidRPr="00583237">
        <w:rPr>
          <w:rFonts w:ascii="Times New Roman" w:eastAsia="Times New Roman" w:hAnsi="Times New Roman" w:cs="Times New Roman"/>
          <w:sz w:val="24"/>
          <w:szCs w:val="24"/>
        </w:rPr>
        <w:t xml:space="preserve">. </w:t>
      </w:r>
      <w:r w:rsidR="00D22B19" w:rsidRPr="00583237">
        <w:rPr>
          <w:rFonts w:ascii="Times New Roman" w:eastAsia="Times New Roman" w:hAnsi="Times New Roman" w:cs="Times New Roman"/>
          <w:sz w:val="24"/>
          <w:szCs w:val="24"/>
        </w:rPr>
        <w:t>Furthermore, d</w:t>
      </w:r>
      <w:r w:rsidRPr="00583237">
        <w:rPr>
          <w:rFonts w:ascii="Times New Roman" w:eastAsia="Times New Roman" w:hAnsi="Times New Roman" w:cs="Times New Roman"/>
          <w:sz w:val="24"/>
          <w:szCs w:val="24"/>
        </w:rPr>
        <w:t xml:space="preserve">iabetes is known to cause morbidity and mortality, impacting people of all ages, genders, and geographical locations (Zheng </w:t>
      </w:r>
      <w:r w:rsidR="00D114EB" w:rsidRPr="007B03C5">
        <w:rPr>
          <w:rFonts w:ascii="Times New Roman" w:eastAsia="Times New Roman" w:hAnsi="Times New Roman" w:cs="Times New Roman"/>
          <w:iCs/>
          <w:sz w:val="24"/>
          <w:szCs w:val="24"/>
        </w:rPr>
        <w:t>et al</w:t>
      </w:r>
      <w:r w:rsidRPr="007B03C5">
        <w:rPr>
          <w:rFonts w:ascii="Times New Roman" w:eastAsia="Times New Roman" w:hAnsi="Times New Roman" w:cs="Times New Roman"/>
          <w:iCs/>
          <w:sz w:val="24"/>
          <w:szCs w:val="24"/>
        </w:rPr>
        <w:t>.,</w:t>
      </w:r>
      <w:r w:rsidRPr="00583237">
        <w:rPr>
          <w:rFonts w:ascii="Times New Roman" w:eastAsia="Times New Roman" w:hAnsi="Times New Roman" w:cs="Times New Roman"/>
          <w:sz w:val="24"/>
          <w:szCs w:val="24"/>
        </w:rPr>
        <w:t xml:space="preserve"> 2018).</w:t>
      </w:r>
      <w:r w:rsidR="00583237" w:rsidRPr="00583237">
        <w:rPr>
          <w:rFonts w:ascii="Times New Roman" w:eastAsia="Times New Roman" w:hAnsi="Times New Roman" w:cs="Times New Roman"/>
          <w:sz w:val="24"/>
          <w:szCs w:val="24"/>
        </w:rPr>
        <w:t xml:space="preserve"> </w:t>
      </w:r>
      <w:r w:rsidR="00D22B19" w:rsidRPr="00D22B19">
        <w:rPr>
          <w:rFonts w:ascii="Times New Roman" w:eastAsia="Times New Roman" w:hAnsi="Times New Roman" w:cs="Times New Roman"/>
          <w:sz w:val="24"/>
          <w:szCs w:val="24"/>
        </w:rPr>
        <w:t>Th</w:t>
      </w:r>
      <w:r w:rsidR="00A2366B">
        <w:rPr>
          <w:rFonts w:ascii="Times New Roman" w:eastAsia="Times New Roman" w:hAnsi="Times New Roman" w:cs="Times New Roman"/>
          <w:sz w:val="24"/>
          <w:szCs w:val="24"/>
        </w:rPr>
        <w:t>is</w:t>
      </w:r>
      <w:r w:rsidR="00D22B19" w:rsidRPr="00D22B19">
        <w:rPr>
          <w:rFonts w:ascii="Times New Roman" w:eastAsia="Times New Roman" w:hAnsi="Times New Roman" w:cs="Times New Roman"/>
          <w:sz w:val="24"/>
          <w:szCs w:val="24"/>
        </w:rPr>
        <w:t xml:space="preserve"> poses a risk to public health since it raises the prevalence of ischaemic heart disease and stroke, two of the w</w:t>
      </w:r>
      <w:r w:rsidR="00D22B19" w:rsidRPr="00583237">
        <w:rPr>
          <w:rFonts w:ascii="Times New Roman" w:eastAsia="Times New Roman" w:hAnsi="Times New Roman" w:cs="Times New Roman"/>
          <w:sz w:val="24"/>
          <w:szCs w:val="24"/>
        </w:rPr>
        <w:t xml:space="preserve">orld's leading causes of death, according to Ong </w:t>
      </w:r>
      <w:r w:rsidR="00D114EB" w:rsidRPr="007B03C5">
        <w:rPr>
          <w:rFonts w:ascii="Times New Roman" w:eastAsia="Times New Roman" w:hAnsi="Times New Roman" w:cs="Times New Roman"/>
          <w:iCs/>
          <w:sz w:val="24"/>
          <w:szCs w:val="24"/>
        </w:rPr>
        <w:t>et al</w:t>
      </w:r>
      <w:r w:rsidR="00D22B19" w:rsidRPr="007B03C5">
        <w:rPr>
          <w:rFonts w:ascii="Times New Roman" w:eastAsia="Times New Roman" w:hAnsi="Times New Roman" w:cs="Times New Roman"/>
          <w:iCs/>
          <w:sz w:val="24"/>
          <w:szCs w:val="24"/>
        </w:rPr>
        <w:t>.</w:t>
      </w:r>
      <w:r w:rsidR="00D22B19" w:rsidRPr="00583237">
        <w:rPr>
          <w:rFonts w:ascii="Times New Roman" w:eastAsia="Times New Roman" w:hAnsi="Times New Roman" w:cs="Times New Roman"/>
          <w:sz w:val="24"/>
          <w:szCs w:val="24"/>
        </w:rPr>
        <w:t xml:space="preserve"> (</w:t>
      </w:r>
      <w:r w:rsidR="00D22B19" w:rsidRPr="00D22B19">
        <w:rPr>
          <w:rFonts w:ascii="Times New Roman" w:eastAsia="Times New Roman" w:hAnsi="Times New Roman" w:cs="Times New Roman"/>
          <w:sz w:val="24"/>
          <w:szCs w:val="24"/>
        </w:rPr>
        <w:t>2023). However, a lack of physical activity, poor dietary habits, and u</w:t>
      </w:r>
      <w:r w:rsidR="00D22B19" w:rsidRPr="00583237">
        <w:rPr>
          <w:rFonts w:ascii="Times New Roman" w:eastAsia="Times New Roman" w:hAnsi="Times New Roman" w:cs="Times New Roman"/>
          <w:sz w:val="24"/>
          <w:szCs w:val="24"/>
        </w:rPr>
        <w:t>rbaniz</w:t>
      </w:r>
      <w:r w:rsidR="00D22B19" w:rsidRPr="00D22B19">
        <w:rPr>
          <w:rFonts w:ascii="Times New Roman" w:eastAsia="Times New Roman" w:hAnsi="Times New Roman" w:cs="Times New Roman"/>
          <w:sz w:val="24"/>
          <w:szCs w:val="24"/>
        </w:rPr>
        <w:t xml:space="preserve">ation all contribute to the rising prevalence of diabetes mellitus. As a result, </w:t>
      </w:r>
      <w:r w:rsidR="00A2366B">
        <w:rPr>
          <w:rFonts w:ascii="Times New Roman" w:eastAsia="Times New Roman" w:hAnsi="Times New Roman" w:cs="Times New Roman"/>
          <w:sz w:val="24"/>
          <w:szCs w:val="24"/>
        </w:rPr>
        <w:t xml:space="preserve">a major focus of </w:t>
      </w:r>
      <w:r w:rsidR="00D22B19" w:rsidRPr="00D22B19">
        <w:rPr>
          <w:rFonts w:ascii="Times New Roman" w:eastAsia="Times New Roman" w:hAnsi="Times New Roman" w:cs="Times New Roman"/>
          <w:sz w:val="24"/>
          <w:szCs w:val="24"/>
        </w:rPr>
        <w:t xml:space="preserve">preventing </w:t>
      </w:r>
      <w:r w:rsidR="00A2366B">
        <w:rPr>
          <w:rFonts w:ascii="Times New Roman" w:eastAsia="Times New Roman" w:hAnsi="Times New Roman" w:cs="Times New Roman"/>
          <w:sz w:val="24"/>
          <w:szCs w:val="24"/>
        </w:rPr>
        <w:t xml:space="preserve">the onset of </w:t>
      </w:r>
      <w:r w:rsidR="00D22B19" w:rsidRPr="00D22B19">
        <w:rPr>
          <w:rFonts w:ascii="Times New Roman" w:eastAsia="Times New Roman" w:hAnsi="Times New Roman" w:cs="Times New Roman"/>
          <w:sz w:val="24"/>
          <w:szCs w:val="24"/>
        </w:rPr>
        <w:t>diabetes</w:t>
      </w:r>
      <w:r w:rsidR="00A2366B">
        <w:rPr>
          <w:rFonts w:ascii="Times New Roman" w:eastAsia="Times New Roman" w:hAnsi="Times New Roman" w:cs="Times New Roman"/>
          <w:sz w:val="24"/>
          <w:szCs w:val="24"/>
        </w:rPr>
        <w:t xml:space="preserve"> mellitus</w:t>
      </w:r>
      <w:r w:rsidR="00D22B19" w:rsidRPr="00D22B19">
        <w:rPr>
          <w:rFonts w:ascii="Times New Roman" w:eastAsia="Times New Roman" w:hAnsi="Times New Roman" w:cs="Times New Roman"/>
          <w:sz w:val="24"/>
          <w:szCs w:val="24"/>
        </w:rPr>
        <w:t xml:space="preserve"> greatly depends on early detection of risk factors and ongoing personal monitoring</w:t>
      </w:r>
      <w:r w:rsidR="00D22B19" w:rsidRPr="00583237">
        <w:rPr>
          <w:rFonts w:ascii="Times New Roman" w:eastAsia="Times New Roman" w:hAnsi="Times New Roman" w:cs="Times New Roman"/>
          <w:sz w:val="24"/>
          <w:szCs w:val="24"/>
        </w:rPr>
        <w:t xml:space="preserve"> (Liu </w:t>
      </w:r>
      <w:r w:rsidR="00D114EB" w:rsidRPr="007B03C5">
        <w:rPr>
          <w:rFonts w:ascii="Times New Roman" w:eastAsia="Times New Roman" w:hAnsi="Times New Roman" w:cs="Times New Roman"/>
          <w:iCs/>
          <w:sz w:val="24"/>
          <w:szCs w:val="24"/>
        </w:rPr>
        <w:t>et al</w:t>
      </w:r>
      <w:r w:rsidR="00D22B19" w:rsidRPr="007B03C5">
        <w:rPr>
          <w:rFonts w:ascii="Times New Roman" w:eastAsia="Times New Roman" w:hAnsi="Times New Roman" w:cs="Times New Roman"/>
          <w:iCs/>
          <w:sz w:val="24"/>
          <w:szCs w:val="24"/>
        </w:rPr>
        <w:t>.,</w:t>
      </w:r>
      <w:r w:rsidR="00D22B19" w:rsidRPr="00583237">
        <w:rPr>
          <w:rFonts w:ascii="Times New Roman" w:eastAsia="Times New Roman" w:hAnsi="Times New Roman" w:cs="Times New Roman"/>
          <w:sz w:val="24"/>
          <w:szCs w:val="24"/>
        </w:rPr>
        <w:t xml:space="preserve"> 2024).</w:t>
      </w:r>
    </w:p>
    <w:p w14:paraId="0DA91423" w14:textId="77777777" w:rsidR="00D22B19" w:rsidRPr="00583237" w:rsidRDefault="00D22B19" w:rsidP="00960B65">
      <w:pPr>
        <w:pStyle w:val="NormalWeb"/>
        <w:shd w:val="clear" w:color="auto" w:fill="FFFFFF"/>
        <w:spacing w:before="0" w:beforeAutospacing="0" w:after="0" w:afterAutospacing="0"/>
        <w:jc w:val="both"/>
      </w:pPr>
    </w:p>
    <w:p w14:paraId="2A7631FF" w14:textId="621480CE" w:rsidR="007E131A" w:rsidRPr="00583237" w:rsidRDefault="005B6CBB" w:rsidP="00AD11C3">
      <w:pPr>
        <w:pStyle w:val="NormalWeb"/>
        <w:shd w:val="clear" w:color="auto" w:fill="FFFFFF"/>
        <w:spacing w:before="0" w:beforeAutospacing="0" w:after="240" w:afterAutospacing="0"/>
        <w:jc w:val="both"/>
        <w:rPr>
          <w:b/>
        </w:rPr>
      </w:pPr>
      <w:r w:rsidRPr="00583237">
        <w:lastRenderedPageBreak/>
        <w:t xml:space="preserve">To solve this problem of early diagnosis, </w:t>
      </w:r>
      <w:r w:rsidR="000C39DB" w:rsidRPr="00583237">
        <w:t xml:space="preserve">a </w:t>
      </w:r>
      <w:r w:rsidR="00177806" w:rsidRPr="00583237">
        <w:t xml:space="preserve">number of </w:t>
      </w:r>
      <w:r w:rsidR="000B1FB7" w:rsidRPr="00583237">
        <w:t>indicators</w:t>
      </w:r>
      <w:r w:rsidR="00E240B1" w:rsidRPr="00583237">
        <w:t xml:space="preserve"> </w:t>
      </w:r>
      <w:r w:rsidR="00177806" w:rsidRPr="00583237">
        <w:t>have bee</w:t>
      </w:r>
      <w:r w:rsidR="000B1FB7" w:rsidRPr="00583237">
        <w:t>n developed to pred</w:t>
      </w:r>
      <w:r w:rsidR="00C35A63" w:rsidRPr="00583237">
        <w:t xml:space="preserve">ict </w:t>
      </w:r>
      <w:r w:rsidR="003B41FF" w:rsidRPr="00583237">
        <w:t>diabetic risks and they</w:t>
      </w:r>
      <w:r w:rsidR="00C35A63" w:rsidRPr="00583237">
        <w:t xml:space="preserve"> in</w:t>
      </w:r>
      <w:r w:rsidR="0026016D" w:rsidRPr="00583237">
        <w:t xml:space="preserve">clude </w:t>
      </w:r>
      <w:r w:rsidR="0026016D" w:rsidRPr="00583237">
        <w:rPr>
          <w:color w:val="222222"/>
          <w:shd w:val="clear" w:color="auto" w:fill="FFFFFF"/>
        </w:rPr>
        <w:t xml:space="preserve">body mass index (BMI), </w:t>
      </w:r>
      <w:r w:rsidR="00387D5D">
        <w:rPr>
          <w:color w:val="222222"/>
          <w:shd w:val="clear" w:color="auto" w:fill="FFFFFF"/>
        </w:rPr>
        <w:t>hip</w:t>
      </w:r>
      <w:r w:rsidR="0026016D" w:rsidRPr="00583237">
        <w:rPr>
          <w:color w:val="222222"/>
          <w:shd w:val="clear" w:color="auto" w:fill="FFFFFF"/>
        </w:rPr>
        <w:t xml:space="preserve"> circumference (</w:t>
      </w:r>
      <w:r w:rsidR="00387D5D">
        <w:rPr>
          <w:color w:val="222222"/>
          <w:shd w:val="clear" w:color="auto" w:fill="FFFFFF"/>
        </w:rPr>
        <w:t>H</w:t>
      </w:r>
      <w:r w:rsidR="0026016D" w:rsidRPr="00583237">
        <w:rPr>
          <w:color w:val="222222"/>
          <w:shd w:val="clear" w:color="auto" w:fill="FFFFFF"/>
        </w:rPr>
        <w:t>C), arm circumference (AC), thigh circumference (TC), waist circumference (WC), waist-height ratio (WHtR), and waist-hip ratio (WHR)</w:t>
      </w:r>
      <w:r w:rsidR="00087F60" w:rsidRPr="00583237">
        <w:rPr>
          <w:color w:val="222222"/>
          <w:shd w:val="clear" w:color="auto" w:fill="FFFFFF"/>
        </w:rPr>
        <w:t>, all of which are kno</w:t>
      </w:r>
      <w:r w:rsidR="00832D96" w:rsidRPr="00583237">
        <w:rPr>
          <w:color w:val="222222"/>
          <w:shd w:val="clear" w:color="auto" w:fill="FFFFFF"/>
        </w:rPr>
        <w:t>wn as anthropometric parameters (</w:t>
      </w:r>
      <w:r w:rsidR="00E7216A" w:rsidRPr="00583237">
        <w:rPr>
          <w:color w:val="222222"/>
        </w:rPr>
        <w:t xml:space="preserve">Chen </w:t>
      </w:r>
      <w:r w:rsidR="00E7216A" w:rsidRPr="007B03C5">
        <w:rPr>
          <w:iCs/>
          <w:color w:val="222222"/>
        </w:rPr>
        <w:t>et al.,</w:t>
      </w:r>
      <w:r w:rsidR="00E7216A" w:rsidRPr="00583237">
        <w:rPr>
          <w:color w:val="222222"/>
        </w:rPr>
        <w:t xml:space="preserve"> 2010</w:t>
      </w:r>
      <w:r w:rsidR="00E7216A">
        <w:rPr>
          <w:color w:val="222222"/>
        </w:rPr>
        <w:t xml:space="preserve">; </w:t>
      </w:r>
      <w:r w:rsidR="00832D96" w:rsidRPr="00583237">
        <w:rPr>
          <w:color w:val="222222"/>
          <w:shd w:val="clear" w:color="auto" w:fill="FFFFFF"/>
        </w:rPr>
        <w:t xml:space="preserve">Liu </w:t>
      </w:r>
      <w:r w:rsidR="00D114EB" w:rsidRPr="007B03C5">
        <w:rPr>
          <w:iCs/>
          <w:color w:val="222222"/>
          <w:shd w:val="clear" w:color="auto" w:fill="FFFFFF"/>
        </w:rPr>
        <w:t>et al</w:t>
      </w:r>
      <w:r w:rsidR="00832D96" w:rsidRPr="007B03C5">
        <w:rPr>
          <w:iCs/>
          <w:color w:val="222222"/>
          <w:shd w:val="clear" w:color="auto" w:fill="FFFFFF"/>
        </w:rPr>
        <w:t>.,</w:t>
      </w:r>
      <w:r w:rsidR="00832D96" w:rsidRPr="00583237">
        <w:rPr>
          <w:color w:val="222222"/>
          <w:shd w:val="clear" w:color="auto" w:fill="FFFFFF"/>
        </w:rPr>
        <w:t xml:space="preserve"> 2024)</w:t>
      </w:r>
      <w:r w:rsidR="00F90401">
        <w:rPr>
          <w:color w:val="222222"/>
          <w:shd w:val="clear" w:color="auto" w:fill="FFFFFF"/>
        </w:rPr>
        <w:t>.</w:t>
      </w:r>
      <w:r w:rsidR="008F5714" w:rsidRPr="00583237">
        <w:t xml:space="preserve"> Compared to laboratory testing</w:t>
      </w:r>
      <w:r w:rsidR="00177806" w:rsidRPr="00583237">
        <w:t xml:space="preserve">, anthropometric parameters are </w:t>
      </w:r>
      <w:r w:rsidR="007D448F" w:rsidRPr="00583237">
        <w:t xml:space="preserve">non-invasive, </w:t>
      </w:r>
      <w:r w:rsidR="00177806" w:rsidRPr="00583237">
        <w:t>more accessible, less costly, and facilit</w:t>
      </w:r>
      <w:r w:rsidR="008F5714" w:rsidRPr="00583237">
        <w:t>ate long-term monitoring, all of which increase participant participation</w:t>
      </w:r>
      <w:r w:rsidR="00177806" w:rsidRPr="00583237">
        <w:t xml:space="preserve">. </w:t>
      </w:r>
      <w:r w:rsidR="008F5714" w:rsidRPr="00583237">
        <w:t>Hence, various studies have relied on proving the</w:t>
      </w:r>
      <w:r w:rsidR="00177806" w:rsidRPr="00583237">
        <w:t xml:space="preserve"> correlation between </w:t>
      </w:r>
      <w:r w:rsidR="00F633C8" w:rsidRPr="00583237">
        <w:t>anthropometric parameters and diabetes mellitus</w:t>
      </w:r>
      <w:r w:rsidR="001559B2" w:rsidRPr="00583237">
        <w:t xml:space="preserve"> (Chao </w:t>
      </w:r>
      <w:r w:rsidR="00D114EB" w:rsidRPr="007B03C5">
        <w:rPr>
          <w:iCs/>
        </w:rPr>
        <w:t>et al</w:t>
      </w:r>
      <w:r w:rsidR="001559B2" w:rsidRPr="007B03C5">
        <w:rPr>
          <w:iCs/>
        </w:rPr>
        <w:t>.,</w:t>
      </w:r>
      <w:r w:rsidR="001559B2" w:rsidRPr="00583237">
        <w:t xml:space="preserve"> 2020)</w:t>
      </w:r>
      <w:r w:rsidR="00177806" w:rsidRPr="00583237">
        <w:t xml:space="preserve">. </w:t>
      </w:r>
      <w:r w:rsidR="008F5714" w:rsidRPr="00583237">
        <w:t xml:space="preserve">For example, an </w:t>
      </w:r>
      <w:r w:rsidR="00177806" w:rsidRPr="00583237">
        <w:t>observational study</w:t>
      </w:r>
      <w:r w:rsidR="008F5714" w:rsidRPr="00583237">
        <w:t xml:space="preserve"> on diabetic and non-diabetic individuals</w:t>
      </w:r>
      <w:r w:rsidR="00177806" w:rsidRPr="00583237">
        <w:t xml:space="preserve"> </w:t>
      </w:r>
      <w:r w:rsidR="003A5BBC" w:rsidRPr="00583237">
        <w:t>revealed the efficiency of body mass index (BMI) in the diagnosis of</w:t>
      </w:r>
      <w:r w:rsidR="00177806" w:rsidRPr="00583237">
        <w:t xml:space="preserve"> </w:t>
      </w:r>
      <w:r w:rsidR="00052AF9" w:rsidRPr="00583237">
        <w:t>diabetes</w:t>
      </w:r>
      <w:r w:rsidR="00962346">
        <w:t xml:space="preserve"> (Teufel et al., 2021)</w:t>
      </w:r>
      <w:r w:rsidR="00052AF9" w:rsidRPr="00583237">
        <w:t xml:space="preserve">. </w:t>
      </w:r>
      <w:r w:rsidR="000D6E8D" w:rsidRPr="00583237">
        <w:t xml:space="preserve">Other cross-sectional studies reported a positive correlation between </w:t>
      </w:r>
      <w:r w:rsidR="00177806" w:rsidRPr="00583237">
        <w:t xml:space="preserve">waist and hip circumference and </w:t>
      </w:r>
      <w:r w:rsidR="000D6E8D" w:rsidRPr="00583237">
        <w:t xml:space="preserve">a negative link </w:t>
      </w:r>
      <w:r w:rsidR="00094159" w:rsidRPr="00583237">
        <w:rPr>
          <w:color w:val="222222"/>
        </w:rPr>
        <w:t>with calf circumference</w:t>
      </w:r>
      <w:r w:rsidR="001D5B04" w:rsidRPr="00583237">
        <w:t xml:space="preserve"> (Rolland </w:t>
      </w:r>
      <w:r w:rsidR="00D114EB" w:rsidRPr="007B03C5">
        <w:rPr>
          <w:iCs/>
        </w:rPr>
        <w:t>et al</w:t>
      </w:r>
      <w:r w:rsidR="001D5B04" w:rsidRPr="007B03C5">
        <w:rPr>
          <w:iCs/>
        </w:rPr>
        <w:t>.,</w:t>
      </w:r>
      <w:r w:rsidR="001D5B04" w:rsidRPr="00583237">
        <w:t xml:space="preserve"> 2003</w:t>
      </w:r>
      <w:r w:rsidR="00EA6BF7" w:rsidRPr="00583237">
        <w:t xml:space="preserve">; </w:t>
      </w:r>
      <w:r w:rsidR="00EA6BF7" w:rsidRPr="00583237">
        <w:rPr>
          <w:color w:val="222222"/>
        </w:rPr>
        <w:t xml:space="preserve">Benítez </w:t>
      </w:r>
      <w:r w:rsidR="001C7876">
        <w:rPr>
          <w:color w:val="222222"/>
        </w:rPr>
        <w:t xml:space="preserve">Brito </w:t>
      </w:r>
      <w:r w:rsidR="00D114EB" w:rsidRPr="007B03C5">
        <w:rPr>
          <w:iCs/>
          <w:color w:val="222222"/>
        </w:rPr>
        <w:t>et al</w:t>
      </w:r>
      <w:r w:rsidR="00EA6BF7" w:rsidRPr="007B03C5">
        <w:rPr>
          <w:iCs/>
          <w:color w:val="222222"/>
        </w:rPr>
        <w:t>.,</w:t>
      </w:r>
      <w:r w:rsidR="00EA6BF7" w:rsidRPr="00583237">
        <w:rPr>
          <w:color w:val="222222"/>
        </w:rPr>
        <w:t xml:space="preserve"> 2016</w:t>
      </w:r>
      <w:r w:rsidR="001D5B04" w:rsidRPr="00583237">
        <w:t>)</w:t>
      </w:r>
      <w:r w:rsidR="00094159" w:rsidRPr="00583237">
        <w:rPr>
          <w:color w:val="222222"/>
        </w:rPr>
        <w:t>. However, t</w:t>
      </w:r>
      <w:r w:rsidR="0066423A">
        <w:rPr>
          <w:color w:val="222222"/>
        </w:rPr>
        <w:t>here is limited</w:t>
      </w:r>
      <w:r w:rsidR="00094159" w:rsidRPr="00583237">
        <w:rPr>
          <w:color w:val="222222"/>
        </w:rPr>
        <w:t xml:space="preserve"> evidence regarding the relatio</w:t>
      </w:r>
      <w:r w:rsidR="00E7216A">
        <w:rPr>
          <w:color w:val="222222"/>
        </w:rPr>
        <w:t xml:space="preserve">nship between BMI and diabetic risk in a rural-urban population in Rivers State (Cookey </w:t>
      </w:r>
      <w:r w:rsidR="007B03C5" w:rsidRPr="007B03C5">
        <w:rPr>
          <w:iCs/>
          <w:color w:val="222222"/>
        </w:rPr>
        <w:t>et al.,</w:t>
      </w:r>
      <w:r w:rsidR="00E7216A">
        <w:rPr>
          <w:color w:val="222222"/>
        </w:rPr>
        <w:t xml:space="preserve"> 2022). </w:t>
      </w:r>
      <w:r w:rsidR="000D28BC" w:rsidRPr="00583237">
        <w:rPr>
          <w:color w:val="222222"/>
        </w:rPr>
        <w:t xml:space="preserve">The aim of this study was to evaluate the influence of anthropometric parameters in predicting diabetes mellitus in </w:t>
      </w:r>
      <w:r w:rsidR="00FA4BB0">
        <w:rPr>
          <w:color w:val="222222"/>
        </w:rPr>
        <w:t>a</w:t>
      </w:r>
      <w:r w:rsidR="000D28BC" w:rsidRPr="00583237">
        <w:rPr>
          <w:color w:val="222222"/>
        </w:rPr>
        <w:t xml:space="preserve"> young</w:t>
      </w:r>
      <w:r w:rsidR="00FA4BB0">
        <w:rPr>
          <w:color w:val="222222"/>
        </w:rPr>
        <w:t xml:space="preserve"> adult</w:t>
      </w:r>
      <w:r w:rsidR="000D28BC" w:rsidRPr="00583237">
        <w:rPr>
          <w:color w:val="222222"/>
        </w:rPr>
        <w:t xml:space="preserve"> population in Rivers State. The study involved using</w:t>
      </w:r>
      <w:r w:rsidR="004C505D" w:rsidRPr="00583237">
        <w:rPr>
          <w:color w:val="222222"/>
        </w:rPr>
        <w:t xml:space="preserve"> the </w:t>
      </w:r>
      <w:r w:rsidR="000D28BC" w:rsidRPr="00583237">
        <w:rPr>
          <w:color w:val="222222"/>
        </w:rPr>
        <w:t xml:space="preserve">anthropometric parameter; BMI </w:t>
      </w:r>
      <w:r w:rsidR="00094159" w:rsidRPr="00583237">
        <w:rPr>
          <w:color w:val="222222"/>
        </w:rPr>
        <w:t xml:space="preserve">to obtain quantitative </w:t>
      </w:r>
      <w:r w:rsidR="000D28BC" w:rsidRPr="00583237">
        <w:rPr>
          <w:color w:val="222222"/>
        </w:rPr>
        <w:t>estimates through descriptive</w:t>
      </w:r>
      <w:r w:rsidR="00094159" w:rsidRPr="00583237">
        <w:rPr>
          <w:color w:val="222222"/>
        </w:rPr>
        <w:t xml:space="preserve"> analysis</w:t>
      </w:r>
      <w:r w:rsidR="00AD11C3" w:rsidRPr="00AD11C3">
        <w:rPr>
          <w:color w:val="222222"/>
        </w:rPr>
        <w:t xml:space="preserve"> to identify high-risk individuals and conduct timely risk assessments using FINDRISC and ADART tools, to prevent the occurrence of DM and related diseases.</w:t>
      </w:r>
      <w:r w:rsidR="00520647" w:rsidRPr="00583237">
        <w:rPr>
          <w:b/>
        </w:rPr>
        <w:tab/>
      </w:r>
    </w:p>
    <w:p w14:paraId="1368CEB8" w14:textId="77777777" w:rsidR="00175DF1" w:rsidRPr="00583237" w:rsidRDefault="00BB075F" w:rsidP="00BA7E04">
      <w:p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 xml:space="preserve">2. </w:t>
      </w:r>
      <w:r w:rsidRPr="00583237">
        <w:rPr>
          <w:rFonts w:ascii="Times New Roman" w:hAnsi="Times New Roman" w:cs="Times New Roman"/>
          <w:b/>
          <w:sz w:val="24"/>
          <w:szCs w:val="24"/>
        </w:rPr>
        <w:tab/>
      </w:r>
      <w:r w:rsidR="00175DF1" w:rsidRPr="00583237">
        <w:rPr>
          <w:rFonts w:ascii="Times New Roman" w:hAnsi="Times New Roman" w:cs="Times New Roman"/>
          <w:b/>
          <w:sz w:val="24"/>
          <w:szCs w:val="24"/>
        </w:rPr>
        <w:t>MATERIALS AND METHODS</w:t>
      </w:r>
      <w:r w:rsidR="00175DF1" w:rsidRPr="00583237">
        <w:rPr>
          <w:rFonts w:ascii="Times New Roman" w:hAnsi="Times New Roman" w:cs="Times New Roman"/>
          <w:b/>
          <w:sz w:val="24"/>
          <w:szCs w:val="24"/>
        </w:rPr>
        <w:tab/>
      </w:r>
      <w:r w:rsidR="00175DF1" w:rsidRPr="00583237">
        <w:rPr>
          <w:rFonts w:ascii="Times New Roman" w:hAnsi="Times New Roman" w:cs="Times New Roman"/>
          <w:b/>
          <w:sz w:val="24"/>
          <w:szCs w:val="24"/>
        </w:rPr>
        <w:tab/>
      </w:r>
      <w:r w:rsidR="00175DF1" w:rsidRPr="00583237">
        <w:rPr>
          <w:rFonts w:ascii="Times New Roman" w:hAnsi="Times New Roman" w:cs="Times New Roman"/>
          <w:b/>
          <w:sz w:val="24"/>
          <w:szCs w:val="24"/>
        </w:rPr>
        <w:tab/>
      </w:r>
      <w:r w:rsidR="00175DF1" w:rsidRPr="00583237">
        <w:rPr>
          <w:rFonts w:ascii="Times New Roman" w:hAnsi="Times New Roman" w:cs="Times New Roman"/>
          <w:b/>
          <w:sz w:val="24"/>
          <w:szCs w:val="24"/>
        </w:rPr>
        <w:tab/>
      </w:r>
      <w:r w:rsidR="00175DF1" w:rsidRPr="00583237">
        <w:rPr>
          <w:rFonts w:ascii="Times New Roman" w:hAnsi="Times New Roman" w:cs="Times New Roman"/>
          <w:b/>
          <w:sz w:val="24"/>
          <w:szCs w:val="24"/>
        </w:rPr>
        <w:tab/>
      </w:r>
    </w:p>
    <w:p w14:paraId="36CF1C78" w14:textId="77777777" w:rsidR="00175DF1" w:rsidRPr="00F90401" w:rsidRDefault="00F90401" w:rsidP="00F90401">
      <w:pPr>
        <w:pStyle w:val="ListParagraph"/>
        <w:numPr>
          <w:ilvl w:val="1"/>
          <w:numId w:val="29"/>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A4B32" w:rsidRPr="00F90401">
        <w:rPr>
          <w:rFonts w:ascii="Times New Roman" w:hAnsi="Times New Roman" w:cs="Times New Roman"/>
          <w:b/>
          <w:sz w:val="24"/>
          <w:szCs w:val="24"/>
        </w:rPr>
        <w:t>Study a</w:t>
      </w:r>
      <w:r w:rsidR="00175DF1" w:rsidRPr="00F90401">
        <w:rPr>
          <w:rFonts w:ascii="Times New Roman" w:hAnsi="Times New Roman" w:cs="Times New Roman"/>
          <w:b/>
          <w:sz w:val="24"/>
          <w:szCs w:val="24"/>
        </w:rPr>
        <w:t>rea</w:t>
      </w:r>
    </w:p>
    <w:p w14:paraId="42840734" w14:textId="77777777" w:rsidR="00047423" w:rsidRPr="00A51CDE" w:rsidRDefault="00047423" w:rsidP="00960B65">
      <w:pPr>
        <w:pStyle w:val="NormalWeb"/>
        <w:spacing w:after="0" w:afterAutospacing="0"/>
        <w:jc w:val="both"/>
      </w:pPr>
      <w:r w:rsidRPr="00A51CDE">
        <w:t xml:space="preserve">The study was conducted within </w:t>
      </w:r>
      <w:r w:rsidRPr="00A51CDE">
        <w:rPr>
          <w:bCs/>
        </w:rPr>
        <w:t>Rivers State</w:t>
      </w:r>
      <w:r w:rsidRPr="00A51CDE">
        <w:t>, which is located in the Niger Delta region of Nigeria. The state itself spans a ra</w:t>
      </w:r>
      <w:r w:rsidR="00FF0DF2" w:rsidRPr="00A51CDE">
        <w:t xml:space="preserve">nge of latitude 4°45'N and longitude </w:t>
      </w:r>
      <w:r w:rsidRPr="00A51CDE">
        <w:t>6°50'E</w:t>
      </w:r>
      <w:r w:rsidR="00FF0DF2" w:rsidRPr="00A51CDE">
        <w:t xml:space="preserve">. </w:t>
      </w:r>
      <w:r w:rsidRPr="00A51CDE">
        <w:t xml:space="preserve">The state capital, </w:t>
      </w:r>
      <w:r w:rsidRPr="00A51CDE">
        <w:rPr>
          <w:bCs/>
        </w:rPr>
        <w:t>Port Harcourt</w:t>
      </w:r>
      <w:r w:rsidRPr="00A51CDE">
        <w:t>, is a major urban center and a focal point of economic ac</w:t>
      </w:r>
      <w:r w:rsidR="00FF0DF2" w:rsidRPr="00A51CDE">
        <w:t xml:space="preserve">tivity within latitude 4°49'27"N and longitude </w:t>
      </w:r>
      <w:r w:rsidRPr="00A51CDE">
        <w:t>7°2'1"E</w:t>
      </w:r>
      <w:r w:rsidR="00C21CB8" w:rsidRPr="00A51CDE">
        <w:t xml:space="preserve">. </w:t>
      </w:r>
      <w:r w:rsidRPr="00A51CDE">
        <w:t xml:space="preserve">The research specifically included the </w:t>
      </w:r>
      <w:r w:rsidRPr="00A51CDE">
        <w:rPr>
          <w:bCs/>
        </w:rPr>
        <w:t>University of Port Harcourt</w:t>
      </w:r>
      <w:r w:rsidRPr="00A51CDE">
        <w:t>, an institution situated just outside the city proper. The campus's coord</w:t>
      </w:r>
      <w:r w:rsidR="00C21CB8" w:rsidRPr="00A51CDE">
        <w:t xml:space="preserve">inates are latitude 4°54'26"N and </w:t>
      </w:r>
      <w:r w:rsidRPr="00A51CDE">
        <w:t>6°55'1"E</w:t>
      </w:r>
      <w:r w:rsidR="00F5341D" w:rsidRPr="00A51CDE">
        <w:t xml:space="preserve">. </w:t>
      </w:r>
      <w:r w:rsidRPr="00A51CDE">
        <w:t xml:space="preserve">The study also covered the rural area of </w:t>
      </w:r>
      <w:r w:rsidRPr="00A51CDE">
        <w:rPr>
          <w:bCs/>
        </w:rPr>
        <w:t>Etche village</w:t>
      </w:r>
      <w:r w:rsidRPr="00A51CDE">
        <w:t>, which provides a contrasting environment to the urban settings. The co</w:t>
      </w:r>
      <w:r w:rsidR="00F5341D" w:rsidRPr="00A51CDE">
        <w:t xml:space="preserve">ordinates for this location are latitude 4°59'27"N and </w:t>
      </w:r>
      <w:r w:rsidRPr="00A51CDE">
        <w:t>7°3'16"E</w:t>
      </w:r>
      <w:r w:rsidR="00F5341D" w:rsidRPr="00A51CDE">
        <w:t>.</w:t>
      </w:r>
    </w:p>
    <w:p w14:paraId="5E152709" w14:textId="77777777" w:rsidR="00047423" w:rsidRPr="00583237" w:rsidRDefault="00047423" w:rsidP="00960B65">
      <w:pPr>
        <w:spacing w:after="0" w:line="240" w:lineRule="auto"/>
        <w:jc w:val="both"/>
        <w:rPr>
          <w:rFonts w:ascii="Times New Roman" w:hAnsi="Times New Roman" w:cs="Times New Roman"/>
          <w:b/>
          <w:sz w:val="24"/>
          <w:szCs w:val="24"/>
        </w:rPr>
      </w:pPr>
    </w:p>
    <w:p w14:paraId="6C87799B" w14:textId="77777777" w:rsidR="00175DF1" w:rsidRPr="00583237" w:rsidRDefault="00FE1751" w:rsidP="00FB58A1">
      <w:p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2.2</w:t>
      </w:r>
      <w:r w:rsidRPr="00583237">
        <w:rPr>
          <w:rFonts w:ascii="Times New Roman" w:hAnsi="Times New Roman" w:cs="Times New Roman"/>
          <w:b/>
          <w:sz w:val="24"/>
          <w:szCs w:val="24"/>
        </w:rPr>
        <w:tab/>
      </w:r>
      <w:r w:rsidR="007A4B32">
        <w:rPr>
          <w:rFonts w:ascii="Times New Roman" w:hAnsi="Times New Roman" w:cs="Times New Roman"/>
          <w:b/>
          <w:sz w:val="24"/>
          <w:szCs w:val="24"/>
        </w:rPr>
        <w:t>Study p</w:t>
      </w:r>
      <w:r w:rsidR="00FC0C2C" w:rsidRPr="00583237">
        <w:rPr>
          <w:rFonts w:ascii="Times New Roman" w:hAnsi="Times New Roman" w:cs="Times New Roman"/>
          <w:b/>
          <w:sz w:val="24"/>
          <w:szCs w:val="24"/>
        </w:rPr>
        <w:t>opulation</w:t>
      </w:r>
    </w:p>
    <w:p w14:paraId="24511A62" w14:textId="77777777" w:rsidR="00175DF1" w:rsidRPr="00583237" w:rsidRDefault="00FC0C2C" w:rsidP="00FB58A1">
      <w:pPr>
        <w:spacing w:line="240" w:lineRule="auto"/>
        <w:jc w:val="both"/>
        <w:rPr>
          <w:rFonts w:ascii="Times New Roman" w:hAnsi="Times New Roman" w:cs="Times New Roman"/>
          <w:sz w:val="24"/>
          <w:szCs w:val="24"/>
        </w:rPr>
      </w:pPr>
      <w:r w:rsidRPr="00583237">
        <w:rPr>
          <w:rFonts w:ascii="Times New Roman" w:hAnsi="Times New Roman" w:cs="Times New Roman"/>
          <w:sz w:val="24"/>
          <w:szCs w:val="24"/>
        </w:rPr>
        <w:t xml:space="preserve">The study used </w:t>
      </w:r>
      <w:r w:rsidR="00175DF1" w:rsidRPr="00583237">
        <w:rPr>
          <w:rFonts w:ascii="Times New Roman" w:hAnsi="Times New Roman" w:cs="Times New Roman"/>
          <w:sz w:val="24"/>
          <w:szCs w:val="24"/>
        </w:rPr>
        <w:t>the validated Finnish Diabetic Risk Score (FINDRISC) and American Diabetes R</w:t>
      </w:r>
      <w:r w:rsidR="009521FC" w:rsidRPr="00583237">
        <w:rPr>
          <w:rFonts w:ascii="Times New Roman" w:hAnsi="Times New Roman" w:cs="Times New Roman"/>
          <w:sz w:val="24"/>
          <w:szCs w:val="24"/>
        </w:rPr>
        <w:t>isk Tools (ADART). Participants were considered for inclusion if they met the following criteria: (1) Resident location was within Rivers State</w:t>
      </w:r>
      <w:r w:rsidR="00314D7E" w:rsidRPr="00583237">
        <w:rPr>
          <w:rFonts w:ascii="Times New Roman" w:hAnsi="Times New Roman" w:cs="Times New Roman"/>
          <w:sz w:val="24"/>
          <w:szCs w:val="24"/>
        </w:rPr>
        <w:t xml:space="preserve"> (i.e. urban and rural residents)</w:t>
      </w:r>
      <w:r w:rsidR="008A5906" w:rsidRPr="00583237">
        <w:rPr>
          <w:rFonts w:ascii="Times New Roman" w:hAnsi="Times New Roman" w:cs="Times New Roman"/>
          <w:sz w:val="24"/>
          <w:szCs w:val="24"/>
        </w:rPr>
        <w:t xml:space="preserve"> and </w:t>
      </w:r>
      <w:r w:rsidR="009521FC" w:rsidRPr="00583237">
        <w:rPr>
          <w:rFonts w:ascii="Times New Roman" w:hAnsi="Times New Roman" w:cs="Times New Roman"/>
          <w:sz w:val="24"/>
          <w:szCs w:val="24"/>
        </w:rPr>
        <w:t>(2) Y</w:t>
      </w:r>
      <w:r w:rsidR="00175DF1" w:rsidRPr="00583237">
        <w:rPr>
          <w:rFonts w:ascii="Times New Roman" w:hAnsi="Times New Roman" w:cs="Times New Roman"/>
          <w:sz w:val="24"/>
          <w:szCs w:val="24"/>
        </w:rPr>
        <w:t xml:space="preserve">oung individuals </w:t>
      </w:r>
      <w:r w:rsidR="009521FC" w:rsidRPr="00583237">
        <w:rPr>
          <w:rFonts w:ascii="Times New Roman" w:hAnsi="Times New Roman" w:cs="Times New Roman"/>
          <w:sz w:val="24"/>
          <w:szCs w:val="24"/>
        </w:rPr>
        <w:t xml:space="preserve">within the age range of </w:t>
      </w:r>
      <w:r w:rsidR="00175DF1" w:rsidRPr="00583237">
        <w:rPr>
          <w:rFonts w:ascii="Times New Roman" w:hAnsi="Times New Roman" w:cs="Times New Roman"/>
          <w:sz w:val="24"/>
          <w:szCs w:val="24"/>
        </w:rPr>
        <w:t xml:space="preserve">18 - 45 years. </w:t>
      </w:r>
      <w:r w:rsidR="009E2E61" w:rsidRPr="00583237">
        <w:rPr>
          <w:rFonts w:ascii="Times New Roman" w:hAnsi="Times New Roman" w:cs="Times New Roman"/>
          <w:sz w:val="24"/>
          <w:szCs w:val="24"/>
        </w:rPr>
        <w:t>Participants were excluded if they were: (1) Physic</w:t>
      </w:r>
      <w:r w:rsidR="008A5906" w:rsidRPr="00583237">
        <w:rPr>
          <w:rFonts w:ascii="Times New Roman" w:hAnsi="Times New Roman" w:cs="Times New Roman"/>
          <w:sz w:val="24"/>
          <w:szCs w:val="24"/>
        </w:rPr>
        <w:t>ally disabled (2) Pregnant</w:t>
      </w:r>
      <w:r w:rsidR="009E2E61" w:rsidRPr="00583237">
        <w:rPr>
          <w:rFonts w:ascii="Times New Roman" w:hAnsi="Times New Roman" w:cs="Times New Roman"/>
          <w:sz w:val="24"/>
          <w:szCs w:val="24"/>
        </w:rPr>
        <w:t xml:space="preserve"> (3)</w:t>
      </w:r>
      <w:r w:rsidR="00B80474" w:rsidRPr="00583237">
        <w:rPr>
          <w:rFonts w:ascii="Times New Roman" w:hAnsi="Times New Roman" w:cs="Times New Roman"/>
          <w:sz w:val="24"/>
          <w:szCs w:val="24"/>
        </w:rPr>
        <w:t xml:space="preserve"> Drug addicts (4) Previously diagnosed with diabetes or had baseline diagnosis and (5) Not consensual to the requirements of the research</w:t>
      </w:r>
      <w:r w:rsidR="00C7437C" w:rsidRPr="00583237">
        <w:rPr>
          <w:rFonts w:ascii="Times New Roman" w:hAnsi="Times New Roman" w:cs="Times New Roman"/>
          <w:sz w:val="24"/>
          <w:szCs w:val="24"/>
        </w:rPr>
        <w:t>.</w:t>
      </w:r>
    </w:p>
    <w:p w14:paraId="566DEACE" w14:textId="77777777" w:rsidR="00314D7E" w:rsidRPr="00583237" w:rsidRDefault="00BC391E" w:rsidP="00FB58A1">
      <w:p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2.3</w:t>
      </w:r>
      <w:r w:rsidRPr="00583237">
        <w:rPr>
          <w:rFonts w:ascii="Times New Roman" w:hAnsi="Times New Roman" w:cs="Times New Roman"/>
          <w:b/>
          <w:sz w:val="24"/>
          <w:szCs w:val="24"/>
        </w:rPr>
        <w:tab/>
      </w:r>
      <w:r w:rsidR="00314D7E" w:rsidRPr="00583237">
        <w:rPr>
          <w:rFonts w:ascii="Times New Roman" w:hAnsi="Times New Roman" w:cs="Times New Roman"/>
          <w:b/>
          <w:sz w:val="24"/>
          <w:szCs w:val="24"/>
        </w:rPr>
        <w:t>Selection of sample population</w:t>
      </w:r>
    </w:p>
    <w:p w14:paraId="51D5CC6F" w14:textId="581965FE" w:rsidR="006616CC" w:rsidRDefault="00314D7E" w:rsidP="00BE5059">
      <w:pPr>
        <w:spacing w:line="240" w:lineRule="auto"/>
        <w:jc w:val="both"/>
        <w:rPr>
          <w:rFonts w:ascii="Times New Roman" w:hAnsi="Times New Roman" w:cs="Times New Roman"/>
          <w:sz w:val="24"/>
          <w:szCs w:val="24"/>
        </w:rPr>
      </w:pPr>
      <w:r w:rsidRPr="00583237">
        <w:rPr>
          <w:rFonts w:ascii="Times New Roman" w:hAnsi="Times New Roman" w:cs="Times New Roman"/>
          <w:sz w:val="24"/>
          <w:szCs w:val="24"/>
        </w:rPr>
        <w:t xml:space="preserve">The urban sample population included participants </w:t>
      </w:r>
      <w:r w:rsidR="00175DF1" w:rsidRPr="00583237">
        <w:rPr>
          <w:rFonts w:ascii="Times New Roman" w:hAnsi="Times New Roman" w:cs="Times New Roman"/>
          <w:sz w:val="24"/>
          <w:szCs w:val="24"/>
        </w:rPr>
        <w:t>selected from Port H</w:t>
      </w:r>
      <w:r w:rsidR="00A177F3" w:rsidRPr="00583237">
        <w:rPr>
          <w:rFonts w:ascii="Times New Roman" w:hAnsi="Times New Roman" w:cs="Times New Roman"/>
          <w:sz w:val="24"/>
          <w:szCs w:val="24"/>
        </w:rPr>
        <w:t xml:space="preserve">arcourt, Rivers State, Nigeria, characterized by the prevalence of white-collar workers, with </w:t>
      </w:r>
      <w:r w:rsidR="00175DF1" w:rsidRPr="00583237">
        <w:rPr>
          <w:rFonts w:ascii="Times New Roman" w:hAnsi="Times New Roman" w:cs="Times New Roman"/>
          <w:sz w:val="24"/>
          <w:szCs w:val="24"/>
        </w:rPr>
        <w:t xml:space="preserve">majority of residents </w:t>
      </w:r>
      <w:r w:rsidR="00DA4E2B" w:rsidRPr="00583237">
        <w:rPr>
          <w:rFonts w:ascii="Times New Roman" w:hAnsi="Times New Roman" w:cs="Times New Roman"/>
          <w:sz w:val="24"/>
          <w:szCs w:val="24"/>
        </w:rPr>
        <w:t xml:space="preserve">being young adults, earning middle to high incomes and </w:t>
      </w:r>
      <w:r w:rsidR="00A177F3" w:rsidRPr="00583237">
        <w:rPr>
          <w:rFonts w:ascii="Times New Roman" w:hAnsi="Times New Roman" w:cs="Times New Roman"/>
          <w:sz w:val="24"/>
          <w:szCs w:val="24"/>
        </w:rPr>
        <w:t>highly educated with secondary or tertiary</w:t>
      </w:r>
      <w:r w:rsidR="00175DF1" w:rsidRPr="00583237">
        <w:rPr>
          <w:rFonts w:ascii="Times New Roman" w:hAnsi="Times New Roman" w:cs="Times New Roman"/>
          <w:sz w:val="24"/>
          <w:szCs w:val="24"/>
        </w:rPr>
        <w:t xml:space="preserve"> </w:t>
      </w:r>
      <w:r w:rsidR="00DA4E2B" w:rsidRPr="00583237">
        <w:rPr>
          <w:rFonts w:ascii="Times New Roman" w:hAnsi="Times New Roman" w:cs="Times New Roman"/>
          <w:sz w:val="24"/>
          <w:szCs w:val="24"/>
        </w:rPr>
        <w:t>degrees.</w:t>
      </w:r>
      <w:r w:rsidR="0037661E" w:rsidRPr="00583237">
        <w:rPr>
          <w:rFonts w:ascii="Times New Roman" w:hAnsi="Times New Roman" w:cs="Times New Roman"/>
          <w:sz w:val="24"/>
          <w:szCs w:val="24"/>
        </w:rPr>
        <w:t xml:space="preserve"> </w:t>
      </w:r>
      <w:r w:rsidR="00DA4E2B" w:rsidRPr="00583237">
        <w:rPr>
          <w:rFonts w:ascii="Times New Roman" w:hAnsi="Times New Roman" w:cs="Times New Roman"/>
          <w:sz w:val="24"/>
          <w:szCs w:val="24"/>
        </w:rPr>
        <w:t>T</w:t>
      </w:r>
      <w:r w:rsidR="00216A56" w:rsidRPr="00583237">
        <w:rPr>
          <w:rFonts w:ascii="Times New Roman" w:hAnsi="Times New Roman" w:cs="Times New Roman"/>
          <w:sz w:val="24"/>
          <w:szCs w:val="24"/>
        </w:rPr>
        <w:t xml:space="preserve">he rural sample population included </w:t>
      </w:r>
      <w:r w:rsidR="00175DF1" w:rsidRPr="00583237">
        <w:rPr>
          <w:rFonts w:ascii="Times New Roman" w:hAnsi="Times New Roman" w:cs="Times New Roman"/>
          <w:sz w:val="24"/>
          <w:szCs w:val="24"/>
        </w:rPr>
        <w:t xml:space="preserve">participants from Etche, </w:t>
      </w:r>
      <w:r w:rsidR="0037661E" w:rsidRPr="00583237">
        <w:rPr>
          <w:rFonts w:ascii="Times New Roman" w:hAnsi="Times New Roman" w:cs="Times New Roman"/>
          <w:sz w:val="24"/>
          <w:szCs w:val="24"/>
        </w:rPr>
        <w:t xml:space="preserve">characterized by farming as the predominant occupation, </w:t>
      </w:r>
      <w:r w:rsidR="00175DF1" w:rsidRPr="00583237">
        <w:rPr>
          <w:rFonts w:ascii="Times New Roman" w:hAnsi="Times New Roman" w:cs="Times New Roman"/>
          <w:sz w:val="24"/>
          <w:szCs w:val="24"/>
        </w:rPr>
        <w:t>low-</w:t>
      </w:r>
      <w:r w:rsidR="0037661E" w:rsidRPr="00583237">
        <w:rPr>
          <w:rFonts w:ascii="Times New Roman" w:hAnsi="Times New Roman" w:cs="Times New Roman"/>
          <w:sz w:val="24"/>
          <w:szCs w:val="24"/>
        </w:rPr>
        <w:t xml:space="preserve">income earners, with a greater part of the young adults having limited literacy and </w:t>
      </w:r>
      <w:r w:rsidR="00175DF1" w:rsidRPr="00583237">
        <w:rPr>
          <w:rFonts w:ascii="Times New Roman" w:hAnsi="Times New Roman" w:cs="Times New Roman"/>
          <w:sz w:val="24"/>
          <w:szCs w:val="24"/>
        </w:rPr>
        <w:t>often involved in non-specialized manual labour.</w:t>
      </w:r>
      <w:r w:rsidR="00D57601" w:rsidRPr="00583237">
        <w:rPr>
          <w:rFonts w:ascii="Times New Roman" w:hAnsi="Times New Roman" w:cs="Times New Roman"/>
          <w:sz w:val="24"/>
          <w:szCs w:val="24"/>
        </w:rPr>
        <w:t xml:space="preserve"> </w:t>
      </w:r>
      <w:r w:rsidR="006C260C" w:rsidRPr="006C260C">
        <w:rPr>
          <w:rFonts w:ascii="Times New Roman" w:hAnsi="Times New Roman" w:cs="Times New Roman"/>
          <w:sz w:val="24"/>
          <w:szCs w:val="24"/>
        </w:rPr>
        <w:lastRenderedPageBreak/>
        <w:t>The reference sample population included participants who were already established diabetics drawn from the University of Port Ha</w:t>
      </w:r>
      <w:r w:rsidR="006C260C">
        <w:rPr>
          <w:rFonts w:ascii="Times New Roman" w:hAnsi="Times New Roman" w:cs="Times New Roman"/>
          <w:sz w:val="24"/>
          <w:szCs w:val="24"/>
        </w:rPr>
        <w:t xml:space="preserve">rcourt </w:t>
      </w:r>
      <w:r w:rsidR="00FA4BB0">
        <w:rPr>
          <w:rFonts w:ascii="Times New Roman" w:hAnsi="Times New Roman" w:cs="Times New Roman"/>
          <w:sz w:val="24"/>
          <w:szCs w:val="24"/>
        </w:rPr>
        <w:t>T</w:t>
      </w:r>
      <w:r w:rsidR="006C260C">
        <w:rPr>
          <w:rFonts w:ascii="Times New Roman" w:hAnsi="Times New Roman" w:cs="Times New Roman"/>
          <w:sz w:val="24"/>
          <w:szCs w:val="24"/>
        </w:rPr>
        <w:t>eaching Hospital, Choba, Rivers State.</w:t>
      </w:r>
    </w:p>
    <w:p w14:paraId="121091DF" w14:textId="77777777" w:rsidR="006C260C" w:rsidRPr="00583237" w:rsidRDefault="006C260C" w:rsidP="00BE5059">
      <w:pPr>
        <w:spacing w:line="240" w:lineRule="auto"/>
        <w:jc w:val="both"/>
        <w:rPr>
          <w:rFonts w:ascii="Times New Roman" w:hAnsi="Times New Roman" w:cs="Times New Roman"/>
          <w:sz w:val="24"/>
          <w:szCs w:val="24"/>
        </w:rPr>
      </w:pPr>
    </w:p>
    <w:p w14:paraId="20B8DFCC" w14:textId="77777777" w:rsidR="00175DF1" w:rsidRPr="00583237" w:rsidRDefault="006F4D54" w:rsidP="00BE5059">
      <w:p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2.4</w:t>
      </w:r>
      <w:r w:rsidR="007A4B32">
        <w:rPr>
          <w:rFonts w:ascii="Times New Roman" w:hAnsi="Times New Roman" w:cs="Times New Roman"/>
          <w:b/>
          <w:sz w:val="24"/>
          <w:szCs w:val="24"/>
        </w:rPr>
        <w:tab/>
        <w:t>Sample s</w:t>
      </w:r>
      <w:r w:rsidR="00175DF1" w:rsidRPr="00583237">
        <w:rPr>
          <w:rFonts w:ascii="Times New Roman" w:hAnsi="Times New Roman" w:cs="Times New Roman"/>
          <w:b/>
          <w:sz w:val="24"/>
          <w:szCs w:val="24"/>
        </w:rPr>
        <w:t>ize</w:t>
      </w:r>
    </w:p>
    <w:p w14:paraId="6F6E4908"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The sample size for the study was calculated based on the formula proposed by Vaughan and Morrow (1989):</w:t>
      </w:r>
      <w:r w:rsidRPr="00583237">
        <w:rPr>
          <w:rFonts w:ascii="Times New Roman" w:hAnsi="Times New Roman" w:cs="Times New Roman"/>
          <w:sz w:val="24"/>
          <w:szCs w:val="24"/>
        </w:rPr>
        <w:tab/>
      </w:r>
      <w:r w:rsidRPr="00583237">
        <w:rPr>
          <w:rFonts w:ascii="Times New Roman" w:hAnsi="Times New Roman" w:cs="Times New Roman"/>
          <w:sz w:val="24"/>
          <w:szCs w:val="24"/>
        </w:rPr>
        <w:tab/>
      </w:r>
      <w:r w:rsidRPr="00583237">
        <w:rPr>
          <w:rFonts w:ascii="Times New Roman" w:hAnsi="Times New Roman" w:cs="Times New Roman"/>
          <w:sz w:val="24"/>
          <w:szCs w:val="24"/>
        </w:rPr>
        <w:tab/>
      </w:r>
    </w:p>
    <w:p w14:paraId="74F4B363" w14:textId="77777777" w:rsidR="00175DF1" w:rsidRPr="00583237" w:rsidRDefault="00175DF1" w:rsidP="00960B65">
      <w:pPr>
        <w:spacing w:after="0" w:line="240" w:lineRule="auto"/>
        <w:ind w:left="1440" w:firstLine="720"/>
        <w:jc w:val="both"/>
        <w:rPr>
          <w:rFonts w:ascii="Times New Roman" w:hAnsi="Times New Roman" w:cs="Times New Roman"/>
          <w:sz w:val="24"/>
          <w:szCs w:val="24"/>
        </w:rPr>
      </w:pPr>
      <w:r w:rsidRPr="00583237">
        <w:rPr>
          <w:rFonts w:ascii="Times New Roman" w:hAnsi="Times New Roman" w:cs="Times New Roman"/>
          <w:b/>
          <w:sz w:val="24"/>
          <w:szCs w:val="24"/>
        </w:rPr>
        <w:t xml:space="preserve">N = </w:t>
      </w:r>
      <w:r w:rsidRPr="00583237">
        <w:rPr>
          <w:rFonts w:ascii="Times New Roman" w:hAnsi="Times New Roman" w:cs="Times New Roman"/>
          <w:b/>
          <w:sz w:val="24"/>
          <w:szCs w:val="24"/>
          <w:u w:val="single"/>
        </w:rPr>
        <w:tab/>
        <w:t xml:space="preserve">  PQ             </w:t>
      </w:r>
      <w:r w:rsidRPr="00583237">
        <w:rPr>
          <w:rFonts w:ascii="Times New Roman" w:hAnsi="Times New Roman" w:cs="Times New Roman"/>
          <w:b/>
          <w:sz w:val="24"/>
          <w:szCs w:val="24"/>
        </w:rPr>
        <w:tab/>
      </w:r>
      <w:r w:rsidRPr="00583237">
        <w:rPr>
          <w:rFonts w:ascii="Times New Roman" w:hAnsi="Times New Roman" w:cs="Times New Roman"/>
          <w:b/>
          <w:sz w:val="24"/>
          <w:szCs w:val="24"/>
        </w:rPr>
        <w:tab/>
      </w:r>
      <w:r w:rsidRPr="00583237">
        <w:rPr>
          <w:rFonts w:ascii="Times New Roman" w:hAnsi="Times New Roman" w:cs="Times New Roman"/>
          <w:b/>
          <w:sz w:val="24"/>
          <w:szCs w:val="24"/>
        </w:rPr>
        <w:tab/>
      </w:r>
      <w:r w:rsidRPr="00583237">
        <w:rPr>
          <w:rFonts w:ascii="Times New Roman" w:hAnsi="Times New Roman" w:cs="Times New Roman"/>
          <w:b/>
          <w:sz w:val="24"/>
          <w:szCs w:val="24"/>
        </w:rPr>
        <w:tab/>
      </w:r>
      <w:r w:rsidRPr="00583237">
        <w:rPr>
          <w:rFonts w:ascii="Times New Roman" w:hAnsi="Times New Roman" w:cs="Times New Roman"/>
          <w:b/>
          <w:sz w:val="24"/>
          <w:szCs w:val="24"/>
        </w:rPr>
        <w:tab/>
      </w:r>
      <w:r w:rsidRPr="00583237">
        <w:rPr>
          <w:rFonts w:ascii="Times New Roman" w:hAnsi="Times New Roman" w:cs="Times New Roman"/>
          <w:b/>
          <w:sz w:val="24"/>
          <w:szCs w:val="24"/>
        </w:rPr>
        <w:tab/>
      </w:r>
      <w:r w:rsidRPr="00583237">
        <w:rPr>
          <w:rFonts w:ascii="Times New Roman" w:hAnsi="Times New Roman" w:cs="Times New Roman"/>
          <w:b/>
          <w:sz w:val="24"/>
          <w:szCs w:val="24"/>
        </w:rPr>
        <w:tab/>
      </w:r>
      <w:r w:rsidRPr="00583237">
        <w:rPr>
          <w:rFonts w:ascii="Times New Roman" w:hAnsi="Times New Roman" w:cs="Times New Roman"/>
          <w:b/>
          <w:sz w:val="24"/>
          <w:szCs w:val="24"/>
        </w:rPr>
        <w:tab/>
      </w:r>
      <w:r w:rsidRPr="00583237">
        <w:rPr>
          <w:rFonts w:ascii="Times New Roman" w:hAnsi="Times New Roman" w:cs="Times New Roman"/>
          <w:b/>
          <w:sz w:val="24"/>
          <w:szCs w:val="24"/>
        </w:rPr>
        <w:tab/>
      </w:r>
      <w:r w:rsidRPr="00583237">
        <w:rPr>
          <w:rFonts w:ascii="Times New Roman" w:hAnsi="Times New Roman" w:cs="Times New Roman"/>
          <w:b/>
          <w:sz w:val="24"/>
          <w:szCs w:val="24"/>
        </w:rPr>
        <w:tab/>
        <w:t>(</w:t>
      </w:r>
      <w:r w:rsidRPr="00583237">
        <w:rPr>
          <w:rFonts w:ascii="Cambria Math" w:hAnsi="Cambria Math" w:cs="Cambria Math"/>
          <w:b/>
          <w:sz w:val="24"/>
          <w:szCs w:val="24"/>
          <w:vertAlign w:val="superscript"/>
        </w:rPr>
        <w:t>𝐄</w:t>
      </w:r>
      <w:r w:rsidRPr="00583237">
        <w:rPr>
          <w:rFonts w:ascii="Times New Roman" w:hAnsi="Times New Roman" w:cs="Times New Roman"/>
          <w:b/>
          <w:sz w:val="24"/>
          <w:szCs w:val="24"/>
        </w:rPr>
        <w:t>/</w:t>
      </w:r>
      <w:r w:rsidRPr="00583237">
        <w:rPr>
          <w:rFonts w:ascii="Cambria Math" w:hAnsi="Cambria Math" w:cs="Cambria Math"/>
          <w:b/>
          <w:sz w:val="24"/>
          <w:szCs w:val="24"/>
        </w:rPr>
        <w:t>𝟏</w:t>
      </w:r>
      <w:r w:rsidRPr="00583237">
        <w:rPr>
          <w:rFonts w:ascii="Times New Roman" w:hAnsi="Times New Roman" w:cs="Times New Roman"/>
          <w:b/>
          <w:sz w:val="24"/>
          <w:szCs w:val="24"/>
        </w:rPr>
        <w:t>.</w:t>
      </w:r>
      <w:r w:rsidRPr="00583237">
        <w:rPr>
          <w:rFonts w:ascii="Cambria Math" w:hAnsi="Cambria Math" w:cs="Cambria Math"/>
          <w:b/>
          <w:sz w:val="24"/>
          <w:szCs w:val="24"/>
        </w:rPr>
        <w:t>𝟗𝟔</w:t>
      </w:r>
      <w:r w:rsidRPr="00583237">
        <w:rPr>
          <w:rFonts w:ascii="Times New Roman" w:hAnsi="Times New Roman" w:cs="Times New Roman"/>
          <w:b/>
          <w:sz w:val="24"/>
          <w:szCs w:val="24"/>
        </w:rPr>
        <w:t>)</w:t>
      </w:r>
      <w:r w:rsidRPr="00583237">
        <w:rPr>
          <w:rFonts w:ascii="Times New Roman" w:hAnsi="Times New Roman" w:cs="Times New Roman"/>
          <w:b/>
          <w:sz w:val="24"/>
          <w:szCs w:val="24"/>
          <w:vertAlign w:val="superscript"/>
        </w:rPr>
        <w:t>2</w:t>
      </w:r>
      <w:r w:rsidRPr="00583237">
        <w:rPr>
          <w:rFonts w:ascii="Times New Roman" w:hAnsi="Times New Roman" w:cs="Times New Roman"/>
          <w:sz w:val="24"/>
          <w:szCs w:val="24"/>
        </w:rPr>
        <w:tab/>
      </w:r>
      <w:r w:rsidRPr="00583237">
        <w:rPr>
          <w:rFonts w:ascii="Times New Roman" w:hAnsi="Times New Roman" w:cs="Times New Roman"/>
          <w:sz w:val="24"/>
          <w:szCs w:val="24"/>
        </w:rPr>
        <w:tab/>
      </w:r>
      <w:r w:rsidRPr="00583237">
        <w:rPr>
          <w:rFonts w:ascii="Times New Roman" w:hAnsi="Times New Roman" w:cs="Times New Roman"/>
          <w:sz w:val="24"/>
          <w:szCs w:val="24"/>
        </w:rPr>
        <w:tab/>
      </w:r>
      <w:r w:rsidRPr="00583237">
        <w:rPr>
          <w:rFonts w:ascii="Times New Roman" w:hAnsi="Times New Roman" w:cs="Times New Roman"/>
          <w:sz w:val="24"/>
          <w:szCs w:val="24"/>
        </w:rPr>
        <w:tab/>
      </w:r>
      <w:r w:rsidRPr="00583237">
        <w:rPr>
          <w:rFonts w:ascii="Times New Roman" w:hAnsi="Times New Roman" w:cs="Times New Roman"/>
          <w:sz w:val="24"/>
          <w:szCs w:val="24"/>
        </w:rPr>
        <w:tab/>
      </w:r>
      <w:r w:rsidRPr="00583237">
        <w:rPr>
          <w:rFonts w:ascii="Times New Roman" w:hAnsi="Times New Roman" w:cs="Times New Roman"/>
          <w:sz w:val="24"/>
          <w:szCs w:val="24"/>
        </w:rPr>
        <w:tab/>
      </w:r>
    </w:p>
    <w:p w14:paraId="6A92C3FD" w14:textId="77777777" w:rsidR="00175DF1" w:rsidRPr="00583237" w:rsidRDefault="00175DF1" w:rsidP="00960B65">
      <w:pPr>
        <w:spacing w:after="0" w:line="240" w:lineRule="auto"/>
        <w:jc w:val="both"/>
        <w:rPr>
          <w:rFonts w:ascii="Times New Roman" w:hAnsi="Times New Roman" w:cs="Times New Roman"/>
          <w:sz w:val="24"/>
          <w:szCs w:val="24"/>
        </w:rPr>
      </w:pPr>
    </w:p>
    <w:p w14:paraId="1B75B7D3"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 xml:space="preserve">Where: </w:t>
      </w:r>
    </w:p>
    <w:p w14:paraId="0E19D73F" w14:textId="77777777" w:rsidR="0043660E" w:rsidRPr="00583237" w:rsidRDefault="0043660E"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N = sample size</w:t>
      </w:r>
    </w:p>
    <w:p w14:paraId="10634B34" w14:textId="77777777" w:rsidR="0043660E"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P = maximum expected preval</w:t>
      </w:r>
      <w:r w:rsidR="0043660E" w:rsidRPr="00583237">
        <w:rPr>
          <w:rFonts w:ascii="Times New Roman" w:hAnsi="Times New Roman" w:cs="Times New Roman"/>
          <w:sz w:val="24"/>
          <w:szCs w:val="24"/>
        </w:rPr>
        <w:t>ence rate of diabetes mellitus</w:t>
      </w:r>
    </w:p>
    <w:p w14:paraId="4C48D006" w14:textId="77777777" w:rsidR="0043660E"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 xml:space="preserve">Q = 100 – P; and </w:t>
      </w:r>
    </w:p>
    <w:p w14:paraId="2061509F"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E = margin of sample error tolerated in percentage (5% being the maximum accepted value).</w:t>
      </w:r>
    </w:p>
    <w:p w14:paraId="505EA074" w14:textId="1AE9EB50" w:rsidR="00D44C50" w:rsidRDefault="00175DF1" w:rsidP="00BE5059">
      <w:pPr>
        <w:spacing w:line="240" w:lineRule="auto"/>
        <w:jc w:val="both"/>
        <w:rPr>
          <w:rFonts w:ascii="Times New Roman" w:hAnsi="Times New Roman" w:cs="Times New Roman"/>
          <w:sz w:val="24"/>
          <w:szCs w:val="24"/>
        </w:rPr>
      </w:pPr>
      <w:r w:rsidRPr="00583237">
        <w:rPr>
          <w:rFonts w:ascii="Times New Roman" w:hAnsi="Times New Roman" w:cs="Times New Roman"/>
          <w:sz w:val="24"/>
          <w:szCs w:val="24"/>
          <w:lang w:val="en-GB"/>
        </w:rPr>
        <w:t xml:space="preserve">Considering a 4.0% error margin and a diabetes prevalence rate of 8.6% in Rivers State, Nigeria (Cookey </w:t>
      </w:r>
      <w:r w:rsidR="007B03C5" w:rsidRPr="007B03C5">
        <w:rPr>
          <w:rFonts w:ascii="Times New Roman" w:hAnsi="Times New Roman" w:cs="Times New Roman"/>
          <w:sz w:val="24"/>
          <w:szCs w:val="24"/>
          <w:lang w:val="en-GB"/>
        </w:rPr>
        <w:t>et al.,</w:t>
      </w:r>
      <w:r w:rsidRPr="00583237">
        <w:rPr>
          <w:rFonts w:ascii="Times New Roman" w:hAnsi="Times New Roman" w:cs="Times New Roman"/>
          <w:sz w:val="24"/>
          <w:szCs w:val="24"/>
          <w:lang w:val="en-GB"/>
        </w:rPr>
        <w:t xml:space="preserve"> 2022), a minimum sample size of 188 participants would have been recommended for the study. </w:t>
      </w:r>
      <w:r w:rsidRPr="00583237">
        <w:rPr>
          <w:rFonts w:ascii="Times New Roman" w:hAnsi="Times New Roman" w:cs="Times New Roman"/>
          <w:sz w:val="24"/>
          <w:szCs w:val="24"/>
        </w:rPr>
        <w:t>However, to sufficiently address issues stemming from inconsistencies and potential data loss in questionnaire completion, a minimum sample size of 20</w:t>
      </w:r>
      <w:r w:rsidR="00F57393" w:rsidRPr="00583237">
        <w:rPr>
          <w:rFonts w:ascii="Times New Roman" w:hAnsi="Times New Roman" w:cs="Times New Roman"/>
          <w:sz w:val="24"/>
          <w:szCs w:val="24"/>
        </w:rPr>
        <w:t>0 was chosen for each location.</w:t>
      </w:r>
    </w:p>
    <w:p w14:paraId="15D1DB7B" w14:textId="193A5FC6" w:rsidR="00FA4BB0" w:rsidRPr="00FA4BB0" w:rsidRDefault="00FA4BB0" w:rsidP="00BE505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t>Informed Consent Form</w:t>
      </w:r>
    </w:p>
    <w:p w14:paraId="66A6AD57" w14:textId="3B098A2D" w:rsidR="00FA4BB0" w:rsidRPr="00583237" w:rsidRDefault="00FA4BB0" w:rsidP="00BE5059">
      <w:pPr>
        <w:spacing w:line="240" w:lineRule="auto"/>
        <w:jc w:val="both"/>
        <w:rPr>
          <w:rFonts w:ascii="Times New Roman" w:hAnsi="Times New Roman" w:cs="Times New Roman"/>
          <w:sz w:val="24"/>
          <w:szCs w:val="24"/>
        </w:rPr>
      </w:pPr>
      <w:r w:rsidRPr="009A69E1">
        <w:rPr>
          <w:rFonts w:ascii="Times New Roman" w:hAnsi="Times New Roman" w:cs="Times New Roman"/>
          <w:sz w:val="24"/>
          <w:szCs w:val="24"/>
        </w:rPr>
        <w:t>The World Health Organization's Research Ethics Review Committee (WHO ERC) requirements were followed in the creation of the study's informed con</w:t>
      </w:r>
      <w:r>
        <w:rPr>
          <w:rFonts w:ascii="Times New Roman" w:hAnsi="Times New Roman" w:cs="Times New Roman"/>
          <w:sz w:val="24"/>
          <w:szCs w:val="24"/>
        </w:rPr>
        <w:t>sent form</w:t>
      </w:r>
      <w:r w:rsidR="007A3412">
        <w:rPr>
          <w:rFonts w:ascii="Times New Roman" w:hAnsi="Times New Roman" w:cs="Times New Roman"/>
          <w:sz w:val="24"/>
          <w:szCs w:val="24"/>
        </w:rPr>
        <w:t xml:space="preserve"> and a written consent was gotten from participants prior to diabetes risk assessment.</w:t>
      </w:r>
    </w:p>
    <w:p w14:paraId="593E60EC" w14:textId="35FC0B48" w:rsidR="00175DF1" w:rsidRPr="00583237" w:rsidRDefault="00157452" w:rsidP="00BE5059">
      <w:pPr>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7A3412">
        <w:rPr>
          <w:rFonts w:ascii="Times New Roman" w:hAnsi="Times New Roman" w:cs="Times New Roman"/>
          <w:b/>
          <w:sz w:val="24"/>
          <w:szCs w:val="24"/>
        </w:rPr>
        <w:t>6</w:t>
      </w:r>
      <w:r w:rsidR="008335BB" w:rsidRPr="00583237">
        <w:rPr>
          <w:rFonts w:ascii="Times New Roman" w:hAnsi="Times New Roman" w:cs="Times New Roman"/>
          <w:b/>
          <w:sz w:val="24"/>
          <w:szCs w:val="24"/>
        </w:rPr>
        <w:tab/>
      </w:r>
      <w:r w:rsidR="00DF3A47" w:rsidRPr="00583237">
        <w:rPr>
          <w:rFonts w:ascii="Times New Roman" w:hAnsi="Times New Roman" w:cs="Times New Roman"/>
          <w:b/>
          <w:sz w:val="24"/>
          <w:szCs w:val="24"/>
        </w:rPr>
        <w:t>Measurement of anthropometric parameters</w:t>
      </w:r>
    </w:p>
    <w:p w14:paraId="49193552" w14:textId="77777777" w:rsidR="00175DF1" w:rsidRPr="00583237" w:rsidRDefault="00175DF1" w:rsidP="002B3CA0">
      <w:pPr>
        <w:pStyle w:val="ListParagraph"/>
        <w:numPr>
          <w:ilvl w:val="0"/>
          <w:numId w:val="20"/>
        </w:numPr>
        <w:spacing w:line="240" w:lineRule="auto"/>
        <w:jc w:val="both"/>
        <w:rPr>
          <w:rFonts w:ascii="Times New Roman" w:hAnsi="Times New Roman" w:cs="Times New Roman"/>
          <w:b/>
          <w:bCs/>
          <w:sz w:val="24"/>
          <w:szCs w:val="24"/>
        </w:rPr>
      </w:pPr>
      <w:r w:rsidRPr="00583237">
        <w:rPr>
          <w:rFonts w:ascii="Times New Roman" w:hAnsi="Times New Roman" w:cs="Times New Roman"/>
          <w:b/>
          <w:bCs/>
          <w:sz w:val="24"/>
          <w:szCs w:val="24"/>
        </w:rPr>
        <w:t>Body Mass Index (BMI)</w:t>
      </w:r>
    </w:p>
    <w:p w14:paraId="671F60BB" w14:textId="715D5E4D" w:rsidR="00175DF1" w:rsidRPr="00583237" w:rsidRDefault="003D1EE7" w:rsidP="00BE5059">
      <w:pPr>
        <w:spacing w:line="240" w:lineRule="auto"/>
        <w:jc w:val="both"/>
        <w:rPr>
          <w:rFonts w:ascii="Times New Roman" w:hAnsi="Times New Roman" w:cs="Times New Roman"/>
          <w:sz w:val="24"/>
          <w:szCs w:val="24"/>
        </w:rPr>
      </w:pPr>
      <w:r w:rsidRPr="00583237">
        <w:rPr>
          <w:rFonts w:ascii="Times New Roman" w:hAnsi="Times New Roman" w:cs="Times New Roman"/>
          <w:sz w:val="24"/>
          <w:szCs w:val="24"/>
        </w:rPr>
        <w:t xml:space="preserve">Body Mass Index (BMI) is defined as </w:t>
      </w:r>
      <w:r w:rsidR="00D468F7" w:rsidRPr="00583237">
        <w:rPr>
          <w:rFonts w:ascii="Times New Roman" w:hAnsi="Times New Roman" w:cs="Times New Roman"/>
          <w:sz w:val="24"/>
          <w:szCs w:val="24"/>
        </w:rPr>
        <w:t xml:space="preserve">the ratio of weight to </w:t>
      </w:r>
      <w:r w:rsidRPr="00583237">
        <w:rPr>
          <w:rFonts w:ascii="Times New Roman" w:hAnsi="Times New Roman" w:cs="Times New Roman"/>
          <w:sz w:val="24"/>
          <w:szCs w:val="24"/>
        </w:rPr>
        <w:t>height squared and is expressed in kg/m</w:t>
      </w:r>
      <w:r w:rsidRPr="00583237">
        <w:rPr>
          <w:rFonts w:ascii="Times New Roman" w:hAnsi="Times New Roman" w:cs="Times New Roman"/>
          <w:sz w:val="24"/>
          <w:szCs w:val="24"/>
          <w:vertAlign w:val="superscript"/>
        </w:rPr>
        <w:t>2</w:t>
      </w:r>
      <w:r w:rsidR="00094DA4" w:rsidRPr="00583237">
        <w:rPr>
          <w:rFonts w:ascii="Times New Roman" w:hAnsi="Times New Roman" w:cs="Times New Roman"/>
          <w:sz w:val="24"/>
          <w:szCs w:val="24"/>
          <w:vertAlign w:val="superscript"/>
        </w:rPr>
        <w:t xml:space="preserve"> </w:t>
      </w:r>
      <w:r w:rsidR="00094DA4" w:rsidRPr="00583237">
        <w:rPr>
          <w:rFonts w:ascii="Times New Roman" w:hAnsi="Times New Roman" w:cs="Times New Roman"/>
          <w:sz w:val="24"/>
          <w:szCs w:val="24"/>
        </w:rPr>
        <w:t>(L</w:t>
      </w:r>
      <w:r w:rsidR="0096100D" w:rsidRPr="00583237">
        <w:rPr>
          <w:rFonts w:ascii="Times New Roman" w:hAnsi="Times New Roman" w:cs="Times New Roman"/>
          <w:sz w:val="24"/>
          <w:szCs w:val="24"/>
        </w:rPr>
        <w:t xml:space="preserve">iu </w:t>
      </w:r>
      <w:r w:rsidR="00D114EB" w:rsidRPr="007B03C5">
        <w:rPr>
          <w:rFonts w:ascii="Times New Roman" w:hAnsi="Times New Roman" w:cs="Times New Roman"/>
          <w:iCs/>
          <w:sz w:val="24"/>
          <w:szCs w:val="24"/>
        </w:rPr>
        <w:t>et al</w:t>
      </w:r>
      <w:r w:rsidR="0096100D" w:rsidRPr="007B03C5">
        <w:rPr>
          <w:rFonts w:ascii="Times New Roman" w:hAnsi="Times New Roman" w:cs="Times New Roman"/>
          <w:iCs/>
          <w:sz w:val="24"/>
          <w:szCs w:val="24"/>
        </w:rPr>
        <w:t>.,</w:t>
      </w:r>
      <w:r w:rsidR="0096100D" w:rsidRPr="00583237">
        <w:rPr>
          <w:rFonts w:ascii="Times New Roman" w:hAnsi="Times New Roman" w:cs="Times New Roman"/>
          <w:sz w:val="24"/>
          <w:szCs w:val="24"/>
        </w:rPr>
        <w:t xml:space="preserve"> 2024</w:t>
      </w:r>
      <w:r w:rsidR="00094DA4" w:rsidRPr="00583237">
        <w:rPr>
          <w:rFonts w:ascii="Times New Roman" w:hAnsi="Times New Roman" w:cs="Times New Roman"/>
          <w:sz w:val="24"/>
          <w:szCs w:val="24"/>
        </w:rPr>
        <w:t>)</w:t>
      </w:r>
      <w:r w:rsidR="0096100D" w:rsidRPr="00583237">
        <w:rPr>
          <w:rFonts w:ascii="Times New Roman" w:hAnsi="Times New Roman" w:cs="Times New Roman"/>
          <w:sz w:val="24"/>
          <w:szCs w:val="24"/>
        </w:rPr>
        <w:t>.</w:t>
      </w:r>
      <w:r w:rsidR="00DF3A47" w:rsidRPr="00583237">
        <w:rPr>
          <w:rFonts w:ascii="Times New Roman" w:hAnsi="Times New Roman" w:cs="Times New Roman"/>
          <w:sz w:val="24"/>
          <w:szCs w:val="24"/>
        </w:rPr>
        <w:t xml:space="preserve"> T</w:t>
      </w:r>
      <w:r w:rsidRPr="00583237">
        <w:rPr>
          <w:rFonts w:ascii="Times New Roman" w:hAnsi="Times New Roman" w:cs="Times New Roman"/>
          <w:sz w:val="24"/>
          <w:szCs w:val="24"/>
        </w:rPr>
        <w:t>he BMI</w:t>
      </w:r>
      <w:r w:rsidR="00175DF1" w:rsidRPr="00583237">
        <w:rPr>
          <w:rFonts w:ascii="Times New Roman" w:hAnsi="Times New Roman" w:cs="Times New Roman"/>
          <w:sz w:val="24"/>
          <w:szCs w:val="24"/>
        </w:rPr>
        <w:t xml:space="preserve"> was calculated</w:t>
      </w:r>
      <w:r w:rsidR="00DF3A47" w:rsidRPr="00583237">
        <w:rPr>
          <w:rFonts w:ascii="Times New Roman" w:hAnsi="Times New Roman" w:cs="Times New Roman"/>
          <w:sz w:val="24"/>
          <w:szCs w:val="24"/>
        </w:rPr>
        <w:t xml:space="preserve"> using the participants’ weight and height measurements</w:t>
      </w:r>
      <w:r w:rsidR="00175DF1" w:rsidRPr="00583237">
        <w:rPr>
          <w:rFonts w:ascii="Times New Roman" w:hAnsi="Times New Roman" w:cs="Times New Roman"/>
          <w:sz w:val="24"/>
          <w:szCs w:val="24"/>
        </w:rPr>
        <w:t xml:space="preserve">. </w:t>
      </w:r>
      <w:r w:rsidR="00DF3A47" w:rsidRPr="00583237">
        <w:rPr>
          <w:rFonts w:ascii="Times New Roman" w:hAnsi="Times New Roman" w:cs="Times New Roman"/>
          <w:sz w:val="24"/>
          <w:szCs w:val="24"/>
        </w:rPr>
        <w:t>To achieve this,</w:t>
      </w:r>
      <w:r w:rsidR="00175DF1" w:rsidRPr="00583237">
        <w:rPr>
          <w:rFonts w:ascii="Times New Roman" w:hAnsi="Times New Roman" w:cs="Times New Roman"/>
          <w:sz w:val="24"/>
          <w:szCs w:val="24"/>
        </w:rPr>
        <w:t xml:space="preserve"> </w:t>
      </w:r>
      <w:r w:rsidR="005E0AE7">
        <w:rPr>
          <w:rFonts w:ascii="Times New Roman" w:hAnsi="Times New Roman" w:cs="Times New Roman"/>
          <w:sz w:val="24"/>
          <w:szCs w:val="24"/>
        </w:rPr>
        <w:t xml:space="preserve">weights and heights were taken with the </w:t>
      </w:r>
      <w:r w:rsidR="00175DF1" w:rsidRPr="00583237">
        <w:rPr>
          <w:rFonts w:ascii="Times New Roman" w:hAnsi="Times New Roman" w:cs="Times New Roman"/>
          <w:sz w:val="24"/>
          <w:szCs w:val="24"/>
        </w:rPr>
        <w:t>participant</w:t>
      </w:r>
      <w:r w:rsidR="00DF3A47" w:rsidRPr="00583237">
        <w:rPr>
          <w:rFonts w:ascii="Times New Roman" w:hAnsi="Times New Roman" w:cs="Times New Roman"/>
          <w:sz w:val="24"/>
          <w:szCs w:val="24"/>
        </w:rPr>
        <w:t>s</w:t>
      </w:r>
      <w:r w:rsidR="007A3412">
        <w:rPr>
          <w:rFonts w:ascii="Times New Roman" w:hAnsi="Times New Roman" w:cs="Times New Roman"/>
          <w:sz w:val="24"/>
          <w:szCs w:val="24"/>
        </w:rPr>
        <w:t xml:space="preserve"> </w:t>
      </w:r>
      <w:r w:rsidR="00175DF1" w:rsidRPr="00583237">
        <w:rPr>
          <w:rFonts w:ascii="Times New Roman" w:hAnsi="Times New Roman" w:cs="Times New Roman"/>
          <w:sz w:val="24"/>
          <w:szCs w:val="24"/>
        </w:rPr>
        <w:t>wear</w:t>
      </w:r>
      <w:r w:rsidR="005E0AE7">
        <w:rPr>
          <w:rFonts w:ascii="Times New Roman" w:hAnsi="Times New Roman" w:cs="Times New Roman"/>
          <w:sz w:val="24"/>
          <w:szCs w:val="24"/>
        </w:rPr>
        <w:t>ing</w:t>
      </w:r>
      <w:r w:rsidR="00175DF1" w:rsidRPr="00583237">
        <w:rPr>
          <w:rFonts w:ascii="Times New Roman" w:hAnsi="Times New Roman" w:cs="Times New Roman"/>
          <w:sz w:val="24"/>
          <w:szCs w:val="24"/>
        </w:rPr>
        <w:t xml:space="preserve"> minimal clothing and </w:t>
      </w:r>
      <w:r w:rsidR="005E0AE7">
        <w:rPr>
          <w:rFonts w:ascii="Times New Roman" w:hAnsi="Times New Roman" w:cs="Times New Roman"/>
          <w:sz w:val="24"/>
          <w:szCs w:val="24"/>
        </w:rPr>
        <w:t>without</w:t>
      </w:r>
      <w:r w:rsidR="00DF3A47" w:rsidRPr="00583237">
        <w:rPr>
          <w:rFonts w:ascii="Times New Roman" w:hAnsi="Times New Roman" w:cs="Times New Roman"/>
          <w:sz w:val="24"/>
          <w:szCs w:val="24"/>
        </w:rPr>
        <w:t xml:space="preserve"> </w:t>
      </w:r>
      <w:r w:rsidR="005E0AE7" w:rsidRPr="00583237">
        <w:rPr>
          <w:rFonts w:ascii="Times New Roman" w:hAnsi="Times New Roman" w:cs="Times New Roman"/>
          <w:sz w:val="24"/>
          <w:szCs w:val="24"/>
        </w:rPr>
        <w:t>foot</w:t>
      </w:r>
      <w:r w:rsidR="005E0AE7">
        <w:rPr>
          <w:rFonts w:ascii="Times New Roman" w:hAnsi="Times New Roman" w:cs="Times New Roman"/>
          <w:sz w:val="24"/>
          <w:szCs w:val="24"/>
        </w:rPr>
        <w:t>wears</w:t>
      </w:r>
      <w:r w:rsidR="00175DF1" w:rsidRPr="00583237">
        <w:rPr>
          <w:rFonts w:ascii="Times New Roman" w:hAnsi="Times New Roman" w:cs="Times New Roman"/>
          <w:sz w:val="24"/>
          <w:szCs w:val="24"/>
        </w:rPr>
        <w:t>. The weight of the participant</w:t>
      </w:r>
      <w:r w:rsidR="005E0AE7">
        <w:rPr>
          <w:rFonts w:ascii="Times New Roman" w:hAnsi="Times New Roman" w:cs="Times New Roman"/>
          <w:sz w:val="24"/>
          <w:szCs w:val="24"/>
        </w:rPr>
        <w:t>s</w:t>
      </w:r>
      <w:r w:rsidR="00820670" w:rsidRPr="00583237">
        <w:rPr>
          <w:rFonts w:ascii="Times New Roman" w:hAnsi="Times New Roman" w:cs="Times New Roman"/>
          <w:sz w:val="24"/>
          <w:szCs w:val="24"/>
        </w:rPr>
        <w:t xml:space="preserve"> </w:t>
      </w:r>
      <w:r w:rsidR="005E0AE7" w:rsidRPr="00583237">
        <w:rPr>
          <w:rFonts w:ascii="Times New Roman" w:hAnsi="Times New Roman" w:cs="Times New Roman"/>
          <w:sz w:val="24"/>
          <w:szCs w:val="24"/>
        </w:rPr>
        <w:t>w</w:t>
      </w:r>
      <w:r w:rsidR="005E0AE7">
        <w:rPr>
          <w:rFonts w:ascii="Times New Roman" w:hAnsi="Times New Roman" w:cs="Times New Roman"/>
          <w:sz w:val="24"/>
          <w:szCs w:val="24"/>
        </w:rPr>
        <w:t>as</w:t>
      </w:r>
      <w:r w:rsidR="00820670" w:rsidRPr="00583237">
        <w:rPr>
          <w:rFonts w:ascii="Times New Roman" w:hAnsi="Times New Roman" w:cs="Times New Roman"/>
          <w:sz w:val="24"/>
          <w:szCs w:val="24"/>
        </w:rPr>
        <w:t xml:space="preserve"> measured using a standard weighing balance in kilograms approximated to the nearest 0.1 kg.</w:t>
      </w:r>
      <w:r w:rsidR="00175DF1" w:rsidRPr="00583237">
        <w:rPr>
          <w:rFonts w:ascii="Times New Roman" w:hAnsi="Times New Roman" w:cs="Times New Roman"/>
          <w:sz w:val="24"/>
          <w:szCs w:val="24"/>
        </w:rPr>
        <w:t xml:space="preserve"> </w:t>
      </w:r>
      <w:r w:rsidR="005E0AE7">
        <w:rPr>
          <w:rFonts w:ascii="Times New Roman" w:hAnsi="Times New Roman" w:cs="Times New Roman"/>
          <w:sz w:val="24"/>
          <w:szCs w:val="24"/>
        </w:rPr>
        <w:t>The h</w:t>
      </w:r>
      <w:r w:rsidR="00175DF1" w:rsidRPr="00583237">
        <w:rPr>
          <w:rFonts w:ascii="Times New Roman" w:hAnsi="Times New Roman" w:cs="Times New Roman"/>
          <w:sz w:val="24"/>
          <w:szCs w:val="24"/>
        </w:rPr>
        <w:t>eight wa</w:t>
      </w:r>
      <w:r w:rsidR="00091848" w:rsidRPr="00583237">
        <w:rPr>
          <w:rFonts w:ascii="Times New Roman" w:hAnsi="Times New Roman" w:cs="Times New Roman"/>
          <w:sz w:val="24"/>
          <w:szCs w:val="24"/>
        </w:rPr>
        <w:t xml:space="preserve">s measured </w:t>
      </w:r>
      <w:r w:rsidR="005E0AE7">
        <w:rPr>
          <w:rFonts w:ascii="Times New Roman" w:hAnsi="Times New Roman" w:cs="Times New Roman"/>
          <w:sz w:val="24"/>
          <w:szCs w:val="24"/>
        </w:rPr>
        <w:t xml:space="preserve">with the participant </w:t>
      </w:r>
      <w:r w:rsidR="00091848" w:rsidRPr="00583237">
        <w:rPr>
          <w:rFonts w:ascii="Times New Roman" w:hAnsi="Times New Roman" w:cs="Times New Roman"/>
          <w:sz w:val="24"/>
          <w:szCs w:val="24"/>
        </w:rPr>
        <w:t xml:space="preserve">in an upright </w:t>
      </w:r>
      <w:r w:rsidR="00175DF1" w:rsidRPr="00583237">
        <w:rPr>
          <w:rFonts w:ascii="Times New Roman" w:hAnsi="Times New Roman" w:cs="Times New Roman"/>
          <w:sz w:val="24"/>
          <w:szCs w:val="24"/>
        </w:rPr>
        <w:t>st</w:t>
      </w:r>
      <w:r w:rsidR="00091848" w:rsidRPr="00583237">
        <w:rPr>
          <w:rFonts w:ascii="Times New Roman" w:hAnsi="Times New Roman" w:cs="Times New Roman"/>
          <w:sz w:val="24"/>
          <w:szCs w:val="24"/>
        </w:rPr>
        <w:t>anding position</w:t>
      </w:r>
      <w:r w:rsidR="00660273" w:rsidRPr="00583237">
        <w:rPr>
          <w:rFonts w:ascii="Times New Roman" w:hAnsi="Times New Roman" w:cs="Times New Roman"/>
          <w:sz w:val="24"/>
          <w:szCs w:val="24"/>
        </w:rPr>
        <w:t xml:space="preserve"> using a stadiometer and the values were approximated </w:t>
      </w:r>
      <w:r w:rsidR="005E0AE7">
        <w:rPr>
          <w:rFonts w:ascii="Times New Roman" w:hAnsi="Times New Roman" w:cs="Times New Roman"/>
          <w:sz w:val="24"/>
          <w:szCs w:val="24"/>
        </w:rPr>
        <w:t xml:space="preserve">to </w:t>
      </w:r>
      <w:r w:rsidR="00175DF1" w:rsidRPr="00583237">
        <w:rPr>
          <w:rFonts w:ascii="Times New Roman" w:hAnsi="Times New Roman" w:cs="Times New Roman"/>
          <w:sz w:val="24"/>
          <w:szCs w:val="24"/>
        </w:rPr>
        <w:t>0</w:t>
      </w:r>
      <w:r w:rsidR="00660273" w:rsidRPr="00583237">
        <w:rPr>
          <w:rFonts w:ascii="Times New Roman" w:hAnsi="Times New Roman" w:cs="Times New Roman"/>
          <w:sz w:val="24"/>
          <w:szCs w:val="24"/>
        </w:rPr>
        <w:t xml:space="preserve">.1 </w:t>
      </w:r>
      <w:r w:rsidR="005E0AE7">
        <w:rPr>
          <w:rFonts w:ascii="Times New Roman" w:hAnsi="Times New Roman" w:cs="Times New Roman"/>
          <w:sz w:val="24"/>
          <w:szCs w:val="24"/>
        </w:rPr>
        <w:t>M</w:t>
      </w:r>
      <w:r w:rsidR="00660273" w:rsidRPr="00583237">
        <w:rPr>
          <w:rFonts w:ascii="Times New Roman" w:hAnsi="Times New Roman" w:cs="Times New Roman"/>
          <w:sz w:val="24"/>
          <w:szCs w:val="24"/>
        </w:rPr>
        <w:t xml:space="preserve">. </w:t>
      </w:r>
      <w:r w:rsidR="00175DF1" w:rsidRPr="00583237">
        <w:rPr>
          <w:rFonts w:ascii="Times New Roman" w:hAnsi="Times New Roman" w:cs="Times New Roman"/>
          <w:sz w:val="24"/>
          <w:szCs w:val="24"/>
        </w:rPr>
        <w:t xml:space="preserve">The BMI was </w:t>
      </w:r>
      <w:r w:rsidR="00660273" w:rsidRPr="00583237">
        <w:rPr>
          <w:rFonts w:ascii="Times New Roman" w:hAnsi="Times New Roman" w:cs="Times New Roman"/>
          <w:sz w:val="24"/>
          <w:szCs w:val="24"/>
        </w:rPr>
        <w:t xml:space="preserve">calculated as thus; </w:t>
      </w:r>
    </w:p>
    <w:p w14:paraId="39CECCE3" w14:textId="77777777" w:rsidR="00175DF1" w:rsidRPr="00583237" w:rsidRDefault="00175DF1" w:rsidP="00960B65">
      <w:pPr>
        <w:spacing w:after="0"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 xml:space="preserve">BMI = </w:t>
      </w:r>
      <w:r w:rsidRPr="00583237">
        <w:rPr>
          <w:rFonts w:ascii="Times New Roman" w:hAnsi="Times New Roman" w:cs="Times New Roman"/>
          <w:b/>
          <w:sz w:val="24"/>
          <w:szCs w:val="24"/>
          <w:u w:val="single"/>
        </w:rPr>
        <w:t>Weight (Kg</w:t>
      </w:r>
      <w:r w:rsidRPr="00583237">
        <w:rPr>
          <w:rFonts w:ascii="Times New Roman" w:hAnsi="Times New Roman" w:cs="Times New Roman"/>
          <w:b/>
          <w:sz w:val="24"/>
          <w:szCs w:val="24"/>
        </w:rPr>
        <w:t>)</w:t>
      </w:r>
    </w:p>
    <w:p w14:paraId="4D96E9F8" w14:textId="77777777" w:rsidR="00175DF1" w:rsidRPr="00583237" w:rsidRDefault="00175DF1" w:rsidP="00960B65">
      <w:pPr>
        <w:spacing w:after="0"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 xml:space="preserve">           Height (m</w:t>
      </w:r>
      <w:r w:rsidRPr="00583237">
        <w:rPr>
          <w:rFonts w:ascii="Times New Roman" w:hAnsi="Times New Roman" w:cs="Times New Roman"/>
          <w:b/>
          <w:sz w:val="24"/>
          <w:szCs w:val="24"/>
          <w:vertAlign w:val="superscript"/>
        </w:rPr>
        <w:t>2</w:t>
      </w:r>
      <w:r w:rsidRPr="00583237">
        <w:rPr>
          <w:rFonts w:ascii="Times New Roman" w:hAnsi="Times New Roman" w:cs="Times New Roman"/>
          <w:b/>
          <w:sz w:val="24"/>
          <w:szCs w:val="24"/>
        </w:rPr>
        <w:t xml:space="preserve">) </w:t>
      </w:r>
    </w:p>
    <w:p w14:paraId="319AB034" w14:textId="77777777" w:rsidR="00175DF1" w:rsidRPr="00583237" w:rsidRDefault="00175DF1" w:rsidP="00960B65">
      <w:pPr>
        <w:spacing w:after="0" w:line="240" w:lineRule="auto"/>
        <w:jc w:val="both"/>
        <w:rPr>
          <w:rFonts w:ascii="Times New Roman" w:hAnsi="Times New Roman" w:cs="Times New Roman"/>
          <w:b/>
          <w:sz w:val="24"/>
          <w:szCs w:val="24"/>
        </w:rPr>
      </w:pPr>
    </w:p>
    <w:p w14:paraId="16667DF4" w14:textId="77777777" w:rsidR="00175DF1" w:rsidRPr="00583237" w:rsidRDefault="00175DF1" w:rsidP="00960B65">
      <w:pPr>
        <w:spacing w:after="0" w:line="240" w:lineRule="auto"/>
        <w:jc w:val="both"/>
        <w:rPr>
          <w:rFonts w:ascii="Times New Roman" w:hAnsi="Times New Roman" w:cs="Times New Roman"/>
          <w:b/>
          <w:sz w:val="24"/>
          <w:szCs w:val="24"/>
        </w:rPr>
      </w:pPr>
    </w:p>
    <w:p w14:paraId="5C6BBF65" w14:textId="1FAFF3FA" w:rsidR="00E87901" w:rsidRPr="00583237" w:rsidRDefault="008C6CF5" w:rsidP="00A44EF9">
      <w:pPr>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CC3F3E">
        <w:rPr>
          <w:rFonts w:ascii="Times New Roman" w:hAnsi="Times New Roman" w:cs="Times New Roman"/>
          <w:b/>
          <w:sz w:val="24"/>
          <w:szCs w:val="24"/>
        </w:rPr>
        <w:t>7</w:t>
      </w:r>
      <w:r w:rsidR="00F26912" w:rsidRPr="00583237">
        <w:rPr>
          <w:rFonts w:ascii="Times New Roman" w:hAnsi="Times New Roman" w:cs="Times New Roman"/>
          <w:b/>
          <w:sz w:val="24"/>
          <w:szCs w:val="24"/>
        </w:rPr>
        <w:tab/>
      </w:r>
      <w:r>
        <w:rPr>
          <w:rFonts w:ascii="Times New Roman" w:hAnsi="Times New Roman" w:cs="Times New Roman"/>
          <w:b/>
          <w:sz w:val="24"/>
          <w:szCs w:val="24"/>
        </w:rPr>
        <w:t>Assessment</w:t>
      </w:r>
      <w:r w:rsidR="00E87901" w:rsidRPr="00583237">
        <w:rPr>
          <w:rFonts w:ascii="Times New Roman" w:hAnsi="Times New Roman" w:cs="Times New Roman"/>
          <w:b/>
          <w:sz w:val="24"/>
          <w:szCs w:val="24"/>
        </w:rPr>
        <w:t xml:space="preserve"> of </w:t>
      </w:r>
      <w:r w:rsidR="00FA4BB0">
        <w:rPr>
          <w:rFonts w:ascii="Times New Roman" w:hAnsi="Times New Roman" w:cs="Times New Roman"/>
          <w:b/>
          <w:sz w:val="24"/>
          <w:szCs w:val="24"/>
        </w:rPr>
        <w:t>D</w:t>
      </w:r>
      <w:r w:rsidR="00E87901" w:rsidRPr="00583237">
        <w:rPr>
          <w:rFonts w:ascii="Times New Roman" w:hAnsi="Times New Roman" w:cs="Times New Roman"/>
          <w:b/>
          <w:sz w:val="24"/>
          <w:szCs w:val="24"/>
        </w:rPr>
        <w:t xml:space="preserve">iabetes </w:t>
      </w:r>
      <w:r w:rsidR="00FA4BB0">
        <w:rPr>
          <w:rFonts w:ascii="Times New Roman" w:hAnsi="Times New Roman" w:cs="Times New Roman"/>
          <w:b/>
          <w:sz w:val="24"/>
          <w:szCs w:val="24"/>
        </w:rPr>
        <w:t>Risk</w:t>
      </w:r>
    </w:p>
    <w:p w14:paraId="2C9A6800" w14:textId="77777777" w:rsidR="00175DF1" w:rsidRPr="00583237" w:rsidRDefault="00175DF1" w:rsidP="00507C77">
      <w:pPr>
        <w:spacing w:line="240" w:lineRule="auto"/>
        <w:jc w:val="both"/>
        <w:rPr>
          <w:rFonts w:ascii="Times New Roman" w:hAnsi="Times New Roman" w:cs="Times New Roman"/>
          <w:bCs/>
          <w:sz w:val="24"/>
          <w:szCs w:val="24"/>
        </w:rPr>
      </w:pPr>
      <w:r w:rsidRPr="00583237">
        <w:rPr>
          <w:rFonts w:ascii="Times New Roman" w:hAnsi="Times New Roman" w:cs="Times New Roman"/>
          <w:bCs/>
          <w:sz w:val="24"/>
          <w:szCs w:val="24"/>
        </w:rPr>
        <w:t>This study utilized the validated Finnish Diabetes Risk Score (FINDRISC) and the American Diabetes Association Risk Tool (ADART) assessment q</w:t>
      </w:r>
      <w:r w:rsidR="00DD4007" w:rsidRPr="00583237">
        <w:rPr>
          <w:rFonts w:ascii="Times New Roman" w:hAnsi="Times New Roman" w:cs="Times New Roman"/>
          <w:bCs/>
          <w:sz w:val="24"/>
          <w:szCs w:val="24"/>
        </w:rPr>
        <w:t>uestionnaires.</w:t>
      </w:r>
      <w:r w:rsidR="00A94530" w:rsidRPr="00583237">
        <w:rPr>
          <w:rFonts w:ascii="Times New Roman" w:hAnsi="Times New Roman" w:cs="Times New Roman"/>
          <w:bCs/>
          <w:sz w:val="24"/>
          <w:szCs w:val="24"/>
        </w:rPr>
        <w:t xml:space="preserve"> </w:t>
      </w:r>
      <w:r w:rsidRPr="00583237">
        <w:rPr>
          <w:rFonts w:ascii="Times New Roman" w:hAnsi="Times New Roman" w:cs="Times New Roman"/>
          <w:bCs/>
          <w:sz w:val="24"/>
          <w:szCs w:val="24"/>
        </w:rPr>
        <w:t>Each participant was gently guided and encouraged to honestly choose the option that best described them for every question in the questionnaire. To ensure their responses were valid, all q</w:t>
      </w:r>
      <w:r w:rsidR="005C7D1D" w:rsidRPr="00583237">
        <w:rPr>
          <w:rFonts w:ascii="Times New Roman" w:hAnsi="Times New Roman" w:cs="Times New Roman"/>
          <w:bCs/>
          <w:sz w:val="24"/>
          <w:szCs w:val="24"/>
        </w:rPr>
        <w:t>uestions needed to be completed and only those questionnaires with 100% completion were finally used for this study.</w:t>
      </w:r>
      <w:r w:rsidRPr="00583237">
        <w:rPr>
          <w:rFonts w:ascii="Times New Roman" w:hAnsi="Times New Roman" w:cs="Times New Roman"/>
          <w:bCs/>
          <w:sz w:val="24"/>
          <w:szCs w:val="24"/>
        </w:rPr>
        <w:t xml:space="preserve"> Afterward, the answers from the FINDRISC and ADART tools were carefully scored to determine each person's level of risk for developing diabetes.</w:t>
      </w:r>
      <w:r w:rsidR="00353386" w:rsidRPr="00583237">
        <w:rPr>
          <w:rFonts w:ascii="Times New Roman" w:hAnsi="Times New Roman" w:cs="Times New Roman"/>
          <w:bCs/>
          <w:sz w:val="24"/>
          <w:szCs w:val="24"/>
        </w:rPr>
        <w:t xml:space="preserve"> </w:t>
      </w:r>
      <w:r w:rsidRPr="00583237">
        <w:rPr>
          <w:rFonts w:ascii="Times New Roman" w:hAnsi="Times New Roman" w:cs="Times New Roman"/>
          <w:sz w:val="24"/>
          <w:szCs w:val="24"/>
        </w:rPr>
        <w:t xml:space="preserve">The total </w:t>
      </w:r>
      <w:r w:rsidR="003E0D6D" w:rsidRPr="00583237">
        <w:rPr>
          <w:rFonts w:ascii="Times New Roman" w:hAnsi="Times New Roman" w:cs="Times New Roman"/>
          <w:sz w:val="24"/>
          <w:szCs w:val="24"/>
        </w:rPr>
        <w:lastRenderedPageBreak/>
        <w:t xml:space="preserve">FINDRISC and </w:t>
      </w:r>
      <w:r w:rsidRPr="00583237">
        <w:rPr>
          <w:rFonts w:ascii="Times New Roman" w:hAnsi="Times New Roman" w:cs="Times New Roman"/>
          <w:sz w:val="24"/>
          <w:szCs w:val="24"/>
        </w:rPr>
        <w:t>ADART score</w:t>
      </w:r>
      <w:r w:rsidR="003E0D6D" w:rsidRPr="00583237">
        <w:rPr>
          <w:rFonts w:ascii="Times New Roman" w:hAnsi="Times New Roman" w:cs="Times New Roman"/>
          <w:sz w:val="24"/>
          <w:szCs w:val="24"/>
        </w:rPr>
        <w:t xml:space="preserve">s were analysed according to the methods by </w:t>
      </w:r>
      <w:r w:rsidR="00C93F77" w:rsidRPr="00583237">
        <w:rPr>
          <w:rFonts w:ascii="Times New Roman" w:hAnsi="Times New Roman" w:cs="Times New Roman"/>
          <w:sz w:val="24"/>
          <w:szCs w:val="24"/>
        </w:rPr>
        <w:t xml:space="preserve">Gabriel </w:t>
      </w:r>
      <w:r w:rsidR="00D114EB" w:rsidRPr="007B03C5">
        <w:rPr>
          <w:rFonts w:ascii="Times New Roman" w:hAnsi="Times New Roman" w:cs="Times New Roman"/>
          <w:iCs/>
          <w:sz w:val="24"/>
          <w:szCs w:val="24"/>
        </w:rPr>
        <w:t>et al</w:t>
      </w:r>
      <w:r w:rsidR="00C93F77" w:rsidRPr="007B03C5">
        <w:rPr>
          <w:rFonts w:ascii="Times New Roman" w:hAnsi="Times New Roman" w:cs="Times New Roman"/>
          <w:iCs/>
          <w:sz w:val="24"/>
          <w:szCs w:val="24"/>
        </w:rPr>
        <w:t>.</w:t>
      </w:r>
      <w:r w:rsidR="00C93F77" w:rsidRPr="00583237">
        <w:rPr>
          <w:rFonts w:ascii="Times New Roman" w:hAnsi="Times New Roman" w:cs="Times New Roman"/>
          <w:sz w:val="24"/>
          <w:szCs w:val="24"/>
        </w:rPr>
        <w:t xml:space="preserve"> (2021)</w:t>
      </w:r>
      <w:r w:rsidRPr="00583237">
        <w:rPr>
          <w:rFonts w:ascii="Times New Roman" w:hAnsi="Times New Roman" w:cs="Times New Roman"/>
          <w:sz w:val="24"/>
          <w:szCs w:val="24"/>
        </w:rPr>
        <w:t xml:space="preserve"> </w:t>
      </w:r>
      <w:r w:rsidR="00E41286" w:rsidRPr="00583237">
        <w:rPr>
          <w:rFonts w:ascii="Times New Roman" w:hAnsi="Times New Roman" w:cs="Times New Roman"/>
          <w:sz w:val="24"/>
          <w:szCs w:val="24"/>
        </w:rPr>
        <w:t xml:space="preserve">and </w:t>
      </w:r>
      <w:r w:rsidR="00803758" w:rsidRPr="00583237">
        <w:rPr>
          <w:rFonts w:ascii="Times New Roman" w:hAnsi="Times New Roman" w:cs="Times New Roman"/>
          <w:color w:val="1B1B1B"/>
          <w:sz w:val="24"/>
          <w:szCs w:val="24"/>
          <w:shd w:val="clear" w:color="auto" w:fill="FFFFFF"/>
        </w:rPr>
        <w:t xml:space="preserve">Mohd </w:t>
      </w:r>
      <w:r w:rsidR="00E41286" w:rsidRPr="00583237">
        <w:rPr>
          <w:rFonts w:ascii="Times New Roman" w:hAnsi="Times New Roman" w:cs="Times New Roman"/>
          <w:color w:val="1B1B1B"/>
          <w:sz w:val="24"/>
          <w:szCs w:val="24"/>
          <w:shd w:val="clear" w:color="auto" w:fill="FFFFFF"/>
        </w:rPr>
        <w:t xml:space="preserve">Fauzi </w:t>
      </w:r>
      <w:r w:rsidR="00D114EB" w:rsidRPr="007B03C5">
        <w:rPr>
          <w:rFonts w:ascii="Times New Roman" w:hAnsi="Times New Roman" w:cs="Times New Roman"/>
          <w:iCs/>
          <w:color w:val="1B1B1B"/>
          <w:sz w:val="24"/>
          <w:szCs w:val="24"/>
          <w:shd w:val="clear" w:color="auto" w:fill="FFFFFF"/>
        </w:rPr>
        <w:t>et al</w:t>
      </w:r>
      <w:r w:rsidR="00E41286" w:rsidRPr="007B03C5">
        <w:rPr>
          <w:rFonts w:ascii="Times New Roman" w:hAnsi="Times New Roman" w:cs="Times New Roman"/>
          <w:iCs/>
          <w:color w:val="1B1B1B"/>
          <w:sz w:val="24"/>
          <w:szCs w:val="24"/>
          <w:shd w:val="clear" w:color="auto" w:fill="FFFFFF"/>
        </w:rPr>
        <w:t>.</w:t>
      </w:r>
      <w:r w:rsidR="00E41286" w:rsidRPr="00583237">
        <w:rPr>
          <w:rFonts w:ascii="Times New Roman" w:hAnsi="Times New Roman" w:cs="Times New Roman"/>
          <w:color w:val="1B1B1B"/>
          <w:sz w:val="24"/>
          <w:szCs w:val="24"/>
          <w:shd w:val="clear" w:color="auto" w:fill="FFFFFF"/>
        </w:rPr>
        <w:t xml:space="preserve"> (2022)</w:t>
      </w:r>
      <w:r w:rsidR="00803758" w:rsidRPr="00583237">
        <w:rPr>
          <w:rFonts w:ascii="Times New Roman" w:hAnsi="Times New Roman" w:cs="Times New Roman"/>
          <w:color w:val="1B1B1B"/>
          <w:sz w:val="24"/>
          <w:szCs w:val="24"/>
          <w:shd w:val="clear" w:color="auto" w:fill="FFFFFF"/>
        </w:rPr>
        <w:t xml:space="preserve"> respectively.</w:t>
      </w:r>
    </w:p>
    <w:p w14:paraId="3A948777" w14:textId="044534D6" w:rsidR="00175DF1" w:rsidRPr="00583237" w:rsidRDefault="00EC4420" w:rsidP="0042600D">
      <w:pPr>
        <w:spacing w:line="240" w:lineRule="auto"/>
        <w:jc w:val="both"/>
        <w:rPr>
          <w:rFonts w:ascii="Times New Roman" w:hAnsi="Times New Roman" w:cs="Times New Roman"/>
          <w:sz w:val="24"/>
          <w:szCs w:val="24"/>
        </w:rPr>
      </w:pPr>
      <w:r w:rsidRPr="00583237">
        <w:rPr>
          <w:rFonts w:ascii="Times New Roman" w:hAnsi="Times New Roman" w:cs="Times New Roman"/>
          <w:b/>
          <w:sz w:val="24"/>
          <w:szCs w:val="24"/>
        </w:rPr>
        <w:t>2.</w:t>
      </w:r>
      <w:r w:rsidR="00CC3F3E">
        <w:rPr>
          <w:rFonts w:ascii="Times New Roman" w:hAnsi="Times New Roman" w:cs="Times New Roman"/>
          <w:b/>
          <w:sz w:val="24"/>
          <w:szCs w:val="24"/>
        </w:rPr>
        <w:t>8</w:t>
      </w:r>
      <w:r w:rsidR="006B58A2" w:rsidRPr="00583237">
        <w:rPr>
          <w:rFonts w:ascii="Times New Roman" w:hAnsi="Times New Roman" w:cs="Times New Roman"/>
          <w:sz w:val="24"/>
          <w:szCs w:val="24"/>
        </w:rPr>
        <w:tab/>
      </w:r>
      <w:r w:rsidR="00175DF1" w:rsidRPr="00583237">
        <w:rPr>
          <w:rFonts w:ascii="Times New Roman" w:hAnsi="Times New Roman" w:cs="Times New Roman"/>
          <w:b/>
          <w:bCs/>
          <w:sz w:val="24"/>
          <w:szCs w:val="24"/>
        </w:rPr>
        <w:t>Statistical Analysis</w:t>
      </w:r>
    </w:p>
    <w:p w14:paraId="6F1DB44C" w14:textId="77777777" w:rsidR="00175DF1" w:rsidRPr="00184E9B"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 xml:space="preserve">Statistical analyses were performed using Microsoft Excel 2013. Mean differences were assessed using ANOVA followed by Post-Hoc LSD test, with a significance threshold set at </w:t>
      </w:r>
      <w:r w:rsidRPr="00802BD6">
        <w:rPr>
          <w:rFonts w:ascii="Times New Roman" w:hAnsi="Times New Roman" w:cs="Times New Roman"/>
          <w:i/>
          <w:iCs/>
          <w:sz w:val="24"/>
          <w:szCs w:val="24"/>
        </w:rPr>
        <w:t>P</w:t>
      </w:r>
      <w:r w:rsidRPr="00583237">
        <w:rPr>
          <w:rFonts w:ascii="Times New Roman" w:hAnsi="Times New Roman" w:cs="Times New Roman"/>
          <w:sz w:val="24"/>
          <w:szCs w:val="24"/>
        </w:rPr>
        <w:t xml:space="preserve"> ≤ 0.05. Gender-based comparisons were conducted using the t-test at the same significance level, while other comparisons were expressed in percentages. Correlation analysis was performed in Excel to determine the correlation coefficients.</w:t>
      </w:r>
      <w:r w:rsidR="00B2566E" w:rsidRPr="00583237">
        <w:rPr>
          <w:rFonts w:ascii="Times New Roman" w:hAnsi="Times New Roman" w:cs="Times New Roman"/>
          <w:sz w:val="24"/>
          <w:szCs w:val="24"/>
        </w:rPr>
        <w:t xml:space="preserve"> Baseline demographics were presented as mean and standard error of mean (SEM).</w:t>
      </w:r>
    </w:p>
    <w:p w14:paraId="619AC02B" w14:textId="77777777" w:rsidR="00175DF1" w:rsidRPr="00583237" w:rsidRDefault="00175DF1" w:rsidP="00960B65">
      <w:pPr>
        <w:spacing w:after="0" w:line="240" w:lineRule="auto"/>
        <w:jc w:val="both"/>
        <w:rPr>
          <w:rFonts w:ascii="Times New Roman" w:hAnsi="Times New Roman" w:cs="Times New Roman"/>
          <w:b/>
          <w:bCs/>
          <w:sz w:val="24"/>
          <w:szCs w:val="24"/>
        </w:rPr>
      </w:pPr>
    </w:p>
    <w:p w14:paraId="08CB1581" w14:textId="77777777" w:rsidR="00175DF1" w:rsidRPr="00583237" w:rsidRDefault="00EB260E" w:rsidP="00F608B6">
      <w:pPr>
        <w:spacing w:line="240" w:lineRule="auto"/>
        <w:jc w:val="both"/>
        <w:rPr>
          <w:rFonts w:ascii="Times New Roman" w:hAnsi="Times New Roman" w:cs="Times New Roman"/>
          <w:b/>
          <w:bCs/>
          <w:sz w:val="24"/>
          <w:szCs w:val="24"/>
        </w:rPr>
      </w:pPr>
      <w:r w:rsidRPr="00583237">
        <w:rPr>
          <w:rFonts w:ascii="Times New Roman" w:hAnsi="Times New Roman" w:cs="Times New Roman"/>
          <w:b/>
          <w:bCs/>
          <w:sz w:val="24"/>
          <w:szCs w:val="24"/>
        </w:rPr>
        <w:t>3.</w:t>
      </w:r>
      <w:r w:rsidRPr="00583237">
        <w:rPr>
          <w:rFonts w:ascii="Times New Roman" w:hAnsi="Times New Roman" w:cs="Times New Roman"/>
          <w:b/>
          <w:bCs/>
          <w:sz w:val="24"/>
          <w:szCs w:val="24"/>
        </w:rPr>
        <w:tab/>
      </w:r>
      <w:r w:rsidR="00175DF1" w:rsidRPr="00583237">
        <w:rPr>
          <w:rFonts w:ascii="Times New Roman" w:hAnsi="Times New Roman" w:cs="Times New Roman"/>
          <w:b/>
          <w:bCs/>
          <w:sz w:val="24"/>
          <w:szCs w:val="24"/>
        </w:rPr>
        <w:t>RESULTS</w:t>
      </w:r>
    </w:p>
    <w:p w14:paraId="7204AE35" w14:textId="77777777" w:rsidR="00175DF1" w:rsidRPr="00583237" w:rsidRDefault="003C02C3" w:rsidP="00F608B6">
      <w:pPr>
        <w:spacing w:line="240" w:lineRule="auto"/>
        <w:jc w:val="both"/>
        <w:rPr>
          <w:rFonts w:ascii="Times New Roman" w:hAnsi="Times New Roman" w:cs="Times New Roman"/>
          <w:b/>
          <w:bCs/>
          <w:sz w:val="24"/>
          <w:szCs w:val="24"/>
        </w:rPr>
      </w:pPr>
      <w:r w:rsidRPr="00583237">
        <w:rPr>
          <w:rFonts w:ascii="Times New Roman" w:hAnsi="Times New Roman" w:cs="Times New Roman"/>
          <w:b/>
          <w:bCs/>
          <w:sz w:val="24"/>
          <w:szCs w:val="24"/>
        </w:rPr>
        <w:t>3.1</w:t>
      </w:r>
      <w:r w:rsidRPr="00583237">
        <w:rPr>
          <w:rFonts w:ascii="Times New Roman" w:hAnsi="Times New Roman" w:cs="Times New Roman"/>
          <w:b/>
          <w:bCs/>
          <w:sz w:val="24"/>
          <w:szCs w:val="24"/>
        </w:rPr>
        <w:tab/>
      </w:r>
      <w:r w:rsidR="00F608B6">
        <w:rPr>
          <w:rFonts w:ascii="Times New Roman" w:hAnsi="Times New Roman" w:cs="Times New Roman"/>
          <w:b/>
          <w:bCs/>
          <w:sz w:val="24"/>
          <w:szCs w:val="24"/>
        </w:rPr>
        <w:t>Demographic data of the study p</w:t>
      </w:r>
      <w:r w:rsidR="00175DF1" w:rsidRPr="00583237">
        <w:rPr>
          <w:rFonts w:ascii="Times New Roman" w:hAnsi="Times New Roman" w:cs="Times New Roman"/>
          <w:b/>
          <w:bCs/>
          <w:sz w:val="24"/>
          <w:szCs w:val="24"/>
        </w:rPr>
        <w:t>opulation</w:t>
      </w:r>
    </w:p>
    <w:p w14:paraId="574CA026" w14:textId="26E9F1A0" w:rsidR="00987FD6" w:rsidRPr="00583237" w:rsidRDefault="00AF7AB4" w:rsidP="00EB5B9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175DF1" w:rsidRPr="00583237">
        <w:rPr>
          <w:rFonts w:ascii="Times New Roman" w:hAnsi="Times New Roman" w:cs="Times New Roman"/>
          <w:sz w:val="24"/>
          <w:szCs w:val="24"/>
        </w:rPr>
        <w:t>1 presents the demographic characteristics of participants across all study locations, categorized by age, height, and weight. The mean age of the rural population (30.2 ± 0.6 years) was significantly higher than that of the urban population (23.8 ± 0.3 years) at p ≤ 0.05. The urban population recorded significantly higher mean height and weight (168.2 ± 0.5 cm and 68.1 ± 0.8 kg) than the rural population (161.9 ± 0.6 cm and 58.8 ± 0.7 kg). The reference group had a significantly higher</w:t>
      </w:r>
      <w:r w:rsidR="002628D3" w:rsidRPr="00583237">
        <w:rPr>
          <w:rFonts w:ascii="Times New Roman" w:hAnsi="Times New Roman" w:cs="Times New Roman"/>
          <w:sz w:val="24"/>
          <w:szCs w:val="24"/>
        </w:rPr>
        <w:t xml:space="preserve"> (</w:t>
      </w:r>
      <w:r w:rsidR="00802BD6" w:rsidRPr="00802BD6">
        <w:rPr>
          <w:rFonts w:ascii="Times New Roman" w:hAnsi="Times New Roman" w:cs="Times New Roman"/>
          <w:i/>
          <w:iCs/>
          <w:sz w:val="24"/>
          <w:szCs w:val="24"/>
        </w:rPr>
        <w:t>P</w:t>
      </w:r>
      <w:r w:rsidR="00802BD6">
        <w:rPr>
          <w:rFonts w:ascii="Times New Roman" w:hAnsi="Times New Roman" w:cs="Times New Roman"/>
          <w:i/>
          <w:iCs/>
          <w:sz w:val="24"/>
          <w:szCs w:val="24"/>
        </w:rPr>
        <w:t xml:space="preserve"> </w:t>
      </w:r>
      <w:r w:rsidR="00802BD6" w:rsidRPr="00583237">
        <w:rPr>
          <w:rFonts w:ascii="Times New Roman" w:hAnsi="Times New Roman" w:cs="Times New Roman"/>
          <w:sz w:val="24"/>
          <w:szCs w:val="24"/>
        </w:rPr>
        <w:t>≤</w:t>
      </w:r>
      <w:r w:rsidR="00802BD6">
        <w:rPr>
          <w:rFonts w:ascii="Times New Roman" w:hAnsi="Times New Roman" w:cs="Times New Roman"/>
          <w:sz w:val="24"/>
          <w:szCs w:val="24"/>
        </w:rPr>
        <w:t xml:space="preserve"> </w:t>
      </w:r>
      <w:r w:rsidR="00802BD6" w:rsidRPr="00583237">
        <w:rPr>
          <w:rFonts w:ascii="Times New Roman" w:hAnsi="Times New Roman" w:cs="Times New Roman"/>
          <w:sz w:val="24"/>
          <w:szCs w:val="24"/>
        </w:rPr>
        <w:t>0.05</w:t>
      </w:r>
      <w:r w:rsidR="002628D3" w:rsidRPr="00583237">
        <w:rPr>
          <w:rFonts w:ascii="Times New Roman" w:hAnsi="Times New Roman" w:cs="Times New Roman"/>
          <w:sz w:val="24"/>
          <w:szCs w:val="24"/>
        </w:rPr>
        <w:t>)</w:t>
      </w:r>
      <w:r w:rsidR="00175DF1" w:rsidRPr="00583237">
        <w:rPr>
          <w:rFonts w:ascii="Times New Roman" w:hAnsi="Times New Roman" w:cs="Times New Roman"/>
          <w:sz w:val="24"/>
          <w:szCs w:val="24"/>
        </w:rPr>
        <w:t xml:space="preserve"> mean age (40.7 ± 1.1 years) than both the rural and urban populations. However, no significant difference was observed between the height of the reference group (165.0 ± 1.3 cm) and the rural population, nor between the weight of the reference group (71.5 ± 2.3 kg) and the urban population.</w:t>
      </w:r>
    </w:p>
    <w:p w14:paraId="0AF8B787" w14:textId="77777777" w:rsidR="000658D6" w:rsidRDefault="000658D6" w:rsidP="00EB5B9D">
      <w:pPr>
        <w:spacing w:line="240" w:lineRule="auto"/>
        <w:jc w:val="both"/>
        <w:rPr>
          <w:rFonts w:ascii="Times New Roman" w:hAnsi="Times New Roman" w:cs="Times New Roman"/>
          <w:b/>
          <w:sz w:val="24"/>
          <w:szCs w:val="24"/>
        </w:rPr>
      </w:pPr>
    </w:p>
    <w:p w14:paraId="31A8BF5A" w14:textId="51B795C0" w:rsidR="00175DF1" w:rsidRPr="00583237" w:rsidRDefault="00E65DF4" w:rsidP="00EB5B9D">
      <w:pPr>
        <w:spacing w:line="240" w:lineRule="auto"/>
        <w:jc w:val="both"/>
        <w:rPr>
          <w:rFonts w:ascii="Times New Roman" w:hAnsi="Times New Roman" w:cs="Times New Roman"/>
          <w:sz w:val="24"/>
          <w:szCs w:val="24"/>
        </w:rPr>
      </w:pPr>
      <w:r w:rsidRPr="00583237">
        <w:rPr>
          <w:rFonts w:ascii="Times New Roman" w:hAnsi="Times New Roman" w:cs="Times New Roman"/>
          <w:b/>
          <w:sz w:val="24"/>
          <w:szCs w:val="24"/>
        </w:rPr>
        <w:t xml:space="preserve">Table </w:t>
      </w:r>
      <w:r w:rsidR="00175DF1" w:rsidRPr="00583237">
        <w:rPr>
          <w:rFonts w:ascii="Times New Roman" w:hAnsi="Times New Roman" w:cs="Times New Roman"/>
          <w:b/>
          <w:sz w:val="24"/>
          <w:szCs w:val="24"/>
        </w:rPr>
        <w:t>1: Demographic Data of the Study Population</w:t>
      </w:r>
    </w:p>
    <w:tbl>
      <w:tblPr>
        <w:tblStyle w:val="ListTable6Colorful1"/>
        <w:tblW w:w="8639" w:type="pct"/>
        <w:tblLook w:val="04A0" w:firstRow="1" w:lastRow="0" w:firstColumn="1" w:lastColumn="0" w:noHBand="0" w:noVBand="1"/>
      </w:tblPr>
      <w:tblGrid>
        <w:gridCol w:w="1952"/>
        <w:gridCol w:w="2124"/>
        <w:gridCol w:w="2127"/>
        <w:gridCol w:w="1843"/>
        <w:gridCol w:w="7924"/>
      </w:tblGrid>
      <w:tr w:rsidR="00A97CC0" w:rsidRPr="00583237" w14:paraId="24C7A506" w14:textId="77777777" w:rsidTr="00A97CC0">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611" w:type="pct"/>
            <w:noWrap/>
            <w:vAlign w:val="center"/>
            <w:hideMark/>
          </w:tcPr>
          <w:p w14:paraId="31C1A89A" w14:textId="77777777" w:rsidR="00A97CC0" w:rsidRPr="00583237" w:rsidRDefault="00A97CC0" w:rsidP="00A97CC0">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Parameters</w:t>
            </w:r>
          </w:p>
        </w:tc>
        <w:tc>
          <w:tcPr>
            <w:tcW w:w="665" w:type="pct"/>
            <w:noWrap/>
            <w:vAlign w:val="center"/>
            <w:hideMark/>
          </w:tcPr>
          <w:p w14:paraId="6D6DEBAB" w14:textId="77777777" w:rsidR="00A97CC0" w:rsidRPr="00583237" w:rsidRDefault="00A97CC0" w:rsidP="00A97CC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Rural</w:t>
            </w:r>
          </w:p>
        </w:tc>
        <w:tc>
          <w:tcPr>
            <w:tcW w:w="666" w:type="pct"/>
            <w:noWrap/>
            <w:vAlign w:val="center"/>
            <w:hideMark/>
          </w:tcPr>
          <w:p w14:paraId="2CF6E327" w14:textId="77777777" w:rsidR="00A97CC0" w:rsidRPr="00583237" w:rsidRDefault="00A97CC0" w:rsidP="00A97CC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Urban</w:t>
            </w:r>
          </w:p>
        </w:tc>
        <w:tc>
          <w:tcPr>
            <w:tcW w:w="577" w:type="pct"/>
            <w:vAlign w:val="center"/>
          </w:tcPr>
          <w:p w14:paraId="1050F422" w14:textId="3100BFD6" w:rsidR="00A97CC0" w:rsidRPr="00583237" w:rsidRDefault="00A97CC0" w:rsidP="00A97CC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Reference</w:t>
            </w:r>
          </w:p>
        </w:tc>
        <w:tc>
          <w:tcPr>
            <w:tcW w:w="2481" w:type="pct"/>
            <w:noWrap/>
            <w:vAlign w:val="center"/>
            <w:hideMark/>
          </w:tcPr>
          <w:p w14:paraId="16751587" w14:textId="54AF19BE" w:rsidR="00A97CC0" w:rsidRPr="00583237" w:rsidRDefault="00A97CC0" w:rsidP="00A97CC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 value</w:t>
            </w:r>
          </w:p>
        </w:tc>
      </w:tr>
      <w:tr w:rsidR="00A97CC0" w:rsidRPr="00583237" w14:paraId="738C8147" w14:textId="77777777" w:rsidTr="00A97CC0">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611" w:type="pct"/>
            <w:shd w:val="clear" w:color="auto" w:fill="auto"/>
            <w:noWrap/>
            <w:hideMark/>
          </w:tcPr>
          <w:p w14:paraId="1A12ADE0" w14:textId="5BDE1F49" w:rsidR="00A97CC0" w:rsidRPr="00583237" w:rsidRDefault="00A97CC0" w:rsidP="00A97CC0">
            <w:pPr>
              <w:spacing w:before="240"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Age (years)</w:t>
            </w:r>
          </w:p>
        </w:tc>
        <w:tc>
          <w:tcPr>
            <w:tcW w:w="665" w:type="pct"/>
            <w:shd w:val="clear" w:color="auto" w:fill="auto"/>
            <w:noWrap/>
            <w:hideMark/>
          </w:tcPr>
          <w:p w14:paraId="59A523EB" w14:textId="77777777" w:rsidR="00A97CC0" w:rsidRPr="00583237" w:rsidRDefault="00A97CC0" w:rsidP="00A97CC0">
            <w:pPr>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30.2±0.6ᵃ</w:t>
            </w:r>
          </w:p>
        </w:tc>
        <w:tc>
          <w:tcPr>
            <w:tcW w:w="666" w:type="pct"/>
            <w:shd w:val="clear" w:color="auto" w:fill="auto"/>
            <w:noWrap/>
            <w:hideMark/>
          </w:tcPr>
          <w:p w14:paraId="2F5FDB65" w14:textId="77777777" w:rsidR="00A97CC0" w:rsidRPr="00583237" w:rsidRDefault="00A97CC0" w:rsidP="00A97CC0">
            <w:pPr>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23.8±0.3ᵇ</w:t>
            </w:r>
          </w:p>
        </w:tc>
        <w:tc>
          <w:tcPr>
            <w:tcW w:w="577" w:type="pct"/>
            <w:shd w:val="clear" w:color="auto" w:fill="auto"/>
          </w:tcPr>
          <w:p w14:paraId="341A0DF5" w14:textId="04CC5448" w:rsidR="00A97CC0" w:rsidRPr="00583237" w:rsidRDefault="00A97CC0" w:rsidP="00A97CC0">
            <w:pPr>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40.7±1.1ᶜ</w:t>
            </w:r>
          </w:p>
        </w:tc>
        <w:tc>
          <w:tcPr>
            <w:tcW w:w="2481" w:type="pct"/>
            <w:shd w:val="clear" w:color="auto" w:fill="auto"/>
            <w:noWrap/>
            <w:hideMark/>
          </w:tcPr>
          <w:p w14:paraId="0B70702F" w14:textId="0BEB9722" w:rsidR="00A97CC0" w:rsidRPr="00583237" w:rsidRDefault="00A97CC0" w:rsidP="00A97CC0">
            <w:pPr>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 xml:space="preserve">≤ </w:t>
            </w:r>
            <w:r>
              <w:rPr>
                <w:rFonts w:ascii="Times New Roman" w:hAnsi="Times New Roman" w:cs="Times New Roman"/>
                <w:sz w:val="24"/>
                <w:szCs w:val="24"/>
              </w:rPr>
              <w:t>0.05</w:t>
            </w:r>
          </w:p>
        </w:tc>
      </w:tr>
      <w:tr w:rsidR="00A97CC0" w:rsidRPr="00583237" w14:paraId="0A879A0B" w14:textId="77777777" w:rsidTr="00A97CC0">
        <w:trPr>
          <w:trHeight w:val="378"/>
        </w:trPr>
        <w:tc>
          <w:tcPr>
            <w:cnfStyle w:val="001000000000" w:firstRow="0" w:lastRow="0" w:firstColumn="1" w:lastColumn="0" w:oddVBand="0" w:evenVBand="0" w:oddHBand="0" w:evenHBand="0" w:firstRowFirstColumn="0" w:firstRowLastColumn="0" w:lastRowFirstColumn="0" w:lastRowLastColumn="0"/>
            <w:tcW w:w="611" w:type="pct"/>
            <w:noWrap/>
            <w:hideMark/>
          </w:tcPr>
          <w:p w14:paraId="7048888F" w14:textId="77777777" w:rsidR="00A97CC0" w:rsidRPr="00583237" w:rsidRDefault="00A97CC0" w:rsidP="00A97CC0">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Height (m)</w:t>
            </w:r>
          </w:p>
        </w:tc>
        <w:tc>
          <w:tcPr>
            <w:tcW w:w="665" w:type="pct"/>
            <w:noWrap/>
            <w:hideMark/>
          </w:tcPr>
          <w:p w14:paraId="29ABDB40" w14:textId="77777777" w:rsidR="00A97CC0" w:rsidRPr="00583237" w:rsidRDefault="00A97CC0" w:rsidP="00A97CC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161.9±0.6ᵃ</w:t>
            </w:r>
          </w:p>
        </w:tc>
        <w:tc>
          <w:tcPr>
            <w:tcW w:w="666" w:type="pct"/>
            <w:noWrap/>
            <w:hideMark/>
          </w:tcPr>
          <w:p w14:paraId="4106DF1F" w14:textId="77777777" w:rsidR="00A97CC0" w:rsidRPr="00583237" w:rsidRDefault="00A97CC0" w:rsidP="00A97CC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168.2±0.5ᵇ</w:t>
            </w:r>
          </w:p>
        </w:tc>
        <w:tc>
          <w:tcPr>
            <w:tcW w:w="577" w:type="pct"/>
          </w:tcPr>
          <w:p w14:paraId="2BECB40D" w14:textId="2DC9F1F9" w:rsidR="00A97CC0" w:rsidRPr="00583237" w:rsidRDefault="00A97CC0" w:rsidP="00A97CC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165.0±1.3ᵃ</w:t>
            </w:r>
          </w:p>
        </w:tc>
        <w:tc>
          <w:tcPr>
            <w:tcW w:w="2481" w:type="pct"/>
            <w:noWrap/>
            <w:hideMark/>
          </w:tcPr>
          <w:p w14:paraId="3FAA7CEE" w14:textId="5FE0C9D2" w:rsidR="00A97CC0" w:rsidRPr="00583237" w:rsidRDefault="00A97CC0" w:rsidP="00A97CC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 xml:space="preserve">≤ </w:t>
            </w:r>
            <w:r>
              <w:rPr>
                <w:rFonts w:ascii="Times New Roman" w:hAnsi="Times New Roman" w:cs="Times New Roman"/>
                <w:sz w:val="24"/>
                <w:szCs w:val="24"/>
              </w:rPr>
              <w:t>0.05</w:t>
            </w:r>
          </w:p>
        </w:tc>
      </w:tr>
      <w:tr w:rsidR="00A97CC0" w:rsidRPr="00583237" w14:paraId="10191221" w14:textId="77777777" w:rsidTr="00A97CC0">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11" w:type="pct"/>
            <w:shd w:val="clear" w:color="auto" w:fill="auto"/>
            <w:noWrap/>
            <w:hideMark/>
          </w:tcPr>
          <w:p w14:paraId="0F2D5AD6" w14:textId="77777777" w:rsidR="00A97CC0" w:rsidRPr="00583237" w:rsidRDefault="00A97CC0" w:rsidP="00A97CC0">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Weight (kg)</w:t>
            </w:r>
          </w:p>
        </w:tc>
        <w:tc>
          <w:tcPr>
            <w:tcW w:w="665" w:type="pct"/>
            <w:shd w:val="clear" w:color="auto" w:fill="auto"/>
            <w:noWrap/>
            <w:hideMark/>
          </w:tcPr>
          <w:p w14:paraId="5A02781E" w14:textId="77777777" w:rsidR="00A97CC0" w:rsidRPr="00583237" w:rsidRDefault="00A97CC0" w:rsidP="00A97CC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58.8±0.7ᵃ</w:t>
            </w:r>
          </w:p>
        </w:tc>
        <w:tc>
          <w:tcPr>
            <w:tcW w:w="666" w:type="pct"/>
            <w:shd w:val="clear" w:color="auto" w:fill="auto"/>
            <w:noWrap/>
            <w:hideMark/>
          </w:tcPr>
          <w:p w14:paraId="2BC6EF77" w14:textId="77777777" w:rsidR="00A97CC0" w:rsidRPr="00583237" w:rsidRDefault="00A97CC0" w:rsidP="00A97CC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68.1±0.8ᵇ</w:t>
            </w:r>
          </w:p>
        </w:tc>
        <w:tc>
          <w:tcPr>
            <w:tcW w:w="577" w:type="pct"/>
            <w:shd w:val="clear" w:color="auto" w:fill="auto"/>
          </w:tcPr>
          <w:p w14:paraId="29968C5C" w14:textId="3754B08E" w:rsidR="00A97CC0" w:rsidRPr="00583237" w:rsidRDefault="00A97CC0" w:rsidP="00A97CC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71.5±2.3ᵇ</w:t>
            </w:r>
          </w:p>
        </w:tc>
        <w:tc>
          <w:tcPr>
            <w:tcW w:w="2481" w:type="pct"/>
            <w:shd w:val="clear" w:color="auto" w:fill="auto"/>
            <w:noWrap/>
            <w:hideMark/>
          </w:tcPr>
          <w:p w14:paraId="09DD7689" w14:textId="3E206104" w:rsidR="00A97CC0" w:rsidRPr="00583237" w:rsidRDefault="00A97CC0" w:rsidP="00A97CC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 xml:space="preserve">≤ </w:t>
            </w:r>
            <w:r>
              <w:rPr>
                <w:rFonts w:ascii="Times New Roman" w:hAnsi="Times New Roman" w:cs="Times New Roman"/>
                <w:sz w:val="24"/>
                <w:szCs w:val="24"/>
              </w:rPr>
              <w:t>0.05</w:t>
            </w:r>
          </w:p>
        </w:tc>
      </w:tr>
    </w:tbl>
    <w:p w14:paraId="1DB431AA" w14:textId="4989DFE2" w:rsidR="000658D6" w:rsidRDefault="00175DF1" w:rsidP="00802BD6">
      <w:pPr>
        <w:spacing w:after="0" w:line="240" w:lineRule="auto"/>
        <w:jc w:val="both"/>
        <w:rPr>
          <w:rFonts w:ascii="Times New Roman" w:hAnsi="Times New Roman" w:cs="Times New Roman"/>
          <w:sz w:val="24"/>
          <w:szCs w:val="24"/>
        </w:rPr>
      </w:pPr>
      <w:r w:rsidRPr="00583237">
        <w:rPr>
          <w:rFonts w:ascii="Times New Roman" w:hAnsi="Times New Roman" w:cs="Times New Roman"/>
          <w:i/>
          <w:iCs/>
          <w:sz w:val="24"/>
          <w:szCs w:val="24"/>
        </w:rPr>
        <w:t>Values are mean</w:t>
      </w:r>
      <w:r w:rsidR="00A97CC0">
        <w:rPr>
          <w:rFonts w:ascii="Times New Roman" w:hAnsi="Times New Roman" w:cs="Times New Roman"/>
          <w:i/>
          <w:iCs/>
          <w:sz w:val="24"/>
          <w:szCs w:val="24"/>
        </w:rPr>
        <w:t xml:space="preserve"> </w:t>
      </w:r>
      <w:r w:rsidRPr="00583237">
        <w:rPr>
          <w:rFonts w:ascii="Times New Roman" w:hAnsi="Times New Roman" w:cs="Times New Roman"/>
          <w:i/>
          <w:iCs/>
          <w:sz w:val="24"/>
          <w:szCs w:val="24"/>
        </w:rPr>
        <w:t>±</w:t>
      </w:r>
      <w:r w:rsidR="00A97CC0">
        <w:rPr>
          <w:rFonts w:ascii="Times New Roman" w:hAnsi="Times New Roman" w:cs="Times New Roman"/>
          <w:i/>
          <w:iCs/>
          <w:sz w:val="24"/>
          <w:szCs w:val="24"/>
        </w:rPr>
        <w:t xml:space="preserve"> </w:t>
      </w:r>
      <w:r w:rsidRPr="00583237">
        <w:rPr>
          <w:rFonts w:ascii="Times New Roman" w:hAnsi="Times New Roman" w:cs="Times New Roman"/>
          <w:i/>
          <w:iCs/>
          <w:sz w:val="24"/>
          <w:szCs w:val="24"/>
        </w:rPr>
        <w:t>SEM. Means within the same row, with same superscript letters are not significantly different</w:t>
      </w:r>
      <w:r w:rsidR="005E2499">
        <w:rPr>
          <w:rFonts w:ascii="Times New Roman" w:hAnsi="Times New Roman" w:cs="Times New Roman"/>
          <w:i/>
          <w:iCs/>
          <w:sz w:val="24"/>
          <w:szCs w:val="24"/>
        </w:rPr>
        <w:t>.</w:t>
      </w:r>
    </w:p>
    <w:p w14:paraId="449EC909" w14:textId="77777777" w:rsidR="00802BD6" w:rsidRDefault="00802BD6" w:rsidP="00802BD6">
      <w:pPr>
        <w:spacing w:after="0" w:line="240" w:lineRule="auto"/>
        <w:jc w:val="both"/>
        <w:rPr>
          <w:rFonts w:ascii="Times New Roman" w:hAnsi="Times New Roman" w:cs="Times New Roman"/>
          <w:b/>
          <w:bCs/>
          <w:sz w:val="24"/>
          <w:szCs w:val="24"/>
        </w:rPr>
      </w:pPr>
    </w:p>
    <w:p w14:paraId="7D01C437" w14:textId="02A5622E" w:rsidR="00175DF1" w:rsidRPr="00583237" w:rsidRDefault="00E65DF4" w:rsidP="00EB5B9D">
      <w:pPr>
        <w:spacing w:line="240" w:lineRule="auto"/>
        <w:jc w:val="both"/>
        <w:rPr>
          <w:rFonts w:ascii="Times New Roman" w:hAnsi="Times New Roman" w:cs="Times New Roman"/>
          <w:sz w:val="24"/>
          <w:szCs w:val="24"/>
        </w:rPr>
      </w:pPr>
      <w:r w:rsidRPr="00583237">
        <w:rPr>
          <w:rFonts w:ascii="Times New Roman" w:hAnsi="Times New Roman" w:cs="Times New Roman"/>
          <w:b/>
          <w:bCs/>
          <w:sz w:val="24"/>
          <w:szCs w:val="24"/>
        </w:rPr>
        <w:t>3.2</w:t>
      </w:r>
      <w:r w:rsidRPr="00583237">
        <w:rPr>
          <w:rFonts w:ascii="Times New Roman" w:hAnsi="Times New Roman" w:cs="Times New Roman"/>
          <w:b/>
          <w:bCs/>
          <w:sz w:val="24"/>
          <w:szCs w:val="24"/>
        </w:rPr>
        <w:tab/>
      </w:r>
      <w:r w:rsidR="00D95934" w:rsidRPr="00583237">
        <w:rPr>
          <w:rFonts w:ascii="Times New Roman" w:hAnsi="Times New Roman" w:cs="Times New Roman"/>
          <w:b/>
          <w:bCs/>
          <w:sz w:val="24"/>
          <w:szCs w:val="24"/>
        </w:rPr>
        <w:t>Body Mass Index (BMI) across study p</w:t>
      </w:r>
      <w:r w:rsidR="00175DF1" w:rsidRPr="00583237">
        <w:rPr>
          <w:rFonts w:ascii="Times New Roman" w:hAnsi="Times New Roman" w:cs="Times New Roman"/>
          <w:b/>
          <w:bCs/>
          <w:sz w:val="24"/>
          <w:szCs w:val="24"/>
        </w:rPr>
        <w:t>opulations</w:t>
      </w:r>
    </w:p>
    <w:p w14:paraId="47D160B9" w14:textId="4FEC3D57" w:rsidR="00175DF1" w:rsidRPr="00583237" w:rsidRDefault="00E65DF4" w:rsidP="00F23AF2">
      <w:pPr>
        <w:spacing w:line="240" w:lineRule="auto"/>
        <w:jc w:val="both"/>
        <w:rPr>
          <w:rFonts w:ascii="Times New Roman" w:hAnsi="Times New Roman" w:cs="Times New Roman"/>
          <w:sz w:val="24"/>
          <w:szCs w:val="24"/>
        </w:rPr>
      </w:pPr>
      <w:r w:rsidRPr="00583237">
        <w:rPr>
          <w:rFonts w:ascii="Times New Roman" w:hAnsi="Times New Roman" w:cs="Times New Roman"/>
          <w:sz w:val="24"/>
          <w:szCs w:val="24"/>
        </w:rPr>
        <w:t xml:space="preserve">Table </w:t>
      </w:r>
      <w:r w:rsidR="00175DF1" w:rsidRPr="00583237">
        <w:rPr>
          <w:rFonts w:ascii="Times New Roman" w:hAnsi="Times New Roman" w:cs="Times New Roman"/>
          <w:sz w:val="24"/>
          <w:szCs w:val="24"/>
        </w:rPr>
        <w:t>2 show</w:t>
      </w:r>
      <w:r w:rsidR="00D95934" w:rsidRPr="00583237">
        <w:rPr>
          <w:rFonts w:ascii="Times New Roman" w:hAnsi="Times New Roman" w:cs="Times New Roman"/>
          <w:sz w:val="24"/>
          <w:szCs w:val="24"/>
        </w:rPr>
        <w:t xml:space="preserve">s the comparison of the </w:t>
      </w:r>
      <w:r w:rsidR="00175DF1" w:rsidRPr="00583237">
        <w:rPr>
          <w:rFonts w:ascii="Times New Roman" w:hAnsi="Times New Roman" w:cs="Times New Roman"/>
          <w:sz w:val="24"/>
          <w:szCs w:val="24"/>
        </w:rPr>
        <w:t xml:space="preserve">means of body mass index (BMI) across the study populations. The mean BMI was 22.4 ± 0.3 kg/m² in the rural population, 24.1 ± 0.3 kg/m² in the urban population, and 26.3 ± 0.8 kg/m² in the reference population. The rural group had a significantly lower </w:t>
      </w:r>
      <w:r w:rsidR="00D95934" w:rsidRPr="00583237">
        <w:rPr>
          <w:rFonts w:ascii="Times New Roman" w:hAnsi="Times New Roman" w:cs="Times New Roman"/>
          <w:sz w:val="24"/>
          <w:szCs w:val="24"/>
        </w:rPr>
        <w:t>(</w:t>
      </w:r>
      <w:r w:rsidR="00802BD6" w:rsidRPr="00802BD6">
        <w:rPr>
          <w:rFonts w:ascii="Times New Roman" w:hAnsi="Times New Roman" w:cs="Times New Roman"/>
          <w:i/>
          <w:iCs/>
          <w:sz w:val="24"/>
          <w:szCs w:val="24"/>
        </w:rPr>
        <w:t>P</w:t>
      </w:r>
      <w:r w:rsidR="00802BD6" w:rsidRPr="00583237">
        <w:rPr>
          <w:rFonts w:ascii="Times New Roman" w:hAnsi="Times New Roman" w:cs="Times New Roman"/>
          <w:sz w:val="24"/>
          <w:szCs w:val="24"/>
        </w:rPr>
        <w:t>≤ 0.05</w:t>
      </w:r>
      <w:r w:rsidR="00D95934" w:rsidRPr="00583237">
        <w:rPr>
          <w:rFonts w:ascii="Times New Roman" w:hAnsi="Times New Roman" w:cs="Times New Roman"/>
          <w:sz w:val="24"/>
          <w:szCs w:val="24"/>
        </w:rPr>
        <w:t>) B</w:t>
      </w:r>
      <w:r w:rsidR="00175DF1" w:rsidRPr="00583237">
        <w:rPr>
          <w:rFonts w:ascii="Times New Roman" w:hAnsi="Times New Roman" w:cs="Times New Roman"/>
          <w:sz w:val="24"/>
          <w:szCs w:val="24"/>
        </w:rPr>
        <w:t>MI compared to the urban group (p ≤ 0.05), while the reference population recorded the highest BMI, which was significantly greater than both rural and urban groups (</w:t>
      </w:r>
      <w:r w:rsidR="00802BD6" w:rsidRPr="00802BD6">
        <w:rPr>
          <w:rFonts w:ascii="Times New Roman" w:hAnsi="Times New Roman" w:cs="Times New Roman"/>
          <w:i/>
          <w:iCs/>
          <w:sz w:val="24"/>
          <w:szCs w:val="24"/>
        </w:rPr>
        <w:t>P</w:t>
      </w:r>
      <w:r w:rsidR="00175DF1" w:rsidRPr="00583237">
        <w:rPr>
          <w:rFonts w:ascii="Times New Roman" w:hAnsi="Times New Roman" w:cs="Times New Roman"/>
          <w:sz w:val="24"/>
          <w:szCs w:val="24"/>
        </w:rPr>
        <w:t xml:space="preserve"> ≤ 0.05).</w:t>
      </w:r>
    </w:p>
    <w:p w14:paraId="3BB15521" w14:textId="77777777" w:rsidR="00E871C9" w:rsidRDefault="00E871C9" w:rsidP="001773CD">
      <w:pPr>
        <w:spacing w:line="240" w:lineRule="auto"/>
        <w:jc w:val="both"/>
        <w:rPr>
          <w:rFonts w:ascii="Times New Roman" w:hAnsi="Times New Roman" w:cs="Times New Roman"/>
          <w:sz w:val="24"/>
          <w:szCs w:val="24"/>
        </w:rPr>
      </w:pPr>
    </w:p>
    <w:p w14:paraId="46788507" w14:textId="7557930D" w:rsidR="00175DF1" w:rsidRPr="00583237" w:rsidRDefault="00175DF1" w:rsidP="001773CD">
      <w:pPr>
        <w:spacing w:line="240" w:lineRule="auto"/>
        <w:jc w:val="both"/>
        <w:rPr>
          <w:rFonts w:ascii="Times New Roman" w:hAnsi="Times New Roman" w:cs="Times New Roman"/>
          <w:sz w:val="24"/>
          <w:szCs w:val="24"/>
        </w:rPr>
      </w:pPr>
      <w:r w:rsidRPr="00583237">
        <w:rPr>
          <w:rFonts w:ascii="Times New Roman" w:hAnsi="Times New Roman" w:cs="Times New Roman"/>
          <w:sz w:val="24"/>
          <w:szCs w:val="24"/>
        </w:rPr>
        <w:t>T</w:t>
      </w:r>
      <w:r w:rsidR="00A11D26" w:rsidRPr="00583237">
        <w:rPr>
          <w:rFonts w:ascii="Times New Roman" w:hAnsi="Times New Roman" w:cs="Times New Roman"/>
          <w:b/>
          <w:sz w:val="24"/>
          <w:szCs w:val="24"/>
        </w:rPr>
        <w:t xml:space="preserve">able </w:t>
      </w:r>
      <w:r w:rsidRPr="00583237">
        <w:rPr>
          <w:rFonts w:ascii="Times New Roman" w:hAnsi="Times New Roman" w:cs="Times New Roman"/>
          <w:b/>
          <w:sz w:val="24"/>
          <w:szCs w:val="24"/>
        </w:rPr>
        <w:t>2:</w:t>
      </w:r>
      <w:r w:rsidR="00A11D26" w:rsidRPr="00583237">
        <w:rPr>
          <w:rFonts w:ascii="Times New Roman" w:hAnsi="Times New Roman" w:cs="Times New Roman"/>
          <w:b/>
          <w:sz w:val="24"/>
          <w:szCs w:val="24"/>
        </w:rPr>
        <w:t xml:space="preserve"> </w:t>
      </w:r>
      <w:r w:rsidR="00276972" w:rsidRPr="00583237">
        <w:rPr>
          <w:rFonts w:ascii="Times New Roman" w:hAnsi="Times New Roman" w:cs="Times New Roman"/>
          <w:b/>
          <w:sz w:val="24"/>
          <w:szCs w:val="24"/>
        </w:rPr>
        <w:t xml:space="preserve"> BMI </w:t>
      </w:r>
      <w:r w:rsidR="00802BD6">
        <w:rPr>
          <w:rFonts w:ascii="Times New Roman" w:hAnsi="Times New Roman" w:cs="Times New Roman"/>
          <w:b/>
          <w:sz w:val="24"/>
          <w:szCs w:val="24"/>
        </w:rPr>
        <w:t>A</w:t>
      </w:r>
      <w:r w:rsidRPr="00583237">
        <w:rPr>
          <w:rFonts w:ascii="Times New Roman" w:hAnsi="Times New Roman" w:cs="Times New Roman"/>
          <w:b/>
          <w:sz w:val="24"/>
          <w:szCs w:val="24"/>
        </w:rPr>
        <w:t xml:space="preserve">cross </w:t>
      </w:r>
      <w:r w:rsidR="00802BD6">
        <w:rPr>
          <w:rFonts w:ascii="Times New Roman" w:hAnsi="Times New Roman" w:cs="Times New Roman"/>
          <w:b/>
          <w:sz w:val="24"/>
          <w:szCs w:val="24"/>
        </w:rPr>
        <w:t>the S</w:t>
      </w:r>
      <w:r w:rsidRPr="00583237">
        <w:rPr>
          <w:rFonts w:ascii="Times New Roman" w:hAnsi="Times New Roman" w:cs="Times New Roman"/>
          <w:b/>
          <w:sz w:val="24"/>
          <w:szCs w:val="24"/>
        </w:rPr>
        <w:t xml:space="preserve">tudy </w:t>
      </w:r>
      <w:r w:rsidR="00802BD6">
        <w:rPr>
          <w:rFonts w:ascii="Times New Roman" w:hAnsi="Times New Roman" w:cs="Times New Roman"/>
          <w:b/>
          <w:sz w:val="24"/>
          <w:szCs w:val="24"/>
        </w:rPr>
        <w:t>P</w:t>
      </w:r>
      <w:r w:rsidRPr="00583237">
        <w:rPr>
          <w:rFonts w:ascii="Times New Roman" w:hAnsi="Times New Roman" w:cs="Times New Roman"/>
          <w:b/>
          <w:sz w:val="24"/>
          <w:szCs w:val="24"/>
        </w:rPr>
        <w:t>opulation</w:t>
      </w:r>
    </w:p>
    <w:tbl>
      <w:tblPr>
        <w:tblStyle w:val="ListTable6Colorful1"/>
        <w:tblW w:w="5000" w:type="pct"/>
        <w:tblLook w:val="04A0" w:firstRow="1" w:lastRow="0" w:firstColumn="1" w:lastColumn="0" w:noHBand="0" w:noVBand="1"/>
      </w:tblPr>
      <w:tblGrid>
        <w:gridCol w:w="2749"/>
        <w:gridCol w:w="1134"/>
        <w:gridCol w:w="1143"/>
        <w:gridCol w:w="2002"/>
        <w:gridCol w:w="2215"/>
      </w:tblGrid>
      <w:tr w:rsidR="00F071D7" w:rsidRPr="00583237" w14:paraId="2D6200A9" w14:textId="77777777" w:rsidTr="00F071D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7" w:type="pct"/>
            <w:noWrap/>
            <w:hideMark/>
          </w:tcPr>
          <w:p w14:paraId="189445FF" w14:textId="77777777" w:rsidR="00F071D7" w:rsidRPr="00583237" w:rsidRDefault="00F071D7" w:rsidP="00F071D7">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Parameters</w:t>
            </w:r>
          </w:p>
        </w:tc>
        <w:tc>
          <w:tcPr>
            <w:tcW w:w="613" w:type="pct"/>
            <w:noWrap/>
            <w:hideMark/>
          </w:tcPr>
          <w:p w14:paraId="0B4E030F" w14:textId="77777777" w:rsidR="00F071D7" w:rsidRPr="00583237" w:rsidRDefault="00F071D7" w:rsidP="00F071D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Rural</w:t>
            </w:r>
          </w:p>
        </w:tc>
        <w:tc>
          <w:tcPr>
            <w:tcW w:w="618" w:type="pct"/>
            <w:noWrap/>
            <w:hideMark/>
          </w:tcPr>
          <w:p w14:paraId="4AD80B80" w14:textId="77777777" w:rsidR="00F071D7" w:rsidRPr="00583237" w:rsidRDefault="00F071D7" w:rsidP="00F071D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Urban</w:t>
            </w:r>
          </w:p>
        </w:tc>
        <w:tc>
          <w:tcPr>
            <w:tcW w:w="1083" w:type="pct"/>
          </w:tcPr>
          <w:p w14:paraId="0B80F70B" w14:textId="113CE109" w:rsidR="00F071D7" w:rsidRPr="00583237" w:rsidRDefault="00F071D7" w:rsidP="00F071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Reference</w:t>
            </w:r>
          </w:p>
        </w:tc>
        <w:tc>
          <w:tcPr>
            <w:tcW w:w="1198" w:type="pct"/>
            <w:noWrap/>
            <w:vAlign w:val="center"/>
            <w:hideMark/>
          </w:tcPr>
          <w:p w14:paraId="5D3DF80D" w14:textId="41EE05F0" w:rsidR="00F071D7" w:rsidRPr="00583237" w:rsidRDefault="00F071D7" w:rsidP="00F071D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 value</w:t>
            </w:r>
          </w:p>
        </w:tc>
      </w:tr>
      <w:tr w:rsidR="00F071D7" w:rsidRPr="00583237" w14:paraId="3C82503C" w14:textId="77777777" w:rsidTr="00F071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7" w:type="pct"/>
            <w:shd w:val="clear" w:color="auto" w:fill="auto"/>
            <w:noWrap/>
            <w:hideMark/>
          </w:tcPr>
          <w:p w14:paraId="23C0297D" w14:textId="77777777" w:rsidR="00F071D7" w:rsidRPr="00583237" w:rsidRDefault="00F071D7" w:rsidP="00F071D7">
            <w:pPr>
              <w:spacing w:before="240" w:line="240" w:lineRule="auto"/>
              <w:jc w:val="both"/>
              <w:rPr>
                <w:rFonts w:ascii="Times New Roman" w:hAnsi="Times New Roman" w:cs="Times New Roman"/>
                <w:sz w:val="24"/>
                <w:szCs w:val="24"/>
              </w:rPr>
            </w:pPr>
            <w:r w:rsidRPr="00583237">
              <w:rPr>
                <w:rFonts w:ascii="Times New Roman" w:hAnsi="Times New Roman" w:cs="Times New Roman"/>
                <w:sz w:val="24"/>
                <w:szCs w:val="24"/>
              </w:rPr>
              <w:lastRenderedPageBreak/>
              <w:t>Body mass index (kg/m²)</w:t>
            </w:r>
          </w:p>
        </w:tc>
        <w:tc>
          <w:tcPr>
            <w:tcW w:w="613" w:type="pct"/>
            <w:shd w:val="clear" w:color="auto" w:fill="auto"/>
            <w:noWrap/>
            <w:hideMark/>
          </w:tcPr>
          <w:p w14:paraId="1E046EF0" w14:textId="77777777" w:rsidR="00F071D7" w:rsidRPr="00583237" w:rsidRDefault="00F071D7" w:rsidP="00F071D7">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22.4±0.3ᵃ</w:t>
            </w:r>
          </w:p>
        </w:tc>
        <w:tc>
          <w:tcPr>
            <w:tcW w:w="618" w:type="pct"/>
            <w:shd w:val="clear" w:color="auto" w:fill="auto"/>
            <w:noWrap/>
            <w:hideMark/>
          </w:tcPr>
          <w:p w14:paraId="2B20AE74" w14:textId="77777777" w:rsidR="00F071D7" w:rsidRPr="00583237" w:rsidRDefault="00F071D7" w:rsidP="00F071D7">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24.1±0.3ᵇ</w:t>
            </w:r>
          </w:p>
        </w:tc>
        <w:tc>
          <w:tcPr>
            <w:tcW w:w="1083" w:type="pct"/>
            <w:shd w:val="clear" w:color="auto" w:fill="auto"/>
          </w:tcPr>
          <w:p w14:paraId="182DF75F" w14:textId="7108F273" w:rsidR="00F071D7" w:rsidRPr="00583237" w:rsidRDefault="00F071D7" w:rsidP="00F071D7">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26.3±0.8ᶜ</w:t>
            </w:r>
          </w:p>
        </w:tc>
        <w:tc>
          <w:tcPr>
            <w:tcW w:w="1198" w:type="pct"/>
            <w:shd w:val="clear" w:color="auto" w:fill="auto"/>
            <w:noWrap/>
            <w:hideMark/>
          </w:tcPr>
          <w:p w14:paraId="1FD153A3" w14:textId="6366A878" w:rsidR="00F071D7" w:rsidRPr="00583237" w:rsidRDefault="00F071D7" w:rsidP="00F071D7">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 xml:space="preserve">≤ </w:t>
            </w:r>
            <w:r>
              <w:rPr>
                <w:rFonts w:ascii="Times New Roman" w:hAnsi="Times New Roman" w:cs="Times New Roman"/>
                <w:sz w:val="24"/>
                <w:szCs w:val="24"/>
              </w:rPr>
              <w:t>0.05</w:t>
            </w:r>
          </w:p>
        </w:tc>
      </w:tr>
    </w:tbl>
    <w:p w14:paraId="6E4CD43A" w14:textId="1124BD96" w:rsidR="00175DF1" w:rsidRPr="00824DDB" w:rsidRDefault="00175DF1" w:rsidP="00960B65">
      <w:pPr>
        <w:spacing w:after="0" w:line="240" w:lineRule="auto"/>
        <w:jc w:val="both"/>
        <w:rPr>
          <w:rFonts w:ascii="Times New Roman" w:hAnsi="Times New Roman" w:cs="Times New Roman"/>
          <w:i/>
          <w:iCs/>
        </w:rPr>
      </w:pPr>
      <w:r w:rsidRPr="00824DDB">
        <w:rPr>
          <w:rFonts w:ascii="Times New Roman" w:hAnsi="Times New Roman" w:cs="Times New Roman"/>
          <w:i/>
          <w:iCs/>
        </w:rPr>
        <w:t>Values are mean</w:t>
      </w:r>
      <w:r w:rsidR="00F071D7">
        <w:rPr>
          <w:rFonts w:ascii="Times New Roman" w:hAnsi="Times New Roman" w:cs="Times New Roman"/>
          <w:i/>
          <w:iCs/>
        </w:rPr>
        <w:t xml:space="preserve"> </w:t>
      </w:r>
      <w:r w:rsidRPr="00824DDB">
        <w:rPr>
          <w:rFonts w:ascii="Times New Roman" w:hAnsi="Times New Roman" w:cs="Times New Roman"/>
          <w:i/>
          <w:iCs/>
        </w:rPr>
        <w:t>±</w:t>
      </w:r>
      <w:r w:rsidR="005E2499">
        <w:rPr>
          <w:rFonts w:ascii="Times New Roman" w:hAnsi="Times New Roman" w:cs="Times New Roman"/>
          <w:i/>
          <w:iCs/>
        </w:rPr>
        <w:t xml:space="preserve"> </w:t>
      </w:r>
      <w:r w:rsidRPr="00824DDB">
        <w:rPr>
          <w:rFonts w:ascii="Times New Roman" w:hAnsi="Times New Roman" w:cs="Times New Roman"/>
          <w:i/>
          <w:iCs/>
        </w:rPr>
        <w:t>SEM. Means within the same row, with same superscript letters are not significantly different</w:t>
      </w:r>
      <w:r w:rsidR="005E2499">
        <w:rPr>
          <w:rFonts w:ascii="Times New Roman" w:hAnsi="Times New Roman" w:cs="Times New Roman"/>
          <w:i/>
          <w:iCs/>
        </w:rPr>
        <w:t>.</w:t>
      </w:r>
    </w:p>
    <w:p w14:paraId="1476AB63" w14:textId="77777777" w:rsidR="00175DF1" w:rsidRPr="00583237" w:rsidRDefault="00175DF1" w:rsidP="00960B65">
      <w:pPr>
        <w:spacing w:after="0" w:line="240" w:lineRule="auto"/>
        <w:jc w:val="both"/>
        <w:rPr>
          <w:rFonts w:ascii="Times New Roman" w:hAnsi="Times New Roman" w:cs="Times New Roman"/>
          <w:b/>
          <w:sz w:val="24"/>
          <w:szCs w:val="24"/>
        </w:rPr>
      </w:pPr>
    </w:p>
    <w:p w14:paraId="2799A140" w14:textId="77777777" w:rsidR="00175DF1" w:rsidRPr="00583237" w:rsidRDefault="00D95934" w:rsidP="00F23AF2">
      <w:p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3.3</w:t>
      </w:r>
      <w:r w:rsidRPr="00583237">
        <w:rPr>
          <w:rFonts w:ascii="Times New Roman" w:hAnsi="Times New Roman" w:cs="Times New Roman"/>
          <w:b/>
          <w:sz w:val="24"/>
          <w:szCs w:val="24"/>
        </w:rPr>
        <w:tab/>
        <w:t>Age and gender d</w:t>
      </w:r>
      <w:r w:rsidR="00175DF1" w:rsidRPr="00583237">
        <w:rPr>
          <w:rFonts w:ascii="Times New Roman" w:hAnsi="Times New Roman" w:cs="Times New Roman"/>
          <w:b/>
          <w:sz w:val="24"/>
          <w:szCs w:val="24"/>
        </w:rPr>
        <w:t>istribution (</w:t>
      </w:r>
      <w:r w:rsidRPr="00583237">
        <w:rPr>
          <w:rFonts w:ascii="Times New Roman" w:hAnsi="Times New Roman" w:cs="Times New Roman"/>
          <w:b/>
          <w:sz w:val="24"/>
          <w:szCs w:val="24"/>
        </w:rPr>
        <w:t xml:space="preserve">%) of BMI </w:t>
      </w:r>
      <w:r w:rsidR="007734E2" w:rsidRPr="00583237">
        <w:rPr>
          <w:rFonts w:ascii="Times New Roman" w:hAnsi="Times New Roman" w:cs="Times New Roman"/>
          <w:b/>
          <w:sz w:val="24"/>
          <w:szCs w:val="24"/>
        </w:rPr>
        <w:t xml:space="preserve">categories </w:t>
      </w:r>
      <w:r w:rsidR="00276972" w:rsidRPr="00583237">
        <w:rPr>
          <w:rFonts w:ascii="Times New Roman" w:hAnsi="Times New Roman" w:cs="Times New Roman"/>
          <w:b/>
          <w:sz w:val="24"/>
          <w:szCs w:val="24"/>
        </w:rPr>
        <w:t>of the study p</w:t>
      </w:r>
      <w:r w:rsidR="001773CD">
        <w:rPr>
          <w:rFonts w:ascii="Times New Roman" w:hAnsi="Times New Roman" w:cs="Times New Roman"/>
          <w:b/>
          <w:sz w:val="24"/>
          <w:szCs w:val="24"/>
        </w:rPr>
        <w:t>opulation</w:t>
      </w:r>
    </w:p>
    <w:p w14:paraId="6C427AA1" w14:textId="3ACC2A4E" w:rsidR="00832502" w:rsidRDefault="00276972" w:rsidP="005F5935">
      <w:pPr>
        <w:spacing w:after="0" w:line="240" w:lineRule="auto"/>
        <w:jc w:val="both"/>
        <w:rPr>
          <w:rFonts w:ascii="Times New Roman" w:hAnsi="Times New Roman" w:cs="Times New Roman"/>
          <w:bCs/>
          <w:sz w:val="24"/>
          <w:szCs w:val="24"/>
        </w:rPr>
      </w:pPr>
      <w:r w:rsidRPr="00583237">
        <w:rPr>
          <w:rFonts w:ascii="Times New Roman" w:hAnsi="Times New Roman" w:cs="Times New Roman"/>
          <w:bCs/>
          <w:sz w:val="24"/>
          <w:szCs w:val="24"/>
        </w:rPr>
        <w:t xml:space="preserve">Table </w:t>
      </w:r>
      <w:r w:rsidR="00175DF1" w:rsidRPr="00583237">
        <w:rPr>
          <w:rFonts w:ascii="Times New Roman" w:hAnsi="Times New Roman" w:cs="Times New Roman"/>
          <w:bCs/>
          <w:sz w:val="24"/>
          <w:szCs w:val="24"/>
        </w:rPr>
        <w:t>3 shows the percentage distribution of the study population by age, gender, and body mass index (BMI) categories across rural, urban, and reference populations. Among the rural participants, normal weight was the most common BMI category across all age groups, whereas overweight and obesity were more prevalent in the urban and reference populations, particularly in participants aged 35-45 years. The reference population demonstrated the highest concentration of overweight and obese individuals, predominantly among females aged 40-45 years.</w:t>
      </w:r>
    </w:p>
    <w:p w14:paraId="1CD84166" w14:textId="77777777" w:rsidR="005F5935" w:rsidRDefault="005F5935" w:rsidP="00694C5F">
      <w:pPr>
        <w:spacing w:line="240" w:lineRule="auto"/>
        <w:jc w:val="both"/>
        <w:rPr>
          <w:rFonts w:ascii="Times New Roman" w:hAnsi="Times New Roman" w:cs="Times New Roman"/>
          <w:b/>
          <w:sz w:val="24"/>
          <w:szCs w:val="24"/>
        </w:rPr>
      </w:pPr>
    </w:p>
    <w:p w14:paraId="651B7102" w14:textId="77777777" w:rsidR="00540CD6" w:rsidRDefault="00540CD6" w:rsidP="00694C5F">
      <w:pPr>
        <w:spacing w:line="240" w:lineRule="auto"/>
        <w:jc w:val="both"/>
        <w:rPr>
          <w:rFonts w:ascii="Times New Roman" w:hAnsi="Times New Roman" w:cs="Times New Roman"/>
          <w:b/>
          <w:sz w:val="24"/>
          <w:szCs w:val="24"/>
        </w:rPr>
      </w:pPr>
    </w:p>
    <w:p w14:paraId="0C4ABA58" w14:textId="2587C849" w:rsidR="00175DF1" w:rsidRPr="00583237" w:rsidRDefault="00297F4A" w:rsidP="00694C5F">
      <w:p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 xml:space="preserve">Table </w:t>
      </w:r>
      <w:r w:rsidR="00175DF1" w:rsidRPr="00583237">
        <w:rPr>
          <w:rFonts w:ascii="Times New Roman" w:hAnsi="Times New Roman" w:cs="Times New Roman"/>
          <w:b/>
          <w:sz w:val="24"/>
          <w:szCs w:val="24"/>
        </w:rPr>
        <w:t>3:</w:t>
      </w:r>
      <w:r w:rsidRPr="00583237">
        <w:rPr>
          <w:rFonts w:ascii="Times New Roman" w:hAnsi="Times New Roman" w:cs="Times New Roman"/>
          <w:b/>
          <w:sz w:val="24"/>
          <w:szCs w:val="24"/>
        </w:rPr>
        <w:t xml:space="preserve"> Age a</w:t>
      </w:r>
      <w:r w:rsidR="007734E2" w:rsidRPr="00583237">
        <w:rPr>
          <w:rFonts w:ascii="Times New Roman" w:hAnsi="Times New Roman" w:cs="Times New Roman"/>
          <w:b/>
          <w:sz w:val="24"/>
          <w:szCs w:val="24"/>
        </w:rPr>
        <w:t>nd g</w:t>
      </w:r>
      <w:r w:rsidR="00175DF1" w:rsidRPr="00583237">
        <w:rPr>
          <w:rFonts w:ascii="Times New Roman" w:hAnsi="Times New Roman" w:cs="Times New Roman"/>
          <w:b/>
          <w:sz w:val="24"/>
          <w:szCs w:val="24"/>
        </w:rPr>
        <w:t>ender Distribution (%) o</w:t>
      </w:r>
      <w:r w:rsidR="00694C5F">
        <w:rPr>
          <w:rFonts w:ascii="Times New Roman" w:hAnsi="Times New Roman" w:cs="Times New Roman"/>
          <w:b/>
          <w:sz w:val="24"/>
          <w:szCs w:val="24"/>
        </w:rPr>
        <w:t>f Body Mass Index c</w:t>
      </w:r>
      <w:r w:rsidR="00175DF1" w:rsidRPr="00583237">
        <w:rPr>
          <w:rFonts w:ascii="Times New Roman" w:hAnsi="Times New Roman" w:cs="Times New Roman"/>
          <w:b/>
          <w:sz w:val="24"/>
          <w:szCs w:val="24"/>
        </w:rPr>
        <w:t>ategories o</w:t>
      </w:r>
      <w:r w:rsidRPr="00583237">
        <w:rPr>
          <w:rFonts w:ascii="Times New Roman" w:hAnsi="Times New Roman" w:cs="Times New Roman"/>
          <w:b/>
          <w:sz w:val="24"/>
          <w:szCs w:val="24"/>
        </w:rPr>
        <w:t>f t</w:t>
      </w:r>
      <w:r w:rsidR="00694C5F">
        <w:rPr>
          <w:rFonts w:ascii="Times New Roman" w:hAnsi="Times New Roman" w:cs="Times New Roman"/>
          <w:b/>
          <w:sz w:val="24"/>
          <w:szCs w:val="24"/>
        </w:rPr>
        <w:t>he study p</w:t>
      </w:r>
      <w:r w:rsidR="001773CD">
        <w:rPr>
          <w:rFonts w:ascii="Times New Roman" w:hAnsi="Times New Roman" w:cs="Times New Roman"/>
          <w:b/>
          <w:sz w:val="24"/>
          <w:szCs w:val="24"/>
        </w:rPr>
        <w:t>opulation</w:t>
      </w:r>
    </w:p>
    <w:tbl>
      <w:tblPr>
        <w:tblStyle w:val="ListTable6Colorful1"/>
        <w:tblW w:w="0" w:type="auto"/>
        <w:tblInd w:w="-369" w:type="dxa"/>
        <w:tblCellMar>
          <w:left w:w="57" w:type="dxa"/>
          <w:right w:w="57" w:type="dxa"/>
        </w:tblCellMar>
        <w:tblLook w:val="04A0" w:firstRow="1" w:lastRow="0" w:firstColumn="1" w:lastColumn="0" w:noHBand="0" w:noVBand="1"/>
      </w:tblPr>
      <w:tblGrid>
        <w:gridCol w:w="852"/>
        <w:gridCol w:w="1853"/>
        <w:gridCol w:w="685"/>
        <w:gridCol w:w="861"/>
        <w:gridCol w:w="685"/>
        <w:gridCol w:w="685"/>
        <w:gridCol w:w="861"/>
        <w:gridCol w:w="822"/>
        <w:gridCol w:w="664"/>
        <w:gridCol w:w="861"/>
        <w:gridCol w:w="676"/>
      </w:tblGrid>
      <w:tr w:rsidR="00175DF1" w:rsidRPr="00583237" w14:paraId="0C634399" w14:textId="77777777" w:rsidTr="00C845C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 w:type="dxa"/>
            <w:vMerge w:val="restart"/>
            <w:tcBorders>
              <w:top w:val="single" w:sz="4" w:space="0" w:color="000000" w:themeColor="text1"/>
              <w:bottom w:val="single" w:sz="4" w:space="0" w:color="auto"/>
            </w:tcBorders>
            <w:noWrap/>
            <w:hideMark/>
          </w:tcPr>
          <w:p w14:paraId="29DB8688" w14:textId="77777777" w:rsidR="00175DF1" w:rsidRPr="00583237" w:rsidRDefault="00175DF1" w:rsidP="00960B65">
            <w:pPr>
              <w:spacing w:after="0" w:line="240" w:lineRule="auto"/>
              <w:jc w:val="both"/>
              <w:rPr>
                <w:rFonts w:ascii="Times New Roman" w:hAnsi="Times New Roman" w:cs="Times New Roman"/>
                <w:b w:val="0"/>
                <w:bCs w:val="0"/>
                <w:sz w:val="24"/>
                <w:szCs w:val="24"/>
              </w:rPr>
            </w:pPr>
            <w:r w:rsidRPr="00583237">
              <w:rPr>
                <w:rFonts w:ascii="Times New Roman" w:hAnsi="Times New Roman" w:cs="Times New Roman"/>
                <w:sz w:val="24"/>
                <w:szCs w:val="24"/>
              </w:rPr>
              <w:t>Age Range</w:t>
            </w:r>
          </w:p>
          <w:p w14:paraId="65C4CA99" w14:textId="3A1DE1E1"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(Year)</w:t>
            </w:r>
          </w:p>
        </w:tc>
        <w:tc>
          <w:tcPr>
            <w:tcW w:w="1853" w:type="dxa"/>
            <w:vMerge w:val="restart"/>
            <w:tcBorders>
              <w:top w:val="single" w:sz="4" w:space="0" w:color="000000" w:themeColor="text1"/>
              <w:bottom w:val="single" w:sz="4" w:space="0" w:color="auto"/>
            </w:tcBorders>
            <w:noWrap/>
            <w:hideMark/>
          </w:tcPr>
          <w:p w14:paraId="499D3C74" w14:textId="77777777" w:rsidR="00175DF1" w:rsidRPr="00583237" w:rsidRDefault="00175DF1"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Category</w:t>
            </w:r>
          </w:p>
        </w:tc>
        <w:tc>
          <w:tcPr>
            <w:tcW w:w="2231" w:type="dxa"/>
            <w:gridSpan w:val="3"/>
            <w:tcBorders>
              <w:bottom w:val="single" w:sz="4" w:space="0" w:color="auto"/>
            </w:tcBorders>
            <w:noWrap/>
            <w:hideMark/>
          </w:tcPr>
          <w:p w14:paraId="3025050F" w14:textId="2AA440E2" w:rsidR="00175DF1" w:rsidRPr="00583237" w:rsidRDefault="00CE1BF3"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              </w:t>
            </w:r>
            <w:r w:rsidR="00175DF1" w:rsidRPr="00583237">
              <w:rPr>
                <w:rFonts w:ascii="Times New Roman" w:hAnsi="Times New Roman" w:cs="Times New Roman"/>
                <w:sz w:val="24"/>
                <w:szCs w:val="24"/>
              </w:rPr>
              <w:t>Rural</w:t>
            </w:r>
          </w:p>
        </w:tc>
        <w:tc>
          <w:tcPr>
            <w:tcW w:w="2368" w:type="dxa"/>
            <w:gridSpan w:val="3"/>
            <w:tcBorders>
              <w:bottom w:val="single" w:sz="4" w:space="0" w:color="auto"/>
            </w:tcBorders>
            <w:noWrap/>
            <w:hideMark/>
          </w:tcPr>
          <w:p w14:paraId="173FDEE7" w14:textId="1047E15B" w:rsidR="00175DF1" w:rsidRPr="00583237" w:rsidRDefault="00CE1BF3"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          </w:t>
            </w:r>
            <w:r w:rsidR="00175DF1" w:rsidRPr="00583237">
              <w:rPr>
                <w:rFonts w:ascii="Times New Roman" w:hAnsi="Times New Roman" w:cs="Times New Roman"/>
                <w:sz w:val="24"/>
                <w:szCs w:val="24"/>
              </w:rPr>
              <w:t>Urban</w:t>
            </w:r>
          </w:p>
        </w:tc>
        <w:tc>
          <w:tcPr>
            <w:tcW w:w="2201" w:type="dxa"/>
            <w:gridSpan w:val="3"/>
            <w:tcBorders>
              <w:bottom w:val="single" w:sz="4" w:space="0" w:color="auto"/>
            </w:tcBorders>
            <w:noWrap/>
            <w:hideMark/>
          </w:tcPr>
          <w:p w14:paraId="0856FE37" w14:textId="7015DE06" w:rsidR="00175DF1" w:rsidRPr="00583237" w:rsidRDefault="00CE1BF3"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        </w:t>
            </w:r>
            <w:r w:rsidR="00175DF1" w:rsidRPr="00583237">
              <w:rPr>
                <w:rFonts w:ascii="Times New Roman" w:hAnsi="Times New Roman" w:cs="Times New Roman"/>
                <w:sz w:val="24"/>
                <w:szCs w:val="24"/>
              </w:rPr>
              <w:t>Reference</w:t>
            </w:r>
          </w:p>
        </w:tc>
      </w:tr>
      <w:tr w:rsidR="00064F52" w:rsidRPr="00583237" w14:paraId="160DB90B" w14:textId="77777777" w:rsidTr="00C84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 w:type="dxa"/>
            <w:vMerge/>
            <w:tcBorders>
              <w:top w:val="nil"/>
              <w:bottom w:val="single" w:sz="4" w:space="0" w:color="auto"/>
            </w:tcBorders>
            <w:shd w:val="clear" w:color="auto" w:fill="auto"/>
            <w:noWrap/>
            <w:hideMark/>
          </w:tcPr>
          <w:p w14:paraId="57250039"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vMerge/>
            <w:tcBorders>
              <w:top w:val="nil"/>
              <w:bottom w:val="single" w:sz="4" w:space="0" w:color="auto"/>
            </w:tcBorders>
            <w:shd w:val="clear" w:color="auto" w:fill="auto"/>
            <w:noWrap/>
            <w:hideMark/>
          </w:tcPr>
          <w:p w14:paraId="41867B0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85" w:type="dxa"/>
            <w:tcBorders>
              <w:top w:val="single" w:sz="4" w:space="0" w:color="auto"/>
              <w:bottom w:val="single" w:sz="4" w:space="0" w:color="auto"/>
            </w:tcBorders>
            <w:shd w:val="clear" w:color="auto" w:fill="auto"/>
            <w:noWrap/>
            <w:hideMark/>
          </w:tcPr>
          <w:p w14:paraId="5F2A79B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Male</w:t>
            </w:r>
          </w:p>
        </w:tc>
        <w:tc>
          <w:tcPr>
            <w:tcW w:w="861" w:type="dxa"/>
            <w:tcBorders>
              <w:top w:val="single" w:sz="4" w:space="0" w:color="auto"/>
              <w:bottom w:val="single" w:sz="4" w:space="0" w:color="auto"/>
            </w:tcBorders>
            <w:shd w:val="clear" w:color="auto" w:fill="auto"/>
            <w:noWrap/>
            <w:hideMark/>
          </w:tcPr>
          <w:p w14:paraId="7B8CF1F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Female</w:t>
            </w:r>
          </w:p>
        </w:tc>
        <w:tc>
          <w:tcPr>
            <w:tcW w:w="685" w:type="dxa"/>
            <w:tcBorders>
              <w:top w:val="single" w:sz="4" w:space="0" w:color="auto"/>
              <w:bottom w:val="single" w:sz="4" w:space="0" w:color="auto"/>
            </w:tcBorders>
            <w:shd w:val="clear" w:color="auto" w:fill="auto"/>
            <w:noWrap/>
            <w:hideMark/>
          </w:tcPr>
          <w:p w14:paraId="692C8F2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Total</w:t>
            </w:r>
          </w:p>
        </w:tc>
        <w:tc>
          <w:tcPr>
            <w:tcW w:w="685" w:type="dxa"/>
            <w:tcBorders>
              <w:top w:val="single" w:sz="4" w:space="0" w:color="auto"/>
              <w:bottom w:val="single" w:sz="4" w:space="0" w:color="auto"/>
            </w:tcBorders>
            <w:shd w:val="clear" w:color="auto" w:fill="auto"/>
            <w:noWrap/>
            <w:hideMark/>
          </w:tcPr>
          <w:p w14:paraId="6D7D1BB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Male</w:t>
            </w:r>
          </w:p>
        </w:tc>
        <w:tc>
          <w:tcPr>
            <w:tcW w:w="861" w:type="dxa"/>
            <w:tcBorders>
              <w:top w:val="single" w:sz="4" w:space="0" w:color="auto"/>
              <w:bottom w:val="single" w:sz="4" w:space="0" w:color="auto"/>
            </w:tcBorders>
            <w:shd w:val="clear" w:color="auto" w:fill="auto"/>
            <w:noWrap/>
            <w:hideMark/>
          </w:tcPr>
          <w:p w14:paraId="739C428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Female</w:t>
            </w:r>
          </w:p>
        </w:tc>
        <w:tc>
          <w:tcPr>
            <w:tcW w:w="822" w:type="dxa"/>
            <w:tcBorders>
              <w:top w:val="single" w:sz="4" w:space="0" w:color="auto"/>
              <w:bottom w:val="single" w:sz="4" w:space="0" w:color="auto"/>
            </w:tcBorders>
            <w:shd w:val="clear" w:color="auto" w:fill="auto"/>
            <w:noWrap/>
            <w:hideMark/>
          </w:tcPr>
          <w:p w14:paraId="4CB1C86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Total</w:t>
            </w:r>
          </w:p>
        </w:tc>
        <w:tc>
          <w:tcPr>
            <w:tcW w:w="664" w:type="dxa"/>
            <w:tcBorders>
              <w:top w:val="single" w:sz="4" w:space="0" w:color="auto"/>
              <w:bottom w:val="single" w:sz="4" w:space="0" w:color="auto"/>
            </w:tcBorders>
            <w:shd w:val="clear" w:color="auto" w:fill="auto"/>
            <w:noWrap/>
            <w:hideMark/>
          </w:tcPr>
          <w:p w14:paraId="5B6205A3"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Male</w:t>
            </w:r>
          </w:p>
        </w:tc>
        <w:tc>
          <w:tcPr>
            <w:tcW w:w="861" w:type="dxa"/>
            <w:tcBorders>
              <w:top w:val="single" w:sz="4" w:space="0" w:color="auto"/>
              <w:bottom w:val="single" w:sz="4" w:space="0" w:color="auto"/>
            </w:tcBorders>
            <w:shd w:val="clear" w:color="auto" w:fill="auto"/>
            <w:noWrap/>
            <w:hideMark/>
          </w:tcPr>
          <w:p w14:paraId="5A7F1F7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Female</w:t>
            </w:r>
          </w:p>
        </w:tc>
        <w:tc>
          <w:tcPr>
            <w:tcW w:w="676" w:type="dxa"/>
            <w:tcBorders>
              <w:top w:val="single" w:sz="4" w:space="0" w:color="auto"/>
              <w:bottom w:val="single" w:sz="4" w:space="0" w:color="auto"/>
            </w:tcBorders>
            <w:shd w:val="clear" w:color="auto" w:fill="auto"/>
            <w:noWrap/>
            <w:hideMark/>
          </w:tcPr>
          <w:p w14:paraId="59E735F4"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Total</w:t>
            </w:r>
          </w:p>
        </w:tc>
      </w:tr>
      <w:tr w:rsidR="00175DF1" w:rsidRPr="00583237" w14:paraId="5321D5B6" w14:textId="77777777" w:rsidTr="00C845C8">
        <w:trPr>
          <w:trHeight w:val="300"/>
        </w:trPr>
        <w:tc>
          <w:tcPr>
            <w:cnfStyle w:val="001000000000" w:firstRow="0" w:lastRow="0" w:firstColumn="1" w:lastColumn="0" w:oddVBand="0" w:evenVBand="0" w:oddHBand="0" w:evenHBand="0" w:firstRowFirstColumn="0" w:firstRowLastColumn="0" w:lastRowFirstColumn="0" w:lastRowLastColumn="0"/>
            <w:tcW w:w="852" w:type="dxa"/>
            <w:tcBorders>
              <w:top w:val="single" w:sz="4" w:space="0" w:color="auto"/>
            </w:tcBorders>
            <w:noWrap/>
            <w:hideMark/>
          </w:tcPr>
          <w:p w14:paraId="2780A7F3"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15-20</w:t>
            </w:r>
          </w:p>
        </w:tc>
        <w:tc>
          <w:tcPr>
            <w:tcW w:w="1853" w:type="dxa"/>
            <w:tcBorders>
              <w:top w:val="single" w:sz="4" w:space="0" w:color="auto"/>
            </w:tcBorders>
            <w:noWrap/>
            <w:hideMark/>
          </w:tcPr>
          <w:p w14:paraId="0DB7DDA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Underweight</w:t>
            </w:r>
          </w:p>
        </w:tc>
        <w:tc>
          <w:tcPr>
            <w:tcW w:w="685" w:type="dxa"/>
            <w:tcBorders>
              <w:top w:val="single" w:sz="4" w:space="0" w:color="auto"/>
            </w:tcBorders>
            <w:noWrap/>
            <w:hideMark/>
          </w:tcPr>
          <w:p w14:paraId="61BF61B4"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861" w:type="dxa"/>
            <w:tcBorders>
              <w:top w:val="single" w:sz="4" w:space="0" w:color="auto"/>
            </w:tcBorders>
            <w:noWrap/>
            <w:hideMark/>
          </w:tcPr>
          <w:p w14:paraId="061410E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1.7</w:t>
            </w:r>
          </w:p>
        </w:tc>
        <w:tc>
          <w:tcPr>
            <w:tcW w:w="685" w:type="dxa"/>
            <w:tcBorders>
              <w:top w:val="single" w:sz="4" w:space="0" w:color="auto"/>
            </w:tcBorders>
            <w:noWrap/>
            <w:hideMark/>
          </w:tcPr>
          <w:p w14:paraId="4AD957F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4.6</w:t>
            </w:r>
          </w:p>
        </w:tc>
        <w:tc>
          <w:tcPr>
            <w:tcW w:w="685" w:type="dxa"/>
            <w:tcBorders>
              <w:top w:val="single" w:sz="4" w:space="0" w:color="auto"/>
            </w:tcBorders>
            <w:noWrap/>
            <w:hideMark/>
          </w:tcPr>
          <w:p w14:paraId="0F0F933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w:t>
            </w:r>
          </w:p>
        </w:tc>
        <w:tc>
          <w:tcPr>
            <w:tcW w:w="861" w:type="dxa"/>
            <w:tcBorders>
              <w:top w:val="single" w:sz="4" w:space="0" w:color="auto"/>
            </w:tcBorders>
            <w:noWrap/>
            <w:hideMark/>
          </w:tcPr>
          <w:p w14:paraId="638F769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822" w:type="dxa"/>
            <w:tcBorders>
              <w:top w:val="single" w:sz="4" w:space="0" w:color="auto"/>
            </w:tcBorders>
            <w:noWrap/>
            <w:hideMark/>
          </w:tcPr>
          <w:p w14:paraId="11C4DE3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2.2</w:t>
            </w:r>
          </w:p>
        </w:tc>
        <w:tc>
          <w:tcPr>
            <w:tcW w:w="664" w:type="dxa"/>
            <w:tcBorders>
              <w:top w:val="single" w:sz="4" w:space="0" w:color="auto"/>
            </w:tcBorders>
            <w:noWrap/>
            <w:hideMark/>
          </w:tcPr>
          <w:p w14:paraId="488CA9C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tcBorders>
              <w:top w:val="single" w:sz="4" w:space="0" w:color="auto"/>
            </w:tcBorders>
            <w:noWrap/>
            <w:hideMark/>
          </w:tcPr>
          <w:p w14:paraId="575A4F6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tcBorders>
              <w:top w:val="single" w:sz="4" w:space="0" w:color="auto"/>
            </w:tcBorders>
            <w:noWrap/>
            <w:hideMark/>
          </w:tcPr>
          <w:p w14:paraId="3EA4CB8E"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C845C8" w:rsidRPr="00583237" w14:paraId="5D705D1D" w14:textId="77777777" w:rsidTr="00C84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41079C3"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shd w:val="clear" w:color="auto" w:fill="auto"/>
            <w:noWrap/>
            <w:hideMark/>
          </w:tcPr>
          <w:p w14:paraId="171C151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Normal weight</w:t>
            </w:r>
          </w:p>
        </w:tc>
        <w:tc>
          <w:tcPr>
            <w:tcW w:w="685" w:type="dxa"/>
            <w:shd w:val="clear" w:color="auto" w:fill="auto"/>
            <w:noWrap/>
            <w:hideMark/>
          </w:tcPr>
          <w:p w14:paraId="2B61F8B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7.6</w:t>
            </w:r>
          </w:p>
        </w:tc>
        <w:tc>
          <w:tcPr>
            <w:tcW w:w="861" w:type="dxa"/>
            <w:shd w:val="clear" w:color="auto" w:fill="auto"/>
            <w:noWrap/>
            <w:hideMark/>
          </w:tcPr>
          <w:p w14:paraId="689014E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5.0</w:t>
            </w:r>
          </w:p>
        </w:tc>
        <w:tc>
          <w:tcPr>
            <w:tcW w:w="685" w:type="dxa"/>
            <w:shd w:val="clear" w:color="auto" w:fill="auto"/>
            <w:noWrap/>
            <w:hideMark/>
          </w:tcPr>
          <w:p w14:paraId="7A7F664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12.6</w:t>
            </w:r>
          </w:p>
        </w:tc>
        <w:tc>
          <w:tcPr>
            <w:tcW w:w="685" w:type="dxa"/>
            <w:shd w:val="clear" w:color="auto" w:fill="auto"/>
            <w:noWrap/>
            <w:hideMark/>
          </w:tcPr>
          <w:p w14:paraId="04842CC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4.8</w:t>
            </w:r>
          </w:p>
        </w:tc>
        <w:tc>
          <w:tcPr>
            <w:tcW w:w="861" w:type="dxa"/>
            <w:shd w:val="clear" w:color="auto" w:fill="auto"/>
            <w:noWrap/>
            <w:hideMark/>
          </w:tcPr>
          <w:p w14:paraId="5DB7A17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5.1</w:t>
            </w:r>
          </w:p>
        </w:tc>
        <w:tc>
          <w:tcPr>
            <w:tcW w:w="822" w:type="dxa"/>
            <w:shd w:val="clear" w:color="auto" w:fill="auto"/>
            <w:noWrap/>
            <w:hideMark/>
          </w:tcPr>
          <w:p w14:paraId="68BB43A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9.9</w:t>
            </w:r>
          </w:p>
        </w:tc>
        <w:tc>
          <w:tcPr>
            <w:tcW w:w="664" w:type="dxa"/>
            <w:shd w:val="clear" w:color="auto" w:fill="auto"/>
            <w:noWrap/>
            <w:hideMark/>
          </w:tcPr>
          <w:p w14:paraId="731E3DB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shd w:val="clear" w:color="auto" w:fill="auto"/>
            <w:noWrap/>
            <w:hideMark/>
          </w:tcPr>
          <w:p w14:paraId="6A31B71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shd w:val="clear" w:color="auto" w:fill="auto"/>
            <w:noWrap/>
            <w:hideMark/>
          </w:tcPr>
          <w:p w14:paraId="10490C7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175DF1" w:rsidRPr="00583237" w14:paraId="512EB812" w14:textId="77777777" w:rsidTr="00C845C8">
        <w:trPr>
          <w:trHeight w:val="300"/>
        </w:trPr>
        <w:tc>
          <w:tcPr>
            <w:cnfStyle w:val="001000000000" w:firstRow="0" w:lastRow="0" w:firstColumn="1" w:lastColumn="0" w:oddVBand="0" w:evenVBand="0" w:oddHBand="0" w:evenHBand="0" w:firstRowFirstColumn="0" w:firstRowLastColumn="0" w:lastRowFirstColumn="0" w:lastRowLastColumn="0"/>
            <w:tcW w:w="852" w:type="dxa"/>
            <w:noWrap/>
            <w:hideMark/>
          </w:tcPr>
          <w:p w14:paraId="3AB1159A"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noWrap/>
            <w:hideMark/>
          </w:tcPr>
          <w:p w14:paraId="3696764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Overweight</w:t>
            </w:r>
          </w:p>
        </w:tc>
        <w:tc>
          <w:tcPr>
            <w:tcW w:w="685" w:type="dxa"/>
            <w:noWrap/>
            <w:hideMark/>
          </w:tcPr>
          <w:p w14:paraId="454490F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861" w:type="dxa"/>
            <w:noWrap/>
            <w:hideMark/>
          </w:tcPr>
          <w:p w14:paraId="727ACB7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685" w:type="dxa"/>
            <w:noWrap/>
            <w:hideMark/>
          </w:tcPr>
          <w:p w14:paraId="6BDB9B3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1.7</w:t>
            </w:r>
          </w:p>
        </w:tc>
        <w:tc>
          <w:tcPr>
            <w:tcW w:w="685" w:type="dxa"/>
            <w:noWrap/>
            <w:hideMark/>
          </w:tcPr>
          <w:p w14:paraId="62DEA63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61" w:type="dxa"/>
            <w:noWrap/>
            <w:hideMark/>
          </w:tcPr>
          <w:p w14:paraId="129B2AA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1.9</w:t>
            </w:r>
          </w:p>
        </w:tc>
        <w:tc>
          <w:tcPr>
            <w:tcW w:w="822" w:type="dxa"/>
            <w:noWrap/>
            <w:hideMark/>
          </w:tcPr>
          <w:p w14:paraId="65BF212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2.2</w:t>
            </w:r>
          </w:p>
        </w:tc>
        <w:tc>
          <w:tcPr>
            <w:tcW w:w="664" w:type="dxa"/>
            <w:noWrap/>
            <w:hideMark/>
          </w:tcPr>
          <w:p w14:paraId="7066C32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noWrap/>
            <w:hideMark/>
          </w:tcPr>
          <w:p w14:paraId="3158C884"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noWrap/>
            <w:hideMark/>
          </w:tcPr>
          <w:p w14:paraId="36114FCA"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C845C8" w:rsidRPr="00583237" w14:paraId="142AEB33" w14:textId="77777777" w:rsidTr="008127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 w:type="dxa"/>
            <w:tcBorders>
              <w:bottom w:val="nil"/>
            </w:tcBorders>
            <w:shd w:val="clear" w:color="auto" w:fill="auto"/>
            <w:noWrap/>
            <w:hideMark/>
          </w:tcPr>
          <w:p w14:paraId="08587384"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tcBorders>
              <w:bottom w:val="nil"/>
            </w:tcBorders>
            <w:shd w:val="clear" w:color="auto" w:fill="auto"/>
            <w:noWrap/>
            <w:hideMark/>
          </w:tcPr>
          <w:p w14:paraId="445454C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Obese</w:t>
            </w:r>
          </w:p>
        </w:tc>
        <w:tc>
          <w:tcPr>
            <w:tcW w:w="685" w:type="dxa"/>
            <w:tcBorders>
              <w:bottom w:val="nil"/>
            </w:tcBorders>
            <w:shd w:val="clear" w:color="auto" w:fill="auto"/>
            <w:noWrap/>
            <w:hideMark/>
          </w:tcPr>
          <w:p w14:paraId="724587F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tcBorders>
              <w:bottom w:val="nil"/>
            </w:tcBorders>
            <w:shd w:val="clear" w:color="auto" w:fill="auto"/>
            <w:noWrap/>
            <w:hideMark/>
          </w:tcPr>
          <w:p w14:paraId="707D4273"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85" w:type="dxa"/>
            <w:tcBorders>
              <w:bottom w:val="nil"/>
            </w:tcBorders>
            <w:shd w:val="clear" w:color="auto" w:fill="auto"/>
            <w:noWrap/>
            <w:hideMark/>
          </w:tcPr>
          <w:p w14:paraId="106B3994"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85" w:type="dxa"/>
            <w:tcBorders>
              <w:bottom w:val="nil"/>
            </w:tcBorders>
            <w:shd w:val="clear" w:color="auto" w:fill="auto"/>
            <w:noWrap/>
            <w:hideMark/>
          </w:tcPr>
          <w:p w14:paraId="7C8CA9B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61" w:type="dxa"/>
            <w:tcBorders>
              <w:bottom w:val="nil"/>
            </w:tcBorders>
            <w:shd w:val="clear" w:color="auto" w:fill="auto"/>
            <w:noWrap/>
            <w:hideMark/>
          </w:tcPr>
          <w:p w14:paraId="3B57F89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0.6</w:t>
            </w:r>
          </w:p>
        </w:tc>
        <w:tc>
          <w:tcPr>
            <w:tcW w:w="822" w:type="dxa"/>
            <w:tcBorders>
              <w:bottom w:val="nil"/>
            </w:tcBorders>
            <w:shd w:val="clear" w:color="auto" w:fill="auto"/>
            <w:noWrap/>
            <w:hideMark/>
          </w:tcPr>
          <w:p w14:paraId="38E7D54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w:t>
            </w:r>
          </w:p>
        </w:tc>
        <w:tc>
          <w:tcPr>
            <w:tcW w:w="664" w:type="dxa"/>
            <w:tcBorders>
              <w:bottom w:val="nil"/>
            </w:tcBorders>
            <w:shd w:val="clear" w:color="auto" w:fill="auto"/>
            <w:noWrap/>
            <w:hideMark/>
          </w:tcPr>
          <w:p w14:paraId="30EDCF4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tcBorders>
              <w:bottom w:val="nil"/>
            </w:tcBorders>
            <w:shd w:val="clear" w:color="auto" w:fill="auto"/>
            <w:noWrap/>
            <w:hideMark/>
          </w:tcPr>
          <w:p w14:paraId="2E35790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tcBorders>
              <w:bottom w:val="nil"/>
            </w:tcBorders>
            <w:shd w:val="clear" w:color="auto" w:fill="auto"/>
            <w:noWrap/>
            <w:hideMark/>
          </w:tcPr>
          <w:p w14:paraId="5471287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175DF1" w:rsidRPr="00583237" w14:paraId="44E4EA3E" w14:textId="77777777" w:rsidTr="0081276A">
        <w:trPr>
          <w:trHeight w:val="300"/>
        </w:trPr>
        <w:tc>
          <w:tcPr>
            <w:cnfStyle w:val="001000000000" w:firstRow="0" w:lastRow="0" w:firstColumn="1" w:lastColumn="0" w:oddVBand="0" w:evenVBand="0" w:oddHBand="0" w:evenHBand="0" w:firstRowFirstColumn="0" w:firstRowLastColumn="0" w:lastRowFirstColumn="0" w:lastRowLastColumn="0"/>
            <w:tcW w:w="852" w:type="dxa"/>
            <w:tcBorders>
              <w:top w:val="nil"/>
              <w:bottom w:val="single" w:sz="4" w:space="0" w:color="auto"/>
            </w:tcBorders>
            <w:noWrap/>
            <w:hideMark/>
          </w:tcPr>
          <w:p w14:paraId="4D8DC850"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tcBorders>
              <w:top w:val="nil"/>
              <w:bottom w:val="single" w:sz="4" w:space="0" w:color="auto"/>
            </w:tcBorders>
            <w:noWrap/>
            <w:hideMark/>
          </w:tcPr>
          <w:p w14:paraId="534A752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Total</w:t>
            </w:r>
          </w:p>
        </w:tc>
        <w:tc>
          <w:tcPr>
            <w:tcW w:w="685" w:type="dxa"/>
            <w:tcBorders>
              <w:top w:val="nil"/>
              <w:bottom w:val="single" w:sz="4" w:space="0" w:color="auto"/>
            </w:tcBorders>
            <w:noWrap/>
            <w:hideMark/>
          </w:tcPr>
          <w:p w14:paraId="6A7D866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10.9</w:t>
            </w:r>
          </w:p>
        </w:tc>
        <w:tc>
          <w:tcPr>
            <w:tcW w:w="861" w:type="dxa"/>
            <w:tcBorders>
              <w:top w:val="nil"/>
              <w:bottom w:val="single" w:sz="4" w:space="0" w:color="auto"/>
            </w:tcBorders>
            <w:noWrap/>
            <w:hideMark/>
          </w:tcPr>
          <w:p w14:paraId="6C99F57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8.0</w:t>
            </w:r>
          </w:p>
        </w:tc>
        <w:tc>
          <w:tcPr>
            <w:tcW w:w="685" w:type="dxa"/>
            <w:tcBorders>
              <w:top w:val="nil"/>
              <w:bottom w:val="single" w:sz="4" w:space="0" w:color="auto"/>
            </w:tcBorders>
            <w:noWrap/>
            <w:hideMark/>
          </w:tcPr>
          <w:p w14:paraId="696A73C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18.9</w:t>
            </w:r>
          </w:p>
        </w:tc>
        <w:tc>
          <w:tcPr>
            <w:tcW w:w="685" w:type="dxa"/>
            <w:tcBorders>
              <w:top w:val="nil"/>
              <w:bottom w:val="single" w:sz="4" w:space="0" w:color="auto"/>
            </w:tcBorders>
            <w:noWrap/>
            <w:hideMark/>
          </w:tcPr>
          <w:p w14:paraId="33E77C7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6.4</w:t>
            </w:r>
          </w:p>
        </w:tc>
        <w:tc>
          <w:tcPr>
            <w:tcW w:w="861" w:type="dxa"/>
            <w:tcBorders>
              <w:top w:val="nil"/>
              <w:bottom w:val="single" w:sz="4" w:space="0" w:color="auto"/>
            </w:tcBorders>
            <w:noWrap/>
            <w:hideMark/>
          </w:tcPr>
          <w:p w14:paraId="529EDAC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9.0</w:t>
            </w:r>
          </w:p>
        </w:tc>
        <w:tc>
          <w:tcPr>
            <w:tcW w:w="822" w:type="dxa"/>
            <w:tcBorders>
              <w:top w:val="nil"/>
              <w:bottom w:val="single" w:sz="4" w:space="0" w:color="auto"/>
            </w:tcBorders>
            <w:noWrap/>
            <w:hideMark/>
          </w:tcPr>
          <w:p w14:paraId="333B5C82"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15.4</w:t>
            </w:r>
          </w:p>
        </w:tc>
        <w:tc>
          <w:tcPr>
            <w:tcW w:w="664" w:type="dxa"/>
            <w:tcBorders>
              <w:top w:val="nil"/>
              <w:bottom w:val="single" w:sz="4" w:space="0" w:color="auto"/>
            </w:tcBorders>
            <w:noWrap/>
            <w:hideMark/>
          </w:tcPr>
          <w:p w14:paraId="0758AFC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tcBorders>
              <w:top w:val="nil"/>
              <w:bottom w:val="single" w:sz="4" w:space="0" w:color="auto"/>
            </w:tcBorders>
            <w:noWrap/>
            <w:hideMark/>
          </w:tcPr>
          <w:p w14:paraId="705B78B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tcBorders>
              <w:top w:val="nil"/>
              <w:bottom w:val="single" w:sz="4" w:space="0" w:color="auto"/>
            </w:tcBorders>
            <w:noWrap/>
            <w:hideMark/>
          </w:tcPr>
          <w:p w14:paraId="0033237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C845C8" w:rsidRPr="00583237" w14:paraId="22D8FEDB" w14:textId="77777777" w:rsidTr="008127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 w:type="dxa"/>
            <w:tcBorders>
              <w:top w:val="single" w:sz="4" w:space="0" w:color="auto"/>
            </w:tcBorders>
            <w:shd w:val="clear" w:color="auto" w:fill="auto"/>
            <w:noWrap/>
            <w:hideMark/>
          </w:tcPr>
          <w:p w14:paraId="1CFB2E16"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20-25</w:t>
            </w:r>
          </w:p>
        </w:tc>
        <w:tc>
          <w:tcPr>
            <w:tcW w:w="1853" w:type="dxa"/>
            <w:tcBorders>
              <w:top w:val="single" w:sz="4" w:space="0" w:color="auto"/>
            </w:tcBorders>
            <w:shd w:val="clear" w:color="auto" w:fill="auto"/>
            <w:noWrap/>
            <w:hideMark/>
          </w:tcPr>
          <w:p w14:paraId="6B23B085"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Underweight</w:t>
            </w:r>
          </w:p>
        </w:tc>
        <w:tc>
          <w:tcPr>
            <w:tcW w:w="685" w:type="dxa"/>
            <w:tcBorders>
              <w:top w:val="single" w:sz="4" w:space="0" w:color="auto"/>
            </w:tcBorders>
            <w:shd w:val="clear" w:color="auto" w:fill="auto"/>
            <w:noWrap/>
            <w:hideMark/>
          </w:tcPr>
          <w:p w14:paraId="5337D6C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861" w:type="dxa"/>
            <w:tcBorders>
              <w:top w:val="single" w:sz="4" w:space="0" w:color="auto"/>
            </w:tcBorders>
            <w:shd w:val="clear" w:color="auto" w:fill="auto"/>
            <w:noWrap/>
            <w:hideMark/>
          </w:tcPr>
          <w:p w14:paraId="2038535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685" w:type="dxa"/>
            <w:tcBorders>
              <w:top w:val="single" w:sz="4" w:space="0" w:color="auto"/>
            </w:tcBorders>
            <w:shd w:val="clear" w:color="auto" w:fill="auto"/>
            <w:noWrap/>
            <w:hideMark/>
          </w:tcPr>
          <w:p w14:paraId="2BE0D99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1.7</w:t>
            </w:r>
          </w:p>
        </w:tc>
        <w:tc>
          <w:tcPr>
            <w:tcW w:w="685" w:type="dxa"/>
            <w:tcBorders>
              <w:top w:val="single" w:sz="4" w:space="0" w:color="auto"/>
            </w:tcBorders>
            <w:shd w:val="clear" w:color="auto" w:fill="auto"/>
            <w:noWrap/>
            <w:hideMark/>
          </w:tcPr>
          <w:p w14:paraId="6C07374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w:t>
            </w:r>
          </w:p>
        </w:tc>
        <w:tc>
          <w:tcPr>
            <w:tcW w:w="861" w:type="dxa"/>
            <w:tcBorders>
              <w:top w:val="single" w:sz="4" w:space="0" w:color="auto"/>
            </w:tcBorders>
            <w:shd w:val="clear" w:color="auto" w:fill="auto"/>
            <w:noWrap/>
            <w:hideMark/>
          </w:tcPr>
          <w:p w14:paraId="6BE1D545"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3.8</w:t>
            </w:r>
          </w:p>
        </w:tc>
        <w:tc>
          <w:tcPr>
            <w:tcW w:w="822" w:type="dxa"/>
            <w:tcBorders>
              <w:top w:val="single" w:sz="4" w:space="0" w:color="auto"/>
            </w:tcBorders>
            <w:shd w:val="clear" w:color="auto" w:fill="auto"/>
            <w:noWrap/>
            <w:hideMark/>
          </w:tcPr>
          <w:p w14:paraId="51BFB6C5"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4.8</w:t>
            </w:r>
          </w:p>
        </w:tc>
        <w:tc>
          <w:tcPr>
            <w:tcW w:w="664" w:type="dxa"/>
            <w:tcBorders>
              <w:top w:val="single" w:sz="4" w:space="0" w:color="auto"/>
            </w:tcBorders>
            <w:shd w:val="clear" w:color="auto" w:fill="auto"/>
            <w:noWrap/>
            <w:hideMark/>
          </w:tcPr>
          <w:p w14:paraId="42D3836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tcBorders>
              <w:top w:val="single" w:sz="4" w:space="0" w:color="auto"/>
            </w:tcBorders>
            <w:shd w:val="clear" w:color="auto" w:fill="auto"/>
            <w:noWrap/>
            <w:hideMark/>
          </w:tcPr>
          <w:p w14:paraId="4764C61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tcBorders>
              <w:top w:val="single" w:sz="4" w:space="0" w:color="auto"/>
            </w:tcBorders>
            <w:shd w:val="clear" w:color="auto" w:fill="auto"/>
            <w:noWrap/>
            <w:hideMark/>
          </w:tcPr>
          <w:p w14:paraId="0010E2C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175DF1" w:rsidRPr="00583237" w14:paraId="08FD90BB" w14:textId="77777777" w:rsidTr="00C845C8">
        <w:trPr>
          <w:trHeight w:val="300"/>
        </w:trPr>
        <w:tc>
          <w:tcPr>
            <w:cnfStyle w:val="001000000000" w:firstRow="0" w:lastRow="0" w:firstColumn="1" w:lastColumn="0" w:oddVBand="0" w:evenVBand="0" w:oddHBand="0" w:evenHBand="0" w:firstRowFirstColumn="0" w:firstRowLastColumn="0" w:lastRowFirstColumn="0" w:lastRowLastColumn="0"/>
            <w:tcW w:w="852" w:type="dxa"/>
            <w:noWrap/>
            <w:hideMark/>
          </w:tcPr>
          <w:p w14:paraId="79B5D61F"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noWrap/>
            <w:hideMark/>
          </w:tcPr>
          <w:p w14:paraId="4FE4647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Normal weight</w:t>
            </w:r>
          </w:p>
        </w:tc>
        <w:tc>
          <w:tcPr>
            <w:tcW w:w="685" w:type="dxa"/>
            <w:noWrap/>
            <w:hideMark/>
          </w:tcPr>
          <w:p w14:paraId="07EDFC3A"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5.5</w:t>
            </w:r>
          </w:p>
        </w:tc>
        <w:tc>
          <w:tcPr>
            <w:tcW w:w="861" w:type="dxa"/>
            <w:noWrap/>
            <w:hideMark/>
          </w:tcPr>
          <w:p w14:paraId="4FF1E0E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5.0</w:t>
            </w:r>
          </w:p>
        </w:tc>
        <w:tc>
          <w:tcPr>
            <w:tcW w:w="685" w:type="dxa"/>
            <w:noWrap/>
            <w:hideMark/>
          </w:tcPr>
          <w:p w14:paraId="0D4D379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10.5</w:t>
            </w:r>
          </w:p>
        </w:tc>
        <w:tc>
          <w:tcPr>
            <w:tcW w:w="685" w:type="dxa"/>
            <w:noWrap/>
            <w:hideMark/>
          </w:tcPr>
          <w:p w14:paraId="665953A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17.3</w:t>
            </w:r>
          </w:p>
        </w:tc>
        <w:tc>
          <w:tcPr>
            <w:tcW w:w="861" w:type="dxa"/>
            <w:noWrap/>
            <w:hideMark/>
          </w:tcPr>
          <w:p w14:paraId="0BEAD3F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16.0</w:t>
            </w:r>
          </w:p>
        </w:tc>
        <w:tc>
          <w:tcPr>
            <w:tcW w:w="822" w:type="dxa"/>
            <w:noWrap/>
            <w:hideMark/>
          </w:tcPr>
          <w:p w14:paraId="4AD230E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33.3</w:t>
            </w:r>
          </w:p>
        </w:tc>
        <w:tc>
          <w:tcPr>
            <w:tcW w:w="664" w:type="dxa"/>
            <w:noWrap/>
            <w:hideMark/>
          </w:tcPr>
          <w:p w14:paraId="7CA9D72A"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noWrap/>
            <w:hideMark/>
          </w:tcPr>
          <w:p w14:paraId="1AB065A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noWrap/>
            <w:hideMark/>
          </w:tcPr>
          <w:p w14:paraId="7C37EFF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C845C8" w:rsidRPr="00583237" w14:paraId="53D61F34" w14:textId="77777777" w:rsidTr="00C84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2A5F9D4"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shd w:val="clear" w:color="auto" w:fill="auto"/>
            <w:noWrap/>
            <w:hideMark/>
          </w:tcPr>
          <w:p w14:paraId="346DEDB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Overweight</w:t>
            </w:r>
          </w:p>
        </w:tc>
        <w:tc>
          <w:tcPr>
            <w:tcW w:w="685" w:type="dxa"/>
            <w:shd w:val="clear" w:color="auto" w:fill="auto"/>
            <w:noWrap/>
            <w:hideMark/>
          </w:tcPr>
          <w:p w14:paraId="78456C0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861" w:type="dxa"/>
            <w:shd w:val="clear" w:color="auto" w:fill="auto"/>
            <w:noWrap/>
            <w:hideMark/>
          </w:tcPr>
          <w:p w14:paraId="1A4F5F7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2.1</w:t>
            </w:r>
          </w:p>
        </w:tc>
        <w:tc>
          <w:tcPr>
            <w:tcW w:w="685" w:type="dxa"/>
            <w:shd w:val="clear" w:color="auto" w:fill="auto"/>
            <w:noWrap/>
            <w:hideMark/>
          </w:tcPr>
          <w:p w14:paraId="720EB80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85" w:type="dxa"/>
            <w:shd w:val="clear" w:color="auto" w:fill="auto"/>
            <w:noWrap/>
            <w:hideMark/>
          </w:tcPr>
          <w:p w14:paraId="39B746F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8.7</w:t>
            </w:r>
          </w:p>
        </w:tc>
        <w:tc>
          <w:tcPr>
            <w:tcW w:w="861" w:type="dxa"/>
            <w:shd w:val="clear" w:color="auto" w:fill="auto"/>
            <w:noWrap/>
            <w:hideMark/>
          </w:tcPr>
          <w:p w14:paraId="472ABBA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10.9</w:t>
            </w:r>
          </w:p>
        </w:tc>
        <w:tc>
          <w:tcPr>
            <w:tcW w:w="822" w:type="dxa"/>
            <w:shd w:val="clear" w:color="auto" w:fill="auto"/>
            <w:noWrap/>
            <w:hideMark/>
          </w:tcPr>
          <w:p w14:paraId="4D6E303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19.6</w:t>
            </w:r>
          </w:p>
        </w:tc>
        <w:tc>
          <w:tcPr>
            <w:tcW w:w="664" w:type="dxa"/>
            <w:shd w:val="clear" w:color="auto" w:fill="auto"/>
            <w:noWrap/>
            <w:hideMark/>
          </w:tcPr>
          <w:p w14:paraId="173D78F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shd w:val="clear" w:color="auto" w:fill="auto"/>
            <w:noWrap/>
            <w:hideMark/>
          </w:tcPr>
          <w:p w14:paraId="2C5574C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shd w:val="clear" w:color="auto" w:fill="auto"/>
            <w:noWrap/>
            <w:hideMark/>
          </w:tcPr>
          <w:p w14:paraId="656E4EE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175DF1" w:rsidRPr="00583237" w14:paraId="20AD7DE5" w14:textId="77777777" w:rsidTr="00FA5FF7">
        <w:trPr>
          <w:trHeight w:val="300"/>
        </w:trPr>
        <w:tc>
          <w:tcPr>
            <w:cnfStyle w:val="001000000000" w:firstRow="0" w:lastRow="0" w:firstColumn="1" w:lastColumn="0" w:oddVBand="0" w:evenVBand="0" w:oddHBand="0" w:evenHBand="0" w:firstRowFirstColumn="0" w:firstRowLastColumn="0" w:lastRowFirstColumn="0" w:lastRowLastColumn="0"/>
            <w:tcW w:w="852" w:type="dxa"/>
            <w:noWrap/>
            <w:hideMark/>
          </w:tcPr>
          <w:p w14:paraId="5877F092"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tcBorders>
              <w:bottom w:val="nil"/>
            </w:tcBorders>
            <w:noWrap/>
            <w:hideMark/>
          </w:tcPr>
          <w:p w14:paraId="0C54F35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Obese</w:t>
            </w:r>
          </w:p>
        </w:tc>
        <w:tc>
          <w:tcPr>
            <w:tcW w:w="685" w:type="dxa"/>
            <w:tcBorders>
              <w:bottom w:val="nil"/>
            </w:tcBorders>
            <w:noWrap/>
            <w:hideMark/>
          </w:tcPr>
          <w:p w14:paraId="32085CC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861" w:type="dxa"/>
            <w:tcBorders>
              <w:bottom w:val="nil"/>
            </w:tcBorders>
            <w:noWrap/>
            <w:hideMark/>
          </w:tcPr>
          <w:p w14:paraId="05DCD22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85" w:type="dxa"/>
            <w:tcBorders>
              <w:bottom w:val="nil"/>
            </w:tcBorders>
            <w:noWrap/>
            <w:hideMark/>
          </w:tcPr>
          <w:p w14:paraId="037800E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tcBorders>
              <w:bottom w:val="nil"/>
            </w:tcBorders>
            <w:noWrap/>
            <w:hideMark/>
          </w:tcPr>
          <w:p w14:paraId="2DC7A81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861" w:type="dxa"/>
            <w:tcBorders>
              <w:bottom w:val="nil"/>
            </w:tcBorders>
            <w:noWrap/>
            <w:hideMark/>
          </w:tcPr>
          <w:p w14:paraId="5F882BB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6.1</w:t>
            </w:r>
          </w:p>
        </w:tc>
        <w:tc>
          <w:tcPr>
            <w:tcW w:w="822" w:type="dxa"/>
            <w:tcBorders>
              <w:bottom w:val="nil"/>
            </w:tcBorders>
            <w:noWrap/>
            <w:hideMark/>
          </w:tcPr>
          <w:p w14:paraId="060299AD"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7.4</w:t>
            </w:r>
          </w:p>
        </w:tc>
        <w:tc>
          <w:tcPr>
            <w:tcW w:w="664" w:type="dxa"/>
            <w:tcBorders>
              <w:bottom w:val="nil"/>
            </w:tcBorders>
            <w:noWrap/>
            <w:hideMark/>
          </w:tcPr>
          <w:p w14:paraId="2CCE352D"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tcBorders>
              <w:bottom w:val="nil"/>
            </w:tcBorders>
            <w:noWrap/>
            <w:hideMark/>
          </w:tcPr>
          <w:p w14:paraId="7DDAC314"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76" w:type="dxa"/>
            <w:tcBorders>
              <w:bottom w:val="nil"/>
            </w:tcBorders>
            <w:noWrap/>
            <w:hideMark/>
          </w:tcPr>
          <w:p w14:paraId="4C7ADE4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r>
      <w:tr w:rsidR="00C845C8" w:rsidRPr="00583237" w14:paraId="1FBBA10B" w14:textId="77777777" w:rsidTr="00FA5F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AC36D98"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tcBorders>
              <w:top w:val="nil"/>
              <w:bottom w:val="single" w:sz="4" w:space="0" w:color="auto"/>
            </w:tcBorders>
            <w:shd w:val="clear" w:color="auto" w:fill="auto"/>
            <w:noWrap/>
            <w:hideMark/>
          </w:tcPr>
          <w:p w14:paraId="76502AE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Total</w:t>
            </w:r>
          </w:p>
        </w:tc>
        <w:tc>
          <w:tcPr>
            <w:tcW w:w="685" w:type="dxa"/>
            <w:tcBorders>
              <w:top w:val="nil"/>
              <w:bottom w:val="single" w:sz="4" w:space="0" w:color="auto"/>
            </w:tcBorders>
            <w:shd w:val="clear" w:color="auto" w:fill="auto"/>
            <w:noWrap/>
            <w:hideMark/>
          </w:tcPr>
          <w:p w14:paraId="7C8B7D3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7.6</w:t>
            </w:r>
          </w:p>
        </w:tc>
        <w:tc>
          <w:tcPr>
            <w:tcW w:w="861" w:type="dxa"/>
            <w:tcBorders>
              <w:top w:val="nil"/>
              <w:bottom w:val="single" w:sz="4" w:space="0" w:color="auto"/>
            </w:tcBorders>
            <w:shd w:val="clear" w:color="auto" w:fill="auto"/>
            <w:noWrap/>
            <w:hideMark/>
          </w:tcPr>
          <w:p w14:paraId="0E50A7B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8.0</w:t>
            </w:r>
          </w:p>
        </w:tc>
        <w:tc>
          <w:tcPr>
            <w:tcW w:w="685" w:type="dxa"/>
            <w:tcBorders>
              <w:top w:val="nil"/>
              <w:bottom w:val="single" w:sz="4" w:space="0" w:color="auto"/>
            </w:tcBorders>
            <w:shd w:val="clear" w:color="auto" w:fill="auto"/>
            <w:noWrap/>
            <w:hideMark/>
          </w:tcPr>
          <w:p w14:paraId="473FCD0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15.5</w:t>
            </w:r>
          </w:p>
        </w:tc>
        <w:tc>
          <w:tcPr>
            <w:tcW w:w="685" w:type="dxa"/>
            <w:tcBorders>
              <w:top w:val="nil"/>
              <w:bottom w:val="single" w:sz="4" w:space="0" w:color="auto"/>
            </w:tcBorders>
            <w:shd w:val="clear" w:color="auto" w:fill="auto"/>
            <w:noWrap/>
            <w:hideMark/>
          </w:tcPr>
          <w:p w14:paraId="75A8AD4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28.2</w:t>
            </w:r>
          </w:p>
        </w:tc>
        <w:tc>
          <w:tcPr>
            <w:tcW w:w="861" w:type="dxa"/>
            <w:tcBorders>
              <w:top w:val="nil"/>
              <w:bottom w:val="single" w:sz="4" w:space="0" w:color="auto"/>
            </w:tcBorders>
            <w:shd w:val="clear" w:color="auto" w:fill="auto"/>
            <w:noWrap/>
            <w:hideMark/>
          </w:tcPr>
          <w:p w14:paraId="630C57A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36.9</w:t>
            </w:r>
          </w:p>
        </w:tc>
        <w:tc>
          <w:tcPr>
            <w:tcW w:w="822" w:type="dxa"/>
            <w:tcBorders>
              <w:top w:val="nil"/>
              <w:bottom w:val="single" w:sz="4" w:space="0" w:color="auto"/>
            </w:tcBorders>
            <w:shd w:val="clear" w:color="auto" w:fill="auto"/>
            <w:noWrap/>
            <w:hideMark/>
          </w:tcPr>
          <w:p w14:paraId="6B8C94C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65.1</w:t>
            </w:r>
          </w:p>
        </w:tc>
        <w:tc>
          <w:tcPr>
            <w:tcW w:w="664" w:type="dxa"/>
            <w:tcBorders>
              <w:top w:val="nil"/>
              <w:bottom w:val="single" w:sz="4" w:space="0" w:color="auto"/>
            </w:tcBorders>
            <w:shd w:val="clear" w:color="auto" w:fill="auto"/>
            <w:noWrap/>
            <w:hideMark/>
          </w:tcPr>
          <w:p w14:paraId="0B34D66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tcBorders>
              <w:top w:val="nil"/>
              <w:bottom w:val="single" w:sz="4" w:space="0" w:color="auto"/>
            </w:tcBorders>
            <w:shd w:val="clear" w:color="auto" w:fill="auto"/>
            <w:noWrap/>
            <w:hideMark/>
          </w:tcPr>
          <w:p w14:paraId="0512497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76" w:type="dxa"/>
            <w:tcBorders>
              <w:top w:val="nil"/>
              <w:bottom w:val="single" w:sz="4" w:space="0" w:color="auto"/>
            </w:tcBorders>
            <w:shd w:val="clear" w:color="auto" w:fill="auto"/>
            <w:noWrap/>
            <w:hideMark/>
          </w:tcPr>
          <w:p w14:paraId="299A4E53"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r>
      <w:tr w:rsidR="00175DF1" w:rsidRPr="00583237" w14:paraId="2E540A18" w14:textId="77777777" w:rsidTr="00FA5FF7">
        <w:trPr>
          <w:trHeight w:val="300"/>
        </w:trPr>
        <w:tc>
          <w:tcPr>
            <w:cnfStyle w:val="001000000000" w:firstRow="0" w:lastRow="0" w:firstColumn="1" w:lastColumn="0" w:oddVBand="0" w:evenVBand="0" w:oddHBand="0" w:evenHBand="0" w:firstRowFirstColumn="0" w:firstRowLastColumn="0" w:lastRowFirstColumn="0" w:lastRowLastColumn="0"/>
            <w:tcW w:w="852" w:type="dxa"/>
            <w:noWrap/>
            <w:hideMark/>
          </w:tcPr>
          <w:p w14:paraId="7C1DE322"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25-30</w:t>
            </w:r>
          </w:p>
        </w:tc>
        <w:tc>
          <w:tcPr>
            <w:tcW w:w="1853" w:type="dxa"/>
            <w:tcBorders>
              <w:top w:val="single" w:sz="4" w:space="0" w:color="auto"/>
            </w:tcBorders>
            <w:noWrap/>
            <w:hideMark/>
          </w:tcPr>
          <w:p w14:paraId="219F7BC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Underweight</w:t>
            </w:r>
          </w:p>
        </w:tc>
        <w:tc>
          <w:tcPr>
            <w:tcW w:w="685" w:type="dxa"/>
            <w:tcBorders>
              <w:top w:val="single" w:sz="4" w:space="0" w:color="auto"/>
            </w:tcBorders>
            <w:noWrap/>
            <w:hideMark/>
          </w:tcPr>
          <w:p w14:paraId="7E5C2E7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tcBorders>
              <w:top w:val="single" w:sz="4" w:space="0" w:color="auto"/>
            </w:tcBorders>
            <w:noWrap/>
            <w:hideMark/>
          </w:tcPr>
          <w:p w14:paraId="316FC61A"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85" w:type="dxa"/>
            <w:tcBorders>
              <w:top w:val="single" w:sz="4" w:space="0" w:color="auto"/>
            </w:tcBorders>
            <w:noWrap/>
            <w:hideMark/>
          </w:tcPr>
          <w:p w14:paraId="280FADE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85" w:type="dxa"/>
            <w:tcBorders>
              <w:top w:val="single" w:sz="4" w:space="0" w:color="auto"/>
            </w:tcBorders>
            <w:noWrap/>
            <w:hideMark/>
          </w:tcPr>
          <w:p w14:paraId="7C8E9A2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61" w:type="dxa"/>
            <w:tcBorders>
              <w:top w:val="single" w:sz="4" w:space="0" w:color="auto"/>
            </w:tcBorders>
            <w:noWrap/>
            <w:hideMark/>
          </w:tcPr>
          <w:p w14:paraId="05BCCF52"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2" w:type="dxa"/>
            <w:tcBorders>
              <w:top w:val="single" w:sz="4" w:space="0" w:color="auto"/>
            </w:tcBorders>
            <w:noWrap/>
            <w:hideMark/>
          </w:tcPr>
          <w:p w14:paraId="376A27B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0.6</w:t>
            </w:r>
          </w:p>
        </w:tc>
        <w:tc>
          <w:tcPr>
            <w:tcW w:w="664" w:type="dxa"/>
            <w:tcBorders>
              <w:top w:val="single" w:sz="4" w:space="0" w:color="auto"/>
            </w:tcBorders>
            <w:noWrap/>
            <w:hideMark/>
          </w:tcPr>
          <w:p w14:paraId="7E82C11D"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tcBorders>
              <w:top w:val="single" w:sz="4" w:space="0" w:color="auto"/>
            </w:tcBorders>
            <w:noWrap/>
            <w:hideMark/>
          </w:tcPr>
          <w:p w14:paraId="79377EBA"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tcBorders>
              <w:top w:val="single" w:sz="4" w:space="0" w:color="auto"/>
            </w:tcBorders>
            <w:noWrap/>
            <w:hideMark/>
          </w:tcPr>
          <w:p w14:paraId="610595E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C845C8" w:rsidRPr="00583237" w14:paraId="7E476D5E" w14:textId="77777777" w:rsidTr="00C84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9141262"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shd w:val="clear" w:color="auto" w:fill="auto"/>
            <w:noWrap/>
            <w:hideMark/>
          </w:tcPr>
          <w:p w14:paraId="4212275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Normal weight</w:t>
            </w:r>
          </w:p>
        </w:tc>
        <w:tc>
          <w:tcPr>
            <w:tcW w:w="685" w:type="dxa"/>
            <w:shd w:val="clear" w:color="auto" w:fill="auto"/>
            <w:noWrap/>
            <w:hideMark/>
          </w:tcPr>
          <w:p w14:paraId="4D7D455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8.8</w:t>
            </w:r>
          </w:p>
        </w:tc>
        <w:tc>
          <w:tcPr>
            <w:tcW w:w="861" w:type="dxa"/>
            <w:shd w:val="clear" w:color="auto" w:fill="auto"/>
            <w:noWrap/>
            <w:hideMark/>
          </w:tcPr>
          <w:p w14:paraId="59D94483"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3.8</w:t>
            </w:r>
          </w:p>
        </w:tc>
        <w:tc>
          <w:tcPr>
            <w:tcW w:w="685" w:type="dxa"/>
            <w:shd w:val="clear" w:color="auto" w:fill="auto"/>
            <w:noWrap/>
            <w:hideMark/>
          </w:tcPr>
          <w:p w14:paraId="7F263AB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12.6</w:t>
            </w:r>
          </w:p>
        </w:tc>
        <w:tc>
          <w:tcPr>
            <w:tcW w:w="685" w:type="dxa"/>
            <w:shd w:val="clear" w:color="auto" w:fill="auto"/>
            <w:noWrap/>
            <w:hideMark/>
          </w:tcPr>
          <w:p w14:paraId="78A86D1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861" w:type="dxa"/>
            <w:shd w:val="clear" w:color="auto" w:fill="auto"/>
            <w:noWrap/>
            <w:hideMark/>
          </w:tcPr>
          <w:p w14:paraId="706E75C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2.6</w:t>
            </w:r>
          </w:p>
        </w:tc>
        <w:tc>
          <w:tcPr>
            <w:tcW w:w="822" w:type="dxa"/>
            <w:shd w:val="clear" w:color="auto" w:fill="auto"/>
            <w:noWrap/>
            <w:hideMark/>
          </w:tcPr>
          <w:p w14:paraId="58AA475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5.4</w:t>
            </w:r>
          </w:p>
        </w:tc>
        <w:tc>
          <w:tcPr>
            <w:tcW w:w="664" w:type="dxa"/>
            <w:shd w:val="clear" w:color="auto" w:fill="auto"/>
            <w:noWrap/>
            <w:hideMark/>
          </w:tcPr>
          <w:p w14:paraId="177E9C0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861" w:type="dxa"/>
            <w:shd w:val="clear" w:color="auto" w:fill="auto"/>
            <w:noWrap/>
            <w:hideMark/>
          </w:tcPr>
          <w:p w14:paraId="6F35B6A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shd w:val="clear" w:color="auto" w:fill="auto"/>
            <w:noWrap/>
            <w:hideMark/>
          </w:tcPr>
          <w:p w14:paraId="7AADF2C5"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r>
      <w:tr w:rsidR="00175DF1" w:rsidRPr="00583237" w14:paraId="43D5EDBC" w14:textId="77777777" w:rsidTr="00C845C8">
        <w:trPr>
          <w:trHeight w:val="300"/>
        </w:trPr>
        <w:tc>
          <w:tcPr>
            <w:cnfStyle w:val="001000000000" w:firstRow="0" w:lastRow="0" w:firstColumn="1" w:lastColumn="0" w:oddVBand="0" w:evenVBand="0" w:oddHBand="0" w:evenHBand="0" w:firstRowFirstColumn="0" w:firstRowLastColumn="0" w:lastRowFirstColumn="0" w:lastRowLastColumn="0"/>
            <w:tcW w:w="852" w:type="dxa"/>
            <w:noWrap/>
            <w:hideMark/>
          </w:tcPr>
          <w:p w14:paraId="153BAE74"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noWrap/>
            <w:hideMark/>
          </w:tcPr>
          <w:p w14:paraId="2DA062F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Overweight</w:t>
            </w:r>
          </w:p>
        </w:tc>
        <w:tc>
          <w:tcPr>
            <w:tcW w:w="685" w:type="dxa"/>
            <w:noWrap/>
            <w:hideMark/>
          </w:tcPr>
          <w:p w14:paraId="7D0295B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1.7</w:t>
            </w:r>
          </w:p>
        </w:tc>
        <w:tc>
          <w:tcPr>
            <w:tcW w:w="861" w:type="dxa"/>
            <w:noWrap/>
            <w:hideMark/>
          </w:tcPr>
          <w:p w14:paraId="67369FD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685" w:type="dxa"/>
            <w:noWrap/>
            <w:hideMark/>
          </w:tcPr>
          <w:p w14:paraId="359DE50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2.5</w:t>
            </w:r>
          </w:p>
        </w:tc>
        <w:tc>
          <w:tcPr>
            <w:tcW w:w="685" w:type="dxa"/>
            <w:noWrap/>
            <w:hideMark/>
          </w:tcPr>
          <w:p w14:paraId="0567F7B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1.9</w:t>
            </w:r>
          </w:p>
        </w:tc>
        <w:tc>
          <w:tcPr>
            <w:tcW w:w="861" w:type="dxa"/>
            <w:noWrap/>
            <w:hideMark/>
          </w:tcPr>
          <w:p w14:paraId="0095F2F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2.6</w:t>
            </w:r>
          </w:p>
        </w:tc>
        <w:tc>
          <w:tcPr>
            <w:tcW w:w="822" w:type="dxa"/>
            <w:noWrap/>
            <w:hideMark/>
          </w:tcPr>
          <w:p w14:paraId="13974B12"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4.5</w:t>
            </w:r>
          </w:p>
        </w:tc>
        <w:tc>
          <w:tcPr>
            <w:tcW w:w="664" w:type="dxa"/>
            <w:noWrap/>
            <w:hideMark/>
          </w:tcPr>
          <w:p w14:paraId="2E27BAB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noWrap/>
            <w:hideMark/>
          </w:tcPr>
          <w:p w14:paraId="4534021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noWrap/>
            <w:hideMark/>
          </w:tcPr>
          <w:p w14:paraId="77424174"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C845C8" w:rsidRPr="00583237" w14:paraId="58F5E810" w14:textId="77777777" w:rsidTr="00FA5F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10E2309"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tcBorders>
              <w:bottom w:val="nil"/>
            </w:tcBorders>
            <w:shd w:val="clear" w:color="auto" w:fill="auto"/>
            <w:noWrap/>
            <w:hideMark/>
          </w:tcPr>
          <w:p w14:paraId="1662CCA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Obese</w:t>
            </w:r>
          </w:p>
        </w:tc>
        <w:tc>
          <w:tcPr>
            <w:tcW w:w="685" w:type="dxa"/>
            <w:tcBorders>
              <w:bottom w:val="nil"/>
            </w:tcBorders>
            <w:shd w:val="clear" w:color="auto" w:fill="auto"/>
            <w:noWrap/>
            <w:hideMark/>
          </w:tcPr>
          <w:p w14:paraId="675258A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tcBorders>
              <w:bottom w:val="nil"/>
            </w:tcBorders>
            <w:shd w:val="clear" w:color="auto" w:fill="auto"/>
            <w:noWrap/>
            <w:hideMark/>
          </w:tcPr>
          <w:p w14:paraId="5D208554"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tcBorders>
              <w:bottom w:val="nil"/>
            </w:tcBorders>
            <w:shd w:val="clear" w:color="auto" w:fill="auto"/>
            <w:noWrap/>
            <w:hideMark/>
          </w:tcPr>
          <w:p w14:paraId="43A7CA9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tcBorders>
              <w:bottom w:val="nil"/>
            </w:tcBorders>
            <w:shd w:val="clear" w:color="auto" w:fill="auto"/>
            <w:noWrap/>
            <w:hideMark/>
          </w:tcPr>
          <w:p w14:paraId="171321D4"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61" w:type="dxa"/>
            <w:tcBorders>
              <w:bottom w:val="nil"/>
            </w:tcBorders>
            <w:shd w:val="clear" w:color="auto" w:fill="auto"/>
            <w:noWrap/>
            <w:hideMark/>
          </w:tcPr>
          <w:p w14:paraId="54056CE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2" w:type="dxa"/>
            <w:tcBorders>
              <w:bottom w:val="nil"/>
            </w:tcBorders>
            <w:shd w:val="clear" w:color="auto" w:fill="auto"/>
            <w:noWrap/>
            <w:hideMark/>
          </w:tcPr>
          <w:p w14:paraId="6F2EA35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0.6</w:t>
            </w:r>
          </w:p>
        </w:tc>
        <w:tc>
          <w:tcPr>
            <w:tcW w:w="664" w:type="dxa"/>
            <w:tcBorders>
              <w:bottom w:val="nil"/>
            </w:tcBorders>
            <w:shd w:val="clear" w:color="auto" w:fill="auto"/>
            <w:noWrap/>
            <w:hideMark/>
          </w:tcPr>
          <w:p w14:paraId="6B3C416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tcBorders>
              <w:bottom w:val="nil"/>
            </w:tcBorders>
            <w:shd w:val="clear" w:color="auto" w:fill="auto"/>
            <w:noWrap/>
            <w:hideMark/>
          </w:tcPr>
          <w:p w14:paraId="01A4EFE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76" w:type="dxa"/>
            <w:tcBorders>
              <w:bottom w:val="nil"/>
            </w:tcBorders>
            <w:shd w:val="clear" w:color="auto" w:fill="auto"/>
            <w:noWrap/>
            <w:hideMark/>
          </w:tcPr>
          <w:p w14:paraId="2F93ECF3"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r>
      <w:tr w:rsidR="00175DF1" w:rsidRPr="00583237" w14:paraId="5345563D" w14:textId="77777777" w:rsidTr="00FA5FF7">
        <w:trPr>
          <w:trHeight w:val="300"/>
        </w:trPr>
        <w:tc>
          <w:tcPr>
            <w:cnfStyle w:val="001000000000" w:firstRow="0" w:lastRow="0" w:firstColumn="1" w:lastColumn="0" w:oddVBand="0" w:evenVBand="0" w:oddHBand="0" w:evenHBand="0" w:firstRowFirstColumn="0" w:firstRowLastColumn="0" w:lastRowFirstColumn="0" w:lastRowLastColumn="0"/>
            <w:tcW w:w="852" w:type="dxa"/>
            <w:noWrap/>
            <w:hideMark/>
          </w:tcPr>
          <w:p w14:paraId="6CD4A595"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tcBorders>
              <w:top w:val="nil"/>
              <w:bottom w:val="single" w:sz="4" w:space="0" w:color="auto"/>
            </w:tcBorders>
            <w:noWrap/>
            <w:hideMark/>
          </w:tcPr>
          <w:p w14:paraId="34E13FB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Total</w:t>
            </w:r>
          </w:p>
        </w:tc>
        <w:tc>
          <w:tcPr>
            <w:tcW w:w="685" w:type="dxa"/>
            <w:tcBorders>
              <w:top w:val="nil"/>
              <w:bottom w:val="single" w:sz="4" w:space="0" w:color="auto"/>
            </w:tcBorders>
            <w:noWrap/>
            <w:hideMark/>
          </w:tcPr>
          <w:p w14:paraId="4056094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10.5</w:t>
            </w:r>
          </w:p>
        </w:tc>
        <w:tc>
          <w:tcPr>
            <w:tcW w:w="861" w:type="dxa"/>
            <w:tcBorders>
              <w:top w:val="nil"/>
              <w:bottom w:val="single" w:sz="4" w:space="0" w:color="auto"/>
            </w:tcBorders>
            <w:noWrap/>
            <w:hideMark/>
          </w:tcPr>
          <w:p w14:paraId="3FADB7D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5.0</w:t>
            </w:r>
          </w:p>
        </w:tc>
        <w:tc>
          <w:tcPr>
            <w:tcW w:w="685" w:type="dxa"/>
            <w:tcBorders>
              <w:top w:val="nil"/>
              <w:bottom w:val="single" w:sz="4" w:space="0" w:color="auto"/>
            </w:tcBorders>
            <w:noWrap/>
            <w:hideMark/>
          </w:tcPr>
          <w:p w14:paraId="06717F0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15.5</w:t>
            </w:r>
          </w:p>
        </w:tc>
        <w:tc>
          <w:tcPr>
            <w:tcW w:w="685" w:type="dxa"/>
            <w:tcBorders>
              <w:top w:val="nil"/>
              <w:bottom w:val="single" w:sz="4" w:space="0" w:color="auto"/>
            </w:tcBorders>
            <w:noWrap/>
            <w:hideMark/>
          </w:tcPr>
          <w:p w14:paraId="4B24036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5.4</w:t>
            </w:r>
          </w:p>
        </w:tc>
        <w:tc>
          <w:tcPr>
            <w:tcW w:w="861" w:type="dxa"/>
            <w:tcBorders>
              <w:top w:val="nil"/>
              <w:bottom w:val="single" w:sz="4" w:space="0" w:color="auto"/>
            </w:tcBorders>
            <w:noWrap/>
            <w:hideMark/>
          </w:tcPr>
          <w:p w14:paraId="3FA3F6B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5.8</w:t>
            </w:r>
          </w:p>
        </w:tc>
        <w:tc>
          <w:tcPr>
            <w:tcW w:w="822" w:type="dxa"/>
            <w:tcBorders>
              <w:top w:val="nil"/>
              <w:bottom w:val="single" w:sz="4" w:space="0" w:color="auto"/>
            </w:tcBorders>
            <w:noWrap/>
            <w:hideMark/>
          </w:tcPr>
          <w:p w14:paraId="103C91F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11.2</w:t>
            </w:r>
          </w:p>
        </w:tc>
        <w:tc>
          <w:tcPr>
            <w:tcW w:w="664" w:type="dxa"/>
            <w:tcBorders>
              <w:top w:val="nil"/>
              <w:bottom w:val="single" w:sz="4" w:space="0" w:color="auto"/>
            </w:tcBorders>
            <w:noWrap/>
            <w:hideMark/>
          </w:tcPr>
          <w:p w14:paraId="7EB86F24"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861" w:type="dxa"/>
            <w:tcBorders>
              <w:top w:val="nil"/>
              <w:bottom w:val="single" w:sz="4" w:space="0" w:color="auto"/>
            </w:tcBorders>
            <w:noWrap/>
            <w:hideMark/>
          </w:tcPr>
          <w:p w14:paraId="048CC40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76" w:type="dxa"/>
            <w:tcBorders>
              <w:top w:val="nil"/>
              <w:bottom w:val="single" w:sz="4" w:space="0" w:color="auto"/>
            </w:tcBorders>
            <w:noWrap/>
            <w:hideMark/>
          </w:tcPr>
          <w:p w14:paraId="2749BF8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5.9</w:t>
            </w:r>
          </w:p>
        </w:tc>
      </w:tr>
      <w:tr w:rsidR="00C845C8" w:rsidRPr="00583237" w14:paraId="3C276096" w14:textId="77777777" w:rsidTr="00FA5F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60A44D8"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30-35</w:t>
            </w:r>
          </w:p>
        </w:tc>
        <w:tc>
          <w:tcPr>
            <w:tcW w:w="1853" w:type="dxa"/>
            <w:tcBorders>
              <w:top w:val="single" w:sz="4" w:space="0" w:color="auto"/>
            </w:tcBorders>
            <w:shd w:val="clear" w:color="auto" w:fill="auto"/>
            <w:noWrap/>
            <w:hideMark/>
          </w:tcPr>
          <w:p w14:paraId="72FFCE6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Underweight</w:t>
            </w:r>
          </w:p>
        </w:tc>
        <w:tc>
          <w:tcPr>
            <w:tcW w:w="685" w:type="dxa"/>
            <w:tcBorders>
              <w:top w:val="single" w:sz="4" w:space="0" w:color="auto"/>
            </w:tcBorders>
            <w:shd w:val="clear" w:color="auto" w:fill="auto"/>
            <w:noWrap/>
            <w:hideMark/>
          </w:tcPr>
          <w:p w14:paraId="5A9E77F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tcBorders>
              <w:top w:val="single" w:sz="4" w:space="0" w:color="auto"/>
            </w:tcBorders>
            <w:shd w:val="clear" w:color="auto" w:fill="auto"/>
            <w:noWrap/>
            <w:hideMark/>
          </w:tcPr>
          <w:p w14:paraId="0C6D5F9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tcBorders>
              <w:top w:val="single" w:sz="4" w:space="0" w:color="auto"/>
            </w:tcBorders>
            <w:shd w:val="clear" w:color="auto" w:fill="auto"/>
            <w:noWrap/>
            <w:hideMark/>
          </w:tcPr>
          <w:p w14:paraId="5AF9701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tcBorders>
              <w:top w:val="single" w:sz="4" w:space="0" w:color="auto"/>
            </w:tcBorders>
            <w:shd w:val="clear" w:color="auto" w:fill="auto"/>
            <w:noWrap/>
            <w:hideMark/>
          </w:tcPr>
          <w:p w14:paraId="2E4EC1D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61" w:type="dxa"/>
            <w:tcBorders>
              <w:top w:val="single" w:sz="4" w:space="0" w:color="auto"/>
            </w:tcBorders>
            <w:shd w:val="clear" w:color="auto" w:fill="auto"/>
            <w:noWrap/>
            <w:hideMark/>
          </w:tcPr>
          <w:p w14:paraId="1E6FC6A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2" w:type="dxa"/>
            <w:tcBorders>
              <w:top w:val="single" w:sz="4" w:space="0" w:color="auto"/>
            </w:tcBorders>
            <w:shd w:val="clear" w:color="auto" w:fill="auto"/>
            <w:noWrap/>
            <w:hideMark/>
          </w:tcPr>
          <w:p w14:paraId="4125A5B4"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0.6</w:t>
            </w:r>
          </w:p>
        </w:tc>
        <w:tc>
          <w:tcPr>
            <w:tcW w:w="664" w:type="dxa"/>
            <w:tcBorders>
              <w:top w:val="single" w:sz="4" w:space="0" w:color="auto"/>
            </w:tcBorders>
            <w:shd w:val="clear" w:color="auto" w:fill="auto"/>
            <w:noWrap/>
            <w:hideMark/>
          </w:tcPr>
          <w:p w14:paraId="5C52AF7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tcBorders>
              <w:top w:val="single" w:sz="4" w:space="0" w:color="auto"/>
            </w:tcBorders>
            <w:shd w:val="clear" w:color="auto" w:fill="auto"/>
            <w:noWrap/>
            <w:hideMark/>
          </w:tcPr>
          <w:p w14:paraId="6B22A0E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76" w:type="dxa"/>
            <w:tcBorders>
              <w:top w:val="single" w:sz="4" w:space="0" w:color="auto"/>
            </w:tcBorders>
            <w:shd w:val="clear" w:color="auto" w:fill="auto"/>
            <w:noWrap/>
            <w:hideMark/>
          </w:tcPr>
          <w:p w14:paraId="2A849A7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r>
      <w:tr w:rsidR="00175DF1" w:rsidRPr="00583237" w14:paraId="4DA2FB78" w14:textId="77777777" w:rsidTr="00C845C8">
        <w:trPr>
          <w:trHeight w:val="300"/>
        </w:trPr>
        <w:tc>
          <w:tcPr>
            <w:cnfStyle w:val="001000000000" w:firstRow="0" w:lastRow="0" w:firstColumn="1" w:lastColumn="0" w:oddVBand="0" w:evenVBand="0" w:oddHBand="0" w:evenHBand="0" w:firstRowFirstColumn="0" w:firstRowLastColumn="0" w:lastRowFirstColumn="0" w:lastRowLastColumn="0"/>
            <w:tcW w:w="852" w:type="dxa"/>
            <w:noWrap/>
            <w:hideMark/>
          </w:tcPr>
          <w:p w14:paraId="4DB136A7"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noWrap/>
            <w:hideMark/>
          </w:tcPr>
          <w:p w14:paraId="228A8E8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Normal weight</w:t>
            </w:r>
          </w:p>
        </w:tc>
        <w:tc>
          <w:tcPr>
            <w:tcW w:w="685" w:type="dxa"/>
            <w:noWrap/>
            <w:hideMark/>
          </w:tcPr>
          <w:p w14:paraId="388B373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4.2</w:t>
            </w:r>
          </w:p>
        </w:tc>
        <w:tc>
          <w:tcPr>
            <w:tcW w:w="861" w:type="dxa"/>
            <w:noWrap/>
            <w:hideMark/>
          </w:tcPr>
          <w:p w14:paraId="4FD25F8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8.4</w:t>
            </w:r>
          </w:p>
        </w:tc>
        <w:tc>
          <w:tcPr>
            <w:tcW w:w="685" w:type="dxa"/>
            <w:noWrap/>
            <w:hideMark/>
          </w:tcPr>
          <w:p w14:paraId="54A84F8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12.6</w:t>
            </w:r>
          </w:p>
        </w:tc>
        <w:tc>
          <w:tcPr>
            <w:tcW w:w="685" w:type="dxa"/>
            <w:noWrap/>
            <w:hideMark/>
          </w:tcPr>
          <w:p w14:paraId="57FFEDC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1.9</w:t>
            </w:r>
          </w:p>
        </w:tc>
        <w:tc>
          <w:tcPr>
            <w:tcW w:w="861" w:type="dxa"/>
            <w:noWrap/>
            <w:hideMark/>
          </w:tcPr>
          <w:p w14:paraId="1052795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0.6</w:t>
            </w:r>
          </w:p>
        </w:tc>
        <w:tc>
          <w:tcPr>
            <w:tcW w:w="822" w:type="dxa"/>
            <w:noWrap/>
            <w:hideMark/>
          </w:tcPr>
          <w:p w14:paraId="4705A3F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2.6</w:t>
            </w:r>
          </w:p>
        </w:tc>
        <w:tc>
          <w:tcPr>
            <w:tcW w:w="664" w:type="dxa"/>
            <w:noWrap/>
            <w:hideMark/>
          </w:tcPr>
          <w:p w14:paraId="3E71399D"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noWrap/>
            <w:hideMark/>
          </w:tcPr>
          <w:p w14:paraId="18BC1CE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76" w:type="dxa"/>
            <w:noWrap/>
            <w:hideMark/>
          </w:tcPr>
          <w:p w14:paraId="03AE37E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r>
      <w:tr w:rsidR="00C845C8" w:rsidRPr="00583237" w14:paraId="6FAD62CE" w14:textId="77777777" w:rsidTr="00C84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0961C0A"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shd w:val="clear" w:color="auto" w:fill="auto"/>
            <w:noWrap/>
            <w:hideMark/>
          </w:tcPr>
          <w:p w14:paraId="19BE5F43"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Overweight</w:t>
            </w:r>
          </w:p>
        </w:tc>
        <w:tc>
          <w:tcPr>
            <w:tcW w:w="685" w:type="dxa"/>
            <w:shd w:val="clear" w:color="auto" w:fill="auto"/>
            <w:noWrap/>
            <w:hideMark/>
          </w:tcPr>
          <w:p w14:paraId="3759469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861" w:type="dxa"/>
            <w:shd w:val="clear" w:color="auto" w:fill="auto"/>
            <w:noWrap/>
            <w:hideMark/>
          </w:tcPr>
          <w:p w14:paraId="76F5C523"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685" w:type="dxa"/>
            <w:shd w:val="clear" w:color="auto" w:fill="auto"/>
            <w:noWrap/>
            <w:hideMark/>
          </w:tcPr>
          <w:p w14:paraId="4D98D3B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2.1</w:t>
            </w:r>
          </w:p>
        </w:tc>
        <w:tc>
          <w:tcPr>
            <w:tcW w:w="685" w:type="dxa"/>
            <w:shd w:val="clear" w:color="auto" w:fill="auto"/>
            <w:noWrap/>
            <w:hideMark/>
          </w:tcPr>
          <w:p w14:paraId="7AFFD59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61" w:type="dxa"/>
            <w:shd w:val="clear" w:color="auto" w:fill="auto"/>
            <w:noWrap/>
            <w:hideMark/>
          </w:tcPr>
          <w:p w14:paraId="43B2238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2" w:type="dxa"/>
            <w:shd w:val="clear" w:color="auto" w:fill="auto"/>
            <w:noWrap/>
            <w:hideMark/>
          </w:tcPr>
          <w:p w14:paraId="240AB17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0.6</w:t>
            </w:r>
          </w:p>
        </w:tc>
        <w:tc>
          <w:tcPr>
            <w:tcW w:w="664" w:type="dxa"/>
            <w:shd w:val="clear" w:color="auto" w:fill="auto"/>
            <w:noWrap/>
            <w:hideMark/>
          </w:tcPr>
          <w:p w14:paraId="4946E285"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shd w:val="clear" w:color="auto" w:fill="auto"/>
            <w:noWrap/>
            <w:hideMark/>
          </w:tcPr>
          <w:p w14:paraId="3F6CDC5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76" w:type="dxa"/>
            <w:shd w:val="clear" w:color="auto" w:fill="auto"/>
            <w:noWrap/>
            <w:hideMark/>
          </w:tcPr>
          <w:p w14:paraId="4E4CB44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r>
      <w:tr w:rsidR="00175DF1" w:rsidRPr="00583237" w14:paraId="5EC94635" w14:textId="77777777" w:rsidTr="00FA5FF7">
        <w:trPr>
          <w:trHeight w:val="300"/>
        </w:trPr>
        <w:tc>
          <w:tcPr>
            <w:cnfStyle w:val="001000000000" w:firstRow="0" w:lastRow="0" w:firstColumn="1" w:lastColumn="0" w:oddVBand="0" w:evenVBand="0" w:oddHBand="0" w:evenHBand="0" w:firstRowFirstColumn="0" w:firstRowLastColumn="0" w:lastRowFirstColumn="0" w:lastRowLastColumn="0"/>
            <w:tcW w:w="852" w:type="dxa"/>
            <w:noWrap/>
            <w:hideMark/>
          </w:tcPr>
          <w:p w14:paraId="69B47690"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tcBorders>
              <w:bottom w:val="nil"/>
            </w:tcBorders>
            <w:noWrap/>
            <w:hideMark/>
          </w:tcPr>
          <w:p w14:paraId="4B356AB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Obese</w:t>
            </w:r>
          </w:p>
        </w:tc>
        <w:tc>
          <w:tcPr>
            <w:tcW w:w="685" w:type="dxa"/>
            <w:tcBorders>
              <w:bottom w:val="nil"/>
            </w:tcBorders>
            <w:noWrap/>
            <w:hideMark/>
          </w:tcPr>
          <w:p w14:paraId="5B4C111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861" w:type="dxa"/>
            <w:tcBorders>
              <w:bottom w:val="nil"/>
            </w:tcBorders>
            <w:noWrap/>
            <w:hideMark/>
          </w:tcPr>
          <w:p w14:paraId="1037E5E4"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tcBorders>
              <w:bottom w:val="nil"/>
            </w:tcBorders>
            <w:noWrap/>
            <w:hideMark/>
          </w:tcPr>
          <w:p w14:paraId="4B7B031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685" w:type="dxa"/>
            <w:tcBorders>
              <w:bottom w:val="nil"/>
            </w:tcBorders>
            <w:noWrap/>
            <w:hideMark/>
          </w:tcPr>
          <w:p w14:paraId="49326A1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61" w:type="dxa"/>
            <w:tcBorders>
              <w:bottom w:val="nil"/>
            </w:tcBorders>
            <w:noWrap/>
            <w:hideMark/>
          </w:tcPr>
          <w:p w14:paraId="2E1CBAF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2" w:type="dxa"/>
            <w:tcBorders>
              <w:bottom w:val="nil"/>
            </w:tcBorders>
            <w:noWrap/>
            <w:hideMark/>
          </w:tcPr>
          <w:p w14:paraId="1F3C671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664" w:type="dxa"/>
            <w:tcBorders>
              <w:bottom w:val="nil"/>
            </w:tcBorders>
            <w:noWrap/>
            <w:hideMark/>
          </w:tcPr>
          <w:p w14:paraId="6B4B0E3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tcBorders>
              <w:bottom w:val="nil"/>
            </w:tcBorders>
            <w:noWrap/>
            <w:hideMark/>
          </w:tcPr>
          <w:p w14:paraId="396DCE7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tcBorders>
              <w:bottom w:val="nil"/>
            </w:tcBorders>
            <w:noWrap/>
            <w:hideMark/>
          </w:tcPr>
          <w:p w14:paraId="44968DC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C845C8" w:rsidRPr="00583237" w14:paraId="6160B67C" w14:textId="77777777" w:rsidTr="00FA5F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A974D52"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tcBorders>
              <w:top w:val="nil"/>
              <w:bottom w:val="single" w:sz="4" w:space="0" w:color="auto"/>
            </w:tcBorders>
            <w:shd w:val="clear" w:color="auto" w:fill="auto"/>
            <w:noWrap/>
            <w:hideMark/>
          </w:tcPr>
          <w:p w14:paraId="497E3C7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Total</w:t>
            </w:r>
          </w:p>
        </w:tc>
        <w:tc>
          <w:tcPr>
            <w:tcW w:w="685" w:type="dxa"/>
            <w:tcBorders>
              <w:top w:val="nil"/>
              <w:bottom w:val="single" w:sz="4" w:space="0" w:color="auto"/>
            </w:tcBorders>
            <w:shd w:val="clear" w:color="auto" w:fill="auto"/>
            <w:noWrap/>
            <w:hideMark/>
          </w:tcPr>
          <w:p w14:paraId="0AE2C733"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5.5</w:t>
            </w:r>
          </w:p>
        </w:tc>
        <w:tc>
          <w:tcPr>
            <w:tcW w:w="861" w:type="dxa"/>
            <w:tcBorders>
              <w:top w:val="nil"/>
              <w:bottom w:val="single" w:sz="4" w:space="0" w:color="auto"/>
            </w:tcBorders>
            <w:shd w:val="clear" w:color="auto" w:fill="auto"/>
            <w:noWrap/>
            <w:hideMark/>
          </w:tcPr>
          <w:p w14:paraId="3900AFD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10.5</w:t>
            </w:r>
          </w:p>
        </w:tc>
        <w:tc>
          <w:tcPr>
            <w:tcW w:w="685" w:type="dxa"/>
            <w:tcBorders>
              <w:top w:val="nil"/>
              <w:bottom w:val="single" w:sz="4" w:space="0" w:color="auto"/>
            </w:tcBorders>
            <w:shd w:val="clear" w:color="auto" w:fill="auto"/>
            <w:noWrap/>
            <w:hideMark/>
          </w:tcPr>
          <w:p w14:paraId="6A65B8E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16.0</w:t>
            </w:r>
          </w:p>
        </w:tc>
        <w:tc>
          <w:tcPr>
            <w:tcW w:w="685" w:type="dxa"/>
            <w:tcBorders>
              <w:top w:val="nil"/>
              <w:bottom w:val="single" w:sz="4" w:space="0" w:color="auto"/>
            </w:tcBorders>
            <w:shd w:val="clear" w:color="auto" w:fill="auto"/>
            <w:noWrap/>
            <w:hideMark/>
          </w:tcPr>
          <w:p w14:paraId="5B7400F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861" w:type="dxa"/>
            <w:tcBorders>
              <w:top w:val="nil"/>
              <w:bottom w:val="single" w:sz="4" w:space="0" w:color="auto"/>
            </w:tcBorders>
            <w:shd w:val="clear" w:color="auto" w:fill="auto"/>
            <w:noWrap/>
            <w:hideMark/>
          </w:tcPr>
          <w:p w14:paraId="0C55C54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822" w:type="dxa"/>
            <w:tcBorders>
              <w:top w:val="nil"/>
              <w:bottom w:val="single" w:sz="4" w:space="0" w:color="auto"/>
            </w:tcBorders>
            <w:shd w:val="clear" w:color="auto" w:fill="auto"/>
            <w:noWrap/>
            <w:hideMark/>
          </w:tcPr>
          <w:p w14:paraId="517EA59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4.2</w:t>
            </w:r>
          </w:p>
        </w:tc>
        <w:tc>
          <w:tcPr>
            <w:tcW w:w="664" w:type="dxa"/>
            <w:tcBorders>
              <w:top w:val="nil"/>
              <w:bottom w:val="single" w:sz="4" w:space="0" w:color="auto"/>
            </w:tcBorders>
            <w:shd w:val="clear" w:color="auto" w:fill="auto"/>
            <w:noWrap/>
            <w:hideMark/>
          </w:tcPr>
          <w:p w14:paraId="02A449F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tcBorders>
              <w:top w:val="nil"/>
              <w:bottom w:val="single" w:sz="4" w:space="0" w:color="auto"/>
            </w:tcBorders>
            <w:shd w:val="clear" w:color="auto" w:fill="auto"/>
            <w:noWrap/>
            <w:hideMark/>
          </w:tcPr>
          <w:p w14:paraId="73B51DC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8.8</w:t>
            </w:r>
          </w:p>
        </w:tc>
        <w:tc>
          <w:tcPr>
            <w:tcW w:w="676" w:type="dxa"/>
            <w:tcBorders>
              <w:top w:val="nil"/>
              <w:bottom w:val="single" w:sz="4" w:space="0" w:color="auto"/>
            </w:tcBorders>
            <w:shd w:val="clear" w:color="auto" w:fill="auto"/>
            <w:noWrap/>
            <w:hideMark/>
          </w:tcPr>
          <w:p w14:paraId="06435D5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8.8</w:t>
            </w:r>
          </w:p>
        </w:tc>
      </w:tr>
      <w:tr w:rsidR="00175DF1" w:rsidRPr="00583237" w14:paraId="0A6B2BDD" w14:textId="77777777" w:rsidTr="00FA5FF7">
        <w:trPr>
          <w:trHeight w:val="300"/>
        </w:trPr>
        <w:tc>
          <w:tcPr>
            <w:cnfStyle w:val="001000000000" w:firstRow="0" w:lastRow="0" w:firstColumn="1" w:lastColumn="0" w:oddVBand="0" w:evenVBand="0" w:oddHBand="0" w:evenHBand="0" w:firstRowFirstColumn="0" w:firstRowLastColumn="0" w:lastRowFirstColumn="0" w:lastRowLastColumn="0"/>
            <w:tcW w:w="852" w:type="dxa"/>
            <w:noWrap/>
            <w:hideMark/>
          </w:tcPr>
          <w:p w14:paraId="564591C1"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35-40</w:t>
            </w:r>
          </w:p>
        </w:tc>
        <w:tc>
          <w:tcPr>
            <w:tcW w:w="1853" w:type="dxa"/>
            <w:tcBorders>
              <w:top w:val="single" w:sz="4" w:space="0" w:color="auto"/>
            </w:tcBorders>
            <w:noWrap/>
            <w:hideMark/>
          </w:tcPr>
          <w:p w14:paraId="45F589B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Underweight</w:t>
            </w:r>
          </w:p>
        </w:tc>
        <w:tc>
          <w:tcPr>
            <w:tcW w:w="685" w:type="dxa"/>
            <w:tcBorders>
              <w:top w:val="single" w:sz="4" w:space="0" w:color="auto"/>
            </w:tcBorders>
            <w:noWrap/>
            <w:hideMark/>
          </w:tcPr>
          <w:p w14:paraId="77B1A4F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861" w:type="dxa"/>
            <w:tcBorders>
              <w:top w:val="single" w:sz="4" w:space="0" w:color="auto"/>
            </w:tcBorders>
            <w:noWrap/>
            <w:hideMark/>
          </w:tcPr>
          <w:p w14:paraId="7513B13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685" w:type="dxa"/>
            <w:tcBorders>
              <w:top w:val="single" w:sz="4" w:space="0" w:color="auto"/>
            </w:tcBorders>
            <w:noWrap/>
            <w:hideMark/>
          </w:tcPr>
          <w:p w14:paraId="0F82581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1.7</w:t>
            </w:r>
          </w:p>
        </w:tc>
        <w:tc>
          <w:tcPr>
            <w:tcW w:w="685" w:type="dxa"/>
            <w:tcBorders>
              <w:top w:val="single" w:sz="4" w:space="0" w:color="auto"/>
            </w:tcBorders>
            <w:noWrap/>
            <w:hideMark/>
          </w:tcPr>
          <w:p w14:paraId="1679F40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61" w:type="dxa"/>
            <w:tcBorders>
              <w:top w:val="single" w:sz="4" w:space="0" w:color="auto"/>
            </w:tcBorders>
            <w:noWrap/>
            <w:hideMark/>
          </w:tcPr>
          <w:p w14:paraId="5F934E3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2" w:type="dxa"/>
            <w:tcBorders>
              <w:top w:val="single" w:sz="4" w:space="0" w:color="auto"/>
            </w:tcBorders>
            <w:noWrap/>
            <w:hideMark/>
          </w:tcPr>
          <w:p w14:paraId="312C6B2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664" w:type="dxa"/>
            <w:tcBorders>
              <w:top w:val="single" w:sz="4" w:space="0" w:color="auto"/>
            </w:tcBorders>
            <w:noWrap/>
            <w:hideMark/>
          </w:tcPr>
          <w:p w14:paraId="1016679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tcBorders>
              <w:top w:val="single" w:sz="4" w:space="0" w:color="auto"/>
            </w:tcBorders>
            <w:noWrap/>
            <w:hideMark/>
          </w:tcPr>
          <w:p w14:paraId="4691ECB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tcBorders>
              <w:top w:val="single" w:sz="4" w:space="0" w:color="auto"/>
            </w:tcBorders>
            <w:noWrap/>
            <w:hideMark/>
          </w:tcPr>
          <w:p w14:paraId="6732296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C845C8" w:rsidRPr="00583237" w14:paraId="47F5DB31" w14:textId="77777777" w:rsidTr="00C84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C7E6FC9"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shd w:val="clear" w:color="auto" w:fill="auto"/>
            <w:noWrap/>
            <w:hideMark/>
          </w:tcPr>
          <w:p w14:paraId="29935C3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Normal weight</w:t>
            </w:r>
          </w:p>
        </w:tc>
        <w:tc>
          <w:tcPr>
            <w:tcW w:w="685" w:type="dxa"/>
            <w:shd w:val="clear" w:color="auto" w:fill="auto"/>
            <w:noWrap/>
            <w:hideMark/>
          </w:tcPr>
          <w:p w14:paraId="1544AC6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8.8</w:t>
            </w:r>
          </w:p>
        </w:tc>
        <w:tc>
          <w:tcPr>
            <w:tcW w:w="861" w:type="dxa"/>
            <w:shd w:val="clear" w:color="auto" w:fill="auto"/>
            <w:noWrap/>
            <w:hideMark/>
          </w:tcPr>
          <w:p w14:paraId="0696B4C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7.6</w:t>
            </w:r>
          </w:p>
        </w:tc>
        <w:tc>
          <w:tcPr>
            <w:tcW w:w="685" w:type="dxa"/>
            <w:shd w:val="clear" w:color="auto" w:fill="auto"/>
            <w:noWrap/>
            <w:hideMark/>
          </w:tcPr>
          <w:p w14:paraId="5EA1E31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16.4</w:t>
            </w:r>
          </w:p>
        </w:tc>
        <w:tc>
          <w:tcPr>
            <w:tcW w:w="685" w:type="dxa"/>
            <w:shd w:val="clear" w:color="auto" w:fill="auto"/>
            <w:noWrap/>
            <w:hideMark/>
          </w:tcPr>
          <w:p w14:paraId="039227C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shd w:val="clear" w:color="auto" w:fill="auto"/>
            <w:noWrap/>
            <w:hideMark/>
          </w:tcPr>
          <w:p w14:paraId="190BB94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2" w:type="dxa"/>
            <w:shd w:val="clear" w:color="auto" w:fill="auto"/>
            <w:noWrap/>
            <w:hideMark/>
          </w:tcPr>
          <w:p w14:paraId="71CFD26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664" w:type="dxa"/>
            <w:shd w:val="clear" w:color="auto" w:fill="auto"/>
            <w:noWrap/>
            <w:hideMark/>
          </w:tcPr>
          <w:p w14:paraId="4CC78BB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861" w:type="dxa"/>
            <w:shd w:val="clear" w:color="auto" w:fill="auto"/>
            <w:noWrap/>
            <w:hideMark/>
          </w:tcPr>
          <w:p w14:paraId="1E46C9D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76" w:type="dxa"/>
            <w:shd w:val="clear" w:color="auto" w:fill="auto"/>
            <w:noWrap/>
            <w:hideMark/>
          </w:tcPr>
          <w:p w14:paraId="1CBADE7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5.9</w:t>
            </w:r>
          </w:p>
        </w:tc>
      </w:tr>
      <w:tr w:rsidR="00175DF1" w:rsidRPr="00583237" w14:paraId="156D209C" w14:textId="77777777" w:rsidTr="00C845C8">
        <w:trPr>
          <w:trHeight w:val="300"/>
        </w:trPr>
        <w:tc>
          <w:tcPr>
            <w:cnfStyle w:val="001000000000" w:firstRow="0" w:lastRow="0" w:firstColumn="1" w:lastColumn="0" w:oddVBand="0" w:evenVBand="0" w:oddHBand="0" w:evenHBand="0" w:firstRowFirstColumn="0" w:firstRowLastColumn="0" w:lastRowFirstColumn="0" w:lastRowLastColumn="0"/>
            <w:tcW w:w="852" w:type="dxa"/>
            <w:noWrap/>
            <w:hideMark/>
          </w:tcPr>
          <w:p w14:paraId="3DE6BDB8"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noWrap/>
            <w:hideMark/>
          </w:tcPr>
          <w:p w14:paraId="58090A4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Overweight</w:t>
            </w:r>
          </w:p>
        </w:tc>
        <w:tc>
          <w:tcPr>
            <w:tcW w:w="685" w:type="dxa"/>
            <w:noWrap/>
            <w:hideMark/>
          </w:tcPr>
          <w:p w14:paraId="6DDCBFE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2.1</w:t>
            </w:r>
          </w:p>
        </w:tc>
        <w:tc>
          <w:tcPr>
            <w:tcW w:w="861" w:type="dxa"/>
            <w:noWrap/>
            <w:hideMark/>
          </w:tcPr>
          <w:p w14:paraId="48BAE6E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3.4</w:t>
            </w:r>
          </w:p>
        </w:tc>
        <w:tc>
          <w:tcPr>
            <w:tcW w:w="685" w:type="dxa"/>
            <w:noWrap/>
            <w:hideMark/>
          </w:tcPr>
          <w:p w14:paraId="4538C14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5.5</w:t>
            </w:r>
          </w:p>
        </w:tc>
        <w:tc>
          <w:tcPr>
            <w:tcW w:w="685" w:type="dxa"/>
            <w:noWrap/>
            <w:hideMark/>
          </w:tcPr>
          <w:p w14:paraId="2D5B6B5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0.6</w:t>
            </w:r>
          </w:p>
        </w:tc>
        <w:tc>
          <w:tcPr>
            <w:tcW w:w="861" w:type="dxa"/>
            <w:noWrap/>
            <w:hideMark/>
          </w:tcPr>
          <w:p w14:paraId="27323C2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2" w:type="dxa"/>
            <w:noWrap/>
            <w:hideMark/>
          </w:tcPr>
          <w:p w14:paraId="4D398F0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0.6</w:t>
            </w:r>
          </w:p>
        </w:tc>
        <w:tc>
          <w:tcPr>
            <w:tcW w:w="664" w:type="dxa"/>
            <w:noWrap/>
            <w:hideMark/>
          </w:tcPr>
          <w:p w14:paraId="343220D2"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noWrap/>
            <w:hideMark/>
          </w:tcPr>
          <w:p w14:paraId="0221E12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76" w:type="dxa"/>
            <w:noWrap/>
            <w:hideMark/>
          </w:tcPr>
          <w:p w14:paraId="68C62B04"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r>
      <w:tr w:rsidR="00C845C8" w:rsidRPr="00583237" w14:paraId="214194DA" w14:textId="77777777" w:rsidTr="00C84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688B739"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shd w:val="clear" w:color="auto" w:fill="auto"/>
            <w:noWrap/>
            <w:hideMark/>
          </w:tcPr>
          <w:p w14:paraId="15E9C22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Obese</w:t>
            </w:r>
          </w:p>
        </w:tc>
        <w:tc>
          <w:tcPr>
            <w:tcW w:w="685" w:type="dxa"/>
            <w:shd w:val="clear" w:color="auto" w:fill="auto"/>
            <w:noWrap/>
            <w:hideMark/>
          </w:tcPr>
          <w:p w14:paraId="43CB023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861" w:type="dxa"/>
            <w:shd w:val="clear" w:color="auto" w:fill="auto"/>
            <w:noWrap/>
            <w:hideMark/>
          </w:tcPr>
          <w:p w14:paraId="5E2148A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2.1</w:t>
            </w:r>
          </w:p>
        </w:tc>
        <w:tc>
          <w:tcPr>
            <w:tcW w:w="685" w:type="dxa"/>
            <w:shd w:val="clear" w:color="auto" w:fill="auto"/>
            <w:noWrap/>
            <w:hideMark/>
          </w:tcPr>
          <w:p w14:paraId="3DED29D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2.5</w:t>
            </w:r>
          </w:p>
        </w:tc>
        <w:tc>
          <w:tcPr>
            <w:tcW w:w="685" w:type="dxa"/>
            <w:shd w:val="clear" w:color="auto" w:fill="auto"/>
            <w:noWrap/>
            <w:hideMark/>
          </w:tcPr>
          <w:p w14:paraId="4E6B5B5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61" w:type="dxa"/>
            <w:shd w:val="clear" w:color="auto" w:fill="auto"/>
            <w:noWrap/>
            <w:hideMark/>
          </w:tcPr>
          <w:p w14:paraId="079C464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2" w:type="dxa"/>
            <w:shd w:val="clear" w:color="auto" w:fill="auto"/>
            <w:noWrap/>
            <w:hideMark/>
          </w:tcPr>
          <w:p w14:paraId="1141606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664" w:type="dxa"/>
            <w:shd w:val="clear" w:color="auto" w:fill="auto"/>
            <w:noWrap/>
            <w:hideMark/>
          </w:tcPr>
          <w:p w14:paraId="141AEE0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shd w:val="clear" w:color="auto" w:fill="auto"/>
            <w:noWrap/>
            <w:hideMark/>
          </w:tcPr>
          <w:p w14:paraId="682A9AB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5.9</w:t>
            </w:r>
          </w:p>
        </w:tc>
        <w:tc>
          <w:tcPr>
            <w:tcW w:w="676" w:type="dxa"/>
            <w:shd w:val="clear" w:color="auto" w:fill="auto"/>
            <w:noWrap/>
            <w:hideMark/>
          </w:tcPr>
          <w:p w14:paraId="457E81A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5.9</w:t>
            </w:r>
          </w:p>
        </w:tc>
      </w:tr>
      <w:tr w:rsidR="00175DF1" w:rsidRPr="00583237" w14:paraId="0293A142" w14:textId="77777777" w:rsidTr="00C845C8">
        <w:trPr>
          <w:trHeight w:val="300"/>
        </w:trPr>
        <w:tc>
          <w:tcPr>
            <w:cnfStyle w:val="001000000000" w:firstRow="0" w:lastRow="0" w:firstColumn="1" w:lastColumn="0" w:oddVBand="0" w:evenVBand="0" w:oddHBand="0" w:evenHBand="0" w:firstRowFirstColumn="0" w:firstRowLastColumn="0" w:lastRowFirstColumn="0" w:lastRowLastColumn="0"/>
            <w:tcW w:w="852" w:type="dxa"/>
            <w:noWrap/>
            <w:hideMark/>
          </w:tcPr>
          <w:p w14:paraId="6BF84237"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noWrap/>
            <w:hideMark/>
          </w:tcPr>
          <w:p w14:paraId="2E111BB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Total</w:t>
            </w:r>
          </w:p>
        </w:tc>
        <w:tc>
          <w:tcPr>
            <w:tcW w:w="685" w:type="dxa"/>
            <w:noWrap/>
            <w:hideMark/>
          </w:tcPr>
          <w:p w14:paraId="6160E5F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12.2</w:t>
            </w:r>
          </w:p>
        </w:tc>
        <w:tc>
          <w:tcPr>
            <w:tcW w:w="861" w:type="dxa"/>
            <w:noWrap/>
            <w:hideMark/>
          </w:tcPr>
          <w:p w14:paraId="5D630E32"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13.9</w:t>
            </w:r>
          </w:p>
        </w:tc>
        <w:tc>
          <w:tcPr>
            <w:tcW w:w="685" w:type="dxa"/>
            <w:noWrap/>
            <w:hideMark/>
          </w:tcPr>
          <w:p w14:paraId="3C24695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26.1</w:t>
            </w:r>
          </w:p>
        </w:tc>
        <w:tc>
          <w:tcPr>
            <w:tcW w:w="685" w:type="dxa"/>
            <w:noWrap/>
            <w:hideMark/>
          </w:tcPr>
          <w:p w14:paraId="5BEAB60D"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861" w:type="dxa"/>
            <w:noWrap/>
            <w:hideMark/>
          </w:tcPr>
          <w:p w14:paraId="5657037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2" w:type="dxa"/>
            <w:noWrap/>
            <w:hideMark/>
          </w:tcPr>
          <w:p w14:paraId="632BBD0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1.6</w:t>
            </w:r>
          </w:p>
        </w:tc>
        <w:tc>
          <w:tcPr>
            <w:tcW w:w="664" w:type="dxa"/>
            <w:noWrap/>
            <w:hideMark/>
          </w:tcPr>
          <w:p w14:paraId="20005BA4"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861" w:type="dxa"/>
            <w:noWrap/>
            <w:hideMark/>
          </w:tcPr>
          <w:p w14:paraId="48C853B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11.8</w:t>
            </w:r>
          </w:p>
        </w:tc>
        <w:tc>
          <w:tcPr>
            <w:tcW w:w="676" w:type="dxa"/>
            <w:noWrap/>
            <w:hideMark/>
          </w:tcPr>
          <w:p w14:paraId="48410CC4"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14.7</w:t>
            </w:r>
          </w:p>
        </w:tc>
      </w:tr>
      <w:tr w:rsidR="00C845C8" w:rsidRPr="00583237" w14:paraId="7142F955" w14:textId="77777777" w:rsidTr="00C84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49E2396"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lastRenderedPageBreak/>
              <w:t>40-45</w:t>
            </w:r>
          </w:p>
        </w:tc>
        <w:tc>
          <w:tcPr>
            <w:tcW w:w="1853" w:type="dxa"/>
            <w:shd w:val="clear" w:color="auto" w:fill="auto"/>
            <w:noWrap/>
            <w:hideMark/>
          </w:tcPr>
          <w:p w14:paraId="71C81DB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Underweight</w:t>
            </w:r>
          </w:p>
        </w:tc>
        <w:tc>
          <w:tcPr>
            <w:tcW w:w="685" w:type="dxa"/>
            <w:shd w:val="clear" w:color="auto" w:fill="auto"/>
            <w:noWrap/>
            <w:hideMark/>
          </w:tcPr>
          <w:p w14:paraId="2527E4F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shd w:val="clear" w:color="auto" w:fill="auto"/>
            <w:noWrap/>
            <w:hideMark/>
          </w:tcPr>
          <w:p w14:paraId="0686E31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685" w:type="dxa"/>
            <w:shd w:val="clear" w:color="auto" w:fill="auto"/>
            <w:noWrap/>
            <w:hideMark/>
          </w:tcPr>
          <w:p w14:paraId="7FC1E42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685" w:type="dxa"/>
            <w:shd w:val="clear" w:color="auto" w:fill="auto"/>
            <w:noWrap/>
            <w:hideMark/>
          </w:tcPr>
          <w:p w14:paraId="4C59C7D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shd w:val="clear" w:color="auto" w:fill="auto"/>
            <w:noWrap/>
            <w:hideMark/>
          </w:tcPr>
          <w:p w14:paraId="2B5454B4"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2" w:type="dxa"/>
            <w:shd w:val="clear" w:color="auto" w:fill="auto"/>
            <w:noWrap/>
            <w:hideMark/>
          </w:tcPr>
          <w:p w14:paraId="5D424FC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64" w:type="dxa"/>
            <w:shd w:val="clear" w:color="auto" w:fill="auto"/>
            <w:noWrap/>
            <w:hideMark/>
          </w:tcPr>
          <w:p w14:paraId="53FCB0E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shd w:val="clear" w:color="auto" w:fill="auto"/>
            <w:noWrap/>
            <w:hideMark/>
          </w:tcPr>
          <w:p w14:paraId="201BA60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shd w:val="clear" w:color="auto" w:fill="auto"/>
            <w:noWrap/>
            <w:hideMark/>
          </w:tcPr>
          <w:p w14:paraId="5FBD03A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175DF1" w:rsidRPr="00583237" w14:paraId="753929AE" w14:textId="77777777" w:rsidTr="00C845C8">
        <w:trPr>
          <w:trHeight w:val="300"/>
        </w:trPr>
        <w:tc>
          <w:tcPr>
            <w:cnfStyle w:val="001000000000" w:firstRow="0" w:lastRow="0" w:firstColumn="1" w:lastColumn="0" w:oddVBand="0" w:evenVBand="0" w:oddHBand="0" w:evenHBand="0" w:firstRowFirstColumn="0" w:firstRowLastColumn="0" w:lastRowFirstColumn="0" w:lastRowLastColumn="0"/>
            <w:tcW w:w="852" w:type="dxa"/>
            <w:noWrap/>
            <w:hideMark/>
          </w:tcPr>
          <w:p w14:paraId="31642AE4"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noWrap/>
            <w:hideMark/>
          </w:tcPr>
          <w:p w14:paraId="6ACE2DCA"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Normal weight</w:t>
            </w:r>
          </w:p>
        </w:tc>
        <w:tc>
          <w:tcPr>
            <w:tcW w:w="685" w:type="dxa"/>
            <w:noWrap/>
            <w:hideMark/>
          </w:tcPr>
          <w:p w14:paraId="02BF8AB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2.1</w:t>
            </w:r>
          </w:p>
        </w:tc>
        <w:tc>
          <w:tcPr>
            <w:tcW w:w="861" w:type="dxa"/>
            <w:noWrap/>
            <w:hideMark/>
          </w:tcPr>
          <w:p w14:paraId="0939F49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4.2</w:t>
            </w:r>
          </w:p>
        </w:tc>
        <w:tc>
          <w:tcPr>
            <w:tcW w:w="685" w:type="dxa"/>
            <w:noWrap/>
            <w:hideMark/>
          </w:tcPr>
          <w:p w14:paraId="0F68F15E"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6.3</w:t>
            </w:r>
          </w:p>
        </w:tc>
        <w:tc>
          <w:tcPr>
            <w:tcW w:w="685" w:type="dxa"/>
            <w:noWrap/>
            <w:hideMark/>
          </w:tcPr>
          <w:p w14:paraId="48006992"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861" w:type="dxa"/>
            <w:noWrap/>
            <w:hideMark/>
          </w:tcPr>
          <w:p w14:paraId="52DEED1A"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2" w:type="dxa"/>
            <w:noWrap/>
            <w:hideMark/>
          </w:tcPr>
          <w:p w14:paraId="4D3AE58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664" w:type="dxa"/>
            <w:noWrap/>
            <w:hideMark/>
          </w:tcPr>
          <w:p w14:paraId="6785034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17.6</w:t>
            </w:r>
          </w:p>
        </w:tc>
        <w:tc>
          <w:tcPr>
            <w:tcW w:w="861" w:type="dxa"/>
            <w:noWrap/>
            <w:hideMark/>
          </w:tcPr>
          <w:p w14:paraId="74DC79D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17.6</w:t>
            </w:r>
          </w:p>
        </w:tc>
        <w:tc>
          <w:tcPr>
            <w:tcW w:w="676" w:type="dxa"/>
            <w:noWrap/>
            <w:hideMark/>
          </w:tcPr>
          <w:p w14:paraId="493AF0EA"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35.3</w:t>
            </w:r>
          </w:p>
        </w:tc>
      </w:tr>
      <w:tr w:rsidR="00C845C8" w:rsidRPr="00583237" w14:paraId="6750E160" w14:textId="77777777" w:rsidTr="00C84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D00EEE6"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shd w:val="clear" w:color="auto" w:fill="auto"/>
            <w:noWrap/>
            <w:hideMark/>
          </w:tcPr>
          <w:p w14:paraId="17D9BC9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Overweight</w:t>
            </w:r>
          </w:p>
        </w:tc>
        <w:tc>
          <w:tcPr>
            <w:tcW w:w="685" w:type="dxa"/>
            <w:shd w:val="clear" w:color="auto" w:fill="auto"/>
            <w:noWrap/>
            <w:hideMark/>
          </w:tcPr>
          <w:p w14:paraId="172551F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shd w:val="clear" w:color="auto" w:fill="auto"/>
            <w:noWrap/>
            <w:hideMark/>
          </w:tcPr>
          <w:p w14:paraId="0DC71BE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shd w:val="clear" w:color="auto" w:fill="auto"/>
            <w:noWrap/>
            <w:hideMark/>
          </w:tcPr>
          <w:p w14:paraId="2A86EB6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shd w:val="clear" w:color="auto" w:fill="auto"/>
            <w:noWrap/>
            <w:hideMark/>
          </w:tcPr>
          <w:p w14:paraId="1500960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861" w:type="dxa"/>
            <w:shd w:val="clear" w:color="auto" w:fill="auto"/>
            <w:noWrap/>
            <w:hideMark/>
          </w:tcPr>
          <w:p w14:paraId="528816F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2" w:type="dxa"/>
            <w:shd w:val="clear" w:color="auto" w:fill="auto"/>
            <w:noWrap/>
            <w:hideMark/>
          </w:tcPr>
          <w:p w14:paraId="49E67AD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664" w:type="dxa"/>
            <w:shd w:val="clear" w:color="auto" w:fill="auto"/>
            <w:noWrap/>
            <w:hideMark/>
          </w:tcPr>
          <w:p w14:paraId="2A046EC4"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861" w:type="dxa"/>
            <w:shd w:val="clear" w:color="auto" w:fill="auto"/>
            <w:noWrap/>
            <w:hideMark/>
          </w:tcPr>
          <w:p w14:paraId="071A200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20.6</w:t>
            </w:r>
          </w:p>
        </w:tc>
        <w:tc>
          <w:tcPr>
            <w:tcW w:w="676" w:type="dxa"/>
            <w:shd w:val="clear" w:color="auto" w:fill="auto"/>
            <w:noWrap/>
            <w:hideMark/>
          </w:tcPr>
          <w:p w14:paraId="104CA48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23.5</w:t>
            </w:r>
          </w:p>
        </w:tc>
      </w:tr>
      <w:tr w:rsidR="00175DF1" w:rsidRPr="00583237" w14:paraId="4181A5E2" w14:textId="77777777" w:rsidTr="00C845C8">
        <w:trPr>
          <w:trHeight w:val="300"/>
        </w:trPr>
        <w:tc>
          <w:tcPr>
            <w:cnfStyle w:val="001000000000" w:firstRow="0" w:lastRow="0" w:firstColumn="1" w:lastColumn="0" w:oddVBand="0" w:evenVBand="0" w:oddHBand="0" w:evenHBand="0" w:firstRowFirstColumn="0" w:firstRowLastColumn="0" w:lastRowFirstColumn="0" w:lastRowLastColumn="0"/>
            <w:tcW w:w="852" w:type="dxa"/>
            <w:noWrap/>
            <w:hideMark/>
          </w:tcPr>
          <w:p w14:paraId="24E31644"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noWrap/>
            <w:hideMark/>
          </w:tcPr>
          <w:p w14:paraId="36D9E1E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Obese</w:t>
            </w:r>
          </w:p>
        </w:tc>
        <w:tc>
          <w:tcPr>
            <w:tcW w:w="685" w:type="dxa"/>
            <w:noWrap/>
            <w:hideMark/>
          </w:tcPr>
          <w:p w14:paraId="5FBB50E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noWrap/>
            <w:hideMark/>
          </w:tcPr>
          <w:p w14:paraId="301B716E"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noWrap/>
            <w:hideMark/>
          </w:tcPr>
          <w:p w14:paraId="27DB55B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noWrap/>
            <w:hideMark/>
          </w:tcPr>
          <w:p w14:paraId="24731AC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61" w:type="dxa"/>
            <w:noWrap/>
            <w:hideMark/>
          </w:tcPr>
          <w:p w14:paraId="6ED715F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2" w:type="dxa"/>
            <w:noWrap/>
            <w:hideMark/>
          </w:tcPr>
          <w:p w14:paraId="4C727E1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64" w:type="dxa"/>
            <w:noWrap/>
            <w:hideMark/>
          </w:tcPr>
          <w:p w14:paraId="5F5D398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861" w:type="dxa"/>
            <w:noWrap/>
            <w:hideMark/>
          </w:tcPr>
          <w:p w14:paraId="16761C0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5.9</w:t>
            </w:r>
          </w:p>
        </w:tc>
        <w:tc>
          <w:tcPr>
            <w:tcW w:w="676" w:type="dxa"/>
            <w:noWrap/>
            <w:hideMark/>
          </w:tcPr>
          <w:p w14:paraId="4C1E4D2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8.8</w:t>
            </w:r>
          </w:p>
        </w:tc>
      </w:tr>
      <w:tr w:rsidR="00C845C8" w:rsidRPr="00583237" w14:paraId="757815BE" w14:textId="77777777" w:rsidTr="00C84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5C5A01A"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853" w:type="dxa"/>
            <w:shd w:val="clear" w:color="auto" w:fill="auto"/>
            <w:noWrap/>
            <w:hideMark/>
          </w:tcPr>
          <w:p w14:paraId="299BC67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Total</w:t>
            </w:r>
          </w:p>
        </w:tc>
        <w:tc>
          <w:tcPr>
            <w:tcW w:w="685" w:type="dxa"/>
            <w:shd w:val="clear" w:color="auto" w:fill="auto"/>
            <w:noWrap/>
            <w:hideMark/>
          </w:tcPr>
          <w:p w14:paraId="581A4FF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2.1</w:t>
            </w:r>
          </w:p>
        </w:tc>
        <w:tc>
          <w:tcPr>
            <w:tcW w:w="861" w:type="dxa"/>
            <w:shd w:val="clear" w:color="auto" w:fill="auto"/>
            <w:noWrap/>
            <w:hideMark/>
          </w:tcPr>
          <w:p w14:paraId="047BD86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5.9</w:t>
            </w:r>
          </w:p>
        </w:tc>
        <w:tc>
          <w:tcPr>
            <w:tcW w:w="685" w:type="dxa"/>
            <w:shd w:val="clear" w:color="auto" w:fill="auto"/>
            <w:noWrap/>
            <w:hideMark/>
          </w:tcPr>
          <w:p w14:paraId="1E28ECE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8.0</w:t>
            </w:r>
          </w:p>
        </w:tc>
        <w:tc>
          <w:tcPr>
            <w:tcW w:w="685" w:type="dxa"/>
            <w:shd w:val="clear" w:color="auto" w:fill="auto"/>
            <w:noWrap/>
            <w:hideMark/>
          </w:tcPr>
          <w:p w14:paraId="2315812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2.6</w:t>
            </w:r>
          </w:p>
        </w:tc>
        <w:tc>
          <w:tcPr>
            <w:tcW w:w="861" w:type="dxa"/>
            <w:shd w:val="clear" w:color="auto" w:fill="auto"/>
            <w:noWrap/>
            <w:hideMark/>
          </w:tcPr>
          <w:p w14:paraId="0B08C58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2" w:type="dxa"/>
            <w:shd w:val="clear" w:color="auto" w:fill="auto"/>
            <w:noWrap/>
            <w:hideMark/>
          </w:tcPr>
          <w:p w14:paraId="6A8FB33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2.6</w:t>
            </w:r>
          </w:p>
        </w:tc>
        <w:tc>
          <w:tcPr>
            <w:tcW w:w="664" w:type="dxa"/>
            <w:shd w:val="clear" w:color="auto" w:fill="auto"/>
            <w:noWrap/>
            <w:hideMark/>
          </w:tcPr>
          <w:p w14:paraId="25DC6FD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23.5</w:t>
            </w:r>
          </w:p>
        </w:tc>
        <w:tc>
          <w:tcPr>
            <w:tcW w:w="861" w:type="dxa"/>
            <w:shd w:val="clear" w:color="auto" w:fill="auto"/>
            <w:noWrap/>
            <w:hideMark/>
          </w:tcPr>
          <w:p w14:paraId="14BBAA4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44.1</w:t>
            </w:r>
          </w:p>
        </w:tc>
        <w:tc>
          <w:tcPr>
            <w:tcW w:w="676" w:type="dxa"/>
            <w:shd w:val="clear" w:color="auto" w:fill="auto"/>
            <w:noWrap/>
            <w:hideMark/>
          </w:tcPr>
          <w:p w14:paraId="7E7F51F5"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67.6</w:t>
            </w:r>
          </w:p>
        </w:tc>
      </w:tr>
      <w:tr w:rsidR="00175DF1" w:rsidRPr="00583237" w14:paraId="1C569E45" w14:textId="77777777" w:rsidTr="00C845C8">
        <w:trPr>
          <w:trHeight w:val="300"/>
        </w:trPr>
        <w:tc>
          <w:tcPr>
            <w:cnfStyle w:val="001000000000" w:firstRow="0" w:lastRow="0" w:firstColumn="1" w:lastColumn="0" w:oddVBand="0" w:evenVBand="0" w:oddHBand="0" w:evenHBand="0" w:firstRowFirstColumn="0" w:firstRowLastColumn="0" w:lastRowFirstColumn="0" w:lastRowLastColumn="0"/>
            <w:tcW w:w="2705" w:type="dxa"/>
            <w:gridSpan w:val="2"/>
            <w:noWrap/>
            <w:hideMark/>
          </w:tcPr>
          <w:p w14:paraId="1AE7100A" w14:textId="64A6341F"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 xml:space="preserve">Grand </w:t>
            </w:r>
            <w:r w:rsidR="008340B9">
              <w:rPr>
                <w:rFonts w:ascii="Times New Roman" w:hAnsi="Times New Roman" w:cs="Times New Roman"/>
                <w:sz w:val="24"/>
                <w:szCs w:val="24"/>
              </w:rPr>
              <w:t>T</w:t>
            </w:r>
            <w:r w:rsidRPr="00583237">
              <w:rPr>
                <w:rFonts w:ascii="Times New Roman" w:hAnsi="Times New Roman" w:cs="Times New Roman"/>
                <w:sz w:val="24"/>
                <w:szCs w:val="24"/>
              </w:rPr>
              <w:t>otal</w:t>
            </w:r>
          </w:p>
        </w:tc>
        <w:tc>
          <w:tcPr>
            <w:tcW w:w="685" w:type="dxa"/>
            <w:noWrap/>
            <w:hideMark/>
          </w:tcPr>
          <w:p w14:paraId="2D5F066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48.7</w:t>
            </w:r>
          </w:p>
        </w:tc>
        <w:tc>
          <w:tcPr>
            <w:tcW w:w="861" w:type="dxa"/>
            <w:noWrap/>
            <w:hideMark/>
          </w:tcPr>
          <w:p w14:paraId="3185952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51.3</w:t>
            </w:r>
          </w:p>
        </w:tc>
        <w:tc>
          <w:tcPr>
            <w:tcW w:w="685" w:type="dxa"/>
            <w:noWrap/>
            <w:hideMark/>
          </w:tcPr>
          <w:p w14:paraId="6CB7DD0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100.0</w:t>
            </w:r>
          </w:p>
        </w:tc>
        <w:tc>
          <w:tcPr>
            <w:tcW w:w="685" w:type="dxa"/>
            <w:noWrap/>
            <w:hideMark/>
          </w:tcPr>
          <w:p w14:paraId="64A7F41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46.8</w:t>
            </w:r>
          </w:p>
        </w:tc>
        <w:tc>
          <w:tcPr>
            <w:tcW w:w="861" w:type="dxa"/>
            <w:noWrap/>
            <w:hideMark/>
          </w:tcPr>
          <w:p w14:paraId="1A4B20C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53.2</w:t>
            </w:r>
          </w:p>
        </w:tc>
        <w:tc>
          <w:tcPr>
            <w:tcW w:w="822" w:type="dxa"/>
            <w:noWrap/>
            <w:hideMark/>
          </w:tcPr>
          <w:p w14:paraId="4F35E5C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100.0</w:t>
            </w:r>
          </w:p>
        </w:tc>
        <w:tc>
          <w:tcPr>
            <w:tcW w:w="664" w:type="dxa"/>
            <w:noWrap/>
            <w:hideMark/>
          </w:tcPr>
          <w:p w14:paraId="61BE1CC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29.4</w:t>
            </w:r>
          </w:p>
        </w:tc>
        <w:tc>
          <w:tcPr>
            <w:tcW w:w="861" w:type="dxa"/>
            <w:noWrap/>
            <w:hideMark/>
          </w:tcPr>
          <w:p w14:paraId="5562CB5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70.6</w:t>
            </w:r>
          </w:p>
        </w:tc>
        <w:tc>
          <w:tcPr>
            <w:tcW w:w="676" w:type="dxa"/>
            <w:noWrap/>
            <w:hideMark/>
          </w:tcPr>
          <w:p w14:paraId="4A1ED82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100.0</w:t>
            </w:r>
          </w:p>
        </w:tc>
      </w:tr>
    </w:tbl>
    <w:p w14:paraId="598E4EA0" w14:textId="77777777" w:rsidR="000658D6" w:rsidRDefault="000658D6" w:rsidP="00D50FAA">
      <w:pPr>
        <w:spacing w:line="240" w:lineRule="auto"/>
        <w:jc w:val="both"/>
        <w:rPr>
          <w:rFonts w:ascii="Times New Roman" w:hAnsi="Times New Roman" w:cs="Times New Roman"/>
          <w:b/>
          <w:sz w:val="24"/>
          <w:szCs w:val="24"/>
        </w:rPr>
      </w:pPr>
    </w:p>
    <w:p w14:paraId="68172C9A" w14:textId="77777777" w:rsidR="005F5935" w:rsidRDefault="005F5935" w:rsidP="00D50FAA">
      <w:pPr>
        <w:spacing w:line="240" w:lineRule="auto"/>
        <w:jc w:val="both"/>
        <w:rPr>
          <w:rFonts w:ascii="Times New Roman" w:hAnsi="Times New Roman" w:cs="Times New Roman"/>
          <w:b/>
          <w:sz w:val="24"/>
          <w:szCs w:val="24"/>
        </w:rPr>
      </w:pPr>
    </w:p>
    <w:p w14:paraId="2D64537B" w14:textId="1FC166B7" w:rsidR="00175DF1" w:rsidRPr="00583237" w:rsidRDefault="00F57393" w:rsidP="00D50FAA">
      <w:p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3.4</w:t>
      </w:r>
      <w:r w:rsidRPr="00583237">
        <w:rPr>
          <w:rFonts w:ascii="Times New Roman" w:hAnsi="Times New Roman" w:cs="Times New Roman"/>
          <w:b/>
          <w:sz w:val="24"/>
          <w:szCs w:val="24"/>
        </w:rPr>
        <w:tab/>
      </w:r>
      <w:r w:rsidR="00175DF1" w:rsidRPr="00583237">
        <w:rPr>
          <w:rFonts w:ascii="Times New Roman" w:hAnsi="Times New Roman" w:cs="Times New Roman"/>
          <w:b/>
          <w:sz w:val="24"/>
          <w:szCs w:val="24"/>
        </w:rPr>
        <w:t>Correlation (r) of the Body Mass Index with Diabetic Risk Scores</w:t>
      </w:r>
    </w:p>
    <w:p w14:paraId="7CE3693A" w14:textId="77777777" w:rsidR="00175DF1" w:rsidRPr="00583237" w:rsidRDefault="00F57393" w:rsidP="00D50FAA">
      <w:pPr>
        <w:spacing w:line="240" w:lineRule="auto"/>
        <w:jc w:val="both"/>
        <w:rPr>
          <w:rFonts w:ascii="Times New Roman" w:hAnsi="Times New Roman" w:cs="Times New Roman"/>
          <w:sz w:val="24"/>
          <w:szCs w:val="24"/>
        </w:rPr>
      </w:pPr>
      <w:r w:rsidRPr="00583237">
        <w:rPr>
          <w:rFonts w:ascii="Times New Roman" w:hAnsi="Times New Roman" w:cs="Times New Roman"/>
          <w:sz w:val="24"/>
          <w:szCs w:val="24"/>
        </w:rPr>
        <w:t xml:space="preserve">Table </w:t>
      </w:r>
      <w:r w:rsidR="00175DF1" w:rsidRPr="00583237">
        <w:rPr>
          <w:rFonts w:ascii="Times New Roman" w:hAnsi="Times New Roman" w:cs="Times New Roman"/>
          <w:sz w:val="24"/>
          <w:szCs w:val="24"/>
        </w:rPr>
        <w:t>4 shows the correlation coefficients (r) between body mass index (BMI) and the diabetes risk scores (FINDRISC and ADART) across the study populations. For FINDRISC, the correlation with BMI was 0.420 in the rural group, 0.500 in the urban group, and 0.560 in the reference population. For ADART, the correlation with BMI was 0.410 in the rural group, 0.490 in the urban group, and 0.490 in the reference group. Across all populations, BMI showed a positive correlation with both diabetes risk scores, with the strongest association observed in the reference group for FINDRISC.</w:t>
      </w:r>
    </w:p>
    <w:p w14:paraId="7A608428" w14:textId="77777777" w:rsidR="005F5935" w:rsidRDefault="005F5935" w:rsidP="00960B65">
      <w:pPr>
        <w:spacing w:after="0" w:line="240" w:lineRule="auto"/>
        <w:jc w:val="both"/>
        <w:rPr>
          <w:rFonts w:ascii="Times New Roman" w:hAnsi="Times New Roman" w:cs="Times New Roman"/>
          <w:b/>
          <w:sz w:val="24"/>
          <w:szCs w:val="24"/>
        </w:rPr>
      </w:pPr>
    </w:p>
    <w:p w14:paraId="3B48C437" w14:textId="5C17067B" w:rsidR="00175DF1" w:rsidRPr="00583237" w:rsidRDefault="00F57393" w:rsidP="00960B65">
      <w:pPr>
        <w:spacing w:after="0"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Table 4</w:t>
      </w:r>
      <w:r w:rsidR="00175DF1" w:rsidRPr="00583237">
        <w:rPr>
          <w:rFonts w:ascii="Times New Roman" w:hAnsi="Times New Roman" w:cs="Times New Roman"/>
          <w:b/>
          <w:sz w:val="24"/>
          <w:szCs w:val="24"/>
        </w:rPr>
        <w:t>: Correlation (r) of the Body Mass Index with Diabetic Risk Scores</w:t>
      </w:r>
    </w:p>
    <w:tbl>
      <w:tblPr>
        <w:tblStyle w:val="ListTable6Colorful1"/>
        <w:tblW w:w="5000" w:type="pct"/>
        <w:tblLook w:val="04A0" w:firstRow="1" w:lastRow="0" w:firstColumn="1" w:lastColumn="0" w:noHBand="0" w:noVBand="1"/>
      </w:tblPr>
      <w:tblGrid>
        <w:gridCol w:w="3544"/>
        <w:gridCol w:w="1860"/>
        <w:gridCol w:w="1985"/>
        <w:gridCol w:w="1854"/>
      </w:tblGrid>
      <w:tr w:rsidR="00175DF1" w:rsidRPr="00583237" w14:paraId="684341E0" w14:textId="77777777" w:rsidTr="002628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7" w:type="pct"/>
            <w:noWrap/>
            <w:hideMark/>
          </w:tcPr>
          <w:p w14:paraId="719C4C6B" w14:textId="77777777" w:rsidR="00175DF1" w:rsidRPr="00583237" w:rsidRDefault="00175DF1" w:rsidP="00960B65">
            <w:pPr>
              <w:spacing w:after="0" w:line="240" w:lineRule="auto"/>
              <w:jc w:val="both"/>
              <w:rPr>
                <w:rFonts w:ascii="Times New Roman" w:hAnsi="Times New Roman" w:cs="Times New Roman"/>
                <w:bCs w:val="0"/>
                <w:sz w:val="24"/>
                <w:szCs w:val="24"/>
              </w:rPr>
            </w:pPr>
            <w:r w:rsidRPr="00583237">
              <w:rPr>
                <w:rFonts w:ascii="Times New Roman" w:hAnsi="Times New Roman" w:cs="Times New Roman"/>
                <w:bCs w:val="0"/>
                <w:sz w:val="24"/>
                <w:szCs w:val="24"/>
              </w:rPr>
              <w:t>Parameters</w:t>
            </w:r>
          </w:p>
        </w:tc>
        <w:tc>
          <w:tcPr>
            <w:tcW w:w="1006" w:type="pct"/>
            <w:noWrap/>
            <w:hideMark/>
          </w:tcPr>
          <w:p w14:paraId="142C87EE" w14:textId="77777777" w:rsidR="00175DF1" w:rsidRPr="00583237" w:rsidRDefault="00175DF1"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583237">
              <w:rPr>
                <w:rFonts w:ascii="Times New Roman" w:hAnsi="Times New Roman" w:cs="Times New Roman"/>
                <w:bCs w:val="0"/>
                <w:sz w:val="24"/>
                <w:szCs w:val="24"/>
              </w:rPr>
              <w:t>Rural</w:t>
            </w:r>
          </w:p>
        </w:tc>
        <w:tc>
          <w:tcPr>
            <w:tcW w:w="1074" w:type="pct"/>
            <w:noWrap/>
            <w:hideMark/>
          </w:tcPr>
          <w:p w14:paraId="0B676E09" w14:textId="77777777" w:rsidR="00175DF1" w:rsidRPr="00583237" w:rsidRDefault="00175DF1"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583237">
              <w:rPr>
                <w:rFonts w:ascii="Times New Roman" w:hAnsi="Times New Roman" w:cs="Times New Roman"/>
                <w:bCs w:val="0"/>
                <w:sz w:val="24"/>
                <w:szCs w:val="24"/>
              </w:rPr>
              <w:t>Urban</w:t>
            </w:r>
          </w:p>
        </w:tc>
        <w:tc>
          <w:tcPr>
            <w:tcW w:w="1003" w:type="pct"/>
            <w:noWrap/>
            <w:hideMark/>
          </w:tcPr>
          <w:p w14:paraId="19F50811" w14:textId="77777777" w:rsidR="00175DF1" w:rsidRPr="00583237" w:rsidRDefault="00175DF1"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583237">
              <w:rPr>
                <w:rFonts w:ascii="Times New Roman" w:hAnsi="Times New Roman" w:cs="Times New Roman"/>
                <w:bCs w:val="0"/>
                <w:sz w:val="24"/>
                <w:szCs w:val="24"/>
              </w:rPr>
              <w:t>Reference</w:t>
            </w:r>
          </w:p>
        </w:tc>
      </w:tr>
      <w:tr w:rsidR="00175DF1" w:rsidRPr="00583237" w14:paraId="793E31C0" w14:textId="77777777" w:rsidTr="002628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7" w:type="pct"/>
            <w:shd w:val="clear" w:color="auto" w:fill="auto"/>
            <w:noWrap/>
            <w:hideMark/>
          </w:tcPr>
          <w:p w14:paraId="77431613" w14:textId="77777777" w:rsidR="00175DF1" w:rsidRPr="00583237" w:rsidRDefault="00175DF1" w:rsidP="00960B65">
            <w:pPr>
              <w:spacing w:after="0" w:line="240" w:lineRule="auto"/>
              <w:jc w:val="both"/>
              <w:rPr>
                <w:rFonts w:ascii="Times New Roman" w:hAnsi="Times New Roman" w:cs="Times New Roman"/>
                <w:bCs w:val="0"/>
                <w:sz w:val="24"/>
                <w:szCs w:val="24"/>
              </w:rPr>
            </w:pPr>
            <w:r w:rsidRPr="00583237">
              <w:rPr>
                <w:rFonts w:ascii="Times New Roman" w:hAnsi="Times New Roman" w:cs="Times New Roman"/>
                <w:bCs w:val="0"/>
                <w:sz w:val="24"/>
                <w:szCs w:val="24"/>
              </w:rPr>
              <w:t>FINDRISC</w:t>
            </w:r>
          </w:p>
        </w:tc>
        <w:tc>
          <w:tcPr>
            <w:tcW w:w="1006" w:type="pct"/>
            <w:shd w:val="clear" w:color="auto" w:fill="auto"/>
            <w:noWrap/>
            <w:hideMark/>
          </w:tcPr>
          <w:p w14:paraId="63B2BFB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0.420</w:t>
            </w:r>
          </w:p>
        </w:tc>
        <w:tc>
          <w:tcPr>
            <w:tcW w:w="1074" w:type="pct"/>
            <w:shd w:val="clear" w:color="auto" w:fill="auto"/>
            <w:noWrap/>
            <w:hideMark/>
          </w:tcPr>
          <w:p w14:paraId="5B7220E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0.500</w:t>
            </w:r>
          </w:p>
        </w:tc>
        <w:tc>
          <w:tcPr>
            <w:tcW w:w="1003" w:type="pct"/>
            <w:shd w:val="clear" w:color="auto" w:fill="auto"/>
            <w:noWrap/>
            <w:hideMark/>
          </w:tcPr>
          <w:p w14:paraId="4465320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0.560</w:t>
            </w:r>
          </w:p>
        </w:tc>
      </w:tr>
      <w:tr w:rsidR="00175DF1" w:rsidRPr="00583237" w14:paraId="2E3D7068" w14:textId="77777777" w:rsidTr="002628D3">
        <w:trPr>
          <w:trHeight w:val="300"/>
        </w:trPr>
        <w:tc>
          <w:tcPr>
            <w:cnfStyle w:val="001000000000" w:firstRow="0" w:lastRow="0" w:firstColumn="1" w:lastColumn="0" w:oddVBand="0" w:evenVBand="0" w:oddHBand="0" w:evenHBand="0" w:firstRowFirstColumn="0" w:firstRowLastColumn="0" w:lastRowFirstColumn="0" w:lastRowLastColumn="0"/>
            <w:tcW w:w="1917" w:type="pct"/>
            <w:noWrap/>
            <w:hideMark/>
          </w:tcPr>
          <w:p w14:paraId="62079DD1" w14:textId="77777777" w:rsidR="00175DF1" w:rsidRPr="00583237" w:rsidRDefault="00175DF1" w:rsidP="00960B65">
            <w:pPr>
              <w:spacing w:after="0" w:line="240" w:lineRule="auto"/>
              <w:jc w:val="both"/>
              <w:rPr>
                <w:rFonts w:ascii="Times New Roman" w:hAnsi="Times New Roman" w:cs="Times New Roman"/>
                <w:bCs w:val="0"/>
                <w:sz w:val="24"/>
                <w:szCs w:val="24"/>
              </w:rPr>
            </w:pPr>
            <w:r w:rsidRPr="00583237">
              <w:rPr>
                <w:rFonts w:ascii="Times New Roman" w:hAnsi="Times New Roman" w:cs="Times New Roman"/>
                <w:bCs w:val="0"/>
                <w:sz w:val="24"/>
                <w:szCs w:val="24"/>
              </w:rPr>
              <w:t>ADART</w:t>
            </w:r>
          </w:p>
        </w:tc>
        <w:tc>
          <w:tcPr>
            <w:tcW w:w="1006" w:type="pct"/>
            <w:noWrap/>
            <w:hideMark/>
          </w:tcPr>
          <w:p w14:paraId="593E398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0.410</w:t>
            </w:r>
          </w:p>
        </w:tc>
        <w:tc>
          <w:tcPr>
            <w:tcW w:w="1074" w:type="pct"/>
            <w:noWrap/>
            <w:hideMark/>
          </w:tcPr>
          <w:p w14:paraId="43330C9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0.490</w:t>
            </w:r>
          </w:p>
        </w:tc>
        <w:tc>
          <w:tcPr>
            <w:tcW w:w="1003" w:type="pct"/>
            <w:noWrap/>
            <w:hideMark/>
          </w:tcPr>
          <w:p w14:paraId="187727C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0.490</w:t>
            </w:r>
          </w:p>
        </w:tc>
      </w:tr>
    </w:tbl>
    <w:p w14:paraId="060E1655" w14:textId="6B0EADFA" w:rsidR="00175DF1" w:rsidRPr="00583237" w:rsidRDefault="00175DF1" w:rsidP="00960B65">
      <w:pPr>
        <w:spacing w:after="0" w:line="240" w:lineRule="auto"/>
        <w:jc w:val="both"/>
        <w:rPr>
          <w:rFonts w:ascii="Times New Roman" w:hAnsi="Times New Roman" w:cs="Times New Roman"/>
          <w:i/>
          <w:iCs/>
          <w:color w:val="000000" w:themeColor="text1"/>
          <w:sz w:val="24"/>
          <w:szCs w:val="24"/>
        </w:rPr>
      </w:pPr>
      <w:r w:rsidRPr="00583237">
        <w:rPr>
          <w:rFonts w:ascii="Times New Roman" w:hAnsi="Times New Roman" w:cs="Times New Roman"/>
          <w:i/>
          <w:iCs/>
          <w:color w:val="000000" w:themeColor="text1"/>
          <w:sz w:val="24"/>
          <w:szCs w:val="24"/>
        </w:rPr>
        <w:t>(r (1) = P</w:t>
      </w:r>
      <w:r w:rsidR="00802BD6">
        <w:rPr>
          <w:rFonts w:ascii="Times New Roman" w:hAnsi="Times New Roman" w:cs="Times New Roman"/>
          <w:i/>
          <w:iCs/>
          <w:color w:val="000000" w:themeColor="text1"/>
          <w:sz w:val="24"/>
          <w:szCs w:val="24"/>
        </w:rPr>
        <w:t xml:space="preserve"> </w:t>
      </w:r>
      <w:r w:rsidRPr="00583237">
        <w:rPr>
          <w:rFonts w:ascii="Times New Roman" w:hAnsi="Times New Roman" w:cs="Times New Roman"/>
          <w:i/>
          <w:iCs/>
          <w:color w:val="000000" w:themeColor="text1"/>
          <w:sz w:val="24"/>
          <w:szCs w:val="24"/>
          <w:u w:val="single"/>
        </w:rPr>
        <w:t>&lt;</w:t>
      </w:r>
      <w:r w:rsidRPr="00583237">
        <w:rPr>
          <w:rFonts w:ascii="Times New Roman" w:hAnsi="Times New Roman" w:cs="Times New Roman"/>
          <w:i/>
          <w:iCs/>
          <w:color w:val="000000" w:themeColor="text1"/>
          <w:sz w:val="24"/>
          <w:szCs w:val="24"/>
        </w:rPr>
        <w:t xml:space="preserve"> 0.05</w:t>
      </w:r>
    </w:p>
    <w:p w14:paraId="43645638" w14:textId="77777777" w:rsidR="000658D6" w:rsidRDefault="000658D6" w:rsidP="00D50FAA">
      <w:pPr>
        <w:spacing w:line="240" w:lineRule="auto"/>
        <w:jc w:val="both"/>
        <w:rPr>
          <w:rFonts w:ascii="Times New Roman" w:hAnsi="Times New Roman" w:cs="Times New Roman"/>
          <w:b/>
          <w:sz w:val="24"/>
          <w:szCs w:val="24"/>
        </w:rPr>
      </w:pPr>
    </w:p>
    <w:p w14:paraId="4CC97945" w14:textId="61D4FFC0" w:rsidR="00175DF1" w:rsidRPr="00583237" w:rsidRDefault="004B6B83" w:rsidP="00D50FAA">
      <w:p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3.5</w:t>
      </w:r>
      <w:r w:rsidRPr="00583237">
        <w:rPr>
          <w:rFonts w:ascii="Times New Roman" w:hAnsi="Times New Roman" w:cs="Times New Roman"/>
          <w:b/>
          <w:sz w:val="24"/>
          <w:szCs w:val="24"/>
        </w:rPr>
        <w:tab/>
      </w:r>
      <w:r w:rsidR="00175DF1" w:rsidRPr="00583237">
        <w:rPr>
          <w:rFonts w:ascii="Times New Roman" w:hAnsi="Times New Roman" w:cs="Times New Roman"/>
          <w:b/>
          <w:sz w:val="24"/>
          <w:szCs w:val="24"/>
        </w:rPr>
        <w:t>Anthropometric</w:t>
      </w:r>
      <w:r w:rsidRPr="00583237">
        <w:rPr>
          <w:rFonts w:ascii="Times New Roman" w:hAnsi="Times New Roman" w:cs="Times New Roman"/>
          <w:b/>
          <w:sz w:val="24"/>
          <w:szCs w:val="24"/>
        </w:rPr>
        <w:t xml:space="preserve"> d</w:t>
      </w:r>
      <w:r w:rsidR="00175DF1" w:rsidRPr="00583237">
        <w:rPr>
          <w:rFonts w:ascii="Times New Roman" w:hAnsi="Times New Roman" w:cs="Times New Roman"/>
          <w:b/>
          <w:sz w:val="24"/>
          <w:szCs w:val="24"/>
        </w:rPr>
        <w:t xml:space="preserve">ata of the </w:t>
      </w:r>
      <w:r w:rsidRPr="00583237">
        <w:rPr>
          <w:rFonts w:ascii="Times New Roman" w:hAnsi="Times New Roman" w:cs="Times New Roman"/>
          <w:b/>
          <w:sz w:val="24"/>
          <w:szCs w:val="24"/>
        </w:rPr>
        <w:t>s</w:t>
      </w:r>
      <w:r w:rsidR="00175DF1" w:rsidRPr="00583237">
        <w:rPr>
          <w:rFonts w:ascii="Times New Roman" w:hAnsi="Times New Roman" w:cs="Times New Roman"/>
          <w:b/>
          <w:sz w:val="24"/>
          <w:szCs w:val="24"/>
        </w:rPr>
        <w:t xml:space="preserve">tudy </w:t>
      </w:r>
      <w:r w:rsidRPr="00583237">
        <w:rPr>
          <w:rFonts w:ascii="Times New Roman" w:hAnsi="Times New Roman" w:cs="Times New Roman"/>
          <w:b/>
          <w:sz w:val="24"/>
          <w:szCs w:val="24"/>
        </w:rPr>
        <w:t>p</w:t>
      </w:r>
      <w:r w:rsidR="00175DF1" w:rsidRPr="00583237">
        <w:rPr>
          <w:rFonts w:ascii="Times New Roman" w:hAnsi="Times New Roman" w:cs="Times New Roman"/>
          <w:b/>
          <w:sz w:val="24"/>
          <w:szCs w:val="24"/>
        </w:rPr>
        <w:t>opulations</w:t>
      </w:r>
    </w:p>
    <w:p w14:paraId="683E388F" w14:textId="77777777" w:rsidR="00175DF1" w:rsidRDefault="004B6B83" w:rsidP="00960B65">
      <w:pPr>
        <w:spacing w:after="0" w:line="240" w:lineRule="auto"/>
        <w:jc w:val="both"/>
        <w:rPr>
          <w:rFonts w:ascii="Times New Roman" w:hAnsi="Times New Roman" w:cs="Times New Roman"/>
          <w:bCs/>
          <w:sz w:val="24"/>
          <w:szCs w:val="24"/>
        </w:rPr>
      </w:pPr>
      <w:r w:rsidRPr="00583237">
        <w:rPr>
          <w:rFonts w:ascii="Times New Roman" w:hAnsi="Times New Roman" w:cs="Times New Roman"/>
          <w:sz w:val="24"/>
          <w:szCs w:val="24"/>
        </w:rPr>
        <w:t xml:space="preserve">Table </w:t>
      </w:r>
      <w:r w:rsidR="00175DF1" w:rsidRPr="00583237">
        <w:rPr>
          <w:rFonts w:ascii="Times New Roman" w:hAnsi="Times New Roman" w:cs="Times New Roman"/>
          <w:sz w:val="24"/>
          <w:szCs w:val="24"/>
        </w:rPr>
        <w:t>5</w:t>
      </w:r>
      <w:r w:rsidR="00175DF1" w:rsidRPr="00583237">
        <w:rPr>
          <w:rFonts w:ascii="Times New Roman" w:hAnsi="Times New Roman" w:cs="Times New Roman"/>
          <w:bCs/>
          <w:sz w:val="24"/>
          <w:szCs w:val="24"/>
        </w:rPr>
        <w:t xml:space="preserve"> presents the descriptive statistics of the anthropometric data for the rural, urban, a</w:t>
      </w:r>
      <w:r w:rsidRPr="00583237">
        <w:rPr>
          <w:rFonts w:ascii="Times New Roman" w:hAnsi="Times New Roman" w:cs="Times New Roman"/>
          <w:bCs/>
          <w:sz w:val="24"/>
          <w:szCs w:val="24"/>
        </w:rPr>
        <w:t xml:space="preserve">nd reference study populations. </w:t>
      </w:r>
      <w:r w:rsidR="00175DF1" w:rsidRPr="00583237">
        <w:rPr>
          <w:rFonts w:ascii="Times New Roman" w:hAnsi="Times New Roman" w:cs="Times New Roman"/>
          <w:bCs/>
          <w:sz w:val="24"/>
          <w:szCs w:val="24"/>
        </w:rPr>
        <w:t xml:space="preserve">The </w:t>
      </w:r>
      <w:r w:rsidR="00175DF1" w:rsidRPr="00583237">
        <w:rPr>
          <w:rFonts w:ascii="Times New Roman" w:hAnsi="Times New Roman" w:cs="Times New Roman"/>
          <w:sz w:val="24"/>
          <w:szCs w:val="24"/>
        </w:rPr>
        <w:t>mean body mass index (BMI)</w:t>
      </w:r>
      <w:r w:rsidR="00175DF1" w:rsidRPr="00583237">
        <w:rPr>
          <w:rFonts w:ascii="Times New Roman" w:hAnsi="Times New Roman" w:cs="Times New Roman"/>
          <w:bCs/>
          <w:sz w:val="24"/>
          <w:szCs w:val="24"/>
        </w:rPr>
        <w:t xml:space="preserve"> increased progressively from the rural (22.4 kg/m²) to urban (24.1 kg/m²) and reference (26.3 kg/m²) populations, with the reference group showing the highest BMI values. The median and mode values for BMI closely mirrored the mean values, indicating a relatively symmetrical distribution. The 95% confidence intervals suggest that the BMI values for rural (21.9-22.9 kg/m²) and urban (23.6-24.6 kg/m²) populations were tightly clustered, whereas the reference group showed a slightly wider variability (24.7-27.9 kg/m²). Percentile analysis revealed that 50% of rural participants had BMI values between 19.7 and 24.4 kg/m², while 90% were below 28.9 kg/m².</w:t>
      </w:r>
    </w:p>
    <w:p w14:paraId="360CC6C0" w14:textId="77777777" w:rsidR="00D50FAA" w:rsidRPr="00D50FAA" w:rsidRDefault="00D50FAA" w:rsidP="00960B65">
      <w:pPr>
        <w:spacing w:after="0" w:line="240" w:lineRule="auto"/>
        <w:jc w:val="both"/>
        <w:rPr>
          <w:rFonts w:ascii="Times New Roman" w:hAnsi="Times New Roman" w:cs="Times New Roman"/>
          <w:bCs/>
          <w:sz w:val="24"/>
          <w:szCs w:val="24"/>
        </w:rPr>
      </w:pPr>
    </w:p>
    <w:p w14:paraId="151BD230" w14:textId="77777777" w:rsidR="005F5935" w:rsidRDefault="005F5935" w:rsidP="00960B65">
      <w:pPr>
        <w:spacing w:after="0" w:line="240" w:lineRule="auto"/>
        <w:jc w:val="both"/>
        <w:rPr>
          <w:rFonts w:ascii="Times New Roman" w:hAnsi="Times New Roman" w:cs="Times New Roman"/>
          <w:b/>
          <w:sz w:val="24"/>
          <w:szCs w:val="24"/>
        </w:rPr>
      </w:pPr>
    </w:p>
    <w:p w14:paraId="233196CF" w14:textId="63BAECD0" w:rsidR="00175DF1" w:rsidRPr="00583237" w:rsidRDefault="004B6B83" w:rsidP="00960B65">
      <w:pPr>
        <w:spacing w:after="0"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 xml:space="preserve">Table </w:t>
      </w:r>
      <w:r w:rsidR="00175DF1" w:rsidRPr="00583237">
        <w:rPr>
          <w:rFonts w:ascii="Times New Roman" w:hAnsi="Times New Roman" w:cs="Times New Roman"/>
          <w:b/>
          <w:sz w:val="24"/>
          <w:szCs w:val="24"/>
        </w:rPr>
        <w:t>5: Descriptive Statistics of the Anthropometric Data of the Study Populations</w:t>
      </w:r>
    </w:p>
    <w:tbl>
      <w:tblPr>
        <w:tblStyle w:val="ListTable6Colorful1"/>
        <w:tblW w:w="0" w:type="auto"/>
        <w:tblCellMar>
          <w:left w:w="57" w:type="dxa"/>
          <w:right w:w="57" w:type="dxa"/>
        </w:tblCellMar>
        <w:tblLook w:val="04A0" w:firstRow="1" w:lastRow="0" w:firstColumn="1" w:lastColumn="0" w:noHBand="0" w:noVBand="1"/>
      </w:tblPr>
      <w:tblGrid>
        <w:gridCol w:w="2141"/>
        <w:gridCol w:w="468"/>
        <w:gridCol w:w="1959"/>
        <w:gridCol w:w="2354"/>
        <w:gridCol w:w="2219"/>
      </w:tblGrid>
      <w:tr w:rsidR="00175DF1" w:rsidRPr="00583237" w14:paraId="19E2807E" w14:textId="77777777" w:rsidTr="00E1538B">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609" w:type="dxa"/>
            <w:gridSpan w:val="2"/>
            <w:vMerge w:val="restart"/>
            <w:tcBorders>
              <w:top w:val="single" w:sz="4" w:space="0" w:color="000000" w:themeColor="text1"/>
              <w:bottom w:val="single" w:sz="4" w:space="0" w:color="auto"/>
            </w:tcBorders>
            <w:noWrap/>
            <w:hideMark/>
          </w:tcPr>
          <w:p w14:paraId="40733B9F" w14:textId="77777777" w:rsidR="00175DF1" w:rsidRPr="00583237" w:rsidRDefault="00175DF1" w:rsidP="00960B65">
            <w:pPr>
              <w:spacing w:before="240"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Parameters</w:t>
            </w:r>
          </w:p>
        </w:tc>
        <w:tc>
          <w:tcPr>
            <w:tcW w:w="6532" w:type="dxa"/>
            <w:gridSpan w:val="3"/>
            <w:vMerge w:val="restart"/>
            <w:noWrap/>
            <w:hideMark/>
          </w:tcPr>
          <w:p w14:paraId="1FC313FC" w14:textId="77777777" w:rsidR="00175DF1" w:rsidRPr="00583237" w:rsidRDefault="00175DF1" w:rsidP="00960B65">
            <w:pPr>
              <w:spacing w:before="24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 xml:space="preserve">                 Body Mass Index (kg/m²)</w:t>
            </w:r>
          </w:p>
        </w:tc>
      </w:tr>
      <w:tr w:rsidR="00175DF1" w:rsidRPr="00583237" w14:paraId="651FDEFD" w14:textId="77777777" w:rsidTr="00540CD6">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609" w:type="dxa"/>
            <w:gridSpan w:val="2"/>
            <w:vMerge/>
            <w:tcBorders>
              <w:bottom w:val="single" w:sz="4" w:space="0" w:color="auto"/>
            </w:tcBorders>
            <w:shd w:val="clear" w:color="auto" w:fill="auto"/>
            <w:noWrap/>
            <w:hideMark/>
          </w:tcPr>
          <w:p w14:paraId="2168225D"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6532" w:type="dxa"/>
            <w:gridSpan w:val="3"/>
            <w:vMerge/>
            <w:tcBorders>
              <w:bottom w:val="single" w:sz="4" w:space="0" w:color="auto"/>
            </w:tcBorders>
            <w:shd w:val="clear" w:color="auto" w:fill="auto"/>
            <w:noWrap/>
            <w:hideMark/>
          </w:tcPr>
          <w:p w14:paraId="32FB134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75DF1" w:rsidRPr="00583237" w14:paraId="65BFE132" w14:textId="77777777" w:rsidTr="00E1538B">
        <w:trPr>
          <w:trHeight w:val="300"/>
        </w:trPr>
        <w:tc>
          <w:tcPr>
            <w:cnfStyle w:val="001000000000" w:firstRow="0" w:lastRow="0" w:firstColumn="1" w:lastColumn="0" w:oddVBand="0" w:evenVBand="0" w:oddHBand="0" w:evenHBand="0" w:firstRowFirstColumn="0" w:firstRowLastColumn="0" w:lastRowFirstColumn="0" w:lastRowLastColumn="0"/>
            <w:tcW w:w="2609" w:type="dxa"/>
            <w:gridSpan w:val="2"/>
            <w:vMerge/>
            <w:tcBorders>
              <w:bottom w:val="single" w:sz="4" w:space="0" w:color="auto"/>
            </w:tcBorders>
            <w:noWrap/>
            <w:hideMark/>
          </w:tcPr>
          <w:p w14:paraId="12BA7956"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959" w:type="dxa"/>
            <w:tcBorders>
              <w:top w:val="single" w:sz="4" w:space="0" w:color="auto"/>
              <w:bottom w:val="single" w:sz="4" w:space="0" w:color="auto"/>
            </w:tcBorders>
            <w:noWrap/>
            <w:hideMark/>
          </w:tcPr>
          <w:p w14:paraId="16CDA18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Rural</w:t>
            </w:r>
          </w:p>
        </w:tc>
        <w:tc>
          <w:tcPr>
            <w:tcW w:w="2354" w:type="dxa"/>
            <w:tcBorders>
              <w:top w:val="single" w:sz="4" w:space="0" w:color="auto"/>
              <w:bottom w:val="single" w:sz="4" w:space="0" w:color="auto"/>
            </w:tcBorders>
            <w:noWrap/>
            <w:hideMark/>
          </w:tcPr>
          <w:p w14:paraId="69BA5DE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Urban</w:t>
            </w:r>
          </w:p>
        </w:tc>
        <w:tc>
          <w:tcPr>
            <w:tcW w:w="2219" w:type="dxa"/>
            <w:tcBorders>
              <w:top w:val="single" w:sz="4" w:space="0" w:color="auto"/>
              <w:bottom w:val="single" w:sz="4" w:space="0" w:color="auto"/>
            </w:tcBorders>
            <w:noWrap/>
            <w:hideMark/>
          </w:tcPr>
          <w:p w14:paraId="2DB0768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REF</w:t>
            </w:r>
          </w:p>
        </w:tc>
      </w:tr>
      <w:tr w:rsidR="00175DF1" w:rsidRPr="00583237" w14:paraId="3FC41A50" w14:textId="77777777" w:rsidTr="00E153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9" w:type="dxa"/>
            <w:gridSpan w:val="2"/>
            <w:tcBorders>
              <w:top w:val="single" w:sz="4" w:space="0" w:color="auto"/>
            </w:tcBorders>
            <w:shd w:val="clear" w:color="auto" w:fill="auto"/>
            <w:noWrap/>
            <w:hideMark/>
          </w:tcPr>
          <w:p w14:paraId="0D2F384C"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Mean</w:t>
            </w:r>
          </w:p>
        </w:tc>
        <w:tc>
          <w:tcPr>
            <w:tcW w:w="1959" w:type="dxa"/>
            <w:tcBorders>
              <w:top w:val="single" w:sz="4" w:space="0" w:color="auto"/>
            </w:tcBorders>
            <w:shd w:val="clear" w:color="auto" w:fill="auto"/>
            <w:noWrap/>
            <w:hideMark/>
          </w:tcPr>
          <w:p w14:paraId="678F7C1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22.4</w:t>
            </w:r>
          </w:p>
        </w:tc>
        <w:tc>
          <w:tcPr>
            <w:tcW w:w="2354" w:type="dxa"/>
            <w:tcBorders>
              <w:top w:val="single" w:sz="4" w:space="0" w:color="auto"/>
            </w:tcBorders>
            <w:shd w:val="clear" w:color="auto" w:fill="auto"/>
            <w:noWrap/>
            <w:hideMark/>
          </w:tcPr>
          <w:p w14:paraId="06999A2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24.1</w:t>
            </w:r>
          </w:p>
        </w:tc>
        <w:tc>
          <w:tcPr>
            <w:tcW w:w="2219" w:type="dxa"/>
            <w:tcBorders>
              <w:top w:val="single" w:sz="4" w:space="0" w:color="auto"/>
            </w:tcBorders>
            <w:shd w:val="clear" w:color="auto" w:fill="auto"/>
            <w:noWrap/>
            <w:hideMark/>
          </w:tcPr>
          <w:p w14:paraId="4DBBFC1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26.3</w:t>
            </w:r>
          </w:p>
        </w:tc>
      </w:tr>
      <w:tr w:rsidR="00175DF1" w:rsidRPr="00583237" w14:paraId="6CC46214" w14:textId="77777777" w:rsidTr="00E1538B">
        <w:trPr>
          <w:trHeight w:val="300"/>
        </w:trPr>
        <w:tc>
          <w:tcPr>
            <w:cnfStyle w:val="001000000000" w:firstRow="0" w:lastRow="0" w:firstColumn="1" w:lastColumn="0" w:oddVBand="0" w:evenVBand="0" w:oddHBand="0" w:evenHBand="0" w:firstRowFirstColumn="0" w:firstRowLastColumn="0" w:lastRowFirstColumn="0" w:lastRowLastColumn="0"/>
            <w:tcW w:w="2609" w:type="dxa"/>
            <w:gridSpan w:val="2"/>
            <w:noWrap/>
            <w:hideMark/>
          </w:tcPr>
          <w:p w14:paraId="61323BDD"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Standard deviation</w:t>
            </w:r>
          </w:p>
        </w:tc>
        <w:tc>
          <w:tcPr>
            <w:tcW w:w="1959" w:type="dxa"/>
            <w:noWrap/>
            <w:hideMark/>
          </w:tcPr>
          <w:p w14:paraId="5F2F6E1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3.9</w:t>
            </w:r>
          </w:p>
        </w:tc>
        <w:tc>
          <w:tcPr>
            <w:tcW w:w="2354" w:type="dxa"/>
            <w:noWrap/>
            <w:hideMark/>
          </w:tcPr>
          <w:p w14:paraId="399F5C4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4.8</w:t>
            </w:r>
          </w:p>
        </w:tc>
        <w:tc>
          <w:tcPr>
            <w:tcW w:w="2219" w:type="dxa"/>
            <w:noWrap/>
            <w:hideMark/>
          </w:tcPr>
          <w:p w14:paraId="31A39CD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4.8</w:t>
            </w:r>
          </w:p>
        </w:tc>
      </w:tr>
      <w:tr w:rsidR="00175DF1" w:rsidRPr="00583237" w14:paraId="5DBD1ABF" w14:textId="77777777" w:rsidTr="00E153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9" w:type="dxa"/>
            <w:gridSpan w:val="2"/>
            <w:shd w:val="clear" w:color="auto" w:fill="auto"/>
            <w:noWrap/>
            <w:hideMark/>
          </w:tcPr>
          <w:p w14:paraId="44F39D24"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Standard error of mean</w:t>
            </w:r>
          </w:p>
        </w:tc>
        <w:tc>
          <w:tcPr>
            <w:tcW w:w="1959" w:type="dxa"/>
            <w:shd w:val="clear" w:color="auto" w:fill="auto"/>
            <w:noWrap/>
            <w:hideMark/>
          </w:tcPr>
          <w:p w14:paraId="50E03BE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2354" w:type="dxa"/>
            <w:shd w:val="clear" w:color="auto" w:fill="auto"/>
            <w:noWrap/>
            <w:hideMark/>
          </w:tcPr>
          <w:p w14:paraId="4567E8B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2219" w:type="dxa"/>
            <w:shd w:val="clear" w:color="auto" w:fill="auto"/>
            <w:noWrap/>
            <w:hideMark/>
          </w:tcPr>
          <w:p w14:paraId="3E5854E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r>
      <w:tr w:rsidR="00175DF1" w:rsidRPr="00583237" w14:paraId="4369A791" w14:textId="77777777" w:rsidTr="00E1538B">
        <w:trPr>
          <w:trHeight w:val="300"/>
        </w:trPr>
        <w:tc>
          <w:tcPr>
            <w:cnfStyle w:val="001000000000" w:firstRow="0" w:lastRow="0" w:firstColumn="1" w:lastColumn="0" w:oddVBand="0" w:evenVBand="0" w:oddHBand="0" w:evenHBand="0" w:firstRowFirstColumn="0" w:firstRowLastColumn="0" w:lastRowFirstColumn="0" w:lastRowLastColumn="0"/>
            <w:tcW w:w="2609" w:type="dxa"/>
            <w:gridSpan w:val="2"/>
            <w:noWrap/>
            <w:hideMark/>
          </w:tcPr>
          <w:p w14:paraId="3AB7F784"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Minimum</w:t>
            </w:r>
          </w:p>
        </w:tc>
        <w:tc>
          <w:tcPr>
            <w:tcW w:w="1959" w:type="dxa"/>
            <w:noWrap/>
            <w:hideMark/>
          </w:tcPr>
          <w:p w14:paraId="3E9F4C8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15.1</w:t>
            </w:r>
          </w:p>
        </w:tc>
        <w:tc>
          <w:tcPr>
            <w:tcW w:w="2354" w:type="dxa"/>
            <w:noWrap/>
            <w:hideMark/>
          </w:tcPr>
          <w:p w14:paraId="0047E57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11.2</w:t>
            </w:r>
          </w:p>
        </w:tc>
        <w:tc>
          <w:tcPr>
            <w:tcW w:w="2219" w:type="dxa"/>
            <w:noWrap/>
            <w:hideMark/>
          </w:tcPr>
          <w:p w14:paraId="613B84F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16.5</w:t>
            </w:r>
          </w:p>
        </w:tc>
      </w:tr>
      <w:tr w:rsidR="00175DF1" w:rsidRPr="00583237" w14:paraId="700524CF" w14:textId="77777777" w:rsidTr="00E153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9" w:type="dxa"/>
            <w:gridSpan w:val="2"/>
            <w:shd w:val="clear" w:color="auto" w:fill="auto"/>
            <w:noWrap/>
            <w:hideMark/>
          </w:tcPr>
          <w:p w14:paraId="474E3CBE"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lastRenderedPageBreak/>
              <w:t>Maximum</w:t>
            </w:r>
          </w:p>
        </w:tc>
        <w:tc>
          <w:tcPr>
            <w:tcW w:w="1959" w:type="dxa"/>
            <w:shd w:val="clear" w:color="auto" w:fill="auto"/>
            <w:noWrap/>
            <w:hideMark/>
          </w:tcPr>
          <w:p w14:paraId="1F7D216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38.4</w:t>
            </w:r>
          </w:p>
        </w:tc>
        <w:tc>
          <w:tcPr>
            <w:tcW w:w="2354" w:type="dxa"/>
            <w:shd w:val="clear" w:color="auto" w:fill="auto"/>
            <w:noWrap/>
            <w:hideMark/>
          </w:tcPr>
          <w:p w14:paraId="1E77919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45.1</w:t>
            </w:r>
          </w:p>
        </w:tc>
        <w:tc>
          <w:tcPr>
            <w:tcW w:w="2219" w:type="dxa"/>
            <w:shd w:val="clear" w:color="auto" w:fill="auto"/>
            <w:noWrap/>
            <w:hideMark/>
          </w:tcPr>
          <w:p w14:paraId="6C1801A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36.8</w:t>
            </w:r>
          </w:p>
        </w:tc>
      </w:tr>
      <w:tr w:rsidR="00175DF1" w:rsidRPr="00583237" w14:paraId="187F297B" w14:textId="77777777" w:rsidTr="00E1538B">
        <w:trPr>
          <w:trHeight w:val="300"/>
        </w:trPr>
        <w:tc>
          <w:tcPr>
            <w:cnfStyle w:val="001000000000" w:firstRow="0" w:lastRow="0" w:firstColumn="1" w:lastColumn="0" w:oddVBand="0" w:evenVBand="0" w:oddHBand="0" w:evenHBand="0" w:firstRowFirstColumn="0" w:firstRowLastColumn="0" w:lastRowFirstColumn="0" w:lastRowLastColumn="0"/>
            <w:tcW w:w="2609" w:type="dxa"/>
            <w:gridSpan w:val="2"/>
            <w:noWrap/>
            <w:hideMark/>
          </w:tcPr>
          <w:p w14:paraId="106206D3"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Median</w:t>
            </w:r>
          </w:p>
        </w:tc>
        <w:tc>
          <w:tcPr>
            <w:tcW w:w="1959" w:type="dxa"/>
            <w:noWrap/>
            <w:hideMark/>
          </w:tcPr>
          <w:p w14:paraId="1BAC763D"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22.1</w:t>
            </w:r>
          </w:p>
        </w:tc>
        <w:tc>
          <w:tcPr>
            <w:tcW w:w="2354" w:type="dxa"/>
            <w:noWrap/>
            <w:hideMark/>
          </w:tcPr>
          <w:p w14:paraId="4240D4B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23.4</w:t>
            </w:r>
          </w:p>
        </w:tc>
        <w:tc>
          <w:tcPr>
            <w:tcW w:w="2219" w:type="dxa"/>
            <w:noWrap/>
            <w:hideMark/>
          </w:tcPr>
          <w:p w14:paraId="4C2DEA3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25.4</w:t>
            </w:r>
          </w:p>
        </w:tc>
      </w:tr>
      <w:tr w:rsidR="00175DF1" w:rsidRPr="00583237" w14:paraId="5C35B3DD" w14:textId="77777777" w:rsidTr="00E153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9" w:type="dxa"/>
            <w:gridSpan w:val="2"/>
            <w:shd w:val="clear" w:color="auto" w:fill="auto"/>
            <w:noWrap/>
            <w:hideMark/>
          </w:tcPr>
          <w:p w14:paraId="616723EE"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Mode</w:t>
            </w:r>
          </w:p>
        </w:tc>
        <w:tc>
          <w:tcPr>
            <w:tcW w:w="1959" w:type="dxa"/>
            <w:shd w:val="clear" w:color="auto" w:fill="auto"/>
            <w:noWrap/>
            <w:hideMark/>
          </w:tcPr>
          <w:p w14:paraId="4CDA4FE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22.1</w:t>
            </w:r>
          </w:p>
        </w:tc>
        <w:tc>
          <w:tcPr>
            <w:tcW w:w="2354" w:type="dxa"/>
            <w:shd w:val="clear" w:color="auto" w:fill="auto"/>
            <w:noWrap/>
            <w:hideMark/>
          </w:tcPr>
          <w:p w14:paraId="6E384714"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22.9</w:t>
            </w:r>
          </w:p>
        </w:tc>
        <w:tc>
          <w:tcPr>
            <w:tcW w:w="2219" w:type="dxa"/>
            <w:shd w:val="clear" w:color="auto" w:fill="auto"/>
            <w:noWrap/>
            <w:hideMark/>
          </w:tcPr>
          <w:p w14:paraId="000BB544"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24.8</w:t>
            </w:r>
          </w:p>
        </w:tc>
      </w:tr>
      <w:tr w:rsidR="00175DF1" w:rsidRPr="00583237" w14:paraId="68215432" w14:textId="77777777" w:rsidTr="00E1538B">
        <w:trPr>
          <w:trHeight w:val="300"/>
        </w:trPr>
        <w:tc>
          <w:tcPr>
            <w:cnfStyle w:val="001000000000" w:firstRow="0" w:lastRow="0" w:firstColumn="1" w:lastColumn="0" w:oddVBand="0" w:evenVBand="0" w:oddHBand="0" w:evenHBand="0" w:firstRowFirstColumn="0" w:firstRowLastColumn="0" w:lastRowFirstColumn="0" w:lastRowLastColumn="0"/>
            <w:tcW w:w="9141" w:type="dxa"/>
            <w:gridSpan w:val="5"/>
            <w:noWrap/>
          </w:tcPr>
          <w:p w14:paraId="13420E0A"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95% Confidence Interval</w:t>
            </w:r>
          </w:p>
        </w:tc>
      </w:tr>
      <w:tr w:rsidR="00175DF1" w:rsidRPr="00583237" w14:paraId="5E03E214" w14:textId="77777777" w:rsidTr="00E153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1" w:type="dxa"/>
            <w:shd w:val="clear" w:color="auto" w:fill="auto"/>
            <w:noWrap/>
            <w:hideMark/>
          </w:tcPr>
          <w:p w14:paraId="61A7F5B4"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Lower bound</w:t>
            </w:r>
          </w:p>
        </w:tc>
        <w:tc>
          <w:tcPr>
            <w:tcW w:w="2427" w:type="dxa"/>
            <w:gridSpan w:val="2"/>
            <w:shd w:val="clear" w:color="auto" w:fill="auto"/>
            <w:noWrap/>
            <w:hideMark/>
          </w:tcPr>
          <w:p w14:paraId="0389D7AE" w14:textId="77777777" w:rsidR="00175DF1" w:rsidRPr="00583237" w:rsidRDefault="00E1538B"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 xml:space="preserve">      </w:t>
            </w:r>
            <w:r w:rsidR="00175DF1" w:rsidRPr="00583237">
              <w:rPr>
                <w:rFonts w:ascii="Times New Roman" w:hAnsi="Times New Roman" w:cs="Times New Roman"/>
                <w:sz w:val="24"/>
                <w:szCs w:val="24"/>
              </w:rPr>
              <w:t>21.9</w:t>
            </w:r>
          </w:p>
        </w:tc>
        <w:tc>
          <w:tcPr>
            <w:tcW w:w="2354" w:type="dxa"/>
            <w:shd w:val="clear" w:color="auto" w:fill="auto"/>
            <w:noWrap/>
            <w:hideMark/>
          </w:tcPr>
          <w:p w14:paraId="5A23E72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23.6</w:t>
            </w:r>
          </w:p>
        </w:tc>
        <w:tc>
          <w:tcPr>
            <w:tcW w:w="2219" w:type="dxa"/>
            <w:shd w:val="clear" w:color="auto" w:fill="auto"/>
            <w:noWrap/>
            <w:hideMark/>
          </w:tcPr>
          <w:p w14:paraId="2E67C52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24.7</w:t>
            </w:r>
          </w:p>
        </w:tc>
      </w:tr>
      <w:tr w:rsidR="00175DF1" w:rsidRPr="00583237" w14:paraId="40FF503B" w14:textId="77777777" w:rsidTr="00E1538B">
        <w:trPr>
          <w:trHeight w:val="300"/>
        </w:trPr>
        <w:tc>
          <w:tcPr>
            <w:cnfStyle w:val="001000000000" w:firstRow="0" w:lastRow="0" w:firstColumn="1" w:lastColumn="0" w:oddVBand="0" w:evenVBand="0" w:oddHBand="0" w:evenHBand="0" w:firstRowFirstColumn="0" w:firstRowLastColumn="0" w:lastRowFirstColumn="0" w:lastRowLastColumn="0"/>
            <w:tcW w:w="2141" w:type="dxa"/>
            <w:noWrap/>
            <w:hideMark/>
          </w:tcPr>
          <w:p w14:paraId="560502D7"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Upper bound</w:t>
            </w:r>
          </w:p>
        </w:tc>
        <w:tc>
          <w:tcPr>
            <w:tcW w:w="2427" w:type="dxa"/>
            <w:gridSpan w:val="2"/>
            <w:noWrap/>
            <w:hideMark/>
          </w:tcPr>
          <w:p w14:paraId="194AC953" w14:textId="77777777" w:rsidR="00175DF1" w:rsidRPr="00583237" w:rsidRDefault="00E1538B"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 xml:space="preserve">      </w:t>
            </w:r>
            <w:r w:rsidR="00175DF1" w:rsidRPr="00583237">
              <w:rPr>
                <w:rFonts w:ascii="Times New Roman" w:hAnsi="Times New Roman" w:cs="Times New Roman"/>
                <w:sz w:val="24"/>
                <w:szCs w:val="24"/>
              </w:rPr>
              <w:t>22.9</w:t>
            </w:r>
          </w:p>
        </w:tc>
        <w:tc>
          <w:tcPr>
            <w:tcW w:w="2354" w:type="dxa"/>
            <w:noWrap/>
            <w:hideMark/>
          </w:tcPr>
          <w:p w14:paraId="651A391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24.6</w:t>
            </w:r>
          </w:p>
        </w:tc>
        <w:tc>
          <w:tcPr>
            <w:tcW w:w="2219" w:type="dxa"/>
            <w:noWrap/>
            <w:hideMark/>
          </w:tcPr>
          <w:p w14:paraId="3A0DDDB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27.9</w:t>
            </w:r>
          </w:p>
        </w:tc>
      </w:tr>
      <w:tr w:rsidR="00175DF1" w:rsidRPr="00583237" w14:paraId="79DDF1F2" w14:textId="77777777" w:rsidTr="00E153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68" w:type="dxa"/>
            <w:gridSpan w:val="3"/>
            <w:shd w:val="clear" w:color="auto" w:fill="auto"/>
            <w:noWrap/>
            <w:hideMark/>
          </w:tcPr>
          <w:p w14:paraId="1DB5BB5B"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Percentiles</w:t>
            </w:r>
          </w:p>
        </w:tc>
        <w:tc>
          <w:tcPr>
            <w:tcW w:w="2354" w:type="dxa"/>
            <w:shd w:val="clear" w:color="auto" w:fill="auto"/>
            <w:noWrap/>
            <w:hideMark/>
          </w:tcPr>
          <w:p w14:paraId="5FE1565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19" w:type="dxa"/>
            <w:shd w:val="clear" w:color="auto" w:fill="auto"/>
            <w:noWrap/>
            <w:hideMark/>
          </w:tcPr>
          <w:p w14:paraId="62B94D7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75DF1" w:rsidRPr="00583237" w14:paraId="1F17777F" w14:textId="77777777" w:rsidTr="00E1538B">
        <w:trPr>
          <w:trHeight w:val="300"/>
        </w:trPr>
        <w:tc>
          <w:tcPr>
            <w:cnfStyle w:val="001000000000" w:firstRow="0" w:lastRow="0" w:firstColumn="1" w:lastColumn="0" w:oddVBand="0" w:evenVBand="0" w:oddHBand="0" w:evenHBand="0" w:firstRowFirstColumn="0" w:firstRowLastColumn="0" w:lastRowFirstColumn="0" w:lastRowLastColumn="0"/>
            <w:tcW w:w="2141" w:type="dxa"/>
            <w:noWrap/>
            <w:hideMark/>
          </w:tcPr>
          <w:p w14:paraId="5297CCB2"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25</w:t>
            </w:r>
            <w:r w:rsidRPr="00583237">
              <w:rPr>
                <w:rFonts w:ascii="Times New Roman" w:hAnsi="Times New Roman" w:cs="Times New Roman"/>
                <w:sz w:val="24"/>
                <w:szCs w:val="24"/>
                <w:vertAlign w:val="superscript"/>
              </w:rPr>
              <w:t>th</w:t>
            </w:r>
          </w:p>
        </w:tc>
        <w:tc>
          <w:tcPr>
            <w:tcW w:w="2427" w:type="dxa"/>
            <w:gridSpan w:val="2"/>
            <w:noWrap/>
            <w:hideMark/>
          </w:tcPr>
          <w:p w14:paraId="2494A534" w14:textId="77777777" w:rsidR="00175DF1" w:rsidRPr="00583237" w:rsidRDefault="00E1538B"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 xml:space="preserve">     </w:t>
            </w:r>
            <w:r w:rsidR="00256CD2">
              <w:rPr>
                <w:rFonts w:ascii="Times New Roman" w:hAnsi="Times New Roman" w:cs="Times New Roman"/>
                <w:sz w:val="24"/>
                <w:szCs w:val="24"/>
              </w:rPr>
              <w:t xml:space="preserve"> </w:t>
            </w:r>
            <w:r w:rsidR="00175DF1" w:rsidRPr="00583237">
              <w:rPr>
                <w:rFonts w:ascii="Times New Roman" w:hAnsi="Times New Roman" w:cs="Times New Roman"/>
                <w:sz w:val="24"/>
                <w:szCs w:val="24"/>
              </w:rPr>
              <w:t>19.7</w:t>
            </w:r>
          </w:p>
        </w:tc>
        <w:tc>
          <w:tcPr>
            <w:tcW w:w="2354" w:type="dxa"/>
            <w:noWrap/>
            <w:hideMark/>
          </w:tcPr>
          <w:p w14:paraId="75927BE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20.7</w:t>
            </w:r>
          </w:p>
        </w:tc>
        <w:tc>
          <w:tcPr>
            <w:tcW w:w="2219" w:type="dxa"/>
            <w:noWrap/>
            <w:hideMark/>
          </w:tcPr>
          <w:p w14:paraId="0FA7453A"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22.9</w:t>
            </w:r>
          </w:p>
        </w:tc>
      </w:tr>
      <w:tr w:rsidR="00175DF1" w:rsidRPr="00583237" w14:paraId="2BF1632F" w14:textId="77777777" w:rsidTr="00E153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1" w:type="dxa"/>
            <w:shd w:val="clear" w:color="auto" w:fill="auto"/>
            <w:noWrap/>
            <w:hideMark/>
          </w:tcPr>
          <w:p w14:paraId="62500A2B"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50</w:t>
            </w:r>
            <w:r w:rsidRPr="00583237">
              <w:rPr>
                <w:rFonts w:ascii="Times New Roman" w:hAnsi="Times New Roman" w:cs="Times New Roman"/>
                <w:sz w:val="24"/>
                <w:szCs w:val="24"/>
                <w:vertAlign w:val="superscript"/>
              </w:rPr>
              <w:t>th</w:t>
            </w:r>
          </w:p>
        </w:tc>
        <w:tc>
          <w:tcPr>
            <w:tcW w:w="2427" w:type="dxa"/>
            <w:gridSpan w:val="2"/>
            <w:shd w:val="clear" w:color="auto" w:fill="auto"/>
            <w:noWrap/>
            <w:hideMark/>
          </w:tcPr>
          <w:p w14:paraId="33A2F4F4" w14:textId="77777777" w:rsidR="00175DF1" w:rsidRPr="00583237" w:rsidRDefault="00256CD2"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175DF1" w:rsidRPr="00583237">
              <w:rPr>
                <w:rFonts w:ascii="Times New Roman" w:hAnsi="Times New Roman" w:cs="Times New Roman"/>
                <w:sz w:val="24"/>
                <w:szCs w:val="24"/>
              </w:rPr>
              <w:t>22.1</w:t>
            </w:r>
          </w:p>
        </w:tc>
        <w:tc>
          <w:tcPr>
            <w:tcW w:w="2354" w:type="dxa"/>
            <w:shd w:val="clear" w:color="auto" w:fill="auto"/>
            <w:noWrap/>
            <w:hideMark/>
          </w:tcPr>
          <w:p w14:paraId="0D9C0C9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23.4</w:t>
            </w:r>
          </w:p>
        </w:tc>
        <w:tc>
          <w:tcPr>
            <w:tcW w:w="2219" w:type="dxa"/>
            <w:shd w:val="clear" w:color="auto" w:fill="auto"/>
            <w:noWrap/>
            <w:hideMark/>
          </w:tcPr>
          <w:p w14:paraId="369C799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25.4</w:t>
            </w:r>
          </w:p>
        </w:tc>
      </w:tr>
      <w:tr w:rsidR="00175DF1" w:rsidRPr="00583237" w14:paraId="3C304F4A" w14:textId="77777777" w:rsidTr="00E1538B">
        <w:trPr>
          <w:trHeight w:val="300"/>
        </w:trPr>
        <w:tc>
          <w:tcPr>
            <w:cnfStyle w:val="001000000000" w:firstRow="0" w:lastRow="0" w:firstColumn="1" w:lastColumn="0" w:oddVBand="0" w:evenVBand="0" w:oddHBand="0" w:evenHBand="0" w:firstRowFirstColumn="0" w:firstRowLastColumn="0" w:lastRowFirstColumn="0" w:lastRowLastColumn="0"/>
            <w:tcW w:w="2141" w:type="dxa"/>
            <w:noWrap/>
            <w:hideMark/>
          </w:tcPr>
          <w:p w14:paraId="6676C6EE"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75</w:t>
            </w:r>
            <w:r w:rsidRPr="00583237">
              <w:rPr>
                <w:rFonts w:ascii="Times New Roman" w:hAnsi="Times New Roman" w:cs="Times New Roman"/>
                <w:sz w:val="24"/>
                <w:szCs w:val="24"/>
                <w:vertAlign w:val="superscript"/>
              </w:rPr>
              <w:t>th</w:t>
            </w:r>
          </w:p>
        </w:tc>
        <w:tc>
          <w:tcPr>
            <w:tcW w:w="2427" w:type="dxa"/>
            <w:gridSpan w:val="2"/>
            <w:noWrap/>
            <w:hideMark/>
          </w:tcPr>
          <w:p w14:paraId="75BA95E3" w14:textId="77777777" w:rsidR="00175DF1" w:rsidRPr="00583237" w:rsidRDefault="00256CD2"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175DF1" w:rsidRPr="00583237">
              <w:rPr>
                <w:rFonts w:ascii="Times New Roman" w:hAnsi="Times New Roman" w:cs="Times New Roman"/>
                <w:sz w:val="24"/>
                <w:szCs w:val="24"/>
              </w:rPr>
              <w:t>24.4</w:t>
            </w:r>
          </w:p>
        </w:tc>
        <w:tc>
          <w:tcPr>
            <w:tcW w:w="2354" w:type="dxa"/>
            <w:noWrap/>
            <w:hideMark/>
          </w:tcPr>
          <w:p w14:paraId="1215283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26.8</w:t>
            </w:r>
          </w:p>
        </w:tc>
        <w:tc>
          <w:tcPr>
            <w:tcW w:w="2219" w:type="dxa"/>
            <w:noWrap/>
            <w:hideMark/>
          </w:tcPr>
          <w:p w14:paraId="50B49E7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29.6</w:t>
            </w:r>
          </w:p>
        </w:tc>
      </w:tr>
      <w:tr w:rsidR="00175DF1" w:rsidRPr="00583237" w14:paraId="07F5C0FA" w14:textId="77777777" w:rsidTr="00E153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1" w:type="dxa"/>
            <w:shd w:val="clear" w:color="auto" w:fill="auto"/>
            <w:noWrap/>
            <w:hideMark/>
          </w:tcPr>
          <w:p w14:paraId="245EA0BA"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5</w:t>
            </w:r>
            <w:r w:rsidRPr="00583237">
              <w:rPr>
                <w:rFonts w:ascii="Times New Roman" w:hAnsi="Times New Roman" w:cs="Times New Roman"/>
                <w:sz w:val="24"/>
                <w:szCs w:val="24"/>
                <w:vertAlign w:val="superscript"/>
              </w:rPr>
              <w:t>th</w:t>
            </w:r>
          </w:p>
        </w:tc>
        <w:tc>
          <w:tcPr>
            <w:tcW w:w="2427" w:type="dxa"/>
            <w:gridSpan w:val="2"/>
            <w:shd w:val="clear" w:color="auto" w:fill="auto"/>
            <w:noWrap/>
            <w:hideMark/>
          </w:tcPr>
          <w:p w14:paraId="5D48C70D" w14:textId="77777777" w:rsidR="00175DF1" w:rsidRPr="00583237" w:rsidRDefault="00256CD2"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175DF1" w:rsidRPr="00583237">
              <w:rPr>
                <w:rFonts w:ascii="Times New Roman" w:hAnsi="Times New Roman" w:cs="Times New Roman"/>
                <w:sz w:val="24"/>
                <w:szCs w:val="24"/>
              </w:rPr>
              <w:t>17.6</w:t>
            </w:r>
          </w:p>
        </w:tc>
        <w:tc>
          <w:tcPr>
            <w:tcW w:w="2354" w:type="dxa"/>
            <w:shd w:val="clear" w:color="auto" w:fill="auto"/>
            <w:noWrap/>
            <w:hideMark/>
          </w:tcPr>
          <w:p w14:paraId="4C09228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17.9</w:t>
            </w:r>
          </w:p>
        </w:tc>
        <w:tc>
          <w:tcPr>
            <w:tcW w:w="2219" w:type="dxa"/>
            <w:shd w:val="clear" w:color="auto" w:fill="auto"/>
            <w:noWrap/>
            <w:hideMark/>
          </w:tcPr>
          <w:p w14:paraId="157D6E1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20.5</w:t>
            </w:r>
          </w:p>
        </w:tc>
      </w:tr>
      <w:tr w:rsidR="00175DF1" w:rsidRPr="00583237" w14:paraId="7A2B94E1" w14:textId="77777777" w:rsidTr="00E1538B">
        <w:trPr>
          <w:trHeight w:val="300"/>
        </w:trPr>
        <w:tc>
          <w:tcPr>
            <w:cnfStyle w:val="001000000000" w:firstRow="0" w:lastRow="0" w:firstColumn="1" w:lastColumn="0" w:oddVBand="0" w:evenVBand="0" w:oddHBand="0" w:evenHBand="0" w:firstRowFirstColumn="0" w:firstRowLastColumn="0" w:lastRowFirstColumn="0" w:lastRowLastColumn="0"/>
            <w:tcW w:w="2141" w:type="dxa"/>
            <w:noWrap/>
            <w:hideMark/>
          </w:tcPr>
          <w:p w14:paraId="79F8EF03"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95</w:t>
            </w:r>
            <w:r w:rsidRPr="00583237">
              <w:rPr>
                <w:rFonts w:ascii="Times New Roman" w:hAnsi="Times New Roman" w:cs="Times New Roman"/>
                <w:sz w:val="24"/>
                <w:szCs w:val="24"/>
                <w:vertAlign w:val="superscript"/>
              </w:rPr>
              <w:t>th</w:t>
            </w:r>
          </w:p>
        </w:tc>
        <w:tc>
          <w:tcPr>
            <w:tcW w:w="2427" w:type="dxa"/>
            <w:gridSpan w:val="2"/>
            <w:noWrap/>
            <w:hideMark/>
          </w:tcPr>
          <w:p w14:paraId="5DF64F22" w14:textId="77777777" w:rsidR="00175DF1" w:rsidRPr="00583237" w:rsidRDefault="00256CD2"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175DF1" w:rsidRPr="00583237">
              <w:rPr>
                <w:rFonts w:ascii="Times New Roman" w:hAnsi="Times New Roman" w:cs="Times New Roman"/>
                <w:sz w:val="24"/>
                <w:szCs w:val="24"/>
              </w:rPr>
              <w:t>28.9</w:t>
            </w:r>
          </w:p>
        </w:tc>
        <w:tc>
          <w:tcPr>
            <w:tcW w:w="2354" w:type="dxa"/>
            <w:noWrap/>
            <w:hideMark/>
          </w:tcPr>
          <w:p w14:paraId="4D46ADB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32.0</w:t>
            </w:r>
          </w:p>
        </w:tc>
        <w:tc>
          <w:tcPr>
            <w:tcW w:w="2219" w:type="dxa"/>
            <w:noWrap/>
            <w:hideMark/>
          </w:tcPr>
          <w:p w14:paraId="2B83CBB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36.3</w:t>
            </w:r>
          </w:p>
        </w:tc>
      </w:tr>
    </w:tbl>
    <w:p w14:paraId="74FB74AB" w14:textId="77777777" w:rsidR="00024FF2"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b/>
          <w:i/>
          <w:iCs/>
          <w:sz w:val="24"/>
          <w:szCs w:val="24"/>
        </w:rPr>
        <w:t>REF=Reference</w:t>
      </w:r>
    </w:p>
    <w:p w14:paraId="6DB7CAEA" w14:textId="77777777" w:rsidR="00024FF2" w:rsidRPr="00583237" w:rsidRDefault="00024FF2" w:rsidP="00960B65">
      <w:pPr>
        <w:spacing w:after="0" w:line="240" w:lineRule="auto"/>
        <w:jc w:val="both"/>
        <w:rPr>
          <w:rFonts w:ascii="Times New Roman" w:hAnsi="Times New Roman" w:cs="Times New Roman"/>
          <w:sz w:val="24"/>
          <w:szCs w:val="24"/>
        </w:rPr>
      </w:pPr>
    </w:p>
    <w:p w14:paraId="32DE1941" w14:textId="77777777" w:rsidR="005F5935" w:rsidRDefault="005F5935" w:rsidP="00960B65">
      <w:pPr>
        <w:spacing w:after="0" w:line="240" w:lineRule="auto"/>
        <w:jc w:val="both"/>
        <w:rPr>
          <w:rFonts w:ascii="Times New Roman" w:hAnsi="Times New Roman" w:cs="Times New Roman"/>
          <w:b/>
          <w:sz w:val="24"/>
          <w:szCs w:val="24"/>
        </w:rPr>
      </w:pPr>
    </w:p>
    <w:p w14:paraId="3EF06A85" w14:textId="675B411E" w:rsidR="00DE203C" w:rsidRPr="00260450" w:rsidRDefault="000B355E" w:rsidP="00960B65">
      <w:pPr>
        <w:spacing w:after="0" w:line="240" w:lineRule="auto"/>
        <w:jc w:val="both"/>
        <w:rPr>
          <w:rFonts w:ascii="Times New Roman" w:hAnsi="Times New Roman" w:cs="Times New Roman"/>
          <w:b/>
          <w:sz w:val="24"/>
          <w:szCs w:val="24"/>
        </w:rPr>
      </w:pPr>
      <w:r w:rsidRPr="00260450">
        <w:rPr>
          <w:rFonts w:ascii="Times New Roman" w:hAnsi="Times New Roman" w:cs="Times New Roman"/>
          <w:b/>
          <w:sz w:val="24"/>
          <w:szCs w:val="24"/>
        </w:rPr>
        <w:t>4.</w:t>
      </w:r>
      <w:r w:rsidRPr="00260450">
        <w:rPr>
          <w:rFonts w:ascii="Times New Roman" w:hAnsi="Times New Roman" w:cs="Times New Roman"/>
          <w:b/>
          <w:sz w:val="24"/>
          <w:szCs w:val="24"/>
        </w:rPr>
        <w:tab/>
      </w:r>
      <w:r w:rsidR="00DE203C" w:rsidRPr="00260450">
        <w:rPr>
          <w:rFonts w:ascii="Times New Roman" w:hAnsi="Times New Roman" w:cs="Times New Roman"/>
          <w:b/>
          <w:sz w:val="24"/>
          <w:szCs w:val="24"/>
        </w:rPr>
        <w:t>DISCUSSION</w:t>
      </w:r>
    </w:p>
    <w:p w14:paraId="28333F5E" w14:textId="6A13F78D" w:rsidR="007D7BB9" w:rsidRPr="001A4A62" w:rsidRDefault="006C26AA" w:rsidP="00960B65">
      <w:pPr>
        <w:pStyle w:val="NormalWeb"/>
        <w:spacing w:after="0" w:afterAutospacing="0"/>
        <w:jc w:val="both"/>
      </w:pPr>
      <w:r w:rsidRPr="001A4A62">
        <w:t>This study investigated the relationship between anthropometric parameters and the risk of developing diabetes mellitus in a young adult population</w:t>
      </w:r>
      <w:r w:rsidR="001B4442" w:rsidRPr="001A4A62">
        <w:t xml:space="preserve"> in Rivers State, Nigeria</w:t>
      </w:r>
      <w:r w:rsidRPr="001A4A62">
        <w:t xml:space="preserve">. </w:t>
      </w:r>
      <w:r w:rsidR="0079143A" w:rsidRPr="001A4A62">
        <w:t>The demographic data reveal significant differences in age, height, and weight among the rural, urban, and reference populations</w:t>
      </w:r>
      <w:r w:rsidR="00333C10" w:rsidRPr="001A4A62">
        <w:t>, as shown in Table 1</w:t>
      </w:r>
      <w:r w:rsidR="0079143A" w:rsidRPr="001A4A62">
        <w:t xml:space="preserve">. The rural population had a higher mean age (30.2 ± 0.6 years) than the urban population (23.8 ± 0.3 years), while the reference group </w:t>
      </w:r>
      <w:r w:rsidR="000B1143">
        <w:t xml:space="preserve">consisting of diagnosed diabetics </w:t>
      </w:r>
      <w:r w:rsidR="0079143A" w:rsidRPr="001A4A62">
        <w:t>was significantly older than both (40.7 ± 1.1 years)</w:t>
      </w:r>
      <w:r w:rsidR="00540CD6" w:rsidRPr="009457E4">
        <w:t xml:space="preserve">. </w:t>
      </w:r>
      <w:r w:rsidR="000B1143">
        <w:t xml:space="preserve">This </w:t>
      </w:r>
      <w:r w:rsidR="00302DB4">
        <w:t>could be explained by the fact</w:t>
      </w:r>
      <w:r w:rsidR="000B1143">
        <w:t xml:space="preserve"> that </w:t>
      </w:r>
      <w:r w:rsidR="00302DB4">
        <w:t>oftentimes,</w:t>
      </w:r>
      <w:r w:rsidR="000B1143">
        <w:t xml:space="preserve"> u</w:t>
      </w:r>
      <w:r w:rsidR="00540CD6" w:rsidRPr="009457E4">
        <w:t>rban adult populations tend to be younger, possibly because urban sampling often attracts students or early-career individuals, whereas older individuals are more readily engaged in rural settings or represent diagnosed cases in clinical cohorts. This corroborates the findings of Nnamudi et al.,</w:t>
      </w:r>
      <w:r w:rsidR="00540CD6">
        <w:t xml:space="preserve"> </w:t>
      </w:r>
      <w:r w:rsidR="00540CD6" w:rsidRPr="009457E4">
        <w:t>2023, who also reported younger mean ages in urban populations</w:t>
      </w:r>
      <w:r w:rsidR="00540CD6">
        <w:t xml:space="preserve">. </w:t>
      </w:r>
      <w:r w:rsidR="0079143A" w:rsidRPr="001A4A62">
        <w:t>Height and weight were highest in the urban population (168.2 ± 0.5 cm and 68.1 ± 0.8 kg), reflecting lifestyle factors such as better nutrition but also greater sedentary activity. The rural group was shorter and lighter, likely due to physically demanding agricultural work and lower caloric intake. The reference group’s weight (71.5 ± 2.3 kg) matched urban levels despite slightly shorter height, suggesting a higher proportion of body fat; a factor that may have contributed to their diabetes diagnosis. These demographic patterns highlight how age and baseline body measurements can influence diabetes risk.</w:t>
      </w:r>
    </w:p>
    <w:p w14:paraId="5112C4D3" w14:textId="77777777" w:rsidR="007D7BB9" w:rsidRPr="001A4A62" w:rsidRDefault="00CF0405" w:rsidP="00960B65">
      <w:pPr>
        <w:pStyle w:val="NormalWeb"/>
        <w:spacing w:after="0" w:afterAutospacing="0"/>
        <w:jc w:val="both"/>
      </w:pPr>
      <w:r w:rsidRPr="001A4A62">
        <w:t>The significant differences in anthropometric data between the rural, urban, and reference populations highlight the environmental and lifestyle factors that influence diabetes risk. As shown in Table 2, the urban population, characterized by white-collar occupations and higher incomes, had a significantly higher mean BMI (</w:t>
      </w:r>
      <w:r w:rsidRPr="001A4A62">
        <w:rPr>
          <w:rStyle w:val="mord"/>
          <w:rFonts w:eastAsiaTheme="majorEastAsia"/>
        </w:rPr>
        <w:t>24.1</w:t>
      </w:r>
      <w:r w:rsidRPr="001A4A62">
        <w:rPr>
          <w:rStyle w:val="mbin"/>
          <w:rFonts w:eastAsiaTheme="majorEastAsia"/>
        </w:rPr>
        <w:t>±</w:t>
      </w:r>
      <w:r w:rsidRPr="001A4A62">
        <w:rPr>
          <w:rStyle w:val="mord"/>
          <w:rFonts w:eastAsiaTheme="majorEastAsia"/>
        </w:rPr>
        <w:t>0.3 kg/m</w:t>
      </w:r>
      <w:r w:rsidRPr="001A4A62">
        <w:rPr>
          <w:rStyle w:val="mord"/>
          <w:rFonts w:eastAsiaTheme="majorEastAsia"/>
          <w:vertAlign w:val="superscript"/>
        </w:rPr>
        <w:t>2</w:t>
      </w:r>
      <w:r w:rsidRPr="001A4A62">
        <w:t>) and a greater prevalence of overweight and obesity compared to the rural population (</w:t>
      </w:r>
      <w:r w:rsidRPr="001A4A62">
        <w:rPr>
          <w:rStyle w:val="mord"/>
          <w:rFonts w:eastAsiaTheme="majorEastAsia"/>
        </w:rPr>
        <w:t>22.4</w:t>
      </w:r>
      <w:r w:rsidRPr="001A4A62">
        <w:rPr>
          <w:rStyle w:val="mbin"/>
          <w:rFonts w:eastAsiaTheme="majorEastAsia"/>
        </w:rPr>
        <w:t>±</w:t>
      </w:r>
      <w:r w:rsidRPr="001A4A62">
        <w:rPr>
          <w:rStyle w:val="mord"/>
          <w:rFonts w:eastAsiaTheme="majorEastAsia"/>
        </w:rPr>
        <w:t>0.3 kg/m</w:t>
      </w:r>
      <w:r w:rsidRPr="001A4A62">
        <w:rPr>
          <w:rStyle w:val="mord"/>
          <w:rFonts w:eastAsiaTheme="majorEastAsia"/>
          <w:vertAlign w:val="superscript"/>
        </w:rPr>
        <w:t>2</w:t>
      </w:r>
      <w:r w:rsidRPr="001A4A62">
        <w:t xml:space="preserve">). This is likely due to the more sedentary lifestyle prevalent in urban settings, contrasting with the physically demanding, manual labor-intensive occupations common in rural areas (Ahmad </w:t>
      </w:r>
      <w:r w:rsidRPr="007B03C5">
        <w:rPr>
          <w:iCs/>
        </w:rPr>
        <w:t>et al.,</w:t>
      </w:r>
      <w:r w:rsidRPr="001A4A62">
        <w:t xml:space="preserve"> 2022). In contrast, the rural population, primarily engaged in manual labor, had lower mean BMI and a higher prevalence of normal weight. This indicates that while genetic predisposition plays a role, environmental factors and lifestyle choices are critical determinants of diabetes risk. The reference group, composed of older individuals with established diagnosis of diabetes, exhibited the highest mean BMI (</w:t>
      </w:r>
      <w:r w:rsidRPr="001A4A62">
        <w:rPr>
          <w:rStyle w:val="mord"/>
          <w:rFonts w:eastAsiaTheme="majorEastAsia"/>
        </w:rPr>
        <w:t>26.3</w:t>
      </w:r>
      <w:r w:rsidRPr="001A4A62">
        <w:rPr>
          <w:rStyle w:val="mbin"/>
          <w:rFonts w:eastAsiaTheme="majorEastAsia"/>
        </w:rPr>
        <w:t>±</w:t>
      </w:r>
      <w:r w:rsidRPr="001A4A62">
        <w:rPr>
          <w:rStyle w:val="mord"/>
          <w:rFonts w:eastAsiaTheme="majorEastAsia"/>
        </w:rPr>
        <w:t>0.8 kg/m</w:t>
      </w:r>
      <w:r w:rsidRPr="001A4A62">
        <w:rPr>
          <w:rStyle w:val="mord"/>
          <w:rFonts w:eastAsiaTheme="majorEastAsia"/>
          <w:vertAlign w:val="superscript"/>
        </w:rPr>
        <w:t>2</w:t>
      </w:r>
      <w:r w:rsidRPr="001A4A62">
        <w:t xml:space="preserve">) and risk scores. This group's data acts as a crucial benchmark, illustrating how increased age and potentially pre-existing health </w:t>
      </w:r>
      <w:r w:rsidRPr="001A4A62">
        <w:lastRenderedPageBreak/>
        <w:t xml:space="preserve">conditions (as suggested by a significantly older mean age of </w:t>
      </w:r>
      <w:r w:rsidRPr="001A4A62">
        <w:rPr>
          <w:rStyle w:val="mord"/>
          <w:rFonts w:eastAsiaTheme="majorEastAsia"/>
        </w:rPr>
        <w:t>40.7</w:t>
      </w:r>
      <w:r w:rsidRPr="001A4A62">
        <w:rPr>
          <w:rStyle w:val="mbin"/>
          <w:rFonts w:eastAsiaTheme="majorEastAsia"/>
        </w:rPr>
        <w:t>±</w:t>
      </w:r>
      <w:r w:rsidRPr="001A4A62">
        <w:rPr>
          <w:rStyle w:val="mord"/>
          <w:rFonts w:eastAsiaTheme="majorEastAsia"/>
        </w:rPr>
        <w:t>1.1 years</w:t>
      </w:r>
      <w:r w:rsidRPr="001A4A62">
        <w:t>) carries a greater risk burden of diabetes risk and further solidifies the link between anthropometric measures and disease progression.</w:t>
      </w:r>
    </w:p>
    <w:p w14:paraId="5815BE06" w14:textId="77777777" w:rsidR="004A0F7B" w:rsidRPr="001A4A62" w:rsidRDefault="004A0F7B" w:rsidP="00960B65">
      <w:pPr>
        <w:pStyle w:val="NormalWeb"/>
        <w:spacing w:after="0" w:afterAutospacing="0"/>
        <w:jc w:val="both"/>
      </w:pPr>
      <w:r w:rsidRPr="001A4A62">
        <w:t xml:space="preserve">The findings in </w:t>
      </w:r>
      <w:r w:rsidRPr="001A4A62">
        <w:rPr>
          <w:bCs/>
        </w:rPr>
        <w:t>Table 3</w:t>
      </w:r>
      <w:r w:rsidRPr="001A4A62">
        <w:t xml:space="preserve"> revealed a significant gender-based difference in BMI distribution across the study locations. In the urban population, females exhibited a higher prevalence of overweight and obesity compared to males, particularly in the 20-25 age range (10.9% of females were overweight versus 8.7% of males; 6.1% of females were obese versus 1.3% of males). This pattern was more significant in the older reference population, where females aged 40-45 years had a higher percentage of overweight (20.6%) and obesity (5.9%) than the males (2.9% and 2.9% respectively). Conversely, in the rural population, a higher proportion of males were of normal weight across various age groups. These findings suggest that urban and older females are at a particularly elevated risk of diabetes due to higher rates of overweight and obesity, a trend consistent with other studies that have observed a greater propensity for central obesity in women with increasing age. This result is consistent with the study by Cookey </w:t>
      </w:r>
      <w:r w:rsidRPr="007B03C5">
        <w:rPr>
          <w:iCs/>
        </w:rPr>
        <w:t>et al.</w:t>
      </w:r>
      <w:r w:rsidRPr="001A4A62">
        <w:t xml:space="preserve"> (2022).</w:t>
      </w:r>
    </w:p>
    <w:p w14:paraId="5527D12F" w14:textId="631EE937" w:rsidR="00DE203C" w:rsidRPr="001A4A62" w:rsidRDefault="00DE203C" w:rsidP="00960B65">
      <w:pPr>
        <w:pStyle w:val="NormalWeb"/>
        <w:spacing w:after="0" w:afterAutospacing="0"/>
        <w:jc w:val="both"/>
      </w:pPr>
      <w:r w:rsidRPr="001A4A62">
        <w:t>Anthropometric parameters are simple, non-invasive and cost-effective tools for assessing body fat distr</w:t>
      </w:r>
      <w:r w:rsidR="005D3E6C" w:rsidRPr="001A4A62">
        <w:t>ibution and overall adiposity. The</w:t>
      </w:r>
      <w:r w:rsidRPr="001A4A62">
        <w:t xml:space="preserve"> results show a </w:t>
      </w:r>
      <w:r w:rsidRPr="001A4A62">
        <w:rPr>
          <w:bCs/>
        </w:rPr>
        <w:t>positive correlation</w:t>
      </w:r>
      <w:r w:rsidRPr="001A4A62">
        <w:t xml:space="preserve"> between BMI and both the FINDRISC and ADART diabetes risk scores across all study populations</w:t>
      </w:r>
      <w:r w:rsidR="0040619C" w:rsidRPr="001A4A62">
        <w:t xml:space="preserve"> (Table 4)</w:t>
      </w:r>
      <w:r w:rsidRPr="001A4A62">
        <w:t>. This suggests that BMI ca</w:t>
      </w:r>
      <w:r w:rsidR="005D3E6C" w:rsidRPr="001A4A62">
        <w:t xml:space="preserve">n serve as a valuable </w:t>
      </w:r>
      <w:r w:rsidRPr="001A4A62">
        <w:t xml:space="preserve">marker for identifying individuals at high risk for type 2 diabetes. The correlation coefficients for BMI and FINDRISC were </w:t>
      </w:r>
      <w:r w:rsidRPr="001A4A62">
        <w:rPr>
          <w:rStyle w:val="mord"/>
          <w:rFonts w:eastAsiaTheme="majorEastAsia"/>
        </w:rPr>
        <w:t>0.420</w:t>
      </w:r>
      <w:r w:rsidRPr="001A4A62">
        <w:t xml:space="preserve"> (rural), </w:t>
      </w:r>
      <w:r w:rsidRPr="001A4A62">
        <w:rPr>
          <w:rStyle w:val="mord"/>
          <w:rFonts w:eastAsiaTheme="majorEastAsia"/>
        </w:rPr>
        <w:t>0.500</w:t>
      </w:r>
      <w:r w:rsidRPr="001A4A62">
        <w:t xml:space="preserve"> (urban), and </w:t>
      </w:r>
      <w:r w:rsidRPr="001A4A62">
        <w:rPr>
          <w:rStyle w:val="mord"/>
          <w:rFonts w:eastAsiaTheme="majorEastAsia"/>
        </w:rPr>
        <w:t>0.560</w:t>
      </w:r>
      <w:r w:rsidRPr="001A4A62">
        <w:t xml:space="preserve"> (reference), with a similar pattern for ADART (</w:t>
      </w:r>
      <w:r w:rsidRPr="001A4A62">
        <w:rPr>
          <w:rStyle w:val="mord"/>
          <w:rFonts w:eastAsiaTheme="majorEastAsia"/>
        </w:rPr>
        <w:t>0.410</w:t>
      </w:r>
      <w:r w:rsidRPr="001A4A62">
        <w:t xml:space="preserve">, </w:t>
      </w:r>
      <w:r w:rsidRPr="001A4A62">
        <w:rPr>
          <w:rStyle w:val="mord"/>
          <w:rFonts w:eastAsiaTheme="majorEastAsia"/>
        </w:rPr>
        <w:t>0.490</w:t>
      </w:r>
      <w:r w:rsidRPr="001A4A62">
        <w:t xml:space="preserve">, and </w:t>
      </w:r>
      <w:r w:rsidRPr="001A4A62">
        <w:rPr>
          <w:rStyle w:val="mord"/>
          <w:rFonts w:eastAsiaTheme="majorEastAsia"/>
        </w:rPr>
        <w:t>0.490</w:t>
      </w:r>
      <w:r w:rsidR="005D3E6C" w:rsidRPr="001A4A62">
        <w:rPr>
          <w:rStyle w:val="mord"/>
          <w:rFonts w:eastAsiaTheme="majorEastAsia"/>
        </w:rPr>
        <w:t xml:space="preserve"> respectively</w:t>
      </w:r>
      <w:r w:rsidRPr="001A4A62">
        <w:t>). The stronger correlation in the reference group, which also had the highest mean BMI, underscores the direct relationship between increased body weight and elevated diabetes risk.</w:t>
      </w:r>
      <w:r w:rsidR="0095527D" w:rsidRPr="001A4A62">
        <w:t xml:space="preserve"> This agrees with the study by Liu </w:t>
      </w:r>
      <w:r w:rsidR="00D114EB" w:rsidRPr="007B03C5">
        <w:rPr>
          <w:iCs/>
        </w:rPr>
        <w:t>et al</w:t>
      </w:r>
      <w:r w:rsidR="0095527D" w:rsidRPr="007B03C5">
        <w:rPr>
          <w:iCs/>
        </w:rPr>
        <w:t>.</w:t>
      </w:r>
      <w:r w:rsidR="0095527D" w:rsidRPr="001A4A62">
        <w:t xml:space="preserve"> (2024)</w:t>
      </w:r>
      <w:r w:rsidR="004E4EF9" w:rsidRPr="001A4A62">
        <w:t xml:space="preserve"> </w:t>
      </w:r>
      <w:r w:rsidR="0046051B" w:rsidRPr="001A4A62">
        <w:t xml:space="preserve">which </w:t>
      </w:r>
      <w:r w:rsidR="004E4EF9" w:rsidRPr="001A4A62">
        <w:t>highlights the utility of simple anthropometric measurements in predicting insulin resistance (IR) a</w:t>
      </w:r>
      <w:r w:rsidR="00B832AD" w:rsidRPr="001A4A62">
        <w:t>nd type 2 diabetes (T2D</w:t>
      </w:r>
      <w:r w:rsidR="00881944" w:rsidRPr="001A4A62">
        <w:t>M</w:t>
      </w:r>
      <w:r w:rsidR="00B832AD" w:rsidRPr="001A4A62">
        <w:t>).</w:t>
      </w:r>
      <w:r w:rsidR="004E4EF9" w:rsidRPr="001A4A62">
        <w:t xml:space="preserve"> For instance, a small observational study on obese adolescents showed that both BMI and Waist Circumference (WC) are important predictors of IR, with WC potentially offe</w:t>
      </w:r>
      <w:r w:rsidR="00593D6E" w:rsidRPr="001A4A62">
        <w:t xml:space="preserve">ring better predictive power (Liu </w:t>
      </w:r>
      <w:r w:rsidR="00D114EB" w:rsidRPr="007B03C5">
        <w:rPr>
          <w:iCs/>
        </w:rPr>
        <w:t>et al</w:t>
      </w:r>
      <w:r w:rsidR="00593D6E" w:rsidRPr="007B03C5">
        <w:rPr>
          <w:iCs/>
        </w:rPr>
        <w:t>.,</w:t>
      </w:r>
      <w:r w:rsidR="00593D6E" w:rsidRPr="001A4A62">
        <w:t xml:space="preserve"> 2024)</w:t>
      </w:r>
      <w:r w:rsidR="00FC2966" w:rsidRPr="001A4A62">
        <w:t xml:space="preserve">. While this </w:t>
      </w:r>
      <w:r w:rsidR="004E4EF9" w:rsidRPr="001A4A62">
        <w:t>study focused on a broader age range and utilized diabetes risk scores, the con</w:t>
      </w:r>
      <w:r w:rsidR="001E20D6" w:rsidRPr="001A4A62">
        <w:t xml:space="preserve">sistent positive correlation </w:t>
      </w:r>
      <w:r w:rsidR="004E4EF9" w:rsidRPr="001A4A62">
        <w:t>observed between BMI and both FINDRISC and ADART scores across all populations supports the notion that a measure of overall adiposity is a strong indicator of metabolic risk</w:t>
      </w:r>
      <w:r w:rsidR="004009F3" w:rsidRPr="001A4A62">
        <w:t xml:space="preserve"> (</w:t>
      </w:r>
      <w:r w:rsidR="004009F3" w:rsidRPr="001A4A62">
        <w:rPr>
          <w:color w:val="222222"/>
          <w:shd w:val="clear" w:color="auto" w:fill="FFFFFF"/>
        </w:rPr>
        <w:t xml:space="preserve">Tsai </w:t>
      </w:r>
      <w:r w:rsidR="00D114EB" w:rsidRPr="007B03C5">
        <w:rPr>
          <w:iCs/>
          <w:color w:val="222222"/>
          <w:shd w:val="clear" w:color="auto" w:fill="FFFFFF"/>
        </w:rPr>
        <w:t>et al</w:t>
      </w:r>
      <w:r w:rsidR="004009F3" w:rsidRPr="007B03C5">
        <w:rPr>
          <w:iCs/>
          <w:color w:val="222222"/>
          <w:shd w:val="clear" w:color="auto" w:fill="FFFFFF"/>
        </w:rPr>
        <w:t>.,</w:t>
      </w:r>
      <w:r w:rsidR="004009F3" w:rsidRPr="001A4A62">
        <w:rPr>
          <w:color w:val="222222"/>
          <w:shd w:val="clear" w:color="auto" w:fill="FFFFFF"/>
        </w:rPr>
        <w:t xml:space="preserve"> 2023).</w:t>
      </w:r>
    </w:p>
    <w:p w14:paraId="7390CC37" w14:textId="0E8ABE55" w:rsidR="00A94A30" w:rsidRPr="00D12D6C" w:rsidRDefault="00A94A30" w:rsidP="00960B65">
      <w:pPr>
        <w:pStyle w:val="NormalWeb"/>
        <w:spacing w:after="0" w:afterAutospacing="0"/>
        <w:jc w:val="both"/>
        <w:rPr>
          <w:b/>
          <w:bCs/>
          <w:i/>
          <w:iCs/>
          <w:color w:val="EE0000"/>
        </w:rPr>
      </w:pPr>
      <w:r w:rsidRPr="001A4A62">
        <w:t>However, a key limitation of BMI is its inability to differentiate between different types of fat and their distribution. It is a measure of overall obesity but fails to distinguish between metabolically benign subcutaneous fat and the more harmful visceral fat, which is strongly ass</w:t>
      </w:r>
      <w:r w:rsidR="008E4D3E" w:rsidRPr="001A4A62">
        <w:t xml:space="preserve">ociated with central obesity (Ashwell </w:t>
      </w:r>
      <w:r w:rsidR="00D114EB" w:rsidRPr="007B03C5">
        <w:rPr>
          <w:iCs/>
        </w:rPr>
        <w:t>et al</w:t>
      </w:r>
      <w:r w:rsidR="008E4D3E" w:rsidRPr="007B03C5">
        <w:rPr>
          <w:iCs/>
        </w:rPr>
        <w:t>.,</w:t>
      </w:r>
      <w:r w:rsidR="008E4D3E" w:rsidRPr="001A4A62">
        <w:t xml:space="preserve"> 2012)</w:t>
      </w:r>
      <w:r w:rsidR="00986D81" w:rsidRPr="001A4A62">
        <w:t>. This</w:t>
      </w:r>
      <w:r w:rsidRPr="001A4A62">
        <w:t xml:space="preserve"> is critical, as evidence suggests that normal-weight individuals with central obesity have an increased risk of diabetes, a finding that BMI alone would mi</w:t>
      </w:r>
      <w:r w:rsidR="00986D81" w:rsidRPr="001A4A62">
        <w:t xml:space="preserve">ss (Ashwell </w:t>
      </w:r>
      <w:r w:rsidR="00D114EB" w:rsidRPr="007B03C5">
        <w:rPr>
          <w:iCs/>
        </w:rPr>
        <w:t>et al</w:t>
      </w:r>
      <w:r w:rsidR="00986D81" w:rsidRPr="007B03C5">
        <w:rPr>
          <w:iCs/>
        </w:rPr>
        <w:t>.,</w:t>
      </w:r>
      <w:r w:rsidR="00986D81" w:rsidRPr="001A4A62">
        <w:t xml:space="preserve"> 2012). This study shows</w:t>
      </w:r>
      <w:r w:rsidRPr="001A4A62">
        <w:t xml:space="preserve"> a positive correlation between BMI and diabetes risk, support</w:t>
      </w:r>
      <w:r w:rsidR="001C7876" w:rsidRPr="001A4A62">
        <w:t>s</w:t>
      </w:r>
      <w:r w:rsidRPr="001A4A62">
        <w:t xml:space="preserve"> the use of BMI as a general screening tool but also highlight</w:t>
      </w:r>
      <w:r w:rsidR="001C7876" w:rsidRPr="001A4A62">
        <w:t>s</w:t>
      </w:r>
      <w:r w:rsidRPr="001A4A62">
        <w:t xml:space="preserve"> the need for more specific anthropometric measures like </w:t>
      </w:r>
      <w:r w:rsidRPr="001A4A62">
        <w:rPr>
          <w:bCs/>
        </w:rPr>
        <w:t>Waist-to-Hip Ratio (WHR)</w:t>
      </w:r>
      <w:r w:rsidRPr="001A4A62">
        <w:t xml:space="preserve"> and </w:t>
      </w:r>
      <w:r w:rsidRPr="001A4A62">
        <w:rPr>
          <w:bCs/>
        </w:rPr>
        <w:t>Waist-to-Height Ratio (WHtR)</w:t>
      </w:r>
      <w:r w:rsidRPr="001A4A62">
        <w:t xml:space="preserve"> to provide a more nuanced understanding of risk.</w:t>
      </w:r>
    </w:p>
    <w:p w14:paraId="14F75983" w14:textId="77777777" w:rsidR="00462136" w:rsidRDefault="00462136" w:rsidP="00462136">
      <w:pPr>
        <w:pStyle w:val="NormalWeb"/>
        <w:spacing w:after="0"/>
        <w:jc w:val="both"/>
      </w:pPr>
      <w:r>
        <w:t xml:space="preserve">The descriptive statistics presented in Table 5 provide a deeper understanding of the BMI distribution across the rural, urban, and reference populations. The mean BMI followed the same progressive pattern observed in earlier analyses, increasing from 22.4 kg/m² in the rural group to 24.1 kg/m² in the urban group and peaking at 26.3 kg/m² in the reference group. </w:t>
      </w:r>
      <w:r>
        <w:lastRenderedPageBreak/>
        <w:t xml:space="preserve">Standard deviation values (3.9 for rural, 4.8 for both urban and reference) indicate greater variability in BMI among urban and reference participants compared to the rural group, suggesting a wider spread of body weight status in more urbanized and clinical populations. The standard error of mean (SEM) was smallest for rural and urban groups (0.3) and highest for the reference group (0.8), reflecting the greater heterogeneity in the latter. The minimum and maximum BMI values reveal that while the rural group had the lowest recorded BMI (15.1 kg/m²), the urban group included the most extreme obesity case (45.1 kg/m²). The reference group’s minimum (16.5 kg/m²) and maximum (36.8 kg/m²) fall between the rural and urban extremes, indicating that most diagnosed diabetics in this sample were overweight or moderately obese rather than extremely obese. </w:t>
      </w:r>
    </w:p>
    <w:p w14:paraId="7031B00F" w14:textId="665F47E9" w:rsidR="00462136" w:rsidRDefault="00462136" w:rsidP="00462136">
      <w:pPr>
        <w:pStyle w:val="NormalWeb"/>
        <w:spacing w:after="0"/>
        <w:jc w:val="both"/>
      </w:pPr>
      <w:r>
        <w:t>Median and mode values closely match the mean</w:t>
      </w:r>
      <w:r w:rsidR="00D12D6C">
        <w:t xml:space="preserve"> values</w:t>
      </w:r>
      <w:r>
        <w:t xml:space="preserve"> in each group, implying relatively symmetrical distributions without significant skewness. The 95% confidence intervals further support these findings, showing tightly clustered BMI values in rural participants (21.9–22.9 kg/m²), slightly broader ranges in urban participants (23.6–24.6 kg/m²), and the widest range in the reference group (24.7–27.9 kg/m²). Percentile analysis highlights differences in body composition distribution. Rural participants in the 75th percentile had a BMI of 24.4 kg/m², still within the normal weight range, whereas urban participants at the same percentile had a BMI of 26.8 kg/m² (overweight), and reference participants reached 29.6 kg/m² (borderline obesity). The 95th percentile values: 28.9 kg/m² for rural, 32.0 kg/m² for urban, and 36.3 kg/m² for reference show a substantial proportion of individuals in the higher BMI brackets, particularly among the urban and reference groups. Therefore, these descriptive statistics emphasize earlier findings that BMI levels and variability increase with urbanization and clinical diagnosis, underlining the need for targeted obesity and diabetes prevention interventions, especially in urban and high-risk groups. </w:t>
      </w:r>
    </w:p>
    <w:p w14:paraId="4511B8A0" w14:textId="0D7BA809" w:rsidR="00DE203C" w:rsidRPr="001A4A62" w:rsidRDefault="00E04B41" w:rsidP="005F5935">
      <w:pPr>
        <w:pStyle w:val="NormalWeb"/>
        <w:spacing w:after="0"/>
        <w:jc w:val="both"/>
      </w:pPr>
      <w:r w:rsidRPr="001A4A62">
        <w:t>The results of this study have significant public health and clinical value. With the rising global prevalence of type 2 diabetes, there is an urgent need for simple, cost-effective tools for early diagn</w:t>
      </w:r>
      <w:r w:rsidR="002C223C" w:rsidRPr="001A4A62">
        <w:t xml:space="preserve">osis and risk stratification (Chao </w:t>
      </w:r>
      <w:r w:rsidR="00D114EB" w:rsidRPr="007B03C5">
        <w:rPr>
          <w:iCs/>
        </w:rPr>
        <w:t>et al</w:t>
      </w:r>
      <w:r w:rsidR="002C223C" w:rsidRPr="007B03C5">
        <w:rPr>
          <w:iCs/>
        </w:rPr>
        <w:t>.,</w:t>
      </w:r>
      <w:r w:rsidR="002C223C" w:rsidRPr="001A4A62">
        <w:t xml:space="preserve"> 2020)</w:t>
      </w:r>
      <w:r w:rsidRPr="001A4A62">
        <w:t>.</w:t>
      </w:r>
      <w:r w:rsidR="00840931" w:rsidRPr="001A4A62">
        <w:t xml:space="preserve"> </w:t>
      </w:r>
      <w:r w:rsidR="00DE203C" w:rsidRPr="001A4A62">
        <w:t xml:space="preserve">The positive correlation between anthropometric parameters and diabetes risk scores supports their use in </w:t>
      </w:r>
      <w:r w:rsidR="00DE203C" w:rsidRPr="001A4A62">
        <w:rPr>
          <w:bCs/>
        </w:rPr>
        <w:t>early diagnosis and population-wide screening programs</w:t>
      </w:r>
      <w:r w:rsidR="00DE203C" w:rsidRPr="001A4A62">
        <w:t>. The results indicate that a simple measurement of BMI can help healthcare professionals identify individuals who should be prioritized for further diagnostic testing, such as fasting blood glucose or HbA1c tests. The finding that the reference population had the highest proportion of overweight and obese individuals, particularly among older females, further highlights the need for targeted screening efforts in at-risk demographic groups</w:t>
      </w:r>
      <w:r w:rsidR="002C223C" w:rsidRPr="001A4A62">
        <w:t xml:space="preserve"> (Gobato </w:t>
      </w:r>
      <w:r w:rsidR="00D114EB" w:rsidRPr="007B03C5">
        <w:rPr>
          <w:iCs/>
        </w:rPr>
        <w:t>et al</w:t>
      </w:r>
      <w:r w:rsidR="002C223C" w:rsidRPr="007B03C5">
        <w:rPr>
          <w:iCs/>
        </w:rPr>
        <w:t>.,</w:t>
      </w:r>
      <w:r w:rsidR="002C223C" w:rsidRPr="001A4A62">
        <w:t xml:space="preserve"> 2014)</w:t>
      </w:r>
      <w:r w:rsidR="00DE203C" w:rsidRPr="001A4A62">
        <w:t>. This approach is particularly valuable in resource-limited settings where comprehensive diagnostic testing may not be readily available.</w:t>
      </w:r>
    </w:p>
    <w:p w14:paraId="53E4A5E5" w14:textId="77777777" w:rsidR="00DE203C" w:rsidRPr="0019114F" w:rsidRDefault="005C338D" w:rsidP="00960B65">
      <w:pPr>
        <w:pStyle w:val="Heading2"/>
        <w:spacing w:after="0" w:line="240" w:lineRule="auto"/>
        <w:jc w:val="both"/>
        <w:rPr>
          <w:rFonts w:ascii="Times New Roman" w:hAnsi="Times New Roman" w:cs="Times New Roman"/>
          <w:b/>
          <w:color w:val="auto"/>
          <w:sz w:val="24"/>
          <w:szCs w:val="24"/>
        </w:rPr>
      </w:pPr>
      <w:r w:rsidRPr="0019114F">
        <w:rPr>
          <w:rFonts w:ascii="Times New Roman" w:hAnsi="Times New Roman" w:cs="Times New Roman"/>
          <w:b/>
          <w:color w:val="auto"/>
          <w:sz w:val="24"/>
          <w:szCs w:val="24"/>
        </w:rPr>
        <w:t>5.</w:t>
      </w:r>
      <w:r w:rsidRPr="0019114F">
        <w:rPr>
          <w:rFonts w:ascii="Times New Roman" w:hAnsi="Times New Roman" w:cs="Times New Roman"/>
          <w:b/>
          <w:color w:val="auto"/>
          <w:sz w:val="24"/>
          <w:szCs w:val="24"/>
        </w:rPr>
        <w:tab/>
      </w:r>
      <w:r w:rsidR="002157BB" w:rsidRPr="0019114F">
        <w:rPr>
          <w:rFonts w:ascii="Times New Roman" w:hAnsi="Times New Roman" w:cs="Times New Roman"/>
          <w:b/>
          <w:color w:val="auto"/>
          <w:sz w:val="24"/>
          <w:szCs w:val="24"/>
        </w:rPr>
        <w:t>CONCLUSION</w:t>
      </w:r>
    </w:p>
    <w:p w14:paraId="05BD1EE2" w14:textId="4A734777" w:rsidR="00DE203C" w:rsidRDefault="00276A63" w:rsidP="00960B65">
      <w:pPr>
        <w:pStyle w:val="NormalWeb"/>
        <w:spacing w:after="0" w:afterAutospacing="0"/>
        <w:jc w:val="both"/>
      </w:pPr>
      <w:r w:rsidRPr="00583237">
        <w:t>The study revealed</w:t>
      </w:r>
      <w:r w:rsidR="00DE203C" w:rsidRPr="00583237">
        <w:t xml:space="preserve"> a </w:t>
      </w:r>
      <w:r w:rsidR="00DE203C" w:rsidRPr="00583237">
        <w:rPr>
          <w:bCs/>
        </w:rPr>
        <w:t>significant positive correlation</w:t>
      </w:r>
      <w:r w:rsidR="00DE203C" w:rsidRPr="00583237">
        <w:t xml:space="preserve"> between anthropometric parameters, specifically Body Mass Index, and diabetes risk as assessed by the FINDRISC and ADART tools. Our findings suggest that these simple, non-invasive measurements can be effectively utilized for the </w:t>
      </w:r>
      <w:r w:rsidR="00DE203C" w:rsidRPr="00583237">
        <w:rPr>
          <w:bCs/>
        </w:rPr>
        <w:t>early diagnosis and screening of diabetes mellitus</w:t>
      </w:r>
      <w:r w:rsidR="00DE203C" w:rsidRPr="00583237">
        <w:t xml:space="preserve"> in young adult populations. The progressive increase in BMI from rural to urban and reference populations, paralleling the increase in </w:t>
      </w:r>
      <w:r w:rsidRPr="00583237">
        <w:t>diabetes risk scores, emphasizes</w:t>
      </w:r>
      <w:r w:rsidR="00DE203C" w:rsidRPr="00583237">
        <w:t xml:space="preserve"> the critical role of obesity and lifestyle factors in the etiology of diabetes. Therefore,</w:t>
      </w:r>
      <w:r w:rsidR="00DD0B7F">
        <w:t xml:space="preserve"> </w:t>
      </w:r>
      <w:r w:rsidR="00DD0B7F" w:rsidRPr="00DD0B7F">
        <w:t xml:space="preserve">clear protocols </w:t>
      </w:r>
      <w:r w:rsidR="00DD0B7F">
        <w:t xml:space="preserve">should be created </w:t>
      </w:r>
      <w:r w:rsidR="00DD0B7F" w:rsidRPr="00DD0B7F">
        <w:t xml:space="preserve">for measuring BMI, waist circumference, waist-to-hip ratio and other relevant measures in </w:t>
      </w:r>
      <w:r w:rsidR="008B42F3">
        <w:t xml:space="preserve">primary health </w:t>
      </w:r>
      <w:r w:rsidR="00DD0B7F" w:rsidRPr="00DD0B7F">
        <w:t>clinics and community centers</w:t>
      </w:r>
      <w:r w:rsidR="008B42F3">
        <w:t xml:space="preserve">, as </w:t>
      </w:r>
      <w:r w:rsidR="00DE203C" w:rsidRPr="00583237">
        <w:t xml:space="preserve">incorporating </w:t>
      </w:r>
      <w:r w:rsidR="008B42F3">
        <w:t>these</w:t>
      </w:r>
      <w:r w:rsidR="00DE203C" w:rsidRPr="00583237">
        <w:t xml:space="preserve"> measurements into routine health assessments </w:t>
      </w:r>
      <w:r w:rsidR="00DE203C" w:rsidRPr="00583237">
        <w:lastRenderedPageBreak/>
        <w:t>can serve as an effective first-line screening strategy to identify high-risk individuals, enabling timely intervention and management to prevent the onset of diabetes.</w:t>
      </w:r>
    </w:p>
    <w:p w14:paraId="69736BCA" w14:textId="5BE4E9A6" w:rsidR="00603C99" w:rsidRDefault="00603C99" w:rsidP="00960B65">
      <w:pPr>
        <w:pStyle w:val="NormalWeb"/>
        <w:spacing w:after="0" w:afterAutospacing="0"/>
        <w:jc w:val="both"/>
        <w:rPr>
          <w:b/>
          <w:bCs/>
        </w:rPr>
      </w:pPr>
      <w:r w:rsidRPr="00603C99">
        <w:rPr>
          <w:b/>
          <w:bCs/>
        </w:rPr>
        <w:t>ETHICAL APPROVAL</w:t>
      </w:r>
      <w:r>
        <w:rPr>
          <w:b/>
          <w:bCs/>
        </w:rPr>
        <w:t xml:space="preserve"> AND INFORMED CONSENT</w:t>
      </w:r>
    </w:p>
    <w:p w14:paraId="43566BAA" w14:textId="539DEC0D" w:rsidR="000D5A28" w:rsidRDefault="00603C99" w:rsidP="00960B65">
      <w:pPr>
        <w:pStyle w:val="NormalWeb"/>
        <w:spacing w:after="0" w:afterAutospacing="0"/>
        <w:jc w:val="both"/>
      </w:pPr>
      <w:r>
        <w:t xml:space="preserve">The University of Port Harcourt Research Ethics Committee </w:t>
      </w:r>
      <w:r w:rsidRPr="002519AE">
        <w:t>approved the necessary ethical clearance for this study</w:t>
      </w:r>
      <w:r w:rsidR="00A8034D">
        <w:t xml:space="preserve"> </w:t>
      </w:r>
      <w:r w:rsidRPr="002519AE">
        <w:t>(</w:t>
      </w:r>
      <w:r w:rsidR="004D6A87">
        <w:t>UP</w:t>
      </w:r>
      <w:r w:rsidRPr="002519AE">
        <w:t>H/</w:t>
      </w:r>
      <w:r w:rsidR="004D6A87">
        <w:t>CEREMAD/REC/MM100/024</w:t>
      </w:r>
      <w:r w:rsidRPr="002519AE">
        <w:t>). The informed consent form, the risk assessment questionnaire, and the study protocol were all independently approved by this</w:t>
      </w:r>
      <w:r>
        <w:t xml:space="preserve"> committee. </w:t>
      </w:r>
      <w:r w:rsidRPr="009A69E1">
        <w:t>The World Health Organization's Research Ethics Review Committee (WHO ERC) requirements were followed in the creation of the study's informed con</w:t>
      </w:r>
      <w:r>
        <w:t xml:space="preserve">sent form. The research was </w:t>
      </w:r>
      <w:r w:rsidR="00E27FEF">
        <w:t>conducted in accordance</w:t>
      </w:r>
      <w:r>
        <w:t xml:space="preserve"> with the ethical principles outlined in the Declaration of Helsinki. Participants were not coerced, threatened</w:t>
      </w:r>
      <w:r w:rsidR="00E27FEF">
        <w:t>,</w:t>
      </w:r>
      <w:r>
        <w:t xml:space="preserve"> or intimidated in any way, and received no financial compensation or incentives before, during, or after the study. </w:t>
      </w:r>
      <w:r w:rsidR="00E27FEF">
        <w:t xml:space="preserve">Before </w:t>
      </w:r>
      <w:r>
        <w:t>participati</w:t>
      </w:r>
      <w:r w:rsidR="00E27FEF">
        <w:t>on</w:t>
      </w:r>
      <w:r>
        <w:t>, the individuals had a clear understanding of the screening process, as a detailed explanation was given to them in a way that was easy to comprehend, enabling them to make an informed decision. All participants understood they could ask any questions that bothered them regarding the process and were free</w:t>
      </w:r>
      <w:r w:rsidRPr="008B5997">
        <w:t xml:space="preserve"> to withdraw from the study at any moment without repercussions.</w:t>
      </w:r>
      <w:r>
        <w:t xml:space="preserve"> T</w:t>
      </w:r>
      <w:r w:rsidRPr="00405319">
        <w:t>o express their readiness to take part in th</w:t>
      </w:r>
      <w:r>
        <w:t>e diabetes risk score assessment</w:t>
      </w:r>
      <w:r w:rsidRPr="00405319">
        <w:t>, they voluntarily signed the informed consent form.</w:t>
      </w:r>
    </w:p>
    <w:p w14:paraId="5AD7E49C" w14:textId="77777777" w:rsidR="00020437" w:rsidRDefault="00020437" w:rsidP="00960B65">
      <w:pPr>
        <w:pStyle w:val="NormalWeb"/>
        <w:spacing w:after="0" w:afterAutospacing="0"/>
        <w:jc w:val="both"/>
      </w:pPr>
    </w:p>
    <w:p w14:paraId="75CBB05D" w14:textId="77777777" w:rsidR="009457E9" w:rsidRPr="00046C34" w:rsidRDefault="009457E9" w:rsidP="009457E9">
      <w:pPr>
        <w:rPr>
          <w:rFonts w:ascii="Calibri" w:eastAsia="Calibri" w:hAnsi="Calibri" w:cs="Times New Roman"/>
          <w:kern w:val="2"/>
          <w:highlight w:val="yellow"/>
        </w:rPr>
      </w:pPr>
      <w:bookmarkStart w:id="0" w:name="_Hlk204003461"/>
      <w:r w:rsidRPr="00046C34">
        <w:rPr>
          <w:rFonts w:ascii="Calibri" w:eastAsia="Calibri" w:hAnsi="Calibri" w:cs="Times New Roman"/>
          <w:kern w:val="2"/>
          <w:highlight w:val="yellow"/>
        </w:rPr>
        <w:t>Disclaimer (Artificial intelligence)</w:t>
      </w:r>
    </w:p>
    <w:p w14:paraId="2239DA98" w14:textId="77777777" w:rsidR="009457E9" w:rsidRPr="00046C34" w:rsidRDefault="009457E9" w:rsidP="009457E9">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2083C7F8" w14:textId="77777777" w:rsidR="009457E9" w:rsidRPr="00046C34" w:rsidRDefault="009457E9" w:rsidP="009457E9">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A9B4B42" w14:textId="77777777" w:rsidR="009457E9" w:rsidRPr="00046C34" w:rsidRDefault="009457E9" w:rsidP="009457E9">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32A31ED6" w14:textId="77777777" w:rsidR="009457E9" w:rsidRPr="00046C34" w:rsidRDefault="009457E9" w:rsidP="009457E9">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E2B4F6" w14:textId="77777777" w:rsidR="009457E9" w:rsidRPr="00046C34" w:rsidRDefault="009457E9" w:rsidP="009457E9">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32450434" w14:textId="77777777" w:rsidR="009457E9" w:rsidRPr="00046C34" w:rsidRDefault="009457E9" w:rsidP="009457E9">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1CBF19A2" w14:textId="77777777" w:rsidR="009457E9" w:rsidRPr="00046C34" w:rsidRDefault="009457E9" w:rsidP="009457E9">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6A470E0D" w14:textId="77777777" w:rsidR="009457E9" w:rsidRDefault="009457E9" w:rsidP="009457E9">
      <w:pPr>
        <w:rPr>
          <w:rFonts w:ascii="Calibri" w:eastAsia="Calibri" w:hAnsi="Calibri" w:cs="Times New Roman"/>
          <w:kern w:val="2"/>
          <w:highlight w:val="yellow"/>
        </w:rPr>
      </w:pPr>
      <w:r w:rsidRPr="00046C34">
        <w:rPr>
          <w:rFonts w:ascii="Calibri" w:eastAsia="Calibri" w:hAnsi="Calibri" w:cs="Times New Roman"/>
          <w:kern w:val="2"/>
          <w:highlight w:val="yellow"/>
        </w:rPr>
        <w:t>3.</w:t>
      </w:r>
    </w:p>
    <w:bookmarkEnd w:id="0"/>
    <w:p w14:paraId="6CF7B445" w14:textId="77777777" w:rsidR="009457E9" w:rsidRDefault="009457E9" w:rsidP="00960B65">
      <w:pPr>
        <w:pStyle w:val="NormalWeb"/>
        <w:spacing w:after="0" w:afterAutospacing="0"/>
        <w:jc w:val="both"/>
        <w:rPr>
          <w:b/>
          <w:bCs/>
        </w:rPr>
      </w:pPr>
    </w:p>
    <w:p w14:paraId="28B0EF77" w14:textId="34576FCE" w:rsidR="00F42B59" w:rsidRPr="000606CB" w:rsidRDefault="006C6351" w:rsidP="000606CB">
      <w:pPr>
        <w:pStyle w:val="NormalWeb"/>
        <w:spacing w:after="240" w:afterAutospacing="0"/>
        <w:jc w:val="both"/>
        <w:rPr>
          <w:b/>
        </w:rPr>
      </w:pPr>
      <w:r w:rsidRPr="00497F9A">
        <w:rPr>
          <w:b/>
        </w:rPr>
        <w:t>REFERENCES</w:t>
      </w:r>
    </w:p>
    <w:p w14:paraId="26DF6141"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t xml:space="preserve">Ahmad, E., Lim, S., Lamptey, R., Webb, D. R., &amp; Davies, M. J. (2022). Type 2 diabetes. </w:t>
      </w:r>
      <w:r w:rsidRPr="00F602C0">
        <w:rPr>
          <w:rFonts w:ascii="Times New Roman" w:hAnsi="Times New Roman" w:cs="Times New Roman"/>
          <w:i/>
          <w:iCs/>
          <w:sz w:val="24"/>
          <w:szCs w:val="24"/>
        </w:rPr>
        <w:t>The Lancet</w:t>
      </w:r>
      <w:r w:rsidRPr="00F602C0">
        <w:rPr>
          <w:rFonts w:ascii="Times New Roman" w:hAnsi="Times New Roman" w:cs="Times New Roman"/>
          <w:sz w:val="24"/>
          <w:szCs w:val="24"/>
        </w:rPr>
        <w:t xml:space="preserve">, </w:t>
      </w:r>
      <w:r w:rsidRPr="00F602C0">
        <w:rPr>
          <w:rFonts w:ascii="Times New Roman" w:hAnsi="Times New Roman" w:cs="Times New Roman"/>
          <w:i/>
          <w:iCs/>
          <w:sz w:val="24"/>
          <w:szCs w:val="24"/>
        </w:rPr>
        <w:t>400</w:t>
      </w:r>
      <w:r w:rsidRPr="00F602C0">
        <w:rPr>
          <w:rFonts w:ascii="Times New Roman" w:hAnsi="Times New Roman" w:cs="Times New Roman"/>
          <w:sz w:val="24"/>
          <w:szCs w:val="24"/>
        </w:rPr>
        <w:t xml:space="preserve">(10365), 1803–1820. </w:t>
      </w:r>
      <w:hyperlink r:id="rId7" w:tgtFrame="_blank" w:history="1">
        <w:r w:rsidRPr="00F602C0">
          <w:rPr>
            <w:rStyle w:val="Hyperlink"/>
            <w:rFonts w:ascii="Times New Roman" w:hAnsi="Times New Roman" w:cs="Times New Roman"/>
            <w:sz w:val="24"/>
            <w:szCs w:val="24"/>
          </w:rPr>
          <w:t>https://doi.org/10.1016/S0140-6736(22)01654-4</w:t>
        </w:r>
      </w:hyperlink>
    </w:p>
    <w:p w14:paraId="62A2B6DB" w14:textId="77777777" w:rsidR="00F42B59" w:rsidRDefault="00F42B59" w:rsidP="00F84762">
      <w:pPr>
        <w:spacing w:after="0" w:line="240" w:lineRule="auto"/>
        <w:ind w:left="567" w:hanging="567"/>
        <w:jc w:val="both"/>
        <w:rPr>
          <w:rFonts w:ascii="Times New Roman" w:hAnsi="Times New Roman" w:cs="Times New Roman"/>
          <w:sz w:val="24"/>
          <w:szCs w:val="24"/>
        </w:rPr>
      </w:pPr>
    </w:p>
    <w:p w14:paraId="174DCAE6"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lastRenderedPageBreak/>
        <w:t xml:space="preserve">Ashwell, M., Gunn, P., &amp; Gibson, S. (2012). Waist-to-height ratio is a better screening tool than waist circumference and BMI for adult cardiometabolic risk factors: Systematic review and meta-analysis. </w:t>
      </w:r>
      <w:r w:rsidRPr="00F602C0">
        <w:rPr>
          <w:rFonts w:ascii="Times New Roman" w:hAnsi="Times New Roman" w:cs="Times New Roman"/>
          <w:i/>
          <w:iCs/>
          <w:sz w:val="24"/>
          <w:szCs w:val="24"/>
        </w:rPr>
        <w:t>Obesity Reviews, 13</w:t>
      </w:r>
      <w:r w:rsidRPr="00F602C0">
        <w:rPr>
          <w:rFonts w:ascii="Times New Roman" w:hAnsi="Times New Roman" w:cs="Times New Roman"/>
          <w:sz w:val="24"/>
          <w:szCs w:val="24"/>
        </w:rPr>
        <w:t xml:space="preserve">(3), 275–286. </w:t>
      </w:r>
      <w:hyperlink r:id="rId8" w:tgtFrame="_new" w:history="1">
        <w:r w:rsidRPr="00F602C0">
          <w:rPr>
            <w:rStyle w:val="Hyperlink"/>
            <w:rFonts w:ascii="Times New Roman" w:hAnsi="Times New Roman" w:cs="Times New Roman"/>
            <w:sz w:val="24"/>
            <w:szCs w:val="24"/>
          </w:rPr>
          <w:t>https://doi.org/10.1111/j.1467-789X.2011.00952.x</w:t>
        </w:r>
      </w:hyperlink>
    </w:p>
    <w:p w14:paraId="1E6D9D24" w14:textId="77777777" w:rsidR="00F42B59" w:rsidRDefault="00F42B59" w:rsidP="00F84762">
      <w:pPr>
        <w:spacing w:after="0" w:line="240" w:lineRule="auto"/>
        <w:ind w:left="567" w:hanging="567"/>
        <w:jc w:val="both"/>
        <w:rPr>
          <w:rFonts w:ascii="Times New Roman" w:hAnsi="Times New Roman" w:cs="Times New Roman"/>
          <w:sz w:val="24"/>
          <w:szCs w:val="24"/>
        </w:rPr>
      </w:pPr>
    </w:p>
    <w:p w14:paraId="6E3241C5"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t xml:space="preserve">Benítez Brito, N., Suarez Llanos, J. P., Fuentes Ferrer, M., Oliva Garcia, J. G., Delgado Brito, I., &amp; Pereyra-Garcia Castro, F., et al. (2016). Relationship between mid-upper arm circumference and body mass index in inpatients. </w:t>
      </w:r>
      <w:r w:rsidRPr="00F602C0">
        <w:rPr>
          <w:rFonts w:ascii="Times New Roman" w:hAnsi="Times New Roman" w:cs="Times New Roman"/>
          <w:i/>
          <w:iCs/>
          <w:sz w:val="24"/>
          <w:szCs w:val="24"/>
        </w:rPr>
        <w:t>PLOS ONE, 11</w:t>
      </w:r>
      <w:r w:rsidRPr="00F602C0">
        <w:rPr>
          <w:rFonts w:ascii="Times New Roman" w:hAnsi="Times New Roman" w:cs="Times New Roman"/>
          <w:sz w:val="24"/>
          <w:szCs w:val="24"/>
        </w:rPr>
        <w:t xml:space="preserve">, e0160480. </w:t>
      </w:r>
      <w:hyperlink r:id="rId9" w:tgtFrame="_new" w:history="1">
        <w:r w:rsidRPr="00F602C0">
          <w:rPr>
            <w:rStyle w:val="Hyperlink"/>
            <w:rFonts w:ascii="Times New Roman" w:hAnsi="Times New Roman" w:cs="Times New Roman"/>
            <w:sz w:val="24"/>
            <w:szCs w:val="24"/>
          </w:rPr>
          <w:t>https://doi.org/10.1371/journal.pone.0160480</w:t>
        </w:r>
      </w:hyperlink>
    </w:p>
    <w:p w14:paraId="19121EA6" w14:textId="77777777" w:rsidR="00F42B59" w:rsidRDefault="00F42B59" w:rsidP="00F84762">
      <w:pPr>
        <w:spacing w:after="0" w:line="240" w:lineRule="auto"/>
        <w:ind w:left="567" w:hanging="567"/>
        <w:jc w:val="both"/>
        <w:rPr>
          <w:rFonts w:ascii="Times New Roman" w:hAnsi="Times New Roman" w:cs="Times New Roman"/>
          <w:sz w:val="24"/>
          <w:szCs w:val="24"/>
        </w:rPr>
      </w:pPr>
    </w:p>
    <w:p w14:paraId="672E9859"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t xml:space="preserve">Chao, Y.-P., Kao, T.-W., Chang, Y.-W., Peng, T.-C., Chen, W.-L., &amp; Wu, L.-W. (2020). Utilization of anthropometric parameters as a novel tool for detection of insulin resistance. </w:t>
      </w:r>
      <w:r w:rsidRPr="00F602C0">
        <w:rPr>
          <w:rFonts w:ascii="Times New Roman" w:hAnsi="Times New Roman" w:cs="Times New Roman"/>
          <w:i/>
          <w:iCs/>
          <w:sz w:val="24"/>
          <w:szCs w:val="24"/>
        </w:rPr>
        <w:t>Clinical Nutrition (Edinburgh, Scotland), 39</w:t>
      </w:r>
      <w:r w:rsidRPr="00F602C0">
        <w:rPr>
          <w:rFonts w:ascii="Times New Roman" w:hAnsi="Times New Roman" w:cs="Times New Roman"/>
          <w:sz w:val="24"/>
          <w:szCs w:val="24"/>
        </w:rPr>
        <w:t xml:space="preserve">(8), 2571–2579. </w:t>
      </w:r>
      <w:hyperlink r:id="rId10" w:tgtFrame="_new" w:history="1">
        <w:r w:rsidRPr="00F602C0">
          <w:rPr>
            <w:rStyle w:val="Hyperlink"/>
            <w:rFonts w:ascii="Times New Roman" w:hAnsi="Times New Roman" w:cs="Times New Roman"/>
            <w:sz w:val="24"/>
            <w:szCs w:val="24"/>
          </w:rPr>
          <w:t>https://doi.org/10.1016/j.clnu.2019.11.023</w:t>
        </w:r>
      </w:hyperlink>
      <w:r w:rsidRPr="00F602C0">
        <w:rPr>
          <w:rFonts w:ascii="Times New Roman" w:hAnsi="Times New Roman" w:cs="Times New Roman"/>
          <w:sz w:val="24"/>
          <w:szCs w:val="24"/>
        </w:rPr>
        <w:t xml:space="preserve"> </w:t>
      </w:r>
    </w:p>
    <w:p w14:paraId="01978A91" w14:textId="77777777" w:rsidR="00F42B59" w:rsidRDefault="00F42B59" w:rsidP="00F84762">
      <w:pPr>
        <w:spacing w:after="0" w:line="240" w:lineRule="auto"/>
        <w:ind w:left="567" w:hanging="567"/>
        <w:jc w:val="both"/>
        <w:rPr>
          <w:rFonts w:ascii="Times New Roman" w:hAnsi="Times New Roman" w:cs="Times New Roman"/>
          <w:bCs/>
          <w:sz w:val="24"/>
          <w:szCs w:val="24"/>
        </w:rPr>
      </w:pPr>
    </w:p>
    <w:p w14:paraId="2DAB964C"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bCs/>
          <w:sz w:val="24"/>
          <w:szCs w:val="24"/>
        </w:rPr>
        <w:t>Chen, G., Liu, C., Yao, J., Jiang, Q., Chen, N., Huang, H., Liang, J., Li, L., &amp; Lin, L. (2010).</w:t>
      </w:r>
      <w:r w:rsidRPr="00F602C0">
        <w:rPr>
          <w:rFonts w:ascii="Times New Roman" w:hAnsi="Times New Roman" w:cs="Times New Roman"/>
          <w:sz w:val="24"/>
          <w:szCs w:val="24"/>
        </w:rPr>
        <w:t xml:space="preserve"> Overweight, obesity, and their associations with insulin resistance and β-cell function among Chinese: A cross-sectional study in China. </w:t>
      </w:r>
      <w:r w:rsidRPr="00F602C0">
        <w:rPr>
          <w:rFonts w:ascii="Times New Roman" w:hAnsi="Times New Roman" w:cs="Times New Roman"/>
          <w:i/>
          <w:iCs/>
          <w:sz w:val="24"/>
          <w:szCs w:val="24"/>
        </w:rPr>
        <w:t>Metabolism: Clinical and Experimental, 59</w:t>
      </w:r>
      <w:r w:rsidRPr="00F602C0">
        <w:rPr>
          <w:rFonts w:ascii="Times New Roman" w:hAnsi="Times New Roman" w:cs="Times New Roman"/>
          <w:sz w:val="24"/>
          <w:szCs w:val="24"/>
        </w:rPr>
        <w:t xml:space="preserve">(12), 1823–1832. </w:t>
      </w:r>
      <w:hyperlink r:id="rId11" w:tgtFrame="_new" w:history="1">
        <w:r w:rsidRPr="00F602C0">
          <w:rPr>
            <w:rStyle w:val="Hyperlink"/>
            <w:rFonts w:ascii="Times New Roman" w:hAnsi="Times New Roman" w:cs="Times New Roman"/>
            <w:sz w:val="24"/>
            <w:szCs w:val="24"/>
          </w:rPr>
          <w:t>https://doi.org/10.1016/j.metabol.2010.06.009</w:t>
        </w:r>
      </w:hyperlink>
    </w:p>
    <w:p w14:paraId="2AB1AF3D" w14:textId="77777777" w:rsidR="00F42B59" w:rsidRDefault="00F42B59" w:rsidP="00F84762">
      <w:pPr>
        <w:spacing w:after="0" w:line="240" w:lineRule="auto"/>
        <w:ind w:left="567" w:hanging="567"/>
        <w:jc w:val="both"/>
        <w:rPr>
          <w:rFonts w:ascii="Times New Roman" w:hAnsi="Times New Roman" w:cs="Times New Roman"/>
          <w:sz w:val="24"/>
          <w:szCs w:val="24"/>
        </w:rPr>
      </w:pPr>
    </w:p>
    <w:p w14:paraId="7D9C7D07"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u w:val="single"/>
        </w:rPr>
      </w:pPr>
      <w:r w:rsidRPr="00F602C0">
        <w:rPr>
          <w:rFonts w:ascii="Times New Roman" w:hAnsi="Times New Roman" w:cs="Times New Roman"/>
          <w:sz w:val="24"/>
          <w:szCs w:val="24"/>
        </w:rPr>
        <w:t xml:space="preserve">Cookey, S., Gomba, V., &amp; Wariboko, C. M. (2022). Prevalence of Diabetes in Rural Communities in South South and South East Nigeria A Retrospective, Cross Sectional Community Based Survey. </w:t>
      </w:r>
      <w:r w:rsidRPr="00F602C0">
        <w:rPr>
          <w:rFonts w:ascii="Times New Roman" w:hAnsi="Times New Roman" w:cs="Times New Roman"/>
          <w:i/>
          <w:iCs/>
          <w:sz w:val="24"/>
          <w:szCs w:val="24"/>
        </w:rPr>
        <w:t>IOSR Journal of Dental and Medical Sciences</w:t>
      </w:r>
      <w:r w:rsidRPr="00F602C0">
        <w:rPr>
          <w:rFonts w:ascii="Times New Roman" w:hAnsi="Times New Roman" w:cs="Times New Roman"/>
          <w:sz w:val="24"/>
          <w:szCs w:val="24"/>
        </w:rPr>
        <w:t xml:space="preserve">, </w:t>
      </w:r>
      <w:r w:rsidRPr="00F602C0">
        <w:rPr>
          <w:rFonts w:ascii="Times New Roman" w:hAnsi="Times New Roman" w:cs="Times New Roman"/>
          <w:i/>
          <w:iCs/>
          <w:sz w:val="24"/>
          <w:szCs w:val="24"/>
        </w:rPr>
        <w:t>21</w:t>
      </w:r>
      <w:r w:rsidRPr="00F602C0">
        <w:rPr>
          <w:rFonts w:ascii="Times New Roman" w:hAnsi="Times New Roman" w:cs="Times New Roman"/>
          <w:sz w:val="24"/>
          <w:szCs w:val="24"/>
        </w:rPr>
        <w:t xml:space="preserve">(2), 26–32. </w:t>
      </w:r>
      <w:hyperlink r:id="rId12" w:tgtFrame="_blank" w:history="1">
        <w:r w:rsidRPr="00F602C0">
          <w:rPr>
            <w:rStyle w:val="Hyperlink"/>
            <w:rFonts w:ascii="Times New Roman" w:hAnsi="Times New Roman" w:cs="Times New Roman"/>
            <w:sz w:val="24"/>
            <w:szCs w:val="24"/>
          </w:rPr>
          <w:t>https://doi.org/10.9790/0853-2102072632</w:t>
        </w:r>
      </w:hyperlink>
    </w:p>
    <w:p w14:paraId="77757122" w14:textId="77777777" w:rsidR="00F42B59" w:rsidRDefault="00F42B59" w:rsidP="00F84762">
      <w:pPr>
        <w:spacing w:after="0" w:line="240" w:lineRule="auto"/>
        <w:ind w:left="567" w:hanging="567"/>
        <w:jc w:val="both"/>
        <w:rPr>
          <w:rFonts w:ascii="Times New Roman" w:hAnsi="Times New Roman" w:cs="Times New Roman"/>
          <w:sz w:val="24"/>
          <w:szCs w:val="24"/>
        </w:rPr>
      </w:pPr>
    </w:p>
    <w:p w14:paraId="6F822A0C"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t>Gabriel, R., Acosta, T., Florez, K., Anillo, L., Navarro, E., Boukichou, N., Acosta-Reyes, J., Barengo, N. C., Lindström, J., Tuomilehto, J. O., &amp; Aschner, P. (2021). Validation of the Finnish Type 2 Diabetes Risk Score (FINDRISC) with the OGTT in Health Care Practices in Europe. </w:t>
      </w:r>
      <w:r w:rsidRPr="00F602C0">
        <w:rPr>
          <w:rFonts w:ascii="Times New Roman" w:hAnsi="Times New Roman" w:cs="Times New Roman"/>
          <w:i/>
          <w:iCs/>
          <w:sz w:val="24"/>
          <w:szCs w:val="24"/>
        </w:rPr>
        <w:t>Diabetes research and clinical practice</w:t>
      </w:r>
      <w:r w:rsidRPr="00F602C0">
        <w:rPr>
          <w:rFonts w:ascii="Times New Roman" w:hAnsi="Times New Roman" w:cs="Times New Roman"/>
          <w:sz w:val="24"/>
          <w:szCs w:val="24"/>
        </w:rPr>
        <w:t>, </w:t>
      </w:r>
      <w:r w:rsidRPr="00F602C0">
        <w:rPr>
          <w:rFonts w:ascii="Times New Roman" w:hAnsi="Times New Roman" w:cs="Times New Roman"/>
          <w:i/>
          <w:iCs/>
          <w:sz w:val="24"/>
          <w:szCs w:val="24"/>
        </w:rPr>
        <w:t>178</w:t>
      </w:r>
      <w:r w:rsidRPr="00F602C0">
        <w:rPr>
          <w:rFonts w:ascii="Times New Roman" w:hAnsi="Times New Roman" w:cs="Times New Roman"/>
          <w:sz w:val="24"/>
          <w:szCs w:val="24"/>
        </w:rPr>
        <w:t xml:space="preserve">, 108976. </w:t>
      </w:r>
      <w:hyperlink r:id="rId13" w:history="1">
        <w:r w:rsidRPr="00F602C0">
          <w:rPr>
            <w:rStyle w:val="Hyperlink"/>
            <w:rFonts w:ascii="Times New Roman" w:hAnsi="Times New Roman" w:cs="Times New Roman"/>
            <w:sz w:val="24"/>
            <w:szCs w:val="24"/>
          </w:rPr>
          <w:t>https://doi.org/10.1016/j.diabres.2021.108976</w:t>
        </w:r>
      </w:hyperlink>
    </w:p>
    <w:p w14:paraId="6F940292" w14:textId="77777777" w:rsidR="00F42B59" w:rsidRDefault="00F42B59" w:rsidP="00F84762">
      <w:pPr>
        <w:spacing w:after="0" w:line="240" w:lineRule="auto"/>
        <w:ind w:left="567" w:hanging="567"/>
        <w:jc w:val="both"/>
        <w:rPr>
          <w:rFonts w:ascii="Times New Roman" w:hAnsi="Times New Roman" w:cs="Times New Roman"/>
          <w:sz w:val="24"/>
          <w:szCs w:val="24"/>
        </w:rPr>
      </w:pPr>
    </w:p>
    <w:p w14:paraId="1C3390C1"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t xml:space="preserve">Gobato, A. O., Vasques, A. C. J., Zambon, M. P., Barros Filho, A. D. A., &amp; Hessel, G. (2014). Metabolic syndrome and insulin resistance in obese adolescents. </w:t>
      </w:r>
      <w:r w:rsidRPr="00F602C0">
        <w:rPr>
          <w:rFonts w:ascii="Times New Roman" w:hAnsi="Times New Roman" w:cs="Times New Roman"/>
          <w:i/>
          <w:iCs/>
          <w:sz w:val="24"/>
          <w:szCs w:val="24"/>
        </w:rPr>
        <w:t>Revista Paulista de Pediatria, 32</w:t>
      </w:r>
      <w:r w:rsidRPr="00F602C0">
        <w:rPr>
          <w:rFonts w:ascii="Times New Roman" w:hAnsi="Times New Roman" w:cs="Times New Roman"/>
          <w:sz w:val="24"/>
          <w:szCs w:val="24"/>
        </w:rPr>
        <w:t>(1), 55–62.</w:t>
      </w:r>
    </w:p>
    <w:p w14:paraId="0144FD61" w14:textId="77777777" w:rsidR="00F42B59" w:rsidRDefault="00F42B59" w:rsidP="00F84762">
      <w:pPr>
        <w:spacing w:after="0" w:line="240" w:lineRule="auto"/>
        <w:ind w:left="567" w:hanging="567"/>
        <w:jc w:val="both"/>
        <w:rPr>
          <w:rFonts w:ascii="Times New Roman" w:hAnsi="Times New Roman" w:cs="Times New Roman"/>
          <w:sz w:val="24"/>
          <w:szCs w:val="24"/>
        </w:rPr>
      </w:pPr>
    </w:p>
    <w:p w14:paraId="4EB92DBB"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t>Liu, J., Jin, X., Feng, Z., &amp; Huang, J. (2024). Using anthropometric parameters to predict insulin resistance among patients without diabetes mellitus. </w:t>
      </w:r>
      <w:r w:rsidRPr="00F602C0">
        <w:rPr>
          <w:rFonts w:ascii="Times New Roman" w:hAnsi="Times New Roman" w:cs="Times New Roman"/>
          <w:i/>
          <w:iCs/>
          <w:sz w:val="24"/>
          <w:szCs w:val="24"/>
        </w:rPr>
        <w:t>Scientific Reports,</w:t>
      </w:r>
      <w:r w:rsidRPr="00F602C0">
        <w:rPr>
          <w:rFonts w:ascii="Times New Roman" w:hAnsi="Times New Roman" w:cs="Times New Roman"/>
          <w:sz w:val="24"/>
          <w:szCs w:val="24"/>
        </w:rPr>
        <w:t> </w:t>
      </w:r>
      <w:r w:rsidRPr="00F602C0">
        <w:rPr>
          <w:rFonts w:ascii="Times New Roman" w:hAnsi="Times New Roman" w:cs="Times New Roman"/>
          <w:bCs/>
          <w:i/>
          <w:sz w:val="24"/>
          <w:szCs w:val="24"/>
        </w:rPr>
        <w:t>14</w:t>
      </w:r>
      <w:r w:rsidRPr="00F602C0">
        <w:rPr>
          <w:rFonts w:ascii="Times New Roman" w:hAnsi="Times New Roman" w:cs="Times New Roman"/>
          <w:sz w:val="24"/>
          <w:szCs w:val="24"/>
        </w:rPr>
        <w:t xml:space="preserve">, 21407 (2024). </w:t>
      </w:r>
      <w:hyperlink r:id="rId14" w:history="1">
        <w:r w:rsidRPr="00F602C0">
          <w:rPr>
            <w:rStyle w:val="Hyperlink"/>
            <w:rFonts w:ascii="Times New Roman" w:hAnsi="Times New Roman" w:cs="Times New Roman"/>
            <w:sz w:val="24"/>
            <w:szCs w:val="24"/>
          </w:rPr>
          <w:t>https://doi.org/10.1038/s41598-024-57020-2</w:t>
        </w:r>
      </w:hyperlink>
    </w:p>
    <w:p w14:paraId="311C4151" w14:textId="77777777" w:rsidR="00F42B59" w:rsidRDefault="00F42B59" w:rsidP="00F84762">
      <w:pPr>
        <w:spacing w:after="0" w:line="240" w:lineRule="auto"/>
        <w:ind w:left="567" w:hanging="567"/>
        <w:jc w:val="both"/>
        <w:rPr>
          <w:rFonts w:ascii="Times New Roman" w:hAnsi="Times New Roman" w:cs="Times New Roman"/>
          <w:sz w:val="24"/>
          <w:szCs w:val="24"/>
        </w:rPr>
      </w:pPr>
    </w:p>
    <w:p w14:paraId="24029253" w14:textId="77777777" w:rsidR="00F42B59" w:rsidRPr="0040184E"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t>Mohd Fauzi, N. F., Wafa, S. W., Mohd Ibrahim, A., Bhaskar Raj, N., &amp; Nurulhuda, M. H. (2022). Translation and Validation of American Diabetes Association Diabetes Risk Test: The Malay Version. </w:t>
      </w:r>
      <w:r w:rsidRPr="00F602C0">
        <w:rPr>
          <w:rFonts w:ascii="Times New Roman" w:hAnsi="Times New Roman" w:cs="Times New Roman"/>
          <w:i/>
          <w:iCs/>
          <w:sz w:val="24"/>
          <w:szCs w:val="24"/>
        </w:rPr>
        <w:t>The Malaysian journal of medical sciences : MJMS</w:t>
      </w:r>
      <w:r w:rsidRPr="00F602C0">
        <w:rPr>
          <w:rFonts w:ascii="Times New Roman" w:hAnsi="Times New Roman" w:cs="Times New Roman"/>
          <w:sz w:val="24"/>
          <w:szCs w:val="24"/>
        </w:rPr>
        <w:t>, </w:t>
      </w:r>
      <w:r w:rsidRPr="00F602C0">
        <w:rPr>
          <w:rFonts w:ascii="Times New Roman" w:hAnsi="Times New Roman" w:cs="Times New Roman"/>
          <w:i/>
          <w:iCs/>
          <w:sz w:val="24"/>
          <w:szCs w:val="24"/>
        </w:rPr>
        <w:t>29</w:t>
      </w:r>
      <w:r w:rsidRPr="00F602C0">
        <w:rPr>
          <w:rFonts w:ascii="Times New Roman" w:hAnsi="Times New Roman" w:cs="Times New Roman"/>
          <w:sz w:val="24"/>
          <w:szCs w:val="24"/>
        </w:rPr>
        <w:t xml:space="preserve">(1), 113–125. </w:t>
      </w:r>
      <w:hyperlink r:id="rId15" w:history="1">
        <w:r w:rsidRPr="00F602C0">
          <w:rPr>
            <w:rStyle w:val="Hyperlink"/>
            <w:rFonts w:ascii="Times New Roman" w:hAnsi="Times New Roman" w:cs="Times New Roman"/>
            <w:sz w:val="24"/>
            <w:szCs w:val="24"/>
          </w:rPr>
          <w:t>https://doi.org/10.21315/mjms2022.29.1.11</w:t>
        </w:r>
      </w:hyperlink>
    </w:p>
    <w:p w14:paraId="2E7ACCE0" w14:textId="77777777" w:rsidR="0040184E" w:rsidRPr="0040184E" w:rsidRDefault="0040184E" w:rsidP="0040184E">
      <w:pPr>
        <w:pStyle w:val="ListParagraph"/>
        <w:rPr>
          <w:rFonts w:ascii="Times New Roman" w:hAnsi="Times New Roman" w:cs="Times New Roman"/>
          <w:sz w:val="24"/>
          <w:szCs w:val="24"/>
        </w:rPr>
      </w:pPr>
    </w:p>
    <w:p w14:paraId="664848E5" w14:textId="77777777" w:rsidR="0040184E" w:rsidRPr="0040184E" w:rsidRDefault="0040184E" w:rsidP="0040184E">
      <w:pPr>
        <w:pStyle w:val="ListParagraph"/>
        <w:numPr>
          <w:ilvl w:val="0"/>
          <w:numId w:val="30"/>
        </w:numPr>
        <w:ind w:left="567" w:hanging="567"/>
        <w:jc w:val="both"/>
        <w:rPr>
          <w:rFonts w:ascii="Times New Roman" w:hAnsi="Times New Roman" w:cs="Times New Roman"/>
          <w:sz w:val="24"/>
          <w:szCs w:val="24"/>
        </w:rPr>
      </w:pPr>
      <w:r w:rsidRPr="0040184E">
        <w:rPr>
          <w:rFonts w:ascii="Times New Roman" w:hAnsi="Times New Roman" w:cs="Times New Roman"/>
          <w:sz w:val="24"/>
          <w:szCs w:val="24"/>
          <w:lang w:val="en-NG"/>
        </w:rPr>
        <w:t xml:space="preserve">Nnamudi, A. C., Orhue, N. J., &amp; Ijeh, I. I. (2023). Finnish diabetes risk score outperformed triglyceride-glucose index in diabetes risk prediction. </w:t>
      </w:r>
      <w:r w:rsidRPr="0040184E">
        <w:rPr>
          <w:rFonts w:ascii="Times New Roman" w:hAnsi="Times New Roman" w:cs="Times New Roman"/>
          <w:i/>
          <w:iCs/>
          <w:sz w:val="24"/>
          <w:szCs w:val="24"/>
          <w:lang w:val="en-NG"/>
        </w:rPr>
        <w:t>Journal of Diabetes &amp; Metabolic Disorders, 22</w:t>
      </w:r>
      <w:r w:rsidRPr="0040184E">
        <w:rPr>
          <w:rFonts w:ascii="Times New Roman" w:hAnsi="Times New Roman" w:cs="Times New Roman"/>
          <w:sz w:val="24"/>
          <w:szCs w:val="24"/>
          <w:lang w:val="en-NG"/>
        </w:rPr>
        <w:t>(2), 1337–1345. https://doi.org/10.1007/s40200-022-01089-7</w:t>
      </w:r>
    </w:p>
    <w:p w14:paraId="0908B7AB" w14:textId="77777777" w:rsidR="0040184E" w:rsidRPr="0040184E" w:rsidRDefault="0040184E" w:rsidP="0040184E">
      <w:pPr>
        <w:spacing w:after="0" w:line="240" w:lineRule="auto"/>
        <w:jc w:val="both"/>
        <w:rPr>
          <w:rFonts w:ascii="Times New Roman" w:hAnsi="Times New Roman" w:cs="Times New Roman"/>
          <w:sz w:val="24"/>
          <w:szCs w:val="24"/>
        </w:rPr>
      </w:pPr>
    </w:p>
    <w:p w14:paraId="11B44216" w14:textId="77777777" w:rsidR="00A65022" w:rsidRPr="00FD0BC7" w:rsidRDefault="00A65022" w:rsidP="00F84762">
      <w:pPr>
        <w:pStyle w:val="NormalWeb"/>
        <w:numPr>
          <w:ilvl w:val="0"/>
          <w:numId w:val="30"/>
        </w:numPr>
        <w:spacing w:after="0" w:afterAutospacing="0"/>
        <w:ind w:left="567" w:hanging="567"/>
        <w:jc w:val="both"/>
      </w:pPr>
      <w:r w:rsidRPr="00FD0BC7">
        <w:lastRenderedPageBreak/>
        <w:t>Ong, K. L., Stafford, L. K., McLaughlin, S. A., Palmer, M. G</w:t>
      </w:r>
      <w:r>
        <w:t xml:space="preserve">., Wu, J. H., Khan, J., An, Y., </w:t>
      </w:r>
      <w:r w:rsidRPr="00FD0BC7">
        <w:t>Huang, H., Abate, K. H., Aboye, F., Adane, T. W., Adhikari, T., Adou, A. K., Afarideh, M., Afshin, A., Agarwal, G., Ahinkorah,</w:t>
      </w:r>
      <w:r>
        <w:t xml:space="preserve"> B. O., Ahmad, S., Alahdab, F.,..., </w:t>
      </w:r>
      <w:r w:rsidRPr="00FD0BC7">
        <w:t xml:space="preserve">Mokdad, A. H. (2023). Global, regional, and national burden of diabetes from 1990 to 2021, with projections of prevalence to 2050: A systematic analysis for the Global Burden of Disease Study 2021. </w:t>
      </w:r>
      <w:r w:rsidRPr="00FD0BC7">
        <w:rPr>
          <w:i/>
          <w:iCs/>
        </w:rPr>
        <w:t>The Lancet</w:t>
      </w:r>
      <w:r w:rsidRPr="00FD0BC7">
        <w:t xml:space="preserve">, </w:t>
      </w:r>
      <w:r w:rsidRPr="00FD0BC7">
        <w:rPr>
          <w:i/>
          <w:iCs/>
        </w:rPr>
        <w:t>402</w:t>
      </w:r>
      <w:r w:rsidRPr="00FD0BC7">
        <w:t>, 203–234.</w:t>
      </w:r>
      <w:r>
        <w:t xml:space="preserve"> </w:t>
      </w:r>
      <w:hyperlink r:id="rId16" w:tgtFrame="_blank" w:history="1">
        <w:r w:rsidRPr="00FD0BC7">
          <w:rPr>
            <w:rStyle w:val="Hyperlink"/>
          </w:rPr>
          <w:t>https://doi.org/10.1016/S0140-6736(23)00823-9</w:t>
        </w:r>
      </w:hyperlink>
    </w:p>
    <w:p w14:paraId="4B5807DB" w14:textId="77777777" w:rsidR="00A65022" w:rsidRDefault="00A65022" w:rsidP="00F84762">
      <w:pPr>
        <w:spacing w:after="0" w:line="240" w:lineRule="auto"/>
        <w:ind w:left="567" w:hanging="567"/>
        <w:jc w:val="both"/>
        <w:rPr>
          <w:rFonts w:ascii="Times New Roman" w:hAnsi="Times New Roman" w:cs="Times New Roman"/>
          <w:sz w:val="24"/>
          <w:szCs w:val="24"/>
        </w:rPr>
      </w:pPr>
    </w:p>
    <w:p w14:paraId="0B322970" w14:textId="77777777" w:rsidR="00F42B59"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t xml:space="preserve">Rolland, Y., Lauwers-Cances, V., Cournot, M., Nourhashémi, F., Reynish, W., Rivière, D., Vellas, B., &amp; Grandjean, H. (2003). Sarcopenia, calf circumference, and physical function of elderly women: A cross-sectional study. </w:t>
      </w:r>
      <w:r w:rsidRPr="00F602C0">
        <w:rPr>
          <w:rFonts w:ascii="Times New Roman" w:hAnsi="Times New Roman" w:cs="Times New Roman"/>
          <w:i/>
          <w:iCs/>
          <w:sz w:val="24"/>
          <w:szCs w:val="24"/>
        </w:rPr>
        <w:t>Journal of the American Geriatrics Society, 51</w:t>
      </w:r>
      <w:r w:rsidRPr="00F602C0">
        <w:rPr>
          <w:rFonts w:ascii="Times New Roman" w:hAnsi="Times New Roman" w:cs="Times New Roman"/>
          <w:sz w:val="24"/>
          <w:szCs w:val="24"/>
        </w:rPr>
        <w:t xml:space="preserve">(8), 1120–1124. </w:t>
      </w:r>
      <w:hyperlink r:id="rId17" w:history="1">
        <w:r w:rsidRPr="00F602C0">
          <w:rPr>
            <w:rStyle w:val="Hyperlink"/>
            <w:rFonts w:ascii="Times New Roman" w:hAnsi="Times New Roman" w:cs="Times New Roman"/>
            <w:sz w:val="24"/>
            <w:szCs w:val="24"/>
          </w:rPr>
          <w:t>https://doi.org/10.1046/j.1532-5415.2003.51362.x</w:t>
        </w:r>
      </w:hyperlink>
      <w:r w:rsidRPr="00F602C0">
        <w:rPr>
          <w:rFonts w:ascii="Times New Roman" w:hAnsi="Times New Roman" w:cs="Times New Roman"/>
          <w:sz w:val="24"/>
          <w:szCs w:val="24"/>
        </w:rPr>
        <w:t xml:space="preserve"> </w:t>
      </w:r>
    </w:p>
    <w:p w14:paraId="632EED13" w14:textId="77777777" w:rsidR="00E5058B" w:rsidRPr="00E5058B" w:rsidRDefault="00E5058B" w:rsidP="00E5058B">
      <w:pPr>
        <w:pStyle w:val="ListParagraph"/>
        <w:rPr>
          <w:rFonts w:ascii="Times New Roman" w:hAnsi="Times New Roman" w:cs="Times New Roman"/>
          <w:sz w:val="24"/>
          <w:szCs w:val="24"/>
        </w:rPr>
      </w:pPr>
    </w:p>
    <w:p w14:paraId="30EF30C6" w14:textId="316C35F7" w:rsidR="00E5058B" w:rsidRDefault="00E5058B"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E5058B">
        <w:rPr>
          <w:rFonts w:ascii="Times New Roman" w:hAnsi="Times New Roman" w:cs="Times New Roman"/>
          <w:sz w:val="24"/>
          <w:szCs w:val="24"/>
        </w:rPr>
        <w:t xml:space="preserve">Sadeghi, E., Khodadadiyan, A., Hosseini, S. A., Hosseini, S. M., Aminorroaya, A., Amini, M., &amp; Javadi, S. (2024). Novel anthropometric indices for predicting type 2 diabetes mellitus. </w:t>
      </w:r>
      <w:r w:rsidRPr="00851CD5">
        <w:rPr>
          <w:rFonts w:ascii="Times New Roman" w:hAnsi="Times New Roman" w:cs="Times New Roman"/>
          <w:i/>
          <w:iCs/>
          <w:sz w:val="24"/>
          <w:szCs w:val="24"/>
        </w:rPr>
        <w:t>BMC Public Health, 24</w:t>
      </w:r>
      <w:r w:rsidRPr="00E5058B">
        <w:rPr>
          <w:rFonts w:ascii="Times New Roman" w:hAnsi="Times New Roman" w:cs="Times New Roman"/>
          <w:sz w:val="24"/>
          <w:szCs w:val="24"/>
        </w:rPr>
        <w:t>(1), 1033.</w:t>
      </w:r>
    </w:p>
    <w:p w14:paraId="2F4C5D9C" w14:textId="77777777" w:rsidR="00962346" w:rsidRPr="00962346" w:rsidRDefault="00962346" w:rsidP="00962346">
      <w:pPr>
        <w:pStyle w:val="ListParagraph"/>
        <w:rPr>
          <w:rFonts w:ascii="Times New Roman" w:hAnsi="Times New Roman" w:cs="Times New Roman"/>
          <w:sz w:val="24"/>
          <w:szCs w:val="24"/>
        </w:rPr>
      </w:pPr>
    </w:p>
    <w:p w14:paraId="3A782C68" w14:textId="22D698F9" w:rsidR="00962346" w:rsidRPr="00F602C0" w:rsidRDefault="00962346"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962346">
        <w:rPr>
          <w:rFonts w:ascii="Times New Roman" w:hAnsi="Times New Roman" w:cs="Times New Roman"/>
          <w:sz w:val="24"/>
          <w:szCs w:val="24"/>
        </w:rPr>
        <w:t>Teufel, F., Seiglie, J. A., Geldsetzer, P., Theilmann, M., Marcus, M. E., Ebert, C., Arboleda, W. A. L., Agoudavi, K., Andall-Brereton, G., Aryal, K. K., Bicaba, B. W., Brian, G., Bovet, P., Dorobantu, M., Gurung, M. S., Guwatudde, D., Houehanou, C., Houinato, D., Jorgensen, J. M. A., Kagaruki, G. B., … Manne-Goehler, J. (2021). Body-mass index and diabetes risk in 57 low-income and middle-income countries: a cross-sectional study of nationally representative, individual-level data in 685 616 adults. </w:t>
      </w:r>
      <w:r w:rsidRPr="00962346">
        <w:rPr>
          <w:rFonts w:ascii="Times New Roman" w:hAnsi="Times New Roman" w:cs="Times New Roman"/>
          <w:i/>
          <w:iCs/>
          <w:sz w:val="24"/>
          <w:szCs w:val="24"/>
        </w:rPr>
        <w:t>Lancet (London, England)</w:t>
      </w:r>
      <w:r w:rsidRPr="00962346">
        <w:rPr>
          <w:rFonts w:ascii="Times New Roman" w:hAnsi="Times New Roman" w:cs="Times New Roman"/>
          <w:sz w:val="24"/>
          <w:szCs w:val="24"/>
        </w:rPr>
        <w:t>, </w:t>
      </w:r>
      <w:r w:rsidRPr="00962346">
        <w:rPr>
          <w:rFonts w:ascii="Times New Roman" w:hAnsi="Times New Roman" w:cs="Times New Roman"/>
          <w:i/>
          <w:iCs/>
          <w:sz w:val="24"/>
          <w:szCs w:val="24"/>
        </w:rPr>
        <w:t>398</w:t>
      </w:r>
      <w:r w:rsidRPr="00962346">
        <w:rPr>
          <w:rFonts w:ascii="Times New Roman" w:hAnsi="Times New Roman" w:cs="Times New Roman"/>
          <w:sz w:val="24"/>
          <w:szCs w:val="24"/>
        </w:rPr>
        <w:t>(10296), 238–248. https://doi.org/10.1016/S0140-6736(21)00844-8</w:t>
      </w:r>
    </w:p>
    <w:p w14:paraId="1E6C6F1A" w14:textId="77777777" w:rsidR="007D5641" w:rsidRDefault="007D5641" w:rsidP="00F84762">
      <w:pPr>
        <w:spacing w:after="0" w:line="240" w:lineRule="auto"/>
        <w:ind w:left="567" w:hanging="567"/>
        <w:jc w:val="both"/>
        <w:rPr>
          <w:rFonts w:ascii="Times New Roman" w:hAnsi="Times New Roman" w:cs="Times New Roman"/>
          <w:sz w:val="24"/>
          <w:szCs w:val="24"/>
        </w:rPr>
      </w:pPr>
    </w:p>
    <w:p w14:paraId="40EF01E0" w14:textId="77777777" w:rsidR="005D1E27"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t>Tsai, S.-F., Yang, C.-T., Liu, W.-J.</w:t>
      </w:r>
      <w:r w:rsidR="003D4048" w:rsidRPr="00F602C0">
        <w:rPr>
          <w:rFonts w:ascii="Times New Roman" w:hAnsi="Times New Roman" w:cs="Times New Roman"/>
          <w:sz w:val="24"/>
          <w:szCs w:val="24"/>
        </w:rPr>
        <w:t>,</w:t>
      </w:r>
      <w:r w:rsidRPr="00F602C0">
        <w:rPr>
          <w:rFonts w:ascii="Times New Roman" w:hAnsi="Times New Roman" w:cs="Times New Roman"/>
          <w:sz w:val="24"/>
          <w:szCs w:val="24"/>
        </w:rPr>
        <w:t xml:space="preserve"> &amp; Lee, C.-L. (2023). Development and validation of an insulin resistance model for a population without diabetes mellitus and its clinical implication: a prospective cohort study. </w:t>
      </w:r>
      <w:r w:rsidRPr="00F602C0">
        <w:rPr>
          <w:rFonts w:ascii="Times New Roman" w:hAnsi="Times New Roman" w:cs="Times New Roman"/>
          <w:i/>
          <w:iCs/>
          <w:sz w:val="24"/>
          <w:szCs w:val="24"/>
        </w:rPr>
        <w:t>EClinicalMedicine,</w:t>
      </w:r>
      <w:r w:rsidR="005D1E27" w:rsidRPr="00F602C0">
        <w:rPr>
          <w:rFonts w:ascii="Times New Roman" w:hAnsi="Times New Roman" w:cs="Times New Roman"/>
          <w:i/>
          <w:iCs/>
          <w:sz w:val="24"/>
          <w:szCs w:val="24"/>
        </w:rPr>
        <w:t xml:space="preserve"> </w:t>
      </w:r>
      <w:r w:rsidRPr="00F602C0">
        <w:rPr>
          <w:rFonts w:ascii="Times New Roman" w:hAnsi="Times New Roman" w:cs="Times New Roman"/>
          <w:bCs/>
          <w:i/>
          <w:sz w:val="24"/>
          <w:szCs w:val="24"/>
        </w:rPr>
        <w:t>58</w:t>
      </w:r>
      <w:r w:rsidRPr="00F602C0">
        <w:rPr>
          <w:rFonts w:ascii="Times New Roman" w:hAnsi="Times New Roman" w:cs="Times New Roman"/>
          <w:sz w:val="24"/>
          <w:szCs w:val="24"/>
        </w:rPr>
        <w:t>, 101934. </w:t>
      </w:r>
      <w:hyperlink r:id="rId18" w:history="1">
        <w:r w:rsidRPr="00F602C0">
          <w:rPr>
            <w:rStyle w:val="Hyperlink"/>
            <w:rFonts w:ascii="Times New Roman" w:hAnsi="Times New Roman" w:cs="Times New Roman"/>
            <w:sz w:val="24"/>
            <w:szCs w:val="24"/>
          </w:rPr>
          <w:t>https://doi.org/10.1016/j.eclinm.2023.101934</w:t>
        </w:r>
      </w:hyperlink>
      <w:r w:rsidRPr="00F602C0">
        <w:rPr>
          <w:rFonts w:ascii="Times New Roman" w:hAnsi="Times New Roman" w:cs="Times New Roman"/>
          <w:sz w:val="24"/>
          <w:szCs w:val="24"/>
        </w:rPr>
        <w:t> </w:t>
      </w:r>
    </w:p>
    <w:p w14:paraId="2C27C884" w14:textId="77777777" w:rsidR="00A65022" w:rsidRDefault="00A65022" w:rsidP="00F84762">
      <w:pPr>
        <w:spacing w:after="0" w:line="240" w:lineRule="auto"/>
        <w:ind w:left="567" w:hanging="567"/>
        <w:jc w:val="both"/>
        <w:rPr>
          <w:rFonts w:ascii="Times New Roman" w:hAnsi="Times New Roman" w:cs="Times New Roman"/>
          <w:sz w:val="24"/>
          <w:szCs w:val="24"/>
        </w:rPr>
      </w:pPr>
    </w:p>
    <w:p w14:paraId="0D443723" w14:textId="77777777" w:rsidR="003F6015" w:rsidRPr="00F602C0" w:rsidRDefault="003F6015"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rPr>
        <w:t>Vaughan, J. P.</w:t>
      </w:r>
      <w:r w:rsidR="003D4048" w:rsidRPr="00F602C0">
        <w:rPr>
          <w:rFonts w:ascii="Times New Roman" w:hAnsi="Times New Roman" w:cs="Times New Roman"/>
          <w:sz w:val="24"/>
        </w:rPr>
        <w:t>,</w:t>
      </w:r>
      <w:r w:rsidRPr="00F602C0">
        <w:rPr>
          <w:rFonts w:ascii="Times New Roman" w:hAnsi="Times New Roman" w:cs="Times New Roman"/>
          <w:sz w:val="24"/>
        </w:rPr>
        <w:t xml:space="preserve"> &amp; Morrow, R. H. (1989). </w:t>
      </w:r>
      <w:r w:rsidRPr="00F602C0">
        <w:rPr>
          <w:rFonts w:ascii="Times New Roman" w:hAnsi="Times New Roman" w:cs="Times New Roman"/>
          <w:i/>
          <w:sz w:val="24"/>
        </w:rPr>
        <w:t>Manual of epidemiology</w:t>
      </w:r>
      <w:r w:rsidR="00352A51" w:rsidRPr="00F602C0">
        <w:rPr>
          <w:rFonts w:ascii="Times New Roman" w:hAnsi="Times New Roman" w:cs="Times New Roman"/>
          <w:i/>
          <w:sz w:val="24"/>
        </w:rPr>
        <w:t xml:space="preserve"> for district health management WHO.</w:t>
      </w:r>
      <w:r w:rsidRPr="00F602C0">
        <w:rPr>
          <w:rFonts w:ascii="Times New Roman" w:hAnsi="Times New Roman" w:cs="Times New Roman"/>
          <w:sz w:val="24"/>
        </w:rPr>
        <w:t xml:space="preserve"> Geneva:Switzerland. pp 126–128</w:t>
      </w:r>
      <w:r w:rsidRPr="00F602C0">
        <w:rPr>
          <w:rFonts w:ascii="Times New Roman" w:hAnsi="Times New Roman" w:cs="Times New Roman"/>
          <w:sz w:val="24"/>
          <w:szCs w:val="24"/>
        </w:rPr>
        <w:t>.</w:t>
      </w:r>
    </w:p>
    <w:p w14:paraId="0D0402A0" w14:textId="77777777" w:rsidR="003F6015" w:rsidRPr="00F42B59" w:rsidRDefault="003F6015" w:rsidP="00F42B59">
      <w:pPr>
        <w:spacing w:after="0" w:line="240" w:lineRule="auto"/>
        <w:jc w:val="both"/>
        <w:rPr>
          <w:rFonts w:ascii="Times New Roman" w:hAnsi="Times New Roman" w:cs="Times New Roman"/>
          <w:sz w:val="24"/>
          <w:szCs w:val="24"/>
        </w:rPr>
      </w:pPr>
    </w:p>
    <w:p w14:paraId="6DE55D7C" w14:textId="77777777" w:rsidR="00F42B59" w:rsidRPr="00F42B59" w:rsidRDefault="00F42B59" w:rsidP="00F42B59">
      <w:pPr>
        <w:spacing w:after="0" w:line="240" w:lineRule="auto"/>
        <w:jc w:val="both"/>
        <w:rPr>
          <w:rFonts w:ascii="Times New Roman" w:hAnsi="Times New Roman" w:cs="Times New Roman"/>
          <w:sz w:val="24"/>
          <w:szCs w:val="24"/>
        </w:rPr>
      </w:pPr>
    </w:p>
    <w:p w14:paraId="13404214" w14:textId="77777777" w:rsidR="00F42B59" w:rsidRPr="00F42B59" w:rsidRDefault="00F42B59" w:rsidP="00F42B59">
      <w:pPr>
        <w:spacing w:after="0" w:line="240" w:lineRule="auto"/>
        <w:jc w:val="both"/>
        <w:rPr>
          <w:rFonts w:ascii="Times New Roman" w:hAnsi="Times New Roman" w:cs="Times New Roman"/>
          <w:sz w:val="24"/>
          <w:szCs w:val="24"/>
        </w:rPr>
      </w:pPr>
    </w:p>
    <w:p w14:paraId="2333BFA0" w14:textId="77777777" w:rsidR="00F42B59" w:rsidRPr="00F42B59" w:rsidRDefault="00F42B59" w:rsidP="00F42B59">
      <w:pPr>
        <w:spacing w:after="0" w:line="240" w:lineRule="auto"/>
        <w:jc w:val="both"/>
        <w:rPr>
          <w:rFonts w:ascii="Times New Roman" w:hAnsi="Times New Roman" w:cs="Times New Roman"/>
          <w:sz w:val="24"/>
          <w:szCs w:val="24"/>
        </w:rPr>
      </w:pPr>
      <w:r w:rsidRPr="00F42B59">
        <w:rPr>
          <w:rFonts w:ascii="Times New Roman" w:hAnsi="Times New Roman" w:cs="Times New Roman"/>
          <w:sz w:val="24"/>
          <w:szCs w:val="24"/>
        </w:rPr>
        <w:t xml:space="preserve"> </w:t>
      </w:r>
    </w:p>
    <w:p w14:paraId="134B261C" w14:textId="77777777" w:rsidR="00664E5C" w:rsidRPr="00583237" w:rsidRDefault="00664E5C" w:rsidP="00615512">
      <w:pPr>
        <w:spacing w:after="0" w:line="240" w:lineRule="auto"/>
        <w:jc w:val="both"/>
        <w:rPr>
          <w:rFonts w:ascii="Times New Roman" w:hAnsi="Times New Roman" w:cs="Times New Roman"/>
          <w:sz w:val="24"/>
          <w:szCs w:val="24"/>
        </w:rPr>
      </w:pPr>
    </w:p>
    <w:sectPr w:rsidR="00664E5C" w:rsidRPr="00583237" w:rsidSect="00BA7E04">
      <w:headerReference w:type="even" r:id="rId19"/>
      <w:headerReference w:type="default" r:id="rId20"/>
      <w:footerReference w:type="even" r:id="rId21"/>
      <w:footerReference w:type="default" r:id="rId22"/>
      <w:headerReference w:type="first" r:id="rId23"/>
      <w:footerReference w:type="first" r:id="rId24"/>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CE3A" w14:textId="77777777" w:rsidR="008C0BCA" w:rsidRDefault="008C0BCA" w:rsidP="00E65DF4">
      <w:pPr>
        <w:spacing w:after="0" w:line="240" w:lineRule="auto"/>
      </w:pPr>
      <w:r>
        <w:separator/>
      </w:r>
    </w:p>
  </w:endnote>
  <w:endnote w:type="continuationSeparator" w:id="0">
    <w:p w14:paraId="730CBFA9" w14:textId="77777777" w:rsidR="008C0BCA" w:rsidRDefault="008C0BCA" w:rsidP="00E6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7FEC" w14:textId="77777777" w:rsidR="00FD1B98" w:rsidRDefault="00FD1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181976"/>
      <w:docPartObj>
        <w:docPartGallery w:val="Page Numbers (Bottom of Page)"/>
        <w:docPartUnique/>
      </w:docPartObj>
    </w:sdtPr>
    <w:sdtEndPr>
      <w:rPr>
        <w:noProof/>
      </w:rPr>
    </w:sdtEndPr>
    <w:sdtContent>
      <w:p w14:paraId="2EAB13D3" w14:textId="77777777" w:rsidR="0066423A" w:rsidRDefault="0066423A">
        <w:pPr>
          <w:pStyle w:val="Footer"/>
          <w:jc w:val="center"/>
        </w:pPr>
        <w:r>
          <w:fldChar w:fldCharType="begin"/>
        </w:r>
        <w:r>
          <w:instrText xml:space="preserve"> PAGE   \* MERGEFORMAT </w:instrText>
        </w:r>
        <w:r>
          <w:fldChar w:fldCharType="separate"/>
        </w:r>
        <w:r w:rsidR="00AF7AB4">
          <w:rPr>
            <w:noProof/>
          </w:rPr>
          <w:t>9</w:t>
        </w:r>
        <w:r>
          <w:rPr>
            <w:noProof/>
          </w:rPr>
          <w:fldChar w:fldCharType="end"/>
        </w:r>
      </w:p>
    </w:sdtContent>
  </w:sdt>
  <w:p w14:paraId="74245EBD" w14:textId="77777777" w:rsidR="0066423A" w:rsidRDefault="00664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5943" w14:textId="77777777" w:rsidR="00FD1B98" w:rsidRDefault="00FD1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7AAE" w14:textId="77777777" w:rsidR="008C0BCA" w:rsidRDefault="008C0BCA" w:rsidP="00E65DF4">
      <w:pPr>
        <w:spacing w:after="0" w:line="240" w:lineRule="auto"/>
      </w:pPr>
      <w:r>
        <w:separator/>
      </w:r>
    </w:p>
  </w:footnote>
  <w:footnote w:type="continuationSeparator" w:id="0">
    <w:p w14:paraId="32E8ABBE" w14:textId="77777777" w:rsidR="008C0BCA" w:rsidRDefault="008C0BCA" w:rsidP="00E65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0A78" w14:textId="20773D7D" w:rsidR="00FD1B98" w:rsidRDefault="00000000">
    <w:pPr>
      <w:pStyle w:val="Header"/>
    </w:pPr>
    <w:r>
      <w:rPr>
        <w:noProof/>
      </w:rPr>
      <w:pict w14:anchorId="1699A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090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34AF" w14:textId="0834F945" w:rsidR="00FD1B98" w:rsidRDefault="00000000">
    <w:pPr>
      <w:pStyle w:val="Header"/>
    </w:pPr>
    <w:r>
      <w:rPr>
        <w:noProof/>
      </w:rPr>
      <w:pict w14:anchorId="61AEC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090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F4C7" w14:textId="0A006102" w:rsidR="00FD1B98" w:rsidRDefault="00000000">
    <w:pPr>
      <w:pStyle w:val="Header"/>
    </w:pPr>
    <w:r>
      <w:rPr>
        <w:noProof/>
      </w:rPr>
      <w:pict w14:anchorId="5E555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090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0E2"/>
    <w:multiLevelType w:val="hybridMultilevel"/>
    <w:tmpl w:val="A4D2BC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E70854"/>
    <w:multiLevelType w:val="multilevel"/>
    <w:tmpl w:val="590CA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B184F"/>
    <w:multiLevelType w:val="hybridMultilevel"/>
    <w:tmpl w:val="83E2FE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0093B04"/>
    <w:multiLevelType w:val="hybridMultilevel"/>
    <w:tmpl w:val="A9D867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6606308"/>
    <w:multiLevelType w:val="hybridMultilevel"/>
    <w:tmpl w:val="C876E8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8E16A1D"/>
    <w:multiLevelType w:val="hybridMultilevel"/>
    <w:tmpl w:val="2C02D144"/>
    <w:lvl w:ilvl="0" w:tplc="20000001">
      <w:start w:val="1"/>
      <w:numFmt w:val="bullet"/>
      <w:lvlText w:val=""/>
      <w:lvlJc w:val="left"/>
      <w:pPr>
        <w:ind w:left="787" w:hanging="360"/>
      </w:pPr>
      <w:rPr>
        <w:rFonts w:ascii="Symbol" w:hAnsi="Symbol" w:hint="default"/>
      </w:rPr>
    </w:lvl>
    <w:lvl w:ilvl="1" w:tplc="20000003" w:tentative="1">
      <w:start w:val="1"/>
      <w:numFmt w:val="bullet"/>
      <w:lvlText w:val="o"/>
      <w:lvlJc w:val="left"/>
      <w:pPr>
        <w:ind w:left="1507" w:hanging="360"/>
      </w:pPr>
      <w:rPr>
        <w:rFonts w:ascii="Courier New" w:hAnsi="Courier New" w:cs="Courier New" w:hint="default"/>
      </w:rPr>
    </w:lvl>
    <w:lvl w:ilvl="2" w:tplc="20000005" w:tentative="1">
      <w:start w:val="1"/>
      <w:numFmt w:val="bullet"/>
      <w:lvlText w:val=""/>
      <w:lvlJc w:val="left"/>
      <w:pPr>
        <w:ind w:left="2227" w:hanging="360"/>
      </w:pPr>
      <w:rPr>
        <w:rFonts w:ascii="Wingdings" w:hAnsi="Wingdings" w:hint="default"/>
      </w:rPr>
    </w:lvl>
    <w:lvl w:ilvl="3" w:tplc="20000001" w:tentative="1">
      <w:start w:val="1"/>
      <w:numFmt w:val="bullet"/>
      <w:lvlText w:val=""/>
      <w:lvlJc w:val="left"/>
      <w:pPr>
        <w:ind w:left="2947" w:hanging="360"/>
      </w:pPr>
      <w:rPr>
        <w:rFonts w:ascii="Symbol" w:hAnsi="Symbol" w:hint="default"/>
      </w:rPr>
    </w:lvl>
    <w:lvl w:ilvl="4" w:tplc="20000003" w:tentative="1">
      <w:start w:val="1"/>
      <w:numFmt w:val="bullet"/>
      <w:lvlText w:val="o"/>
      <w:lvlJc w:val="left"/>
      <w:pPr>
        <w:ind w:left="3667" w:hanging="360"/>
      </w:pPr>
      <w:rPr>
        <w:rFonts w:ascii="Courier New" w:hAnsi="Courier New" w:cs="Courier New" w:hint="default"/>
      </w:rPr>
    </w:lvl>
    <w:lvl w:ilvl="5" w:tplc="20000005" w:tentative="1">
      <w:start w:val="1"/>
      <w:numFmt w:val="bullet"/>
      <w:lvlText w:val=""/>
      <w:lvlJc w:val="left"/>
      <w:pPr>
        <w:ind w:left="4387" w:hanging="360"/>
      </w:pPr>
      <w:rPr>
        <w:rFonts w:ascii="Wingdings" w:hAnsi="Wingdings" w:hint="default"/>
      </w:rPr>
    </w:lvl>
    <w:lvl w:ilvl="6" w:tplc="20000001" w:tentative="1">
      <w:start w:val="1"/>
      <w:numFmt w:val="bullet"/>
      <w:lvlText w:val=""/>
      <w:lvlJc w:val="left"/>
      <w:pPr>
        <w:ind w:left="5107" w:hanging="360"/>
      </w:pPr>
      <w:rPr>
        <w:rFonts w:ascii="Symbol" w:hAnsi="Symbol" w:hint="default"/>
      </w:rPr>
    </w:lvl>
    <w:lvl w:ilvl="7" w:tplc="20000003" w:tentative="1">
      <w:start w:val="1"/>
      <w:numFmt w:val="bullet"/>
      <w:lvlText w:val="o"/>
      <w:lvlJc w:val="left"/>
      <w:pPr>
        <w:ind w:left="5827" w:hanging="360"/>
      </w:pPr>
      <w:rPr>
        <w:rFonts w:ascii="Courier New" w:hAnsi="Courier New" w:cs="Courier New" w:hint="default"/>
      </w:rPr>
    </w:lvl>
    <w:lvl w:ilvl="8" w:tplc="20000005" w:tentative="1">
      <w:start w:val="1"/>
      <w:numFmt w:val="bullet"/>
      <w:lvlText w:val=""/>
      <w:lvlJc w:val="left"/>
      <w:pPr>
        <w:ind w:left="6547" w:hanging="360"/>
      </w:pPr>
      <w:rPr>
        <w:rFonts w:ascii="Wingdings" w:hAnsi="Wingdings" w:hint="default"/>
      </w:rPr>
    </w:lvl>
  </w:abstractNum>
  <w:abstractNum w:abstractNumId="6" w15:restartNumberingAfterBreak="0">
    <w:nsid w:val="31246712"/>
    <w:multiLevelType w:val="hybridMultilevel"/>
    <w:tmpl w:val="CA34E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1A70530"/>
    <w:multiLevelType w:val="hybridMultilevel"/>
    <w:tmpl w:val="717C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D651B"/>
    <w:multiLevelType w:val="multilevel"/>
    <w:tmpl w:val="0624D9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DA2381"/>
    <w:multiLevelType w:val="hybridMultilevel"/>
    <w:tmpl w:val="8E4C9A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EB152D7"/>
    <w:multiLevelType w:val="hybridMultilevel"/>
    <w:tmpl w:val="A24242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FCD4A21"/>
    <w:multiLevelType w:val="hybridMultilevel"/>
    <w:tmpl w:val="4F32CA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3915825"/>
    <w:multiLevelType w:val="hybridMultilevel"/>
    <w:tmpl w:val="9C420B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867620D"/>
    <w:multiLevelType w:val="hybridMultilevel"/>
    <w:tmpl w:val="D67AA4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FF1084C"/>
    <w:multiLevelType w:val="hybridMultilevel"/>
    <w:tmpl w:val="D826A9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7BC1F39"/>
    <w:multiLevelType w:val="multilevel"/>
    <w:tmpl w:val="1D8CE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17373E"/>
    <w:multiLevelType w:val="hybridMultilevel"/>
    <w:tmpl w:val="52A27E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B727872"/>
    <w:multiLevelType w:val="hybridMultilevel"/>
    <w:tmpl w:val="1AD826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D6D64FA"/>
    <w:multiLevelType w:val="hybridMultilevel"/>
    <w:tmpl w:val="51E67942"/>
    <w:lvl w:ilvl="0" w:tplc="66B48A4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DF71585"/>
    <w:multiLevelType w:val="multilevel"/>
    <w:tmpl w:val="6C94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F15BAA"/>
    <w:multiLevelType w:val="multilevel"/>
    <w:tmpl w:val="BB88C9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694271"/>
    <w:multiLevelType w:val="multilevel"/>
    <w:tmpl w:val="76C8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C92868"/>
    <w:multiLevelType w:val="multilevel"/>
    <w:tmpl w:val="BA02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1E5CF8"/>
    <w:multiLevelType w:val="multilevel"/>
    <w:tmpl w:val="D638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E64EDA"/>
    <w:multiLevelType w:val="hybridMultilevel"/>
    <w:tmpl w:val="AD623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AE0D81"/>
    <w:multiLevelType w:val="hybridMultilevel"/>
    <w:tmpl w:val="8E980452"/>
    <w:lvl w:ilvl="0" w:tplc="20000001">
      <w:start w:val="1"/>
      <w:numFmt w:val="bullet"/>
      <w:lvlText w:val=""/>
      <w:lvlJc w:val="left"/>
      <w:pPr>
        <w:ind w:left="787" w:hanging="360"/>
      </w:pPr>
      <w:rPr>
        <w:rFonts w:ascii="Symbol" w:hAnsi="Symbol" w:hint="default"/>
      </w:rPr>
    </w:lvl>
    <w:lvl w:ilvl="1" w:tplc="20000003" w:tentative="1">
      <w:start w:val="1"/>
      <w:numFmt w:val="bullet"/>
      <w:lvlText w:val="o"/>
      <w:lvlJc w:val="left"/>
      <w:pPr>
        <w:ind w:left="1507" w:hanging="360"/>
      </w:pPr>
      <w:rPr>
        <w:rFonts w:ascii="Courier New" w:hAnsi="Courier New" w:cs="Courier New" w:hint="default"/>
      </w:rPr>
    </w:lvl>
    <w:lvl w:ilvl="2" w:tplc="20000005" w:tentative="1">
      <w:start w:val="1"/>
      <w:numFmt w:val="bullet"/>
      <w:lvlText w:val=""/>
      <w:lvlJc w:val="left"/>
      <w:pPr>
        <w:ind w:left="2227" w:hanging="360"/>
      </w:pPr>
      <w:rPr>
        <w:rFonts w:ascii="Wingdings" w:hAnsi="Wingdings" w:hint="default"/>
      </w:rPr>
    </w:lvl>
    <w:lvl w:ilvl="3" w:tplc="20000001" w:tentative="1">
      <w:start w:val="1"/>
      <w:numFmt w:val="bullet"/>
      <w:lvlText w:val=""/>
      <w:lvlJc w:val="left"/>
      <w:pPr>
        <w:ind w:left="2947" w:hanging="360"/>
      </w:pPr>
      <w:rPr>
        <w:rFonts w:ascii="Symbol" w:hAnsi="Symbol" w:hint="default"/>
      </w:rPr>
    </w:lvl>
    <w:lvl w:ilvl="4" w:tplc="20000003" w:tentative="1">
      <w:start w:val="1"/>
      <w:numFmt w:val="bullet"/>
      <w:lvlText w:val="o"/>
      <w:lvlJc w:val="left"/>
      <w:pPr>
        <w:ind w:left="3667" w:hanging="360"/>
      </w:pPr>
      <w:rPr>
        <w:rFonts w:ascii="Courier New" w:hAnsi="Courier New" w:cs="Courier New" w:hint="default"/>
      </w:rPr>
    </w:lvl>
    <w:lvl w:ilvl="5" w:tplc="20000005" w:tentative="1">
      <w:start w:val="1"/>
      <w:numFmt w:val="bullet"/>
      <w:lvlText w:val=""/>
      <w:lvlJc w:val="left"/>
      <w:pPr>
        <w:ind w:left="4387" w:hanging="360"/>
      </w:pPr>
      <w:rPr>
        <w:rFonts w:ascii="Wingdings" w:hAnsi="Wingdings" w:hint="default"/>
      </w:rPr>
    </w:lvl>
    <w:lvl w:ilvl="6" w:tplc="20000001" w:tentative="1">
      <w:start w:val="1"/>
      <w:numFmt w:val="bullet"/>
      <w:lvlText w:val=""/>
      <w:lvlJc w:val="left"/>
      <w:pPr>
        <w:ind w:left="5107" w:hanging="360"/>
      </w:pPr>
      <w:rPr>
        <w:rFonts w:ascii="Symbol" w:hAnsi="Symbol" w:hint="default"/>
      </w:rPr>
    </w:lvl>
    <w:lvl w:ilvl="7" w:tplc="20000003" w:tentative="1">
      <w:start w:val="1"/>
      <w:numFmt w:val="bullet"/>
      <w:lvlText w:val="o"/>
      <w:lvlJc w:val="left"/>
      <w:pPr>
        <w:ind w:left="5827" w:hanging="360"/>
      </w:pPr>
      <w:rPr>
        <w:rFonts w:ascii="Courier New" w:hAnsi="Courier New" w:cs="Courier New" w:hint="default"/>
      </w:rPr>
    </w:lvl>
    <w:lvl w:ilvl="8" w:tplc="20000005" w:tentative="1">
      <w:start w:val="1"/>
      <w:numFmt w:val="bullet"/>
      <w:lvlText w:val=""/>
      <w:lvlJc w:val="left"/>
      <w:pPr>
        <w:ind w:left="6547" w:hanging="360"/>
      </w:pPr>
      <w:rPr>
        <w:rFonts w:ascii="Wingdings" w:hAnsi="Wingdings" w:hint="default"/>
      </w:rPr>
    </w:lvl>
  </w:abstractNum>
  <w:abstractNum w:abstractNumId="26" w15:restartNumberingAfterBreak="0">
    <w:nsid w:val="787A2750"/>
    <w:multiLevelType w:val="hybridMultilevel"/>
    <w:tmpl w:val="39D4D24C"/>
    <w:lvl w:ilvl="0" w:tplc="31084AA4">
      <w:start w:val="1"/>
      <w:numFmt w:val="decimal"/>
      <w:lvlText w:val="%1."/>
      <w:lvlJc w:val="left"/>
      <w:pPr>
        <w:ind w:left="1500" w:hanging="360"/>
      </w:pPr>
      <w:rPr>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78B766C0"/>
    <w:multiLevelType w:val="hybridMultilevel"/>
    <w:tmpl w:val="5DA29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9E7AB7"/>
    <w:multiLevelType w:val="hybridMultilevel"/>
    <w:tmpl w:val="117053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F1D4CB6"/>
    <w:multiLevelType w:val="hybridMultilevel"/>
    <w:tmpl w:val="7B7818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58840442">
    <w:abstractNumId w:val="7"/>
  </w:num>
  <w:num w:numId="2" w16cid:durableId="2138599733">
    <w:abstractNumId w:val="26"/>
  </w:num>
  <w:num w:numId="3" w16cid:durableId="1953511380">
    <w:abstractNumId w:val="25"/>
  </w:num>
  <w:num w:numId="4" w16cid:durableId="1546719186">
    <w:abstractNumId w:val="16"/>
  </w:num>
  <w:num w:numId="5" w16cid:durableId="593053998">
    <w:abstractNumId w:val="4"/>
  </w:num>
  <w:num w:numId="6" w16cid:durableId="752354690">
    <w:abstractNumId w:val="12"/>
  </w:num>
  <w:num w:numId="7" w16cid:durableId="794904946">
    <w:abstractNumId w:val="6"/>
  </w:num>
  <w:num w:numId="8" w16cid:durableId="161700642">
    <w:abstractNumId w:val="5"/>
  </w:num>
  <w:num w:numId="9" w16cid:durableId="1600869989">
    <w:abstractNumId w:val="17"/>
  </w:num>
  <w:num w:numId="10" w16cid:durableId="532496007">
    <w:abstractNumId w:val="11"/>
  </w:num>
  <w:num w:numId="11" w16cid:durableId="1082261956">
    <w:abstractNumId w:val="14"/>
  </w:num>
  <w:num w:numId="12" w16cid:durableId="986977596">
    <w:abstractNumId w:val="2"/>
  </w:num>
  <w:num w:numId="13" w16cid:durableId="106237732">
    <w:abstractNumId w:val="3"/>
  </w:num>
  <w:num w:numId="14" w16cid:durableId="2057969077">
    <w:abstractNumId w:val="13"/>
  </w:num>
  <w:num w:numId="15" w16cid:durableId="196742375">
    <w:abstractNumId w:val="9"/>
  </w:num>
  <w:num w:numId="16" w16cid:durableId="2059476623">
    <w:abstractNumId w:val="0"/>
  </w:num>
  <w:num w:numId="17" w16cid:durableId="1563518332">
    <w:abstractNumId w:val="28"/>
  </w:num>
  <w:num w:numId="18" w16cid:durableId="1847478521">
    <w:abstractNumId w:val="29"/>
  </w:num>
  <w:num w:numId="19" w16cid:durableId="1944340184">
    <w:abstractNumId w:val="24"/>
  </w:num>
  <w:num w:numId="20" w16cid:durableId="1050149894">
    <w:abstractNumId w:val="27"/>
  </w:num>
  <w:num w:numId="21" w16cid:durableId="1058556035">
    <w:abstractNumId w:val="19"/>
  </w:num>
  <w:num w:numId="22" w16cid:durableId="2071607406">
    <w:abstractNumId w:val="21"/>
  </w:num>
  <w:num w:numId="23" w16cid:durableId="1995520976">
    <w:abstractNumId w:val="22"/>
  </w:num>
  <w:num w:numId="24" w16cid:durableId="550920872">
    <w:abstractNumId w:val="23"/>
  </w:num>
  <w:num w:numId="25" w16cid:durableId="575551021">
    <w:abstractNumId w:val="8"/>
  </w:num>
  <w:num w:numId="26" w16cid:durableId="1269237762">
    <w:abstractNumId w:val="18"/>
  </w:num>
  <w:num w:numId="27" w16cid:durableId="1503937665">
    <w:abstractNumId w:val="1"/>
  </w:num>
  <w:num w:numId="28" w16cid:durableId="1786147399">
    <w:abstractNumId w:val="15"/>
  </w:num>
  <w:num w:numId="29" w16cid:durableId="168184221">
    <w:abstractNumId w:val="20"/>
  </w:num>
  <w:num w:numId="30" w16cid:durableId="5728105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FF2"/>
    <w:rsid w:val="00000F4F"/>
    <w:rsid w:val="00020437"/>
    <w:rsid w:val="0002480E"/>
    <w:rsid w:val="00024FF2"/>
    <w:rsid w:val="00025781"/>
    <w:rsid w:val="00034105"/>
    <w:rsid w:val="000375AF"/>
    <w:rsid w:val="00047423"/>
    <w:rsid w:val="00052AF9"/>
    <w:rsid w:val="0005532C"/>
    <w:rsid w:val="000603B4"/>
    <w:rsid w:val="000606CB"/>
    <w:rsid w:val="00064F52"/>
    <w:rsid w:val="000658D6"/>
    <w:rsid w:val="00067026"/>
    <w:rsid w:val="00087F60"/>
    <w:rsid w:val="00091848"/>
    <w:rsid w:val="00094159"/>
    <w:rsid w:val="00094DA4"/>
    <w:rsid w:val="000B1143"/>
    <w:rsid w:val="000B1FB7"/>
    <w:rsid w:val="000B355E"/>
    <w:rsid w:val="000B6629"/>
    <w:rsid w:val="000C39DB"/>
    <w:rsid w:val="000D06F3"/>
    <w:rsid w:val="000D187C"/>
    <w:rsid w:val="000D28BC"/>
    <w:rsid w:val="000D5A28"/>
    <w:rsid w:val="000D6E8D"/>
    <w:rsid w:val="000E14F1"/>
    <w:rsid w:val="000F5F66"/>
    <w:rsid w:val="00115EA3"/>
    <w:rsid w:val="00122E9C"/>
    <w:rsid w:val="00130073"/>
    <w:rsid w:val="00134FB0"/>
    <w:rsid w:val="00135133"/>
    <w:rsid w:val="001379C5"/>
    <w:rsid w:val="001503C7"/>
    <w:rsid w:val="001559B2"/>
    <w:rsid w:val="00157452"/>
    <w:rsid w:val="001744E8"/>
    <w:rsid w:val="00175DF1"/>
    <w:rsid w:val="001773CD"/>
    <w:rsid w:val="00177806"/>
    <w:rsid w:val="00182779"/>
    <w:rsid w:val="00184E9B"/>
    <w:rsid w:val="00190784"/>
    <w:rsid w:val="0019114F"/>
    <w:rsid w:val="00197C25"/>
    <w:rsid w:val="001A4A62"/>
    <w:rsid w:val="001B4442"/>
    <w:rsid w:val="001C0B47"/>
    <w:rsid w:val="001C7876"/>
    <w:rsid w:val="001D097A"/>
    <w:rsid w:val="001D5B04"/>
    <w:rsid w:val="001E04FC"/>
    <w:rsid w:val="001E20D6"/>
    <w:rsid w:val="001F20A2"/>
    <w:rsid w:val="001F79AD"/>
    <w:rsid w:val="002157BB"/>
    <w:rsid w:val="00216A56"/>
    <w:rsid w:val="00222D5C"/>
    <w:rsid w:val="00224C26"/>
    <w:rsid w:val="00230390"/>
    <w:rsid w:val="00243E11"/>
    <w:rsid w:val="0024499E"/>
    <w:rsid w:val="002479FA"/>
    <w:rsid w:val="00256CD2"/>
    <w:rsid w:val="0026016D"/>
    <w:rsid w:val="00260450"/>
    <w:rsid w:val="002628D3"/>
    <w:rsid w:val="00274C24"/>
    <w:rsid w:val="00276972"/>
    <w:rsid w:val="00276A63"/>
    <w:rsid w:val="00284AA2"/>
    <w:rsid w:val="00297F4A"/>
    <w:rsid w:val="002B115B"/>
    <w:rsid w:val="002B3CA0"/>
    <w:rsid w:val="002C0E9B"/>
    <w:rsid w:val="002C223C"/>
    <w:rsid w:val="002C5043"/>
    <w:rsid w:val="002D3B04"/>
    <w:rsid w:val="002E1296"/>
    <w:rsid w:val="002E2B29"/>
    <w:rsid w:val="00301AD3"/>
    <w:rsid w:val="00302DB4"/>
    <w:rsid w:val="00311FE5"/>
    <w:rsid w:val="00314D7E"/>
    <w:rsid w:val="003164F3"/>
    <w:rsid w:val="0032323A"/>
    <w:rsid w:val="00331BA1"/>
    <w:rsid w:val="00333C10"/>
    <w:rsid w:val="00352A51"/>
    <w:rsid w:val="00353386"/>
    <w:rsid w:val="003565A6"/>
    <w:rsid w:val="00373C83"/>
    <w:rsid w:val="0037661E"/>
    <w:rsid w:val="0038110B"/>
    <w:rsid w:val="00381D58"/>
    <w:rsid w:val="00387D5D"/>
    <w:rsid w:val="00391B91"/>
    <w:rsid w:val="003A0222"/>
    <w:rsid w:val="003A2A6C"/>
    <w:rsid w:val="003A5BBC"/>
    <w:rsid w:val="003B41FF"/>
    <w:rsid w:val="003C02C3"/>
    <w:rsid w:val="003D1EE7"/>
    <w:rsid w:val="003D2CE7"/>
    <w:rsid w:val="003D4048"/>
    <w:rsid w:val="003E0D6D"/>
    <w:rsid w:val="003E1B6C"/>
    <w:rsid w:val="003F6015"/>
    <w:rsid w:val="003F6CF6"/>
    <w:rsid w:val="00400099"/>
    <w:rsid w:val="004009F3"/>
    <w:rsid w:val="0040184E"/>
    <w:rsid w:val="0040619C"/>
    <w:rsid w:val="0042600D"/>
    <w:rsid w:val="00433BD3"/>
    <w:rsid w:val="00435B4C"/>
    <w:rsid w:val="0043660E"/>
    <w:rsid w:val="00444142"/>
    <w:rsid w:val="004470AE"/>
    <w:rsid w:val="0046051B"/>
    <w:rsid w:val="00461754"/>
    <w:rsid w:val="00462136"/>
    <w:rsid w:val="00466579"/>
    <w:rsid w:val="0047455C"/>
    <w:rsid w:val="00497B6D"/>
    <w:rsid w:val="00497F9A"/>
    <w:rsid w:val="004A0F7B"/>
    <w:rsid w:val="004A2BA0"/>
    <w:rsid w:val="004B6B83"/>
    <w:rsid w:val="004C505D"/>
    <w:rsid w:val="004D6A87"/>
    <w:rsid w:val="004E4138"/>
    <w:rsid w:val="004E4EF9"/>
    <w:rsid w:val="004F4E68"/>
    <w:rsid w:val="00500ED5"/>
    <w:rsid w:val="005031B1"/>
    <w:rsid w:val="00507C77"/>
    <w:rsid w:val="00520647"/>
    <w:rsid w:val="005359DF"/>
    <w:rsid w:val="00540CD6"/>
    <w:rsid w:val="0056180F"/>
    <w:rsid w:val="00576B6C"/>
    <w:rsid w:val="00583237"/>
    <w:rsid w:val="00593D6E"/>
    <w:rsid w:val="00595795"/>
    <w:rsid w:val="005A176C"/>
    <w:rsid w:val="005A275A"/>
    <w:rsid w:val="005B0EA7"/>
    <w:rsid w:val="005B275F"/>
    <w:rsid w:val="005B5855"/>
    <w:rsid w:val="005B6CBB"/>
    <w:rsid w:val="005C338D"/>
    <w:rsid w:val="005C40DF"/>
    <w:rsid w:val="005C7D1D"/>
    <w:rsid w:val="005D1A22"/>
    <w:rsid w:val="005D1E27"/>
    <w:rsid w:val="005D3191"/>
    <w:rsid w:val="005D3E6C"/>
    <w:rsid w:val="005D5D39"/>
    <w:rsid w:val="005D613E"/>
    <w:rsid w:val="005E0AE7"/>
    <w:rsid w:val="005E2499"/>
    <w:rsid w:val="005F3191"/>
    <w:rsid w:val="005F53BC"/>
    <w:rsid w:val="005F5935"/>
    <w:rsid w:val="00603C99"/>
    <w:rsid w:val="00615512"/>
    <w:rsid w:val="00627DFD"/>
    <w:rsid w:val="00660273"/>
    <w:rsid w:val="006608B3"/>
    <w:rsid w:val="006616CC"/>
    <w:rsid w:val="00662F3C"/>
    <w:rsid w:val="0066423A"/>
    <w:rsid w:val="00664E5C"/>
    <w:rsid w:val="00666389"/>
    <w:rsid w:val="00694C5F"/>
    <w:rsid w:val="006B1A7C"/>
    <w:rsid w:val="006B53EE"/>
    <w:rsid w:val="006B58A2"/>
    <w:rsid w:val="006B6C11"/>
    <w:rsid w:val="006C09F2"/>
    <w:rsid w:val="006C260C"/>
    <w:rsid w:val="006C26AA"/>
    <w:rsid w:val="006C3274"/>
    <w:rsid w:val="006C6351"/>
    <w:rsid w:val="006E3E13"/>
    <w:rsid w:val="006F4D54"/>
    <w:rsid w:val="0070274A"/>
    <w:rsid w:val="007167D8"/>
    <w:rsid w:val="00724526"/>
    <w:rsid w:val="0076314D"/>
    <w:rsid w:val="007734E2"/>
    <w:rsid w:val="0079143A"/>
    <w:rsid w:val="00793E14"/>
    <w:rsid w:val="00797FB9"/>
    <w:rsid w:val="007A3412"/>
    <w:rsid w:val="007A4B32"/>
    <w:rsid w:val="007B02BA"/>
    <w:rsid w:val="007B03C5"/>
    <w:rsid w:val="007C21B6"/>
    <w:rsid w:val="007D448F"/>
    <w:rsid w:val="007D5641"/>
    <w:rsid w:val="007D7BB9"/>
    <w:rsid w:val="007E131A"/>
    <w:rsid w:val="007F2F0A"/>
    <w:rsid w:val="008006F3"/>
    <w:rsid w:val="00802BD6"/>
    <w:rsid w:val="00803758"/>
    <w:rsid w:val="0081276A"/>
    <w:rsid w:val="00817E78"/>
    <w:rsid w:val="00820670"/>
    <w:rsid w:val="00822478"/>
    <w:rsid w:val="00824DDB"/>
    <w:rsid w:val="00824FAE"/>
    <w:rsid w:val="00832189"/>
    <w:rsid w:val="00832502"/>
    <w:rsid w:val="00832D96"/>
    <w:rsid w:val="008335BB"/>
    <w:rsid w:val="008340B9"/>
    <w:rsid w:val="00840931"/>
    <w:rsid w:val="00845522"/>
    <w:rsid w:val="00851CD5"/>
    <w:rsid w:val="008566AD"/>
    <w:rsid w:val="00874C1F"/>
    <w:rsid w:val="00881944"/>
    <w:rsid w:val="008A5906"/>
    <w:rsid w:val="008B42F3"/>
    <w:rsid w:val="008C0BCA"/>
    <w:rsid w:val="008C6359"/>
    <w:rsid w:val="008C6CF5"/>
    <w:rsid w:val="008D15A1"/>
    <w:rsid w:val="008E1B3A"/>
    <w:rsid w:val="008E4D3E"/>
    <w:rsid w:val="008F21CA"/>
    <w:rsid w:val="008F5714"/>
    <w:rsid w:val="009079CE"/>
    <w:rsid w:val="009420D8"/>
    <w:rsid w:val="009457E9"/>
    <w:rsid w:val="009521FC"/>
    <w:rsid w:val="0095527D"/>
    <w:rsid w:val="00960B65"/>
    <w:rsid w:val="0096100D"/>
    <w:rsid w:val="00962346"/>
    <w:rsid w:val="00964417"/>
    <w:rsid w:val="00986D81"/>
    <w:rsid w:val="00987FD6"/>
    <w:rsid w:val="00997BB7"/>
    <w:rsid w:val="009A331F"/>
    <w:rsid w:val="009A6F26"/>
    <w:rsid w:val="009E2E61"/>
    <w:rsid w:val="00A0288A"/>
    <w:rsid w:val="00A11D26"/>
    <w:rsid w:val="00A177F3"/>
    <w:rsid w:val="00A2366B"/>
    <w:rsid w:val="00A404E6"/>
    <w:rsid w:val="00A44EF9"/>
    <w:rsid w:val="00A51CDE"/>
    <w:rsid w:val="00A62B3B"/>
    <w:rsid w:val="00A65022"/>
    <w:rsid w:val="00A65DEE"/>
    <w:rsid w:val="00A73E66"/>
    <w:rsid w:val="00A8034D"/>
    <w:rsid w:val="00A94530"/>
    <w:rsid w:val="00A94A30"/>
    <w:rsid w:val="00A97CC0"/>
    <w:rsid w:val="00AB1DC2"/>
    <w:rsid w:val="00AC6348"/>
    <w:rsid w:val="00AD11C3"/>
    <w:rsid w:val="00AE0513"/>
    <w:rsid w:val="00AE082D"/>
    <w:rsid w:val="00AF44E8"/>
    <w:rsid w:val="00AF7AB4"/>
    <w:rsid w:val="00B2566E"/>
    <w:rsid w:val="00B37BAD"/>
    <w:rsid w:val="00B510D3"/>
    <w:rsid w:val="00B6414E"/>
    <w:rsid w:val="00B73D23"/>
    <w:rsid w:val="00B80474"/>
    <w:rsid w:val="00B832AD"/>
    <w:rsid w:val="00BA7E04"/>
    <w:rsid w:val="00BB075F"/>
    <w:rsid w:val="00BB30C1"/>
    <w:rsid w:val="00BC122D"/>
    <w:rsid w:val="00BC391E"/>
    <w:rsid w:val="00BC5C2A"/>
    <w:rsid w:val="00BE1667"/>
    <w:rsid w:val="00BE2FDB"/>
    <w:rsid w:val="00BE5059"/>
    <w:rsid w:val="00BF1034"/>
    <w:rsid w:val="00C115D5"/>
    <w:rsid w:val="00C17A01"/>
    <w:rsid w:val="00C21CB8"/>
    <w:rsid w:val="00C240EA"/>
    <w:rsid w:val="00C32B93"/>
    <w:rsid w:val="00C35A63"/>
    <w:rsid w:val="00C5666E"/>
    <w:rsid w:val="00C7437C"/>
    <w:rsid w:val="00C81ECA"/>
    <w:rsid w:val="00C845C8"/>
    <w:rsid w:val="00C93F77"/>
    <w:rsid w:val="00C93FC4"/>
    <w:rsid w:val="00C97022"/>
    <w:rsid w:val="00CA22CB"/>
    <w:rsid w:val="00CC350F"/>
    <w:rsid w:val="00CC3F3E"/>
    <w:rsid w:val="00CC6B8B"/>
    <w:rsid w:val="00CD2EEC"/>
    <w:rsid w:val="00CD5CC6"/>
    <w:rsid w:val="00CE1BF3"/>
    <w:rsid w:val="00CF0405"/>
    <w:rsid w:val="00CF0E5D"/>
    <w:rsid w:val="00CF75CC"/>
    <w:rsid w:val="00D114EB"/>
    <w:rsid w:val="00D12D6C"/>
    <w:rsid w:val="00D14CBC"/>
    <w:rsid w:val="00D22B19"/>
    <w:rsid w:val="00D24A84"/>
    <w:rsid w:val="00D44C50"/>
    <w:rsid w:val="00D468F7"/>
    <w:rsid w:val="00D50FAA"/>
    <w:rsid w:val="00D52681"/>
    <w:rsid w:val="00D57601"/>
    <w:rsid w:val="00D606AF"/>
    <w:rsid w:val="00D86448"/>
    <w:rsid w:val="00D8675B"/>
    <w:rsid w:val="00D93361"/>
    <w:rsid w:val="00D95934"/>
    <w:rsid w:val="00DA4E2B"/>
    <w:rsid w:val="00DA6820"/>
    <w:rsid w:val="00DC5467"/>
    <w:rsid w:val="00DD0B7F"/>
    <w:rsid w:val="00DD4007"/>
    <w:rsid w:val="00DE203C"/>
    <w:rsid w:val="00DF16D8"/>
    <w:rsid w:val="00DF3A47"/>
    <w:rsid w:val="00E04B41"/>
    <w:rsid w:val="00E1538B"/>
    <w:rsid w:val="00E240B1"/>
    <w:rsid w:val="00E27FEF"/>
    <w:rsid w:val="00E41286"/>
    <w:rsid w:val="00E5058B"/>
    <w:rsid w:val="00E55A9C"/>
    <w:rsid w:val="00E5702D"/>
    <w:rsid w:val="00E65DF4"/>
    <w:rsid w:val="00E7216A"/>
    <w:rsid w:val="00E75A96"/>
    <w:rsid w:val="00E82B0D"/>
    <w:rsid w:val="00E871C9"/>
    <w:rsid w:val="00E87901"/>
    <w:rsid w:val="00E9106A"/>
    <w:rsid w:val="00EA6BF7"/>
    <w:rsid w:val="00EB134C"/>
    <w:rsid w:val="00EB260E"/>
    <w:rsid w:val="00EB5B9D"/>
    <w:rsid w:val="00EC4420"/>
    <w:rsid w:val="00EC7C58"/>
    <w:rsid w:val="00F071D7"/>
    <w:rsid w:val="00F23AF2"/>
    <w:rsid w:val="00F26912"/>
    <w:rsid w:val="00F301D7"/>
    <w:rsid w:val="00F42B59"/>
    <w:rsid w:val="00F5341D"/>
    <w:rsid w:val="00F57393"/>
    <w:rsid w:val="00F57D9E"/>
    <w:rsid w:val="00F602C0"/>
    <w:rsid w:val="00F608B6"/>
    <w:rsid w:val="00F633C8"/>
    <w:rsid w:val="00F80F82"/>
    <w:rsid w:val="00F84762"/>
    <w:rsid w:val="00F90401"/>
    <w:rsid w:val="00FA4BB0"/>
    <w:rsid w:val="00FA5FF7"/>
    <w:rsid w:val="00FB3DA2"/>
    <w:rsid w:val="00FB58A1"/>
    <w:rsid w:val="00FC0C2C"/>
    <w:rsid w:val="00FC2966"/>
    <w:rsid w:val="00FC3450"/>
    <w:rsid w:val="00FD1B98"/>
    <w:rsid w:val="00FD7A03"/>
    <w:rsid w:val="00FE1751"/>
    <w:rsid w:val="00FF0DF2"/>
    <w:rsid w:val="00FF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98CE0"/>
  <w15:docId w15:val="{2B6E42CF-1C3F-4C9B-AC28-8CF05CD3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FF2"/>
    <w:pPr>
      <w:spacing w:after="160" w:line="259" w:lineRule="auto"/>
    </w:pPr>
  </w:style>
  <w:style w:type="paragraph" w:styleId="Heading1">
    <w:name w:val="heading 1"/>
    <w:basedOn w:val="Normal"/>
    <w:next w:val="Normal"/>
    <w:link w:val="Heading1Char"/>
    <w:uiPriority w:val="9"/>
    <w:qFormat/>
    <w:rsid w:val="00175DF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75DF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175DF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75DF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75DF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75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FF2"/>
    <w:pPr>
      <w:ind w:left="720"/>
      <w:contextualSpacing/>
    </w:pPr>
  </w:style>
  <w:style w:type="paragraph" w:customStyle="1" w:styleId="DecimalAligned">
    <w:name w:val="Decimal Aligned"/>
    <w:basedOn w:val="Normal"/>
    <w:uiPriority w:val="40"/>
    <w:qFormat/>
    <w:rsid w:val="00024FF2"/>
    <w:pPr>
      <w:tabs>
        <w:tab w:val="decimal" w:pos="360"/>
      </w:tabs>
      <w:spacing w:after="200" w:line="276" w:lineRule="auto"/>
    </w:pPr>
    <w:rPr>
      <w:rFonts w:eastAsiaTheme="minorEastAsia" w:cs="Times New Roman"/>
    </w:rPr>
  </w:style>
  <w:style w:type="table" w:styleId="MediumShading2-Accent5">
    <w:name w:val="Medium Shading 2 Accent 5"/>
    <w:basedOn w:val="TableNormal"/>
    <w:uiPriority w:val="64"/>
    <w:rsid w:val="00024FF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Table6Colorful1">
    <w:name w:val="List Table 6 Colorful1"/>
    <w:basedOn w:val="TableNormal"/>
    <w:uiPriority w:val="51"/>
    <w:rsid w:val="00024FF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175DF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75DF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5DF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75DF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75DF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75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DF1"/>
    <w:rPr>
      <w:rFonts w:eastAsiaTheme="majorEastAsia" w:cstheme="majorBidi"/>
      <w:color w:val="272727" w:themeColor="text1" w:themeTint="D8"/>
    </w:rPr>
  </w:style>
  <w:style w:type="paragraph" w:styleId="Title">
    <w:name w:val="Title"/>
    <w:basedOn w:val="Normal"/>
    <w:next w:val="Normal"/>
    <w:link w:val="TitleChar"/>
    <w:uiPriority w:val="10"/>
    <w:qFormat/>
    <w:rsid w:val="00175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DF1"/>
    <w:pPr>
      <w:spacing w:before="160"/>
      <w:jc w:val="center"/>
    </w:pPr>
    <w:rPr>
      <w:i/>
      <w:iCs/>
      <w:color w:val="404040" w:themeColor="text1" w:themeTint="BF"/>
    </w:rPr>
  </w:style>
  <w:style w:type="character" w:customStyle="1" w:styleId="QuoteChar">
    <w:name w:val="Quote Char"/>
    <w:basedOn w:val="DefaultParagraphFont"/>
    <w:link w:val="Quote"/>
    <w:uiPriority w:val="29"/>
    <w:rsid w:val="00175DF1"/>
    <w:rPr>
      <w:i/>
      <w:iCs/>
      <w:color w:val="404040" w:themeColor="text1" w:themeTint="BF"/>
    </w:rPr>
  </w:style>
  <w:style w:type="character" w:styleId="IntenseEmphasis">
    <w:name w:val="Intense Emphasis"/>
    <w:basedOn w:val="DefaultParagraphFont"/>
    <w:uiPriority w:val="21"/>
    <w:qFormat/>
    <w:rsid w:val="00175DF1"/>
    <w:rPr>
      <w:i/>
      <w:iCs/>
      <w:color w:val="365F91" w:themeColor="accent1" w:themeShade="BF"/>
    </w:rPr>
  </w:style>
  <w:style w:type="paragraph" w:styleId="IntenseQuote">
    <w:name w:val="Intense Quote"/>
    <w:basedOn w:val="Normal"/>
    <w:next w:val="Normal"/>
    <w:link w:val="IntenseQuoteChar"/>
    <w:uiPriority w:val="30"/>
    <w:qFormat/>
    <w:rsid w:val="00175DF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75DF1"/>
    <w:rPr>
      <w:i/>
      <w:iCs/>
      <w:color w:val="365F91" w:themeColor="accent1" w:themeShade="BF"/>
    </w:rPr>
  </w:style>
  <w:style w:type="character" w:styleId="IntenseReference">
    <w:name w:val="Intense Reference"/>
    <w:basedOn w:val="DefaultParagraphFont"/>
    <w:uiPriority w:val="32"/>
    <w:qFormat/>
    <w:rsid w:val="00175DF1"/>
    <w:rPr>
      <w:b/>
      <w:bCs/>
      <w:smallCaps/>
      <w:color w:val="365F91" w:themeColor="accent1" w:themeShade="BF"/>
      <w:spacing w:val="5"/>
    </w:rPr>
  </w:style>
  <w:style w:type="paragraph" w:styleId="Header">
    <w:name w:val="header"/>
    <w:basedOn w:val="Normal"/>
    <w:link w:val="HeaderChar"/>
    <w:uiPriority w:val="99"/>
    <w:unhideWhenUsed/>
    <w:rsid w:val="00E65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DF4"/>
  </w:style>
  <w:style w:type="paragraph" w:styleId="Footer">
    <w:name w:val="footer"/>
    <w:basedOn w:val="Normal"/>
    <w:link w:val="FooterChar"/>
    <w:uiPriority w:val="99"/>
    <w:unhideWhenUsed/>
    <w:rsid w:val="00E65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DF4"/>
  </w:style>
  <w:style w:type="paragraph" w:styleId="NormalWeb">
    <w:name w:val="Normal (Web)"/>
    <w:basedOn w:val="Normal"/>
    <w:uiPriority w:val="99"/>
    <w:unhideWhenUsed/>
    <w:rsid w:val="00DE20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DE203C"/>
  </w:style>
  <w:style w:type="character" w:customStyle="1" w:styleId="mbin">
    <w:name w:val="mbin"/>
    <w:basedOn w:val="DefaultParagraphFont"/>
    <w:rsid w:val="00DE203C"/>
  </w:style>
  <w:style w:type="character" w:customStyle="1" w:styleId="mrel">
    <w:name w:val="mrel"/>
    <w:basedOn w:val="DefaultParagraphFont"/>
    <w:rsid w:val="00CF0E5D"/>
  </w:style>
  <w:style w:type="character" w:styleId="Hyperlink">
    <w:name w:val="Hyperlink"/>
    <w:basedOn w:val="DefaultParagraphFont"/>
    <w:uiPriority w:val="99"/>
    <w:unhideWhenUsed/>
    <w:rsid w:val="00CC6B8B"/>
    <w:rPr>
      <w:color w:val="0000FF"/>
      <w:u w:val="single"/>
    </w:rPr>
  </w:style>
  <w:style w:type="paragraph" w:customStyle="1" w:styleId="c-article-referencestext">
    <w:name w:val="c-article-references__text"/>
    <w:basedOn w:val="Normal"/>
    <w:rsid w:val="001D5B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eferenceslinks">
    <w:name w:val="c-article-references__links"/>
    <w:basedOn w:val="Normal"/>
    <w:rsid w:val="001D5B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21B6"/>
    <w:rPr>
      <w:i/>
      <w:iCs/>
    </w:rPr>
  </w:style>
  <w:style w:type="character" w:styleId="Strong">
    <w:name w:val="Strong"/>
    <w:basedOn w:val="DefaultParagraphFont"/>
    <w:uiPriority w:val="22"/>
    <w:qFormat/>
    <w:rsid w:val="00461754"/>
    <w:rPr>
      <w:b/>
      <w:bCs/>
    </w:rPr>
  </w:style>
  <w:style w:type="character" w:styleId="UnresolvedMention">
    <w:name w:val="Unresolved Mention"/>
    <w:basedOn w:val="DefaultParagraphFont"/>
    <w:uiPriority w:val="99"/>
    <w:semiHidden/>
    <w:unhideWhenUsed/>
    <w:rsid w:val="00716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98765">
      <w:bodyDiv w:val="1"/>
      <w:marLeft w:val="0"/>
      <w:marRight w:val="0"/>
      <w:marTop w:val="0"/>
      <w:marBottom w:val="0"/>
      <w:divBdr>
        <w:top w:val="none" w:sz="0" w:space="0" w:color="auto"/>
        <w:left w:val="none" w:sz="0" w:space="0" w:color="auto"/>
        <w:bottom w:val="none" w:sz="0" w:space="0" w:color="auto"/>
        <w:right w:val="none" w:sz="0" w:space="0" w:color="auto"/>
      </w:divBdr>
    </w:div>
    <w:div w:id="556623791">
      <w:bodyDiv w:val="1"/>
      <w:marLeft w:val="0"/>
      <w:marRight w:val="0"/>
      <w:marTop w:val="0"/>
      <w:marBottom w:val="0"/>
      <w:divBdr>
        <w:top w:val="none" w:sz="0" w:space="0" w:color="auto"/>
        <w:left w:val="none" w:sz="0" w:space="0" w:color="auto"/>
        <w:bottom w:val="none" w:sz="0" w:space="0" w:color="auto"/>
        <w:right w:val="none" w:sz="0" w:space="0" w:color="auto"/>
      </w:divBdr>
    </w:div>
    <w:div w:id="732586786">
      <w:bodyDiv w:val="1"/>
      <w:marLeft w:val="0"/>
      <w:marRight w:val="0"/>
      <w:marTop w:val="0"/>
      <w:marBottom w:val="0"/>
      <w:divBdr>
        <w:top w:val="none" w:sz="0" w:space="0" w:color="auto"/>
        <w:left w:val="none" w:sz="0" w:space="0" w:color="auto"/>
        <w:bottom w:val="none" w:sz="0" w:space="0" w:color="auto"/>
        <w:right w:val="none" w:sz="0" w:space="0" w:color="auto"/>
      </w:divBdr>
    </w:div>
    <w:div w:id="912202443">
      <w:bodyDiv w:val="1"/>
      <w:marLeft w:val="0"/>
      <w:marRight w:val="0"/>
      <w:marTop w:val="0"/>
      <w:marBottom w:val="0"/>
      <w:divBdr>
        <w:top w:val="none" w:sz="0" w:space="0" w:color="auto"/>
        <w:left w:val="none" w:sz="0" w:space="0" w:color="auto"/>
        <w:bottom w:val="none" w:sz="0" w:space="0" w:color="auto"/>
        <w:right w:val="none" w:sz="0" w:space="0" w:color="auto"/>
      </w:divBdr>
    </w:div>
    <w:div w:id="922883888">
      <w:bodyDiv w:val="1"/>
      <w:marLeft w:val="0"/>
      <w:marRight w:val="0"/>
      <w:marTop w:val="0"/>
      <w:marBottom w:val="0"/>
      <w:divBdr>
        <w:top w:val="none" w:sz="0" w:space="0" w:color="auto"/>
        <w:left w:val="none" w:sz="0" w:space="0" w:color="auto"/>
        <w:bottom w:val="none" w:sz="0" w:space="0" w:color="auto"/>
        <w:right w:val="none" w:sz="0" w:space="0" w:color="auto"/>
      </w:divBdr>
    </w:div>
    <w:div w:id="936448615">
      <w:bodyDiv w:val="1"/>
      <w:marLeft w:val="0"/>
      <w:marRight w:val="0"/>
      <w:marTop w:val="0"/>
      <w:marBottom w:val="0"/>
      <w:divBdr>
        <w:top w:val="none" w:sz="0" w:space="0" w:color="auto"/>
        <w:left w:val="none" w:sz="0" w:space="0" w:color="auto"/>
        <w:bottom w:val="none" w:sz="0" w:space="0" w:color="auto"/>
        <w:right w:val="none" w:sz="0" w:space="0" w:color="auto"/>
      </w:divBdr>
      <w:divsChild>
        <w:div w:id="678045166">
          <w:marLeft w:val="0"/>
          <w:marRight w:val="0"/>
          <w:marTop w:val="0"/>
          <w:marBottom w:val="0"/>
          <w:divBdr>
            <w:top w:val="none" w:sz="0" w:space="0" w:color="auto"/>
            <w:left w:val="none" w:sz="0" w:space="0" w:color="auto"/>
            <w:bottom w:val="none" w:sz="0" w:space="0" w:color="auto"/>
            <w:right w:val="none" w:sz="0" w:space="0" w:color="auto"/>
          </w:divBdr>
          <w:divsChild>
            <w:div w:id="1762680876">
              <w:marLeft w:val="0"/>
              <w:marRight w:val="0"/>
              <w:marTop w:val="0"/>
              <w:marBottom w:val="0"/>
              <w:divBdr>
                <w:top w:val="none" w:sz="0" w:space="0" w:color="auto"/>
                <w:left w:val="none" w:sz="0" w:space="0" w:color="auto"/>
                <w:bottom w:val="none" w:sz="0" w:space="0" w:color="auto"/>
                <w:right w:val="none" w:sz="0" w:space="0" w:color="auto"/>
              </w:divBdr>
              <w:divsChild>
                <w:div w:id="1907303282">
                  <w:marLeft w:val="0"/>
                  <w:marRight w:val="0"/>
                  <w:marTop w:val="0"/>
                  <w:marBottom w:val="0"/>
                  <w:divBdr>
                    <w:top w:val="none" w:sz="0" w:space="0" w:color="auto"/>
                    <w:left w:val="none" w:sz="0" w:space="0" w:color="auto"/>
                    <w:bottom w:val="none" w:sz="0" w:space="0" w:color="auto"/>
                    <w:right w:val="none" w:sz="0" w:space="0" w:color="auto"/>
                  </w:divBdr>
                  <w:divsChild>
                    <w:div w:id="50734592">
                      <w:marLeft w:val="0"/>
                      <w:marRight w:val="0"/>
                      <w:marTop w:val="0"/>
                      <w:marBottom w:val="0"/>
                      <w:divBdr>
                        <w:top w:val="none" w:sz="0" w:space="0" w:color="auto"/>
                        <w:left w:val="none" w:sz="0" w:space="0" w:color="auto"/>
                        <w:bottom w:val="none" w:sz="0" w:space="0" w:color="auto"/>
                        <w:right w:val="none" w:sz="0" w:space="0" w:color="auto"/>
                      </w:divBdr>
                      <w:divsChild>
                        <w:div w:id="2067335272">
                          <w:marLeft w:val="0"/>
                          <w:marRight w:val="0"/>
                          <w:marTop w:val="0"/>
                          <w:marBottom w:val="0"/>
                          <w:divBdr>
                            <w:top w:val="none" w:sz="0" w:space="0" w:color="auto"/>
                            <w:left w:val="none" w:sz="0" w:space="0" w:color="auto"/>
                            <w:bottom w:val="none" w:sz="0" w:space="0" w:color="auto"/>
                            <w:right w:val="none" w:sz="0" w:space="0" w:color="auto"/>
                          </w:divBdr>
                          <w:divsChild>
                            <w:div w:id="1580290781">
                              <w:marLeft w:val="0"/>
                              <w:marRight w:val="0"/>
                              <w:marTop w:val="0"/>
                              <w:marBottom w:val="0"/>
                              <w:divBdr>
                                <w:top w:val="none" w:sz="0" w:space="0" w:color="auto"/>
                                <w:left w:val="none" w:sz="0" w:space="0" w:color="auto"/>
                                <w:bottom w:val="none" w:sz="0" w:space="0" w:color="auto"/>
                                <w:right w:val="none" w:sz="0" w:space="0" w:color="auto"/>
                              </w:divBdr>
                              <w:divsChild>
                                <w:div w:id="18723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10117">
      <w:bodyDiv w:val="1"/>
      <w:marLeft w:val="0"/>
      <w:marRight w:val="0"/>
      <w:marTop w:val="0"/>
      <w:marBottom w:val="0"/>
      <w:divBdr>
        <w:top w:val="none" w:sz="0" w:space="0" w:color="auto"/>
        <w:left w:val="none" w:sz="0" w:space="0" w:color="auto"/>
        <w:bottom w:val="none" w:sz="0" w:space="0" w:color="auto"/>
        <w:right w:val="none" w:sz="0" w:space="0" w:color="auto"/>
      </w:divBdr>
    </w:div>
    <w:div w:id="1390109488">
      <w:bodyDiv w:val="1"/>
      <w:marLeft w:val="0"/>
      <w:marRight w:val="0"/>
      <w:marTop w:val="0"/>
      <w:marBottom w:val="0"/>
      <w:divBdr>
        <w:top w:val="none" w:sz="0" w:space="0" w:color="auto"/>
        <w:left w:val="none" w:sz="0" w:space="0" w:color="auto"/>
        <w:bottom w:val="none" w:sz="0" w:space="0" w:color="auto"/>
        <w:right w:val="none" w:sz="0" w:space="0" w:color="auto"/>
      </w:divBdr>
    </w:div>
    <w:div w:id="1546522807">
      <w:bodyDiv w:val="1"/>
      <w:marLeft w:val="0"/>
      <w:marRight w:val="0"/>
      <w:marTop w:val="0"/>
      <w:marBottom w:val="0"/>
      <w:divBdr>
        <w:top w:val="none" w:sz="0" w:space="0" w:color="auto"/>
        <w:left w:val="none" w:sz="0" w:space="0" w:color="auto"/>
        <w:bottom w:val="none" w:sz="0" w:space="0" w:color="auto"/>
        <w:right w:val="none" w:sz="0" w:space="0" w:color="auto"/>
      </w:divBdr>
    </w:div>
    <w:div w:id="1658806545">
      <w:bodyDiv w:val="1"/>
      <w:marLeft w:val="0"/>
      <w:marRight w:val="0"/>
      <w:marTop w:val="0"/>
      <w:marBottom w:val="0"/>
      <w:divBdr>
        <w:top w:val="none" w:sz="0" w:space="0" w:color="auto"/>
        <w:left w:val="none" w:sz="0" w:space="0" w:color="auto"/>
        <w:bottom w:val="none" w:sz="0" w:space="0" w:color="auto"/>
        <w:right w:val="none" w:sz="0" w:space="0" w:color="auto"/>
      </w:divBdr>
    </w:div>
    <w:div w:id="2058698221">
      <w:bodyDiv w:val="1"/>
      <w:marLeft w:val="0"/>
      <w:marRight w:val="0"/>
      <w:marTop w:val="0"/>
      <w:marBottom w:val="0"/>
      <w:divBdr>
        <w:top w:val="none" w:sz="0" w:space="0" w:color="auto"/>
        <w:left w:val="none" w:sz="0" w:space="0" w:color="auto"/>
        <w:bottom w:val="none" w:sz="0" w:space="0" w:color="auto"/>
        <w:right w:val="none" w:sz="0" w:space="0" w:color="auto"/>
      </w:divBdr>
    </w:div>
    <w:div w:id="210110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7-789X.2011.00952.x" TargetMode="External"/><Relationship Id="rId13" Type="http://schemas.openxmlformats.org/officeDocument/2006/relationships/hyperlink" Target="https://doi.org/10.1016/j.diabres.2021.108976" TargetMode="External"/><Relationship Id="rId18" Type="http://schemas.openxmlformats.org/officeDocument/2006/relationships/hyperlink" Target="https://doi.org/10.1016/j.eclinm.2023.10193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ogle.com/search?q=https://doi.org/10.1016/S0140-6736(22)01654-4" TargetMode="External"/><Relationship Id="rId12" Type="http://schemas.openxmlformats.org/officeDocument/2006/relationships/hyperlink" Target="https://www.google.com/search?q=https://doi.org/10.9790/0853-2102072632" TargetMode="External"/><Relationship Id="rId17" Type="http://schemas.openxmlformats.org/officeDocument/2006/relationships/hyperlink" Target="https://doi.org/10.1046/j.1532-5415.2003.51362.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S0140-6736(23)00823-9"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metabol.2010.06.009"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21315/mjms2022.29.1.11" TargetMode="External"/><Relationship Id="rId23" Type="http://schemas.openxmlformats.org/officeDocument/2006/relationships/header" Target="header3.xml"/><Relationship Id="rId10" Type="http://schemas.openxmlformats.org/officeDocument/2006/relationships/hyperlink" Target="https://doi.org/10.1016/j.clnu.2019.11.02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371/journal.pone.0160480" TargetMode="External"/><Relationship Id="rId14" Type="http://schemas.openxmlformats.org/officeDocument/2006/relationships/hyperlink" Target="https://doi.org/10.1038/s41598-024-57020-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883</TotalTime>
  <Pages>12</Pages>
  <Words>5168</Words>
  <Characters>30599</Characters>
  <Application>Microsoft Office Word</Application>
  <DocSecurity>0</DocSecurity>
  <Lines>1799</Lines>
  <Paragraphs>777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akrhi</dc:creator>
  <cp:lastModifiedBy>abdulmateen bello</cp:lastModifiedBy>
  <cp:revision>337</cp:revision>
  <dcterms:created xsi:type="dcterms:W3CDTF">2025-08-08T20:34:00Z</dcterms:created>
  <dcterms:modified xsi:type="dcterms:W3CDTF">2025-08-20T21:10:00Z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3fbd78ce-13b1-487c-9afc-d0c0b7fdc930</vt:lpwstr>
  </property>
</Properties>
</file>