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beforeAutospacing="true" w:after="0" w:lineRule="auto" w:line="240"/>
        <w:jc w:val="both"/>
        <w:rPr>
          <w:rFonts w:ascii="Arial" w:cs="Arial" w:eastAsia="Times New Roman" w:hAnsi="Arial"/>
          <w:color w:val="1b1c1d"/>
        </w:rPr>
      </w:pPr>
      <w:r>
        <w:rPr>
          <w:rFonts w:ascii="Arial" w:cs="Arial" w:eastAsia="Times New Roman" w:hAnsi="Arial"/>
          <w:b/>
          <w:bCs/>
          <w:color w:val="1b1c1d"/>
          <w:bdr w:val="none" w:sz="0" w:space="0" w:color="auto" w:frame="true"/>
        </w:rPr>
        <w:t>Comparative Assessment of Plasma ATP and ADP Stored in EDTA and Lithium Heparin Bottles at Room Temperature</w:t>
      </w:r>
    </w:p>
    <w:p>
      <w:pPr>
        <w:pStyle w:val="style0"/>
        <w:spacing w:before="100" w:beforeAutospacing="true" w:after="0" w:lineRule="auto" w:line="240"/>
        <w:jc w:val="both"/>
        <w:rPr>
          <w:rFonts w:ascii="Arial" w:cs="Arial" w:eastAsia="Times New Roman" w:hAnsi="Arial"/>
          <w:color w:val="1b1c1d"/>
          <w:bdr w:val="none" w:sz="0" w:space="0" w:color="auto" w:frame="true"/>
          <w:vertAlign w:val="superscript"/>
        </w:rPr>
      </w:pPr>
    </w:p>
    <w:p>
      <w:pPr>
        <w:pStyle w:val="style0"/>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b/>
          <w:bCs/>
          <w:color w:val="1b1c1d"/>
          <w:bdr w:val="none" w:sz="0" w:space="0" w:color="auto" w:frame="true"/>
        </w:rPr>
        <w:t>ABSTRACT</w:t>
      </w:r>
    </w:p>
    <w:p>
      <w:pPr>
        <w:pStyle w:val="style0"/>
        <w:spacing w:before="100" w:beforeAutospacing="true" w:after="0" w:lineRule="auto" w:line="240"/>
        <w:jc w:val="both"/>
        <w:rPr>
          <w:rFonts w:ascii="Arial" w:cs="Arial" w:eastAsia="Times New Roman" w:hAnsi="Arial"/>
          <w:color w:val="1b1c1d"/>
        </w:rPr>
      </w:pPr>
    </w:p>
    <w:p>
      <w:pPr>
        <w:pStyle w:val="style157"/>
        <w:jc w:val="both"/>
        <w:rPr>
          <w:rFonts w:ascii="Arial" w:cs="Arial" w:hAnsi="Arial"/>
        </w:rPr>
      </w:pPr>
      <w:r>
        <w:rPr>
          <w:rFonts w:ascii="Arial" w:cs="Arial" w:hAnsi="Arial"/>
          <w:b/>
          <w:bCs/>
          <w:bdr w:val="none" w:sz="0" w:space="0" w:color="auto" w:frame="true"/>
        </w:rPr>
        <w:t>Aims:</w:t>
      </w:r>
      <w:r>
        <w:rPr>
          <w:rFonts w:ascii="Arial" w:cs="Arial" w:hAnsi="Arial"/>
          <w:bdr w:val="none" w:sz="0" w:space="0" w:color="auto" w:frame="true"/>
        </w:rPr>
        <w:t xml:space="preserve"> This study aimed to compare the values of ATP and ADP in plasma stored in EDTA and lithium heparin specimen bottles at room temperature.</w:t>
      </w:r>
    </w:p>
    <w:p>
      <w:pPr>
        <w:pStyle w:val="style157"/>
        <w:jc w:val="both"/>
        <w:rPr>
          <w:rFonts w:ascii="Arial" w:cs="Arial" w:hAnsi="Arial"/>
        </w:rPr>
      </w:pPr>
      <w:r>
        <w:rPr>
          <w:rFonts w:ascii="Arial" w:cs="Arial" w:hAnsi="Arial"/>
          <w:b/>
          <w:bCs/>
          <w:bdr w:val="none" w:sz="0" w:space="0" w:color="auto" w:frame="true"/>
        </w:rPr>
        <w:t>Study design:</w:t>
      </w:r>
      <w:r>
        <w:rPr>
          <w:rFonts w:ascii="Arial" w:cs="Arial" w:hAnsi="Arial"/>
          <w:bdr w:val="none" w:sz="0" w:space="0" w:color="auto" w:frame="true"/>
        </w:rPr>
        <w:t xml:space="preserve"> This was a cross-sectional study. </w:t>
      </w:r>
    </w:p>
    <w:p>
      <w:pPr>
        <w:pStyle w:val="style157"/>
        <w:jc w:val="both"/>
        <w:rPr>
          <w:rFonts w:ascii="Arial" w:cs="Arial" w:hAnsi="Arial"/>
        </w:rPr>
      </w:pPr>
      <w:r>
        <w:rPr>
          <w:rFonts w:ascii="Arial" w:cs="Arial" w:hAnsi="Arial"/>
          <w:b/>
          <w:bCs/>
        </w:rPr>
        <w:t>Place and Duration of Study:</w:t>
      </w:r>
      <w:r>
        <w:rPr>
          <w:rFonts w:ascii="Arial" w:cs="Arial" w:hAnsi="Arial"/>
        </w:rPr>
        <w:t xml:space="preserve"> </w:t>
      </w:r>
      <w:r>
        <w:rPr>
          <w:rFonts w:ascii="Arial" w:cs="Arial" w:hAnsi="Arial"/>
          <w:highlight w:val="yellow"/>
        </w:rPr>
        <w:t xml:space="preserve">The study was conducted at </w:t>
      </w:r>
      <w:r>
        <w:rPr>
          <w:rFonts w:ascii="Arial" w:cs="Arial" w:hAnsi="Arial"/>
          <w:highlight w:val="yellow"/>
        </w:rPr>
        <w:t>Nnamdi Azikiwe University teaching hospital</w:t>
      </w:r>
      <w:r>
        <w:rPr>
          <w:rFonts w:ascii="Arial" w:cs="Arial" w:hAnsi="Arial"/>
          <w:highlight w:val="yellow"/>
        </w:rPr>
        <w:t xml:space="preserve">, Nnewi Nigeria </w:t>
      </w:r>
      <w:r>
        <w:rPr>
          <w:rFonts w:ascii="Arial" w:cs="Arial" w:hAnsi="Arial"/>
          <w:highlight w:val="yellow"/>
        </w:rPr>
        <w:t xml:space="preserve">from </w:t>
      </w:r>
      <w:r>
        <w:rPr>
          <w:rFonts w:ascii="Arial" w:cs="Arial" w:hAnsi="Arial"/>
          <w:highlight w:val="yellow"/>
        </w:rPr>
        <w:t>March 3</w:t>
      </w:r>
      <w:r>
        <w:rPr>
          <w:rFonts w:ascii="Arial" w:cs="Arial" w:hAnsi="Arial"/>
          <w:highlight w:val="yellow"/>
          <w:vertAlign w:val="superscript"/>
        </w:rPr>
        <w:t>rd</w:t>
      </w:r>
      <w:r>
        <w:rPr>
          <w:rFonts w:ascii="Arial" w:cs="Arial" w:hAnsi="Arial"/>
          <w:highlight w:val="yellow"/>
        </w:rPr>
        <w:t xml:space="preserve"> 2025</w:t>
      </w:r>
      <w:r>
        <w:rPr>
          <w:rFonts w:ascii="Arial" w:cs="Arial" w:hAnsi="Arial"/>
          <w:highlight w:val="yellow"/>
        </w:rPr>
        <w:t xml:space="preserve"> to </w:t>
      </w:r>
      <w:r>
        <w:rPr>
          <w:rFonts w:ascii="Arial" w:cs="Arial" w:hAnsi="Arial"/>
          <w:highlight w:val="yellow"/>
        </w:rPr>
        <w:t>May 1</w:t>
      </w:r>
      <w:r>
        <w:rPr>
          <w:rFonts w:ascii="Arial" w:cs="Arial" w:hAnsi="Arial"/>
          <w:highlight w:val="yellow"/>
          <w:vertAlign w:val="superscript"/>
        </w:rPr>
        <w:t>st</w:t>
      </w:r>
      <w:r>
        <w:rPr>
          <w:rFonts w:ascii="Arial" w:cs="Arial" w:hAnsi="Arial"/>
          <w:highlight w:val="yellow"/>
        </w:rPr>
        <w:t xml:space="preserve"> 2025. The duration covered research design, ethical approval application, reagent sourcing, participants recruitment, analysis, and manuscript preparation.</w:t>
      </w:r>
    </w:p>
    <w:p>
      <w:pPr>
        <w:pStyle w:val="style157"/>
        <w:jc w:val="both"/>
        <w:rPr>
          <w:rFonts w:ascii="Arial" w:cs="Arial" w:hAnsi="Arial"/>
        </w:rPr>
      </w:pPr>
      <w:r>
        <w:rPr>
          <w:rFonts w:ascii="Arial" w:cs="Arial" w:hAnsi="Arial"/>
          <w:b/>
          <w:bCs/>
          <w:bdr w:val="none" w:sz="0" w:space="0" w:color="auto" w:frame="true"/>
        </w:rPr>
        <w:t>Methodology:</w:t>
      </w:r>
      <w:r>
        <w:rPr>
          <w:rFonts w:ascii="Arial" w:cs="Arial" w:hAnsi="Arial"/>
          <w:bdr w:val="none" w:sz="0" w:space="0" w:color="auto" w:frame="true"/>
        </w:rPr>
        <w:t xml:space="preserve"> Blood samples were collected from twenty apparently healthy individuals and divided into EDTA and lithium heparin tubes</w:t>
      </w:r>
      <w:r>
        <w:rPr>
          <w:rFonts w:ascii="Arial" w:cs="Arial" w:hAnsi="Arial"/>
        </w:rPr>
        <w:t xml:space="preserve">. </w:t>
      </w:r>
      <w:r>
        <w:rPr>
          <w:rFonts w:ascii="Arial" w:cs="Arial" w:hAnsi="Arial"/>
          <w:bdr w:val="none" w:sz="0" w:space="0" w:color="auto" w:frame="true"/>
        </w:rPr>
        <w:t>ATP and ADP concentration were measured using enzyme-linked immunosorbent assays (ELISA)</w:t>
      </w:r>
      <w:r>
        <w:rPr>
          <w:rFonts w:ascii="Arial" w:cs="Arial" w:hAnsi="Arial"/>
        </w:rPr>
        <w:t xml:space="preserve">. </w:t>
      </w:r>
      <w:r>
        <w:rPr>
          <w:rFonts w:ascii="Arial" w:cs="Arial" w:hAnsi="Arial"/>
          <w:bdr w:val="none" w:sz="0" w:space="0" w:color="auto" w:frame="true"/>
        </w:rPr>
        <w:t>Statistical analysis was performed using an independent t-test to determine differences between the two mean values of ATP and ADP</w:t>
      </w:r>
      <w:r>
        <w:rPr>
          <w:rFonts w:ascii="Arial" w:cs="Arial" w:hAnsi="Arial"/>
        </w:rPr>
        <w:t>.</w:t>
      </w:r>
    </w:p>
    <w:p>
      <w:pPr>
        <w:pStyle w:val="style157"/>
        <w:jc w:val="both"/>
        <w:rPr>
          <w:rFonts w:ascii="Arial" w:cs="Arial" w:hAnsi="Arial"/>
        </w:rPr>
      </w:pPr>
      <w:r>
        <w:rPr>
          <w:rFonts w:ascii="Arial" w:cs="Arial" w:hAnsi="Arial"/>
          <w:b/>
          <w:bCs/>
          <w:bdr w:val="none" w:sz="0" w:space="0" w:color="auto" w:frame="true"/>
        </w:rPr>
        <w:t>Results:</w:t>
      </w:r>
      <w:r>
        <w:rPr>
          <w:rFonts w:ascii="Arial" w:cs="Arial" w:hAnsi="Arial"/>
          <w:bdr w:val="none" w:sz="0" w:space="0" w:color="auto" w:frame="true"/>
        </w:rPr>
        <w:t xml:space="preserve"> </w:t>
      </w:r>
      <w:r>
        <w:rPr>
          <w:rFonts w:ascii="Arial" w:cs="Arial" w:hAnsi="Arial"/>
          <w:bdr w:val="none" w:sz="0" w:space="0" w:color="auto" w:frame="true"/>
        </w:rPr>
        <w:t>S</w:t>
      </w:r>
      <w:r>
        <w:rPr>
          <w:rFonts w:ascii="Arial" w:cs="Arial" w:hAnsi="Arial"/>
          <w:bdr w:val="none" w:sz="0" w:space="0" w:color="auto" w:frame="true"/>
        </w:rPr>
        <w:t xml:space="preserve">tatistical analysis was performed </w:t>
      </w:r>
      <w:r>
        <w:rPr>
          <w:rFonts w:ascii="Arial" w:cs="Arial" w:hAnsi="Arial"/>
          <w:highlight w:val="yellow"/>
          <w:bdr w:val="none" w:sz="0" w:space="0" w:color="auto" w:frame="true"/>
        </w:rPr>
        <w:t>using an independent t-test</w:t>
      </w:r>
      <w:r>
        <w:rPr>
          <w:rFonts w:ascii="Arial" w:cs="Arial" w:hAnsi="Arial"/>
          <w:bdr w:val="none" w:sz="0" w:space="0" w:color="auto" w:frame="true"/>
        </w:rPr>
        <w:t xml:space="preserve"> to determine differences between the two mean values of ATP and ADP</w:t>
      </w:r>
      <w:r>
        <w:rPr>
          <w:rFonts w:ascii="Arial" w:cs="Arial" w:hAnsi="Arial"/>
          <w:bdr w:val="none" w:sz="0" w:space="0" w:color="auto" w:frame="true"/>
        </w:rPr>
        <w:t xml:space="preserve">. </w:t>
      </w:r>
      <w:r>
        <w:rPr>
          <w:rFonts w:ascii="Arial" w:cs="Arial" w:hAnsi="Arial"/>
          <w:bdr w:val="none" w:sz="0" w:space="0" w:color="auto" w:frame="true"/>
        </w:rPr>
        <w:t>ATP and ADP levels were significantly higher in EDTA plasma compared to lithium heparin plasma (</w:t>
      </w:r>
      <w:r>
        <w:rPr>
          <w:rFonts w:ascii="Arial" w:cs="Arial" w:hAnsi="Arial"/>
          <w:highlight w:val="yellow"/>
          <w:bdr w:val="none" w:sz="0" w:space="0" w:color="auto" w:frame="true"/>
        </w:rPr>
        <w:t xml:space="preserve">p </w:t>
      </w:r>
      <w:r>
        <w:rPr>
          <w:rFonts w:ascii="Arial" w:cs="Arial" w:hAnsi="Arial"/>
          <w:highlight w:val="yellow"/>
          <w:bdr w:val="none" w:sz="0" w:space="0" w:color="auto" w:frame="true"/>
        </w:rPr>
        <w:t>&lt;</w:t>
      </w:r>
      <w:r>
        <w:rPr>
          <w:rFonts w:ascii="Arial" w:cs="Arial" w:hAnsi="Arial"/>
          <w:highlight w:val="yellow"/>
          <w:bdr w:val="none" w:sz="0" w:space="0" w:color="auto" w:frame="true"/>
        </w:rPr>
        <w:t xml:space="preserve"> 0.0</w:t>
      </w:r>
      <w:r>
        <w:rPr>
          <w:rFonts w:ascii="Arial" w:cs="Arial" w:hAnsi="Arial"/>
          <w:highlight w:val="yellow"/>
          <w:bdr w:val="none" w:sz="0" w:space="0" w:color="auto" w:frame="true"/>
        </w:rPr>
        <w:t>01</w:t>
      </w:r>
      <w:r>
        <w:rPr>
          <w:rFonts w:ascii="Arial" w:cs="Arial" w:hAnsi="Arial"/>
          <w:bdr w:val="none" w:sz="0" w:space="0" w:color="auto" w:frame="true"/>
        </w:rPr>
        <w:t>)</w:t>
      </w:r>
      <w:r>
        <w:rPr>
          <w:rFonts w:ascii="Arial" w:cs="Arial" w:hAnsi="Arial"/>
        </w:rPr>
        <w:t xml:space="preserve">. </w:t>
      </w:r>
      <w:r>
        <w:rPr>
          <w:rFonts w:ascii="Arial" w:cs="Arial" w:hAnsi="Arial"/>
          <w:bdr w:val="none" w:sz="0" w:space="0" w:color="auto" w:frame="true"/>
        </w:rPr>
        <w:t xml:space="preserve">The mean ATP concentration in EDTA was </w:t>
      </w:r>
    </w:p>
    <w:p>
      <w:pPr>
        <w:pStyle w:val="style157"/>
        <w:jc w:val="both"/>
        <w:rPr>
          <w:rFonts w:ascii="Arial" w:cs="Arial" w:hAnsi="Arial"/>
        </w:rPr>
      </w:pPr>
      <w:r>
        <w:rPr>
          <w:rFonts w:ascii="Arial" w:cs="Arial" w:hAnsi="Arial"/>
          <w:bdr w:val="none" w:sz="0" w:space="0" w:color="auto" w:frame="true"/>
        </w:rPr>
        <w:t>846.19±94.54 nmol/L, while lithium heparin samples had a significantly lower mean value of 589.61±61.93 nmol/L</w:t>
      </w:r>
      <w:r>
        <w:rPr>
          <w:rFonts w:ascii="Arial" w:cs="Arial" w:hAnsi="Arial"/>
        </w:rPr>
        <w:t xml:space="preserve">. </w:t>
      </w:r>
      <w:r>
        <w:rPr>
          <w:rFonts w:ascii="Arial" w:cs="Arial" w:hAnsi="Arial"/>
          <w:bdr w:val="none" w:sz="0" w:space="0" w:color="auto" w:frame="true"/>
        </w:rPr>
        <w:t>Similarly, ADP levels were higher in EDTA plasma (</w:t>
      </w:r>
    </w:p>
    <w:p>
      <w:pPr>
        <w:pStyle w:val="style157"/>
        <w:jc w:val="both"/>
        <w:rPr>
          <w:rFonts w:ascii="Arial" w:cs="Arial" w:hAnsi="Arial"/>
        </w:rPr>
      </w:pPr>
      <w:r>
        <w:rPr>
          <w:rFonts w:ascii="Arial" w:cs="Arial" w:hAnsi="Arial"/>
          <w:bdr w:val="none" w:sz="0" w:space="0" w:color="auto" w:frame="true"/>
        </w:rPr>
        <w:t xml:space="preserve">804.00±164.11 nmol/L) than in lithium heparin plasma (610.00±145.60 nmol/L) </w:t>
      </w:r>
      <w:r>
        <w:rPr>
          <w:rFonts w:ascii="Arial" w:cs="Arial" w:hAnsi="Arial"/>
          <w:highlight w:val="yellow"/>
          <w:bdr w:val="none" w:sz="0" w:space="0" w:color="auto" w:frame="true"/>
        </w:rPr>
        <w:t xml:space="preserve">where p </w:t>
      </w:r>
      <w:r>
        <w:rPr>
          <w:rFonts w:ascii="Arial" w:cs="Arial" w:hAnsi="Arial"/>
          <w:highlight w:val="yellow"/>
          <w:bdr w:val="none" w:sz="0" w:space="0" w:color="auto" w:frame="true"/>
        </w:rPr>
        <w:t>&lt;</w:t>
      </w:r>
      <w:r>
        <w:rPr>
          <w:rFonts w:ascii="Arial" w:cs="Arial" w:hAnsi="Arial"/>
          <w:highlight w:val="yellow"/>
          <w:bdr w:val="none" w:sz="0" w:space="0" w:color="auto" w:frame="true"/>
        </w:rPr>
        <w:t xml:space="preserve"> 0.00</w:t>
      </w:r>
      <w:r>
        <w:rPr>
          <w:rFonts w:ascii="Arial" w:cs="Arial" w:hAnsi="Arial"/>
          <w:highlight w:val="yellow"/>
          <w:bdr w:val="none" w:sz="0" w:space="0" w:color="auto" w:frame="true"/>
        </w:rPr>
        <w:t>1</w:t>
      </w:r>
      <w:r>
        <w:rPr>
          <w:rFonts w:ascii="Arial" w:cs="Arial" w:hAnsi="Arial"/>
          <w:highlight w:val="yellow"/>
        </w:rPr>
        <w:t>.</w:t>
      </w:r>
    </w:p>
    <w:p>
      <w:pPr>
        <w:pStyle w:val="style157"/>
        <w:jc w:val="both"/>
        <w:rPr>
          <w:rFonts w:ascii="Arial" w:cs="Arial" w:hAnsi="Arial"/>
        </w:rPr>
      </w:pPr>
      <w:r>
        <w:rPr>
          <w:rFonts w:ascii="Arial" w:cs="Arial" w:hAnsi="Arial"/>
          <w:b/>
          <w:bCs/>
          <w:bdr w:val="none" w:sz="0" w:space="0" w:color="auto" w:frame="true"/>
        </w:rPr>
        <w:t>Conclusion:</w:t>
      </w:r>
      <w:r>
        <w:rPr>
          <w:rFonts w:ascii="Arial" w:cs="Arial" w:hAnsi="Arial"/>
          <w:bdr w:val="none" w:sz="0" w:space="0" w:color="auto" w:frame="true"/>
        </w:rPr>
        <w:t xml:space="preserve"> EDTA is recommended for studies requiring nucleotide stability, particularly in platelet function assessments and metabolic evaluations</w:t>
      </w:r>
      <w:r>
        <w:rPr>
          <w:rFonts w:ascii="Arial" w:cs="Arial" w:hAnsi="Arial"/>
        </w:rPr>
        <w:t xml:space="preserve">. </w:t>
      </w:r>
      <w:r>
        <w:rPr>
          <w:rFonts w:ascii="Arial" w:cs="Arial" w:hAnsi="Arial"/>
          <w:bdr w:val="none" w:sz="0" w:space="0" w:color="auto" w:frame="true"/>
        </w:rPr>
        <w:t>These findings support the use of EDTA for studies requiring stable ATP and ADP measurements</w:t>
      </w:r>
      <w:r>
        <w:rPr>
          <w:rFonts w:ascii="Arial" w:cs="Arial" w:hAnsi="Arial"/>
        </w:rPr>
        <w:t>.</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b/>
          <w:bCs/>
          <w:color w:val="1b1c1d"/>
          <w:bdr w:val="none" w:sz="0" w:space="0" w:color="auto" w:frame="true"/>
        </w:rPr>
        <w:t>Keywords</w:t>
      </w:r>
      <w:r>
        <w:rPr>
          <w:rFonts w:ascii="Arial" w:cs="Arial" w:eastAsia="Times New Roman" w:hAnsi="Arial"/>
          <w:color w:val="1b1c1d"/>
          <w:bdr w:val="none" w:sz="0" w:space="0" w:color="auto" w:frame="true"/>
        </w:rPr>
        <w:t xml:space="preserve">: </w:t>
      </w:r>
      <w:r>
        <w:rPr>
          <w:rFonts w:ascii="Arial" w:cs="Arial" w:eastAsia="Times New Roman" w:hAnsi="Arial"/>
          <w:color w:val="1b1c1d"/>
          <w:sz w:val="20"/>
          <w:szCs w:val="20"/>
          <w:bdr w:val="none" w:sz="0" w:space="0" w:color="auto" w:frame="true"/>
        </w:rPr>
        <w:t>ATP, ADP, EDTA, Lithium Heparin, Plasma Stability</w:t>
      </w:r>
    </w:p>
    <w:p>
      <w:pPr>
        <w:pStyle w:val="style0"/>
        <w:spacing w:before="100" w:beforeAutospacing="true" w:after="0" w:lineRule="auto" w:line="240"/>
        <w:jc w:val="both"/>
        <w:rPr>
          <w:rFonts w:ascii="Arial" w:cs="Arial" w:eastAsia="Times New Roman" w:hAnsi="Arial"/>
          <w:color w:val="1b1c1d"/>
        </w:rPr>
      </w:pPr>
    </w:p>
    <w:p>
      <w:pPr>
        <w:pStyle w:val="style0"/>
        <w:spacing w:before="100" w:beforeAutospacing="true" w:after="0" w:lineRule="auto" w:line="240"/>
        <w:jc w:val="both"/>
        <w:rPr>
          <w:rFonts w:ascii="Arial" w:cs="Arial" w:eastAsia="Times New Roman" w:hAnsi="Arial"/>
          <w:b/>
          <w:bCs/>
          <w:color w:val="1b1c1d"/>
        </w:rPr>
      </w:pPr>
      <w:r>
        <w:rPr>
          <w:rFonts w:ascii="Arial" w:cs="Arial" w:eastAsia="Times New Roman" w:hAnsi="Arial"/>
          <w:b/>
          <w:bCs/>
          <w:color w:val="1b1c1d"/>
          <w:bdr w:val="none" w:sz="0" w:space="0" w:color="auto" w:frame="true"/>
        </w:rPr>
        <w:t>INTRODUCTION</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 xml:space="preserve">Adenosine triphosphate (ATP) </w:t>
      </w:r>
      <w:r>
        <w:rPr>
          <w:rFonts w:ascii="Arial" w:cs="Arial" w:eastAsia="Times New Roman" w:hAnsi="Arial"/>
          <w:color w:val="1b1c1d"/>
          <w:sz w:val="20"/>
          <w:szCs w:val="20"/>
          <w:bdr w:val="none" w:sz="0" w:space="0" w:color="auto" w:frame="true"/>
        </w:rPr>
        <w:t xml:space="preserve">serves as the fundamental unit of energy within living things and </w:t>
      </w:r>
      <w:r>
        <w:rPr>
          <w:rFonts w:ascii="Arial" w:cs="Arial" w:eastAsia="Times New Roman" w:hAnsi="Arial"/>
          <w:color w:val="1b1c1d"/>
          <w:sz w:val="20"/>
          <w:szCs w:val="20"/>
          <w:bdr w:val="none" w:sz="0" w:space="0" w:color="auto" w:frame="true"/>
        </w:rPr>
        <w:t xml:space="preserve">plays a </w:t>
      </w:r>
      <w:r>
        <w:rPr>
          <w:rFonts w:ascii="Arial" w:cs="Arial" w:eastAsia="Times New Roman" w:hAnsi="Arial"/>
          <w:color w:val="1b1c1d"/>
          <w:sz w:val="20"/>
          <w:szCs w:val="20"/>
          <w:highlight w:val="yellow"/>
          <w:bdr w:val="none" w:sz="0" w:space="0" w:color="auto" w:frame="true"/>
        </w:rPr>
        <w:t>critical role in</w:t>
      </w:r>
      <w:r>
        <w:rPr>
          <w:rFonts w:ascii="Arial" w:cs="Arial" w:eastAsia="Times New Roman" w:hAnsi="Arial"/>
          <w:color w:val="1b1c1d"/>
          <w:sz w:val="20"/>
          <w:szCs w:val="20"/>
          <w:bdr w:val="none" w:sz="0" w:space="0" w:color="auto" w:frame="true"/>
        </w:rPr>
        <w:t xml:space="preserve"> intracellular energy transfer reactions because it provides energy that drives biochemical processes in cells [1]. Adenosine triphosphate is</w:t>
      </w:r>
      <w:r>
        <w:rPr>
          <w:rFonts w:ascii="Arial" w:cs="Arial" w:eastAsia="Times New Roman" w:hAnsi="Arial"/>
          <w:color w:val="1b1c1d"/>
          <w:sz w:val="20"/>
          <w:szCs w:val="20"/>
          <w:bdr w:val="none" w:sz="0" w:space="0" w:color="auto" w:frame="true"/>
        </w:rPr>
        <w:t xml:space="preserve"> dynamically synthesized through</w:t>
      </w:r>
      <w:r>
        <w:rPr>
          <w:rFonts w:ascii="Arial" w:cs="Arial" w:eastAsia="Times New Roman" w:hAnsi="Arial"/>
          <w:color w:val="1b1c1d"/>
          <w:sz w:val="20"/>
          <w:szCs w:val="20"/>
          <w:bdr w:val="none" w:sz="0" w:space="0" w:color="auto" w:frame="true"/>
        </w:rPr>
        <w:t xml:space="preserve"> the phosphorylation of adenosine diphosphate (ADP) and adenosine monophosphate (AMP) and in the course of metabolism ATP is repeatedly dephosphorylated to ADP and AMP and re-phosphorylated from ADP and AMP [1]. </w:t>
      </w:r>
      <w:r>
        <w:rPr>
          <w:rFonts w:ascii="Arial" w:cs="Arial" w:eastAsia="Times New Roman" w:hAnsi="Arial"/>
          <w:color w:val="1b1c1d"/>
          <w:sz w:val="20"/>
          <w:szCs w:val="20"/>
          <w:bdr w:val="none" w:sz="0" w:space="0" w:color="auto" w:frame="true"/>
        </w:rPr>
        <w:t xml:space="preserve">Beyond its role in energy transfer, </w:t>
      </w:r>
      <w:r>
        <w:rPr>
          <w:rFonts w:ascii="Arial" w:cs="Arial" w:eastAsia="Times New Roman" w:hAnsi="Arial"/>
          <w:color w:val="1b1c1d"/>
          <w:sz w:val="20"/>
          <w:szCs w:val="20"/>
          <w:bdr w:val="none" w:sz="0" w:space="0" w:color="auto" w:frame="true"/>
        </w:rPr>
        <w:t xml:space="preserve">Adenosine triphosphate (ATP) </w:t>
      </w:r>
      <w:r>
        <w:rPr>
          <w:rFonts w:ascii="Arial" w:cs="Arial" w:eastAsia="Times New Roman" w:hAnsi="Arial"/>
          <w:color w:val="1b1c1d"/>
          <w:sz w:val="20"/>
          <w:szCs w:val="20"/>
          <w:bdr w:val="none" w:sz="0" w:space="0" w:color="auto" w:frame="true"/>
        </w:rPr>
        <w:t>also</w:t>
      </w:r>
      <w:r>
        <w:rPr>
          <w:rFonts w:ascii="Arial" w:cs="Arial" w:eastAsia="Times New Roman" w:hAnsi="Arial"/>
          <w:color w:val="1b1c1d"/>
          <w:sz w:val="20"/>
          <w:szCs w:val="20"/>
          <w:bdr w:val="none" w:sz="0" w:space="0" w:color="auto" w:frame="true"/>
        </w:rPr>
        <w:t xml:space="preserve"> drive and support many processes within living cells, including; muscle contraction, nerve impulse propagation, condensate dissolution, and chemical synthesis [2]. Present in all known life forms, ATP is often referred to as the “molecular currency” of intracellular energy transfer. The phosphate groups can be cleaved off, releasing energy that can be used to drive other biochemical reactions [3]. According to Guyton and Hall [4], adenosine Diphosphate (ADP) is an important organic compound in metabolism and is essential to the flow of energy in living cells. It can be interconverted to adenosine triphosphate (ATP) and adenosine monophosphate (AMP). Adenosine triphosphate (ATP) and adenosine diphosphate (ADP) play critical roles in cellular energy metabolism and function, making their evaluation in blood samples important for understanding various metabolic conditions and pathophysiological states. The evaluation of adenosine triphosphate (ATP) and adenosine diphosphate </w:t>
      </w:r>
      <w:r>
        <w:rPr>
          <w:rFonts w:ascii="Arial" w:cs="Arial" w:eastAsia="Times New Roman" w:hAnsi="Arial"/>
          <w:color w:val="1b1c1d"/>
          <w:sz w:val="20"/>
          <w:szCs w:val="20"/>
          <w:bdr w:val="none" w:sz="0" w:space="0" w:color="auto" w:frame="true"/>
        </w:rPr>
        <w:t>(ADP) in blood samples is crucial for assessing cellular energy states and understanding metabolic disorders. The evaluation of ATP and ADP levels is increasingly being used in disease monitoring, particularly for assessing platelet function and cardiovascular health [5]. Moreover, a stable and reliable method for evaluating these nucleotides is needed to ensure the accuracy of results in clinical and research settings, as variations in storage conditions and container types could obscure true physiological changes [6]. Hence, this study aims to assess the suitability of various specimen containers in the context of ATP and ADP evaluation, considering their impact on sample integrity and analytical outcomes.</w:t>
      </w:r>
    </w:p>
    <w:p>
      <w:pPr>
        <w:pStyle w:val="style0"/>
        <w:spacing w:before="100" w:beforeAutospacing="true" w:after="0" w:lineRule="auto" w:line="240"/>
        <w:jc w:val="both"/>
        <w:rPr>
          <w:rFonts w:ascii="Arial" w:cs="Arial" w:eastAsia="Times New Roman" w:hAnsi="Arial"/>
          <w:b/>
          <w:bCs/>
          <w:color w:val="1b1c1d"/>
        </w:rPr>
      </w:pPr>
      <w:r>
        <w:rPr>
          <w:rFonts w:ascii="Arial" w:cs="Arial" w:eastAsia="Times New Roman" w:hAnsi="Arial"/>
          <w:b/>
          <w:bCs/>
          <w:color w:val="1b1c1d"/>
          <w:bdr w:val="none" w:sz="0" w:space="0" w:color="auto" w:frame="true"/>
        </w:rPr>
        <w:t>MATERIAL AND METHODS</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This was a cross-sectional study</w:t>
      </w:r>
      <w:r>
        <w:rPr>
          <w:rFonts w:ascii="Arial" w:cs="Arial" w:eastAsia="Times New Roman" w:hAnsi="Arial"/>
          <w:color w:val="1b1c1d"/>
          <w:sz w:val="20"/>
          <w:szCs w:val="20"/>
          <w:bdr w:val="none" w:sz="0" w:space="0" w:color="auto" w:frame="true"/>
        </w:rPr>
        <w:t xml:space="preserve"> </w:t>
      </w:r>
      <w:r>
        <w:rPr>
          <w:rFonts w:ascii="Arial" w:cs="Arial" w:eastAsia="Times New Roman" w:hAnsi="Arial"/>
          <w:color w:val="1b1c1d"/>
          <w:sz w:val="20"/>
          <w:szCs w:val="20"/>
          <w:bdr w:val="none" w:sz="0" w:space="0" w:color="auto" w:frame="true"/>
        </w:rPr>
        <w:t>conducted at Nnamdi Azikiwe University teaching hospital, Nnewi Nigeria from March 3rd 2025 to May 1st 2025. The duration covered research design, ethical approval application, reagent sourcing, participants recruitment, analysis, and manuscript preparation.</w:t>
      </w:r>
      <w:r>
        <w:rPr>
          <w:rFonts w:ascii="Arial" w:cs="Arial" w:eastAsia="Times New Roman" w:hAnsi="Arial"/>
          <w:color w:val="1b1c1d"/>
          <w:sz w:val="20"/>
          <w:szCs w:val="20"/>
          <w:bdr w:val="none" w:sz="0" w:space="0" w:color="auto" w:frame="true"/>
        </w:rPr>
        <w:t xml:space="preserve"> </w:t>
      </w:r>
      <w:r>
        <w:rPr>
          <w:rFonts w:ascii="Arial" w:cs="Arial" w:eastAsia="Times New Roman" w:hAnsi="Arial"/>
          <w:color w:val="1b1c1d"/>
          <w:sz w:val="20"/>
          <w:szCs w:val="20"/>
          <w:bdr w:val="none" w:sz="0" w:space="0" w:color="auto" w:frame="true"/>
        </w:rPr>
        <w:t>The study</w:t>
      </w:r>
      <w:r>
        <w:rPr>
          <w:rFonts w:ascii="Arial" w:cs="Arial" w:eastAsia="Times New Roman" w:hAnsi="Arial"/>
          <w:color w:val="1b1c1d"/>
          <w:sz w:val="20"/>
          <w:szCs w:val="20"/>
          <w:bdr w:val="none" w:sz="0" w:space="0" w:color="auto" w:frame="true"/>
        </w:rPr>
        <w:t xml:space="preserve"> randomly recruited 20 apparently healthy individuals within a consistent age bracket </w:t>
      </w:r>
      <w:r>
        <w:rPr>
          <w:rFonts w:ascii="Arial" w:cs="Arial" w:eastAsia="Times New Roman" w:hAnsi="Arial"/>
          <w:color w:val="1b1c1d"/>
          <w:sz w:val="20"/>
          <w:szCs w:val="20"/>
          <w:highlight w:val="yellow"/>
          <w:bdr w:val="none" w:sz="0" w:space="0" w:color="auto" w:frame="true"/>
        </w:rPr>
        <w:t>o</w:t>
      </w:r>
      <w:r>
        <w:rPr>
          <w:rFonts w:ascii="Arial" w:cs="Arial" w:eastAsia="Times New Roman" w:hAnsi="Arial"/>
          <w:color w:val="1b1c1d"/>
          <w:sz w:val="20"/>
          <w:szCs w:val="20"/>
          <w:highlight w:val="yellow"/>
          <w:bdr w:val="none" w:sz="0" w:space="0" w:color="auto" w:frame="true"/>
        </w:rPr>
        <w:t>f</w:t>
      </w:r>
      <w:r>
        <w:rPr>
          <w:rFonts w:ascii="Arial" w:cs="Arial" w:eastAsia="Times New Roman" w:hAnsi="Arial"/>
          <w:color w:val="1b1c1d"/>
          <w:sz w:val="20"/>
          <w:szCs w:val="20"/>
          <w:bdr w:val="none" w:sz="0" w:space="0" w:color="auto" w:frame="true"/>
        </w:rPr>
        <w:t xml:space="preserve"> between 18 and 26 years to evaluate the impact of EDTA and lithium heparin containers on the stability of ATP and ADP levels in blood samples at room temperature. Three milliliters of blood samples were collected from apparently healthy volunteers using a vacutainer system into EDTA and lithium heparin specimen bottles. Following collection, ATP and ADP levels were measured using enzyme-linked immunosorbent assays (ELISA). SPSS (Statistical Package for Social Sciences) 25 was used to analyze the collected data. Independent’s t-test was used to compare the mean ± standard deviation of ATP and ADP values in EDTA and in Lithium Heparin.</w:t>
      </w:r>
    </w:p>
    <w:p>
      <w:pPr>
        <w:pStyle w:val="style0"/>
        <w:spacing w:before="100" w:beforeAutospacing="true" w:after="0" w:lineRule="auto" w:line="240"/>
        <w:jc w:val="both"/>
        <w:rPr>
          <w:rFonts w:ascii="Arial" w:cs="Arial" w:eastAsia="Times New Roman" w:hAnsi="Arial"/>
          <w:b/>
          <w:bCs/>
          <w:color w:val="1b1c1d"/>
        </w:rPr>
      </w:pPr>
      <w:r>
        <w:rPr>
          <w:rFonts w:ascii="Arial" w:cs="Arial" w:eastAsia="Times New Roman" w:hAnsi="Arial"/>
          <w:b/>
          <w:bCs/>
          <w:color w:val="1b1c1d"/>
          <w:bdr w:val="none" w:sz="0" w:space="0" w:color="auto" w:frame="true"/>
        </w:rPr>
        <w:t>RESULTS AND DISCUSSION</w:t>
      </w:r>
    </w:p>
    <w:p>
      <w:pPr>
        <w:pStyle w:val="style0"/>
        <w:spacing w:before="100" w:beforeAutospacing="true" w:after="0" w:lineRule="auto" w:line="240"/>
        <w:jc w:val="both"/>
        <w:rPr>
          <w:rFonts w:ascii="Arial" w:cs="Arial" w:eastAsia="Times New Roman" w:hAnsi="Arial"/>
          <w:color w:val="1b1c1d"/>
          <w:sz w:val="20"/>
          <w:szCs w:val="20"/>
        </w:rPr>
      </w:pPr>
      <w:r>
        <w:rPr>
          <w:rFonts w:ascii="Arial" w:cs="Arial" w:eastAsia="Times New Roman" w:hAnsi="Arial"/>
          <w:color w:val="1b1c1d"/>
          <w:sz w:val="20"/>
          <w:szCs w:val="20"/>
          <w:bdr w:val="none" w:sz="0" w:space="0" w:color="auto" w:frame="true"/>
        </w:rPr>
        <w:t>S</w:t>
      </w:r>
      <w:r>
        <w:rPr>
          <w:rFonts w:ascii="Arial" w:cs="Arial" w:eastAsia="Times New Roman" w:hAnsi="Arial"/>
          <w:color w:val="1b1c1d"/>
          <w:sz w:val="20"/>
          <w:szCs w:val="20"/>
          <w:highlight w:val="yellow"/>
          <w:bdr w:val="none" w:sz="0" w:space="0" w:color="auto" w:frame="true"/>
        </w:rPr>
        <w:t>tatistical analysis was performed using an independent t-test as described in the Methodology section</w:t>
      </w:r>
      <w:r>
        <w:rPr>
          <w:rFonts w:ascii="Arial" w:cs="Arial" w:eastAsia="Times New Roman" w:hAnsi="Arial"/>
          <w:color w:val="1b1c1d"/>
          <w:sz w:val="20"/>
          <w:szCs w:val="20"/>
          <w:highlight w:val="yellow"/>
          <w:bdr w:val="none" w:sz="0" w:space="0" w:color="auto" w:frame="true"/>
        </w:rPr>
        <w:t>.</w:t>
      </w:r>
      <w:r>
        <w:rPr>
          <w:rFonts w:ascii="Arial" w:cs="Arial" w:eastAsia="Times New Roman" w:hAnsi="Arial"/>
          <w:color w:val="1b1c1d"/>
          <w:sz w:val="20"/>
          <w:szCs w:val="20"/>
          <w:bdr w:val="none" w:sz="0" w:space="0" w:color="auto" w:frame="true"/>
        </w:rPr>
        <w:t xml:space="preserve"> </w:t>
      </w:r>
      <w:r>
        <w:rPr>
          <w:rFonts w:ascii="Arial" w:cs="Arial" w:eastAsia="Times New Roman" w:hAnsi="Arial"/>
          <w:color w:val="1b1c1d"/>
          <w:sz w:val="20"/>
          <w:szCs w:val="20"/>
          <w:bdr w:val="none" w:sz="0" w:space="0" w:color="auto" w:frame="true"/>
        </w:rPr>
        <w:t xml:space="preserve">The </w:t>
      </w:r>
      <w:r>
        <w:rPr>
          <w:rFonts w:ascii="Arial" w:cs="Arial" w:eastAsia="Times New Roman" w:hAnsi="Arial"/>
          <w:color w:val="1b1c1d"/>
          <w:sz w:val="20"/>
          <w:szCs w:val="20"/>
          <w:bdr w:val="none" w:sz="0" w:space="0" w:color="auto" w:frame="true"/>
        </w:rPr>
        <w:t xml:space="preserve">analysis of </w:t>
      </w:r>
      <w:r>
        <w:rPr>
          <w:rFonts w:ascii="Arial" w:cs="Arial" w:eastAsia="Times New Roman" w:hAnsi="Arial"/>
          <w:color w:val="1b1c1d"/>
          <w:sz w:val="20"/>
          <w:szCs w:val="20"/>
          <w:bdr w:val="none" w:sz="0" w:space="0" w:color="auto" w:frame="true"/>
        </w:rPr>
        <w:t xml:space="preserve">mean ± SD of ADP values in EDTA and lithium heparin anticoagulant bottles </w:t>
      </w:r>
      <w:r>
        <w:rPr>
          <w:rFonts w:ascii="Arial" w:cs="Arial" w:eastAsia="Times New Roman" w:hAnsi="Arial"/>
          <w:color w:val="1b1c1d"/>
          <w:sz w:val="20"/>
          <w:szCs w:val="20"/>
          <w:bdr w:val="none" w:sz="0" w:space="0" w:color="auto" w:frame="true"/>
        </w:rPr>
        <w:t xml:space="preserve">revealed </w:t>
      </w:r>
      <w:r>
        <w:rPr>
          <w:rFonts w:ascii="Arial" w:cs="Arial" w:eastAsia="Times New Roman" w:hAnsi="Arial"/>
          <w:color w:val="1b1c1d"/>
          <w:sz w:val="20"/>
          <w:szCs w:val="20"/>
          <w:bdr w:val="none" w:sz="0" w:space="0" w:color="auto" w:frame="true"/>
        </w:rPr>
        <w:t>statistically</w:t>
      </w:r>
      <w:r>
        <w:rPr>
          <w:rFonts w:ascii="Arial" w:cs="Arial" w:eastAsia="Times New Roman" w:hAnsi="Arial"/>
          <w:color w:val="1b1c1d"/>
          <w:sz w:val="20"/>
          <w:szCs w:val="20"/>
          <w:bdr w:val="none" w:sz="0" w:space="0" w:color="auto" w:frame="true"/>
        </w:rPr>
        <w:t xml:space="preserve"> significant difference</w:t>
      </w:r>
      <w:r>
        <w:rPr>
          <w:rFonts w:ascii="Arial" w:cs="Arial" w:eastAsia="Times New Roman" w:hAnsi="Arial"/>
          <w:color w:val="1b1c1d"/>
          <w:sz w:val="20"/>
          <w:szCs w:val="20"/>
        </w:rPr>
        <w:t xml:space="preserve">. </w:t>
      </w:r>
      <w:r>
        <w:rPr>
          <w:rFonts w:ascii="Arial" w:cs="Arial" w:eastAsia="Times New Roman" w:hAnsi="Arial"/>
          <w:color w:val="1b1c1d"/>
          <w:sz w:val="20"/>
          <w:szCs w:val="20"/>
          <w:bdr w:val="none" w:sz="0" w:space="0" w:color="auto" w:frame="true"/>
        </w:rPr>
        <w:t xml:space="preserve">The mean ± SD ADP levels in EDTA (804.00±164.11 nmol/L) were significantly higher than ADP in lithium heparin (610.00±145.60 nmol/L), P </w:t>
      </w:r>
      <w:r>
        <w:rPr>
          <w:rFonts w:ascii="Arial" w:cs="Arial" w:eastAsia="Times New Roman" w:hAnsi="Arial"/>
          <w:color w:val="1b1c1d"/>
          <w:sz w:val="20"/>
          <w:szCs w:val="20"/>
          <w:bdr w:val="none" w:sz="0" w:space="0" w:color="auto" w:frame="true"/>
        </w:rPr>
        <w:t>&lt;</w:t>
      </w:r>
      <w:r>
        <w:rPr>
          <w:rFonts w:ascii="Arial" w:cs="Arial" w:eastAsia="Times New Roman" w:hAnsi="Arial"/>
          <w:color w:val="1b1c1d"/>
          <w:sz w:val="20"/>
          <w:szCs w:val="20"/>
          <w:bdr w:val="none" w:sz="0" w:space="0" w:color="auto" w:frame="true"/>
        </w:rPr>
        <w:t xml:space="preserve"> .00</w:t>
      </w:r>
      <w:r>
        <w:rPr>
          <w:rFonts w:ascii="Arial" w:cs="Arial" w:eastAsia="Times New Roman" w:hAnsi="Arial"/>
          <w:color w:val="1b1c1d"/>
          <w:sz w:val="20"/>
          <w:szCs w:val="20"/>
          <w:bdr w:val="none" w:sz="0" w:space="0" w:color="auto" w:frame="true"/>
        </w:rPr>
        <w:t>1</w:t>
      </w:r>
      <w:r>
        <w:rPr>
          <w:rFonts w:ascii="Arial" w:cs="Arial" w:eastAsia="Times New Roman" w:hAnsi="Arial"/>
          <w:color w:val="1b1c1d"/>
          <w:sz w:val="20"/>
          <w:szCs w:val="20"/>
          <w:bdr w:val="none" w:sz="0" w:space="0" w:color="auto" w:frame="true"/>
        </w:rPr>
        <w:t xml:space="preserve"> [Table 1]</w:t>
      </w:r>
      <w:r>
        <w:rPr>
          <w:rFonts w:ascii="Arial" w:cs="Arial" w:eastAsia="Times New Roman" w:hAnsi="Arial"/>
          <w:color w:val="1b1c1d"/>
          <w:sz w:val="20"/>
          <w:szCs w:val="20"/>
        </w:rPr>
        <w:t xml:space="preserve">. </w:t>
      </w:r>
      <w:r>
        <w:rPr>
          <w:rFonts w:ascii="Arial" w:cs="Arial" w:eastAsia="Times New Roman" w:hAnsi="Arial"/>
          <w:color w:val="1b1c1d"/>
          <w:sz w:val="20"/>
          <w:szCs w:val="20"/>
          <w:bdr w:val="none" w:sz="0" w:space="0" w:color="auto" w:frame="true"/>
        </w:rPr>
        <w:t xml:space="preserve">The mean ± SD of ATP values in EDTA and lithium heparin anticoagulant bottles were analyzed. The mean ± SD ATP levels in EDTA (846.19±94.54 nmol/L) were significantly higher than those in lithium heparin (589.61±61.93 nmol/L), P </w:t>
      </w:r>
      <w:r>
        <w:rPr>
          <w:rFonts w:ascii="Arial" w:cs="Arial" w:eastAsia="Times New Roman" w:hAnsi="Arial"/>
          <w:color w:val="1b1c1d"/>
          <w:sz w:val="20"/>
          <w:szCs w:val="20"/>
          <w:bdr w:val="none" w:sz="0" w:space="0" w:color="auto" w:frame="true"/>
        </w:rPr>
        <w:t>&lt;</w:t>
      </w:r>
      <w:r>
        <w:rPr>
          <w:rFonts w:ascii="Arial" w:cs="Arial" w:eastAsia="Times New Roman" w:hAnsi="Arial"/>
          <w:color w:val="1b1c1d"/>
          <w:sz w:val="20"/>
          <w:szCs w:val="20"/>
          <w:bdr w:val="none" w:sz="0" w:space="0" w:color="auto" w:frame="true"/>
        </w:rPr>
        <w:t xml:space="preserve"> .00</w:t>
      </w:r>
      <w:r>
        <w:rPr>
          <w:rFonts w:ascii="Arial" w:cs="Arial" w:eastAsia="Times New Roman" w:hAnsi="Arial"/>
          <w:color w:val="1b1c1d"/>
          <w:sz w:val="20"/>
          <w:szCs w:val="20"/>
          <w:bdr w:val="none" w:sz="0" w:space="0" w:color="auto" w:frame="true"/>
        </w:rPr>
        <w:t>1</w:t>
      </w:r>
      <w:r>
        <w:rPr>
          <w:rFonts w:ascii="Arial" w:cs="Arial" w:eastAsia="Times New Roman" w:hAnsi="Arial"/>
          <w:color w:val="1b1c1d"/>
          <w:sz w:val="20"/>
          <w:szCs w:val="20"/>
        </w:rPr>
        <w:t>.</w:t>
      </w:r>
      <w:r>
        <w:rPr>
          <w:rFonts w:ascii="Arial" w:cs="Arial" w:eastAsia="Times New Roman" w:hAnsi="Arial"/>
          <w:color w:val="1b1c1d"/>
          <w:sz w:val="20"/>
          <w:szCs w:val="20"/>
        </w:rPr>
        <w:t xml:space="preserve"> The highly significant p-value (p &lt; .001</w:t>
      </w:r>
      <w:r>
        <w:rPr>
          <w:rFonts w:ascii="Arial" w:cs="Arial" w:eastAsia="Times New Roman" w:hAnsi="Arial"/>
          <w:color w:val="1b1c1d"/>
          <w:sz w:val="20"/>
          <w:szCs w:val="20"/>
        </w:rPr>
        <w:t>) strongly indicates that those that these observed differences are not due to random chance, but rather represent a true and substantial impact of anticoagulant type on nucleotide stability.</w:t>
      </w:r>
    </w:p>
    <w:p>
      <w:pPr>
        <w:pStyle w:val="style0"/>
        <w:spacing w:before="100" w:beforeAutospacing="true" w:after="0" w:lineRule="auto" w:line="240"/>
        <w:jc w:val="both"/>
        <w:rPr>
          <w:rFonts w:ascii="Arial" w:cs="Arial" w:eastAsia="Times New Roman" w:hAnsi="Arial"/>
          <w:color w:val="1b1c1d"/>
          <w:sz w:val="20"/>
          <w:szCs w:val="20"/>
        </w:rPr>
      </w:pPr>
    </w:p>
    <w:p>
      <w:pPr>
        <w:pStyle w:val="style0"/>
        <w:shd w:val="clear" w:color="auto" w:fill="ffffff"/>
        <w:spacing w:lineRule="auto" w:line="480"/>
        <w:jc w:val="both"/>
        <w:rPr>
          <w:rFonts w:ascii="Arial" w:cs="Arial" w:eastAsia="Times New Roman" w:hAnsi="Arial"/>
          <w:b/>
        </w:rPr>
      </w:pPr>
      <w:r>
        <w:rPr>
          <w:rFonts w:ascii="Arial" w:cs="Arial" w:eastAsia="Times New Roman" w:hAnsi="Arial"/>
          <w:b/>
        </w:rPr>
        <w:t xml:space="preserve">Table </w:t>
      </w:r>
      <w:r>
        <w:rPr>
          <w:rFonts w:eastAsia="Times New Roman"/>
          <w:b/>
        </w:rPr>
        <w:t>1</w:t>
      </w:r>
      <w:r>
        <w:rPr>
          <w:rFonts w:ascii="Arial" w:cs="Arial" w:eastAsia="Times New Roman" w:hAnsi="Arial"/>
          <w:b/>
        </w:rPr>
        <w:t>: Mean ± Standard Deviation of ADP Levels in EDTA and Lithium Heparin Container.</w:t>
      </w:r>
    </w:p>
    <w:tbl>
      <w:tblPr>
        <w:tblW w:w="889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528"/>
        <w:gridCol w:w="2126"/>
        <w:gridCol w:w="2835"/>
        <w:gridCol w:w="1276"/>
        <w:gridCol w:w="1134"/>
      </w:tblGrid>
      <w:tr>
        <w:trPr/>
        <w:tc>
          <w:tcPr>
            <w:tcW w:w="1528" w:type="dxa"/>
            <w:tcBorders>
              <w:top w:val="single" w:sz="4" w:space="0" w:color="000000"/>
              <w:bottom w:val="single" w:sz="4" w:space="0" w:color="000000"/>
            </w:tcBorders>
          </w:tcPr>
          <w:p>
            <w:pPr>
              <w:pStyle w:val="style0"/>
              <w:spacing w:lineRule="auto" w:line="600"/>
              <w:jc w:val="both"/>
              <w:rPr>
                <w:rFonts w:ascii="Arial" w:cs="Arial" w:eastAsia="Times New Roman" w:hAnsi="Arial"/>
                <w:b/>
                <w:bCs/>
                <w:sz w:val="20"/>
                <w:szCs w:val="20"/>
              </w:rPr>
            </w:pPr>
            <w:r>
              <w:rPr>
                <w:rFonts w:ascii="Arial" w:cs="Arial" w:eastAsia="Times New Roman" w:hAnsi="Arial"/>
                <w:b/>
                <w:bCs/>
                <w:sz w:val="20"/>
                <w:szCs w:val="20"/>
              </w:rPr>
              <w:t>Parameter</w:t>
            </w:r>
          </w:p>
        </w:tc>
        <w:tc>
          <w:tcPr>
            <w:tcW w:w="2126" w:type="dxa"/>
            <w:tcBorders>
              <w:top w:val="single" w:sz="4" w:space="0" w:color="000000"/>
              <w:bottom w:val="single" w:sz="4" w:space="0" w:color="000000"/>
            </w:tcBorders>
          </w:tcPr>
          <w:p>
            <w:pPr>
              <w:pStyle w:val="style0"/>
              <w:spacing w:lineRule="auto" w:line="600"/>
              <w:jc w:val="both"/>
              <w:rPr>
                <w:rFonts w:ascii="Arial" w:cs="Arial" w:eastAsia="Times New Roman" w:hAnsi="Arial"/>
                <w:b/>
                <w:bCs/>
                <w:sz w:val="20"/>
                <w:szCs w:val="20"/>
              </w:rPr>
            </w:pPr>
            <w:r>
              <w:rPr>
                <w:rFonts w:ascii="Arial" w:cs="Arial" w:eastAsia="Times New Roman" w:hAnsi="Arial"/>
                <w:b/>
                <w:bCs/>
                <w:sz w:val="20"/>
                <w:szCs w:val="20"/>
              </w:rPr>
              <w:t xml:space="preserve">EDTA </w:t>
            </w:r>
          </w:p>
        </w:tc>
        <w:tc>
          <w:tcPr>
            <w:tcW w:w="2835" w:type="dxa"/>
            <w:tcBorders>
              <w:top w:val="single" w:sz="4" w:space="0" w:color="000000"/>
              <w:bottom w:val="single" w:sz="4" w:space="0" w:color="000000"/>
            </w:tcBorders>
          </w:tcPr>
          <w:p>
            <w:pPr>
              <w:pStyle w:val="style0"/>
              <w:spacing w:lineRule="auto" w:line="600"/>
              <w:jc w:val="both"/>
              <w:rPr>
                <w:rFonts w:ascii="Arial" w:cs="Arial" w:eastAsia="Times New Roman" w:hAnsi="Arial"/>
                <w:b/>
                <w:bCs/>
                <w:sz w:val="20"/>
                <w:szCs w:val="20"/>
              </w:rPr>
            </w:pPr>
            <w:r>
              <w:rPr>
                <w:rFonts w:ascii="Arial" w:cs="Arial" w:eastAsia="Times New Roman" w:hAnsi="Arial"/>
                <w:b/>
                <w:bCs/>
                <w:sz w:val="20"/>
                <w:szCs w:val="20"/>
              </w:rPr>
              <w:t xml:space="preserve"> Lithium Heparin     </w:t>
            </w:r>
          </w:p>
        </w:tc>
        <w:tc>
          <w:tcPr>
            <w:tcW w:w="1276" w:type="dxa"/>
            <w:tcBorders>
              <w:top w:val="single" w:sz="4" w:space="0" w:color="000000"/>
              <w:bottom w:val="single" w:sz="4" w:space="0" w:color="000000"/>
            </w:tcBorders>
          </w:tcPr>
          <w:p>
            <w:pPr>
              <w:pStyle w:val="style0"/>
              <w:spacing w:lineRule="auto" w:line="600"/>
              <w:jc w:val="both"/>
              <w:rPr>
                <w:rFonts w:ascii="Arial" w:cs="Arial" w:eastAsia="Times New Roman" w:hAnsi="Arial"/>
                <w:b/>
                <w:bCs/>
                <w:sz w:val="20"/>
                <w:szCs w:val="20"/>
              </w:rPr>
            </w:pPr>
            <w:r>
              <w:rPr>
                <w:rFonts w:ascii="Arial" w:cs="Arial" w:eastAsia="Times New Roman" w:hAnsi="Arial"/>
                <w:b/>
                <w:bCs/>
                <w:sz w:val="20"/>
                <w:szCs w:val="20"/>
              </w:rPr>
              <w:t xml:space="preserve">t-value         </w:t>
            </w:r>
          </w:p>
        </w:tc>
        <w:tc>
          <w:tcPr>
            <w:tcW w:w="1134" w:type="dxa"/>
            <w:tcBorders>
              <w:top w:val="single" w:sz="4" w:space="0" w:color="000000"/>
              <w:bottom w:val="single" w:sz="4" w:space="0" w:color="000000"/>
            </w:tcBorders>
          </w:tcPr>
          <w:p>
            <w:pPr>
              <w:pStyle w:val="style0"/>
              <w:spacing w:lineRule="auto" w:line="600"/>
              <w:jc w:val="both"/>
              <w:rPr>
                <w:rFonts w:ascii="Arial" w:cs="Arial" w:eastAsia="Times New Roman" w:hAnsi="Arial"/>
                <w:b/>
                <w:bCs/>
                <w:sz w:val="20"/>
                <w:szCs w:val="20"/>
              </w:rPr>
            </w:pPr>
            <w:r>
              <w:rPr>
                <w:rFonts w:ascii="Arial" w:cs="Arial" w:eastAsia="Times New Roman" w:hAnsi="Arial"/>
                <w:b/>
                <w:bCs/>
                <w:sz w:val="20"/>
                <w:szCs w:val="20"/>
              </w:rPr>
              <w:t>p- value</w:t>
            </w:r>
          </w:p>
        </w:tc>
      </w:tr>
      <w:tr>
        <w:tblPrEx/>
        <w:trPr/>
        <w:tc>
          <w:tcPr>
            <w:tcW w:w="1528" w:type="dxa"/>
            <w:tcBorders>
              <w:top w:val="single" w:sz="4" w:space="0" w:color="000000"/>
            </w:tcBorders>
          </w:tcPr>
          <w:p>
            <w:pPr>
              <w:pStyle w:val="style0"/>
              <w:spacing w:lineRule="auto" w:line="600"/>
              <w:rPr>
                <w:rFonts w:ascii="Arial" w:cs="Arial" w:eastAsia="Times New Roman" w:hAnsi="Arial"/>
                <w:sz w:val="20"/>
                <w:szCs w:val="20"/>
              </w:rPr>
            </w:pPr>
            <w:r>
              <w:rPr>
                <w:rFonts w:ascii="Arial" w:cs="Arial" w:eastAsia="Times New Roman" w:hAnsi="Arial"/>
                <w:sz w:val="20"/>
                <w:szCs w:val="20"/>
              </w:rPr>
              <w:t>ADP (nmol/L)</w:t>
            </w:r>
          </w:p>
        </w:tc>
        <w:tc>
          <w:tcPr>
            <w:tcW w:w="2126" w:type="dxa"/>
            <w:tcBorders>
              <w:top w:val="single" w:sz="4" w:space="0" w:color="000000"/>
            </w:tcBorders>
          </w:tcPr>
          <w:p>
            <w:pPr>
              <w:pStyle w:val="style0"/>
              <w:spacing w:lineRule="auto" w:line="600"/>
              <w:rPr>
                <w:rFonts w:ascii="Arial" w:cs="Arial" w:eastAsia="Times New Roman" w:hAnsi="Arial"/>
                <w:sz w:val="20"/>
                <w:szCs w:val="20"/>
              </w:rPr>
            </w:pPr>
            <w:r>
              <w:rPr>
                <w:rFonts w:ascii="Arial" w:cs="Arial" w:eastAsia="Times New Roman" w:hAnsi="Arial"/>
                <w:sz w:val="20"/>
                <w:szCs w:val="20"/>
              </w:rPr>
              <w:t>804.00 ± 164.105</w:t>
            </w:r>
          </w:p>
        </w:tc>
        <w:tc>
          <w:tcPr>
            <w:tcW w:w="2835" w:type="dxa"/>
            <w:tcBorders>
              <w:top w:val="single" w:sz="4" w:space="0" w:color="000000"/>
            </w:tcBorders>
          </w:tcPr>
          <w:p>
            <w:pPr>
              <w:pStyle w:val="style0"/>
              <w:spacing w:lineRule="auto" w:line="600"/>
              <w:rPr>
                <w:rFonts w:ascii="Arial" w:cs="Arial" w:eastAsia="Times New Roman" w:hAnsi="Arial"/>
                <w:sz w:val="20"/>
                <w:szCs w:val="20"/>
              </w:rPr>
            </w:pPr>
            <w:r>
              <w:rPr>
                <w:rFonts w:ascii="Arial" w:cs="Arial" w:eastAsia="Times New Roman" w:hAnsi="Arial"/>
                <w:sz w:val="20"/>
                <w:szCs w:val="20"/>
              </w:rPr>
              <w:t>610.00 ± 145.602</w:t>
            </w:r>
          </w:p>
        </w:tc>
        <w:tc>
          <w:tcPr>
            <w:tcW w:w="1276" w:type="dxa"/>
            <w:tcBorders>
              <w:top w:val="single" w:sz="4" w:space="0" w:color="000000"/>
            </w:tcBorders>
          </w:tcPr>
          <w:p>
            <w:pPr>
              <w:pStyle w:val="style0"/>
              <w:spacing w:lineRule="auto" w:line="600"/>
              <w:rPr>
                <w:rFonts w:ascii="Arial" w:cs="Arial" w:eastAsia="Times New Roman" w:hAnsi="Arial"/>
                <w:sz w:val="20"/>
                <w:szCs w:val="20"/>
              </w:rPr>
            </w:pPr>
            <w:r>
              <w:rPr>
                <w:rFonts w:ascii="Arial" w:cs="Arial" w:eastAsia="Times New Roman" w:hAnsi="Arial"/>
                <w:sz w:val="20"/>
                <w:szCs w:val="20"/>
              </w:rPr>
              <w:t>3.955</w:t>
            </w:r>
          </w:p>
        </w:tc>
        <w:tc>
          <w:tcPr>
            <w:tcW w:w="1134" w:type="dxa"/>
            <w:tcBorders>
              <w:top w:val="single" w:sz="4" w:space="0" w:color="000000"/>
            </w:tcBorders>
          </w:tcPr>
          <w:p>
            <w:pPr>
              <w:pStyle w:val="style0"/>
              <w:spacing w:lineRule="auto" w:line="600"/>
              <w:rPr>
                <w:rFonts w:ascii="Arial" w:cs="Arial" w:eastAsia="Times New Roman" w:hAnsi="Arial"/>
                <w:sz w:val="20"/>
                <w:szCs w:val="20"/>
              </w:rPr>
            </w:pPr>
            <w:r>
              <w:rPr>
                <w:rFonts w:ascii="Arial" w:cs="Arial" w:hAnsi="Arial"/>
                <w:sz w:val="20"/>
                <w:szCs w:val="20"/>
              </w:rPr>
              <w:t>&lt;</w:t>
            </w:r>
            <w:r>
              <w:rPr>
                <w:rFonts w:ascii="Arial" w:cs="Arial" w:hAnsi="Arial"/>
                <w:sz w:val="20"/>
                <w:szCs w:val="20"/>
              </w:rPr>
              <w:t>0.00</w:t>
            </w:r>
            <w:r>
              <w:rPr>
                <w:rFonts w:ascii="Arial" w:cs="Arial" w:hAnsi="Arial"/>
                <w:sz w:val="20"/>
                <w:szCs w:val="20"/>
              </w:rPr>
              <w:t>1</w:t>
            </w:r>
            <w:r>
              <w:rPr>
                <w:sz w:val="20"/>
                <w:szCs w:val="20"/>
              </w:rPr>
              <w:t>*</w:t>
            </w:r>
          </w:p>
        </w:tc>
      </w:tr>
    </w:tbl>
    <w:p>
      <w:pPr>
        <w:pStyle w:val="style0"/>
        <w:shd w:val="clear" w:color="auto" w:fill="ffffff"/>
        <w:spacing w:lineRule="auto" w:line="480"/>
        <w:jc w:val="both"/>
        <w:rPr>
          <w:rFonts w:ascii="Arial" w:cs="Arial" w:eastAsia="Times New Roman" w:hAnsi="Arial"/>
          <w:i/>
          <w:iCs/>
          <w:sz w:val="18"/>
          <w:szCs w:val="18"/>
        </w:rPr>
      </w:pPr>
      <w:r>
        <w:rPr>
          <w:rFonts w:ascii="Arial" w:cs="Arial" w:eastAsia="Times New Roman" w:hAnsi="Arial"/>
          <w:i/>
          <w:iCs/>
          <w:sz w:val="18"/>
          <w:szCs w:val="18"/>
        </w:rPr>
        <w:t>*Statistically significant p&lt;0.05</w:t>
      </w:r>
      <w:r>
        <w:rPr>
          <w:rFonts w:eastAsia="Times New Roman"/>
          <w:i/>
          <w:iCs/>
          <w:sz w:val="18"/>
          <w:szCs w:val="18"/>
        </w:rPr>
        <w:t xml:space="preserve">; </w:t>
      </w:r>
      <w:r>
        <w:rPr>
          <w:rFonts w:ascii="Arial" w:cs="Arial" w:eastAsia="Times New Roman" w:hAnsi="Arial"/>
          <w:i/>
          <w:iCs/>
          <w:sz w:val="18"/>
          <w:szCs w:val="18"/>
        </w:rPr>
        <w:t>ADP: Adenosine diphosphate (nmol/L)</w:t>
      </w:r>
      <w:r>
        <w:rPr>
          <w:rFonts w:ascii="Arial" w:cs="Arial" w:eastAsia="Times New Roman" w:hAnsi="Arial"/>
          <w:i/>
          <w:iCs/>
          <w:sz w:val="18"/>
          <w:szCs w:val="18"/>
        </w:rPr>
        <w:t xml:space="preserve">; </w:t>
      </w:r>
      <w:r>
        <w:rPr>
          <w:rFonts w:ascii="Arial" w:cs="Arial" w:eastAsia="Times New Roman" w:hAnsi="Arial"/>
          <w:i/>
          <w:iCs/>
          <w:sz w:val="18"/>
          <w:szCs w:val="18"/>
          <w:highlight w:val="yellow"/>
        </w:rPr>
        <w:t>t-test: Independent t-test</w:t>
      </w:r>
    </w:p>
    <w:p>
      <w:pPr>
        <w:pStyle w:val="style0"/>
        <w:spacing w:before="100" w:beforeAutospacing="true" w:after="0" w:lineRule="auto" w:line="240"/>
        <w:jc w:val="both"/>
        <w:rPr>
          <w:rFonts w:ascii="Arial" w:cs="Arial" w:eastAsia="Times New Roman" w:hAnsi="Arial"/>
          <w:color w:val="1b1c1d"/>
          <w:sz w:val="20"/>
          <w:szCs w:val="20"/>
        </w:rPr>
      </w:pP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The findings of this study</w:t>
      </w:r>
      <w:r>
        <w:rPr>
          <w:rFonts w:ascii="Arial" w:cs="Arial" w:eastAsia="Times New Roman" w:hAnsi="Arial"/>
          <w:color w:val="1b1c1d"/>
          <w:sz w:val="20"/>
          <w:szCs w:val="20"/>
          <w:bdr w:val="none" w:sz="0" w:space="0" w:color="auto" w:frame="true"/>
        </w:rPr>
        <w:t xml:space="preserve"> conclusively</w:t>
      </w:r>
      <w:r>
        <w:rPr>
          <w:rFonts w:ascii="Arial" w:cs="Arial" w:eastAsia="Times New Roman" w:hAnsi="Arial"/>
          <w:color w:val="1b1c1d"/>
          <w:sz w:val="20"/>
          <w:szCs w:val="20"/>
          <w:bdr w:val="none" w:sz="0" w:space="0" w:color="auto" w:frame="true"/>
        </w:rPr>
        <w:t xml:space="preserve"> indicate that ATP remain</w:t>
      </w:r>
      <w:r>
        <w:rPr>
          <w:rFonts w:ascii="Arial" w:cs="Arial" w:eastAsia="Times New Roman" w:hAnsi="Arial"/>
          <w:color w:val="1b1c1d"/>
          <w:sz w:val="20"/>
          <w:szCs w:val="20"/>
          <w:bdr w:val="none" w:sz="0" w:space="0" w:color="auto" w:frame="true"/>
        </w:rPr>
        <w:t>s significantly more</w:t>
      </w:r>
      <w:r>
        <w:rPr>
          <w:rFonts w:ascii="Arial" w:cs="Arial" w:eastAsia="Times New Roman" w:hAnsi="Arial"/>
          <w:color w:val="1b1c1d"/>
          <w:sz w:val="20"/>
          <w:szCs w:val="20"/>
          <w:bdr w:val="none" w:sz="0" w:space="0" w:color="auto" w:frame="true"/>
        </w:rPr>
        <w:t xml:space="preserve"> stable in EDTA compared to lithium heparin [Table 2]. This</w:t>
      </w:r>
      <w:r>
        <w:rPr>
          <w:rFonts w:ascii="Arial" w:cs="Arial" w:eastAsia="Times New Roman" w:hAnsi="Arial"/>
          <w:color w:val="1b1c1d"/>
          <w:sz w:val="20"/>
          <w:szCs w:val="20"/>
          <w:bdr w:val="none" w:sz="0" w:space="0" w:color="auto" w:frame="true"/>
        </w:rPr>
        <w:t xml:space="preserve"> superior preservation</w:t>
      </w:r>
      <w:r>
        <w:rPr>
          <w:rFonts w:ascii="Arial" w:cs="Arial" w:eastAsia="Times New Roman" w:hAnsi="Arial"/>
          <w:color w:val="1b1c1d"/>
          <w:sz w:val="20"/>
          <w:szCs w:val="20"/>
          <w:bdr w:val="none" w:sz="0" w:space="0" w:color="auto" w:frame="true"/>
        </w:rPr>
        <w:t xml:space="preserve"> observ</w:t>
      </w:r>
      <w:r>
        <w:rPr>
          <w:rFonts w:ascii="Arial" w:cs="Arial" w:eastAsia="Times New Roman" w:hAnsi="Arial"/>
          <w:color w:val="1b1c1d"/>
          <w:sz w:val="20"/>
          <w:szCs w:val="20"/>
          <w:bdr w:val="none" w:sz="0" w:space="0" w:color="auto" w:frame="true"/>
        </w:rPr>
        <w:t>ed with EDTA</w:t>
      </w:r>
      <w:r>
        <w:rPr>
          <w:rFonts w:ascii="Arial" w:cs="Arial" w:eastAsia="Times New Roman" w:hAnsi="Arial"/>
          <w:color w:val="1b1c1d"/>
          <w:sz w:val="20"/>
          <w:szCs w:val="20"/>
          <w:bdr w:val="none" w:sz="0" w:space="0" w:color="auto" w:frame="true"/>
        </w:rPr>
        <w:t xml:space="preserve"> can be attributed to EDTA’s strong calcium-chelating properties, which effectively inhibit platelet activation and metabolic enzyme activity. Calcium plays a vital role in various enzymatic reactions, including ATP hydrolysis, which leads to the breakdown of ATP into ADP and inorganic phosphate. By binding to calcium ions, EDTA </w:t>
      </w:r>
      <w:r>
        <w:rPr>
          <w:rFonts w:ascii="Arial" w:cs="Arial" w:eastAsia="Times New Roman" w:hAnsi="Arial"/>
          <w:color w:val="1b1c1d"/>
          <w:sz w:val="20"/>
          <w:szCs w:val="20"/>
          <w:bdr w:val="none" w:sz="0" w:space="0" w:color="auto" w:frame="true"/>
        </w:rPr>
        <w:t xml:space="preserve">prevents these calcium-dependent processes, thereby preserving ATP levels. ATP and ADP play pivotal roles in cellular metabolism and energy transfer, with ADP serving as a critical agonist in platelet activation and aggregation [7][8][9]. </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p>
    <w:p>
      <w:pPr>
        <w:pStyle w:val="style0"/>
        <w:shd w:val="clear" w:color="auto" w:fill="ffffff"/>
        <w:spacing w:lineRule="auto" w:line="480"/>
        <w:jc w:val="both"/>
        <w:rPr>
          <w:rFonts w:ascii="Arial" w:cs="Arial" w:eastAsia="Times New Roman" w:hAnsi="Arial"/>
          <w:b/>
        </w:rPr>
      </w:pPr>
      <w:r>
        <w:rPr>
          <w:rFonts w:ascii="Arial" w:cs="Arial" w:eastAsia="Times New Roman" w:hAnsi="Arial"/>
          <w:b/>
        </w:rPr>
        <w:t xml:space="preserve">Table </w:t>
      </w:r>
      <w:r>
        <w:rPr>
          <w:rFonts w:eastAsia="Times New Roman"/>
          <w:b/>
        </w:rPr>
        <w:t>2</w:t>
      </w:r>
      <w:r>
        <w:rPr>
          <w:rFonts w:ascii="Arial" w:cs="Arial" w:eastAsia="Times New Roman" w:hAnsi="Arial"/>
          <w:b/>
        </w:rPr>
        <w:t>: Mean ± Standard Deviation of ATP Levels in EDTA and Lithium Heparin Container.</w:t>
      </w:r>
    </w:p>
    <w:tbl>
      <w:tblPr>
        <w:tblW w:w="835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44"/>
        <w:gridCol w:w="2056"/>
        <w:gridCol w:w="2329"/>
        <w:gridCol w:w="1233"/>
        <w:gridCol w:w="1096"/>
      </w:tblGrid>
      <w:tr>
        <w:trPr>
          <w:trHeight w:val="935" w:hRule="atLeast"/>
        </w:trPr>
        <w:tc>
          <w:tcPr>
            <w:tcW w:w="1644" w:type="dxa"/>
            <w:tcBorders>
              <w:top w:val="single" w:sz="4" w:space="0" w:color="000000"/>
              <w:bottom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Parameter</w:t>
            </w:r>
          </w:p>
        </w:tc>
        <w:tc>
          <w:tcPr>
            <w:tcW w:w="2056" w:type="dxa"/>
            <w:tcBorders>
              <w:top w:val="single" w:sz="4" w:space="0" w:color="000000"/>
              <w:bottom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 xml:space="preserve">EDTA </w:t>
            </w:r>
          </w:p>
        </w:tc>
        <w:tc>
          <w:tcPr>
            <w:tcW w:w="2329" w:type="dxa"/>
            <w:tcBorders>
              <w:top w:val="single" w:sz="4" w:space="0" w:color="000000"/>
              <w:bottom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 xml:space="preserve"> Lithium Heparin    </w:t>
            </w:r>
          </w:p>
        </w:tc>
        <w:tc>
          <w:tcPr>
            <w:tcW w:w="1233" w:type="dxa"/>
            <w:tcBorders>
              <w:top w:val="single" w:sz="4" w:space="0" w:color="000000"/>
              <w:bottom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 xml:space="preserve">t-value         </w:t>
            </w:r>
          </w:p>
        </w:tc>
        <w:tc>
          <w:tcPr>
            <w:tcW w:w="1096" w:type="dxa"/>
            <w:tcBorders>
              <w:top w:val="single" w:sz="4" w:space="0" w:color="000000"/>
              <w:bottom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p- value</w:t>
            </w:r>
          </w:p>
        </w:tc>
      </w:tr>
      <w:tr>
        <w:tblPrEx/>
        <w:trPr>
          <w:trHeight w:val="916" w:hRule="atLeast"/>
        </w:trPr>
        <w:tc>
          <w:tcPr>
            <w:tcW w:w="1644" w:type="dxa"/>
            <w:tcBorders>
              <w:top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ATP</w:t>
            </w:r>
            <w:r>
              <w:rPr>
                <w:rFonts w:eastAsia="Times New Roman"/>
                <w:sz w:val="20"/>
                <w:szCs w:val="20"/>
              </w:rPr>
              <w:t xml:space="preserve"> </w:t>
            </w:r>
            <w:r>
              <w:rPr>
                <w:rFonts w:ascii="Arial" w:cs="Arial" w:eastAsia="Times New Roman" w:hAnsi="Arial"/>
                <w:sz w:val="20"/>
                <w:szCs w:val="20"/>
              </w:rPr>
              <w:t>(nmol/L)</w:t>
            </w:r>
          </w:p>
        </w:tc>
        <w:tc>
          <w:tcPr>
            <w:tcW w:w="2056" w:type="dxa"/>
            <w:tcBorders>
              <w:top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846.19 ± 94.537</w:t>
            </w:r>
          </w:p>
        </w:tc>
        <w:tc>
          <w:tcPr>
            <w:tcW w:w="2329" w:type="dxa"/>
            <w:tcBorders>
              <w:top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 xml:space="preserve">589.612 ± 61.925       </w:t>
            </w:r>
          </w:p>
        </w:tc>
        <w:tc>
          <w:tcPr>
            <w:tcW w:w="1233" w:type="dxa"/>
            <w:tcBorders>
              <w:top w:val="single" w:sz="4" w:space="0" w:color="000000"/>
            </w:tcBorders>
          </w:tcPr>
          <w:p>
            <w:pPr>
              <w:pStyle w:val="style0"/>
              <w:spacing w:lineRule="auto" w:line="600"/>
              <w:jc w:val="both"/>
              <w:rPr>
                <w:rFonts w:ascii="Arial" w:cs="Arial" w:eastAsia="Times New Roman" w:hAnsi="Arial"/>
                <w:sz w:val="20"/>
                <w:szCs w:val="20"/>
              </w:rPr>
            </w:pPr>
            <w:r>
              <w:rPr>
                <w:rFonts w:ascii="Arial" w:cs="Arial" w:eastAsia="Times New Roman" w:hAnsi="Arial"/>
                <w:sz w:val="20"/>
                <w:szCs w:val="20"/>
              </w:rPr>
              <w:t xml:space="preserve">10.153   </w:t>
            </w:r>
          </w:p>
        </w:tc>
        <w:tc>
          <w:tcPr>
            <w:tcW w:w="1096" w:type="dxa"/>
            <w:tcBorders>
              <w:top w:val="single" w:sz="4" w:space="0" w:color="000000"/>
            </w:tcBorders>
          </w:tcPr>
          <w:p>
            <w:pPr>
              <w:pStyle w:val="style0"/>
              <w:spacing w:lineRule="auto" w:line="600"/>
              <w:jc w:val="both"/>
              <w:rPr>
                <w:rFonts w:ascii="Arial" w:cs="Arial" w:eastAsia="Times New Roman" w:hAnsi="Arial"/>
                <w:sz w:val="20"/>
                <w:szCs w:val="20"/>
              </w:rPr>
            </w:pPr>
            <w:r>
              <w:rPr>
                <w:rFonts w:ascii="Arial" w:cs="Arial" w:hAnsi="Arial"/>
                <w:sz w:val="20"/>
                <w:szCs w:val="20"/>
              </w:rPr>
              <w:t>&lt;</w:t>
            </w:r>
            <w:r>
              <w:rPr>
                <w:rFonts w:ascii="Arial" w:cs="Arial" w:hAnsi="Arial"/>
                <w:sz w:val="20"/>
                <w:szCs w:val="20"/>
              </w:rPr>
              <w:t>0.00</w:t>
            </w:r>
            <w:r>
              <w:rPr>
                <w:rFonts w:ascii="Arial" w:cs="Arial" w:hAnsi="Arial"/>
                <w:sz w:val="20"/>
                <w:szCs w:val="20"/>
              </w:rPr>
              <w:t>1</w:t>
            </w:r>
          </w:p>
        </w:tc>
      </w:tr>
    </w:tbl>
    <w:p>
      <w:pPr>
        <w:pStyle w:val="style0"/>
        <w:shd w:val="clear" w:color="auto" w:fill="ffffff"/>
        <w:spacing w:lineRule="auto" w:line="480"/>
        <w:jc w:val="both"/>
        <w:rPr>
          <w:rFonts w:eastAsia="Times New Roman"/>
          <w:i/>
          <w:iCs/>
          <w:sz w:val="18"/>
          <w:szCs w:val="18"/>
        </w:rPr>
      </w:pPr>
      <w:r>
        <w:rPr>
          <w:rFonts w:ascii="Arial" w:cs="Arial" w:eastAsia="Times New Roman" w:hAnsi="Arial"/>
          <w:i/>
          <w:iCs/>
          <w:sz w:val="18"/>
          <w:szCs w:val="18"/>
        </w:rPr>
        <w:t>*Statistically significant p&lt;0.05</w:t>
      </w:r>
      <w:r>
        <w:rPr>
          <w:rFonts w:eastAsia="Times New Roman"/>
          <w:i/>
          <w:iCs/>
          <w:sz w:val="18"/>
          <w:szCs w:val="18"/>
        </w:rPr>
        <w:t xml:space="preserve">; </w:t>
      </w:r>
      <w:r>
        <w:rPr>
          <w:rFonts w:ascii="Arial" w:cs="Arial" w:eastAsia="Times New Roman" w:hAnsi="Arial"/>
          <w:i/>
          <w:iCs/>
          <w:sz w:val="18"/>
          <w:szCs w:val="18"/>
        </w:rPr>
        <w:t>ATP: Adenosine triphosphate (nmol/L)</w:t>
      </w:r>
      <w:r>
        <w:rPr>
          <w:rFonts w:eastAsia="Times New Roman"/>
          <w:i/>
          <w:iCs/>
          <w:sz w:val="18"/>
          <w:szCs w:val="18"/>
        </w:rPr>
        <w:t>; EDTA: Ethylene diamine tetra acetic acid</w:t>
      </w:r>
      <w:r>
        <w:rPr>
          <w:rFonts w:eastAsia="Times New Roman"/>
          <w:i/>
          <w:iCs/>
          <w:sz w:val="18"/>
          <w:szCs w:val="18"/>
        </w:rPr>
        <w:t xml:space="preserve">; </w:t>
      </w:r>
      <w:r>
        <w:rPr>
          <w:rFonts w:ascii="Arial" w:cs="Arial" w:eastAsia="Times New Roman" w:hAnsi="Arial"/>
          <w:i/>
          <w:iCs/>
          <w:sz w:val="18"/>
          <w:szCs w:val="18"/>
        </w:rPr>
        <w:t>t-test: Independent t-test</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 xml:space="preserve">Their accurate measurement in blood samples is essential for various diagnostic and research applications. In contrast, lithium heparin primarily inhibits thrombin but does not chelate calcium, allowing some degree of platelet activation, which may lead to nucleotide consumption or degradation over time [10]. Hence, the lower levels of ATP observed in the samples preserved in lithium heparin are due to the continuous occurrence of calcium-dependent processes which result in the breakdown of ATP. Since it does not fully prevent calcium-dependent metabolic reactions, residual enzymatic activity may continue, leading to ATP hydrolysis. This explains why ATP levels were lower in lithium heparin samples compared to EDTA-stabilized samples. The presence of active platelets in lithium heparin samples can also contribute to ATP depletion, as activated platelets consume ATP during aggregation and secretion processes. The mechanism of ATP hydrolysis further explains these differences. According to Dittrich [11], ATP breakdown is facilitated by ATPases, which hydrolyze ATP into ADP and inorganic phosphate. This process is essential for various physiological functions but can lead to unwanted ATP degradation in stored blood samples. Since calcium is a key regulator of ATPase activity, the presence of free calcium in lithium heparin samples likely accelerates ATP breakdown, whereas EDTA inhibits this process by chelating calcium. </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 xml:space="preserve">This study also suggests that ADP as a byproduct of ATP, also exhibited greater stability in EDTA compared to lithium heparin. Adenosine diphosphate (ADP) plays a crucial role in platelet activation and aggregation, which are essential steps in blood clot formation (hemostasis). When blood vessels are damaged, subendothelial collagen and tissue factor are exposed, triggering platelet adhesion and activation. Upon activation, platelets undergo a shape change and release their stored contents, including ADP, from their dense granules into the surrounding plasma. This released ADP acts as a potent signaling molecule that further amplifies platelet activation by binding to specific ADP receptors on the platelet surface. Since ADP plays a crucial role in platelet activation and aggregation, its levels in blood samples are highly dependent on platelet integrity and activation status. The inhibition of platelet activation by EDTA likely prevents unnecessary ADP release, maintaining higher ADP stability in these samples. Conversely, lithium heparin allows some degree of platelet activation due to the presence of unchelated calcium. Platelet activation triggers the secretion of dense granules containing ADP, which subsequently amplifies the activation process and promotes further ADP consumption [12]. This may explain why ADP levels were lower in lithium heparin samples compared to EDTA-stabilized samples. Additionally, ADP breakdown is facilitated by ectonucleotidases such as CD39, which convert ADP to AMP and adenosine. The activity of these enzymes is influenced by calcium availability, meaning that their action is likely more pronounced in lithium </w:t>
      </w:r>
      <w:r>
        <w:rPr>
          <w:rFonts w:ascii="Arial" w:cs="Arial" w:eastAsia="Times New Roman" w:hAnsi="Arial"/>
          <w:color w:val="1b1c1d"/>
          <w:sz w:val="20"/>
          <w:szCs w:val="20"/>
          <w:bdr w:val="none" w:sz="0" w:space="0" w:color="auto" w:frame="true"/>
        </w:rPr>
        <w:t xml:space="preserve">heparin samples than in EDTA-treated samples [13][14]. This enzymatic degradation contributes to the lower ADP levels observed in lithium heparin samples. </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 xml:space="preserve">The choice of anticoagulant can significantly affect platelet activation status, thus impacting ATP and ADP levels. The results of this study reveal that EDTA prevents platelet activation more effectively than lithium heparin, leading to higher ATP and ADP stability. EDTA functions by chelating calcium ions, which are necessary for platelet aggregation and activation. Without calcium, platelet activation pathways are inhibited, reducing the release and subsequent breakdown of ATP and ADP. On the other hand, lithium heparin, while effective in preventing clot formation by inhibiting thrombin and factor Xa as suggested </w:t>
      </w:r>
      <w:r>
        <w:rPr>
          <w:rFonts w:ascii="Arial" w:cs="Arial" w:eastAsia="Times New Roman" w:hAnsi="Arial"/>
          <w:color w:val="1b1c1d"/>
          <w:sz w:val="20"/>
          <w:szCs w:val="20"/>
          <w:bdr w:val="none" w:sz="0" w:space="0" w:color="auto" w:frame="true"/>
        </w:rPr>
        <w:t>by, does</w:t>
      </w:r>
      <w:r>
        <w:rPr>
          <w:rFonts w:ascii="Arial" w:cs="Arial" w:eastAsia="Times New Roman" w:hAnsi="Arial"/>
          <w:color w:val="1b1c1d"/>
          <w:sz w:val="20"/>
          <w:szCs w:val="20"/>
          <w:bdr w:val="none" w:sz="0" w:space="0" w:color="auto" w:frame="true"/>
        </w:rPr>
        <w:t xml:space="preserve"> not completely prevent platelet </w:t>
      </w:r>
      <w:r>
        <w:rPr>
          <w:rFonts w:ascii="Arial" w:cs="Arial" w:eastAsia="Times New Roman" w:hAnsi="Arial"/>
          <w:color w:val="1b1c1d"/>
          <w:sz w:val="20"/>
          <w:szCs w:val="20"/>
          <w:highlight w:val="yellow"/>
          <w:bdr w:val="none" w:sz="0" w:space="0" w:color="auto" w:frame="true"/>
        </w:rPr>
        <w:t>activation</w:t>
      </w:r>
      <w:r>
        <w:rPr>
          <w:rFonts w:ascii="Arial" w:cs="Arial" w:eastAsia="Times New Roman" w:hAnsi="Arial"/>
          <w:color w:val="1b1c1d"/>
          <w:sz w:val="20"/>
          <w:szCs w:val="20"/>
          <w:highlight w:val="yellow"/>
          <w:bdr w:val="none" w:sz="0" w:space="0" w:color="auto" w:frame="true"/>
        </w:rPr>
        <w:t xml:space="preserve"> </w:t>
      </w:r>
      <w:r>
        <w:rPr>
          <w:rFonts w:ascii="Arial" w:cs="Arial" w:eastAsia="Times New Roman" w:hAnsi="Arial"/>
          <w:color w:val="1b1c1d"/>
          <w:sz w:val="20"/>
          <w:szCs w:val="20"/>
          <w:highlight w:val="yellow"/>
          <w:bdr w:val="none" w:sz="0" w:space="0" w:color="auto" w:frame="true"/>
        </w:rPr>
        <w:t>[15]</w:t>
      </w:r>
      <w:r>
        <w:rPr>
          <w:rFonts w:ascii="Arial" w:cs="Arial" w:eastAsia="Times New Roman" w:hAnsi="Arial"/>
          <w:color w:val="1b1c1d"/>
          <w:sz w:val="20"/>
          <w:szCs w:val="20"/>
          <w:highlight w:val="yellow"/>
          <w:bdr w:val="none" w:sz="0" w:space="0" w:color="auto" w:frame="true"/>
        </w:rPr>
        <w:t>.</w:t>
      </w:r>
      <w:r>
        <w:rPr>
          <w:rFonts w:ascii="Arial" w:cs="Arial" w:eastAsia="Times New Roman" w:hAnsi="Arial"/>
          <w:color w:val="1b1c1d"/>
          <w:sz w:val="20"/>
          <w:szCs w:val="20"/>
          <w:bdr w:val="none" w:sz="0" w:space="0" w:color="auto" w:frame="true"/>
        </w:rPr>
        <w:t xml:space="preserve"> The residual platelet activity in heparinized blood samples could explain the lower ATP and ADP concentrations observed in this study. Lithium heparinized samples may undergo ongoing metabolic processes due to the presence of functional calcium ions, leading to continued ATP hydrolysis [16]. </w:t>
      </w:r>
    </w:p>
    <w:p>
      <w:pPr>
        <w:pStyle w:val="style0"/>
        <w:spacing w:before="100" w:beforeAutospacing="true" w:after="0" w:lineRule="auto" w:line="240"/>
        <w:jc w:val="both"/>
        <w:rPr>
          <w:rFonts w:ascii="Arial" w:cs="Arial" w:eastAsia="Times New Roman" w:hAnsi="Arial"/>
          <w:color w:val="1b1c1d"/>
          <w:sz w:val="20"/>
          <w:szCs w:val="20"/>
        </w:rPr>
      </w:pPr>
      <w:r>
        <w:rPr>
          <w:rFonts w:ascii="Arial" w:cs="Arial" w:eastAsia="Times New Roman" w:hAnsi="Arial"/>
          <w:color w:val="1b1c1d"/>
          <w:sz w:val="20"/>
          <w:szCs w:val="20"/>
          <w:bdr w:val="none" w:sz="0" w:space="0" w:color="auto" w:frame="true"/>
        </w:rPr>
        <w:t>This suggests that blood samples collected in lithium heparin tubes may be less suitable for studies requiring stable ATP and ADP measurements, particularly those focused on platelet function or energy metabolism. The results of this study emphasizes that EDTA provides a more controlled environment for ATP and ADP analysis. However, the rapid processing of blood samples is also essential to minimize degradation, as enzymatic activity continues even in the presence of anticoagulants. The differences in ATP and ADP levels between EDTA and lithium heparin tubes have important implications for clinical and research applications. In clinical diagnostics, ATP and ADP measurements are essential for evaluating platelet function, especially in disorders of platelet dense granule secretion [17]. The findings of this study suggest that EDTA is preferred over lithium heparin for assays requiring stable ATP and ADP levels, particularly in platelet function tests and biochemical studies involving nucleotide analysis.</w:t>
      </w:r>
    </w:p>
    <w:p>
      <w:pPr>
        <w:pStyle w:val="style0"/>
        <w:spacing w:before="100" w:beforeAutospacing="true" w:after="0" w:lineRule="auto" w:line="240"/>
        <w:jc w:val="both"/>
        <w:rPr>
          <w:rFonts w:ascii="Arial" w:cs="Arial" w:eastAsia="Times New Roman" w:hAnsi="Arial"/>
          <w:b/>
          <w:bCs/>
          <w:color w:val="1b1c1d"/>
          <w:bdr w:val="none" w:sz="0" w:space="0" w:color="auto" w:frame="true"/>
        </w:rPr>
      </w:pPr>
      <w:r>
        <w:rPr>
          <w:rFonts w:ascii="Arial" w:cs="Arial" w:eastAsia="Times New Roman" w:hAnsi="Arial"/>
          <w:b/>
          <w:bCs/>
          <w:color w:val="1b1c1d"/>
          <w:bdr w:val="none" w:sz="0" w:space="0" w:color="auto" w:frame="true"/>
        </w:rPr>
        <w:t>CONCLUSION</w:t>
      </w:r>
    </w:p>
    <w:p>
      <w:pPr>
        <w:pStyle w:val="style0"/>
        <w:spacing w:before="100" w:beforeAutospacing="true" w:after="0" w:lineRule="auto" w:line="240"/>
        <w:jc w:val="both"/>
        <w:rPr>
          <w:rFonts w:ascii="Arial" w:cs="Arial" w:eastAsia="Times New Roman" w:hAnsi="Arial"/>
          <w:color w:val="1b1c1d"/>
          <w:sz w:val="20"/>
          <w:szCs w:val="20"/>
          <w:bdr w:val="none" w:sz="0" w:space="0" w:color="auto" w:frame="true"/>
        </w:rPr>
      </w:pPr>
      <w:r>
        <w:rPr>
          <w:rFonts w:ascii="Arial" w:cs="Arial" w:eastAsia="Times New Roman" w:hAnsi="Arial"/>
          <w:color w:val="1b1c1d"/>
          <w:sz w:val="20"/>
          <w:szCs w:val="20"/>
          <w:bdr w:val="none" w:sz="0" w:space="0" w:color="auto" w:frame="true"/>
        </w:rPr>
        <w:t xml:space="preserve">This study demonstrated that EDTA provides superior preservation of ATP and ADP levels in blood samples compared to lithium heparin, likely due to its calcium-chelating properties that inhibit platelet activation and nucleotide degradation. The significant differences observed highlight the importance of anticoagulant selection in biochemical and clinical analyses. These findings support the use of EDTA for studies requiring stable ATP and ADP measurements. </w:t>
      </w:r>
    </w:p>
    <w:p>
      <w:pPr>
        <w:pStyle w:val="style0"/>
        <w:spacing w:before="100" w:beforeAutospacing="true" w:after="0" w:lineRule="auto" w:line="240"/>
        <w:jc w:val="both"/>
        <w:rPr>
          <w:rFonts w:ascii="Arial" w:cs="Arial" w:eastAsia="Times New Roman" w:hAnsi="Arial"/>
          <w:b/>
          <w:bCs/>
          <w:color w:val="1b1c1d"/>
          <w:bdr w:val="none" w:sz="0" w:space="0" w:color="auto" w:frame="true"/>
        </w:rPr>
      </w:pPr>
    </w:p>
    <w:p>
      <w:pPr>
        <w:pStyle w:val="style0"/>
        <w:spacing w:before="100" w:beforeAutospacing="true" w:after="0" w:lineRule="auto" w:line="240"/>
        <w:jc w:val="both"/>
        <w:rPr>
          <w:rFonts w:ascii="Arial" w:cs="Arial" w:eastAsia="Times New Roman" w:hAnsi="Arial"/>
          <w:color w:val="1b1c1d"/>
        </w:rPr>
      </w:pPr>
      <w:r>
        <w:rPr>
          <w:rFonts w:ascii="Arial" w:cs="Arial" w:eastAsia="Times New Roman" w:hAnsi="Arial"/>
          <w:b/>
          <w:bCs/>
          <w:color w:val="1b1c1d"/>
          <w:bdr w:val="none" w:sz="0" w:space="0" w:color="auto" w:frame="true"/>
        </w:rPr>
        <w:t>CONSENT</w:t>
      </w:r>
    </w:p>
    <w:p>
      <w:pPr>
        <w:pStyle w:val="style0"/>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All authors declare that written informed consent was obtained from the participants for publication of this case report and accompanying images. </w:t>
      </w:r>
      <w:r>
        <w:rPr>
          <w:rFonts w:ascii="Arial" w:cs="Arial" w:eastAsia="Times New Roman" w:hAnsi="Arial"/>
          <w:color w:val="1b1c1d"/>
          <w:bdr w:val="none" w:sz="0" w:space="0" w:color="auto" w:frame="true"/>
        </w:rPr>
        <w:t>A copy of the written consent is available for review by the Editorial office/Chief Editor/Editorial Board members of this journal.</w:t>
      </w:r>
    </w:p>
    <w:p>
      <w:pPr>
        <w:pStyle w:val="style0"/>
        <w:spacing w:before="100" w:beforeAutospacing="true" w:after="0" w:lineRule="auto" w:line="240"/>
        <w:jc w:val="both"/>
        <w:rPr>
          <w:rFonts w:ascii="Arial" w:cs="Arial" w:eastAsia="Times New Roman" w:hAnsi="Arial"/>
          <w:color w:val="1b1c1d"/>
        </w:rPr>
      </w:pPr>
      <w:r>
        <w:rPr>
          <w:rFonts w:ascii="Arial" w:cs="Arial" w:eastAsia="Times New Roman" w:hAnsi="Arial"/>
          <w:b/>
          <w:bCs/>
          <w:color w:val="1b1c1d"/>
          <w:bdr w:val="none" w:sz="0" w:space="0" w:color="auto" w:frame="true"/>
        </w:rPr>
        <w:t>ETHICAL APPROVAL (wherever applicable)</w:t>
      </w:r>
    </w:p>
    <w:p>
      <w:pPr>
        <w:pStyle w:val="style0"/>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color w:val="1b1c1d"/>
          <w:bdr w:val="none" w:sz="0" w:space="0" w:color="auto" w:frame="true"/>
        </w:rPr>
        <w:t>All authors hereby declare that all experiments have been examined and approved by the appropriate ethics committee and have therefore been performed in accordance with the ethical standards laid down in the 1964 Declaration of Helsinki.</w:t>
      </w:r>
    </w:p>
    <w:p>
      <w:pPr>
        <w:pStyle w:val="style0"/>
        <w:spacing w:before="100" w:beforeAutospacing="true" w:after="0" w:lineRule="auto" w:line="240"/>
        <w:jc w:val="both"/>
        <w:rPr>
          <w:rFonts w:ascii="Arial" w:cs="Arial" w:eastAsia="Times New Roman" w:hAnsi="Arial"/>
          <w:color w:val="1b1c1d"/>
        </w:rPr>
      </w:pPr>
    </w:p>
    <w:bookmarkStart w:id="0" w:name="_Hlk204003461"/>
    <w:p>
      <w:pPr>
        <w:pStyle w:val="style0"/>
        <w:rPr>
          <w:rFonts w:cs="Times New Roman"/>
          <w:kern w:val="2"/>
          <w:highlight w:val="yellow"/>
        </w:rPr>
      </w:pPr>
      <w:r>
        <w:rPr>
          <w:rFonts w:cs="Times New Roman"/>
          <w:kern w:val="2"/>
          <w:highlight w:val="yellow"/>
        </w:rPr>
        <w:t>Disclaimer (Artificial intelligence)</w:t>
      </w:r>
    </w:p>
    <w:p>
      <w:pPr>
        <w:pStyle w:val="style0"/>
        <w:rPr>
          <w:rFonts w:cs="Times New Roman"/>
          <w:kern w:val="2"/>
          <w:highlight w:val="yellow"/>
        </w:rPr>
      </w:pPr>
      <w:r>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bookmarkEnd w:id="0"/>
    </w:p>
    <w:p>
      <w:pPr>
        <w:pStyle w:val="style0"/>
        <w:spacing w:before="100" w:beforeAutospacing="true" w:after="0" w:lineRule="auto" w:line="240"/>
        <w:jc w:val="both"/>
        <w:rPr>
          <w:rFonts w:ascii="Arial" w:cs="Arial" w:eastAsia="Times New Roman" w:hAnsi="Arial"/>
          <w:color w:val="1b1c1d"/>
        </w:rPr>
      </w:pPr>
      <w:r>
        <w:rPr>
          <w:rFonts w:ascii="Arial" w:cs="Arial" w:eastAsia="Times New Roman" w:hAnsi="Arial"/>
          <w:b/>
          <w:bCs/>
          <w:color w:val="1b1c1d"/>
          <w:bdr w:val="none" w:sz="0" w:space="0" w:color="auto" w:frame="true"/>
        </w:rPr>
        <w:t>REFERENCES</w:t>
      </w:r>
    </w:p>
    <w:bookmarkStart w:id="1" w:name="_Hlk204580887"/>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Orsi, W. D. (2023). A rapid method for measuring ATP + ADP + AMP in marine sediment. </w:t>
      </w:r>
      <w:r>
        <w:rPr>
          <w:rFonts w:ascii="Arial" w:cs="Arial" w:eastAsia="Times New Roman" w:hAnsi="Arial"/>
          <w:i/>
          <w:iCs/>
          <w:color w:val="1b1c1d"/>
          <w:bdr w:val="none" w:sz="0" w:space="0" w:color="auto" w:frame="true"/>
        </w:rPr>
        <w:t>Environmental Microbiology</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25</w:t>
      </w:r>
      <w:r>
        <w:rPr>
          <w:rFonts w:ascii="Arial" w:cs="Arial" w:eastAsia="Times New Roman" w:hAnsi="Arial"/>
          <w:color w:val="1b1c1d"/>
          <w:bdr w:val="none" w:sz="0" w:space="0" w:color="auto" w:frame="true"/>
        </w:rPr>
        <w:t>(8), 1549–1558</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Dunn, J., &amp; Grider, M. H. (2023). Physiology, Adenosine Triphosphate. PubMed; StatPearlsPublishing. https://www.ncbi.nlm.nih.gov/books/NBK553175/. Accessed January 18, 2025102.</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Alberts, B., Johnson, A., Lewis, J., Raff, M., Roberts, K., &amp; Walter, P. (2014). </w:t>
      </w:r>
      <w:r>
        <w:rPr>
          <w:rFonts w:ascii="Arial" w:cs="Arial" w:eastAsia="Times New Roman" w:hAnsi="Arial"/>
          <w:i/>
          <w:iCs/>
          <w:color w:val="1b1c1d"/>
          <w:bdr w:val="none" w:sz="0" w:space="0" w:color="auto" w:frame="true"/>
        </w:rPr>
        <w:t>Molecular biology of the cell</w:t>
      </w:r>
      <w:r>
        <w:rPr>
          <w:rFonts w:ascii="Arial" w:cs="Arial" w:eastAsia="Times New Roman" w:hAnsi="Arial"/>
          <w:color w:val="1b1c1d"/>
        </w:rPr>
        <w:t xml:space="preserve"> (6th ed.). </w:t>
      </w:r>
      <w:r>
        <w:rPr>
          <w:rFonts w:ascii="Arial" w:cs="Arial" w:eastAsia="Times New Roman" w:hAnsi="Arial"/>
          <w:color w:val="1b1c1d"/>
          <w:bdr w:val="none" w:sz="0" w:space="0" w:color="auto" w:frame="true"/>
        </w:rPr>
        <w:t>Garland Science</w:t>
      </w:r>
      <w:r>
        <w:rPr>
          <w:rFonts w:ascii="Arial" w:cs="Arial" w:eastAsia="Times New Roman" w:hAnsi="Arial"/>
          <w:color w:val="1b1c1d"/>
        </w:rPr>
        <w:t>.</w:t>
      </w:r>
    </w:p>
    <w:p>
      <w:pPr>
        <w:pStyle w:val="style179"/>
        <w:numPr>
          <w:ilvl w:val="0"/>
          <w:numId w:val="1"/>
        </w:numPr>
        <w:spacing w:before="100" w:beforeAutospacing="true" w:after="100" w:afterAutospacing="true" w:lineRule="auto" w:line="240"/>
        <w:jc w:val="both"/>
        <w:rPr>
          <w:rFonts w:ascii="Arial" w:cs="Arial" w:eastAsia="Times New Roman" w:hAnsi="Arial"/>
          <w:color w:val="1b1c1d"/>
        </w:rPr>
      </w:pPr>
      <w:r>
        <w:rPr>
          <w:rFonts w:ascii="Arial" w:cs="Arial" w:eastAsia="Times New Roman" w:hAnsi="Arial"/>
          <w:color w:val="1b1c1d"/>
        </w:rPr>
        <w:t>Guyton, A. C., &amp; Hall, J. E. (2011). Textbook of medical physiology (12th ed.). Elsevier.</w:t>
      </w:r>
    </w:p>
    <w:p>
      <w:pPr>
        <w:pStyle w:val="style179"/>
        <w:numPr>
          <w:ilvl w:val="0"/>
          <w:numId w:val="1"/>
        </w:numPr>
        <w:spacing w:before="100" w:beforeAutospacing="true" w:after="100" w:afterAutospacing="true" w:lineRule="auto" w:line="240"/>
        <w:jc w:val="both"/>
        <w:rPr>
          <w:rFonts w:ascii="Arial" w:cs="Arial" w:eastAsia="Times New Roman" w:hAnsi="Arial"/>
          <w:color w:val="1b1c1d"/>
        </w:rPr>
      </w:pPr>
      <w:r>
        <w:rPr>
          <w:rFonts w:ascii="Arial" w:cs="Arial" w:eastAsia="Times New Roman" w:hAnsi="Arial"/>
          <w:color w:val="1b1c1d"/>
        </w:rPr>
        <w:t>Buskandar, F., &amp; Moran, N. (2015). Quantification of ATP and ADP levels in platelets from healthy human donors: A potential novel indicator of cardiovascular risk. BMC Proceedings, 9(S1). https://doi.org/10.1186/1753-6561-9-s1-a34. Accessed February 1, 2025100.</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Juarez-Facio, A. T., de Lagarde, V. M. de, Monteil, C., Vaugeois, J.-M., Corbiere, C., &amp; Rogez-Florent, T. (2021). Validation of a Fast and Simple HPLC-UV Method for the Quantification of Adenosine Phosphates in Human Bronchial Epithelial Cells. </w:t>
      </w:r>
      <w:r>
        <w:rPr>
          <w:rFonts w:ascii="Arial" w:cs="Arial" w:eastAsia="Times New Roman" w:hAnsi="Arial"/>
          <w:i/>
          <w:iCs/>
          <w:color w:val="1b1c1d"/>
          <w:bdr w:val="none" w:sz="0" w:space="0" w:color="auto" w:frame="true"/>
        </w:rPr>
        <w:t>Molecules</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26</w:t>
      </w:r>
      <w:r>
        <w:rPr>
          <w:rFonts w:ascii="Arial" w:cs="Arial" w:eastAsia="Times New Roman" w:hAnsi="Arial"/>
          <w:color w:val="1b1c1d"/>
          <w:bdr w:val="none" w:sz="0" w:space="0" w:color="auto" w:frame="true"/>
        </w:rPr>
        <w:t>(20), 6324</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Kozenova, M., &amp; Ravid, A. (2013). Biology of platelet purinergic receptors and implications for platelet heterogeneity. </w:t>
      </w:r>
      <w:r>
        <w:rPr>
          <w:rFonts w:ascii="Arial" w:cs="Arial" w:eastAsia="Times New Roman" w:hAnsi="Arial"/>
          <w:i/>
          <w:iCs/>
          <w:color w:val="1b1c1d"/>
          <w:bdr w:val="none" w:sz="0" w:space="0" w:color="auto" w:frame="true"/>
        </w:rPr>
        <w:t>Frontiers in Pharmacology</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4</w:t>
      </w:r>
      <w:r>
        <w:rPr>
          <w:rFonts w:ascii="Arial" w:cs="Arial" w:eastAsia="Times New Roman" w:hAnsi="Arial"/>
          <w:color w:val="1b1c1d"/>
          <w:bdr w:val="none" w:sz="0" w:space="0" w:color="auto" w:frame="true"/>
        </w:rPr>
        <w:t>, 37</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McNicol, A., &amp; Israels, S. J. (1999). Extracellular ATP metabolism on vascular endothelial cells. </w:t>
      </w:r>
      <w:r>
        <w:rPr>
          <w:rFonts w:ascii="Arial" w:cs="Arial" w:eastAsia="Times New Roman" w:hAnsi="Arial"/>
          <w:i/>
          <w:iCs/>
          <w:color w:val="1b1c1d"/>
          <w:bdr w:val="none" w:sz="0" w:space="0" w:color="auto" w:frame="true"/>
        </w:rPr>
        <w:t>Molecular and Cellular Biochemistry</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198</w:t>
      </w:r>
      <w:r>
        <w:rPr>
          <w:rFonts w:ascii="Arial" w:cs="Arial" w:eastAsia="Times New Roman" w:hAnsi="Arial"/>
          <w:color w:val="1b1c1d"/>
          <w:bdr w:val="none" w:sz="0" w:space="0" w:color="auto" w:frame="true"/>
        </w:rPr>
        <w:t>(1–2), 75–81</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color w:val="1b1c1d"/>
        </w:rPr>
        <w:t xml:space="preserve">Woulfe, D., Yang, J., &amp; Brass, L. (2001). ADP and platelets: the end of the beginning. </w:t>
      </w:r>
      <w:r>
        <w:rPr>
          <w:rFonts w:ascii="Arial" w:cs="Arial" w:eastAsia="Times New Roman" w:hAnsi="Arial"/>
          <w:i/>
          <w:iCs/>
          <w:color w:val="1b1c1d"/>
          <w:bdr w:val="none" w:sz="0" w:space="0" w:color="auto" w:frame="true"/>
        </w:rPr>
        <w:t>Journal of Clinical Investigation</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107</w:t>
      </w:r>
      <w:r>
        <w:rPr>
          <w:rFonts w:ascii="Arial" w:cs="Arial" w:eastAsia="Times New Roman" w:hAnsi="Arial"/>
          <w:color w:val="1b1c1d"/>
          <w:bdr w:val="none" w:sz="0" w:space="0" w:color="auto" w:frame="true"/>
        </w:rPr>
        <w:t>(12), 1503–1505</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Greinacher, A. (2011). Platelet activation by heparin. </w:t>
      </w:r>
      <w:r>
        <w:rPr>
          <w:rFonts w:ascii="Arial" w:cs="Arial" w:eastAsia="Times New Roman" w:hAnsi="Arial"/>
          <w:i/>
          <w:iCs/>
          <w:color w:val="1b1c1d"/>
          <w:bdr w:val="none" w:sz="0" w:space="0" w:color="auto" w:frame="true"/>
        </w:rPr>
        <w:t>Blood</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117</w:t>
      </w:r>
      <w:r>
        <w:rPr>
          <w:rFonts w:ascii="Arial" w:cs="Arial" w:eastAsia="Times New Roman" w:hAnsi="Arial"/>
          <w:color w:val="1b1c1d"/>
          <w:bdr w:val="none" w:sz="0" w:space="0" w:color="auto" w:frame="true"/>
        </w:rPr>
        <w:t xml:space="preserve">(18), 4686–4687. </w:t>
      </w:r>
      <w:r>
        <w:rPr/>
        <w:fldChar w:fldCharType="begin"/>
      </w:r>
      <w:r>
        <w:instrText xml:space="preserve"> HYPERLINK "https://doi.org/10.1182/blood-2011-03-341677" \t "_blank" </w:instrText>
      </w:r>
      <w:r>
        <w:rPr/>
        <w:fldChar w:fldCharType="separate"/>
      </w:r>
      <w:r>
        <w:rPr>
          <w:rFonts w:ascii="Arial" w:cs="Arial" w:eastAsia="Times New Roman" w:hAnsi="Arial"/>
          <w:color w:val="0b57d0"/>
          <w:u w:val="single"/>
          <w:bdr w:val="none" w:sz="0" w:space="0" w:color="auto" w:frame="true"/>
        </w:rPr>
        <w:t>https://doi.org/10.1182/blood-2011-03-341677</w:t>
      </w:r>
      <w:r>
        <w:rPr/>
        <w:fldChar w:fldCharType="end"/>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Dittrich, M., Hayashi, S., &amp; Schulten, K. (2003). On the Mechanism of ATP Hydrolysis in F1-ATPase. </w:t>
      </w:r>
      <w:r>
        <w:rPr>
          <w:rFonts w:ascii="Arial" w:cs="Arial" w:eastAsia="Times New Roman" w:hAnsi="Arial"/>
          <w:i/>
          <w:iCs/>
          <w:color w:val="1b1c1d"/>
          <w:bdr w:val="none" w:sz="0" w:space="0" w:color="auto" w:frame="true"/>
        </w:rPr>
        <w:t>Biophysical Journal</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85</w:t>
      </w:r>
      <w:r>
        <w:rPr>
          <w:rFonts w:ascii="Arial" w:cs="Arial" w:eastAsia="Times New Roman" w:hAnsi="Arial"/>
          <w:color w:val="1b1c1d"/>
          <w:bdr w:val="none" w:sz="0" w:space="0" w:color="auto" w:frame="true"/>
        </w:rPr>
        <w:t xml:space="preserve">(4), 2253–2266. </w:t>
      </w:r>
      <w:r>
        <w:rPr/>
        <w:fldChar w:fldCharType="begin"/>
      </w:r>
      <w:r>
        <w:instrText xml:space="preserve"> HYPERLINK "https://doi.org/10.1016/s0006-3495(03)74650-5" \t "_blank" </w:instrText>
      </w:r>
      <w:r>
        <w:rPr/>
        <w:fldChar w:fldCharType="separate"/>
      </w:r>
      <w:r>
        <w:rPr>
          <w:rFonts w:ascii="Arial" w:cs="Arial" w:eastAsia="Times New Roman" w:hAnsi="Arial"/>
          <w:color w:val="0b57d0"/>
          <w:u w:val="single"/>
          <w:bdr w:val="none" w:sz="0" w:space="0" w:color="auto" w:frame="true"/>
        </w:rPr>
        <w:t>https://doi.org/10.1016/s0006-3495(03)74650-5</w:t>
      </w:r>
      <w:r>
        <w:rPr/>
        <w:fldChar w:fldCharType="end"/>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color w:val="1b1c1d"/>
        </w:rPr>
        <w:t xml:space="preserve">Golebiewska, E. M., &amp; Poole, A. W. (2015). Platelet secretion: From haemostasis to wound healing and beyond. </w:t>
      </w:r>
      <w:r>
        <w:rPr>
          <w:rFonts w:ascii="Arial" w:cs="Arial" w:eastAsia="Times New Roman" w:hAnsi="Arial"/>
          <w:i/>
          <w:iCs/>
          <w:color w:val="1b1c1d"/>
          <w:bdr w:val="none" w:sz="0" w:space="0" w:color="auto" w:frame="true"/>
        </w:rPr>
        <w:t>Blood Reviews</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29</w:t>
      </w:r>
      <w:r>
        <w:rPr>
          <w:rFonts w:ascii="Arial" w:cs="Arial" w:eastAsia="Times New Roman" w:hAnsi="Arial"/>
          <w:color w:val="1b1c1d"/>
          <w:bdr w:val="none" w:sz="0" w:space="0" w:color="auto" w:frame="true"/>
        </w:rPr>
        <w:t>(3), 153–162</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Marcus, A. J., Broekman, M. J., Drosopoulos, J. H., Islam, N., Alyonycheva, T. N., Safier, L. B., </w:t>
      </w:r>
      <w:r>
        <w:rPr>
          <w:rFonts w:ascii="Arial" w:cs="Arial" w:eastAsia="Times New Roman" w:hAnsi="Arial"/>
          <w:i/>
          <w:iCs/>
          <w:color w:val="1b1c1d"/>
        </w:rPr>
        <w:t>et al.</w:t>
      </w:r>
      <w:r>
        <w:rPr>
          <w:rFonts w:ascii="Arial" w:cs="Arial" w:eastAsia="Times New Roman" w:hAnsi="Arial"/>
          <w:color w:val="1b1c1d"/>
        </w:rPr>
        <w:t xml:space="preserve"> (1997). The endothelial cell ecto-ADPase responsible for inhibition of platelet function is CD39. </w:t>
      </w:r>
      <w:r>
        <w:rPr>
          <w:rFonts w:ascii="Arial" w:cs="Arial" w:eastAsia="Times New Roman" w:hAnsi="Arial"/>
          <w:i/>
          <w:iCs/>
          <w:color w:val="1b1c1d"/>
          <w:bdr w:val="none" w:sz="0" w:space="0" w:color="auto" w:frame="true"/>
        </w:rPr>
        <w:t>The Journal of Clinical Investigation</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99</w:t>
      </w:r>
      <w:r>
        <w:rPr>
          <w:rFonts w:ascii="Arial" w:cs="Arial" w:eastAsia="Times New Roman" w:hAnsi="Arial"/>
          <w:color w:val="1b1c1d"/>
          <w:bdr w:val="none" w:sz="0" w:space="0" w:color="auto" w:frame="true"/>
        </w:rPr>
        <w:t>(6), 1351–1360</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Nishioka, T., Yokota, M., Tsuda, I., &amp; Tatsumi, N. (2002). Flow cytometric analysis of platelet activation under calcium ion-chelating conditions. </w:t>
      </w:r>
      <w:r>
        <w:rPr>
          <w:rFonts w:ascii="Arial" w:cs="Arial" w:eastAsia="Times New Roman" w:hAnsi="Arial"/>
          <w:i/>
          <w:iCs/>
          <w:color w:val="1b1c1d"/>
          <w:bdr w:val="none" w:sz="0" w:space="0" w:color="auto" w:frame="true"/>
        </w:rPr>
        <w:t>Clinical &amp; Laboratory Haematology</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24</w:t>
      </w:r>
      <w:r>
        <w:rPr>
          <w:rFonts w:ascii="Arial" w:cs="Arial" w:eastAsia="Times New Roman" w:hAnsi="Arial"/>
          <w:color w:val="1b1c1d"/>
          <w:bdr w:val="none" w:sz="0" w:space="0" w:color="auto" w:frame="true"/>
        </w:rPr>
        <w:t>(2), 115–119</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rPr>
      </w:pPr>
      <w:r>
        <w:rPr>
          <w:rFonts w:ascii="Arial" w:cs="Arial" w:eastAsia="Times New Roman" w:hAnsi="Arial"/>
          <w:color w:val="1b1c1d"/>
        </w:rPr>
        <w:t xml:space="preserve">Alquwaizani, M., Buckley, L., Adams, C., &amp; Fanikos, J. (2013). Anticoagulants: A Review of the Pharmacology, Dosing, and Complications. </w:t>
      </w:r>
      <w:r>
        <w:rPr>
          <w:rFonts w:ascii="Arial" w:cs="Arial" w:eastAsia="Times New Roman" w:hAnsi="Arial"/>
          <w:i/>
          <w:iCs/>
          <w:color w:val="1b1c1d"/>
          <w:bdr w:val="none" w:sz="0" w:space="0" w:color="auto" w:frame="true"/>
        </w:rPr>
        <w:t>Current Emergency and Hospital Medicine Reports</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1</w:t>
      </w:r>
      <w:r>
        <w:rPr>
          <w:rFonts w:ascii="Arial" w:cs="Arial" w:eastAsia="Times New Roman" w:hAnsi="Arial"/>
          <w:color w:val="1b1c1d"/>
          <w:bdr w:val="none" w:sz="0" w:space="0" w:color="auto" w:frame="true"/>
        </w:rPr>
        <w:t>(2), 83–97</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color w:val="1b1c1d"/>
        </w:rPr>
        <w:t xml:space="preserve">Ledderose, C., Eleftheria-Angeliki Valsami, &amp; Junger, W. G. (2022). Optimized HPLC method to elucidate the complex purinergic signaling dynamics that regulate ATP, ADP, AMP, and adenosine levels in human blood. </w:t>
      </w:r>
      <w:r>
        <w:rPr>
          <w:rFonts w:ascii="Arial" w:cs="Arial" w:eastAsia="Times New Roman" w:hAnsi="Arial"/>
          <w:i/>
          <w:iCs/>
          <w:color w:val="1b1c1d"/>
          <w:bdr w:val="none" w:sz="0" w:space="0" w:color="auto" w:frame="true"/>
        </w:rPr>
        <w:t>Purinergic Signalling</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18</w:t>
      </w:r>
      <w:r>
        <w:rPr>
          <w:rFonts w:ascii="Arial" w:cs="Arial" w:eastAsia="Times New Roman" w:hAnsi="Arial"/>
          <w:color w:val="1b1c1d"/>
          <w:bdr w:val="none" w:sz="0" w:space="0" w:color="auto" w:frame="true"/>
        </w:rPr>
        <w:t>(2), 223–239</w:t>
      </w:r>
      <w:r>
        <w:rPr>
          <w:rFonts w:ascii="Arial" w:cs="Arial" w:eastAsia="Times New Roman" w:hAnsi="Arial"/>
          <w:color w:val="1b1c1d"/>
        </w:rPr>
        <w:t>.</w:t>
      </w:r>
    </w:p>
    <w:p>
      <w:pPr>
        <w:pStyle w:val="style179"/>
        <w:numPr>
          <w:ilvl w:val="0"/>
          <w:numId w:val="1"/>
        </w:numPr>
        <w:spacing w:before="100" w:beforeAutospacing="true" w:after="0" w:lineRule="auto" w:line="240"/>
        <w:jc w:val="both"/>
        <w:rPr>
          <w:rFonts w:ascii="Arial" w:cs="Arial" w:eastAsia="Times New Roman" w:hAnsi="Arial"/>
          <w:color w:val="1b1c1d"/>
          <w:bdr w:val="none" w:sz="0" w:space="0" w:color="auto" w:frame="true"/>
        </w:rPr>
      </w:pPr>
      <w:r>
        <w:rPr>
          <w:rFonts w:ascii="Arial" w:cs="Arial" w:eastAsia="Times New Roman" w:hAnsi="Arial"/>
          <w:color w:val="1b1c1d"/>
        </w:rPr>
        <w:t xml:space="preserve">von Papen, M., Gambaryan, S., Schütz, C., &amp; Geiger, J. (2013). Determination of ATP and ADP Secretion from Human and Mouse Platelets by an HPLC Assay. </w:t>
      </w:r>
      <w:r>
        <w:rPr>
          <w:rFonts w:ascii="Arial" w:cs="Arial" w:eastAsia="Times New Roman" w:hAnsi="Arial"/>
          <w:i/>
          <w:iCs/>
          <w:color w:val="1b1c1d"/>
          <w:bdr w:val="none" w:sz="0" w:space="0" w:color="auto" w:frame="true"/>
        </w:rPr>
        <w:t>Transfusion Medicine and Hemotherapy</w:t>
      </w:r>
      <w:r>
        <w:rPr>
          <w:rFonts w:ascii="Arial" w:cs="Arial" w:eastAsia="Times New Roman" w:hAnsi="Arial"/>
          <w:color w:val="1b1c1d"/>
          <w:bdr w:val="none" w:sz="0" w:space="0" w:color="auto" w:frame="true"/>
        </w:rPr>
        <w:t xml:space="preserve">, </w:t>
      </w:r>
      <w:r>
        <w:rPr>
          <w:rFonts w:ascii="Arial" w:cs="Arial" w:eastAsia="Times New Roman" w:hAnsi="Arial"/>
          <w:i/>
          <w:iCs/>
          <w:color w:val="1b1c1d"/>
          <w:bdr w:val="none" w:sz="0" w:space="0" w:color="auto" w:frame="true"/>
        </w:rPr>
        <w:t>40</w:t>
      </w:r>
      <w:r>
        <w:rPr>
          <w:rFonts w:ascii="Arial" w:cs="Arial" w:eastAsia="Times New Roman" w:hAnsi="Arial"/>
          <w:color w:val="1b1c1d"/>
          <w:bdr w:val="none" w:sz="0" w:space="0" w:color="auto" w:frame="true"/>
        </w:rPr>
        <w:t>(2), 109–116</w:t>
      </w:r>
      <w:r>
        <w:rPr>
          <w:rFonts w:ascii="Arial" w:cs="Arial" w:eastAsia="Times New Roman" w:hAnsi="Arial"/>
          <w:color w:val="1b1c1d"/>
        </w:rPr>
        <w:t>.</w:t>
      </w:r>
      <w:bookmarkEnd w:id="1"/>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E84B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3F2E127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citation-365"/>
    <w:basedOn w:val="style65"/>
    <w:next w:val="style4097"/>
  </w:style>
  <w:style w:type="character" w:customStyle="1" w:styleId="style4098">
    <w:name w:val="citation-364"/>
    <w:basedOn w:val="style65"/>
    <w:next w:val="style4098"/>
  </w:style>
  <w:style w:type="character" w:customStyle="1" w:styleId="style4099">
    <w:name w:val="citation-363"/>
    <w:basedOn w:val="style65"/>
    <w:next w:val="style4099"/>
  </w:style>
  <w:style w:type="character" w:customStyle="1" w:styleId="style4100">
    <w:name w:val="citation-362"/>
    <w:basedOn w:val="style65"/>
    <w:next w:val="style4100"/>
  </w:style>
  <w:style w:type="character" w:customStyle="1" w:styleId="style4101">
    <w:name w:val="citation-361"/>
    <w:basedOn w:val="style65"/>
    <w:next w:val="style4101"/>
  </w:style>
  <w:style w:type="character" w:customStyle="1" w:styleId="style4102">
    <w:name w:val="citation-360"/>
    <w:basedOn w:val="style65"/>
    <w:next w:val="style4102"/>
  </w:style>
  <w:style w:type="character" w:customStyle="1" w:styleId="style4103">
    <w:name w:val="citation-359"/>
    <w:basedOn w:val="style65"/>
    <w:next w:val="style4103"/>
  </w:style>
  <w:style w:type="character" w:customStyle="1" w:styleId="style4104">
    <w:name w:val="citation-358"/>
    <w:basedOn w:val="style65"/>
    <w:next w:val="style4104"/>
  </w:style>
  <w:style w:type="character" w:customStyle="1" w:styleId="style4105">
    <w:name w:val="citation-357"/>
    <w:basedOn w:val="style65"/>
    <w:next w:val="style4105"/>
  </w:style>
  <w:style w:type="character" w:customStyle="1" w:styleId="style4106">
    <w:name w:val="citation-356"/>
    <w:basedOn w:val="style65"/>
    <w:next w:val="style4106"/>
  </w:style>
  <w:style w:type="character" w:customStyle="1" w:styleId="style4107">
    <w:name w:val="citation-355"/>
    <w:basedOn w:val="style65"/>
    <w:next w:val="style4107"/>
  </w:style>
  <w:style w:type="character" w:customStyle="1" w:styleId="style4108">
    <w:name w:val="citation-354"/>
    <w:basedOn w:val="style65"/>
    <w:next w:val="style4108"/>
  </w:style>
  <w:style w:type="character" w:customStyle="1" w:styleId="style4109">
    <w:name w:val="citation-353"/>
    <w:basedOn w:val="style65"/>
    <w:next w:val="style4109"/>
  </w:style>
  <w:style w:type="character" w:customStyle="1" w:styleId="style4110">
    <w:name w:val="mord"/>
    <w:basedOn w:val="style65"/>
    <w:next w:val="style4110"/>
  </w:style>
  <w:style w:type="character" w:customStyle="1" w:styleId="style4111">
    <w:name w:val="citation-352"/>
    <w:basedOn w:val="style65"/>
    <w:next w:val="style4111"/>
  </w:style>
  <w:style w:type="character" w:customStyle="1" w:styleId="style4112">
    <w:name w:val="citation-351"/>
    <w:basedOn w:val="style65"/>
    <w:next w:val="style4112"/>
  </w:style>
  <w:style w:type="character" w:customStyle="1" w:styleId="style4113">
    <w:name w:val="citation-350"/>
    <w:basedOn w:val="style65"/>
    <w:next w:val="style4113"/>
  </w:style>
  <w:style w:type="character" w:customStyle="1" w:styleId="style4114">
    <w:name w:val="citation-349"/>
    <w:basedOn w:val="style65"/>
    <w:next w:val="style4114"/>
  </w:style>
  <w:style w:type="character" w:customStyle="1" w:styleId="style4115">
    <w:name w:val="citation-348"/>
    <w:basedOn w:val="style65"/>
    <w:next w:val="style4115"/>
  </w:style>
  <w:style w:type="character" w:customStyle="1" w:styleId="style4116">
    <w:name w:val="citation-347"/>
    <w:basedOn w:val="style65"/>
    <w:next w:val="style4116"/>
  </w:style>
  <w:style w:type="character" w:customStyle="1" w:styleId="style4117">
    <w:name w:val="citation-346"/>
    <w:basedOn w:val="style65"/>
    <w:next w:val="style4117"/>
  </w:style>
  <w:style w:type="character" w:customStyle="1" w:styleId="style4118">
    <w:name w:val="citation-345"/>
    <w:basedOn w:val="style65"/>
    <w:next w:val="style4118"/>
  </w:style>
  <w:style w:type="character" w:customStyle="1" w:styleId="style4119">
    <w:name w:val="citation-344"/>
    <w:basedOn w:val="style65"/>
    <w:next w:val="style4119"/>
  </w:style>
  <w:style w:type="character" w:customStyle="1" w:styleId="style4120">
    <w:name w:val="citation-343"/>
    <w:basedOn w:val="style65"/>
    <w:next w:val="style4120"/>
  </w:style>
  <w:style w:type="character" w:customStyle="1" w:styleId="style4121">
    <w:name w:val="citation-342"/>
    <w:basedOn w:val="style65"/>
    <w:next w:val="style4121"/>
  </w:style>
  <w:style w:type="character" w:customStyle="1" w:styleId="style4122">
    <w:name w:val="citation-341"/>
    <w:basedOn w:val="style65"/>
    <w:next w:val="style4122"/>
  </w:style>
  <w:style w:type="character" w:customStyle="1" w:styleId="style4123">
    <w:name w:val="citation-340"/>
    <w:basedOn w:val="style65"/>
    <w:next w:val="style4123"/>
  </w:style>
  <w:style w:type="character" w:customStyle="1" w:styleId="style4124">
    <w:name w:val="citation-339"/>
    <w:basedOn w:val="style65"/>
    <w:next w:val="style4124"/>
  </w:style>
  <w:style w:type="character" w:customStyle="1" w:styleId="style4125">
    <w:name w:val="citation-338"/>
    <w:basedOn w:val="style65"/>
    <w:next w:val="style4125"/>
  </w:style>
  <w:style w:type="character" w:customStyle="1" w:styleId="style4126">
    <w:name w:val="citation-337"/>
    <w:basedOn w:val="style65"/>
    <w:next w:val="style4126"/>
  </w:style>
  <w:style w:type="character" w:customStyle="1" w:styleId="style4127">
    <w:name w:val="citation-336"/>
    <w:basedOn w:val="style65"/>
    <w:next w:val="style4127"/>
  </w:style>
  <w:style w:type="character" w:customStyle="1" w:styleId="style4128">
    <w:name w:val="citation-335"/>
    <w:basedOn w:val="style65"/>
    <w:next w:val="style4128"/>
  </w:style>
  <w:style w:type="character" w:customStyle="1" w:styleId="style4129">
    <w:name w:val="citation-334"/>
    <w:basedOn w:val="style65"/>
    <w:next w:val="style4129"/>
  </w:style>
  <w:style w:type="character" w:customStyle="1" w:styleId="style4130">
    <w:name w:val="citation-333"/>
    <w:basedOn w:val="style65"/>
    <w:next w:val="style4130"/>
  </w:style>
  <w:style w:type="character" w:customStyle="1" w:styleId="style4131">
    <w:name w:val="citation-332"/>
    <w:basedOn w:val="style65"/>
    <w:next w:val="style4131"/>
  </w:style>
  <w:style w:type="character" w:customStyle="1" w:styleId="style4132">
    <w:name w:val="citation-331"/>
    <w:basedOn w:val="style65"/>
    <w:next w:val="style4132"/>
  </w:style>
  <w:style w:type="character" w:customStyle="1" w:styleId="style4133">
    <w:name w:val="citation-330"/>
    <w:basedOn w:val="style65"/>
    <w:next w:val="style4133"/>
  </w:style>
  <w:style w:type="character" w:customStyle="1" w:styleId="style4134">
    <w:name w:val="citation-329"/>
    <w:basedOn w:val="style65"/>
    <w:next w:val="style4134"/>
  </w:style>
  <w:style w:type="character" w:customStyle="1" w:styleId="style4135">
    <w:name w:val="citation-328"/>
    <w:basedOn w:val="style65"/>
    <w:next w:val="style4135"/>
  </w:style>
  <w:style w:type="character" w:customStyle="1" w:styleId="style4136">
    <w:name w:val="citation-327"/>
    <w:basedOn w:val="style65"/>
    <w:next w:val="style4136"/>
  </w:style>
  <w:style w:type="character" w:customStyle="1" w:styleId="style4137">
    <w:name w:val="citation-326"/>
    <w:basedOn w:val="style65"/>
    <w:next w:val="style4137"/>
  </w:style>
  <w:style w:type="character" w:customStyle="1" w:styleId="style4138">
    <w:name w:val="citation-325"/>
    <w:basedOn w:val="style65"/>
    <w:next w:val="style4138"/>
  </w:style>
  <w:style w:type="character" w:customStyle="1" w:styleId="style4139">
    <w:name w:val="citation-324"/>
    <w:basedOn w:val="style65"/>
    <w:next w:val="style4139"/>
  </w:style>
  <w:style w:type="character" w:customStyle="1" w:styleId="style4140">
    <w:name w:val="citation-323"/>
    <w:basedOn w:val="style65"/>
    <w:next w:val="style4140"/>
  </w:style>
  <w:style w:type="character" w:customStyle="1" w:styleId="style4141">
    <w:name w:val="citation-322"/>
    <w:basedOn w:val="style65"/>
    <w:next w:val="style4141"/>
  </w:style>
  <w:style w:type="character" w:customStyle="1" w:styleId="style4142">
    <w:name w:val="citation-321"/>
    <w:basedOn w:val="style65"/>
    <w:next w:val="style4142"/>
  </w:style>
  <w:style w:type="character" w:customStyle="1" w:styleId="style4143">
    <w:name w:val="citation-320"/>
    <w:basedOn w:val="style65"/>
    <w:next w:val="style4143"/>
  </w:style>
  <w:style w:type="character" w:customStyle="1" w:styleId="style4144">
    <w:name w:val="citation-319"/>
    <w:basedOn w:val="style65"/>
    <w:next w:val="style4144"/>
  </w:style>
  <w:style w:type="character" w:customStyle="1" w:styleId="style4145">
    <w:name w:val="citation-318"/>
    <w:basedOn w:val="style65"/>
    <w:next w:val="style4145"/>
  </w:style>
  <w:style w:type="character" w:customStyle="1" w:styleId="style4146">
    <w:name w:val="citation-317"/>
    <w:basedOn w:val="style65"/>
    <w:next w:val="style4146"/>
  </w:style>
  <w:style w:type="character" w:customStyle="1" w:styleId="style4147">
    <w:name w:val="citation-316"/>
    <w:basedOn w:val="style65"/>
    <w:next w:val="style4147"/>
  </w:style>
  <w:style w:type="character" w:customStyle="1" w:styleId="style4148">
    <w:name w:val="citation-315"/>
    <w:basedOn w:val="style65"/>
    <w:next w:val="style4148"/>
  </w:style>
  <w:style w:type="character" w:customStyle="1" w:styleId="style4149">
    <w:name w:val="citation-314"/>
    <w:basedOn w:val="style65"/>
    <w:next w:val="style4149"/>
  </w:style>
  <w:style w:type="character" w:customStyle="1" w:styleId="style4150">
    <w:name w:val="citation-313"/>
    <w:basedOn w:val="style65"/>
    <w:next w:val="style4150"/>
  </w:style>
  <w:style w:type="character" w:customStyle="1" w:styleId="style4151">
    <w:name w:val="citation-312"/>
    <w:basedOn w:val="style65"/>
    <w:next w:val="style4151"/>
  </w:style>
  <w:style w:type="character" w:customStyle="1" w:styleId="style4152">
    <w:name w:val="citation-311"/>
    <w:basedOn w:val="style65"/>
    <w:next w:val="style4152"/>
  </w:style>
  <w:style w:type="character" w:customStyle="1" w:styleId="style4153">
    <w:name w:val="citation-310"/>
    <w:basedOn w:val="style65"/>
    <w:next w:val="style4153"/>
  </w:style>
  <w:style w:type="character" w:customStyle="1" w:styleId="style4154">
    <w:name w:val="citation-309"/>
    <w:basedOn w:val="style65"/>
    <w:next w:val="style4154"/>
  </w:style>
  <w:style w:type="character" w:customStyle="1" w:styleId="style4155">
    <w:name w:val="citation-308"/>
    <w:basedOn w:val="style65"/>
    <w:next w:val="style4155"/>
  </w:style>
  <w:style w:type="character" w:customStyle="1" w:styleId="style4156">
    <w:name w:val="citation-307"/>
    <w:basedOn w:val="style65"/>
    <w:next w:val="style4156"/>
  </w:style>
  <w:style w:type="character" w:customStyle="1" w:styleId="style4157">
    <w:name w:val="citation-306"/>
    <w:basedOn w:val="style65"/>
    <w:next w:val="style4157"/>
  </w:style>
  <w:style w:type="character" w:customStyle="1" w:styleId="style4158">
    <w:name w:val="citation-305"/>
    <w:basedOn w:val="style65"/>
    <w:next w:val="style4158"/>
  </w:style>
  <w:style w:type="character" w:customStyle="1" w:styleId="style4159">
    <w:name w:val="citation-304"/>
    <w:basedOn w:val="style65"/>
    <w:next w:val="style4159"/>
  </w:style>
  <w:style w:type="character" w:customStyle="1" w:styleId="style4160">
    <w:name w:val="citation-303"/>
    <w:basedOn w:val="style65"/>
    <w:next w:val="style4160"/>
  </w:style>
  <w:style w:type="character" w:customStyle="1" w:styleId="style4161">
    <w:name w:val="citation-302"/>
    <w:basedOn w:val="style65"/>
    <w:next w:val="style4161"/>
  </w:style>
  <w:style w:type="character" w:customStyle="1" w:styleId="style4162">
    <w:name w:val="citation-301"/>
    <w:basedOn w:val="style65"/>
    <w:next w:val="style4162"/>
  </w:style>
  <w:style w:type="character" w:customStyle="1" w:styleId="style4163">
    <w:name w:val="citation-300"/>
    <w:basedOn w:val="style65"/>
    <w:next w:val="style4163"/>
  </w:style>
  <w:style w:type="character" w:customStyle="1" w:styleId="style4164">
    <w:name w:val="citation-299"/>
    <w:basedOn w:val="style65"/>
    <w:next w:val="style4164"/>
  </w:style>
  <w:style w:type="character" w:customStyle="1" w:styleId="style4165">
    <w:name w:val="citation-298"/>
    <w:basedOn w:val="style65"/>
    <w:next w:val="style4165"/>
  </w:style>
  <w:style w:type="character" w:customStyle="1" w:styleId="style4166">
    <w:name w:val="citation-297"/>
    <w:basedOn w:val="style65"/>
    <w:next w:val="style4166"/>
  </w:style>
  <w:style w:type="character" w:customStyle="1" w:styleId="style4167">
    <w:name w:val="citation-296"/>
    <w:basedOn w:val="style65"/>
    <w:next w:val="style4167"/>
  </w:style>
  <w:style w:type="character" w:customStyle="1" w:styleId="style4168">
    <w:name w:val="citation-295"/>
    <w:basedOn w:val="style65"/>
    <w:next w:val="style4168"/>
  </w:style>
  <w:style w:type="character" w:customStyle="1" w:styleId="style4169">
    <w:name w:val="citation-294"/>
    <w:basedOn w:val="style65"/>
    <w:next w:val="style4169"/>
  </w:style>
  <w:style w:type="character" w:customStyle="1" w:styleId="style4170">
    <w:name w:val="citation-293"/>
    <w:basedOn w:val="style65"/>
    <w:next w:val="style4170"/>
  </w:style>
  <w:style w:type="character" w:customStyle="1" w:styleId="style4171">
    <w:name w:val="citation-292"/>
    <w:basedOn w:val="style65"/>
    <w:next w:val="style4171"/>
  </w:style>
  <w:style w:type="character" w:customStyle="1" w:styleId="style4172">
    <w:name w:val="citation-291"/>
    <w:basedOn w:val="style65"/>
    <w:next w:val="style4172"/>
  </w:style>
  <w:style w:type="character" w:customStyle="1" w:styleId="style4173">
    <w:name w:val="citation-290"/>
    <w:basedOn w:val="style65"/>
    <w:next w:val="style4173"/>
  </w:style>
  <w:style w:type="character" w:customStyle="1" w:styleId="style4174">
    <w:name w:val="citation-289"/>
    <w:basedOn w:val="style65"/>
    <w:next w:val="style4174"/>
  </w:style>
  <w:style w:type="character" w:customStyle="1" w:styleId="style4175">
    <w:name w:val="citation-288"/>
    <w:basedOn w:val="style65"/>
    <w:next w:val="style4175"/>
  </w:style>
  <w:style w:type="character" w:customStyle="1" w:styleId="style4176">
    <w:name w:val="citation-287"/>
    <w:basedOn w:val="style65"/>
    <w:next w:val="style4176"/>
  </w:style>
  <w:style w:type="character" w:customStyle="1" w:styleId="style4177">
    <w:name w:val="citation-286"/>
    <w:basedOn w:val="style65"/>
    <w:next w:val="style4177"/>
  </w:style>
  <w:style w:type="character" w:customStyle="1" w:styleId="style4178">
    <w:name w:val="citation-285"/>
    <w:basedOn w:val="style65"/>
    <w:next w:val="style4178"/>
  </w:style>
  <w:style w:type="character" w:customStyle="1" w:styleId="style4179">
    <w:name w:val="citation-284"/>
    <w:basedOn w:val="style65"/>
    <w:next w:val="style4179"/>
  </w:style>
  <w:style w:type="character" w:customStyle="1" w:styleId="style4180">
    <w:name w:val="citation-283"/>
    <w:basedOn w:val="style65"/>
    <w:next w:val="style4180"/>
  </w:style>
  <w:style w:type="character" w:customStyle="1" w:styleId="style4181">
    <w:name w:val="citation-282"/>
    <w:basedOn w:val="style65"/>
    <w:next w:val="style4181"/>
  </w:style>
  <w:style w:type="character" w:customStyle="1" w:styleId="style4182">
    <w:name w:val="citation-281"/>
    <w:basedOn w:val="style65"/>
    <w:next w:val="style4182"/>
  </w:style>
  <w:style w:type="character" w:customStyle="1" w:styleId="style4183">
    <w:name w:val="citation-280"/>
    <w:basedOn w:val="style65"/>
    <w:next w:val="style4183"/>
  </w:style>
  <w:style w:type="character" w:customStyle="1" w:styleId="style4184">
    <w:name w:val="citation-279"/>
    <w:basedOn w:val="style65"/>
    <w:next w:val="style4184"/>
  </w:style>
  <w:style w:type="character" w:customStyle="1" w:styleId="style4185">
    <w:name w:val="citation-278"/>
    <w:basedOn w:val="style65"/>
    <w:next w:val="style4185"/>
  </w:style>
  <w:style w:type="character" w:customStyle="1" w:styleId="style4186">
    <w:name w:val="citation-277"/>
    <w:basedOn w:val="style65"/>
    <w:next w:val="style4186"/>
  </w:style>
  <w:style w:type="character" w:customStyle="1" w:styleId="style4187">
    <w:name w:val="citation-276"/>
    <w:basedOn w:val="style65"/>
    <w:next w:val="style4187"/>
  </w:style>
  <w:style w:type="character" w:customStyle="1" w:styleId="style4188">
    <w:name w:val="citation-275"/>
    <w:basedOn w:val="style65"/>
    <w:next w:val="style4188"/>
  </w:style>
  <w:style w:type="character" w:customStyle="1" w:styleId="style4189">
    <w:name w:val="citation-274"/>
    <w:basedOn w:val="style65"/>
    <w:next w:val="style4189"/>
  </w:style>
  <w:style w:type="character" w:customStyle="1" w:styleId="style4190">
    <w:name w:val="citation-273"/>
    <w:basedOn w:val="style65"/>
    <w:next w:val="style4190"/>
  </w:style>
  <w:style w:type="character" w:customStyle="1" w:styleId="style4191">
    <w:name w:val="citation-272"/>
    <w:basedOn w:val="style65"/>
    <w:next w:val="style4191"/>
  </w:style>
  <w:style w:type="character" w:customStyle="1" w:styleId="style4192">
    <w:name w:val="citation-271"/>
    <w:basedOn w:val="style65"/>
    <w:next w:val="style4192"/>
  </w:style>
  <w:style w:type="character" w:customStyle="1" w:styleId="style4193">
    <w:name w:val="citation-270"/>
    <w:basedOn w:val="style65"/>
    <w:next w:val="style4193"/>
  </w:style>
  <w:style w:type="character" w:customStyle="1" w:styleId="style4194">
    <w:name w:val="citation-269"/>
    <w:basedOn w:val="style65"/>
    <w:next w:val="style4194"/>
  </w:style>
  <w:style w:type="character" w:customStyle="1" w:styleId="style4195">
    <w:name w:val="citation-268"/>
    <w:basedOn w:val="style65"/>
    <w:next w:val="style4195"/>
  </w:style>
  <w:style w:type="character" w:customStyle="1" w:styleId="style4196">
    <w:name w:val="citation-267"/>
    <w:basedOn w:val="style65"/>
    <w:next w:val="style4196"/>
  </w:style>
  <w:style w:type="character" w:customStyle="1" w:styleId="style4197">
    <w:name w:val="citation-265"/>
    <w:basedOn w:val="style65"/>
    <w:next w:val="style4197"/>
  </w:style>
  <w:style w:type="character" w:customStyle="1" w:styleId="style4198">
    <w:name w:val="citation-263"/>
    <w:basedOn w:val="style65"/>
    <w:next w:val="style4198"/>
  </w:style>
  <w:style w:type="character" w:customStyle="1" w:styleId="style4199">
    <w:name w:val="citation-262"/>
    <w:basedOn w:val="style65"/>
    <w:next w:val="style4199"/>
  </w:style>
  <w:style w:type="character" w:customStyle="1" w:styleId="style4200">
    <w:name w:val="citation-260"/>
    <w:basedOn w:val="style65"/>
    <w:next w:val="style4200"/>
  </w:style>
  <w:style w:type="character" w:customStyle="1" w:styleId="style4201">
    <w:name w:val="citation-259"/>
    <w:basedOn w:val="style65"/>
    <w:next w:val="style4201"/>
  </w:style>
  <w:style w:type="character" w:customStyle="1" w:styleId="style4202">
    <w:name w:val="citation-258"/>
    <w:basedOn w:val="style65"/>
    <w:next w:val="style4202"/>
  </w:style>
  <w:style w:type="character" w:customStyle="1" w:styleId="style4203">
    <w:name w:val="citation-257"/>
    <w:basedOn w:val="style65"/>
    <w:next w:val="style4203"/>
  </w:style>
  <w:style w:type="character" w:customStyle="1" w:styleId="style4204">
    <w:name w:val="citation-256"/>
    <w:basedOn w:val="style65"/>
    <w:next w:val="style4204"/>
  </w:style>
  <w:style w:type="character" w:customStyle="1" w:styleId="style4205">
    <w:name w:val="citation-255"/>
    <w:basedOn w:val="style65"/>
    <w:next w:val="style4205"/>
  </w:style>
  <w:style w:type="character" w:customStyle="1" w:styleId="style4206">
    <w:name w:val="citation-254"/>
    <w:basedOn w:val="style65"/>
    <w:next w:val="style4206"/>
  </w:style>
  <w:style w:type="character" w:customStyle="1" w:styleId="style4207">
    <w:name w:val="citation-253"/>
    <w:basedOn w:val="style65"/>
    <w:next w:val="style4207"/>
  </w:style>
  <w:style w:type="character" w:customStyle="1" w:styleId="style4208">
    <w:name w:val="citation-252"/>
    <w:basedOn w:val="style65"/>
    <w:next w:val="style4208"/>
  </w:style>
  <w:style w:type="character" w:customStyle="1" w:styleId="style4209">
    <w:name w:val="citation-251"/>
    <w:basedOn w:val="style65"/>
    <w:next w:val="style4209"/>
  </w:style>
  <w:style w:type="character" w:customStyle="1" w:styleId="style4210">
    <w:name w:val="citation-250"/>
    <w:basedOn w:val="style65"/>
    <w:next w:val="style4210"/>
  </w:style>
  <w:style w:type="character" w:customStyle="1" w:styleId="style4211">
    <w:name w:val="citation-249"/>
    <w:basedOn w:val="style65"/>
    <w:next w:val="style4211"/>
  </w:style>
  <w:style w:type="character" w:customStyle="1" w:styleId="style4212">
    <w:name w:val="citation-248"/>
    <w:basedOn w:val="style65"/>
    <w:next w:val="style4212"/>
  </w:style>
  <w:style w:type="character" w:customStyle="1" w:styleId="style4213">
    <w:name w:val="citation-247"/>
    <w:basedOn w:val="style65"/>
    <w:next w:val="style4213"/>
  </w:style>
  <w:style w:type="character" w:customStyle="1" w:styleId="style4214">
    <w:name w:val="citation-246"/>
    <w:basedOn w:val="style65"/>
    <w:next w:val="style4214"/>
  </w:style>
  <w:style w:type="character" w:customStyle="1" w:styleId="style4215">
    <w:name w:val="citation-245"/>
    <w:basedOn w:val="style65"/>
    <w:next w:val="style4215"/>
  </w:style>
  <w:style w:type="character" w:customStyle="1" w:styleId="style4216">
    <w:name w:val="citation-244"/>
    <w:basedOn w:val="style65"/>
    <w:next w:val="style4216"/>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paragraph" w:styleId="style29">
    <w:name w:val="footnote text"/>
    <w:basedOn w:val="style0"/>
    <w:next w:val="style29"/>
    <w:link w:val="style4217"/>
    <w:uiPriority w:val="99"/>
    <w:pPr>
      <w:spacing w:after="0" w:lineRule="auto" w:line="240"/>
    </w:pPr>
    <w:rPr>
      <w:sz w:val="20"/>
      <w:szCs w:val="20"/>
    </w:rPr>
  </w:style>
  <w:style w:type="character" w:customStyle="1" w:styleId="style4217">
    <w:name w:val="Footnote Text Char"/>
    <w:basedOn w:val="style65"/>
    <w:next w:val="style4217"/>
    <w:link w:val="style29"/>
    <w:uiPriority w:val="99"/>
    <w:rPr>
      <w:sz w:val="20"/>
      <w:szCs w:val="20"/>
    </w:rPr>
  </w:style>
  <w:style w:type="character" w:styleId="style38">
    <w:name w:val="footnote reference"/>
    <w:basedOn w:val="style65"/>
    <w:next w:val="style38"/>
    <w:uiPriority w:val="99"/>
    <w:rPr>
      <w:vertAlign w:val="superscript"/>
    </w:rPr>
  </w:style>
  <w:style w:type="character" w:styleId="style85">
    <w:name w:val="Hyperlink"/>
    <w:basedOn w:val="style65"/>
    <w:next w:val="style85"/>
    <w:uiPriority w:val="99"/>
    <w:rPr>
      <w:color w:val="0000ff"/>
      <w:u w:val="single"/>
    </w:rPr>
  </w:style>
  <w:style w:type="character" w:customStyle="1" w:styleId="style4218">
    <w:name w:val="Unresolved Mention"/>
    <w:basedOn w:val="style65"/>
    <w:next w:val="style4218"/>
    <w:uiPriority w:val="99"/>
    <w:rPr>
      <w:color w:val="605e5c"/>
      <w:shd w:val="clear" w:color="auto" w:fill="e1dfdd"/>
    </w:rPr>
  </w:style>
  <w:style w:type="paragraph" w:styleId="style31">
    <w:name w:val="header"/>
    <w:basedOn w:val="style0"/>
    <w:next w:val="style31"/>
    <w:link w:val="style4219"/>
    <w:uiPriority w:val="99"/>
    <w:pPr>
      <w:tabs>
        <w:tab w:val="center" w:leader="none" w:pos="4680"/>
        <w:tab w:val="right" w:leader="none" w:pos="9360"/>
      </w:tabs>
      <w:spacing w:after="0" w:lineRule="auto" w:line="240"/>
    </w:pPr>
    <w:rPr/>
  </w:style>
  <w:style w:type="character" w:customStyle="1" w:styleId="style4219">
    <w:name w:val="Header Char_684df7cd-4f47-43a8-a23d-9bb79f73ff10"/>
    <w:basedOn w:val="style65"/>
    <w:next w:val="style4219"/>
    <w:link w:val="style31"/>
    <w:uiPriority w:val="99"/>
  </w:style>
  <w:style w:type="paragraph" w:styleId="style32">
    <w:name w:val="footer"/>
    <w:basedOn w:val="style0"/>
    <w:next w:val="style32"/>
    <w:link w:val="style4220"/>
    <w:uiPriority w:val="99"/>
    <w:pPr>
      <w:tabs>
        <w:tab w:val="center" w:leader="none" w:pos="4680"/>
        <w:tab w:val="right" w:leader="none" w:pos="9360"/>
      </w:tabs>
      <w:spacing w:after="0" w:lineRule="auto" w:line="240"/>
    </w:pPr>
    <w:rPr/>
  </w:style>
  <w:style w:type="character" w:customStyle="1" w:styleId="style4220">
    <w:name w:val="Footer Char_c408c33f-a447-4c1b-ad7f-29f48ea8fa59"/>
    <w:basedOn w:val="style65"/>
    <w:next w:val="style4220"/>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customXml" Target="../customXml/item1.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B0AC2-7847-4E25-8110-5CA41DC3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Words>2444</Words>
  <Pages>6</Pages>
  <Characters>14634</Characters>
  <Application>WPS Office</Application>
  <DocSecurity>0</DocSecurity>
  <Paragraphs>95</Paragraphs>
  <ScaleCrop>false</ScaleCrop>
  <LinksUpToDate>false</LinksUpToDate>
  <CharactersWithSpaces>17043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2025-08-11T14:52:00Z</dcterms:created>
  <dc:creator>Ezenwalie Somto</dc:creator>
  <lastModifiedBy>CPH2631</lastModifiedBy>
  <dcterms:modified xsi:type="dcterms:W3CDTF">2025-08-17T21:53:18Z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cd561d07797740ad836a1ca240ca4db6</vt:lpwstr>
  </property>
</Properties>
</file>