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0B9D16" w14:textId="77777777" w:rsidR="001147D3" w:rsidRDefault="00014C28" w:rsidP="001147D3">
      <w:pPr>
        <w:spacing w:line="240" w:lineRule="auto"/>
        <w:jc w:val="right"/>
        <w:rPr>
          <w:rFonts w:ascii="Arial" w:hAnsi="Arial" w:cs="Arial"/>
          <w:b/>
          <w:sz w:val="36"/>
          <w:szCs w:val="36"/>
        </w:rPr>
      </w:pPr>
      <w:r>
        <w:rPr>
          <w:rFonts w:ascii="Arial" w:hAnsi="Arial" w:cs="Arial"/>
          <w:b/>
          <w:sz w:val="36"/>
          <w:szCs w:val="36"/>
        </w:rPr>
        <w:t>Fear of Bankruptcy and Scam:</w:t>
      </w:r>
      <w:r w:rsidR="00F20948" w:rsidRPr="001147D3">
        <w:rPr>
          <w:rFonts w:ascii="Arial" w:hAnsi="Arial" w:cs="Arial"/>
          <w:b/>
          <w:sz w:val="36"/>
          <w:szCs w:val="36"/>
        </w:rPr>
        <w:t xml:space="preserve"> Risk Perception and Adop</w:t>
      </w:r>
      <w:r w:rsidR="001147D3">
        <w:rPr>
          <w:rFonts w:ascii="Arial" w:hAnsi="Arial" w:cs="Arial"/>
          <w:b/>
          <w:sz w:val="36"/>
          <w:szCs w:val="36"/>
        </w:rPr>
        <w:t>tion of FinTech Banks in Nigeria</w:t>
      </w:r>
    </w:p>
    <w:p w14:paraId="41C50FF5" w14:textId="5A77F5EE" w:rsidR="008119AB" w:rsidRDefault="008119AB" w:rsidP="001147D3">
      <w:pPr>
        <w:spacing w:line="240" w:lineRule="auto"/>
        <w:jc w:val="right"/>
        <w:rPr>
          <w:rFonts w:ascii="Arial" w:hAnsi="Arial" w:cs="Arial"/>
          <w:i/>
          <w:sz w:val="20"/>
          <w:szCs w:val="36"/>
        </w:rPr>
      </w:pPr>
    </w:p>
    <w:p w14:paraId="47229CF9" w14:textId="77777777" w:rsidR="00CF0E12" w:rsidRPr="001147D3" w:rsidRDefault="00CF0E12" w:rsidP="001147D3">
      <w:pPr>
        <w:spacing w:line="240" w:lineRule="auto"/>
        <w:jc w:val="right"/>
        <w:rPr>
          <w:rFonts w:ascii="Arial" w:hAnsi="Arial" w:cs="Arial"/>
          <w:i/>
          <w:sz w:val="20"/>
          <w:szCs w:val="36"/>
        </w:rPr>
      </w:pPr>
    </w:p>
    <w:p w14:paraId="5F8BA10D" w14:textId="77777777" w:rsidR="00B00639" w:rsidRPr="001147D3" w:rsidRDefault="00B00639" w:rsidP="001147D3">
      <w:pPr>
        <w:pStyle w:val="Heading1"/>
        <w:spacing w:line="240" w:lineRule="auto"/>
        <w:rPr>
          <w:rFonts w:ascii="Arial" w:hAnsi="Arial" w:cs="Arial"/>
          <w:sz w:val="22"/>
          <w:szCs w:val="20"/>
        </w:rPr>
      </w:pPr>
      <w:r w:rsidRPr="001147D3">
        <w:rPr>
          <w:rFonts w:ascii="Arial" w:hAnsi="Arial" w:cs="Arial"/>
          <w:sz w:val="22"/>
          <w:szCs w:val="20"/>
        </w:rPr>
        <w:t>Abstract</w:t>
      </w:r>
    </w:p>
    <w:p w14:paraId="0AAE607E" w14:textId="1F7921B3" w:rsidR="00B00639" w:rsidRPr="001147D3" w:rsidRDefault="001F1F05" w:rsidP="001147D3">
      <w:pPr>
        <w:spacing w:line="240" w:lineRule="auto"/>
        <w:rPr>
          <w:rFonts w:ascii="Arial" w:hAnsi="Arial" w:cs="Arial"/>
          <w:sz w:val="20"/>
          <w:szCs w:val="20"/>
        </w:rPr>
      </w:pPr>
      <w:r w:rsidRPr="001F1F05">
        <w:rPr>
          <w:rFonts w:ascii="Arial" w:hAnsi="Arial" w:cs="Arial"/>
          <w:sz w:val="20"/>
          <w:szCs w:val="20"/>
        </w:rPr>
        <w:t xml:space="preserve">This study examines how Nigerian customers' adoption of </w:t>
      </w:r>
      <w:proofErr w:type="spellStart"/>
      <w:r w:rsidRPr="001F1F05">
        <w:rPr>
          <w:rFonts w:ascii="Arial" w:hAnsi="Arial" w:cs="Arial"/>
          <w:sz w:val="20"/>
          <w:szCs w:val="20"/>
        </w:rPr>
        <w:t>FinTech</w:t>
      </w:r>
      <w:proofErr w:type="spellEnd"/>
      <w:r w:rsidRPr="001F1F05">
        <w:rPr>
          <w:rFonts w:ascii="Arial" w:hAnsi="Arial" w:cs="Arial"/>
          <w:sz w:val="20"/>
          <w:szCs w:val="20"/>
        </w:rPr>
        <w:t xml:space="preserve"> banking services is influenced by perceived risks, namely their fear of bankruptcy and online scams, and evaluates the mediating function </w:t>
      </w:r>
      <w:r>
        <w:rPr>
          <w:rFonts w:ascii="Arial" w:hAnsi="Arial" w:cs="Arial"/>
          <w:sz w:val="20"/>
          <w:szCs w:val="20"/>
        </w:rPr>
        <w:t xml:space="preserve">of trust in this relationship. </w:t>
      </w:r>
      <w:r w:rsidRPr="001F1F05">
        <w:rPr>
          <w:rFonts w:ascii="Arial" w:hAnsi="Arial" w:cs="Arial"/>
          <w:sz w:val="20"/>
          <w:szCs w:val="20"/>
        </w:rPr>
        <w:t xml:space="preserve">50 respondents in Lagos, Abuja, and Port Harcourt were chosen by convenience sampling and given a structured online questionnaire via social media and </w:t>
      </w:r>
      <w:proofErr w:type="spellStart"/>
      <w:r w:rsidRPr="001F1F05">
        <w:rPr>
          <w:rFonts w:ascii="Arial" w:hAnsi="Arial" w:cs="Arial"/>
          <w:sz w:val="20"/>
          <w:szCs w:val="20"/>
        </w:rPr>
        <w:t>FinTech</w:t>
      </w:r>
      <w:proofErr w:type="spellEnd"/>
      <w:r w:rsidRPr="001F1F05">
        <w:rPr>
          <w:rFonts w:ascii="Arial" w:hAnsi="Arial" w:cs="Arial"/>
          <w:sz w:val="20"/>
          <w:szCs w:val="20"/>
        </w:rPr>
        <w:t xml:space="preserve"> user communities as part o</w:t>
      </w:r>
      <w:r>
        <w:rPr>
          <w:rFonts w:ascii="Arial" w:hAnsi="Arial" w:cs="Arial"/>
          <w:sz w:val="20"/>
          <w:szCs w:val="20"/>
        </w:rPr>
        <w:t xml:space="preserve">f a quantitative study design. </w:t>
      </w:r>
      <w:r w:rsidRPr="001F1F05">
        <w:rPr>
          <w:rFonts w:ascii="Arial" w:hAnsi="Arial" w:cs="Arial"/>
          <w:sz w:val="20"/>
          <w:szCs w:val="20"/>
        </w:rPr>
        <w:t xml:space="preserve">Descriptive statistics, Pearson correlation, and regression analysis in SPSS were used to gather and </w:t>
      </w:r>
      <w:proofErr w:type="spellStart"/>
      <w:r w:rsidRPr="001F1F05">
        <w:rPr>
          <w:rFonts w:ascii="Arial" w:hAnsi="Arial" w:cs="Arial"/>
          <w:sz w:val="20"/>
          <w:szCs w:val="20"/>
        </w:rPr>
        <w:t>analyse</w:t>
      </w:r>
      <w:proofErr w:type="spellEnd"/>
      <w:r w:rsidRPr="001F1F05">
        <w:rPr>
          <w:rFonts w:ascii="Arial" w:hAnsi="Arial" w:cs="Arial"/>
          <w:sz w:val="20"/>
          <w:szCs w:val="20"/>
        </w:rPr>
        <w:t xml:space="preserve"> data on adoption intentions, trust in security and regulatory control, fear of bankruptcy, and fear of online </w:t>
      </w:r>
      <w:r>
        <w:rPr>
          <w:rFonts w:ascii="Arial" w:hAnsi="Arial" w:cs="Arial"/>
          <w:sz w:val="20"/>
          <w:szCs w:val="20"/>
        </w:rPr>
        <w:t xml:space="preserve">scams. </w:t>
      </w:r>
      <w:r w:rsidRPr="001F1F05">
        <w:rPr>
          <w:rFonts w:ascii="Arial" w:hAnsi="Arial" w:cs="Arial"/>
          <w:sz w:val="20"/>
          <w:szCs w:val="20"/>
        </w:rPr>
        <w:t xml:space="preserve">The findings indicate that only 40% of respondents had faith in </w:t>
      </w:r>
      <w:proofErr w:type="spellStart"/>
      <w:r w:rsidRPr="001F1F05">
        <w:rPr>
          <w:rFonts w:ascii="Arial" w:hAnsi="Arial" w:cs="Arial"/>
          <w:sz w:val="20"/>
          <w:szCs w:val="20"/>
        </w:rPr>
        <w:t>FinTech</w:t>
      </w:r>
      <w:proofErr w:type="spellEnd"/>
      <w:r w:rsidRPr="001F1F05">
        <w:rPr>
          <w:rFonts w:ascii="Arial" w:hAnsi="Arial" w:cs="Arial"/>
          <w:sz w:val="20"/>
          <w:szCs w:val="20"/>
        </w:rPr>
        <w:t xml:space="preserve"> security measures, 55% doubted regulatory control, 72% anticipated financial loss due to institutional failure, and 62% were worried about online fraud.  Moderate adoption rates were seen, with 35% of non-users eager to adopt if security improved and 54% currently </w:t>
      </w:r>
      <w:proofErr w:type="spellStart"/>
      <w:r w:rsidRPr="001F1F05">
        <w:rPr>
          <w:rFonts w:ascii="Arial" w:hAnsi="Arial" w:cs="Arial"/>
          <w:sz w:val="20"/>
          <w:szCs w:val="20"/>
        </w:rPr>
        <w:t>utilising</w:t>
      </w:r>
      <w:proofErr w:type="spellEnd"/>
      <w:r w:rsidRPr="001F1F05">
        <w:rPr>
          <w:rFonts w:ascii="Arial" w:hAnsi="Arial" w:cs="Arial"/>
          <w:sz w:val="20"/>
          <w:szCs w:val="20"/>
        </w:rPr>
        <w:t xml:space="preserve"> </w:t>
      </w:r>
      <w:proofErr w:type="spellStart"/>
      <w:r w:rsidRPr="001F1F05">
        <w:rPr>
          <w:rFonts w:ascii="Arial" w:hAnsi="Arial" w:cs="Arial"/>
          <w:sz w:val="20"/>
          <w:szCs w:val="20"/>
        </w:rPr>
        <w:t>FinTech</w:t>
      </w:r>
      <w:proofErr w:type="spellEnd"/>
      <w:r w:rsidRPr="001F1F05">
        <w:rPr>
          <w:rFonts w:ascii="Arial" w:hAnsi="Arial" w:cs="Arial"/>
          <w:sz w:val="20"/>
          <w:szCs w:val="20"/>
        </w:rPr>
        <w:t xml:space="preserve"> services, pri</w:t>
      </w:r>
      <w:r>
        <w:rPr>
          <w:rFonts w:ascii="Arial" w:hAnsi="Arial" w:cs="Arial"/>
          <w:sz w:val="20"/>
          <w:szCs w:val="20"/>
        </w:rPr>
        <w:t xml:space="preserve">marily mobile money platforms. </w:t>
      </w:r>
      <w:r w:rsidRPr="001F1F05">
        <w:rPr>
          <w:rFonts w:ascii="Arial" w:hAnsi="Arial" w:cs="Arial"/>
          <w:sz w:val="20"/>
          <w:szCs w:val="20"/>
        </w:rPr>
        <w:t xml:space="preserve">Strong negative correlations between adoption and fear of scams (r = -0.58, p &lt; 0.05) and bankruptcy (r = -0.62, p &lt; 0.05) were </w:t>
      </w:r>
      <w:r>
        <w:rPr>
          <w:rFonts w:ascii="Arial" w:hAnsi="Arial" w:cs="Arial"/>
          <w:sz w:val="20"/>
          <w:szCs w:val="20"/>
        </w:rPr>
        <w:t xml:space="preserve">found by statistical analysis. </w:t>
      </w:r>
      <w:r w:rsidRPr="001F1F05">
        <w:rPr>
          <w:rFonts w:ascii="Arial" w:hAnsi="Arial" w:cs="Arial"/>
          <w:sz w:val="20"/>
          <w:szCs w:val="20"/>
        </w:rPr>
        <w:t xml:space="preserve">Regression analysis supported the Technology Acceptance Model (TAM) by confirming that trust significantly </w:t>
      </w:r>
      <w:r>
        <w:rPr>
          <w:rFonts w:ascii="Arial" w:hAnsi="Arial" w:cs="Arial"/>
          <w:sz w:val="20"/>
          <w:szCs w:val="20"/>
        </w:rPr>
        <w:t xml:space="preserve">reduces these adverse effects. </w:t>
      </w:r>
      <w:r w:rsidRPr="001F1F05">
        <w:rPr>
          <w:rFonts w:ascii="Arial" w:hAnsi="Arial" w:cs="Arial"/>
          <w:sz w:val="20"/>
          <w:szCs w:val="20"/>
        </w:rPr>
        <w:t xml:space="preserve">The results highlight how improving security infrastructure, legal frameworks, and open communication can lower perceived risks, boost confidence, and encourage more people in Nigeria to use </w:t>
      </w:r>
      <w:proofErr w:type="spellStart"/>
      <w:r w:rsidRPr="001F1F05">
        <w:rPr>
          <w:rFonts w:ascii="Arial" w:hAnsi="Arial" w:cs="Arial"/>
          <w:sz w:val="20"/>
          <w:szCs w:val="20"/>
        </w:rPr>
        <w:t>FinTech</w:t>
      </w:r>
      <w:proofErr w:type="spellEnd"/>
      <w:r w:rsidRPr="001F1F05">
        <w:rPr>
          <w:rFonts w:ascii="Arial" w:hAnsi="Arial" w:cs="Arial"/>
          <w:sz w:val="20"/>
          <w:szCs w:val="20"/>
        </w:rPr>
        <w:t xml:space="preserve"> services.</w:t>
      </w:r>
    </w:p>
    <w:p w14:paraId="5EB88369" w14:textId="77777777" w:rsidR="00B00639" w:rsidRDefault="00B00639" w:rsidP="001147D3">
      <w:pPr>
        <w:spacing w:line="240" w:lineRule="auto"/>
        <w:rPr>
          <w:rFonts w:ascii="Arial" w:hAnsi="Arial" w:cs="Arial"/>
          <w:sz w:val="20"/>
          <w:szCs w:val="20"/>
        </w:rPr>
      </w:pPr>
      <w:r w:rsidRPr="001147D3">
        <w:rPr>
          <w:rFonts w:ascii="Arial" w:hAnsi="Arial" w:cs="Arial"/>
          <w:b/>
          <w:sz w:val="20"/>
          <w:szCs w:val="20"/>
        </w:rPr>
        <w:t>Keywords:</w:t>
      </w:r>
      <w:r w:rsidRPr="001147D3">
        <w:rPr>
          <w:rFonts w:ascii="Arial" w:hAnsi="Arial" w:cs="Arial"/>
          <w:sz w:val="20"/>
          <w:szCs w:val="20"/>
        </w:rPr>
        <w:t xml:space="preserve"> FinTech, Nigeria, Risk Perception, Bankruptcy, Online Scams, Trust, Digital Banking, Consumer Behavior, Adoption, Security, Regulatory Framework, Financial Technology</w:t>
      </w:r>
    </w:p>
    <w:p w14:paraId="7631A3A8" w14:textId="62CC26E1" w:rsidR="00702A17" w:rsidRPr="001147D3" w:rsidRDefault="00702A17" w:rsidP="001147D3">
      <w:pPr>
        <w:spacing w:line="240" w:lineRule="auto"/>
        <w:rPr>
          <w:rFonts w:ascii="Arial" w:hAnsi="Arial" w:cs="Arial"/>
          <w:sz w:val="20"/>
          <w:szCs w:val="20"/>
        </w:rPr>
      </w:pPr>
      <w:r>
        <w:rPr>
          <w:rFonts w:ascii="Arial" w:hAnsi="Arial" w:cs="Arial"/>
          <w:sz w:val="20"/>
          <w:szCs w:val="20"/>
        </w:rPr>
        <w:t xml:space="preserve">Introduction </w:t>
      </w:r>
    </w:p>
    <w:p w14:paraId="6796317A" w14:textId="77777777" w:rsidR="00F20948" w:rsidRPr="001147D3" w:rsidRDefault="00F20948" w:rsidP="001147D3">
      <w:pPr>
        <w:pStyle w:val="Heading1"/>
        <w:spacing w:line="240" w:lineRule="auto"/>
        <w:rPr>
          <w:rFonts w:ascii="Arial" w:hAnsi="Arial" w:cs="Arial"/>
          <w:sz w:val="22"/>
          <w:szCs w:val="20"/>
        </w:rPr>
      </w:pPr>
      <w:r w:rsidRPr="001147D3">
        <w:rPr>
          <w:rFonts w:ascii="Arial" w:hAnsi="Arial" w:cs="Arial"/>
          <w:sz w:val="22"/>
          <w:szCs w:val="20"/>
        </w:rPr>
        <w:t>Background</w:t>
      </w:r>
    </w:p>
    <w:p w14:paraId="07F50977" w14:textId="77777777" w:rsidR="00F20948" w:rsidRPr="001147D3" w:rsidRDefault="00F20948" w:rsidP="001147D3">
      <w:pPr>
        <w:spacing w:line="240" w:lineRule="auto"/>
        <w:rPr>
          <w:rFonts w:ascii="Arial" w:hAnsi="Arial" w:cs="Arial"/>
          <w:sz w:val="20"/>
          <w:szCs w:val="20"/>
        </w:rPr>
      </w:pPr>
      <w:r w:rsidRPr="001147D3">
        <w:rPr>
          <w:rFonts w:ascii="Arial" w:hAnsi="Arial" w:cs="Arial"/>
          <w:sz w:val="20"/>
          <w:szCs w:val="20"/>
        </w:rPr>
        <w:t>Nigeria's financial services industry has seen significant change in recent years due to the emergence of Financial Technology (FinTech) banks. Customers now have easier access, more convenience, and less fees than with traditional banks because to these technologies, which have completely changed the banking experience. However, especially in developing nations like Nigeria, the growing dependence on digital financial networks has sparked serious worries about security, dependability, and possible hazards. Among the main concerns that customers identify with FinTech banking are online frauds and bankruptcy fears.</w:t>
      </w:r>
    </w:p>
    <w:p w14:paraId="5E78BC2C" w14:textId="77777777" w:rsidR="00F20948" w:rsidRPr="001147D3" w:rsidRDefault="00F20948" w:rsidP="001147D3">
      <w:pPr>
        <w:spacing w:line="240" w:lineRule="auto"/>
        <w:rPr>
          <w:rFonts w:ascii="Arial" w:hAnsi="Arial" w:cs="Arial"/>
          <w:sz w:val="20"/>
          <w:szCs w:val="20"/>
        </w:rPr>
      </w:pPr>
      <w:r w:rsidRPr="001147D3">
        <w:rPr>
          <w:rFonts w:ascii="Arial" w:hAnsi="Arial" w:cs="Arial"/>
          <w:sz w:val="20"/>
          <w:szCs w:val="20"/>
        </w:rPr>
        <w:t xml:space="preserve">These risks represent a major obstacle to the adoption of FinTech services in Nigeria, a nation that struggles with uneven banking infrastructure and low consumer trust in formal financial systems </w:t>
      </w:r>
      <w:sdt>
        <w:sdtPr>
          <w:rPr>
            <w:rFonts w:ascii="Arial" w:hAnsi="Arial" w:cs="Arial"/>
            <w:sz w:val="20"/>
            <w:szCs w:val="20"/>
          </w:rPr>
          <w:id w:val="-415019011"/>
          <w:citation/>
        </w:sdtPr>
        <w:sdtEndPr/>
        <w:sdtContent>
          <w:r w:rsidR="00682E22" w:rsidRPr="001147D3">
            <w:rPr>
              <w:rFonts w:ascii="Arial" w:hAnsi="Arial" w:cs="Arial"/>
              <w:sz w:val="20"/>
              <w:szCs w:val="20"/>
            </w:rPr>
            <w:fldChar w:fldCharType="begin"/>
          </w:r>
          <w:r w:rsidR="00682E22" w:rsidRPr="001147D3">
            <w:rPr>
              <w:rFonts w:ascii="Arial" w:hAnsi="Arial" w:cs="Arial"/>
              <w:sz w:val="20"/>
              <w:szCs w:val="20"/>
            </w:rPr>
            <w:instrText xml:space="preserve"> CITATION Oko25 \l 1033 </w:instrText>
          </w:r>
          <w:r w:rsidR="00682E22" w:rsidRPr="001147D3">
            <w:rPr>
              <w:rFonts w:ascii="Arial" w:hAnsi="Arial" w:cs="Arial"/>
              <w:sz w:val="20"/>
              <w:szCs w:val="20"/>
            </w:rPr>
            <w:fldChar w:fldCharType="separate"/>
          </w:r>
          <w:r w:rsidR="00682E22" w:rsidRPr="001147D3">
            <w:rPr>
              <w:rFonts w:ascii="Arial" w:hAnsi="Arial" w:cs="Arial"/>
              <w:noProof/>
              <w:sz w:val="20"/>
              <w:szCs w:val="20"/>
            </w:rPr>
            <w:t>(Okoh et al., 2025)</w:t>
          </w:r>
          <w:r w:rsidR="00682E22" w:rsidRPr="001147D3">
            <w:rPr>
              <w:rFonts w:ascii="Arial" w:hAnsi="Arial" w:cs="Arial"/>
              <w:sz w:val="20"/>
              <w:szCs w:val="20"/>
            </w:rPr>
            <w:fldChar w:fldCharType="end"/>
          </w:r>
        </w:sdtContent>
      </w:sdt>
      <w:r w:rsidRPr="001147D3">
        <w:rPr>
          <w:rFonts w:ascii="Arial" w:hAnsi="Arial" w:cs="Arial"/>
          <w:sz w:val="20"/>
          <w:szCs w:val="20"/>
        </w:rPr>
        <w:t xml:space="preserve">. The reception of these new financial services is eventually impacted by </w:t>
      </w:r>
      <w:proofErr w:type="spellStart"/>
      <w:r w:rsidRPr="001147D3">
        <w:rPr>
          <w:rFonts w:ascii="Arial" w:hAnsi="Arial" w:cs="Arial"/>
          <w:sz w:val="20"/>
          <w:szCs w:val="20"/>
        </w:rPr>
        <w:t>scepticism</w:t>
      </w:r>
      <w:proofErr w:type="spellEnd"/>
      <w:r w:rsidRPr="001147D3">
        <w:rPr>
          <w:rFonts w:ascii="Arial" w:hAnsi="Arial" w:cs="Arial"/>
          <w:sz w:val="20"/>
          <w:szCs w:val="20"/>
        </w:rPr>
        <w:t xml:space="preserve"> about their security and dependability stemming from the risk of financial losses from </w:t>
      </w:r>
      <w:r w:rsidR="00682E22" w:rsidRPr="001147D3">
        <w:rPr>
          <w:rFonts w:ascii="Arial" w:hAnsi="Arial" w:cs="Arial"/>
          <w:sz w:val="20"/>
          <w:szCs w:val="20"/>
        </w:rPr>
        <w:t xml:space="preserve">possible bankruptcies or scams. </w:t>
      </w:r>
      <w:r w:rsidRPr="001147D3">
        <w:rPr>
          <w:rFonts w:ascii="Arial" w:hAnsi="Arial" w:cs="Arial"/>
          <w:sz w:val="20"/>
          <w:szCs w:val="20"/>
        </w:rPr>
        <w:t>Businesses and regulators in the Nigerian financial ecosystem must comprehend how consumer perceptions of risk impact FinTech adoption, as these views are strongly tied to consumers' trust in financial services.</w:t>
      </w:r>
    </w:p>
    <w:p w14:paraId="58D7C8B0" w14:textId="77777777" w:rsidR="00F20948" w:rsidRPr="001147D3" w:rsidRDefault="00F20948" w:rsidP="001147D3">
      <w:pPr>
        <w:pStyle w:val="Heading1"/>
        <w:spacing w:line="240" w:lineRule="auto"/>
        <w:rPr>
          <w:rFonts w:ascii="Arial" w:hAnsi="Arial" w:cs="Arial"/>
          <w:sz w:val="22"/>
          <w:szCs w:val="20"/>
        </w:rPr>
      </w:pPr>
      <w:r w:rsidRPr="001147D3">
        <w:rPr>
          <w:rFonts w:ascii="Arial" w:hAnsi="Arial" w:cs="Arial"/>
          <w:sz w:val="22"/>
          <w:szCs w:val="20"/>
        </w:rPr>
        <w:t>Statement of the Problem</w:t>
      </w:r>
    </w:p>
    <w:p w14:paraId="693AE692" w14:textId="77777777" w:rsidR="00F20948" w:rsidRPr="001147D3" w:rsidRDefault="00F20948" w:rsidP="001147D3">
      <w:pPr>
        <w:spacing w:line="240" w:lineRule="auto"/>
        <w:rPr>
          <w:rFonts w:ascii="Arial" w:hAnsi="Arial" w:cs="Arial"/>
          <w:sz w:val="20"/>
          <w:szCs w:val="20"/>
        </w:rPr>
      </w:pPr>
      <w:r w:rsidRPr="001147D3">
        <w:rPr>
          <w:rFonts w:ascii="Arial" w:hAnsi="Arial" w:cs="Arial"/>
          <w:sz w:val="20"/>
          <w:szCs w:val="20"/>
        </w:rPr>
        <w:t xml:space="preserve">Despite the many benefits that FinTech banking services provide, such as improved access to financial services, reduced prices, and more convenient banking options, their adoption in Nigeria has been sluggish </w:t>
      </w:r>
      <w:sdt>
        <w:sdtPr>
          <w:rPr>
            <w:rFonts w:ascii="Arial" w:hAnsi="Arial" w:cs="Arial"/>
            <w:sz w:val="20"/>
            <w:szCs w:val="20"/>
          </w:rPr>
          <w:id w:val="-423499769"/>
          <w:citation/>
        </w:sdtPr>
        <w:sdtEndPr/>
        <w:sdtContent>
          <w:r w:rsidR="004147AF" w:rsidRPr="001147D3">
            <w:rPr>
              <w:rFonts w:ascii="Arial" w:hAnsi="Arial" w:cs="Arial"/>
              <w:sz w:val="20"/>
              <w:szCs w:val="20"/>
            </w:rPr>
            <w:fldChar w:fldCharType="begin"/>
          </w:r>
          <w:r w:rsidR="004147AF" w:rsidRPr="001147D3">
            <w:rPr>
              <w:rFonts w:ascii="Arial" w:hAnsi="Arial" w:cs="Arial"/>
              <w:sz w:val="20"/>
              <w:szCs w:val="20"/>
            </w:rPr>
            <w:instrText xml:space="preserve"> CITATION Maj22 \l 1033 </w:instrText>
          </w:r>
          <w:r w:rsidR="004147AF" w:rsidRPr="001147D3">
            <w:rPr>
              <w:rFonts w:ascii="Arial" w:hAnsi="Arial" w:cs="Arial"/>
              <w:sz w:val="20"/>
              <w:szCs w:val="20"/>
            </w:rPr>
            <w:fldChar w:fldCharType="separate"/>
          </w:r>
          <w:r w:rsidR="004147AF" w:rsidRPr="001147D3">
            <w:rPr>
              <w:rFonts w:ascii="Arial" w:hAnsi="Arial" w:cs="Arial"/>
              <w:noProof/>
              <w:sz w:val="20"/>
              <w:szCs w:val="20"/>
            </w:rPr>
            <w:t>(Majid et al., 2022)</w:t>
          </w:r>
          <w:r w:rsidR="004147AF" w:rsidRPr="001147D3">
            <w:rPr>
              <w:rFonts w:ascii="Arial" w:hAnsi="Arial" w:cs="Arial"/>
              <w:sz w:val="20"/>
              <w:szCs w:val="20"/>
            </w:rPr>
            <w:fldChar w:fldCharType="end"/>
          </w:r>
        </w:sdtContent>
      </w:sdt>
      <w:r w:rsidRPr="001147D3">
        <w:rPr>
          <w:rFonts w:ascii="Arial" w:hAnsi="Arial" w:cs="Arial"/>
          <w:sz w:val="20"/>
          <w:szCs w:val="20"/>
        </w:rPr>
        <w:t xml:space="preserve">. Consumer perception of risk, which includes worries about being a victim of </w:t>
      </w:r>
      <w:r w:rsidRPr="001147D3">
        <w:rPr>
          <w:rFonts w:ascii="Arial" w:hAnsi="Arial" w:cs="Arial"/>
          <w:sz w:val="20"/>
          <w:szCs w:val="20"/>
        </w:rPr>
        <w:lastRenderedPageBreak/>
        <w:t>online scams as well as the fear of suffering financial loss as a result of bankruptcy, is a major obstacle to adoption.</w:t>
      </w:r>
    </w:p>
    <w:p w14:paraId="13AC58B1" w14:textId="77777777" w:rsidR="00F20948" w:rsidRPr="001147D3" w:rsidRDefault="00F20948" w:rsidP="001147D3">
      <w:pPr>
        <w:spacing w:line="240" w:lineRule="auto"/>
        <w:rPr>
          <w:rFonts w:ascii="Arial" w:hAnsi="Arial" w:cs="Arial"/>
          <w:sz w:val="20"/>
          <w:szCs w:val="20"/>
        </w:rPr>
      </w:pPr>
      <w:r w:rsidRPr="001147D3">
        <w:rPr>
          <w:rFonts w:ascii="Arial" w:hAnsi="Arial" w:cs="Arial"/>
          <w:sz w:val="20"/>
          <w:szCs w:val="20"/>
        </w:rPr>
        <w:t>Even if FinTech services are becoming more and more popular globally, these hazards still exist in Nigerian society, where fraud and financial instability are common worries. The purpose of this study is to investigate how these anxieties influence Nigerian consumers' attitudes towards FinTech banks. The study will provide important insights into the variables affecting the adoption of FinTech platforms by assessing the degree of faith Nigerian consumers have in the security and dependability of these services.</w:t>
      </w:r>
    </w:p>
    <w:p w14:paraId="55D3361F" w14:textId="77777777" w:rsidR="00F20948" w:rsidRPr="00014C28" w:rsidRDefault="00F20948" w:rsidP="001147D3">
      <w:pPr>
        <w:pStyle w:val="Heading1"/>
        <w:spacing w:line="240" w:lineRule="auto"/>
        <w:rPr>
          <w:rFonts w:ascii="Arial" w:hAnsi="Arial" w:cs="Arial"/>
          <w:sz w:val="22"/>
          <w:szCs w:val="20"/>
        </w:rPr>
      </w:pPr>
      <w:r w:rsidRPr="00014C28">
        <w:rPr>
          <w:rFonts w:ascii="Arial" w:hAnsi="Arial" w:cs="Arial"/>
          <w:sz w:val="22"/>
          <w:szCs w:val="20"/>
        </w:rPr>
        <w:t>Research Objectives</w:t>
      </w:r>
    </w:p>
    <w:p w14:paraId="22D02977" w14:textId="77777777" w:rsidR="00F20948" w:rsidRPr="001147D3" w:rsidRDefault="00F20948" w:rsidP="001147D3">
      <w:pPr>
        <w:spacing w:line="240" w:lineRule="auto"/>
        <w:rPr>
          <w:rFonts w:ascii="Arial" w:hAnsi="Arial" w:cs="Arial"/>
          <w:sz w:val="20"/>
          <w:szCs w:val="20"/>
        </w:rPr>
      </w:pPr>
      <w:r w:rsidRPr="001147D3">
        <w:rPr>
          <w:rFonts w:ascii="Arial" w:hAnsi="Arial" w:cs="Arial"/>
          <w:sz w:val="20"/>
          <w:szCs w:val="20"/>
        </w:rPr>
        <w:t>The primary objectives of this study are:</w:t>
      </w:r>
    </w:p>
    <w:p w14:paraId="26D38AC8" w14:textId="77777777" w:rsidR="00F20948" w:rsidRPr="001147D3" w:rsidRDefault="00F20948" w:rsidP="001147D3">
      <w:pPr>
        <w:pStyle w:val="ListParagraph"/>
        <w:numPr>
          <w:ilvl w:val="0"/>
          <w:numId w:val="4"/>
        </w:numPr>
        <w:spacing w:line="240" w:lineRule="auto"/>
        <w:rPr>
          <w:rFonts w:ascii="Arial" w:hAnsi="Arial" w:cs="Arial"/>
          <w:sz w:val="20"/>
          <w:szCs w:val="20"/>
        </w:rPr>
      </w:pPr>
      <w:r w:rsidRPr="001147D3">
        <w:rPr>
          <w:rFonts w:ascii="Arial" w:hAnsi="Arial" w:cs="Arial"/>
          <w:sz w:val="20"/>
          <w:szCs w:val="20"/>
        </w:rPr>
        <w:t>To examine how fear of bankruptcy and online scams influence consumer perception of FinTech banks in Nigeria.</w:t>
      </w:r>
    </w:p>
    <w:p w14:paraId="1C7FD840" w14:textId="77777777" w:rsidR="00F20948" w:rsidRPr="001147D3" w:rsidRDefault="00F20948" w:rsidP="001147D3">
      <w:pPr>
        <w:pStyle w:val="ListParagraph"/>
        <w:numPr>
          <w:ilvl w:val="0"/>
          <w:numId w:val="4"/>
        </w:numPr>
        <w:spacing w:line="240" w:lineRule="auto"/>
        <w:rPr>
          <w:rFonts w:ascii="Arial" w:hAnsi="Arial" w:cs="Arial"/>
          <w:sz w:val="20"/>
          <w:szCs w:val="20"/>
        </w:rPr>
      </w:pPr>
      <w:r w:rsidRPr="001147D3">
        <w:rPr>
          <w:rFonts w:ascii="Arial" w:hAnsi="Arial" w:cs="Arial"/>
          <w:sz w:val="20"/>
          <w:szCs w:val="20"/>
        </w:rPr>
        <w:t>To assess the level of trust Nigerian consumers have in the safety and reliability of FinTech banking services.</w:t>
      </w:r>
    </w:p>
    <w:p w14:paraId="6F97CE90" w14:textId="77777777" w:rsidR="00F20948" w:rsidRPr="001147D3" w:rsidRDefault="00F20948" w:rsidP="001147D3">
      <w:pPr>
        <w:pStyle w:val="ListParagraph"/>
        <w:numPr>
          <w:ilvl w:val="0"/>
          <w:numId w:val="4"/>
        </w:numPr>
        <w:spacing w:line="240" w:lineRule="auto"/>
        <w:rPr>
          <w:rFonts w:ascii="Arial" w:hAnsi="Arial" w:cs="Arial"/>
          <w:sz w:val="20"/>
          <w:szCs w:val="20"/>
        </w:rPr>
      </w:pPr>
      <w:r w:rsidRPr="001147D3">
        <w:rPr>
          <w:rFonts w:ascii="Arial" w:hAnsi="Arial" w:cs="Arial"/>
          <w:sz w:val="20"/>
          <w:szCs w:val="20"/>
        </w:rPr>
        <w:t>To evaluate how perceived risks affect the adoption and continued usage of FinTech banks in Nigeria.</w:t>
      </w:r>
    </w:p>
    <w:p w14:paraId="2DDC56CF" w14:textId="77777777" w:rsidR="00F20948" w:rsidRPr="00014C28" w:rsidRDefault="00F20948" w:rsidP="001147D3">
      <w:pPr>
        <w:pStyle w:val="Heading1"/>
        <w:spacing w:line="240" w:lineRule="auto"/>
        <w:rPr>
          <w:rFonts w:ascii="Arial" w:hAnsi="Arial" w:cs="Arial"/>
          <w:sz w:val="22"/>
          <w:szCs w:val="20"/>
        </w:rPr>
      </w:pPr>
      <w:r w:rsidRPr="00014C28">
        <w:rPr>
          <w:rFonts w:ascii="Arial" w:hAnsi="Arial" w:cs="Arial"/>
          <w:sz w:val="22"/>
          <w:szCs w:val="20"/>
        </w:rPr>
        <w:t>Research Questions</w:t>
      </w:r>
    </w:p>
    <w:p w14:paraId="78FB1DA2" w14:textId="77777777" w:rsidR="00F20948" w:rsidRPr="001147D3" w:rsidRDefault="00F20948" w:rsidP="001147D3">
      <w:pPr>
        <w:spacing w:line="240" w:lineRule="auto"/>
        <w:rPr>
          <w:rFonts w:ascii="Arial" w:hAnsi="Arial" w:cs="Arial"/>
          <w:sz w:val="20"/>
          <w:szCs w:val="20"/>
        </w:rPr>
      </w:pPr>
      <w:r w:rsidRPr="001147D3">
        <w:rPr>
          <w:rFonts w:ascii="Arial" w:hAnsi="Arial" w:cs="Arial"/>
          <w:sz w:val="20"/>
          <w:szCs w:val="20"/>
        </w:rPr>
        <w:t>This study seeks to answer the following research questions:</w:t>
      </w:r>
    </w:p>
    <w:p w14:paraId="54ACD945" w14:textId="77777777" w:rsidR="00F20948" w:rsidRPr="001147D3" w:rsidRDefault="00F20948" w:rsidP="001147D3">
      <w:pPr>
        <w:pStyle w:val="ListParagraph"/>
        <w:numPr>
          <w:ilvl w:val="0"/>
          <w:numId w:val="3"/>
        </w:numPr>
        <w:spacing w:line="240" w:lineRule="auto"/>
        <w:rPr>
          <w:rFonts w:ascii="Arial" w:hAnsi="Arial" w:cs="Arial"/>
          <w:sz w:val="20"/>
          <w:szCs w:val="20"/>
        </w:rPr>
      </w:pPr>
      <w:r w:rsidRPr="001147D3">
        <w:rPr>
          <w:rFonts w:ascii="Arial" w:hAnsi="Arial" w:cs="Arial"/>
          <w:sz w:val="20"/>
          <w:szCs w:val="20"/>
        </w:rPr>
        <w:t>How does fear of bankruptcy and financial scams shape consumer perception of FinTech banks in Nigeria?</w:t>
      </w:r>
    </w:p>
    <w:p w14:paraId="06180B01" w14:textId="77777777" w:rsidR="00F20948" w:rsidRPr="001147D3" w:rsidRDefault="00F20948" w:rsidP="001147D3">
      <w:pPr>
        <w:pStyle w:val="ListParagraph"/>
        <w:numPr>
          <w:ilvl w:val="0"/>
          <w:numId w:val="3"/>
        </w:numPr>
        <w:spacing w:line="240" w:lineRule="auto"/>
        <w:rPr>
          <w:rFonts w:ascii="Arial" w:hAnsi="Arial" w:cs="Arial"/>
          <w:sz w:val="20"/>
          <w:szCs w:val="20"/>
        </w:rPr>
      </w:pPr>
      <w:r w:rsidRPr="001147D3">
        <w:rPr>
          <w:rFonts w:ascii="Arial" w:hAnsi="Arial" w:cs="Arial"/>
          <w:sz w:val="20"/>
          <w:szCs w:val="20"/>
        </w:rPr>
        <w:t>To what extent do Nigerian consumers trust the security and reliability of FinTech banking services?</w:t>
      </w:r>
    </w:p>
    <w:p w14:paraId="636ADE28" w14:textId="77777777" w:rsidR="00F20948" w:rsidRPr="001147D3" w:rsidRDefault="00F20948" w:rsidP="001147D3">
      <w:pPr>
        <w:pStyle w:val="ListParagraph"/>
        <w:numPr>
          <w:ilvl w:val="0"/>
          <w:numId w:val="3"/>
        </w:numPr>
        <w:spacing w:line="240" w:lineRule="auto"/>
        <w:rPr>
          <w:rFonts w:ascii="Arial" w:hAnsi="Arial" w:cs="Arial"/>
          <w:sz w:val="20"/>
          <w:szCs w:val="20"/>
        </w:rPr>
      </w:pPr>
      <w:r w:rsidRPr="001147D3">
        <w:rPr>
          <w:rFonts w:ascii="Arial" w:hAnsi="Arial" w:cs="Arial"/>
          <w:sz w:val="20"/>
          <w:szCs w:val="20"/>
        </w:rPr>
        <w:t>How do</w:t>
      </w:r>
      <w:r w:rsidR="003A2A58" w:rsidRPr="001147D3">
        <w:rPr>
          <w:rFonts w:ascii="Arial" w:hAnsi="Arial" w:cs="Arial"/>
          <w:sz w:val="20"/>
          <w:szCs w:val="20"/>
        </w:rPr>
        <w:t>es</w:t>
      </w:r>
      <w:r w:rsidRPr="001147D3">
        <w:rPr>
          <w:rFonts w:ascii="Arial" w:hAnsi="Arial" w:cs="Arial"/>
          <w:sz w:val="20"/>
          <w:szCs w:val="20"/>
        </w:rPr>
        <w:t xml:space="preserve"> perceived risks influence the adoption and long-term use of FinTech banks in Nigeria?</w:t>
      </w:r>
    </w:p>
    <w:p w14:paraId="15D99899" w14:textId="77777777" w:rsidR="003A2A58" w:rsidRPr="00014C28" w:rsidRDefault="003A2A58" w:rsidP="001147D3">
      <w:pPr>
        <w:pStyle w:val="Heading1"/>
        <w:spacing w:line="240" w:lineRule="auto"/>
        <w:rPr>
          <w:rFonts w:ascii="Arial" w:hAnsi="Arial" w:cs="Arial"/>
          <w:sz w:val="22"/>
          <w:szCs w:val="20"/>
        </w:rPr>
      </w:pPr>
      <w:r w:rsidRPr="00014C28">
        <w:rPr>
          <w:rFonts w:ascii="Arial" w:hAnsi="Arial" w:cs="Arial"/>
          <w:sz w:val="22"/>
          <w:szCs w:val="20"/>
        </w:rPr>
        <w:t>Significance of the Study</w:t>
      </w:r>
    </w:p>
    <w:p w14:paraId="57BFE6EB" w14:textId="77777777" w:rsidR="003A2A58" w:rsidRPr="001147D3" w:rsidRDefault="003A2A58" w:rsidP="001147D3">
      <w:pPr>
        <w:spacing w:line="240" w:lineRule="auto"/>
        <w:rPr>
          <w:rFonts w:ascii="Arial" w:hAnsi="Arial" w:cs="Arial"/>
          <w:sz w:val="20"/>
          <w:szCs w:val="20"/>
        </w:rPr>
      </w:pPr>
      <w:r w:rsidRPr="001147D3">
        <w:rPr>
          <w:rFonts w:ascii="Arial" w:hAnsi="Arial" w:cs="Arial"/>
          <w:sz w:val="20"/>
          <w:szCs w:val="20"/>
        </w:rPr>
        <w:t>Because it will offer a more thorough understanding of the elements influencing Nigerian consumers' attitudes towards FinTech banks, this study is important. Policymakers and FinTech companies alike must comprehend how risk perception affects the uptake of digital financial services.</w:t>
      </w:r>
    </w:p>
    <w:p w14:paraId="780AAE31" w14:textId="77777777" w:rsidR="003A2A58" w:rsidRPr="001147D3" w:rsidRDefault="003A2A58" w:rsidP="001147D3">
      <w:pPr>
        <w:spacing w:line="240" w:lineRule="auto"/>
        <w:rPr>
          <w:rFonts w:ascii="Arial" w:hAnsi="Arial" w:cs="Arial"/>
          <w:sz w:val="20"/>
          <w:szCs w:val="20"/>
        </w:rPr>
      </w:pPr>
      <w:r w:rsidRPr="001147D3">
        <w:rPr>
          <w:rFonts w:ascii="Arial" w:hAnsi="Arial" w:cs="Arial"/>
          <w:sz w:val="20"/>
          <w:szCs w:val="20"/>
        </w:rPr>
        <w:t>This study will draw attention to the difficulties FinTech banks encounter in winning over customers and the significance of mitigating perceived risks in their service provisions. By comprehending consumer anxieties about online fraud and bankruptcy, FinTech businesses may create plans to allay these worries, build client confidence, and boost their offerings.</w:t>
      </w:r>
    </w:p>
    <w:p w14:paraId="4CC9926C" w14:textId="77777777" w:rsidR="003A2A58" w:rsidRPr="001147D3" w:rsidRDefault="003A2A58" w:rsidP="001147D3">
      <w:pPr>
        <w:spacing w:line="240" w:lineRule="auto"/>
        <w:rPr>
          <w:rFonts w:ascii="Arial" w:hAnsi="Arial" w:cs="Arial"/>
          <w:sz w:val="20"/>
          <w:szCs w:val="20"/>
        </w:rPr>
      </w:pPr>
      <w:r w:rsidRPr="001147D3">
        <w:rPr>
          <w:rFonts w:ascii="Arial" w:hAnsi="Arial" w:cs="Arial"/>
          <w:sz w:val="20"/>
          <w:szCs w:val="20"/>
        </w:rPr>
        <w:t>This study will help policymakers understand how regulatory frameworks contribute to a safe and dependable FinTech ecosystem. Regulators may boost the uptake of digital banking services and support the expansion of Nigeria's digital economy by allaying concerns about financial instability and online frauds.</w:t>
      </w:r>
    </w:p>
    <w:p w14:paraId="6C03268D" w14:textId="77777777" w:rsidR="00F20948" w:rsidRPr="00014C28" w:rsidRDefault="003A2A58" w:rsidP="001147D3">
      <w:pPr>
        <w:pStyle w:val="Heading1"/>
        <w:spacing w:line="240" w:lineRule="auto"/>
        <w:rPr>
          <w:rFonts w:ascii="Arial" w:hAnsi="Arial" w:cs="Arial"/>
          <w:sz w:val="22"/>
          <w:szCs w:val="20"/>
        </w:rPr>
      </w:pPr>
      <w:r w:rsidRPr="00014C28">
        <w:rPr>
          <w:rFonts w:ascii="Arial" w:hAnsi="Arial" w:cs="Arial"/>
          <w:sz w:val="22"/>
          <w:szCs w:val="20"/>
        </w:rPr>
        <w:t>Scope of the Study</w:t>
      </w:r>
    </w:p>
    <w:p w14:paraId="4FEAEFF3" w14:textId="77777777" w:rsidR="003A2A58" w:rsidRPr="001147D3" w:rsidRDefault="003A2A58" w:rsidP="001147D3">
      <w:pPr>
        <w:spacing w:line="240" w:lineRule="auto"/>
        <w:rPr>
          <w:rFonts w:ascii="Arial" w:hAnsi="Arial" w:cs="Arial"/>
          <w:sz w:val="20"/>
          <w:szCs w:val="20"/>
        </w:rPr>
      </w:pPr>
      <w:r w:rsidRPr="001147D3">
        <w:rPr>
          <w:rFonts w:ascii="Arial" w:hAnsi="Arial" w:cs="Arial"/>
          <w:sz w:val="20"/>
          <w:szCs w:val="20"/>
        </w:rPr>
        <w:t>Nigerian consumers that use or are thinking about adopting FinTech banking services will be the main focus of this study. It will evaluate their risk perceptions, particularly with relation to their fear of online fraud and bankruptcy, and investigate how these beliefs influence their choices to use and stick with FinTech banks. The study will also examine how Nigerian users see the security and dependability of FinTech services.</w:t>
      </w:r>
    </w:p>
    <w:p w14:paraId="03041985" w14:textId="77777777" w:rsidR="003A2A58" w:rsidRPr="001147D3" w:rsidRDefault="003A2A58" w:rsidP="001147D3">
      <w:pPr>
        <w:spacing w:line="240" w:lineRule="auto"/>
        <w:rPr>
          <w:rFonts w:ascii="Arial" w:hAnsi="Arial" w:cs="Arial"/>
          <w:sz w:val="20"/>
          <w:szCs w:val="20"/>
        </w:rPr>
      </w:pPr>
      <w:r w:rsidRPr="001147D3">
        <w:rPr>
          <w:rFonts w:ascii="Arial" w:hAnsi="Arial" w:cs="Arial"/>
          <w:sz w:val="20"/>
          <w:szCs w:val="20"/>
        </w:rPr>
        <w:lastRenderedPageBreak/>
        <w:t>Nigeria will serve as the study's geographic focus because of the notable increase in the use of digital banking, mobile money, and other FinTech services there. Because technology and FinTech services are more widely available in urban areas, the study will concentrate on these areas.</w:t>
      </w:r>
    </w:p>
    <w:p w14:paraId="4F53A76E" w14:textId="77777777" w:rsidR="003A2A58" w:rsidRPr="00014C28" w:rsidRDefault="003A2A58" w:rsidP="001147D3">
      <w:pPr>
        <w:pStyle w:val="Heading1"/>
        <w:spacing w:line="240" w:lineRule="auto"/>
        <w:rPr>
          <w:rFonts w:ascii="Arial" w:hAnsi="Arial" w:cs="Arial"/>
          <w:sz w:val="22"/>
          <w:szCs w:val="20"/>
        </w:rPr>
      </w:pPr>
      <w:r w:rsidRPr="00014C28">
        <w:rPr>
          <w:rFonts w:ascii="Arial" w:hAnsi="Arial" w:cs="Arial"/>
          <w:sz w:val="22"/>
          <w:szCs w:val="20"/>
        </w:rPr>
        <w:t>Definition of Key Terms</w:t>
      </w:r>
    </w:p>
    <w:p w14:paraId="574B15EE" w14:textId="77777777" w:rsidR="003A2A58" w:rsidRPr="001147D3" w:rsidRDefault="003A2A58" w:rsidP="001147D3">
      <w:pPr>
        <w:spacing w:line="240" w:lineRule="auto"/>
        <w:rPr>
          <w:rFonts w:ascii="Arial" w:hAnsi="Arial" w:cs="Arial"/>
          <w:sz w:val="20"/>
          <w:szCs w:val="20"/>
        </w:rPr>
      </w:pPr>
      <w:r w:rsidRPr="001147D3">
        <w:rPr>
          <w:rFonts w:ascii="Arial" w:hAnsi="Arial" w:cs="Arial"/>
          <w:b/>
          <w:sz w:val="20"/>
          <w:szCs w:val="20"/>
        </w:rPr>
        <w:t>FinTech Banks:</w:t>
      </w:r>
      <w:r w:rsidRPr="001147D3">
        <w:rPr>
          <w:rFonts w:ascii="Arial" w:hAnsi="Arial" w:cs="Arial"/>
          <w:sz w:val="20"/>
          <w:szCs w:val="20"/>
        </w:rPr>
        <w:t xml:space="preserve"> These are financial organizations that offer banking services by utilizing technology. Without requiring conventional physical branches, they usually provide digital payment methods, loans, insurance, and investment options via websites or mobile apps</w:t>
      </w:r>
      <w:r w:rsidR="004147AF" w:rsidRPr="001147D3">
        <w:rPr>
          <w:rFonts w:ascii="Arial" w:hAnsi="Arial" w:cs="Arial"/>
          <w:sz w:val="20"/>
          <w:szCs w:val="20"/>
        </w:rPr>
        <w:t xml:space="preserve"> </w:t>
      </w:r>
      <w:sdt>
        <w:sdtPr>
          <w:rPr>
            <w:rFonts w:ascii="Arial" w:hAnsi="Arial" w:cs="Arial"/>
            <w:sz w:val="20"/>
            <w:szCs w:val="20"/>
          </w:rPr>
          <w:id w:val="283012479"/>
          <w:citation/>
        </w:sdtPr>
        <w:sdtEndPr/>
        <w:sdtContent>
          <w:r w:rsidR="004147AF" w:rsidRPr="001147D3">
            <w:rPr>
              <w:rFonts w:ascii="Arial" w:hAnsi="Arial" w:cs="Arial"/>
              <w:sz w:val="20"/>
              <w:szCs w:val="20"/>
            </w:rPr>
            <w:fldChar w:fldCharType="begin"/>
          </w:r>
          <w:r w:rsidR="004147AF" w:rsidRPr="001147D3">
            <w:rPr>
              <w:rFonts w:ascii="Arial" w:hAnsi="Arial" w:cs="Arial"/>
              <w:sz w:val="20"/>
              <w:szCs w:val="20"/>
            </w:rPr>
            <w:instrText xml:space="preserve"> CITATION Ogb24 \l 1033 </w:instrText>
          </w:r>
          <w:r w:rsidR="004147AF" w:rsidRPr="001147D3">
            <w:rPr>
              <w:rFonts w:ascii="Arial" w:hAnsi="Arial" w:cs="Arial"/>
              <w:sz w:val="20"/>
              <w:szCs w:val="20"/>
            </w:rPr>
            <w:fldChar w:fldCharType="separate"/>
          </w:r>
          <w:r w:rsidR="004147AF" w:rsidRPr="001147D3">
            <w:rPr>
              <w:rFonts w:ascii="Arial" w:hAnsi="Arial" w:cs="Arial"/>
              <w:noProof/>
              <w:sz w:val="20"/>
              <w:szCs w:val="20"/>
            </w:rPr>
            <w:t>(Ogbonna et al., 2024)</w:t>
          </w:r>
          <w:r w:rsidR="004147AF" w:rsidRPr="001147D3">
            <w:rPr>
              <w:rFonts w:ascii="Arial" w:hAnsi="Arial" w:cs="Arial"/>
              <w:sz w:val="20"/>
              <w:szCs w:val="20"/>
            </w:rPr>
            <w:fldChar w:fldCharType="end"/>
          </w:r>
        </w:sdtContent>
      </w:sdt>
      <w:r w:rsidRPr="001147D3">
        <w:rPr>
          <w:rFonts w:ascii="Arial" w:hAnsi="Arial" w:cs="Arial"/>
          <w:sz w:val="20"/>
          <w:szCs w:val="20"/>
        </w:rPr>
        <w:t>.</w:t>
      </w:r>
    </w:p>
    <w:p w14:paraId="76953CAD" w14:textId="77777777" w:rsidR="003A2A58" w:rsidRPr="001147D3" w:rsidRDefault="003A2A58" w:rsidP="001147D3">
      <w:pPr>
        <w:spacing w:line="240" w:lineRule="auto"/>
        <w:rPr>
          <w:rFonts w:ascii="Arial" w:hAnsi="Arial" w:cs="Arial"/>
          <w:sz w:val="20"/>
          <w:szCs w:val="20"/>
        </w:rPr>
      </w:pPr>
      <w:r w:rsidRPr="001147D3">
        <w:rPr>
          <w:rFonts w:ascii="Arial" w:hAnsi="Arial" w:cs="Arial"/>
          <w:b/>
          <w:sz w:val="20"/>
          <w:szCs w:val="20"/>
        </w:rPr>
        <w:t>Fear of Bankruptcy:</w:t>
      </w:r>
      <w:r w:rsidRPr="001147D3">
        <w:rPr>
          <w:rFonts w:ascii="Arial" w:hAnsi="Arial" w:cs="Arial"/>
          <w:sz w:val="20"/>
          <w:szCs w:val="20"/>
        </w:rPr>
        <w:t xml:space="preserve"> The concern that money or assets invested in a financial inst</w:t>
      </w:r>
      <w:r w:rsidR="009958E9" w:rsidRPr="001147D3">
        <w:rPr>
          <w:rFonts w:ascii="Arial" w:hAnsi="Arial" w:cs="Arial"/>
          <w:sz w:val="20"/>
          <w:szCs w:val="20"/>
        </w:rPr>
        <w:t xml:space="preserve">itution may be lost if it fails </w:t>
      </w:r>
      <w:sdt>
        <w:sdtPr>
          <w:rPr>
            <w:rFonts w:ascii="Arial" w:hAnsi="Arial" w:cs="Arial"/>
            <w:sz w:val="20"/>
            <w:szCs w:val="20"/>
          </w:rPr>
          <w:id w:val="-1989387255"/>
          <w:citation/>
        </w:sdtPr>
        <w:sdtEndPr/>
        <w:sdtContent>
          <w:r w:rsidR="009958E9" w:rsidRPr="001147D3">
            <w:rPr>
              <w:rFonts w:ascii="Arial" w:hAnsi="Arial" w:cs="Arial"/>
              <w:sz w:val="20"/>
              <w:szCs w:val="20"/>
            </w:rPr>
            <w:fldChar w:fldCharType="begin"/>
          </w:r>
          <w:r w:rsidR="009958E9" w:rsidRPr="001147D3">
            <w:rPr>
              <w:rFonts w:ascii="Arial" w:hAnsi="Arial" w:cs="Arial"/>
              <w:sz w:val="20"/>
              <w:szCs w:val="20"/>
            </w:rPr>
            <w:instrText xml:space="preserve"> CITATION Atk24 \l 1033 </w:instrText>
          </w:r>
          <w:r w:rsidR="009958E9" w:rsidRPr="001147D3">
            <w:rPr>
              <w:rFonts w:ascii="Arial" w:hAnsi="Arial" w:cs="Arial"/>
              <w:sz w:val="20"/>
              <w:szCs w:val="20"/>
            </w:rPr>
            <w:fldChar w:fldCharType="separate"/>
          </w:r>
          <w:r w:rsidR="009958E9" w:rsidRPr="001147D3">
            <w:rPr>
              <w:rFonts w:ascii="Arial" w:hAnsi="Arial" w:cs="Arial"/>
              <w:noProof/>
              <w:sz w:val="20"/>
              <w:szCs w:val="20"/>
            </w:rPr>
            <w:t>(Atkinson, 2024)</w:t>
          </w:r>
          <w:r w:rsidR="009958E9" w:rsidRPr="001147D3">
            <w:rPr>
              <w:rFonts w:ascii="Arial" w:hAnsi="Arial" w:cs="Arial"/>
              <w:sz w:val="20"/>
              <w:szCs w:val="20"/>
            </w:rPr>
            <w:fldChar w:fldCharType="end"/>
          </w:r>
        </w:sdtContent>
      </w:sdt>
      <w:r w:rsidR="009958E9" w:rsidRPr="001147D3">
        <w:rPr>
          <w:rFonts w:ascii="Arial" w:hAnsi="Arial" w:cs="Arial"/>
          <w:sz w:val="20"/>
          <w:szCs w:val="20"/>
        </w:rPr>
        <w:t>.</w:t>
      </w:r>
    </w:p>
    <w:p w14:paraId="5645A44B" w14:textId="77777777" w:rsidR="003A2A58" w:rsidRPr="001147D3" w:rsidRDefault="003A2A58" w:rsidP="001147D3">
      <w:pPr>
        <w:spacing w:line="240" w:lineRule="auto"/>
        <w:rPr>
          <w:rFonts w:ascii="Arial" w:hAnsi="Arial" w:cs="Arial"/>
          <w:sz w:val="20"/>
          <w:szCs w:val="20"/>
        </w:rPr>
      </w:pPr>
      <w:r w:rsidRPr="001147D3">
        <w:rPr>
          <w:rFonts w:ascii="Arial" w:hAnsi="Arial" w:cs="Arial"/>
          <w:b/>
          <w:sz w:val="20"/>
          <w:szCs w:val="20"/>
        </w:rPr>
        <w:t>Online Scams:</w:t>
      </w:r>
      <w:r w:rsidRPr="001147D3">
        <w:rPr>
          <w:rFonts w:ascii="Arial" w:hAnsi="Arial" w:cs="Arial"/>
          <w:sz w:val="20"/>
          <w:szCs w:val="20"/>
        </w:rPr>
        <w:t xml:space="preserve"> Online scams are fraudulent actions carried out through the internet that aim to steal financial and personal information from people and organizations. They frequently include phishing attacks, phony websites, and other dishonest tactics</w:t>
      </w:r>
      <w:r w:rsidR="009958E9" w:rsidRPr="001147D3">
        <w:rPr>
          <w:rFonts w:ascii="Arial" w:hAnsi="Arial" w:cs="Arial"/>
          <w:sz w:val="20"/>
          <w:szCs w:val="20"/>
        </w:rPr>
        <w:t xml:space="preserve"> </w:t>
      </w:r>
      <w:sdt>
        <w:sdtPr>
          <w:rPr>
            <w:rFonts w:ascii="Arial" w:hAnsi="Arial" w:cs="Arial"/>
            <w:sz w:val="20"/>
            <w:szCs w:val="20"/>
          </w:rPr>
          <w:id w:val="1761487627"/>
          <w:citation/>
        </w:sdtPr>
        <w:sdtEndPr/>
        <w:sdtContent>
          <w:r w:rsidR="009958E9" w:rsidRPr="001147D3">
            <w:rPr>
              <w:rFonts w:ascii="Arial" w:hAnsi="Arial" w:cs="Arial"/>
              <w:sz w:val="20"/>
              <w:szCs w:val="20"/>
            </w:rPr>
            <w:fldChar w:fldCharType="begin"/>
          </w:r>
          <w:r w:rsidR="009958E9" w:rsidRPr="001147D3">
            <w:rPr>
              <w:rFonts w:ascii="Arial" w:hAnsi="Arial" w:cs="Arial"/>
              <w:sz w:val="20"/>
              <w:szCs w:val="20"/>
            </w:rPr>
            <w:instrText xml:space="preserve"> CITATION Jai24 \l 1033 </w:instrText>
          </w:r>
          <w:r w:rsidR="009958E9" w:rsidRPr="001147D3">
            <w:rPr>
              <w:rFonts w:ascii="Arial" w:hAnsi="Arial" w:cs="Arial"/>
              <w:sz w:val="20"/>
              <w:szCs w:val="20"/>
            </w:rPr>
            <w:fldChar w:fldCharType="separate"/>
          </w:r>
          <w:r w:rsidR="009958E9" w:rsidRPr="001147D3">
            <w:rPr>
              <w:rFonts w:ascii="Arial" w:hAnsi="Arial" w:cs="Arial"/>
              <w:noProof/>
              <w:sz w:val="20"/>
              <w:szCs w:val="20"/>
            </w:rPr>
            <w:t>(Jais et al., 2024)</w:t>
          </w:r>
          <w:r w:rsidR="009958E9" w:rsidRPr="001147D3">
            <w:rPr>
              <w:rFonts w:ascii="Arial" w:hAnsi="Arial" w:cs="Arial"/>
              <w:sz w:val="20"/>
              <w:szCs w:val="20"/>
            </w:rPr>
            <w:fldChar w:fldCharType="end"/>
          </w:r>
        </w:sdtContent>
      </w:sdt>
      <w:r w:rsidRPr="001147D3">
        <w:rPr>
          <w:rFonts w:ascii="Arial" w:hAnsi="Arial" w:cs="Arial"/>
          <w:sz w:val="20"/>
          <w:szCs w:val="20"/>
        </w:rPr>
        <w:t>.</w:t>
      </w:r>
    </w:p>
    <w:p w14:paraId="48BCBD5E" w14:textId="77777777" w:rsidR="003A2A58" w:rsidRPr="001147D3" w:rsidRDefault="003A2A58" w:rsidP="001147D3">
      <w:pPr>
        <w:spacing w:line="240" w:lineRule="auto"/>
        <w:rPr>
          <w:rFonts w:ascii="Arial" w:hAnsi="Arial" w:cs="Arial"/>
          <w:sz w:val="20"/>
          <w:szCs w:val="20"/>
        </w:rPr>
      </w:pPr>
      <w:r w:rsidRPr="001147D3">
        <w:rPr>
          <w:rFonts w:ascii="Arial" w:hAnsi="Arial" w:cs="Arial"/>
          <w:b/>
          <w:sz w:val="20"/>
          <w:szCs w:val="20"/>
        </w:rPr>
        <w:t>Risk Perception:</w:t>
      </w:r>
      <w:r w:rsidRPr="001147D3">
        <w:rPr>
          <w:rFonts w:ascii="Arial" w:hAnsi="Arial" w:cs="Arial"/>
          <w:sz w:val="20"/>
          <w:szCs w:val="20"/>
        </w:rPr>
        <w:t xml:space="preserve"> The personal assessment people make regarding the likelihood and seriousness of a risk materializing. Consumer concerns about the security, dependability, and possibility of financial loss through digital banking platforms are referred to in the context of FinTech banks</w:t>
      </w:r>
      <w:r w:rsidR="005869D6" w:rsidRPr="001147D3">
        <w:rPr>
          <w:rFonts w:ascii="Arial" w:hAnsi="Arial" w:cs="Arial"/>
          <w:sz w:val="20"/>
          <w:szCs w:val="20"/>
        </w:rPr>
        <w:t xml:space="preserve"> </w:t>
      </w:r>
      <w:sdt>
        <w:sdtPr>
          <w:rPr>
            <w:rFonts w:ascii="Arial" w:hAnsi="Arial" w:cs="Arial"/>
            <w:sz w:val="20"/>
            <w:szCs w:val="20"/>
          </w:rPr>
          <w:id w:val="568079380"/>
          <w:citation/>
        </w:sdtPr>
        <w:sdtEndPr/>
        <w:sdtContent>
          <w:r w:rsidR="005869D6" w:rsidRPr="001147D3">
            <w:rPr>
              <w:rFonts w:ascii="Arial" w:hAnsi="Arial" w:cs="Arial"/>
              <w:sz w:val="20"/>
              <w:szCs w:val="20"/>
            </w:rPr>
            <w:fldChar w:fldCharType="begin"/>
          </w:r>
          <w:r w:rsidR="005869D6" w:rsidRPr="001147D3">
            <w:rPr>
              <w:rFonts w:ascii="Arial" w:hAnsi="Arial" w:cs="Arial"/>
              <w:sz w:val="20"/>
              <w:szCs w:val="20"/>
            </w:rPr>
            <w:instrText xml:space="preserve"> CITATION Sie20 \l 1033 </w:instrText>
          </w:r>
          <w:r w:rsidR="005869D6" w:rsidRPr="001147D3">
            <w:rPr>
              <w:rFonts w:ascii="Arial" w:hAnsi="Arial" w:cs="Arial"/>
              <w:sz w:val="20"/>
              <w:szCs w:val="20"/>
            </w:rPr>
            <w:fldChar w:fldCharType="separate"/>
          </w:r>
          <w:r w:rsidR="005869D6" w:rsidRPr="001147D3">
            <w:rPr>
              <w:rFonts w:ascii="Arial" w:hAnsi="Arial" w:cs="Arial"/>
              <w:noProof/>
              <w:sz w:val="20"/>
              <w:szCs w:val="20"/>
            </w:rPr>
            <w:t>(Siegrist &amp; Arvai, 2020)</w:t>
          </w:r>
          <w:r w:rsidR="005869D6" w:rsidRPr="001147D3">
            <w:rPr>
              <w:rFonts w:ascii="Arial" w:hAnsi="Arial" w:cs="Arial"/>
              <w:sz w:val="20"/>
              <w:szCs w:val="20"/>
            </w:rPr>
            <w:fldChar w:fldCharType="end"/>
          </w:r>
        </w:sdtContent>
      </w:sdt>
      <w:r w:rsidRPr="001147D3">
        <w:rPr>
          <w:rFonts w:ascii="Arial" w:hAnsi="Arial" w:cs="Arial"/>
          <w:sz w:val="20"/>
          <w:szCs w:val="20"/>
        </w:rPr>
        <w:t>.</w:t>
      </w:r>
    </w:p>
    <w:p w14:paraId="0BB99D1D" w14:textId="77777777" w:rsidR="003A2A58" w:rsidRPr="001147D3" w:rsidRDefault="003A2A58" w:rsidP="001147D3">
      <w:pPr>
        <w:spacing w:line="240" w:lineRule="auto"/>
        <w:rPr>
          <w:rFonts w:ascii="Arial" w:hAnsi="Arial" w:cs="Arial"/>
          <w:sz w:val="20"/>
          <w:szCs w:val="20"/>
        </w:rPr>
      </w:pPr>
      <w:r w:rsidRPr="001147D3">
        <w:rPr>
          <w:rFonts w:ascii="Arial" w:hAnsi="Arial" w:cs="Arial"/>
          <w:b/>
          <w:sz w:val="20"/>
          <w:szCs w:val="20"/>
        </w:rPr>
        <w:t>Trust:</w:t>
      </w:r>
      <w:r w:rsidRPr="001147D3">
        <w:rPr>
          <w:rFonts w:ascii="Arial" w:hAnsi="Arial" w:cs="Arial"/>
          <w:sz w:val="20"/>
          <w:szCs w:val="20"/>
        </w:rPr>
        <w:t xml:space="preserve"> When it comes to financial services, trust is the conviction that a financial institution will operate in the best interests of its customers and offer dependable, secure services</w:t>
      </w:r>
      <w:r w:rsidR="005869D6" w:rsidRPr="001147D3">
        <w:rPr>
          <w:rFonts w:ascii="Arial" w:hAnsi="Arial" w:cs="Arial"/>
          <w:sz w:val="20"/>
          <w:szCs w:val="20"/>
        </w:rPr>
        <w:t xml:space="preserve"> </w:t>
      </w:r>
      <w:sdt>
        <w:sdtPr>
          <w:rPr>
            <w:rFonts w:ascii="Arial" w:hAnsi="Arial" w:cs="Arial"/>
            <w:sz w:val="20"/>
            <w:szCs w:val="20"/>
          </w:rPr>
          <w:id w:val="-1454250427"/>
          <w:citation/>
        </w:sdtPr>
        <w:sdtEndPr/>
        <w:sdtContent>
          <w:r w:rsidR="005869D6" w:rsidRPr="001147D3">
            <w:rPr>
              <w:rFonts w:ascii="Arial" w:hAnsi="Arial" w:cs="Arial"/>
              <w:sz w:val="20"/>
              <w:szCs w:val="20"/>
            </w:rPr>
            <w:fldChar w:fldCharType="begin"/>
          </w:r>
          <w:r w:rsidR="005869D6" w:rsidRPr="001147D3">
            <w:rPr>
              <w:rFonts w:ascii="Arial" w:hAnsi="Arial" w:cs="Arial"/>
              <w:sz w:val="20"/>
              <w:szCs w:val="20"/>
            </w:rPr>
            <w:instrText xml:space="preserve"> CITATION Dev25 \l 1033 </w:instrText>
          </w:r>
          <w:r w:rsidR="005869D6" w:rsidRPr="001147D3">
            <w:rPr>
              <w:rFonts w:ascii="Arial" w:hAnsi="Arial" w:cs="Arial"/>
              <w:sz w:val="20"/>
              <w:szCs w:val="20"/>
            </w:rPr>
            <w:fldChar w:fldCharType="separate"/>
          </w:r>
          <w:r w:rsidR="005869D6" w:rsidRPr="001147D3">
            <w:rPr>
              <w:rFonts w:ascii="Arial" w:hAnsi="Arial" w:cs="Arial"/>
              <w:noProof/>
              <w:sz w:val="20"/>
              <w:szCs w:val="20"/>
            </w:rPr>
            <w:t>(Devlin et al., 2025)</w:t>
          </w:r>
          <w:r w:rsidR="005869D6" w:rsidRPr="001147D3">
            <w:rPr>
              <w:rFonts w:ascii="Arial" w:hAnsi="Arial" w:cs="Arial"/>
              <w:sz w:val="20"/>
              <w:szCs w:val="20"/>
            </w:rPr>
            <w:fldChar w:fldCharType="end"/>
          </w:r>
        </w:sdtContent>
      </w:sdt>
      <w:r w:rsidRPr="001147D3">
        <w:rPr>
          <w:rFonts w:ascii="Arial" w:hAnsi="Arial" w:cs="Arial"/>
          <w:sz w:val="20"/>
          <w:szCs w:val="20"/>
        </w:rPr>
        <w:t>.</w:t>
      </w:r>
    </w:p>
    <w:p w14:paraId="6ACD0C77" w14:textId="77777777" w:rsidR="00E33DE9" w:rsidRPr="001147D3" w:rsidRDefault="00E33DE9" w:rsidP="001147D3">
      <w:pPr>
        <w:spacing w:line="240" w:lineRule="auto"/>
        <w:rPr>
          <w:rFonts w:ascii="Arial" w:hAnsi="Arial" w:cs="Arial"/>
          <w:sz w:val="20"/>
          <w:szCs w:val="20"/>
        </w:rPr>
      </w:pPr>
      <w:r w:rsidRPr="001147D3">
        <w:rPr>
          <w:rFonts w:ascii="Arial" w:hAnsi="Arial" w:cs="Arial"/>
          <w:sz w:val="20"/>
          <w:szCs w:val="20"/>
        </w:rPr>
        <w:t>The study's primary goals, inquiries, and importance regarding Nigerians' concern of scams and bankruptcy, as well as their impression of risk when using FinTech banking services, have been d</w:t>
      </w:r>
      <w:r w:rsidR="005869D6" w:rsidRPr="001147D3">
        <w:rPr>
          <w:rFonts w:ascii="Arial" w:hAnsi="Arial" w:cs="Arial"/>
          <w:sz w:val="20"/>
          <w:szCs w:val="20"/>
        </w:rPr>
        <w:t xml:space="preserve">elineated in the introduction. </w:t>
      </w:r>
      <w:r w:rsidRPr="001147D3">
        <w:rPr>
          <w:rFonts w:ascii="Arial" w:hAnsi="Arial" w:cs="Arial"/>
          <w:sz w:val="20"/>
          <w:szCs w:val="20"/>
        </w:rPr>
        <w:t>Through examining these variables, the study will advance knowledge of how Nigerian customers view the dangers connected to FinTech banks and how these views influence adoption choices. In order to lay the groundwork for the study's methodology and analysis, the following chapter will review the body of literature already written on these subjects.</w:t>
      </w:r>
    </w:p>
    <w:p w14:paraId="57643481" w14:textId="77777777" w:rsidR="00E33DE9" w:rsidRPr="00014C28" w:rsidRDefault="00E33DE9" w:rsidP="001147D3">
      <w:pPr>
        <w:pStyle w:val="Heading1"/>
        <w:spacing w:line="240" w:lineRule="auto"/>
        <w:rPr>
          <w:rFonts w:ascii="Arial" w:hAnsi="Arial" w:cs="Arial"/>
          <w:sz w:val="22"/>
          <w:szCs w:val="20"/>
        </w:rPr>
      </w:pPr>
      <w:r w:rsidRPr="00014C28">
        <w:rPr>
          <w:rFonts w:ascii="Arial" w:hAnsi="Arial" w:cs="Arial"/>
          <w:sz w:val="22"/>
          <w:szCs w:val="20"/>
        </w:rPr>
        <w:t>Literature Review</w:t>
      </w:r>
    </w:p>
    <w:p w14:paraId="3A3F1BB2" w14:textId="77777777" w:rsidR="00E33DE9" w:rsidRPr="00014C28" w:rsidRDefault="00E33DE9" w:rsidP="001147D3">
      <w:pPr>
        <w:pStyle w:val="Heading2"/>
        <w:spacing w:line="240" w:lineRule="auto"/>
        <w:rPr>
          <w:rFonts w:ascii="Arial" w:hAnsi="Arial" w:cs="Arial"/>
          <w:sz w:val="22"/>
          <w:szCs w:val="20"/>
        </w:rPr>
      </w:pPr>
      <w:r w:rsidRPr="00014C28">
        <w:rPr>
          <w:rFonts w:ascii="Arial" w:hAnsi="Arial" w:cs="Arial"/>
          <w:sz w:val="22"/>
          <w:szCs w:val="20"/>
        </w:rPr>
        <w:t>Overview</w:t>
      </w:r>
    </w:p>
    <w:p w14:paraId="2216458C" w14:textId="77777777" w:rsidR="00E33DE9" w:rsidRPr="001147D3" w:rsidRDefault="00E33DE9" w:rsidP="001147D3">
      <w:pPr>
        <w:spacing w:line="240" w:lineRule="auto"/>
        <w:rPr>
          <w:rFonts w:ascii="Arial" w:hAnsi="Arial" w:cs="Arial"/>
          <w:sz w:val="20"/>
          <w:szCs w:val="20"/>
        </w:rPr>
      </w:pPr>
      <w:r w:rsidRPr="001147D3">
        <w:rPr>
          <w:rFonts w:ascii="Arial" w:hAnsi="Arial" w:cs="Arial"/>
          <w:sz w:val="20"/>
          <w:szCs w:val="20"/>
        </w:rPr>
        <w:t>FinTech banks' explosive growth has had a significant impact on the financial services sector in both developed and developing nation</w:t>
      </w:r>
      <w:r w:rsidR="00470661" w:rsidRPr="001147D3">
        <w:rPr>
          <w:rFonts w:ascii="Arial" w:hAnsi="Arial" w:cs="Arial"/>
          <w:sz w:val="20"/>
          <w:szCs w:val="20"/>
        </w:rPr>
        <w:t xml:space="preserve">s, including Nigeria. </w:t>
      </w:r>
      <w:r w:rsidRPr="001147D3">
        <w:rPr>
          <w:rFonts w:ascii="Arial" w:hAnsi="Arial" w:cs="Arial"/>
          <w:sz w:val="20"/>
          <w:szCs w:val="20"/>
        </w:rPr>
        <w:t>However, consumers' worries about the alleged risks connected to these digital platforms have increased in tandem with t</w:t>
      </w:r>
      <w:r w:rsidR="00470661" w:rsidRPr="001147D3">
        <w:rPr>
          <w:rFonts w:ascii="Arial" w:hAnsi="Arial" w:cs="Arial"/>
          <w:sz w:val="20"/>
          <w:szCs w:val="20"/>
        </w:rPr>
        <w:t xml:space="preserve">he growth of FinTech services. </w:t>
      </w:r>
      <w:r w:rsidRPr="001147D3">
        <w:rPr>
          <w:rFonts w:ascii="Arial" w:hAnsi="Arial" w:cs="Arial"/>
          <w:sz w:val="20"/>
          <w:szCs w:val="20"/>
        </w:rPr>
        <w:t>Among other things, consumer perception is shaped by the fear of bankruptcy and online scams, which in turn affects t</w:t>
      </w:r>
      <w:r w:rsidR="00470661" w:rsidRPr="001147D3">
        <w:rPr>
          <w:rFonts w:ascii="Arial" w:hAnsi="Arial" w:cs="Arial"/>
          <w:sz w:val="20"/>
          <w:szCs w:val="20"/>
        </w:rPr>
        <w:t xml:space="preserve">he uptake of FinTech services. </w:t>
      </w:r>
      <w:r w:rsidRPr="001147D3">
        <w:rPr>
          <w:rFonts w:ascii="Arial" w:hAnsi="Arial" w:cs="Arial"/>
          <w:sz w:val="20"/>
          <w:szCs w:val="20"/>
        </w:rPr>
        <w:t>This chapter examines the body of research on the adoption of fintech in Nigeria, with an emphasis on trust, risk perception, and the psychological obstacles that affect customer behavior.</w:t>
      </w:r>
    </w:p>
    <w:p w14:paraId="4B76C315" w14:textId="77777777" w:rsidR="00470661" w:rsidRPr="00014C28" w:rsidRDefault="00470661" w:rsidP="001147D3">
      <w:pPr>
        <w:pStyle w:val="Heading2"/>
        <w:spacing w:line="240" w:lineRule="auto"/>
        <w:rPr>
          <w:rFonts w:ascii="Arial" w:hAnsi="Arial" w:cs="Arial"/>
          <w:sz w:val="22"/>
          <w:szCs w:val="20"/>
        </w:rPr>
      </w:pPr>
      <w:r w:rsidRPr="00014C28">
        <w:rPr>
          <w:rFonts w:ascii="Arial" w:hAnsi="Arial" w:cs="Arial"/>
          <w:sz w:val="22"/>
          <w:szCs w:val="20"/>
        </w:rPr>
        <w:t>Understanding FinTech in Nigeria</w:t>
      </w:r>
    </w:p>
    <w:p w14:paraId="2626D173" w14:textId="77777777" w:rsidR="00470661" w:rsidRPr="001147D3" w:rsidRDefault="00470661" w:rsidP="001147D3">
      <w:pPr>
        <w:spacing w:line="240" w:lineRule="auto"/>
        <w:rPr>
          <w:rFonts w:ascii="Arial" w:hAnsi="Arial" w:cs="Arial"/>
          <w:sz w:val="20"/>
          <w:szCs w:val="20"/>
        </w:rPr>
      </w:pPr>
      <w:r w:rsidRPr="001147D3">
        <w:rPr>
          <w:rFonts w:ascii="Arial" w:hAnsi="Arial" w:cs="Arial"/>
          <w:sz w:val="20"/>
          <w:szCs w:val="20"/>
        </w:rPr>
        <w:t xml:space="preserve">FinTech is the term used to describe how financial services firms incorporate technology into their products to enhance customers' financial services experience. Nigeria's FinTech revolution is a component of the financial industry's larger trend of digital transformation. Through the use of digital platforms and mobile phones, this shift has increased the accessibility of financial services for the underbanked and underserved people. With the Central Bank of Nigeria (CBN) supporting cashless policies and technologies such online lending, digital payment systems, and mobile banking, Nigeria has seen a notable increase in digital financial services as of 2023 </w:t>
      </w:r>
      <w:sdt>
        <w:sdtPr>
          <w:rPr>
            <w:rFonts w:ascii="Arial" w:hAnsi="Arial" w:cs="Arial"/>
            <w:sz w:val="20"/>
            <w:szCs w:val="20"/>
          </w:rPr>
          <w:id w:val="-929732527"/>
          <w:citation/>
        </w:sdtPr>
        <w:sdtEndPr/>
        <w:sdtContent>
          <w:r w:rsidR="00EF48AC" w:rsidRPr="001147D3">
            <w:rPr>
              <w:rFonts w:ascii="Arial" w:hAnsi="Arial" w:cs="Arial"/>
              <w:sz w:val="20"/>
              <w:szCs w:val="20"/>
            </w:rPr>
            <w:fldChar w:fldCharType="begin"/>
          </w:r>
          <w:r w:rsidR="00EF48AC" w:rsidRPr="001147D3">
            <w:rPr>
              <w:rFonts w:ascii="Arial" w:hAnsi="Arial" w:cs="Arial"/>
              <w:sz w:val="20"/>
              <w:szCs w:val="20"/>
            </w:rPr>
            <w:instrText xml:space="preserve"> CITATION Ogu23 \l 1033 </w:instrText>
          </w:r>
          <w:r w:rsidR="00EF48AC" w:rsidRPr="001147D3">
            <w:rPr>
              <w:rFonts w:ascii="Arial" w:hAnsi="Arial" w:cs="Arial"/>
              <w:sz w:val="20"/>
              <w:szCs w:val="20"/>
            </w:rPr>
            <w:fldChar w:fldCharType="separate"/>
          </w:r>
          <w:r w:rsidR="00EF48AC" w:rsidRPr="001147D3">
            <w:rPr>
              <w:rFonts w:ascii="Arial" w:hAnsi="Arial" w:cs="Arial"/>
              <w:noProof/>
              <w:sz w:val="20"/>
              <w:szCs w:val="20"/>
            </w:rPr>
            <w:t>(Ogunode &amp; Akintoye, 2023)</w:t>
          </w:r>
          <w:r w:rsidR="00EF48AC" w:rsidRPr="001147D3">
            <w:rPr>
              <w:rFonts w:ascii="Arial" w:hAnsi="Arial" w:cs="Arial"/>
              <w:sz w:val="20"/>
              <w:szCs w:val="20"/>
            </w:rPr>
            <w:fldChar w:fldCharType="end"/>
          </w:r>
        </w:sdtContent>
      </w:sdt>
      <w:r w:rsidRPr="001147D3">
        <w:rPr>
          <w:rFonts w:ascii="Arial" w:hAnsi="Arial" w:cs="Arial"/>
          <w:sz w:val="20"/>
          <w:szCs w:val="20"/>
        </w:rPr>
        <w:t>.</w:t>
      </w:r>
    </w:p>
    <w:p w14:paraId="3A3DF3EE" w14:textId="77777777" w:rsidR="00470661" w:rsidRPr="001147D3" w:rsidRDefault="00470661" w:rsidP="001147D3">
      <w:pPr>
        <w:spacing w:line="240" w:lineRule="auto"/>
        <w:rPr>
          <w:rFonts w:ascii="Arial" w:hAnsi="Arial" w:cs="Arial"/>
          <w:sz w:val="20"/>
          <w:szCs w:val="20"/>
        </w:rPr>
      </w:pPr>
      <w:r w:rsidRPr="001147D3">
        <w:rPr>
          <w:rFonts w:ascii="Arial" w:hAnsi="Arial" w:cs="Arial"/>
          <w:sz w:val="20"/>
          <w:szCs w:val="20"/>
        </w:rPr>
        <w:t xml:space="preserve">Millions of Nigerians now have access to financial services that were previously unattainable thanks to the growth of mobile money services like </w:t>
      </w:r>
      <w:proofErr w:type="spellStart"/>
      <w:r w:rsidRPr="001147D3">
        <w:rPr>
          <w:rFonts w:ascii="Arial" w:hAnsi="Arial" w:cs="Arial"/>
          <w:sz w:val="20"/>
          <w:szCs w:val="20"/>
        </w:rPr>
        <w:t>Paga</w:t>
      </w:r>
      <w:proofErr w:type="spellEnd"/>
      <w:r w:rsidRPr="001147D3">
        <w:rPr>
          <w:rFonts w:ascii="Arial" w:hAnsi="Arial" w:cs="Arial"/>
          <w:sz w:val="20"/>
          <w:szCs w:val="20"/>
        </w:rPr>
        <w:t xml:space="preserve">, </w:t>
      </w:r>
      <w:proofErr w:type="spellStart"/>
      <w:r w:rsidRPr="001147D3">
        <w:rPr>
          <w:rFonts w:ascii="Arial" w:hAnsi="Arial" w:cs="Arial"/>
          <w:sz w:val="20"/>
          <w:szCs w:val="20"/>
        </w:rPr>
        <w:t>Interswitch</w:t>
      </w:r>
      <w:proofErr w:type="spellEnd"/>
      <w:r w:rsidRPr="001147D3">
        <w:rPr>
          <w:rFonts w:ascii="Arial" w:hAnsi="Arial" w:cs="Arial"/>
          <w:sz w:val="20"/>
          <w:szCs w:val="20"/>
        </w:rPr>
        <w:t xml:space="preserve">, and </w:t>
      </w:r>
      <w:proofErr w:type="spellStart"/>
      <w:r w:rsidRPr="001147D3">
        <w:rPr>
          <w:rFonts w:ascii="Arial" w:hAnsi="Arial" w:cs="Arial"/>
          <w:sz w:val="20"/>
          <w:szCs w:val="20"/>
        </w:rPr>
        <w:t>Flutterwave</w:t>
      </w:r>
      <w:proofErr w:type="spellEnd"/>
      <w:r w:rsidRPr="001147D3">
        <w:rPr>
          <w:rFonts w:ascii="Arial" w:hAnsi="Arial" w:cs="Arial"/>
          <w:sz w:val="20"/>
          <w:szCs w:val="20"/>
        </w:rPr>
        <w:t xml:space="preserve"> </w:t>
      </w:r>
      <w:sdt>
        <w:sdtPr>
          <w:rPr>
            <w:rFonts w:ascii="Arial" w:hAnsi="Arial" w:cs="Arial"/>
            <w:sz w:val="20"/>
            <w:szCs w:val="20"/>
          </w:rPr>
          <w:id w:val="-27804630"/>
          <w:citation/>
        </w:sdtPr>
        <w:sdtEndPr/>
        <w:sdtContent>
          <w:r w:rsidR="00EF48AC" w:rsidRPr="001147D3">
            <w:rPr>
              <w:rFonts w:ascii="Arial" w:hAnsi="Arial" w:cs="Arial"/>
              <w:sz w:val="20"/>
              <w:szCs w:val="20"/>
            </w:rPr>
            <w:fldChar w:fldCharType="begin"/>
          </w:r>
          <w:r w:rsidR="00EF48AC" w:rsidRPr="001147D3">
            <w:rPr>
              <w:rFonts w:ascii="Arial" w:hAnsi="Arial" w:cs="Arial"/>
              <w:sz w:val="20"/>
              <w:szCs w:val="20"/>
            </w:rPr>
            <w:instrText xml:space="preserve"> CITATION Maj22 \l 1033 </w:instrText>
          </w:r>
          <w:r w:rsidR="00EF48AC" w:rsidRPr="001147D3">
            <w:rPr>
              <w:rFonts w:ascii="Arial" w:hAnsi="Arial" w:cs="Arial"/>
              <w:sz w:val="20"/>
              <w:szCs w:val="20"/>
            </w:rPr>
            <w:fldChar w:fldCharType="separate"/>
          </w:r>
          <w:r w:rsidR="00EF48AC" w:rsidRPr="001147D3">
            <w:rPr>
              <w:rFonts w:ascii="Arial" w:hAnsi="Arial" w:cs="Arial"/>
              <w:noProof/>
              <w:sz w:val="20"/>
              <w:szCs w:val="20"/>
            </w:rPr>
            <w:t>(Majid et al., 2022)</w:t>
          </w:r>
          <w:r w:rsidR="00EF48AC" w:rsidRPr="001147D3">
            <w:rPr>
              <w:rFonts w:ascii="Arial" w:hAnsi="Arial" w:cs="Arial"/>
              <w:sz w:val="20"/>
              <w:szCs w:val="20"/>
            </w:rPr>
            <w:fldChar w:fldCharType="end"/>
          </w:r>
        </w:sdtContent>
      </w:sdt>
      <w:r w:rsidRPr="001147D3">
        <w:rPr>
          <w:rFonts w:ascii="Arial" w:hAnsi="Arial" w:cs="Arial"/>
          <w:sz w:val="20"/>
          <w:szCs w:val="20"/>
        </w:rPr>
        <w:t xml:space="preserve">. Due in significant part to customer worries over security, fraud, and the possibility of service failure, adoption rates are still below their potential despite these developments </w:t>
      </w:r>
      <w:sdt>
        <w:sdtPr>
          <w:rPr>
            <w:rFonts w:ascii="Arial" w:hAnsi="Arial" w:cs="Arial"/>
            <w:sz w:val="20"/>
            <w:szCs w:val="20"/>
          </w:rPr>
          <w:id w:val="-489938325"/>
          <w:citation/>
        </w:sdtPr>
        <w:sdtEndPr/>
        <w:sdtContent>
          <w:r w:rsidR="00EF48AC" w:rsidRPr="001147D3">
            <w:rPr>
              <w:rFonts w:ascii="Arial" w:hAnsi="Arial" w:cs="Arial"/>
              <w:sz w:val="20"/>
              <w:szCs w:val="20"/>
            </w:rPr>
            <w:fldChar w:fldCharType="begin"/>
          </w:r>
          <w:r w:rsidR="00EF48AC" w:rsidRPr="001147D3">
            <w:rPr>
              <w:rFonts w:ascii="Arial" w:hAnsi="Arial" w:cs="Arial"/>
              <w:sz w:val="20"/>
              <w:szCs w:val="20"/>
            </w:rPr>
            <w:instrText xml:space="preserve"> CITATION Oko25 \l 1033 </w:instrText>
          </w:r>
          <w:r w:rsidR="00EF48AC" w:rsidRPr="001147D3">
            <w:rPr>
              <w:rFonts w:ascii="Arial" w:hAnsi="Arial" w:cs="Arial"/>
              <w:sz w:val="20"/>
              <w:szCs w:val="20"/>
            </w:rPr>
            <w:fldChar w:fldCharType="separate"/>
          </w:r>
          <w:r w:rsidR="00EF48AC" w:rsidRPr="001147D3">
            <w:rPr>
              <w:rFonts w:ascii="Arial" w:hAnsi="Arial" w:cs="Arial"/>
              <w:noProof/>
              <w:sz w:val="20"/>
              <w:szCs w:val="20"/>
            </w:rPr>
            <w:t>(Okoh et al., 2025)</w:t>
          </w:r>
          <w:r w:rsidR="00EF48AC" w:rsidRPr="001147D3">
            <w:rPr>
              <w:rFonts w:ascii="Arial" w:hAnsi="Arial" w:cs="Arial"/>
              <w:sz w:val="20"/>
              <w:szCs w:val="20"/>
            </w:rPr>
            <w:fldChar w:fldCharType="end"/>
          </w:r>
        </w:sdtContent>
      </w:sdt>
      <w:r w:rsidRPr="001147D3">
        <w:rPr>
          <w:rFonts w:ascii="Arial" w:hAnsi="Arial" w:cs="Arial"/>
          <w:sz w:val="20"/>
          <w:szCs w:val="20"/>
        </w:rPr>
        <w:t>.</w:t>
      </w:r>
    </w:p>
    <w:p w14:paraId="75C3D26A" w14:textId="77777777" w:rsidR="00470661" w:rsidRPr="00014C28" w:rsidRDefault="00470661" w:rsidP="001147D3">
      <w:pPr>
        <w:pStyle w:val="Heading2"/>
        <w:spacing w:line="240" w:lineRule="auto"/>
        <w:rPr>
          <w:rFonts w:ascii="Arial" w:hAnsi="Arial" w:cs="Arial"/>
          <w:sz w:val="22"/>
          <w:szCs w:val="20"/>
        </w:rPr>
      </w:pPr>
      <w:r w:rsidRPr="00014C28">
        <w:rPr>
          <w:rFonts w:ascii="Arial" w:hAnsi="Arial" w:cs="Arial"/>
          <w:sz w:val="22"/>
          <w:szCs w:val="20"/>
        </w:rPr>
        <w:lastRenderedPageBreak/>
        <w:t>The Concept of Risk Perception in Financial Services</w:t>
      </w:r>
    </w:p>
    <w:p w14:paraId="746C2E5B" w14:textId="77777777" w:rsidR="00470661" w:rsidRPr="001147D3" w:rsidRDefault="00470661" w:rsidP="001147D3">
      <w:pPr>
        <w:spacing w:line="240" w:lineRule="auto"/>
        <w:rPr>
          <w:rFonts w:ascii="Arial" w:hAnsi="Arial" w:cs="Arial"/>
          <w:sz w:val="20"/>
          <w:szCs w:val="20"/>
        </w:rPr>
      </w:pPr>
      <w:r w:rsidRPr="001147D3">
        <w:rPr>
          <w:rFonts w:ascii="Arial" w:hAnsi="Arial" w:cs="Arial"/>
          <w:sz w:val="20"/>
          <w:szCs w:val="20"/>
        </w:rPr>
        <w:t xml:space="preserve">The subjective evaluation of the possibility of encountering adverse consequences, such monetary loss or deception, while utilizing a specific service is known as risk perception.  Consumer risk perception in the context of FinTech adoption can be divided into two primary categories: functional risk and financial risk. While functional risk relates to worries about the dependability and effectiveness of the services offered, financial risk is concerned with the potential for financial loss as a result of events like fraud or bankruptcy </w:t>
      </w:r>
      <w:sdt>
        <w:sdtPr>
          <w:rPr>
            <w:rFonts w:ascii="Arial" w:hAnsi="Arial" w:cs="Arial"/>
            <w:sz w:val="20"/>
            <w:szCs w:val="20"/>
          </w:rPr>
          <w:id w:val="1048877188"/>
          <w:citation/>
        </w:sdtPr>
        <w:sdtEndPr/>
        <w:sdtContent>
          <w:r w:rsidR="00EF48AC" w:rsidRPr="001147D3">
            <w:rPr>
              <w:rFonts w:ascii="Arial" w:hAnsi="Arial" w:cs="Arial"/>
              <w:sz w:val="20"/>
              <w:szCs w:val="20"/>
            </w:rPr>
            <w:fldChar w:fldCharType="begin"/>
          </w:r>
          <w:r w:rsidR="00EF48AC" w:rsidRPr="001147D3">
            <w:rPr>
              <w:rFonts w:ascii="Arial" w:hAnsi="Arial" w:cs="Arial"/>
              <w:sz w:val="20"/>
              <w:szCs w:val="20"/>
            </w:rPr>
            <w:instrText xml:space="preserve"> CITATION Ald23 \l 1033 </w:instrText>
          </w:r>
          <w:r w:rsidR="00EF48AC" w:rsidRPr="001147D3">
            <w:rPr>
              <w:rFonts w:ascii="Arial" w:hAnsi="Arial" w:cs="Arial"/>
              <w:sz w:val="20"/>
              <w:szCs w:val="20"/>
            </w:rPr>
            <w:fldChar w:fldCharType="separate"/>
          </w:r>
          <w:r w:rsidR="00EF48AC" w:rsidRPr="001147D3">
            <w:rPr>
              <w:rFonts w:ascii="Arial" w:hAnsi="Arial" w:cs="Arial"/>
              <w:noProof/>
              <w:sz w:val="20"/>
              <w:szCs w:val="20"/>
            </w:rPr>
            <w:t>(Aldboush &amp; Ferdous, 2023)</w:t>
          </w:r>
          <w:r w:rsidR="00EF48AC" w:rsidRPr="001147D3">
            <w:rPr>
              <w:rFonts w:ascii="Arial" w:hAnsi="Arial" w:cs="Arial"/>
              <w:sz w:val="20"/>
              <w:szCs w:val="20"/>
            </w:rPr>
            <w:fldChar w:fldCharType="end"/>
          </w:r>
        </w:sdtContent>
      </w:sdt>
      <w:r w:rsidRPr="001147D3">
        <w:rPr>
          <w:rFonts w:ascii="Arial" w:hAnsi="Arial" w:cs="Arial"/>
          <w:sz w:val="20"/>
          <w:szCs w:val="20"/>
        </w:rPr>
        <w:t>.</w:t>
      </w:r>
    </w:p>
    <w:p w14:paraId="753B5104" w14:textId="77777777" w:rsidR="00470661" w:rsidRPr="001147D3" w:rsidRDefault="00470661" w:rsidP="001147D3">
      <w:pPr>
        <w:spacing w:line="240" w:lineRule="auto"/>
        <w:rPr>
          <w:rFonts w:ascii="Arial" w:hAnsi="Arial" w:cs="Arial"/>
          <w:sz w:val="20"/>
          <w:szCs w:val="20"/>
        </w:rPr>
      </w:pPr>
      <w:r w:rsidRPr="001147D3">
        <w:rPr>
          <w:rFonts w:ascii="Arial" w:hAnsi="Arial" w:cs="Arial"/>
          <w:sz w:val="20"/>
          <w:szCs w:val="20"/>
        </w:rPr>
        <w:t xml:space="preserve">In a number of industries, including finance, risk perception has been found to be a significant factor in determining technology adoption. Consumer attitudes regarding technology use are often explained by the Technology Acceptance Model (TAM) </w:t>
      </w:r>
      <w:sdt>
        <w:sdtPr>
          <w:rPr>
            <w:rFonts w:ascii="Arial" w:hAnsi="Arial" w:cs="Arial"/>
            <w:sz w:val="20"/>
            <w:szCs w:val="20"/>
          </w:rPr>
          <w:id w:val="1582719552"/>
          <w:citation/>
        </w:sdtPr>
        <w:sdtEndPr/>
        <w:sdtContent>
          <w:r w:rsidR="000226B8" w:rsidRPr="001147D3">
            <w:rPr>
              <w:rFonts w:ascii="Arial" w:hAnsi="Arial" w:cs="Arial"/>
              <w:sz w:val="20"/>
              <w:szCs w:val="20"/>
            </w:rPr>
            <w:fldChar w:fldCharType="begin"/>
          </w:r>
          <w:r w:rsidR="000226B8" w:rsidRPr="001147D3">
            <w:rPr>
              <w:rFonts w:ascii="Arial" w:hAnsi="Arial" w:cs="Arial"/>
              <w:sz w:val="20"/>
              <w:szCs w:val="20"/>
            </w:rPr>
            <w:instrText xml:space="preserve"> CITATION Dav891 \l 1033 </w:instrText>
          </w:r>
          <w:r w:rsidR="000226B8" w:rsidRPr="001147D3">
            <w:rPr>
              <w:rFonts w:ascii="Arial" w:hAnsi="Arial" w:cs="Arial"/>
              <w:sz w:val="20"/>
              <w:szCs w:val="20"/>
            </w:rPr>
            <w:fldChar w:fldCharType="separate"/>
          </w:r>
          <w:r w:rsidR="000226B8" w:rsidRPr="001147D3">
            <w:rPr>
              <w:rFonts w:ascii="Arial" w:hAnsi="Arial" w:cs="Arial"/>
              <w:noProof/>
              <w:sz w:val="20"/>
              <w:szCs w:val="20"/>
            </w:rPr>
            <w:t>(Davis, 1989)</w:t>
          </w:r>
          <w:r w:rsidR="000226B8" w:rsidRPr="001147D3">
            <w:rPr>
              <w:rFonts w:ascii="Arial" w:hAnsi="Arial" w:cs="Arial"/>
              <w:sz w:val="20"/>
              <w:szCs w:val="20"/>
            </w:rPr>
            <w:fldChar w:fldCharType="end"/>
          </w:r>
        </w:sdtContent>
      </w:sdt>
      <w:r w:rsidRPr="001147D3">
        <w:rPr>
          <w:rFonts w:ascii="Arial" w:hAnsi="Arial" w:cs="Arial"/>
          <w:sz w:val="20"/>
          <w:szCs w:val="20"/>
        </w:rPr>
        <w:t xml:space="preserve">, which is based on views of technology's usefulness, trustworthiness, and ease of use. Because it directly affects their level of trust in the technology, risk is frequently viewed as a major deterrent to consumers' adoption of FinTech services </w:t>
      </w:r>
      <w:sdt>
        <w:sdtPr>
          <w:rPr>
            <w:rFonts w:ascii="Arial" w:hAnsi="Arial" w:cs="Arial"/>
            <w:sz w:val="20"/>
            <w:szCs w:val="20"/>
          </w:rPr>
          <w:id w:val="-1198774360"/>
          <w:citation/>
        </w:sdtPr>
        <w:sdtEndPr/>
        <w:sdtContent>
          <w:r w:rsidR="000226B8" w:rsidRPr="001147D3">
            <w:rPr>
              <w:rFonts w:ascii="Arial" w:hAnsi="Arial" w:cs="Arial"/>
              <w:sz w:val="20"/>
              <w:szCs w:val="20"/>
            </w:rPr>
            <w:fldChar w:fldCharType="begin"/>
          </w:r>
          <w:r w:rsidR="000226B8" w:rsidRPr="001147D3">
            <w:rPr>
              <w:rFonts w:ascii="Arial" w:hAnsi="Arial" w:cs="Arial"/>
              <w:sz w:val="20"/>
              <w:szCs w:val="20"/>
            </w:rPr>
            <w:instrText xml:space="preserve"> CITATION Maj22 \l 1033 </w:instrText>
          </w:r>
          <w:r w:rsidR="000226B8" w:rsidRPr="001147D3">
            <w:rPr>
              <w:rFonts w:ascii="Arial" w:hAnsi="Arial" w:cs="Arial"/>
              <w:sz w:val="20"/>
              <w:szCs w:val="20"/>
            </w:rPr>
            <w:fldChar w:fldCharType="separate"/>
          </w:r>
          <w:r w:rsidR="000226B8" w:rsidRPr="001147D3">
            <w:rPr>
              <w:rFonts w:ascii="Arial" w:hAnsi="Arial" w:cs="Arial"/>
              <w:noProof/>
              <w:sz w:val="20"/>
              <w:szCs w:val="20"/>
            </w:rPr>
            <w:t>(Majid et al., 2022)</w:t>
          </w:r>
          <w:r w:rsidR="000226B8" w:rsidRPr="001147D3">
            <w:rPr>
              <w:rFonts w:ascii="Arial" w:hAnsi="Arial" w:cs="Arial"/>
              <w:sz w:val="20"/>
              <w:szCs w:val="20"/>
            </w:rPr>
            <w:fldChar w:fldCharType="end"/>
          </w:r>
        </w:sdtContent>
      </w:sdt>
      <w:r w:rsidRPr="001147D3">
        <w:rPr>
          <w:rFonts w:ascii="Arial" w:hAnsi="Arial" w:cs="Arial"/>
          <w:sz w:val="20"/>
          <w:szCs w:val="20"/>
        </w:rPr>
        <w:t>.</w:t>
      </w:r>
    </w:p>
    <w:p w14:paraId="7F9FFF4F" w14:textId="77777777" w:rsidR="00470661" w:rsidRPr="001147D3" w:rsidRDefault="00470661" w:rsidP="001147D3">
      <w:pPr>
        <w:spacing w:line="240" w:lineRule="auto"/>
        <w:rPr>
          <w:rFonts w:ascii="Arial" w:hAnsi="Arial" w:cs="Arial"/>
          <w:sz w:val="20"/>
          <w:szCs w:val="20"/>
        </w:rPr>
      </w:pPr>
      <w:r w:rsidRPr="001147D3">
        <w:rPr>
          <w:rFonts w:ascii="Arial" w:hAnsi="Arial" w:cs="Arial"/>
          <w:sz w:val="20"/>
          <w:szCs w:val="20"/>
        </w:rPr>
        <w:t xml:space="preserve">Numerous research conducted in Nigeria have emphasized how risk perception affects the adoption of FinTech. For example, Nigerian consumers are especially worried about fraud and security when utilizing FinTech services, according to </w:t>
      </w:r>
      <w:r w:rsidR="000226B8" w:rsidRPr="001147D3">
        <w:rPr>
          <w:rFonts w:ascii="Arial" w:hAnsi="Arial" w:cs="Arial"/>
          <w:noProof/>
          <w:sz w:val="20"/>
          <w:szCs w:val="20"/>
        </w:rPr>
        <w:t>Okoh et al. (2025)</w:t>
      </w:r>
      <w:r w:rsidRPr="001147D3">
        <w:rPr>
          <w:rFonts w:ascii="Arial" w:hAnsi="Arial" w:cs="Arial"/>
          <w:sz w:val="20"/>
          <w:szCs w:val="20"/>
        </w:rPr>
        <w:t>. The absence of a strong regulatory framework, which exposes customers to possible frauds and the demise of online banks, exacerbates these worries. Furthermore, the poor adoption of FinTech solutions is a result of the lack of consumer knowledge regarding FinTech services, which increases anxiety and uncertainty.</w:t>
      </w:r>
    </w:p>
    <w:p w14:paraId="38127974" w14:textId="77777777" w:rsidR="00470661" w:rsidRPr="00014C28" w:rsidRDefault="00470661" w:rsidP="001147D3">
      <w:pPr>
        <w:pStyle w:val="Heading2"/>
        <w:spacing w:line="240" w:lineRule="auto"/>
        <w:rPr>
          <w:rFonts w:ascii="Arial" w:hAnsi="Arial" w:cs="Arial"/>
          <w:sz w:val="22"/>
          <w:szCs w:val="20"/>
        </w:rPr>
      </w:pPr>
      <w:r w:rsidRPr="00014C28">
        <w:rPr>
          <w:rFonts w:ascii="Arial" w:hAnsi="Arial" w:cs="Arial"/>
          <w:sz w:val="22"/>
          <w:szCs w:val="20"/>
        </w:rPr>
        <w:t>Fear of Bankruptcy and Financial Scams</w:t>
      </w:r>
    </w:p>
    <w:p w14:paraId="37CA2571" w14:textId="77777777" w:rsidR="00470661" w:rsidRPr="001147D3" w:rsidRDefault="00470661" w:rsidP="001147D3">
      <w:pPr>
        <w:spacing w:line="240" w:lineRule="auto"/>
        <w:rPr>
          <w:rFonts w:ascii="Arial" w:hAnsi="Arial" w:cs="Arial"/>
          <w:sz w:val="20"/>
          <w:szCs w:val="20"/>
        </w:rPr>
      </w:pPr>
      <w:r w:rsidRPr="001147D3">
        <w:rPr>
          <w:rFonts w:ascii="Arial" w:hAnsi="Arial" w:cs="Arial"/>
          <w:sz w:val="20"/>
          <w:szCs w:val="20"/>
        </w:rPr>
        <w:t xml:space="preserve">Consumer behavior toward FinTech banks is significantly shaped by fear of financial frauds and insolvency. The main causes of this anxiety are Nigeria's financial institutions' instability and the high rate of fraud in the nation. Consumer apprehension has increased as a result of Nigeria's numerous high-profile financial crises, such as the demise of Ponzi schemes and unlicensed digital banks </w:t>
      </w:r>
      <w:sdt>
        <w:sdtPr>
          <w:rPr>
            <w:rFonts w:ascii="Arial" w:hAnsi="Arial" w:cs="Arial"/>
            <w:sz w:val="20"/>
            <w:szCs w:val="20"/>
          </w:rPr>
          <w:id w:val="-1255507476"/>
          <w:citation/>
        </w:sdtPr>
        <w:sdtEndPr/>
        <w:sdtContent>
          <w:r w:rsidR="000226B8" w:rsidRPr="001147D3">
            <w:rPr>
              <w:rFonts w:ascii="Arial" w:hAnsi="Arial" w:cs="Arial"/>
              <w:sz w:val="20"/>
              <w:szCs w:val="20"/>
            </w:rPr>
            <w:fldChar w:fldCharType="begin"/>
          </w:r>
          <w:r w:rsidR="000226B8" w:rsidRPr="001147D3">
            <w:rPr>
              <w:rFonts w:ascii="Arial" w:hAnsi="Arial" w:cs="Arial"/>
              <w:sz w:val="20"/>
              <w:szCs w:val="20"/>
            </w:rPr>
            <w:instrText xml:space="preserve"> CITATION Ikp25 \l 1033 </w:instrText>
          </w:r>
          <w:r w:rsidR="000226B8" w:rsidRPr="001147D3">
            <w:rPr>
              <w:rFonts w:ascii="Arial" w:hAnsi="Arial" w:cs="Arial"/>
              <w:sz w:val="20"/>
              <w:szCs w:val="20"/>
            </w:rPr>
            <w:fldChar w:fldCharType="separate"/>
          </w:r>
          <w:r w:rsidR="000226B8" w:rsidRPr="001147D3">
            <w:rPr>
              <w:rFonts w:ascii="Arial" w:hAnsi="Arial" w:cs="Arial"/>
              <w:noProof/>
              <w:sz w:val="20"/>
              <w:szCs w:val="20"/>
            </w:rPr>
            <w:t>(Ikpe, 2025)</w:t>
          </w:r>
          <w:r w:rsidR="000226B8" w:rsidRPr="001147D3">
            <w:rPr>
              <w:rFonts w:ascii="Arial" w:hAnsi="Arial" w:cs="Arial"/>
              <w:sz w:val="20"/>
              <w:szCs w:val="20"/>
            </w:rPr>
            <w:fldChar w:fldCharType="end"/>
          </w:r>
        </w:sdtContent>
      </w:sdt>
      <w:r w:rsidRPr="001147D3">
        <w:rPr>
          <w:rFonts w:ascii="Arial" w:hAnsi="Arial" w:cs="Arial"/>
          <w:sz w:val="20"/>
          <w:szCs w:val="20"/>
        </w:rPr>
        <w:t>.</w:t>
      </w:r>
    </w:p>
    <w:p w14:paraId="610B32C5" w14:textId="77777777" w:rsidR="00470661" w:rsidRPr="001147D3" w:rsidRDefault="00470661" w:rsidP="001147D3">
      <w:pPr>
        <w:spacing w:line="240" w:lineRule="auto"/>
        <w:rPr>
          <w:rFonts w:ascii="Arial" w:hAnsi="Arial" w:cs="Arial"/>
          <w:sz w:val="20"/>
          <w:szCs w:val="20"/>
        </w:rPr>
      </w:pPr>
      <w:r w:rsidRPr="001147D3">
        <w:rPr>
          <w:rFonts w:ascii="Arial" w:hAnsi="Arial" w:cs="Arial"/>
          <w:sz w:val="20"/>
          <w:szCs w:val="20"/>
        </w:rPr>
        <w:t xml:space="preserve">The worry that a FinTech bank would fail and lose the money or assets that were invested in it is known as the fear of bankruptcy. For Nigerians, who have previously had bad experiences with traditional banks, when deposits were lost as a result of poor management or corruption, this is especially troubling </w:t>
      </w:r>
      <w:sdt>
        <w:sdtPr>
          <w:rPr>
            <w:rFonts w:ascii="Arial" w:hAnsi="Arial" w:cs="Arial"/>
            <w:sz w:val="20"/>
            <w:szCs w:val="20"/>
          </w:rPr>
          <w:id w:val="-1646350179"/>
          <w:citation/>
        </w:sdtPr>
        <w:sdtEndPr/>
        <w:sdtContent>
          <w:r w:rsidR="00030FC3" w:rsidRPr="001147D3">
            <w:rPr>
              <w:rFonts w:ascii="Arial" w:hAnsi="Arial" w:cs="Arial"/>
              <w:sz w:val="20"/>
              <w:szCs w:val="20"/>
            </w:rPr>
            <w:fldChar w:fldCharType="begin"/>
          </w:r>
          <w:r w:rsidR="00030FC3" w:rsidRPr="001147D3">
            <w:rPr>
              <w:rFonts w:ascii="Arial" w:hAnsi="Arial" w:cs="Arial"/>
              <w:sz w:val="20"/>
              <w:szCs w:val="20"/>
            </w:rPr>
            <w:instrText xml:space="preserve"> CITATION Ade251 \l 1033 </w:instrText>
          </w:r>
          <w:r w:rsidR="00030FC3" w:rsidRPr="001147D3">
            <w:rPr>
              <w:rFonts w:ascii="Arial" w:hAnsi="Arial" w:cs="Arial"/>
              <w:sz w:val="20"/>
              <w:szCs w:val="20"/>
            </w:rPr>
            <w:fldChar w:fldCharType="separate"/>
          </w:r>
          <w:r w:rsidR="00030FC3" w:rsidRPr="001147D3">
            <w:rPr>
              <w:rFonts w:ascii="Arial" w:hAnsi="Arial" w:cs="Arial"/>
              <w:noProof/>
              <w:sz w:val="20"/>
              <w:szCs w:val="20"/>
            </w:rPr>
            <w:t>(Adeyokunnu et al., 2025)</w:t>
          </w:r>
          <w:r w:rsidR="00030FC3" w:rsidRPr="001147D3">
            <w:rPr>
              <w:rFonts w:ascii="Arial" w:hAnsi="Arial" w:cs="Arial"/>
              <w:sz w:val="20"/>
              <w:szCs w:val="20"/>
            </w:rPr>
            <w:fldChar w:fldCharType="end"/>
          </w:r>
        </w:sdtContent>
      </w:sdt>
      <w:r w:rsidRPr="001147D3">
        <w:rPr>
          <w:rFonts w:ascii="Arial" w:hAnsi="Arial" w:cs="Arial"/>
          <w:sz w:val="20"/>
          <w:szCs w:val="20"/>
        </w:rPr>
        <w:t xml:space="preserve">. In a similar vein, internet frauds that masquerade as genuine FinTech services, from phishing assaults to fraudulent schemes, are a serious threat. Customers perceive a high level of risk due to the surge in cybercrime in Nigeria and their lack of confidence in the government's ability to regulate FinTech services </w:t>
      </w:r>
      <w:sdt>
        <w:sdtPr>
          <w:rPr>
            <w:rFonts w:ascii="Arial" w:hAnsi="Arial" w:cs="Arial"/>
            <w:sz w:val="20"/>
            <w:szCs w:val="20"/>
          </w:rPr>
          <w:id w:val="1340739042"/>
          <w:citation/>
        </w:sdtPr>
        <w:sdtEndPr/>
        <w:sdtContent>
          <w:r w:rsidR="00755931" w:rsidRPr="001147D3">
            <w:rPr>
              <w:rFonts w:ascii="Arial" w:hAnsi="Arial" w:cs="Arial"/>
              <w:sz w:val="20"/>
              <w:szCs w:val="20"/>
            </w:rPr>
            <w:fldChar w:fldCharType="begin"/>
          </w:r>
          <w:r w:rsidR="00755931" w:rsidRPr="001147D3">
            <w:rPr>
              <w:rFonts w:ascii="Arial" w:hAnsi="Arial" w:cs="Arial"/>
              <w:sz w:val="20"/>
              <w:szCs w:val="20"/>
            </w:rPr>
            <w:instrText xml:space="preserve"> CITATION Omi23 \l 1033 </w:instrText>
          </w:r>
          <w:r w:rsidR="00755931" w:rsidRPr="001147D3">
            <w:rPr>
              <w:rFonts w:ascii="Arial" w:hAnsi="Arial" w:cs="Arial"/>
              <w:sz w:val="20"/>
              <w:szCs w:val="20"/>
            </w:rPr>
            <w:fldChar w:fldCharType="separate"/>
          </w:r>
          <w:r w:rsidR="00755931" w:rsidRPr="001147D3">
            <w:rPr>
              <w:rFonts w:ascii="Arial" w:hAnsi="Arial" w:cs="Arial"/>
              <w:noProof/>
              <w:sz w:val="20"/>
              <w:szCs w:val="20"/>
            </w:rPr>
            <w:t>(Omijeh, 2023)</w:t>
          </w:r>
          <w:r w:rsidR="00755931" w:rsidRPr="001147D3">
            <w:rPr>
              <w:rFonts w:ascii="Arial" w:hAnsi="Arial" w:cs="Arial"/>
              <w:sz w:val="20"/>
              <w:szCs w:val="20"/>
            </w:rPr>
            <w:fldChar w:fldCharType="end"/>
          </w:r>
        </w:sdtContent>
      </w:sdt>
      <w:r w:rsidRPr="001147D3">
        <w:rPr>
          <w:rFonts w:ascii="Arial" w:hAnsi="Arial" w:cs="Arial"/>
          <w:sz w:val="20"/>
          <w:szCs w:val="20"/>
        </w:rPr>
        <w:t>.</w:t>
      </w:r>
    </w:p>
    <w:p w14:paraId="05A79DCA" w14:textId="77777777" w:rsidR="00470661" w:rsidRPr="001147D3" w:rsidRDefault="00470661" w:rsidP="001147D3">
      <w:pPr>
        <w:spacing w:line="240" w:lineRule="auto"/>
        <w:rPr>
          <w:rFonts w:ascii="Arial" w:hAnsi="Arial" w:cs="Arial"/>
          <w:sz w:val="20"/>
          <w:szCs w:val="20"/>
        </w:rPr>
      </w:pPr>
      <w:r w:rsidRPr="001147D3">
        <w:rPr>
          <w:rFonts w:ascii="Arial" w:hAnsi="Arial" w:cs="Arial"/>
          <w:sz w:val="20"/>
          <w:szCs w:val="20"/>
        </w:rPr>
        <w:t xml:space="preserve">Therefore, one of the main obstacles to the adoption of FinTech is the fear of financial loss. The fact that many FinTech companies don't have physical locations adds to this sense of risk and feeds doubts about their dependability and legitimacy. Because digital banking eliminates in-person encounters, customers are left wondering about accountability and the safety of their money </w:t>
      </w:r>
      <w:sdt>
        <w:sdtPr>
          <w:rPr>
            <w:rFonts w:ascii="Arial" w:hAnsi="Arial" w:cs="Arial"/>
            <w:sz w:val="20"/>
            <w:szCs w:val="20"/>
          </w:rPr>
          <w:id w:val="735133967"/>
          <w:citation/>
        </w:sdtPr>
        <w:sdtEndPr/>
        <w:sdtContent>
          <w:r w:rsidR="00755931" w:rsidRPr="001147D3">
            <w:rPr>
              <w:rFonts w:ascii="Arial" w:hAnsi="Arial" w:cs="Arial"/>
              <w:sz w:val="20"/>
              <w:szCs w:val="20"/>
            </w:rPr>
            <w:fldChar w:fldCharType="begin"/>
          </w:r>
          <w:r w:rsidR="00755931" w:rsidRPr="001147D3">
            <w:rPr>
              <w:rFonts w:ascii="Arial" w:hAnsi="Arial" w:cs="Arial"/>
              <w:sz w:val="20"/>
              <w:szCs w:val="20"/>
            </w:rPr>
            <w:instrText xml:space="preserve"> CITATION Igb24 \l 1033 </w:instrText>
          </w:r>
          <w:r w:rsidR="00755931" w:rsidRPr="001147D3">
            <w:rPr>
              <w:rFonts w:ascii="Arial" w:hAnsi="Arial" w:cs="Arial"/>
              <w:sz w:val="20"/>
              <w:szCs w:val="20"/>
            </w:rPr>
            <w:fldChar w:fldCharType="separate"/>
          </w:r>
          <w:r w:rsidR="00755931" w:rsidRPr="001147D3">
            <w:rPr>
              <w:rFonts w:ascii="Arial" w:hAnsi="Arial" w:cs="Arial"/>
              <w:noProof/>
              <w:sz w:val="20"/>
              <w:szCs w:val="20"/>
            </w:rPr>
            <w:t>(Igbinenikaro &amp; Adewusi, 2024)</w:t>
          </w:r>
          <w:r w:rsidR="00755931" w:rsidRPr="001147D3">
            <w:rPr>
              <w:rFonts w:ascii="Arial" w:hAnsi="Arial" w:cs="Arial"/>
              <w:sz w:val="20"/>
              <w:szCs w:val="20"/>
            </w:rPr>
            <w:fldChar w:fldCharType="end"/>
          </w:r>
        </w:sdtContent>
      </w:sdt>
      <w:r w:rsidRPr="001147D3">
        <w:rPr>
          <w:rFonts w:ascii="Arial" w:hAnsi="Arial" w:cs="Arial"/>
          <w:sz w:val="20"/>
          <w:szCs w:val="20"/>
        </w:rPr>
        <w:t>.</w:t>
      </w:r>
    </w:p>
    <w:p w14:paraId="0A5D0948" w14:textId="77777777" w:rsidR="00470661" w:rsidRPr="00014C28" w:rsidRDefault="00470661" w:rsidP="001147D3">
      <w:pPr>
        <w:pStyle w:val="Heading2"/>
        <w:spacing w:line="240" w:lineRule="auto"/>
        <w:rPr>
          <w:rFonts w:ascii="Arial" w:hAnsi="Arial" w:cs="Arial"/>
          <w:sz w:val="22"/>
          <w:szCs w:val="20"/>
        </w:rPr>
      </w:pPr>
      <w:r w:rsidRPr="00014C28">
        <w:rPr>
          <w:rFonts w:ascii="Arial" w:hAnsi="Arial" w:cs="Arial"/>
          <w:sz w:val="22"/>
          <w:szCs w:val="20"/>
        </w:rPr>
        <w:t>Trust and Security in FinTech Services</w:t>
      </w:r>
    </w:p>
    <w:p w14:paraId="2E39B9CB" w14:textId="77777777" w:rsidR="00470661" w:rsidRPr="001147D3" w:rsidRDefault="00470661" w:rsidP="001147D3">
      <w:pPr>
        <w:spacing w:line="240" w:lineRule="auto"/>
        <w:rPr>
          <w:rFonts w:ascii="Arial" w:hAnsi="Arial" w:cs="Arial"/>
          <w:sz w:val="20"/>
          <w:szCs w:val="20"/>
        </w:rPr>
      </w:pPr>
      <w:r w:rsidRPr="001147D3">
        <w:rPr>
          <w:rFonts w:ascii="Arial" w:hAnsi="Arial" w:cs="Arial"/>
          <w:sz w:val="20"/>
          <w:szCs w:val="20"/>
        </w:rPr>
        <w:t xml:space="preserve">Any financial transaction requires trust, and its importance in the uptake of FinTech banking cannot be emphasized. In the context of FinTech services, trust is the conviction that a financial institution will safeguard the customer's financial information and personal data and that it will promptly and reliably meet its financial commitments. Research has repeatedly demonstrated that the adoption of digital financial services is strongly influenced by trust </w:t>
      </w:r>
      <w:r w:rsidR="00755931" w:rsidRPr="001147D3">
        <w:rPr>
          <w:rFonts w:ascii="Arial" w:hAnsi="Arial" w:cs="Arial"/>
          <w:noProof/>
          <w:sz w:val="20"/>
          <w:szCs w:val="20"/>
        </w:rPr>
        <w:t>(Aldboush &amp; Ferdous (2023); Devlin et al., 2025)</w:t>
      </w:r>
    </w:p>
    <w:p w14:paraId="779961C8" w14:textId="77777777" w:rsidR="00470661" w:rsidRPr="001147D3" w:rsidRDefault="00470661" w:rsidP="001147D3">
      <w:pPr>
        <w:spacing w:line="240" w:lineRule="auto"/>
        <w:rPr>
          <w:rFonts w:ascii="Arial" w:hAnsi="Arial" w:cs="Arial"/>
          <w:sz w:val="20"/>
          <w:szCs w:val="20"/>
        </w:rPr>
      </w:pPr>
      <w:r w:rsidRPr="001147D3">
        <w:rPr>
          <w:rFonts w:ascii="Arial" w:hAnsi="Arial" w:cs="Arial"/>
          <w:sz w:val="20"/>
          <w:szCs w:val="20"/>
        </w:rPr>
        <w:t xml:space="preserve">Customers in Nigeria are quite concerned about the security of FinTech services, particularly when it comes to financial transactions and data privacy. Although encryption and other security precautions are used by FinTech companies, consumers are still not well-informed about these safeguards. Due to their perceived stability and regulation, traditional financial institutions are more likely to be trusted by Nigerian consumers </w:t>
      </w:r>
      <w:sdt>
        <w:sdtPr>
          <w:rPr>
            <w:rFonts w:ascii="Arial" w:hAnsi="Arial" w:cs="Arial"/>
            <w:sz w:val="20"/>
            <w:szCs w:val="20"/>
          </w:rPr>
          <w:id w:val="-109910152"/>
          <w:citation/>
        </w:sdtPr>
        <w:sdtEndPr/>
        <w:sdtContent>
          <w:r w:rsidR="00755931" w:rsidRPr="001147D3">
            <w:rPr>
              <w:rFonts w:ascii="Arial" w:hAnsi="Arial" w:cs="Arial"/>
              <w:sz w:val="20"/>
              <w:szCs w:val="20"/>
            </w:rPr>
            <w:fldChar w:fldCharType="begin"/>
          </w:r>
          <w:r w:rsidR="00755931" w:rsidRPr="001147D3">
            <w:rPr>
              <w:rFonts w:ascii="Arial" w:hAnsi="Arial" w:cs="Arial"/>
              <w:sz w:val="20"/>
              <w:szCs w:val="20"/>
            </w:rPr>
            <w:instrText xml:space="preserve"> CITATION Maj22 \l 1033 </w:instrText>
          </w:r>
          <w:r w:rsidR="00755931" w:rsidRPr="001147D3">
            <w:rPr>
              <w:rFonts w:ascii="Arial" w:hAnsi="Arial" w:cs="Arial"/>
              <w:sz w:val="20"/>
              <w:szCs w:val="20"/>
            </w:rPr>
            <w:fldChar w:fldCharType="separate"/>
          </w:r>
          <w:r w:rsidR="00755931" w:rsidRPr="001147D3">
            <w:rPr>
              <w:rFonts w:ascii="Arial" w:hAnsi="Arial" w:cs="Arial"/>
              <w:noProof/>
              <w:sz w:val="20"/>
              <w:szCs w:val="20"/>
            </w:rPr>
            <w:t>(Majid et al., 2022)</w:t>
          </w:r>
          <w:r w:rsidR="00755931" w:rsidRPr="001147D3">
            <w:rPr>
              <w:rFonts w:ascii="Arial" w:hAnsi="Arial" w:cs="Arial"/>
              <w:sz w:val="20"/>
              <w:szCs w:val="20"/>
            </w:rPr>
            <w:fldChar w:fldCharType="end"/>
          </w:r>
        </w:sdtContent>
      </w:sdt>
      <w:r w:rsidRPr="001147D3">
        <w:rPr>
          <w:rFonts w:ascii="Arial" w:hAnsi="Arial" w:cs="Arial"/>
          <w:sz w:val="20"/>
          <w:szCs w:val="20"/>
        </w:rPr>
        <w:t>. Therefore, establishing trust in FinTech services requires the creation of robust security measures as well as open information regarding data protection procedures.</w:t>
      </w:r>
    </w:p>
    <w:p w14:paraId="524928F8" w14:textId="77777777" w:rsidR="00470661" w:rsidRPr="001147D3" w:rsidRDefault="00470661" w:rsidP="001147D3">
      <w:pPr>
        <w:spacing w:line="240" w:lineRule="auto"/>
        <w:rPr>
          <w:rFonts w:ascii="Arial" w:hAnsi="Arial" w:cs="Arial"/>
          <w:sz w:val="20"/>
          <w:szCs w:val="20"/>
        </w:rPr>
      </w:pPr>
      <w:r w:rsidRPr="001147D3">
        <w:rPr>
          <w:rFonts w:ascii="Arial" w:hAnsi="Arial" w:cs="Arial"/>
          <w:sz w:val="20"/>
          <w:szCs w:val="20"/>
        </w:rPr>
        <w:t xml:space="preserve">Furthermore, it is impossible to ignore the function of regulatory frameworks. Customers are more likely to believe that using FinTech solutions carries a higher risk in nations like Nigeria, where regulations </w:t>
      </w:r>
      <w:r w:rsidRPr="001147D3">
        <w:rPr>
          <w:rFonts w:ascii="Arial" w:hAnsi="Arial" w:cs="Arial"/>
          <w:sz w:val="20"/>
          <w:szCs w:val="20"/>
        </w:rPr>
        <w:lastRenderedPageBreak/>
        <w:t xml:space="preserve">governing digital financial services are still developing. By making sure that digital financial services follow stringent operating guidelines and offer safeguards for customers in the event of fraud or bankruptcy, regulatory organizations like the Central Bank of Nigeria (CBN) are essential in promoting consumer trust </w:t>
      </w:r>
      <w:sdt>
        <w:sdtPr>
          <w:rPr>
            <w:rFonts w:ascii="Arial" w:hAnsi="Arial" w:cs="Arial"/>
            <w:sz w:val="20"/>
            <w:szCs w:val="20"/>
          </w:rPr>
          <w:id w:val="1761711489"/>
          <w:citation/>
        </w:sdtPr>
        <w:sdtEndPr/>
        <w:sdtContent>
          <w:r w:rsidR="00755931" w:rsidRPr="001147D3">
            <w:rPr>
              <w:rFonts w:ascii="Arial" w:hAnsi="Arial" w:cs="Arial"/>
              <w:sz w:val="20"/>
              <w:szCs w:val="20"/>
            </w:rPr>
            <w:fldChar w:fldCharType="begin"/>
          </w:r>
          <w:r w:rsidR="00755931" w:rsidRPr="001147D3">
            <w:rPr>
              <w:rFonts w:ascii="Arial" w:hAnsi="Arial" w:cs="Arial"/>
              <w:sz w:val="20"/>
              <w:szCs w:val="20"/>
            </w:rPr>
            <w:instrText xml:space="preserve"> CITATION Ikp25 \l 1033 </w:instrText>
          </w:r>
          <w:r w:rsidR="00755931" w:rsidRPr="001147D3">
            <w:rPr>
              <w:rFonts w:ascii="Arial" w:hAnsi="Arial" w:cs="Arial"/>
              <w:sz w:val="20"/>
              <w:szCs w:val="20"/>
            </w:rPr>
            <w:fldChar w:fldCharType="separate"/>
          </w:r>
          <w:r w:rsidR="00755931" w:rsidRPr="001147D3">
            <w:rPr>
              <w:rFonts w:ascii="Arial" w:hAnsi="Arial" w:cs="Arial"/>
              <w:noProof/>
              <w:sz w:val="20"/>
              <w:szCs w:val="20"/>
            </w:rPr>
            <w:t>(Ikpe, 2025)</w:t>
          </w:r>
          <w:r w:rsidR="00755931" w:rsidRPr="001147D3">
            <w:rPr>
              <w:rFonts w:ascii="Arial" w:hAnsi="Arial" w:cs="Arial"/>
              <w:sz w:val="20"/>
              <w:szCs w:val="20"/>
            </w:rPr>
            <w:fldChar w:fldCharType="end"/>
          </w:r>
        </w:sdtContent>
      </w:sdt>
      <w:r w:rsidRPr="001147D3">
        <w:rPr>
          <w:rFonts w:ascii="Arial" w:hAnsi="Arial" w:cs="Arial"/>
          <w:sz w:val="20"/>
          <w:szCs w:val="20"/>
        </w:rPr>
        <w:t>.</w:t>
      </w:r>
    </w:p>
    <w:p w14:paraId="5BB5A0E9" w14:textId="77777777" w:rsidR="00470661" w:rsidRPr="00014C28" w:rsidRDefault="00470661" w:rsidP="001147D3">
      <w:pPr>
        <w:pStyle w:val="Heading2"/>
        <w:spacing w:line="240" w:lineRule="auto"/>
        <w:rPr>
          <w:rFonts w:ascii="Arial" w:hAnsi="Arial" w:cs="Arial"/>
          <w:sz w:val="22"/>
          <w:szCs w:val="20"/>
        </w:rPr>
      </w:pPr>
      <w:r w:rsidRPr="00014C28">
        <w:rPr>
          <w:rFonts w:ascii="Arial" w:hAnsi="Arial" w:cs="Arial"/>
          <w:sz w:val="22"/>
          <w:szCs w:val="20"/>
        </w:rPr>
        <w:t>Perceived Risk and Adoption of FinTech Banks</w:t>
      </w:r>
    </w:p>
    <w:p w14:paraId="61EAFD48" w14:textId="77777777" w:rsidR="00670D9D" w:rsidRPr="001147D3" w:rsidRDefault="00670D9D" w:rsidP="001147D3">
      <w:pPr>
        <w:spacing w:line="240" w:lineRule="auto"/>
        <w:rPr>
          <w:rFonts w:ascii="Arial" w:hAnsi="Arial" w:cs="Arial"/>
          <w:sz w:val="20"/>
          <w:szCs w:val="20"/>
        </w:rPr>
      </w:pPr>
      <w:r w:rsidRPr="001147D3">
        <w:rPr>
          <w:rFonts w:ascii="Arial" w:hAnsi="Arial" w:cs="Arial"/>
          <w:sz w:val="20"/>
          <w:szCs w:val="20"/>
        </w:rPr>
        <w:t xml:space="preserve">One important aspect affecting Nigerians' decisions to embrace and keep using FinTech services is perceived risk. According to a study by </w:t>
      </w:r>
      <w:r w:rsidR="00755931" w:rsidRPr="001147D3">
        <w:rPr>
          <w:rFonts w:ascii="Arial" w:hAnsi="Arial" w:cs="Arial"/>
          <w:noProof/>
          <w:sz w:val="20"/>
          <w:szCs w:val="20"/>
        </w:rPr>
        <w:t>Devlin et al. (2025)</w:t>
      </w:r>
      <w:r w:rsidRPr="001147D3">
        <w:rPr>
          <w:rFonts w:ascii="Arial" w:hAnsi="Arial" w:cs="Arial"/>
          <w:sz w:val="20"/>
          <w:szCs w:val="20"/>
        </w:rPr>
        <w:t xml:space="preserve">, which looked at the factors driving FinTech adoption in Ghana and Nigeria, consumers were discouraged from utilizing mobile banking services by high levels of perceived risk. Similarly, even if mobile money and digital banking services are available, FinTech adoption in Nigeria is minimal when compared to other regions due to the perceived risk of financial loss and fraud </w:t>
      </w:r>
      <w:sdt>
        <w:sdtPr>
          <w:rPr>
            <w:rFonts w:ascii="Arial" w:hAnsi="Arial" w:cs="Arial"/>
            <w:sz w:val="20"/>
            <w:szCs w:val="20"/>
          </w:rPr>
          <w:id w:val="1068690619"/>
          <w:citation/>
        </w:sdtPr>
        <w:sdtEndPr/>
        <w:sdtContent>
          <w:r w:rsidR="000C5BBB" w:rsidRPr="001147D3">
            <w:rPr>
              <w:rFonts w:ascii="Arial" w:hAnsi="Arial" w:cs="Arial"/>
              <w:sz w:val="20"/>
              <w:szCs w:val="20"/>
            </w:rPr>
            <w:fldChar w:fldCharType="begin"/>
          </w:r>
          <w:r w:rsidR="000C5BBB" w:rsidRPr="001147D3">
            <w:rPr>
              <w:rFonts w:ascii="Arial" w:hAnsi="Arial" w:cs="Arial"/>
              <w:sz w:val="20"/>
              <w:szCs w:val="20"/>
            </w:rPr>
            <w:instrText xml:space="preserve"> CITATION Oko25 \l 1033 </w:instrText>
          </w:r>
          <w:r w:rsidR="000C5BBB" w:rsidRPr="001147D3">
            <w:rPr>
              <w:rFonts w:ascii="Arial" w:hAnsi="Arial" w:cs="Arial"/>
              <w:sz w:val="20"/>
              <w:szCs w:val="20"/>
            </w:rPr>
            <w:fldChar w:fldCharType="separate"/>
          </w:r>
          <w:r w:rsidR="000C5BBB" w:rsidRPr="001147D3">
            <w:rPr>
              <w:rFonts w:ascii="Arial" w:hAnsi="Arial" w:cs="Arial"/>
              <w:noProof/>
              <w:sz w:val="20"/>
              <w:szCs w:val="20"/>
            </w:rPr>
            <w:t>(Okoh et al., 2025)</w:t>
          </w:r>
          <w:r w:rsidR="000C5BBB" w:rsidRPr="001147D3">
            <w:rPr>
              <w:rFonts w:ascii="Arial" w:hAnsi="Arial" w:cs="Arial"/>
              <w:sz w:val="20"/>
              <w:szCs w:val="20"/>
            </w:rPr>
            <w:fldChar w:fldCharType="end"/>
          </w:r>
        </w:sdtContent>
      </w:sdt>
      <w:r w:rsidRPr="001147D3">
        <w:rPr>
          <w:rFonts w:ascii="Arial" w:hAnsi="Arial" w:cs="Arial"/>
          <w:sz w:val="20"/>
          <w:szCs w:val="20"/>
        </w:rPr>
        <w:t>.</w:t>
      </w:r>
    </w:p>
    <w:p w14:paraId="0F03AFEA" w14:textId="77777777" w:rsidR="00670D9D" w:rsidRPr="001147D3" w:rsidRDefault="00670D9D" w:rsidP="001147D3">
      <w:pPr>
        <w:spacing w:line="240" w:lineRule="auto"/>
        <w:rPr>
          <w:rFonts w:ascii="Arial" w:hAnsi="Arial" w:cs="Arial"/>
          <w:sz w:val="20"/>
          <w:szCs w:val="20"/>
        </w:rPr>
      </w:pPr>
      <w:r w:rsidRPr="001147D3">
        <w:rPr>
          <w:rFonts w:ascii="Arial" w:hAnsi="Arial" w:cs="Arial"/>
          <w:sz w:val="20"/>
          <w:szCs w:val="20"/>
        </w:rPr>
        <w:t xml:space="preserve">Additionally, perceived risks have an impact on both the initial and long-term adoption of FinTech services. Customers are less likely to utilize a service regularly once they believe it to be risky, according to studies by </w:t>
      </w:r>
      <w:r w:rsidR="000C5BBB" w:rsidRPr="001147D3">
        <w:rPr>
          <w:rFonts w:ascii="Arial" w:hAnsi="Arial" w:cs="Arial"/>
          <w:noProof/>
          <w:sz w:val="20"/>
          <w:szCs w:val="20"/>
        </w:rPr>
        <w:t>Ogunode &amp; Akintoye (2023)</w:t>
      </w:r>
      <w:r w:rsidRPr="001147D3">
        <w:rPr>
          <w:rFonts w:ascii="Arial" w:hAnsi="Arial" w:cs="Arial"/>
          <w:sz w:val="20"/>
          <w:szCs w:val="20"/>
        </w:rPr>
        <w:t xml:space="preserve">. This trend is clear in Nigeria, where adoption and long-term use are directly impacted by confidence in the security and dependability of FinTech services </w:t>
      </w:r>
      <w:sdt>
        <w:sdtPr>
          <w:rPr>
            <w:rFonts w:ascii="Arial" w:hAnsi="Arial" w:cs="Arial"/>
            <w:sz w:val="20"/>
            <w:szCs w:val="20"/>
          </w:rPr>
          <w:id w:val="1365332897"/>
          <w:citation/>
        </w:sdtPr>
        <w:sdtEndPr/>
        <w:sdtContent>
          <w:r w:rsidR="000C5BBB" w:rsidRPr="001147D3">
            <w:rPr>
              <w:rFonts w:ascii="Arial" w:hAnsi="Arial" w:cs="Arial"/>
              <w:sz w:val="20"/>
              <w:szCs w:val="20"/>
            </w:rPr>
            <w:fldChar w:fldCharType="begin"/>
          </w:r>
          <w:r w:rsidR="000C5BBB" w:rsidRPr="001147D3">
            <w:rPr>
              <w:rFonts w:ascii="Arial" w:hAnsi="Arial" w:cs="Arial"/>
              <w:sz w:val="20"/>
              <w:szCs w:val="20"/>
            </w:rPr>
            <w:instrText xml:space="preserve"> CITATION Maj22 \l 1033 </w:instrText>
          </w:r>
          <w:r w:rsidR="000C5BBB" w:rsidRPr="001147D3">
            <w:rPr>
              <w:rFonts w:ascii="Arial" w:hAnsi="Arial" w:cs="Arial"/>
              <w:sz w:val="20"/>
              <w:szCs w:val="20"/>
            </w:rPr>
            <w:fldChar w:fldCharType="separate"/>
          </w:r>
          <w:r w:rsidR="000C5BBB" w:rsidRPr="001147D3">
            <w:rPr>
              <w:rFonts w:ascii="Arial" w:hAnsi="Arial" w:cs="Arial"/>
              <w:noProof/>
              <w:sz w:val="20"/>
              <w:szCs w:val="20"/>
            </w:rPr>
            <w:t>(Majid et al., 2022)</w:t>
          </w:r>
          <w:r w:rsidR="000C5BBB" w:rsidRPr="001147D3">
            <w:rPr>
              <w:rFonts w:ascii="Arial" w:hAnsi="Arial" w:cs="Arial"/>
              <w:sz w:val="20"/>
              <w:szCs w:val="20"/>
            </w:rPr>
            <w:fldChar w:fldCharType="end"/>
          </w:r>
        </w:sdtContent>
      </w:sdt>
      <w:r w:rsidRPr="001147D3">
        <w:rPr>
          <w:rFonts w:ascii="Arial" w:hAnsi="Arial" w:cs="Arial"/>
          <w:sz w:val="20"/>
          <w:szCs w:val="20"/>
        </w:rPr>
        <w:t>.</w:t>
      </w:r>
    </w:p>
    <w:p w14:paraId="1B80680C" w14:textId="77777777" w:rsidR="00470661" w:rsidRPr="001147D3" w:rsidRDefault="00670D9D" w:rsidP="001147D3">
      <w:pPr>
        <w:spacing w:line="240" w:lineRule="auto"/>
        <w:rPr>
          <w:rFonts w:ascii="Arial" w:hAnsi="Arial" w:cs="Arial"/>
          <w:sz w:val="20"/>
          <w:szCs w:val="20"/>
        </w:rPr>
      </w:pPr>
      <w:r w:rsidRPr="001147D3">
        <w:rPr>
          <w:rFonts w:ascii="Arial" w:hAnsi="Arial" w:cs="Arial"/>
          <w:sz w:val="20"/>
          <w:szCs w:val="20"/>
        </w:rPr>
        <w:t xml:space="preserve">Similarly, research by </w:t>
      </w:r>
      <w:r w:rsidR="000C5BBB" w:rsidRPr="001147D3">
        <w:rPr>
          <w:rFonts w:ascii="Arial" w:hAnsi="Arial" w:cs="Arial"/>
          <w:noProof/>
          <w:sz w:val="20"/>
          <w:szCs w:val="20"/>
        </w:rPr>
        <w:t>Omijeh (2023)</w:t>
      </w:r>
      <w:r w:rsidRPr="001147D3">
        <w:rPr>
          <w:rFonts w:ascii="Arial" w:hAnsi="Arial" w:cs="Arial"/>
          <w:sz w:val="20"/>
          <w:szCs w:val="20"/>
        </w:rPr>
        <w:t xml:space="preserve"> indicates that users who perceive FinTech services as dangerous are more likely to stop using them quickly. As a result, FinTech businesses need to make investments in both bringing in new users and keeping their current clientele happy by resolving issues with security, fraud, and insolvency.</w:t>
      </w:r>
    </w:p>
    <w:p w14:paraId="28244524" w14:textId="77777777" w:rsidR="00670D9D" w:rsidRPr="00014C28" w:rsidRDefault="00670D9D" w:rsidP="001147D3">
      <w:pPr>
        <w:pStyle w:val="Heading2"/>
        <w:spacing w:line="240" w:lineRule="auto"/>
        <w:rPr>
          <w:rFonts w:ascii="Arial" w:hAnsi="Arial" w:cs="Arial"/>
          <w:sz w:val="22"/>
          <w:szCs w:val="20"/>
        </w:rPr>
      </w:pPr>
      <w:r w:rsidRPr="00014C28">
        <w:rPr>
          <w:rFonts w:ascii="Arial" w:hAnsi="Arial" w:cs="Arial"/>
          <w:sz w:val="22"/>
          <w:szCs w:val="20"/>
        </w:rPr>
        <w:t>Conclusion</w:t>
      </w:r>
    </w:p>
    <w:p w14:paraId="127D3313" w14:textId="77777777" w:rsidR="00670D9D" w:rsidRPr="001147D3" w:rsidRDefault="00670D9D" w:rsidP="001147D3">
      <w:pPr>
        <w:spacing w:line="240" w:lineRule="auto"/>
        <w:rPr>
          <w:rFonts w:ascii="Arial" w:hAnsi="Arial" w:cs="Arial"/>
          <w:sz w:val="20"/>
          <w:szCs w:val="20"/>
        </w:rPr>
      </w:pPr>
      <w:r w:rsidRPr="001147D3">
        <w:rPr>
          <w:rFonts w:ascii="Arial" w:hAnsi="Arial" w:cs="Arial"/>
          <w:sz w:val="20"/>
          <w:szCs w:val="20"/>
        </w:rPr>
        <w:t>According to the studied research, customer perceptions of risk are a major factor in determining how Nigerian consumers feel about FinTech banks. The uptake of FinTech services is significantly hampered by low levels of trust in digital services, financial frauds, and bankruptcy fears. Given previous financial failures and the absence of thorough regulatory monitoring, Nigerian consumers are frequently wary of digital banking platforms.</w:t>
      </w:r>
    </w:p>
    <w:p w14:paraId="681D0DD5" w14:textId="77777777" w:rsidR="00670D9D" w:rsidRPr="001147D3" w:rsidRDefault="00670D9D" w:rsidP="001147D3">
      <w:pPr>
        <w:spacing w:line="240" w:lineRule="auto"/>
        <w:rPr>
          <w:rFonts w:ascii="Arial" w:hAnsi="Arial" w:cs="Arial"/>
          <w:sz w:val="20"/>
          <w:szCs w:val="20"/>
        </w:rPr>
      </w:pPr>
      <w:r w:rsidRPr="001147D3">
        <w:rPr>
          <w:rFonts w:ascii="Arial" w:hAnsi="Arial" w:cs="Arial"/>
          <w:sz w:val="20"/>
          <w:szCs w:val="20"/>
        </w:rPr>
        <w:t>Companies must create strong security measures, communicate their credibility clearly, and allay consumer concerns about possible financial losses if they hope to increase the uptake of FinTech services in Nigeria. Furthermore, consumer education and government regulation can assist reduce perceived risks and increase customer trust in FinTech banking.</w:t>
      </w:r>
    </w:p>
    <w:p w14:paraId="3DA88B7B" w14:textId="77777777" w:rsidR="00670D9D" w:rsidRPr="00014C28" w:rsidRDefault="00670D9D" w:rsidP="001147D3">
      <w:pPr>
        <w:pStyle w:val="Heading1"/>
        <w:spacing w:line="240" w:lineRule="auto"/>
        <w:rPr>
          <w:rFonts w:ascii="Arial" w:hAnsi="Arial" w:cs="Arial"/>
          <w:sz w:val="22"/>
          <w:szCs w:val="20"/>
        </w:rPr>
      </w:pPr>
      <w:r w:rsidRPr="00014C28">
        <w:rPr>
          <w:rFonts w:ascii="Arial" w:hAnsi="Arial" w:cs="Arial"/>
          <w:sz w:val="22"/>
          <w:szCs w:val="20"/>
        </w:rPr>
        <w:t>Methodology</w:t>
      </w:r>
    </w:p>
    <w:p w14:paraId="05FBC521" w14:textId="77777777" w:rsidR="00670D9D" w:rsidRPr="001147D3" w:rsidRDefault="00670D9D" w:rsidP="001147D3">
      <w:pPr>
        <w:spacing w:line="240" w:lineRule="auto"/>
        <w:rPr>
          <w:rFonts w:ascii="Arial" w:hAnsi="Arial" w:cs="Arial"/>
          <w:sz w:val="20"/>
          <w:szCs w:val="20"/>
        </w:rPr>
      </w:pPr>
      <w:r w:rsidRPr="001147D3">
        <w:rPr>
          <w:rFonts w:ascii="Arial" w:hAnsi="Arial" w:cs="Arial"/>
          <w:sz w:val="20"/>
          <w:szCs w:val="20"/>
        </w:rPr>
        <w:t xml:space="preserve">The research design and technique utilized to examine the connection between trust, risk perception, and FinTech bank adoption in Nigeria </w:t>
      </w:r>
      <w:r w:rsidR="000942B9" w:rsidRPr="001147D3">
        <w:rPr>
          <w:rFonts w:ascii="Arial" w:hAnsi="Arial" w:cs="Arial"/>
          <w:sz w:val="20"/>
          <w:szCs w:val="20"/>
        </w:rPr>
        <w:t xml:space="preserve">are described in this chapter. </w:t>
      </w:r>
      <w:r w:rsidRPr="001147D3">
        <w:rPr>
          <w:rFonts w:ascii="Arial" w:hAnsi="Arial" w:cs="Arial"/>
          <w:sz w:val="20"/>
          <w:szCs w:val="20"/>
        </w:rPr>
        <w:t>It offers information on the sample strategy, study methodology, data collection techniques</w:t>
      </w:r>
      <w:r w:rsidR="000942B9" w:rsidRPr="001147D3">
        <w:rPr>
          <w:rFonts w:ascii="Arial" w:hAnsi="Arial" w:cs="Arial"/>
          <w:sz w:val="20"/>
          <w:szCs w:val="20"/>
        </w:rPr>
        <w:t xml:space="preserve">, and data analysis protocols. </w:t>
      </w:r>
      <w:r w:rsidRPr="001147D3">
        <w:rPr>
          <w:rFonts w:ascii="Arial" w:hAnsi="Arial" w:cs="Arial"/>
          <w:sz w:val="20"/>
          <w:szCs w:val="20"/>
        </w:rPr>
        <w:t>The study aims to examine how Nigerian customers' decisions to adopt and use FinTech banking services are influenced by perceived risks, online scams, and bankruptcy anxiety.</w:t>
      </w:r>
    </w:p>
    <w:p w14:paraId="26C6357E" w14:textId="77777777" w:rsidR="000942B9" w:rsidRPr="00014C28" w:rsidRDefault="000942B9" w:rsidP="001147D3">
      <w:pPr>
        <w:pStyle w:val="Heading2"/>
        <w:spacing w:line="240" w:lineRule="auto"/>
        <w:rPr>
          <w:rFonts w:ascii="Arial" w:hAnsi="Arial" w:cs="Arial"/>
          <w:sz w:val="22"/>
          <w:szCs w:val="20"/>
        </w:rPr>
      </w:pPr>
      <w:r w:rsidRPr="00014C28">
        <w:rPr>
          <w:rFonts w:ascii="Arial" w:hAnsi="Arial" w:cs="Arial"/>
          <w:sz w:val="22"/>
          <w:szCs w:val="20"/>
        </w:rPr>
        <w:t>Research Design</w:t>
      </w:r>
    </w:p>
    <w:p w14:paraId="1CFEE696" w14:textId="77777777" w:rsidR="000942B9" w:rsidRPr="001147D3" w:rsidRDefault="000942B9" w:rsidP="001147D3">
      <w:pPr>
        <w:spacing w:line="240" w:lineRule="auto"/>
        <w:rPr>
          <w:rFonts w:ascii="Arial" w:hAnsi="Arial" w:cs="Arial"/>
          <w:sz w:val="20"/>
          <w:szCs w:val="20"/>
        </w:rPr>
      </w:pPr>
      <w:r w:rsidRPr="001147D3">
        <w:rPr>
          <w:rFonts w:ascii="Arial" w:hAnsi="Arial" w:cs="Arial"/>
          <w:sz w:val="20"/>
          <w:szCs w:val="20"/>
        </w:rPr>
        <w:t>To evaluate the effect of risk perception on the uptake of FinTech services in Nigeria, the study uses a quantitative research approach. This strategy is suitable since it makes it possible to gather quantifiable information about the attitudes, beliefs, and actions of customers in relation to FinTech banking. The quantitative design provides statistical insights that can guide business practice and policy by quantifying the relationship between perceived risks and the likelihood of adopting FinTech services.</w:t>
      </w:r>
    </w:p>
    <w:p w14:paraId="79E0CABA" w14:textId="77777777" w:rsidR="000942B9" w:rsidRPr="001147D3" w:rsidRDefault="000C5BBB" w:rsidP="001147D3">
      <w:pPr>
        <w:spacing w:line="240" w:lineRule="auto"/>
        <w:rPr>
          <w:rFonts w:ascii="Arial" w:hAnsi="Arial" w:cs="Arial"/>
          <w:sz w:val="20"/>
          <w:szCs w:val="20"/>
        </w:rPr>
      </w:pPr>
      <w:r w:rsidRPr="001147D3">
        <w:rPr>
          <w:rFonts w:ascii="Arial" w:hAnsi="Arial" w:cs="Arial"/>
          <w:noProof/>
          <w:sz w:val="20"/>
          <w:szCs w:val="20"/>
        </w:rPr>
        <w:t xml:space="preserve">Creswell &amp; Creswell (2018) </w:t>
      </w:r>
      <w:r w:rsidR="000942B9" w:rsidRPr="001147D3">
        <w:rPr>
          <w:rFonts w:ascii="Arial" w:hAnsi="Arial" w:cs="Arial"/>
          <w:sz w:val="20"/>
          <w:szCs w:val="20"/>
        </w:rPr>
        <w:t>asserts that quantitative research, which makes use of organized tools like surveys, is perfect for testing hypotheses and determining correlations between variables. In order to test the hypothesis that lower adoption rates of FinTech services are linked to higher levels of perceived risk, this study aims to collect numerical data from a sample of Nigerian consumers.</w:t>
      </w:r>
    </w:p>
    <w:p w14:paraId="3FCE314A" w14:textId="77777777" w:rsidR="000942B9" w:rsidRPr="00014C28" w:rsidRDefault="000942B9" w:rsidP="001147D3">
      <w:pPr>
        <w:pStyle w:val="Heading2"/>
        <w:spacing w:line="240" w:lineRule="auto"/>
        <w:rPr>
          <w:rFonts w:ascii="Arial" w:hAnsi="Arial" w:cs="Arial"/>
          <w:sz w:val="22"/>
          <w:szCs w:val="20"/>
        </w:rPr>
      </w:pPr>
      <w:r w:rsidRPr="00014C28">
        <w:rPr>
          <w:rFonts w:ascii="Arial" w:hAnsi="Arial" w:cs="Arial"/>
          <w:sz w:val="22"/>
          <w:szCs w:val="20"/>
        </w:rPr>
        <w:lastRenderedPageBreak/>
        <w:t>Population and Sample Size</w:t>
      </w:r>
    </w:p>
    <w:p w14:paraId="6445B720" w14:textId="77777777" w:rsidR="000942B9" w:rsidRPr="001147D3" w:rsidRDefault="000942B9" w:rsidP="001147D3">
      <w:pPr>
        <w:spacing w:line="240" w:lineRule="auto"/>
        <w:rPr>
          <w:rFonts w:ascii="Arial" w:hAnsi="Arial" w:cs="Arial"/>
          <w:sz w:val="20"/>
          <w:szCs w:val="20"/>
        </w:rPr>
      </w:pPr>
      <w:r w:rsidRPr="001147D3">
        <w:rPr>
          <w:rFonts w:ascii="Arial" w:hAnsi="Arial" w:cs="Arial"/>
          <w:sz w:val="20"/>
          <w:szCs w:val="20"/>
        </w:rPr>
        <w:t>Nigerian consumers who are either present FinTech banking service users or prospective adopters make up the study's demographic of interest. People from various social backgrounds, educational levels, and geographical areas within Nigeria make up the diverse population. This wide demographic is required since FinTech adoption occurs in many societal sectors and a representative sample of the population is needed to study the factors influencing its acceptance.</w:t>
      </w:r>
    </w:p>
    <w:p w14:paraId="618F3F42" w14:textId="77777777" w:rsidR="000942B9" w:rsidRPr="001147D3" w:rsidRDefault="000942B9" w:rsidP="001147D3">
      <w:pPr>
        <w:spacing w:line="240" w:lineRule="auto"/>
        <w:rPr>
          <w:rFonts w:ascii="Arial" w:hAnsi="Arial" w:cs="Arial"/>
          <w:sz w:val="20"/>
          <w:szCs w:val="20"/>
        </w:rPr>
      </w:pPr>
      <w:r w:rsidRPr="001147D3">
        <w:rPr>
          <w:rFonts w:ascii="Arial" w:hAnsi="Arial" w:cs="Arial"/>
          <w:sz w:val="20"/>
          <w:szCs w:val="20"/>
        </w:rPr>
        <w:t xml:space="preserve">A sample size of fifty respondents was selected for this investigation.  For a small-scale survey targeting a particular community, this sample size is suitable. </w:t>
      </w:r>
      <w:r w:rsidR="000C5BBB" w:rsidRPr="001147D3">
        <w:rPr>
          <w:rFonts w:ascii="Arial" w:hAnsi="Arial" w:cs="Arial"/>
          <w:noProof/>
          <w:sz w:val="20"/>
          <w:szCs w:val="20"/>
        </w:rPr>
        <w:t>Palinkas et al. (2013)</w:t>
      </w:r>
      <w:r w:rsidRPr="001147D3">
        <w:rPr>
          <w:rFonts w:ascii="Arial" w:hAnsi="Arial" w:cs="Arial"/>
          <w:sz w:val="20"/>
          <w:szCs w:val="20"/>
        </w:rPr>
        <w:t xml:space="preserve"> state that, particularly in exploratory investigations like this one, a sample size of 50 offers an acceptable compromise between cost, time, and result dependability for populations of less than 1000. Convenience sampling, in which participants are picked according to their availability and willingness to participate, will be used to choose the sample.  When working with a small sample size in social science research, this approach is frequently employed </w:t>
      </w:r>
      <w:sdt>
        <w:sdtPr>
          <w:rPr>
            <w:rFonts w:ascii="Arial" w:hAnsi="Arial" w:cs="Arial"/>
            <w:sz w:val="20"/>
            <w:szCs w:val="20"/>
          </w:rPr>
          <w:id w:val="613101359"/>
          <w:citation/>
        </w:sdtPr>
        <w:sdtEndPr/>
        <w:sdtContent>
          <w:r w:rsidR="000C5BBB" w:rsidRPr="001147D3">
            <w:rPr>
              <w:rFonts w:ascii="Arial" w:hAnsi="Arial" w:cs="Arial"/>
              <w:sz w:val="20"/>
              <w:szCs w:val="20"/>
            </w:rPr>
            <w:fldChar w:fldCharType="begin"/>
          </w:r>
          <w:r w:rsidR="000C5BBB" w:rsidRPr="001147D3">
            <w:rPr>
              <w:rFonts w:ascii="Arial" w:hAnsi="Arial" w:cs="Arial"/>
              <w:sz w:val="20"/>
              <w:szCs w:val="20"/>
            </w:rPr>
            <w:instrText xml:space="preserve"> CITATION Bry16 \l 1033 </w:instrText>
          </w:r>
          <w:r w:rsidR="000C5BBB" w:rsidRPr="001147D3">
            <w:rPr>
              <w:rFonts w:ascii="Arial" w:hAnsi="Arial" w:cs="Arial"/>
              <w:sz w:val="20"/>
              <w:szCs w:val="20"/>
            </w:rPr>
            <w:fldChar w:fldCharType="separate"/>
          </w:r>
          <w:r w:rsidR="000C5BBB" w:rsidRPr="001147D3">
            <w:rPr>
              <w:rFonts w:ascii="Arial" w:hAnsi="Arial" w:cs="Arial"/>
              <w:noProof/>
              <w:sz w:val="20"/>
              <w:szCs w:val="20"/>
            </w:rPr>
            <w:t>(Bryman, 2016)</w:t>
          </w:r>
          <w:r w:rsidR="000C5BBB" w:rsidRPr="001147D3">
            <w:rPr>
              <w:rFonts w:ascii="Arial" w:hAnsi="Arial" w:cs="Arial"/>
              <w:sz w:val="20"/>
              <w:szCs w:val="20"/>
            </w:rPr>
            <w:fldChar w:fldCharType="end"/>
          </w:r>
        </w:sdtContent>
      </w:sdt>
      <w:r w:rsidRPr="001147D3">
        <w:rPr>
          <w:rFonts w:ascii="Arial" w:hAnsi="Arial" w:cs="Arial"/>
          <w:sz w:val="20"/>
          <w:szCs w:val="20"/>
        </w:rPr>
        <w:t>.</w:t>
      </w:r>
    </w:p>
    <w:p w14:paraId="4F7AB1C0" w14:textId="77777777" w:rsidR="000942B9" w:rsidRPr="00014C28" w:rsidRDefault="000942B9" w:rsidP="001147D3">
      <w:pPr>
        <w:pStyle w:val="Heading2"/>
        <w:spacing w:line="240" w:lineRule="auto"/>
        <w:rPr>
          <w:rFonts w:ascii="Arial" w:hAnsi="Arial" w:cs="Arial"/>
          <w:sz w:val="22"/>
          <w:szCs w:val="20"/>
        </w:rPr>
      </w:pPr>
      <w:r w:rsidRPr="00014C28">
        <w:rPr>
          <w:rFonts w:ascii="Arial" w:hAnsi="Arial" w:cs="Arial"/>
          <w:sz w:val="22"/>
          <w:szCs w:val="20"/>
        </w:rPr>
        <w:t>Sampling Technique</w:t>
      </w:r>
    </w:p>
    <w:p w14:paraId="3101E65F" w14:textId="77777777" w:rsidR="000942B9" w:rsidRPr="001147D3" w:rsidRDefault="000942B9" w:rsidP="001147D3">
      <w:pPr>
        <w:spacing w:line="240" w:lineRule="auto"/>
        <w:rPr>
          <w:rFonts w:ascii="Arial" w:hAnsi="Arial" w:cs="Arial"/>
          <w:sz w:val="20"/>
          <w:szCs w:val="20"/>
        </w:rPr>
      </w:pPr>
      <w:r w:rsidRPr="001147D3">
        <w:rPr>
          <w:rFonts w:ascii="Arial" w:hAnsi="Arial" w:cs="Arial"/>
          <w:sz w:val="20"/>
          <w:szCs w:val="20"/>
        </w:rPr>
        <w:t xml:space="preserve">Convenience sampling is a non-probability sampling method used in the study to choose participants. This approach guarantees that data can be gathered effectively in a condensed amount of time by enabling the researcher to choose respondents who are readily available and willing to take part in the study. Studies where the sample is not meant to be entirely representative but rather seeks to learn from a particular set of people sometimes employ convenience sampling </w:t>
      </w:r>
      <w:sdt>
        <w:sdtPr>
          <w:rPr>
            <w:rFonts w:ascii="Arial" w:hAnsi="Arial" w:cs="Arial"/>
            <w:sz w:val="20"/>
            <w:szCs w:val="20"/>
          </w:rPr>
          <w:id w:val="-1715183558"/>
          <w:citation/>
        </w:sdtPr>
        <w:sdtEndPr/>
        <w:sdtContent>
          <w:r w:rsidR="00C56BA9" w:rsidRPr="001147D3">
            <w:rPr>
              <w:rFonts w:ascii="Arial" w:hAnsi="Arial" w:cs="Arial"/>
              <w:sz w:val="20"/>
              <w:szCs w:val="20"/>
            </w:rPr>
            <w:fldChar w:fldCharType="begin"/>
          </w:r>
          <w:r w:rsidR="00C56BA9" w:rsidRPr="001147D3">
            <w:rPr>
              <w:rFonts w:ascii="Arial" w:hAnsi="Arial" w:cs="Arial"/>
              <w:sz w:val="20"/>
              <w:szCs w:val="20"/>
            </w:rPr>
            <w:instrText xml:space="preserve"> CITATION Eti16 \l 1033 </w:instrText>
          </w:r>
          <w:r w:rsidR="00C56BA9" w:rsidRPr="001147D3">
            <w:rPr>
              <w:rFonts w:ascii="Arial" w:hAnsi="Arial" w:cs="Arial"/>
              <w:sz w:val="20"/>
              <w:szCs w:val="20"/>
            </w:rPr>
            <w:fldChar w:fldCharType="separate"/>
          </w:r>
          <w:r w:rsidR="00C56BA9" w:rsidRPr="001147D3">
            <w:rPr>
              <w:rFonts w:ascii="Arial" w:hAnsi="Arial" w:cs="Arial"/>
              <w:noProof/>
              <w:sz w:val="20"/>
              <w:szCs w:val="20"/>
            </w:rPr>
            <w:t>(Etikan, 2016)</w:t>
          </w:r>
          <w:r w:rsidR="00C56BA9" w:rsidRPr="001147D3">
            <w:rPr>
              <w:rFonts w:ascii="Arial" w:hAnsi="Arial" w:cs="Arial"/>
              <w:sz w:val="20"/>
              <w:szCs w:val="20"/>
            </w:rPr>
            <w:fldChar w:fldCharType="end"/>
          </w:r>
        </w:sdtContent>
      </w:sdt>
      <w:r w:rsidRPr="001147D3">
        <w:rPr>
          <w:rFonts w:ascii="Arial" w:hAnsi="Arial" w:cs="Arial"/>
          <w:sz w:val="20"/>
          <w:szCs w:val="20"/>
        </w:rPr>
        <w:t>.</w:t>
      </w:r>
    </w:p>
    <w:p w14:paraId="30EF9943" w14:textId="77777777" w:rsidR="000942B9" w:rsidRPr="001147D3" w:rsidRDefault="000942B9" w:rsidP="001147D3">
      <w:pPr>
        <w:spacing w:line="240" w:lineRule="auto"/>
        <w:rPr>
          <w:rFonts w:ascii="Arial" w:hAnsi="Arial" w:cs="Arial"/>
          <w:sz w:val="20"/>
          <w:szCs w:val="20"/>
        </w:rPr>
      </w:pPr>
      <w:r w:rsidRPr="001147D3">
        <w:rPr>
          <w:rFonts w:ascii="Arial" w:hAnsi="Arial" w:cs="Arial"/>
          <w:sz w:val="20"/>
          <w:szCs w:val="20"/>
        </w:rPr>
        <w:t>Participants will be chosen from Nigerian cities with greater access to FinTech banking services.  Cities with higher levels of FinTech penetration include Lagos, Abuja, and Port Harcourt. Social media platforms, FinTech user communities, and other online places where Nigerian consumers are likely to debate digital banking will be used to reach out to participants. Because of the nature of the study, choosing participants who are already acquainted with FinTech services guarantees that they will be able to offer insightful commentary on the adoption process.</w:t>
      </w:r>
    </w:p>
    <w:p w14:paraId="72D77581" w14:textId="77777777" w:rsidR="000942B9" w:rsidRPr="00014C28" w:rsidRDefault="000942B9" w:rsidP="001147D3">
      <w:pPr>
        <w:pStyle w:val="Heading2"/>
        <w:spacing w:line="240" w:lineRule="auto"/>
        <w:rPr>
          <w:rFonts w:ascii="Arial" w:hAnsi="Arial" w:cs="Arial"/>
          <w:sz w:val="22"/>
          <w:szCs w:val="20"/>
        </w:rPr>
      </w:pPr>
      <w:r w:rsidRPr="00014C28">
        <w:rPr>
          <w:rFonts w:ascii="Arial" w:hAnsi="Arial" w:cs="Arial"/>
          <w:sz w:val="22"/>
          <w:szCs w:val="20"/>
        </w:rPr>
        <w:t>Data Collection Methods</w:t>
      </w:r>
    </w:p>
    <w:p w14:paraId="4EC3D1B8" w14:textId="77777777" w:rsidR="000942B9" w:rsidRPr="00014C28" w:rsidRDefault="000942B9" w:rsidP="001147D3">
      <w:pPr>
        <w:pStyle w:val="Heading3"/>
        <w:spacing w:line="240" w:lineRule="auto"/>
        <w:rPr>
          <w:rFonts w:ascii="Arial" w:hAnsi="Arial" w:cs="Arial"/>
          <w:sz w:val="22"/>
          <w:szCs w:val="20"/>
        </w:rPr>
      </w:pPr>
      <w:r w:rsidRPr="00014C28">
        <w:rPr>
          <w:rFonts w:ascii="Arial" w:hAnsi="Arial" w:cs="Arial"/>
          <w:sz w:val="22"/>
          <w:szCs w:val="20"/>
        </w:rPr>
        <w:t>Survey Design</w:t>
      </w:r>
    </w:p>
    <w:p w14:paraId="4951636C" w14:textId="77777777" w:rsidR="004913EE" w:rsidRPr="001147D3" w:rsidRDefault="004913EE" w:rsidP="001147D3">
      <w:pPr>
        <w:spacing w:line="240" w:lineRule="auto"/>
        <w:rPr>
          <w:rFonts w:ascii="Arial" w:hAnsi="Arial" w:cs="Arial"/>
          <w:sz w:val="20"/>
          <w:szCs w:val="20"/>
        </w:rPr>
      </w:pPr>
      <w:r w:rsidRPr="001147D3">
        <w:rPr>
          <w:rFonts w:ascii="Arial" w:hAnsi="Arial" w:cs="Arial"/>
          <w:sz w:val="20"/>
          <w:szCs w:val="20"/>
        </w:rPr>
        <w:t>For this project, a self-administered questionnaire will be the main tool used to gather data.  Because it makes it possible to gather standardized data that is simple to examine statistically, a structured questionnaire is selected. The purpose of the questionnaire is to gather information about participants' attitudes toward risk, trust, and FinTech service acceptance. To collect a variety of data, it will include demographic questions, Likert scale items, and multiple-choice questions.</w:t>
      </w:r>
    </w:p>
    <w:p w14:paraId="52600F6F" w14:textId="77777777" w:rsidR="004913EE" w:rsidRPr="001147D3" w:rsidRDefault="004913EE" w:rsidP="001147D3">
      <w:pPr>
        <w:spacing w:line="240" w:lineRule="auto"/>
        <w:rPr>
          <w:rFonts w:ascii="Arial" w:hAnsi="Arial" w:cs="Arial"/>
          <w:sz w:val="20"/>
          <w:szCs w:val="20"/>
        </w:rPr>
      </w:pPr>
      <w:r w:rsidRPr="001147D3">
        <w:rPr>
          <w:rFonts w:ascii="Arial" w:hAnsi="Arial" w:cs="Arial"/>
          <w:sz w:val="20"/>
          <w:szCs w:val="20"/>
        </w:rPr>
        <w:t xml:space="preserve">Consumer perceptions of risk, trust, and propensity to employ FinTech services will all be assessed using the Likert scale. This scale is suitable since it enables participants to indicate how much they agree or disagree with statements about how they view FinTech services </w:t>
      </w:r>
      <w:sdt>
        <w:sdtPr>
          <w:rPr>
            <w:rFonts w:ascii="Arial" w:hAnsi="Arial" w:cs="Arial"/>
            <w:sz w:val="20"/>
            <w:szCs w:val="20"/>
          </w:rPr>
          <w:id w:val="1042105352"/>
          <w:citation/>
        </w:sdtPr>
        <w:sdtEndPr/>
        <w:sdtContent>
          <w:r w:rsidR="00C56BA9" w:rsidRPr="001147D3">
            <w:rPr>
              <w:rFonts w:ascii="Arial" w:hAnsi="Arial" w:cs="Arial"/>
              <w:sz w:val="20"/>
              <w:szCs w:val="20"/>
            </w:rPr>
            <w:fldChar w:fldCharType="begin"/>
          </w:r>
          <w:r w:rsidR="00C56BA9" w:rsidRPr="001147D3">
            <w:rPr>
              <w:rFonts w:ascii="Arial" w:hAnsi="Arial" w:cs="Arial"/>
              <w:sz w:val="20"/>
              <w:szCs w:val="20"/>
            </w:rPr>
            <w:instrText xml:space="preserve"> CITATION Lik32 \l 1033 </w:instrText>
          </w:r>
          <w:r w:rsidR="00C56BA9" w:rsidRPr="001147D3">
            <w:rPr>
              <w:rFonts w:ascii="Arial" w:hAnsi="Arial" w:cs="Arial"/>
              <w:sz w:val="20"/>
              <w:szCs w:val="20"/>
            </w:rPr>
            <w:fldChar w:fldCharType="separate"/>
          </w:r>
          <w:r w:rsidR="00C56BA9" w:rsidRPr="001147D3">
            <w:rPr>
              <w:rFonts w:ascii="Arial" w:hAnsi="Arial" w:cs="Arial"/>
              <w:noProof/>
              <w:sz w:val="20"/>
              <w:szCs w:val="20"/>
            </w:rPr>
            <w:t>(Likert, 1932)</w:t>
          </w:r>
          <w:r w:rsidR="00C56BA9" w:rsidRPr="001147D3">
            <w:rPr>
              <w:rFonts w:ascii="Arial" w:hAnsi="Arial" w:cs="Arial"/>
              <w:sz w:val="20"/>
              <w:szCs w:val="20"/>
            </w:rPr>
            <w:fldChar w:fldCharType="end"/>
          </w:r>
        </w:sdtContent>
      </w:sdt>
      <w:r w:rsidRPr="001147D3">
        <w:rPr>
          <w:rFonts w:ascii="Arial" w:hAnsi="Arial" w:cs="Arial"/>
          <w:sz w:val="20"/>
          <w:szCs w:val="20"/>
        </w:rPr>
        <w:t>. For instance, respondents will be asked to score how much they agree with statements like "I worry financial loss when utilizing FinTech services" or "I trust that FinTech banks are secure."</w:t>
      </w:r>
    </w:p>
    <w:p w14:paraId="4A3CF010" w14:textId="77777777" w:rsidR="004913EE" w:rsidRPr="00014C28" w:rsidRDefault="004913EE" w:rsidP="001147D3">
      <w:pPr>
        <w:pStyle w:val="Heading3"/>
        <w:spacing w:line="240" w:lineRule="auto"/>
        <w:rPr>
          <w:rFonts w:ascii="Arial" w:hAnsi="Arial" w:cs="Arial"/>
          <w:sz w:val="22"/>
          <w:szCs w:val="20"/>
        </w:rPr>
      </w:pPr>
      <w:r w:rsidRPr="00014C28">
        <w:rPr>
          <w:rFonts w:ascii="Arial" w:hAnsi="Arial" w:cs="Arial"/>
          <w:sz w:val="22"/>
          <w:szCs w:val="20"/>
        </w:rPr>
        <w:t>Data Collection Procedure</w:t>
      </w:r>
    </w:p>
    <w:p w14:paraId="1ED26E61" w14:textId="77777777" w:rsidR="004913EE" w:rsidRPr="001147D3" w:rsidRDefault="004913EE" w:rsidP="001147D3">
      <w:pPr>
        <w:spacing w:line="240" w:lineRule="auto"/>
        <w:rPr>
          <w:rFonts w:ascii="Arial" w:hAnsi="Arial" w:cs="Arial"/>
          <w:sz w:val="20"/>
          <w:szCs w:val="20"/>
        </w:rPr>
      </w:pPr>
      <w:r w:rsidRPr="001147D3">
        <w:rPr>
          <w:rFonts w:ascii="Arial" w:hAnsi="Arial" w:cs="Arial"/>
          <w:sz w:val="20"/>
          <w:szCs w:val="20"/>
        </w:rPr>
        <w:t>Over the course of two weeks, the data will be gathered.  Respondents will receive the online poll via social media, online forums centered on FinTech, and Google Forms. Before completing the survey, participants will be briefed on the study's objectives and asked for their consent. Respondents will be guaranteed that their answers will be kept private and used only for scholarly research.</w:t>
      </w:r>
    </w:p>
    <w:p w14:paraId="09E14D8B" w14:textId="77777777" w:rsidR="004913EE" w:rsidRPr="001147D3" w:rsidRDefault="004913EE" w:rsidP="001147D3">
      <w:pPr>
        <w:spacing w:line="240" w:lineRule="auto"/>
        <w:rPr>
          <w:rFonts w:ascii="Arial" w:hAnsi="Arial" w:cs="Arial"/>
          <w:sz w:val="20"/>
          <w:szCs w:val="20"/>
        </w:rPr>
      </w:pPr>
      <w:r w:rsidRPr="001147D3">
        <w:rPr>
          <w:rFonts w:ascii="Arial" w:hAnsi="Arial" w:cs="Arial"/>
          <w:sz w:val="20"/>
          <w:szCs w:val="20"/>
        </w:rPr>
        <w:t xml:space="preserve">To guarantee a high response rate, the survey will be made to take roughly ten to fifteen minutes to complete. As is customary in online surveys to increase participation, participants will be told that they can enter a raffle to win a modest prize after completing the survey to encourage participation </w:t>
      </w:r>
      <w:sdt>
        <w:sdtPr>
          <w:rPr>
            <w:rFonts w:ascii="Arial" w:hAnsi="Arial" w:cs="Arial"/>
            <w:sz w:val="20"/>
            <w:szCs w:val="20"/>
          </w:rPr>
          <w:id w:val="-2146656839"/>
          <w:citation/>
        </w:sdtPr>
        <w:sdtEndPr/>
        <w:sdtContent>
          <w:r w:rsidR="00C56BA9" w:rsidRPr="001147D3">
            <w:rPr>
              <w:rFonts w:ascii="Arial" w:hAnsi="Arial" w:cs="Arial"/>
              <w:sz w:val="20"/>
              <w:szCs w:val="20"/>
            </w:rPr>
            <w:fldChar w:fldCharType="begin"/>
          </w:r>
          <w:r w:rsidR="00C56BA9" w:rsidRPr="001147D3">
            <w:rPr>
              <w:rFonts w:ascii="Arial" w:hAnsi="Arial" w:cs="Arial"/>
              <w:sz w:val="20"/>
              <w:szCs w:val="20"/>
            </w:rPr>
            <w:instrText xml:space="preserve"> CITATION Dil14 \l 1033 </w:instrText>
          </w:r>
          <w:r w:rsidR="00C56BA9" w:rsidRPr="001147D3">
            <w:rPr>
              <w:rFonts w:ascii="Arial" w:hAnsi="Arial" w:cs="Arial"/>
              <w:sz w:val="20"/>
              <w:szCs w:val="20"/>
            </w:rPr>
            <w:fldChar w:fldCharType="separate"/>
          </w:r>
          <w:r w:rsidR="00C56BA9" w:rsidRPr="001147D3">
            <w:rPr>
              <w:rFonts w:ascii="Arial" w:hAnsi="Arial" w:cs="Arial"/>
              <w:noProof/>
              <w:sz w:val="20"/>
              <w:szCs w:val="20"/>
            </w:rPr>
            <w:t>(Dillman et al., 2014)</w:t>
          </w:r>
          <w:r w:rsidR="00C56BA9" w:rsidRPr="001147D3">
            <w:rPr>
              <w:rFonts w:ascii="Arial" w:hAnsi="Arial" w:cs="Arial"/>
              <w:sz w:val="20"/>
              <w:szCs w:val="20"/>
            </w:rPr>
            <w:fldChar w:fldCharType="end"/>
          </w:r>
        </w:sdtContent>
      </w:sdt>
      <w:r w:rsidRPr="001147D3">
        <w:rPr>
          <w:rFonts w:ascii="Arial" w:hAnsi="Arial" w:cs="Arial"/>
          <w:sz w:val="20"/>
          <w:szCs w:val="20"/>
        </w:rPr>
        <w:t>.</w:t>
      </w:r>
    </w:p>
    <w:p w14:paraId="236879DB" w14:textId="77777777" w:rsidR="004913EE" w:rsidRPr="00014C28" w:rsidRDefault="004913EE" w:rsidP="001147D3">
      <w:pPr>
        <w:pStyle w:val="Heading3"/>
        <w:spacing w:line="240" w:lineRule="auto"/>
        <w:rPr>
          <w:rFonts w:ascii="Arial" w:hAnsi="Arial" w:cs="Arial"/>
          <w:sz w:val="22"/>
          <w:szCs w:val="20"/>
        </w:rPr>
      </w:pPr>
      <w:r w:rsidRPr="00014C28">
        <w:rPr>
          <w:rFonts w:ascii="Arial" w:hAnsi="Arial" w:cs="Arial"/>
          <w:sz w:val="22"/>
          <w:szCs w:val="20"/>
        </w:rPr>
        <w:lastRenderedPageBreak/>
        <w:t>Variables and Measurements</w:t>
      </w:r>
    </w:p>
    <w:p w14:paraId="7A178E69" w14:textId="77777777" w:rsidR="004913EE" w:rsidRPr="001147D3" w:rsidRDefault="004913EE" w:rsidP="001147D3">
      <w:pPr>
        <w:spacing w:line="240" w:lineRule="auto"/>
        <w:rPr>
          <w:rFonts w:ascii="Arial" w:hAnsi="Arial" w:cs="Arial"/>
          <w:sz w:val="20"/>
          <w:szCs w:val="20"/>
        </w:rPr>
      </w:pPr>
      <w:r w:rsidRPr="001147D3">
        <w:rPr>
          <w:rFonts w:ascii="Arial" w:hAnsi="Arial" w:cs="Arial"/>
          <w:sz w:val="20"/>
          <w:szCs w:val="20"/>
        </w:rPr>
        <w:t>Three main factors are the subject of the study: acceptance of FinTech services, trust, and bankruptcy anxiety.</w:t>
      </w:r>
    </w:p>
    <w:p w14:paraId="74BF59C3" w14:textId="77777777" w:rsidR="004913EE" w:rsidRPr="001147D3" w:rsidRDefault="004913EE" w:rsidP="001147D3">
      <w:pPr>
        <w:spacing w:line="240" w:lineRule="auto"/>
        <w:rPr>
          <w:rFonts w:ascii="Arial" w:hAnsi="Arial" w:cs="Arial"/>
          <w:sz w:val="20"/>
          <w:szCs w:val="20"/>
        </w:rPr>
      </w:pPr>
      <w:r w:rsidRPr="001147D3">
        <w:rPr>
          <w:rFonts w:ascii="Arial" w:hAnsi="Arial" w:cs="Arial"/>
          <w:b/>
          <w:sz w:val="20"/>
          <w:szCs w:val="20"/>
        </w:rPr>
        <w:t>Fear of Bankruptcy:</w:t>
      </w:r>
      <w:r w:rsidRPr="001147D3">
        <w:rPr>
          <w:rFonts w:ascii="Arial" w:hAnsi="Arial" w:cs="Arial"/>
          <w:sz w:val="20"/>
          <w:szCs w:val="20"/>
        </w:rPr>
        <w:t xml:space="preserve"> Likert scale items that gauge participants' level of concern about the possible failure of FinTech banks and the possibility of financial loss will be used to measure this variable.</w:t>
      </w:r>
    </w:p>
    <w:p w14:paraId="6BE38559" w14:textId="77777777" w:rsidR="004913EE" w:rsidRPr="001147D3" w:rsidRDefault="004913EE" w:rsidP="001147D3">
      <w:pPr>
        <w:spacing w:line="240" w:lineRule="auto"/>
        <w:rPr>
          <w:rFonts w:ascii="Arial" w:hAnsi="Arial" w:cs="Arial"/>
          <w:sz w:val="20"/>
          <w:szCs w:val="20"/>
        </w:rPr>
      </w:pPr>
      <w:r w:rsidRPr="001147D3">
        <w:rPr>
          <w:rFonts w:ascii="Arial" w:hAnsi="Arial" w:cs="Arial"/>
          <w:b/>
          <w:sz w:val="20"/>
          <w:szCs w:val="20"/>
        </w:rPr>
        <w:t>Trust:</w:t>
      </w:r>
      <w:r w:rsidRPr="001147D3">
        <w:rPr>
          <w:rFonts w:ascii="Arial" w:hAnsi="Arial" w:cs="Arial"/>
          <w:sz w:val="20"/>
          <w:szCs w:val="20"/>
        </w:rPr>
        <w:t xml:space="preserve"> Items that gauge customers' opinions of the security and dependability of FinTech services will be used to gauge trust in FinTech banks. We'll utilize phrases like "I trust that FinTech banks are regulated by the government."</w:t>
      </w:r>
    </w:p>
    <w:p w14:paraId="127F9CBF" w14:textId="77777777" w:rsidR="004913EE" w:rsidRPr="001147D3" w:rsidRDefault="004913EE" w:rsidP="001147D3">
      <w:pPr>
        <w:spacing w:line="240" w:lineRule="auto"/>
        <w:rPr>
          <w:rFonts w:ascii="Arial" w:hAnsi="Arial" w:cs="Arial"/>
          <w:sz w:val="20"/>
          <w:szCs w:val="20"/>
        </w:rPr>
      </w:pPr>
      <w:r w:rsidRPr="001147D3">
        <w:rPr>
          <w:rFonts w:ascii="Arial" w:hAnsi="Arial" w:cs="Arial"/>
          <w:b/>
          <w:sz w:val="20"/>
          <w:szCs w:val="20"/>
        </w:rPr>
        <w:t>Adoption of FinTech Services:</w:t>
      </w:r>
      <w:r w:rsidRPr="001147D3">
        <w:rPr>
          <w:rFonts w:ascii="Arial" w:hAnsi="Arial" w:cs="Arial"/>
          <w:sz w:val="20"/>
          <w:szCs w:val="20"/>
        </w:rPr>
        <w:t xml:space="preserve"> Participants will be asked if they now use FinTech services, how often they do so, and whether they plan to embrace FinTech in the future in order to gauge this.</w:t>
      </w:r>
    </w:p>
    <w:p w14:paraId="44AD1724" w14:textId="77777777" w:rsidR="004913EE" w:rsidRPr="001147D3" w:rsidRDefault="004913EE" w:rsidP="001147D3">
      <w:pPr>
        <w:spacing w:line="240" w:lineRule="auto"/>
        <w:rPr>
          <w:rFonts w:ascii="Arial" w:hAnsi="Arial" w:cs="Arial"/>
          <w:sz w:val="20"/>
          <w:szCs w:val="20"/>
        </w:rPr>
      </w:pPr>
      <w:r w:rsidRPr="001147D3">
        <w:rPr>
          <w:rFonts w:ascii="Arial" w:hAnsi="Arial" w:cs="Arial"/>
          <w:sz w:val="20"/>
          <w:szCs w:val="20"/>
        </w:rPr>
        <w:t>In order to investigate how these factors affect perceptions of risk and trust, demographic data like age, gender, income, and educational attainment will also be gathered.</w:t>
      </w:r>
    </w:p>
    <w:p w14:paraId="3F5D8C0E" w14:textId="77777777" w:rsidR="004913EE" w:rsidRPr="00014C28" w:rsidRDefault="004913EE" w:rsidP="001147D3">
      <w:pPr>
        <w:pStyle w:val="Heading2"/>
        <w:spacing w:line="240" w:lineRule="auto"/>
        <w:rPr>
          <w:rFonts w:ascii="Arial" w:hAnsi="Arial" w:cs="Arial"/>
          <w:sz w:val="22"/>
          <w:szCs w:val="20"/>
        </w:rPr>
      </w:pPr>
      <w:r w:rsidRPr="00014C28">
        <w:rPr>
          <w:rFonts w:ascii="Arial" w:hAnsi="Arial" w:cs="Arial"/>
          <w:sz w:val="22"/>
          <w:szCs w:val="20"/>
        </w:rPr>
        <w:t>Data Analysis Techniques</w:t>
      </w:r>
    </w:p>
    <w:p w14:paraId="02D2D5F9" w14:textId="77777777" w:rsidR="004913EE" w:rsidRPr="001147D3" w:rsidRDefault="004913EE" w:rsidP="001147D3">
      <w:pPr>
        <w:spacing w:line="240" w:lineRule="auto"/>
        <w:rPr>
          <w:rFonts w:ascii="Arial" w:hAnsi="Arial" w:cs="Arial"/>
          <w:sz w:val="20"/>
          <w:szCs w:val="20"/>
        </w:rPr>
      </w:pPr>
      <w:r w:rsidRPr="001147D3">
        <w:rPr>
          <w:rFonts w:ascii="Arial" w:hAnsi="Arial" w:cs="Arial"/>
          <w:sz w:val="20"/>
          <w:szCs w:val="20"/>
        </w:rPr>
        <w:t>Both descriptive and inferential statistics will be used to analyze the data.  The sample's features, such as frequency distributions and measures of central tendency (mean, median, and mode), will be summed up and described</w:t>
      </w:r>
      <w:r w:rsidR="00AA12C8" w:rsidRPr="001147D3">
        <w:rPr>
          <w:rFonts w:ascii="Arial" w:hAnsi="Arial" w:cs="Arial"/>
          <w:sz w:val="20"/>
          <w:szCs w:val="20"/>
        </w:rPr>
        <w:t xml:space="preserve"> using descriptive statistics. </w:t>
      </w:r>
      <w:r w:rsidRPr="001147D3">
        <w:rPr>
          <w:rFonts w:ascii="Arial" w:hAnsi="Arial" w:cs="Arial"/>
          <w:sz w:val="20"/>
          <w:szCs w:val="20"/>
        </w:rPr>
        <w:t>These will aid in giving a broad picture of the sample's demographic makeup as well as broad patterns in risk perception and FinTech adoption.</w:t>
      </w:r>
    </w:p>
    <w:p w14:paraId="6D675F9C" w14:textId="77777777" w:rsidR="00AA12C8" w:rsidRPr="001147D3" w:rsidRDefault="004913EE" w:rsidP="001147D3">
      <w:pPr>
        <w:spacing w:line="240" w:lineRule="auto"/>
        <w:rPr>
          <w:rFonts w:ascii="Arial" w:hAnsi="Arial" w:cs="Arial"/>
          <w:sz w:val="20"/>
          <w:szCs w:val="20"/>
        </w:rPr>
      </w:pPr>
      <w:r w:rsidRPr="001147D3">
        <w:rPr>
          <w:rFonts w:ascii="Arial" w:hAnsi="Arial" w:cs="Arial"/>
          <w:sz w:val="20"/>
          <w:szCs w:val="20"/>
        </w:rPr>
        <w:t>The associations between risk perception, trust, and FinTech service acceptance will be investigated</w:t>
      </w:r>
      <w:r w:rsidR="00AA12C8" w:rsidRPr="001147D3">
        <w:rPr>
          <w:rFonts w:ascii="Arial" w:hAnsi="Arial" w:cs="Arial"/>
          <w:sz w:val="20"/>
          <w:szCs w:val="20"/>
        </w:rPr>
        <w:t xml:space="preserve"> using inferential statistics. </w:t>
      </w:r>
      <w:r w:rsidRPr="001147D3">
        <w:rPr>
          <w:rFonts w:ascii="Arial" w:hAnsi="Arial" w:cs="Arial"/>
          <w:sz w:val="20"/>
          <w:szCs w:val="20"/>
        </w:rPr>
        <w:t>To evaluate the direction and strength of the correlations between these variables, a Pearson correlati</w:t>
      </w:r>
      <w:r w:rsidR="00AA12C8" w:rsidRPr="001147D3">
        <w:rPr>
          <w:rFonts w:ascii="Arial" w:hAnsi="Arial" w:cs="Arial"/>
          <w:sz w:val="20"/>
          <w:szCs w:val="20"/>
        </w:rPr>
        <w:t xml:space="preserve">on analysis will be performed. </w:t>
      </w:r>
      <w:r w:rsidRPr="001147D3">
        <w:rPr>
          <w:rFonts w:ascii="Arial" w:hAnsi="Arial" w:cs="Arial"/>
          <w:sz w:val="20"/>
          <w:szCs w:val="20"/>
        </w:rPr>
        <w:t>Because it enables the analysis of linear relationships between continuous variables, this techni</w:t>
      </w:r>
      <w:r w:rsidR="00AA12C8" w:rsidRPr="001147D3">
        <w:rPr>
          <w:rFonts w:ascii="Arial" w:hAnsi="Arial" w:cs="Arial"/>
          <w:sz w:val="20"/>
          <w:szCs w:val="20"/>
        </w:rPr>
        <w:t xml:space="preserve">que is suitable </w:t>
      </w:r>
      <w:sdt>
        <w:sdtPr>
          <w:rPr>
            <w:rFonts w:ascii="Arial" w:hAnsi="Arial" w:cs="Arial"/>
            <w:sz w:val="20"/>
            <w:szCs w:val="20"/>
          </w:rPr>
          <w:id w:val="1088122598"/>
          <w:citation/>
        </w:sdtPr>
        <w:sdtEndPr/>
        <w:sdtContent>
          <w:r w:rsidR="00C56BA9" w:rsidRPr="001147D3">
            <w:rPr>
              <w:rFonts w:ascii="Arial" w:hAnsi="Arial" w:cs="Arial"/>
              <w:sz w:val="20"/>
              <w:szCs w:val="20"/>
            </w:rPr>
            <w:fldChar w:fldCharType="begin"/>
          </w:r>
          <w:r w:rsidR="00C56BA9" w:rsidRPr="001147D3">
            <w:rPr>
              <w:rFonts w:ascii="Arial" w:hAnsi="Arial" w:cs="Arial"/>
              <w:sz w:val="20"/>
              <w:szCs w:val="20"/>
            </w:rPr>
            <w:instrText xml:space="preserve"> CITATION Fie13 \l 1033 </w:instrText>
          </w:r>
          <w:r w:rsidR="00C56BA9" w:rsidRPr="001147D3">
            <w:rPr>
              <w:rFonts w:ascii="Arial" w:hAnsi="Arial" w:cs="Arial"/>
              <w:sz w:val="20"/>
              <w:szCs w:val="20"/>
            </w:rPr>
            <w:fldChar w:fldCharType="separate"/>
          </w:r>
          <w:r w:rsidR="00C56BA9" w:rsidRPr="001147D3">
            <w:rPr>
              <w:rFonts w:ascii="Arial" w:hAnsi="Arial" w:cs="Arial"/>
              <w:noProof/>
              <w:sz w:val="20"/>
              <w:szCs w:val="20"/>
            </w:rPr>
            <w:t>(Field, 2013)</w:t>
          </w:r>
          <w:r w:rsidR="00C56BA9" w:rsidRPr="001147D3">
            <w:rPr>
              <w:rFonts w:ascii="Arial" w:hAnsi="Arial" w:cs="Arial"/>
              <w:sz w:val="20"/>
              <w:szCs w:val="20"/>
            </w:rPr>
            <w:fldChar w:fldCharType="end"/>
          </w:r>
        </w:sdtContent>
      </w:sdt>
      <w:r w:rsidR="00AA12C8" w:rsidRPr="001147D3">
        <w:rPr>
          <w:rFonts w:ascii="Arial" w:hAnsi="Arial" w:cs="Arial"/>
          <w:sz w:val="20"/>
          <w:szCs w:val="20"/>
        </w:rPr>
        <w:t xml:space="preserve">. </w:t>
      </w:r>
      <w:r w:rsidRPr="001147D3">
        <w:rPr>
          <w:rFonts w:ascii="Arial" w:hAnsi="Arial" w:cs="Arial"/>
          <w:sz w:val="20"/>
          <w:szCs w:val="20"/>
        </w:rPr>
        <w:t>Furthermore, the degree to which perceived risks (such fear of bankruptcy) and trust influence the uptake of FinTech services will be ascertained by</w:t>
      </w:r>
      <w:r w:rsidR="00AA12C8" w:rsidRPr="001147D3">
        <w:rPr>
          <w:rFonts w:ascii="Arial" w:hAnsi="Arial" w:cs="Arial"/>
          <w:sz w:val="20"/>
          <w:szCs w:val="20"/>
        </w:rPr>
        <w:t xml:space="preserve"> regression analysis.</w:t>
      </w:r>
    </w:p>
    <w:p w14:paraId="31CBDFAF" w14:textId="77777777" w:rsidR="004913EE" w:rsidRPr="001147D3" w:rsidRDefault="004913EE" w:rsidP="001147D3">
      <w:pPr>
        <w:spacing w:line="240" w:lineRule="auto"/>
        <w:rPr>
          <w:rFonts w:ascii="Arial" w:hAnsi="Arial" w:cs="Arial"/>
          <w:sz w:val="20"/>
          <w:szCs w:val="20"/>
        </w:rPr>
      </w:pPr>
      <w:r w:rsidRPr="001147D3">
        <w:rPr>
          <w:rFonts w:ascii="Arial" w:hAnsi="Arial" w:cs="Arial"/>
          <w:sz w:val="20"/>
          <w:szCs w:val="20"/>
        </w:rPr>
        <w:t>SPSS (Statistical Package for the Social Sciences), a software program frequently used for survey data analysis, will be used</w:t>
      </w:r>
      <w:r w:rsidR="00AA12C8" w:rsidRPr="001147D3">
        <w:rPr>
          <w:rFonts w:ascii="Arial" w:hAnsi="Arial" w:cs="Arial"/>
          <w:sz w:val="20"/>
          <w:szCs w:val="20"/>
        </w:rPr>
        <w:t xml:space="preserve"> to conduct the data analysis. </w:t>
      </w:r>
      <w:r w:rsidRPr="001147D3">
        <w:rPr>
          <w:rFonts w:ascii="Arial" w:hAnsi="Arial" w:cs="Arial"/>
          <w:sz w:val="20"/>
          <w:szCs w:val="20"/>
        </w:rPr>
        <w:t>Large datasets can be handled more easily with SPSS, which also produces reliable statistical results for variable connections and hypothesis testing.</w:t>
      </w:r>
    </w:p>
    <w:p w14:paraId="7550F84A" w14:textId="77777777" w:rsidR="000942B9" w:rsidRPr="00014C28" w:rsidRDefault="00AA12C8" w:rsidP="001147D3">
      <w:pPr>
        <w:pStyle w:val="Heading2"/>
        <w:spacing w:line="240" w:lineRule="auto"/>
        <w:rPr>
          <w:rFonts w:ascii="Arial" w:hAnsi="Arial" w:cs="Arial"/>
          <w:sz w:val="22"/>
          <w:szCs w:val="20"/>
        </w:rPr>
      </w:pPr>
      <w:r w:rsidRPr="00014C28">
        <w:rPr>
          <w:rFonts w:ascii="Arial" w:hAnsi="Arial" w:cs="Arial"/>
          <w:sz w:val="22"/>
          <w:szCs w:val="20"/>
        </w:rPr>
        <w:t>Ethical Considerations</w:t>
      </w:r>
    </w:p>
    <w:p w14:paraId="3E52262B" w14:textId="77777777" w:rsidR="00AA12C8" w:rsidRPr="001147D3" w:rsidRDefault="00AA12C8" w:rsidP="001147D3">
      <w:pPr>
        <w:spacing w:line="240" w:lineRule="auto"/>
        <w:rPr>
          <w:rFonts w:ascii="Arial" w:hAnsi="Arial" w:cs="Arial"/>
          <w:sz w:val="20"/>
          <w:szCs w:val="20"/>
        </w:rPr>
      </w:pPr>
      <w:r w:rsidRPr="001147D3">
        <w:rPr>
          <w:rFonts w:ascii="Arial" w:hAnsi="Arial" w:cs="Arial"/>
          <w:sz w:val="20"/>
          <w:szCs w:val="20"/>
        </w:rPr>
        <w:t>This research is heavily reliant on ethical issues, especially as it uses human subjects.  The following major ethical concerns will be covered:</w:t>
      </w:r>
    </w:p>
    <w:p w14:paraId="708F200D" w14:textId="77777777" w:rsidR="00AA12C8" w:rsidRPr="001147D3" w:rsidRDefault="00AA12C8" w:rsidP="001147D3">
      <w:pPr>
        <w:spacing w:line="240" w:lineRule="auto"/>
        <w:rPr>
          <w:rFonts w:ascii="Arial" w:hAnsi="Arial" w:cs="Arial"/>
          <w:sz w:val="20"/>
          <w:szCs w:val="20"/>
        </w:rPr>
      </w:pPr>
      <w:r w:rsidRPr="001147D3">
        <w:rPr>
          <w:rFonts w:ascii="Arial" w:hAnsi="Arial" w:cs="Arial"/>
          <w:b/>
          <w:sz w:val="20"/>
          <w:szCs w:val="20"/>
        </w:rPr>
        <w:t>Informed Consent:</w:t>
      </w:r>
      <w:r w:rsidRPr="001147D3">
        <w:rPr>
          <w:rFonts w:ascii="Arial" w:hAnsi="Arial" w:cs="Arial"/>
          <w:sz w:val="20"/>
          <w:szCs w:val="20"/>
        </w:rPr>
        <w:t xml:space="preserve"> Participants will receive comprehensive information regarding the study's purpose and their part in it. Before they participate, their consent will be sought, and they will be made aware that they can leave at any moment without incurring any fees</w:t>
      </w:r>
      <w:r w:rsidR="00BC6413" w:rsidRPr="001147D3">
        <w:rPr>
          <w:rFonts w:ascii="Arial" w:hAnsi="Arial" w:cs="Arial"/>
          <w:sz w:val="20"/>
          <w:szCs w:val="20"/>
        </w:rPr>
        <w:t xml:space="preserve"> </w:t>
      </w:r>
      <w:sdt>
        <w:sdtPr>
          <w:rPr>
            <w:rFonts w:ascii="Arial" w:hAnsi="Arial" w:cs="Arial"/>
            <w:sz w:val="20"/>
            <w:szCs w:val="20"/>
          </w:rPr>
          <w:id w:val="1868182027"/>
          <w:citation/>
        </w:sdtPr>
        <w:sdtEndPr/>
        <w:sdtContent>
          <w:r w:rsidR="00BC6413" w:rsidRPr="001147D3">
            <w:rPr>
              <w:rFonts w:ascii="Arial" w:hAnsi="Arial" w:cs="Arial"/>
              <w:sz w:val="20"/>
              <w:szCs w:val="20"/>
            </w:rPr>
            <w:fldChar w:fldCharType="begin"/>
          </w:r>
          <w:r w:rsidR="00BC6413" w:rsidRPr="001147D3">
            <w:rPr>
              <w:rFonts w:ascii="Arial" w:hAnsi="Arial" w:cs="Arial"/>
              <w:sz w:val="20"/>
              <w:szCs w:val="20"/>
            </w:rPr>
            <w:instrText xml:space="preserve"> CITATION Ara24 \l 1033 </w:instrText>
          </w:r>
          <w:r w:rsidR="00BC6413" w:rsidRPr="001147D3">
            <w:rPr>
              <w:rFonts w:ascii="Arial" w:hAnsi="Arial" w:cs="Arial"/>
              <w:sz w:val="20"/>
              <w:szCs w:val="20"/>
            </w:rPr>
            <w:fldChar w:fldCharType="separate"/>
          </w:r>
          <w:r w:rsidR="00BC6413" w:rsidRPr="001147D3">
            <w:rPr>
              <w:rFonts w:ascii="Arial" w:hAnsi="Arial" w:cs="Arial"/>
              <w:noProof/>
              <w:sz w:val="20"/>
              <w:szCs w:val="20"/>
            </w:rPr>
            <w:t>(Arafat, 2024)</w:t>
          </w:r>
          <w:r w:rsidR="00BC6413" w:rsidRPr="001147D3">
            <w:rPr>
              <w:rFonts w:ascii="Arial" w:hAnsi="Arial" w:cs="Arial"/>
              <w:sz w:val="20"/>
              <w:szCs w:val="20"/>
            </w:rPr>
            <w:fldChar w:fldCharType="end"/>
          </w:r>
        </w:sdtContent>
      </w:sdt>
      <w:r w:rsidRPr="001147D3">
        <w:rPr>
          <w:rFonts w:ascii="Arial" w:hAnsi="Arial" w:cs="Arial"/>
          <w:sz w:val="20"/>
          <w:szCs w:val="20"/>
        </w:rPr>
        <w:t>.</w:t>
      </w:r>
    </w:p>
    <w:p w14:paraId="3DCD8A29" w14:textId="77777777" w:rsidR="00AA12C8" w:rsidRPr="001147D3" w:rsidRDefault="00AA12C8" w:rsidP="001147D3">
      <w:pPr>
        <w:spacing w:line="240" w:lineRule="auto"/>
        <w:rPr>
          <w:rFonts w:ascii="Arial" w:hAnsi="Arial" w:cs="Arial"/>
          <w:sz w:val="20"/>
          <w:szCs w:val="20"/>
        </w:rPr>
      </w:pPr>
      <w:r w:rsidRPr="001147D3">
        <w:rPr>
          <w:rFonts w:ascii="Arial" w:hAnsi="Arial" w:cs="Arial"/>
          <w:b/>
          <w:sz w:val="20"/>
          <w:szCs w:val="20"/>
        </w:rPr>
        <w:t>Confidentiality:</w:t>
      </w:r>
      <w:r w:rsidRPr="001147D3">
        <w:rPr>
          <w:rFonts w:ascii="Arial" w:hAnsi="Arial" w:cs="Arial"/>
          <w:sz w:val="20"/>
          <w:szCs w:val="20"/>
        </w:rPr>
        <w:t xml:space="preserve"> To protect participants' identity, all answers will be </w:t>
      </w:r>
      <w:proofErr w:type="spellStart"/>
      <w:r w:rsidRPr="001147D3">
        <w:rPr>
          <w:rFonts w:ascii="Arial" w:hAnsi="Arial" w:cs="Arial"/>
          <w:sz w:val="20"/>
          <w:szCs w:val="20"/>
        </w:rPr>
        <w:t>anonymised</w:t>
      </w:r>
      <w:proofErr w:type="spellEnd"/>
      <w:r w:rsidRPr="001147D3">
        <w:rPr>
          <w:rFonts w:ascii="Arial" w:hAnsi="Arial" w:cs="Arial"/>
          <w:sz w:val="20"/>
          <w:szCs w:val="20"/>
        </w:rPr>
        <w:t xml:space="preserve"> and kept private.  The final study will only give aggregate results.</w:t>
      </w:r>
    </w:p>
    <w:p w14:paraId="113A0F0E" w14:textId="77777777" w:rsidR="00AA12C8" w:rsidRPr="001147D3" w:rsidRDefault="00AA12C8" w:rsidP="001147D3">
      <w:pPr>
        <w:spacing w:line="240" w:lineRule="auto"/>
        <w:rPr>
          <w:rFonts w:ascii="Arial" w:hAnsi="Arial" w:cs="Arial"/>
          <w:sz w:val="20"/>
          <w:szCs w:val="20"/>
        </w:rPr>
      </w:pPr>
      <w:r w:rsidRPr="001147D3">
        <w:rPr>
          <w:rFonts w:ascii="Arial" w:hAnsi="Arial" w:cs="Arial"/>
          <w:b/>
          <w:sz w:val="20"/>
          <w:szCs w:val="20"/>
        </w:rPr>
        <w:t>Voluntary Participation:</w:t>
      </w:r>
      <w:r w:rsidRPr="001147D3">
        <w:rPr>
          <w:rFonts w:ascii="Arial" w:hAnsi="Arial" w:cs="Arial"/>
          <w:sz w:val="20"/>
          <w:szCs w:val="20"/>
        </w:rPr>
        <w:t xml:space="preserve"> Respondents will be made aware that their choice to engage in the study will not impact their relationship with any FinTech services, and participat</w:t>
      </w:r>
      <w:r w:rsidR="00BC6413" w:rsidRPr="001147D3">
        <w:rPr>
          <w:rFonts w:ascii="Arial" w:hAnsi="Arial" w:cs="Arial"/>
          <w:sz w:val="20"/>
          <w:szCs w:val="20"/>
        </w:rPr>
        <w:t xml:space="preserve">ion will be completely optional </w:t>
      </w:r>
      <w:sdt>
        <w:sdtPr>
          <w:rPr>
            <w:rFonts w:ascii="Arial" w:hAnsi="Arial" w:cs="Arial"/>
            <w:sz w:val="20"/>
            <w:szCs w:val="20"/>
          </w:rPr>
          <w:id w:val="1465696979"/>
          <w:citation/>
        </w:sdtPr>
        <w:sdtEndPr/>
        <w:sdtContent>
          <w:r w:rsidR="00BC6413" w:rsidRPr="001147D3">
            <w:rPr>
              <w:rFonts w:ascii="Arial" w:hAnsi="Arial" w:cs="Arial"/>
              <w:sz w:val="20"/>
              <w:szCs w:val="20"/>
            </w:rPr>
            <w:fldChar w:fldCharType="begin"/>
          </w:r>
          <w:r w:rsidR="00BC6413" w:rsidRPr="001147D3">
            <w:rPr>
              <w:rFonts w:ascii="Arial" w:hAnsi="Arial" w:cs="Arial"/>
              <w:sz w:val="20"/>
              <w:szCs w:val="20"/>
            </w:rPr>
            <w:instrText xml:space="preserve"> CITATION Ara24 \l 1033 </w:instrText>
          </w:r>
          <w:r w:rsidR="00BC6413" w:rsidRPr="001147D3">
            <w:rPr>
              <w:rFonts w:ascii="Arial" w:hAnsi="Arial" w:cs="Arial"/>
              <w:sz w:val="20"/>
              <w:szCs w:val="20"/>
            </w:rPr>
            <w:fldChar w:fldCharType="separate"/>
          </w:r>
          <w:r w:rsidR="00BC6413" w:rsidRPr="001147D3">
            <w:rPr>
              <w:rFonts w:ascii="Arial" w:hAnsi="Arial" w:cs="Arial"/>
              <w:noProof/>
              <w:sz w:val="20"/>
              <w:szCs w:val="20"/>
            </w:rPr>
            <w:t>(Arafat, 2024)</w:t>
          </w:r>
          <w:r w:rsidR="00BC6413" w:rsidRPr="001147D3">
            <w:rPr>
              <w:rFonts w:ascii="Arial" w:hAnsi="Arial" w:cs="Arial"/>
              <w:sz w:val="20"/>
              <w:szCs w:val="20"/>
            </w:rPr>
            <w:fldChar w:fldCharType="end"/>
          </w:r>
        </w:sdtContent>
      </w:sdt>
      <w:r w:rsidR="00BC6413" w:rsidRPr="001147D3">
        <w:rPr>
          <w:rFonts w:ascii="Arial" w:hAnsi="Arial" w:cs="Arial"/>
          <w:sz w:val="20"/>
          <w:szCs w:val="20"/>
        </w:rPr>
        <w:t>.</w:t>
      </w:r>
    </w:p>
    <w:p w14:paraId="7B603C7C" w14:textId="77777777" w:rsidR="00AA12C8" w:rsidRPr="00014C28" w:rsidRDefault="00AA12C8" w:rsidP="001147D3">
      <w:pPr>
        <w:pStyle w:val="Heading2"/>
        <w:spacing w:line="240" w:lineRule="auto"/>
        <w:rPr>
          <w:rFonts w:ascii="Arial" w:hAnsi="Arial" w:cs="Arial"/>
          <w:sz w:val="22"/>
          <w:szCs w:val="20"/>
        </w:rPr>
      </w:pPr>
      <w:r w:rsidRPr="00014C28">
        <w:rPr>
          <w:rFonts w:ascii="Arial" w:hAnsi="Arial" w:cs="Arial"/>
          <w:sz w:val="22"/>
          <w:szCs w:val="20"/>
        </w:rPr>
        <w:t>Limitations of the Study</w:t>
      </w:r>
    </w:p>
    <w:p w14:paraId="35FD6E4A" w14:textId="77777777" w:rsidR="00AA12C8" w:rsidRPr="001147D3" w:rsidRDefault="00AA12C8" w:rsidP="001147D3">
      <w:pPr>
        <w:spacing w:line="240" w:lineRule="auto"/>
        <w:rPr>
          <w:rFonts w:ascii="Arial" w:hAnsi="Arial" w:cs="Arial"/>
          <w:sz w:val="20"/>
          <w:szCs w:val="20"/>
        </w:rPr>
      </w:pPr>
      <w:r w:rsidRPr="001147D3">
        <w:rPr>
          <w:rFonts w:ascii="Arial" w:hAnsi="Arial" w:cs="Arial"/>
          <w:sz w:val="20"/>
          <w:szCs w:val="20"/>
        </w:rPr>
        <w:t>This study has some limitations even if it offers insightful information.  First, the findings' generalizability may be limited by the sample size of 50, which might not be entirely representative of the greater Nigerian population. Furthermore, because convenience sampling would not fully represent the range of viewpoints among Nigerian consumers, it could result in selection bias.</w:t>
      </w:r>
    </w:p>
    <w:p w14:paraId="567CCF7E" w14:textId="77777777" w:rsidR="00AA12C8" w:rsidRPr="001147D3" w:rsidRDefault="00AA12C8" w:rsidP="001147D3">
      <w:pPr>
        <w:spacing w:line="240" w:lineRule="auto"/>
        <w:rPr>
          <w:rFonts w:ascii="Arial" w:hAnsi="Arial" w:cs="Arial"/>
          <w:sz w:val="20"/>
          <w:szCs w:val="20"/>
        </w:rPr>
      </w:pPr>
      <w:r w:rsidRPr="001147D3">
        <w:rPr>
          <w:rFonts w:ascii="Arial" w:hAnsi="Arial" w:cs="Arial"/>
          <w:sz w:val="20"/>
          <w:szCs w:val="20"/>
        </w:rPr>
        <w:t>Additionally, since FinTech penetration is stronger in cities, this study predominant</w:t>
      </w:r>
      <w:r w:rsidR="00D2065F" w:rsidRPr="001147D3">
        <w:rPr>
          <w:rFonts w:ascii="Arial" w:hAnsi="Arial" w:cs="Arial"/>
          <w:sz w:val="20"/>
          <w:szCs w:val="20"/>
        </w:rPr>
        <w:t xml:space="preserve">ly focuses on urban customers. </w:t>
      </w:r>
      <w:r w:rsidRPr="001147D3">
        <w:rPr>
          <w:rFonts w:ascii="Arial" w:hAnsi="Arial" w:cs="Arial"/>
          <w:sz w:val="20"/>
          <w:szCs w:val="20"/>
        </w:rPr>
        <w:t xml:space="preserve">This sample underrepresents rural customers, who might have </w:t>
      </w:r>
      <w:r w:rsidR="00D2065F" w:rsidRPr="001147D3">
        <w:rPr>
          <w:rFonts w:ascii="Arial" w:hAnsi="Arial" w:cs="Arial"/>
          <w:sz w:val="20"/>
          <w:szCs w:val="20"/>
        </w:rPr>
        <w:t xml:space="preserve">different views on technology. </w:t>
      </w:r>
      <w:r w:rsidRPr="001147D3">
        <w:rPr>
          <w:rFonts w:ascii="Arial" w:hAnsi="Arial" w:cs="Arial"/>
          <w:sz w:val="20"/>
          <w:szCs w:val="20"/>
        </w:rPr>
        <w:lastRenderedPageBreak/>
        <w:t>A bigger, more varied sample should be taken into account in future studies to improve the findings' generalizability.</w:t>
      </w:r>
    </w:p>
    <w:p w14:paraId="0D3100F9" w14:textId="77777777" w:rsidR="00D2065F" w:rsidRPr="00014C28" w:rsidRDefault="00D2065F" w:rsidP="001147D3">
      <w:pPr>
        <w:pStyle w:val="Heading2"/>
        <w:spacing w:line="240" w:lineRule="auto"/>
        <w:rPr>
          <w:rFonts w:ascii="Arial" w:hAnsi="Arial" w:cs="Arial"/>
          <w:sz w:val="22"/>
          <w:szCs w:val="20"/>
        </w:rPr>
      </w:pPr>
      <w:r w:rsidRPr="00014C28">
        <w:rPr>
          <w:rFonts w:ascii="Arial" w:hAnsi="Arial" w:cs="Arial"/>
          <w:sz w:val="22"/>
          <w:szCs w:val="20"/>
        </w:rPr>
        <w:t>Summary</w:t>
      </w:r>
    </w:p>
    <w:p w14:paraId="2BFF0F06" w14:textId="77777777" w:rsidR="00D2065F" w:rsidRPr="001147D3" w:rsidRDefault="00D2065F" w:rsidP="001147D3">
      <w:pPr>
        <w:spacing w:line="240" w:lineRule="auto"/>
        <w:rPr>
          <w:rFonts w:ascii="Arial" w:hAnsi="Arial" w:cs="Arial"/>
          <w:sz w:val="20"/>
          <w:szCs w:val="20"/>
        </w:rPr>
      </w:pPr>
      <w:r w:rsidRPr="001147D3">
        <w:rPr>
          <w:rFonts w:ascii="Arial" w:hAnsi="Arial" w:cs="Arial"/>
          <w:sz w:val="20"/>
          <w:szCs w:val="20"/>
        </w:rPr>
        <w:t>The research approach for the investigation of risk perception, trust, and FinTech bank adoption in Nigeria has been described in this chapter. In order to determine how perceived risks affect customer behavior toward FinTech services, a quantitative study design with a sample of 50 respondents was selected. To test the hypotheses, descriptive and inferential statistical analysis will be used in conjunction with the self-administered survey method of data collecting. The study will comply with research ethics thanks to ethical factors including informed consent and confidentiality.</w:t>
      </w:r>
    </w:p>
    <w:p w14:paraId="72F0265A" w14:textId="77777777" w:rsidR="006A0745" w:rsidRPr="00014C28" w:rsidRDefault="006A0745" w:rsidP="001147D3">
      <w:pPr>
        <w:pStyle w:val="Heading1"/>
        <w:spacing w:line="240" w:lineRule="auto"/>
        <w:rPr>
          <w:rFonts w:ascii="Arial" w:hAnsi="Arial" w:cs="Arial"/>
          <w:sz w:val="22"/>
          <w:szCs w:val="20"/>
        </w:rPr>
      </w:pPr>
      <w:r w:rsidRPr="00014C28">
        <w:rPr>
          <w:rFonts w:ascii="Arial" w:hAnsi="Arial" w:cs="Arial"/>
          <w:sz w:val="22"/>
          <w:szCs w:val="20"/>
        </w:rPr>
        <w:t>Result and Discussion</w:t>
      </w:r>
    </w:p>
    <w:p w14:paraId="01FC4E59" w14:textId="77777777" w:rsidR="006A0745" w:rsidRPr="001147D3" w:rsidRDefault="006A0745" w:rsidP="001147D3">
      <w:pPr>
        <w:spacing w:line="240" w:lineRule="auto"/>
        <w:rPr>
          <w:rFonts w:ascii="Arial" w:hAnsi="Arial" w:cs="Arial"/>
          <w:sz w:val="20"/>
          <w:szCs w:val="20"/>
        </w:rPr>
      </w:pPr>
      <w:r w:rsidRPr="001147D3">
        <w:rPr>
          <w:rFonts w:ascii="Arial" w:hAnsi="Arial" w:cs="Arial"/>
          <w:sz w:val="20"/>
          <w:szCs w:val="20"/>
        </w:rPr>
        <w:t>The results of the survey that was given to fifty Nigerian consumers about their opinions of FinTech services are shown and examined in this chapter. The results are examined in light of the study's goals and the pertinent literature that was examined in literature review. The data research sheds light on how Nigerians' adoption of FinTech services is impacted by trust, online frauds, and bankruptcy fears.</w:t>
      </w:r>
    </w:p>
    <w:p w14:paraId="4756655A" w14:textId="77777777" w:rsidR="006A0745" w:rsidRPr="00014C28" w:rsidRDefault="006A0745" w:rsidP="001147D3">
      <w:pPr>
        <w:pStyle w:val="Heading2"/>
        <w:spacing w:line="240" w:lineRule="auto"/>
        <w:rPr>
          <w:rFonts w:ascii="Arial" w:hAnsi="Arial" w:cs="Arial"/>
          <w:sz w:val="22"/>
          <w:szCs w:val="20"/>
        </w:rPr>
      </w:pPr>
      <w:r w:rsidRPr="00014C28">
        <w:rPr>
          <w:rFonts w:ascii="Arial" w:hAnsi="Arial" w:cs="Arial"/>
          <w:sz w:val="22"/>
          <w:szCs w:val="20"/>
        </w:rPr>
        <w:t>Data Analysis</w:t>
      </w:r>
    </w:p>
    <w:p w14:paraId="587B104D" w14:textId="77777777" w:rsidR="006A0745" w:rsidRPr="001147D3" w:rsidRDefault="006A0745" w:rsidP="001147D3">
      <w:pPr>
        <w:spacing w:line="240" w:lineRule="auto"/>
        <w:rPr>
          <w:rFonts w:ascii="Arial" w:hAnsi="Arial" w:cs="Arial"/>
          <w:sz w:val="20"/>
          <w:szCs w:val="20"/>
        </w:rPr>
      </w:pPr>
      <w:r w:rsidRPr="001147D3">
        <w:rPr>
          <w:rFonts w:ascii="Arial" w:hAnsi="Arial" w:cs="Arial"/>
          <w:sz w:val="20"/>
          <w:szCs w:val="20"/>
        </w:rPr>
        <w:t>The findings of this study's data analysis offer profound insights into the relationships among Nigerian consumers' perceptions of risk, trust, and FinTech service uptake. The main conclusions drawn from the questionnaire responses are examined in this analysis, together with their ramifications and a place in relation to previous studies and theoretical frameworks.</w:t>
      </w:r>
    </w:p>
    <w:p w14:paraId="042D4C51" w14:textId="57EDD06F" w:rsidR="006A0745" w:rsidRPr="001147D3" w:rsidRDefault="00702A17" w:rsidP="001147D3">
      <w:pPr>
        <w:spacing w:line="240" w:lineRule="auto"/>
        <w:rPr>
          <w:rFonts w:ascii="Arial" w:hAnsi="Arial" w:cs="Arial"/>
          <w:b/>
          <w:sz w:val="20"/>
          <w:szCs w:val="20"/>
        </w:rPr>
      </w:pPr>
      <w:r>
        <w:rPr>
          <w:rFonts w:ascii="Arial" w:hAnsi="Arial" w:cs="Arial"/>
          <w:b/>
          <w:sz w:val="20"/>
          <w:szCs w:val="20"/>
        </w:rPr>
        <w:t xml:space="preserve">Table </w:t>
      </w:r>
      <w:proofErr w:type="gramStart"/>
      <w:r>
        <w:rPr>
          <w:rFonts w:ascii="Arial" w:hAnsi="Arial" w:cs="Arial"/>
          <w:b/>
          <w:sz w:val="20"/>
          <w:szCs w:val="20"/>
        </w:rPr>
        <w:t>1 :</w:t>
      </w:r>
      <w:proofErr w:type="gramEnd"/>
      <w:r>
        <w:rPr>
          <w:rFonts w:ascii="Arial" w:hAnsi="Arial" w:cs="Arial"/>
          <w:b/>
          <w:sz w:val="20"/>
          <w:szCs w:val="20"/>
        </w:rPr>
        <w:t xml:space="preserve"> </w:t>
      </w:r>
      <w:r w:rsidR="006A0745" w:rsidRPr="001147D3">
        <w:rPr>
          <w:rFonts w:ascii="Arial" w:hAnsi="Arial" w:cs="Arial"/>
          <w:b/>
          <w:sz w:val="20"/>
          <w:szCs w:val="20"/>
        </w:rPr>
        <w:t>Demographic Characteristics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308"/>
        <w:gridCol w:w="2028"/>
        <w:gridCol w:w="1092"/>
        <w:gridCol w:w="1520"/>
      </w:tblGrid>
      <w:tr w:rsidR="008B264C" w:rsidRPr="001147D3" w14:paraId="6F4122F8" w14:textId="77777777" w:rsidTr="008B264C">
        <w:trPr>
          <w:tblHeader/>
          <w:tblCellSpacing w:w="15" w:type="dxa"/>
        </w:trPr>
        <w:tc>
          <w:tcPr>
            <w:tcW w:w="0" w:type="auto"/>
            <w:tcBorders>
              <w:top w:val="single" w:sz="4" w:space="0" w:color="auto"/>
              <w:left w:val="single" w:sz="4" w:space="0" w:color="auto"/>
              <w:bottom w:val="single" w:sz="4" w:space="0" w:color="auto"/>
            </w:tcBorders>
            <w:vAlign w:val="center"/>
            <w:hideMark/>
          </w:tcPr>
          <w:p w14:paraId="58D579F2" w14:textId="77777777" w:rsidR="008B264C" w:rsidRPr="001147D3" w:rsidRDefault="008B264C" w:rsidP="001147D3">
            <w:pPr>
              <w:spacing w:after="0" w:line="240" w:lineRule="auto"/>
              <w:jc w:val="center"/>
              <w:rPr>
                <w:rFonts w:ascii="Arial" w:eastAsia="Times New Roman" w:hAnsi="Arial" w:cs="Arial"/>
                <w:b/>
                <w:bCs/>
                <w:sz w:val="20"/>
                <w:szCs w:val="20"/>
              </w:rPr>
            </w:pPr>
            <w:r w:rsidRPr="001147D3">
              <w:rPr>
                <w:rFonts w:ascii="Arial" w:eastAsia="Times New Roman" w:hAnsi="Arial" w:cs="Arial"/>
                <w:b/>
                <w:bCs/>
                <w:sz w:val="20"/>
                <w:szCs w:val="20"/>
              </w:rPr>
              <w:t>Demographic Variable</w:t>
            </w:r>
          </w:p>
        </w:tc>
        <w:tc>
          <w:tcPr>
            <w:tcW w:w="0" w:type="auto"/>
            <w:tcBorders>
              <w:top w:val="single" w:sz="4" w:space="0" w:color="auto"/>
              <w:left w:val="single" w:sz="4" w:space="0" w:color="auto"/>
              <w:bottom w:val="single" w:sz="4" w:space="0" w:color="auto"/>
            </w:tcBorders>
            <w:vAlign w:val="center"/>
            <w:hideMark/>
          </w:tcPr>
          <w:p w14:paraId="10B40D70" w14:textId="77777777" w:rsidR="008B264C" w:rsidRPr="001147D3" w:rsidRDefault="008B264C" w:rsidP="001147D3">
            <w:pPr>
              <w:spacing w:after="0" w:line="240" w:lineRule="auto"/>
              <w:jc w:val="center"/>
              <w:rPr>
                <w:rFonts w:ascii="Arial" w:eastAsia="Times New Roman" w:hAnsi="Arial" w:cs="Arial"/>
                <w:b/>
                <w:bCs/>
                <w:sz w:val="20"/>
                <w:szCs w:val="20"/>
              </w:rPr>
            </w:pPr>
            <w:r w:rsidRPr="001147D3">
              <w:rPr>
                <w:rFonts w:ascii="Arial" w:eastAsia="Times New Roman" w:hAnsi="Arial" w:cs="Arial"/>
                <w:b/>
                <w:bCs/>
                <w:sz w:val="20"/>
                <w:szCs w:val="20"/>
              </w:rPr>
              <w:t>Category</w:t>
            </w:r>
          </w:p>
        </w:tc>
        <w:tc>
          <w:tcPr>
            <w:tcW w:w="0" w:type="auto"/>
            <w:tcBorders>
              <w:top w:val="single" w:sz="4" w:space="0" w:color="auto"/>
              <w:left w:val="single" w:sz="4" w:space="0" w:color="auto"/>
              <w:bottom w:val="single" w:sz="4" w:space="0" w:color="auto"/>
              <w:right w:val="single" w:sz="4" w:space="0" w:color="auto"/>
            </w:tcBorders>
            <w:vAlign w:val="center"/>
            <w:hideMark/>
          </w:tcPr>
          <w:p w14:paraId="667430F7" w14:textId="77777777" w:rsidR="008B264C" w:rsidRPr="001147D3" w:rsidRDefault="008B264C" w:rsidP="001147D3">
            <w:pPr>
              <w:spacing w:after="0" w:line="240" w:lineRule="auto"/>
              <w:jc w:val="center"/>
              <w:rPr>
                <w:rFonts w:ascii="Arial" w:eastAsia="Times New Roman" w:hAnsi="Arial" w:cs="Arial"/>
                <w:b/>
                <w:bCs/>
                <w:sz w:val="20"/>
                <w:szCs w:val="20"/>
              </w:rPr>
            </w:pPr>
            <w:r w:rsidRPr="001147D3">
              <w:rPr>
                <w:rFonts w:ascii="Arial" w:eastAsia="Times New Roman" w:hAnsi="Arial" w:cs="Arial"/>
                <w:b/>
                <w:bCs/>
                <w:sz w:val="20"/>
                <w:szCs w:val="20"/>
              </w:rPr>
              <w:t>Frequency</w:t>
            </w:r>
          </w:p>
        </w:tc>
        <w:tc>
          <w:tcPr>
            <w:tcW w:w="0" w:type="auto"/>
            <w:tcBorders>
              <w:top w:val="single" w:sz="4" w:space="0" w:color="auto"/>
            </w:tcBorders>
            <w:vAlign w:val="center"/>
            <w:hideMark/>
          </w:tcPr>
          <w:p w14:paraId="1287652D" w14:textId="77777777" w:rsidR="008B264C" w:rsidRPr="001147D3" w:rsidRDefault="008B264C" w:rsidP="001147D3">
            <w:pPr>
              <w:spacing w:after="0" w:line="240" w:lineRule="auto"/>
              <w:jc w:val="center"/>
              <w:rPr>
                <w:rFonts w:ascii="Arial" w:eastAsia="Times New Roman" w:hAnsi="Arial" w:cs="Arial"/>
                <w:b/>
                <w:bCs/>
                <w:sz w:val="20"/>
                <w:szCs w:val="20"/>
              </w:rPr>
            </w:pPr>
            <w:r w:rsidRPr="001147D3">
              <w:rPr>
                <w:rFonts w:ascii="Arial" w:eastAsia="Times New Roman" w:hAnsi="Arial" w:cs="Arial"/>
                <w:b/>
                <w:bCs/>
                <w:sz w:val="20"/>
                <w:szCs w:val="20"/>
              </w:rPr>
              <w:t>Percentage (%)</w:t>
            </w:r>
          </w:p>
        </w:tc>
      </w:tr>
      <w:tr w:rsidR="008B264C" w:rsidRPr="001147D3" w14:paraId="0172AC29" w14:textId="77777777" w:rsidTr="008B264C">
        <w:trPr>
          <w:tblCellSpacing w:w="15" w:type="dxa"/>
        </w:trPr>
        <w:tc>
          <w:tcPr>
            <w:tcW w:w="0" w:type="auto"/>
            <w:tcBorders>
              <w:left w:val="single" w:sz="4" w:space="0" w:color="auto"/>
            </w:tcBorders>
            <w:vAlign w:val="center"/>
            <w:hideMark/>
          </w:tcPr>
          <w:p w14:paraId="30E78A11" w14:textId="77777777" w:rsidR="008B264C" w:rsidRPr="001147D3" w:rsidRDefault="008B264C" w:rsidP="001147D3">
            <w:pPr>
              <w:spacing w:after="0" w:line="240" w:lineRule="auto"/>
              <w:jc w:val="center"/>
              <w:rPr>
                <w:rFonts w:ascii="Arial" w:eastAsia="Times New Roman" w:hAnsi="Arial" w:cs="Arial"/>
                <w:sz w:val="20"/>
                <w:szCs w:val="20"/>
              </w:rPr>
            </w:pPr>
            <w:r w:rsidRPr="001147D3">
              <w:rPr>
                <w:rFonts w:ascii="Arial" w:eastAsia="Times New Roman" w:hAnsi="Arial" w:cs="Arial"/>
                <w:b/>
                <w:bCs/>
                <w:sz w:val="20"/>
                <w:szCs w:val="20"/>
              </w:rPr>
              <w:t>Age</w:t>
            </w:r>
          </w:p>
        </w:tc>
        <w:tc>
          <w:tcPr>
            <w:tcW w:w="0" w:type="auto"/>
            <w:tcBorders>
              <w:left w:val="single" w:sz="4" w:space="0" w:color="auto"/>
              <w:bottom w:val="single" w:sz="4" w:space="0" w:color="auto"/>
            </w:tcBorders>
            <w:vAlign w:val="center"/>
            <w:hideMark/>
          </w:tcPr>
          <w:p w14:paraId="3DA87F53" w14:textId="77777777" w:rsidR="008B264C" w:rsidRPr="001147D3" w:rsidRDefault="008B264C" w:rsidP="001147D3">
            <w:pPr>
              <w:spacing w:after="0" w:line="240" w:lineRule="auto"/>
              <w:jc w:val="center"/>
              <w:rPr>
                <w:rFonts w:ascii="Arial" w:eastAsia="Times New Roman" w:hAnsi="Arial" w:cs="Arial"/>
                <w:sz w:val="20"/>
                <w:szCs w:val="20"/>
              </w:rPr>
            </w:pPr>
            <w:r w:rsidRPr="001147D3">
              <w:rPr>
                <w:rFonts w:ascii="Arial" w:eastAsia="Times New Roman" w:hAnsi="Arial" w:cs="Arial"/>
                <w:sz w:val="20"/>
                <w:szCs w:val="20"/>
              </w:rPr>
              <w:t>18-24</w:t>
            </w:r>
          </w:p>
        </w:tc>
        <w:tc>
          <w:tcPr>
            <w:tcW w:w="0" w:type="auto"/>
            <w:tcBorders>
              <w:left w:val="single" w:sz="4" w:space="0" w:color="auto"/>
            </w:tcBorders>
            <w:vAlign w:val="center"/>
            <w:hideMark/>
          </w:tcPr>
          <w:p w14:paraId="04296221" w14:textId="77777777" w:rsidR="008B264C" w:rsidRPr="001147D3" w:rsidRDefault="008B264C" w:rsidP="001147D3">
            <w:pPr>
              <w:spacing w:after="0" w:line="240" w:lineRule="auto"/>
              <w:jc w:val="center"/>
              <w:rPr>
                <w:rFonts w:ascii="Arial" w:eastAsia="Times New Roman" w:hAnsi="Arial" w:cs="Arial"/>
                <w:sz w:val="20"/>
                <w:szCs w:val="20"/>
              </w:rPr>
            </w:pPr>
            <w:r w:rsidRPr="001147D3">
              <w:rPr>
                <w:rFonts w:ascii="Arial" w:eastAsia="Times New Roman" w:hAnsi="Arial" w:cs="Arial"/>
                <w:sz w:val="20"/>
                <w:szCs w:val="20"/>
              </w:rPr>
              <w:t>12</w:t>
            </w:r>
          </w:p>
        </w:tc>
        <w:tc>
          <w:tcPr>
            <w:tcW w:w="0" w:type="auto"/>
            <w:tcBorders>
              <w:top w:val="single" w:sz="4" w:space="0" w:color="auto"/>
              <w:left w:val="single" w:sz="4" w:space="0" w:color="auto"/>
            </w:tcBorders>
            <w:vAlign w:val="center"/>
            <w:hideMark/>
          </w:tcPr>
          <w:p w14:paraId="42A650B3" w14:textId="77777777" w:rsidR="008B264C" w:rsidRPr="001147D3" w:rsidRDefault="008B264C" w:rsidP="001147D3">
            <w:pPr>
              <w:spacing w:after="0" w:line="240" w:lineRule="auto"/>
              <w:jc w:val="center"/>
              <w:rPr>
                <w:rFonts w:ascii="Arial" w:eastAsia="Times New Roman" w:hAnsi="Arial" w:cs="Arial"/>
                <w:sz w:val="20"/>
                <w:szCs w:val="20"/>
              </w:rPr>
            </w:pPr>
            <w:r w:rsidRPr="001147D3">
              <w:rPr>
                <w:rFonts w:ascii="Arial" w:eastAsia="Times New Roman" w:hAnsi="Arial" w:cs="Arial"/>
                <w:sz w:val="20"/>
                <w:szCs w:val="20"/>
              </w:rPr>
              <w:t>24%</w:t>
            </w:r>
          </w:p>
        </w:tc>
      </w:tr>
      <w:tr w:rsidR="008B264C" w:rsidRPr="001147D3" w14:paraId="42517C8B" w14:textId="77777777" w:rsidTr="008B264C">
        <w:trPr>
          <w:tblCellSpacing w:w="15" w:type="dxa"/>
        </w:trPr>
        <w:tc>
          <w:tcPr>
            <w:tcW w:w="0" w:type="auto"/>
            <w:tcBorders>
              <w:top w:val="single" w:sz="4" w:space="0" w:color="auto"/>
              <w:left w:val="single" w:sz="4" w:space="0" w:color="auto"/>
            </w:tcBorders>
            <w:vAlign w:val="center"/>
            <w:hideMark/>
          </w:tcPr>
          <w:p w14:paraId="27435F29" w14:textId="77777777" w:rsidR="008B264C" w:rsidRPr="001147D3" w:rsidRDefault="008B264C" w:rsidP="001147D3">
            <w:pPr>
              <w:spacing w:after="0" w:line="240" w:lineRule="auto"/>
              <w:jc w:val="center"/>
              <w:rPr>
                <w:rFonts w:ascii="Arial" w:eastAsia="Times New Roman" w:hAnsi="Arial" w:cs="Arial"/>
                <w:sz w:val="20"/>
                <w:szCs w:val="20"/>
              </w:rPr>
            </w:pPr>
          </w:p>
        </w:tc>
        <w:tc>
          <w:tcPr>
            <w:tcW w:w="0" w:type="auto"/>
            <w:tcBorders>
              <w:left w:val="single" w:sz="4" w:space="0" w:color="auto"/>
            </w:tcBorders>
            <w:vAlign w:val="center"/>
            <w:hideMark/>
          </w:tcPr>
          <w:p w14:paraId="5EA67F8F" w14:textId="77777777" w:rsidR="008B264C" w:rsidRPr="001147D3" w:rsidRDefault="008B264C" w:rsidP="001147D3">
            <w:pPr>
              <w:spacing w:after="0" w:line="240" w:lineRule="auto"/>
              <w:jc w:val="center"/>
              <w:rPr>
                <w:rFonts w:ascii="Arial" w:eastAsia="Times New Roman" w:hAnsi="Arial" w:cs="Arial"/>
                <w:sz w:val="20"/>
                <w:szCs w:val="20"/>
              </w:rPr>
            </w:pPr>
            <w:r w:rsidRPr="001147D3">
              <w:rPr>
                <w:rFonts w:ascii="Arial" w:eastAsia="Times New Roman" w:hAnsi="Arial" w:cs="Arial"/>
                <w:sz w:val="20"/>
                <w:szCs w:val="20"/>
              </w:rPr>
              <w:t>25-34</w:t>
            </w:r>
          </w:p>
        </w:tc>
        <w:tc>
          <w:tcPr>
            <w:tcW w:w="0" w:type="auto"/>
            <w:tcBorders>
              <w:top w:val="single" w:sz="4" w:space="0" w:color="auto"/>
              <w:left w:val="single" w:sz="4" w:space="0" w:color="auto"/>
            </w:tcBorders>
            <w:vAlign w:val="center"/>
            <w:hideMark/>
          </w:tcPr>
          <w:p w14:paraId="34788A39" w14:textId="77777777" w:rsidR="008B264C" w:rsidRPr="001147D3" w:rsidRDefault="008B264C" w:rsidP="001147D3">
            <w:pPr>
              <w:spacing w:after="0" w:line="240" w:lineRule="auto"/>
              <w:jc w:val="center"/>
              <w:rPr>
                <w:rFonts w:ascii="Arial" w:eastAsia="Times New Roman" w:hAnsi="Arial" w:cs="Arial"/>
                <w:sz w:val="20"/>
                <w:szCs w:val="20"/>
              </w:rPr>
            </w:pPr>
            <w:r w:rsidRPr="001147D3">
              <w:rPr>
                <w:rFonts w:ascii="Arial" w:eastAsia="Times New Roman" w:hAnsi="Arial" w:cs="Arial"/>
                <w:sz w:val="20"/>
                <w:szCs w:val="20"/>
              </w:rPr>
              <w:t>34</w:t>
            </w:r>
          </w:p>
        </w:tc>
        <w:tc>
          <w:tcPr>
            <w:tcW w:w="0" w:type="auto"/>
            <w:tcBorders>
              <w:top w:val="single" w:sz="4" w:space="0" w:color="auto"/>
              <w:left w:val="single" w:sz="4" w:space="0" w:color="auto"/>
              <w:bottom w:val="single" w:sz="4" w:space="0" w:color="auto"/>
            </w:tcBorders>
            <w:vAlign w:val="center"/>
            <w:hideMark/>
          </w:tcPr>
          <w:p w14:paraId="0F5B72D8" w14:textId="77777777" w:rsidR="008B264C" w:rsidRPr="001147D3" w:rsidRDefault="008B264C" w:rsidP="001147D3">
            <w:pPr>
              <w:spacing w:after="0" w:line="240" w:lineRule="auto"/>
              <w:jc w:val="center"/>
              <w:rPr>
                <w:rFonts w:ascii="Arial" w:eastAsia="Times New Roman" w:hAnsi="Arial" w:cs="Arial"/>
                <w:sz w:val="20"/>
                <w:szCs w:val="20"/>
              </w:rPr>
            </w:pPr>
            <w:r w:rsidRPr="001147D3">
              <w:rPr>
                <w:rFonts w:ascii="Arial" w:eastAsia="Times New Roman" w:hAnsi="Arial" w:cs="Arial"/>
                <w:sz w:val="20"/>
                <w:szCs w:val="20"/>
              </w:rPr>
              <w:t>68%</w:t>
            </w:r>
          </w:p>
        </w:tc>
      </w:tr>
      <w:tr w:rsidR="008B264C" w:rsidRPr="001147D3" w14:paraId="0D7F834C" w14:textId="77777777" w:rsidTr="008B264C">
        <w:trPr>
          <w:tblCellSpacing w:w="15" w:type="dxa"/>
        </w:trPr>
        <w:tc>
          <w:tcPr>
            <w:tcW w:w="0" w:type="auto"/>
            <w:tcBorders>
              <w:top w:val="single" w:sz="4" w:space="0" w:color="auto"/>
              <w:left w:val="single" w:sz="4" w:space="0" w:color="auto"/>
            </w:tcBorders>
            <w:vAlign w:val="center"/>
            <w:hideMark/>
          </w:tcPr>
          <w:p w14:paraId="4B23C38D" w14:textId="77777777" w:rsidR="008B264C" w:rsidRPr="001147D3" w:rsidRDefault="008B264C" w:rsidP="001147D3">
            <w:pPr>
              <w:spacing w:after="0" w:line="240" w:lineRule="auto"/>
              <w:jc w:val="center"/>
              <w:rPr>
                <w:rFonts w:ascii="Arial" w:eastAsia="Times New Roman" w:hAnsi="Arial" w:cs="Arial"/>
                <w:sz w:val="20"/>
                <w:szCs w:val="20"/>
              </w:rPr>
            </w:pPr>
          </w:p>
        </w:tc>
        <w:tc>
          <w:tcPr>
            <w:tcW w:w="0" w:type="auto"/>
            <w:tcBorders>
              <w:top w:val="single" w:sz="4" w:space="0" w:color="auto"/>
              <w:left w:val="single" w:sz="4" w:space="0" w:color="auto"/>
            </w:tcBorders>
            <w:vAlign w:val="center"/>
            <w:hideMark/>
          </w:tcPr>
          <w:p w14:paraId="3611D702" w14:textId="77777777" w:rsidR="008B264C" w:rsidRPr="001147D3" w:rsidRDefault="008B264C" w:rsidP="001147D3">
            <w:pPr>
              <w:spacing w:after="0" w:line="240" w:lineRule="auto"/>
              <w:jc w:val="center"/>
              <w:rPr>
                <w:rFonts w:ascii="Arial" w:eastAsia="Times New Roman" w:hAnsi="Arial" w:cs="Arial"/>
                <w:sz w:val="20"/>
                <w:szCs w:val="20"/>
              </w:rPr>
            </w:pPr>
            <w:r w:rsidRPr="001147D3">
              <w:rPr>
                <w:rFonts w:ascii="Arial" w:eastAsia="Times New Roman" w:hAnsi="Arial" w:cs="Arial"/>
                <w:sz w:val="20"/>
                <w:szCs w:val="20"/>
              </w:rPr>
              <w:t>35-44</w:t>
            </w:r>
          </w:p>
        </w:tc>
        <w:tc>
          <w:tcPr>
            <w:tcW w:w="0" w:type="auto"/>
            <w:tcBorders>
              <w:top w:val="single" w:sz="4" w:space="0" w:color="auto"/>
              <w:left w:val="single" w:sz="4" w:space="0" w:color="auto"/>
              <w:bottom w:val="single" w:sz="4" w:space="0" w:color="auto"/>
            </w:tcBorders>
            <w:vAlign w:val="center"/>
            <w:hideMark/>
          </w:tcPr>
          <w:p w14:paraId="657238F2" w14:textId="77777777" w:rsidR="008B264C" w:rsidRPr="001147D3" w:rsidRDefault="008B264C" w:rsidP="001147D3">
            <w:pPr>
              <w:spacing w:after="0" w:line="240" w:lineRule="auto"/>
              <w:jc w:val="center"/>
              <w:rPr>
                <w:rFonts w:ascii="Arial" w:eastAsia="Times New Roman" w:hAnsi="Arial" w:cs="Arial"/>
                <w:sz w:val="20"/>
                <w:szCs w:val="20"/>
              </w:rPr>
            </w:pPr>
            <w:r w:rsidRPr="001147D3">
              <w:rPr>
                <w:rFonts w:ascii="Arial" w:eastAsia="Times New Roman" w:hAnsi="Arial" w:cs="Arial"/>
                <w:sz w:val="20"/>
                <w:szCs w:val="20"/>
              </w:rPr>
              <w:t>4</w:t>
            </w:r>
          </w:p>
        </w:tc>
        <w:tc>
          <w:tcPr>
            <w:tcW w:w="0" w:type="auto"/>
            <w:tcBorders>
              <w:left w:val="single" w:sz="4" w:space="0" w:color="auto"/>
              <w:bottom w:val="single" w:sz="4" w:space="0" w:color="auto"/>
            </w:tcBorders>
            <w:vAlign w:val="center"/>
            <w:hideMark/>
          </w:tcPr>
          <w:p w14:paraId="69FF9838" w14:textId="77777777" w:rsidR="008B264C" w:rsidRPr="001147D3" w:rsidRDefault="008B264C" w:rsidP="001147D3">
            <w:pPr>
              <w:spacing w:after="0" w:line="240" w:lineRule="auto"/>
              <w:jc w:val="center"/>
              <w:rPr>
                <w:rFonts w:ascii="Arial" w:eastAsia="Times New Roman" w:hAnsi="Arial" w:cs="Arial"/>
                <w:sz w:val="20"/>
                <w:szCs w:val="20"/>
              </w:rPr>
            </w:pPr>
            <w:r w:rsidRPr="001147D3">
              <w:rPr>
                <w:rFonts w:ascii="Arial" w:eastAsia="Times New Roman" w:hAnsi="Arial" w:cs="Arial"/>
                <w:sz w:val="20"/>
                <w:szCs w:val="20"/>
              </w:rPr>
              <w:t>8%</w:t>
            </w:r>
          </w:p>
        </w:tc>
      </w:tr>
      <w:tr w:rsidR="008B264C" w:rsidRPr="001147D3" w14:paraId="38009F25" w14:textId="77777777" w:rsidTr="008B264C">
        <w:trPr>
          <w:tblCellSpacing w:w="15" w:type="dxa"/>
        </w:trPr>
        <w:tc>
          <w:tcPr>
            <w:tcW w:w="0" w:type="auto"/>
            <w:tcBorders>
              <w:top w:val="single" w:sz="4" w:space="0" w:color="auto"/>
              <w:left w:val="single" w:sz="4" w:space="0" w:color="auto"/>
            </w:tcBorders>
            <w:vAlign w:val="center"/>
            <w:hideMark/>
          </w:tcPr>
          <w:p w14:paraId="6FDCC41D" w14:textId="77777777" w:rsidR="008B264C" w:rsidRPr="001147D3" w:rsidRDefault="008B264C" w:rsidP="001147D3">
            <w:pPr>
              <w:spacing w:after="0" w:line="240" w:lineRule="auto"/>
              <w:jc w:val="center"/>
              <w:rPr>
                <w:rFonts w:ascii="Arial" w:eastAsia="Times New Roman" w:hAnsi="Arial" w:cs="Arial"/>
                <w:sz w:val="20"/>
                <w:szCs w:val="20"/>
              </w:rPr>
            </w:pPr>
            <w:r w:rsidRPr="001147D3">
              <w:rPr>
                <w:rFonts w:ascii="Arial" w:eastAsia="Times New Roman" w:hAnsi="Arial" w:cs="Arial"/>
                <w:b/>
                <w:bCs/>
                <w:sz w:val="20"/>
                <w:szCs w:val="20"/>
              </w:rPr>
              <w:t>Gender</w:t>
            </w:r>
          </w:p>
        </w:tc>
        <w:tc>
          <w:tcPr>
            <w:tcW w:w="0" w:type="auto"/>
            <w:tcBorders>
              <w:top w:val="single" w:sz="4" w:space="0" w:color="auto"/>
              <w:left w:val="single" w:sz="4" w:space="0" w:color="auto"/>
            </w:tcBorders>
            <w:vAlign w:val="center"/>
            <w:hideMark/>
          </w:tcPr>
          <w:p w14:paraId="035C6DA5" w14:textId="77777777" w:rsidR="008B264C" w:rsidRPr="001147D3" w:rsidRDefault="008B264C" w:rsidP="001147D3">
            <w:pPr>
              <w:spacing w:after="0" w:line="240" w:lineRule="auto"/>
              <w:jc w:val="center"/>
              <w:rPr>
                <w:rFonts w:ascii="Arial" w:eastAsia="Times New Roman" w:hAnsi="Arial" w:cs="Arial"/>
                <w:sz w:val="20"/>
                <w:szCs w:val="20"/>
              </w:rPr>
            </w:pPr>
            <w:r w:rsidRPr="001147D3">
              <w:rPr>
                <w:rFonts w:ascii="Arial" w:eastAsia="Times New Roman" w:hAnsi="Arial" w:cs="Arial"/>
                <w:sz w:val="20"/>
                <w:szCs w:val="20"/>
              </w:rPr>
              <w:t>Male</w:t>
            </w:r>
          </w:p>
        </w:tc>
        <w:tc>
          <w:tcPr>
            <w:tcW w:w="0" w:type="auto"/>
            <w:tcBorders>
              <w:left w:val="single" w:sz="4" w:space="0" w:color="auto"/>
            </w:tcBorders>
            <w:vAlign w:val="center"/>
            <w:hideMark/>
          </w:tcPr>
          <w:p w14:paraId="0BE71601" w14:textId="77777777" w:rsidR="008B264C" w:rsidRPr="001147D3" w:rsidRDefault="008B264C" w:rsidP="001147D3">
            <w:pPr>
              <w:spacing w:after="0" w:line="240" w:lineRule="auto"/>
              <w:jc w:val="center"/>
              <w:rPr>
                <w:rFonts w:ascii="Arial" w:eastAsia="Times New Roman" w:hAnsi="Arial" w:cs="Arial"/>
                <w:sz w:val="20"/>
                <w:szCs w:val="20"/>
              </w:rPr>
            </w:pPr>
            <w:r w:rsidRPr="001147D3">
              <w:rPr>
                <w:rFonts w:ascii="Arial" w:eastAsia="Times New Roman" w:hAnsi="Arial" w:cs="Arial"/>
                <w:sz w:val="20"/>
                <w:szCs w:val="20"/>
              </w:rPr>
              <w:t>22</w:t>
            </w:r>
          </w:p>
        </w:tc>
        <w:tc>
          <w:tcPr>
            <w:tcW w:w="0" w:type="auto"/>
            <w:tcBorders>
              <w:left w:val="single" w:sz="4" w:space="0" w:color="auto"/>
            </w:tcBorders>
            <w:vAlign w:val="center"/>
            <w:hideMark/>
          </w:tcPr>
          <w:p w14:paraId="3B43EDA5" w14:textId="77777777" w:rsidR="008B264C" w:rsidRPr="001147D3" w:rsidRDefault="008B264C" w:rsidP="001147D3">
            <w:pPr>
              <w:spacing w:after="0" w:line="240" w:lineRule="auto"/>
              <w:jc w:val="center"/>
              <w:rPr>
                <w:rFonts w:ascii="Arial" w:eastAsia="Times New Roman" w:hAnsi="Arial" w:cs="Arial"/>
                <w:sz w:val="20"/>
                <w:szCs w:val="20"/>
              </w:rPr>
            </w:pPr>
            <w:r w:rsidRPr="001147D3">
              <w:rPr>
                <w:rFonts w:ascii="Arial" w:eastAsia="Times New Roman" w:hAnsi="Arial" w:cs="Arial"/>
                <w:sz w:val="20"/>
                <w:szCs w:val="20"/>
              </w:rPr>
              <w:t>44%</w:t>
            </w:r>
          </w:p>
        </w:tc>
      </w:tr>
      <w:tr w:rsidR="008B264C" w:rsidRPr="001147D3" w14:paraId="741B3930" w14:textId="77777777" w:rsidTr="008B264C">
        <w:trPr>
          <w:tblCellSpacing w:w="15" w:type="dxa"/>
        </w:trPr>
        <w:tc>
          <w:tcPr>
            <w:tcW w:w="0" w:type="auto"/>
            <w:tcBorders>
              <w:left w:val="single" w:sz="4" w:space="0" w:color="auto"/>
            </w:tcBorders>
            <w:vAlign w:val="center"/>
            <w:hideMark/>
          </w:tcPr>
          <w:p w14:paraId="0AE61DDE" w14:textId="77777777" w:rsidR="008B264C" w:rsidRPr="001147D3" w:rsidRDefault="008B264C" w:rsidP="001147D3">
            <w:pPr>
              <w:spacing w:after="0" w:line="240" w:lineRule="auto"/>
              <w:jc w:val="center"/>
              <w:rPr>
                <w:rFonts w:ascii="Arial" w:eastAsia="Times New Roman" w:hAnsi="Arial" w:cs="Arial"/>
                <w:sz w:val="20"/>
                <w:szCs w:val="20"/>
              </w:rPr>
            </w:pPr>
          </w:p>
        </w:tc>
        <w:tc>
          <w:tcPr>
            <w:tcW w:w="0" w:type="auto"/>
            <w:tcBorders>
              <w:top w:val="single" w:sz="4" w:space="0" w:color="auto"/>
              <w:left w:val="single" w:sz="4" w:space="0" w:color="auto"/>
            </w:tcBorders>
            <w:vAlign w:val="center"/>
            <w:hideMark/>
          </w:tcPr>
          <w:p w14:paraId="391495CE" w14:textId="77777777" w:rsidR="008B264C" w:rsidRPr="001147D3" w:rsidRDefault="008B264C" w:rsidP="001147D3">
            <w:pPr>
              <w:spacing w:after="0" w:line="240" w:lineRule="auto"/>
              <w:jc w:val="center"/>
              <w:rPr>
                <w:rFonts w:ascii="Arial" w:eastAsia="Times New Roman" w:hAnsi="Arial" w:cs="Arial"/>
                <w:sz w:val="20"/>
                <w:szCs w:val="20"/>
              </w:rPr>
            </w:pPr>
            <w:r w:rsidRPr="001147D3">
              <w:rPr>
                <w:rFonts w:ascii="Arial" w:eastAsia="Times New Roman" w:hAnsi="Arial" w:cs="Arial"/>
                <w:sz w:val="20"/>
                <w:szCs w:val="20"/>
              </w:rPr>
              <w:t>Female</w:t>
            </w:r>
          </w:p>
        </w:tc>
        <w:tc>
          <w:tcPr>
            <w:tcW w:w="0" w:type="auto"/>
            <w:tcBorders>
              <w:top w:val="single" w:sz="4" w:space="0" w:color="auto"/>
              <w:left w:val="single" w:sz="4" w:space="0" w:color="auto"/>
              <w:bottom w:val="single" w:sz="4" w:space="0" w:color="auto"/>
              <w:right w:val="single" w:sz="4" w:space="0" w:color="auto"/>
            </w:tcBorders>
            <w:vAlign w:val="center"/>
            <w:hideMark/>
          </w:tcPr>
          <w:p w14:paraId="65C3D69A" w14:textId="77777777" w:rsidR="008B264C" w:rsidRPr="001147D3" w:rsidRDefault="008B264C" w:rsidP="001147D3">
            <w:pPr>
              <w:spacing w:after="0" w:line="240" w:lineRule="auto"/>
              <w:jc w:val="center"/>
              <w:rPr>
                <w:rFonts w:ascii="Arial" w:eastAsia="Times New Roman" w:hAnsi="Arial" w:cs="Arial"/>
                <w:sz w:val="20"/>
                <w:szCs w:val="20"/>
              </w:rPr>
            </w:pPr>
            <w:r w:rsidRPr="001147D3">
              <w:rPr>
                <w:rFonts w:ascii="Arial" w:eastAsia="Times New Roman" w:hAnsi="Arial" w:cs="Arial"/>
                <w:sz w:val="20"/>
                <w:szCs w:val="20"/>
              </w:rPr>
              <w:t>28</w:t>
            </w:r>
          </w:p>
        </w:tc>
        <w:tc>
          <w:tcPr>
            <w:tcW w:w="0" w:type="auto"/>
            <w:tcBorders>
              <w:top w:val="single" w:sz="4" w:space="0" w:color="auto"/>
              <w:bottom w:val="single" w:sz="4" w:space="0" w:color="auto"/>
            </w:tcBorders>
            <w:vAlign w:val="center"/>
            <w:hideMark/>
          </w:tcPr>
          <w:p w14:paraId="250CB8D3" w14:textId="77777777" w:rsidR="008B264C" w:rsidRPr="001147D3" w:rsidRDefault="008B264C" w:rsidP="001147D3">
            <w:pPr>
              <w:spacing w:after="0" w:line="240" w:lineRule="auto"/>
              <w:jc w:val="center"/>
              <w:rPr>
                <w:rFonts w:ascii="Arial" w:eastAsia="Times New Roman" w:hAnsi="Arial" w:cs="Arial"/>
                <w:sz w:val="20"/>
                <w:szCs w:val="20"/>
              </w:rPr>
            </w:pPr>
            <w:r w:rsidRPr="001147D3">
              <w:rPr>
                <w:rFonts w:ascii="Arial" w:eastAsia="Times New Roman" w:hAnsi="Arial" w:cs="Arial"/>
                <w:sz w:val="20"/>
                <w:szCs w:val="20"/>
              </w:rPr>
              <w:t>56%</w:t>
            </w:r>
          </w:p>
        </w:tc>
      </w:tr>
      <w:tr w:rsidR="008B264C" w:rsidRPr="001147D3" w14:paraId="2C7709F4" w14:textId="77777777" w:rsidTr="008B264C">
        <w:trPr>
          <w:tblCellSpacing w:w="15" w:type="dxa"/>
        </w:trPr>
        <w:tc>
          <w:tcPr>
            <w:tcW w:w="0" w:type="auto"/>
            <w:tcBorders>
              <w:top w:val="single" w:sz="4" w:space="0" w:color="auto"/>
              <w:left w:val="single" w:sz="4" w:space="0" w:color="auto"/>
            </w:tcBorders>
            <w:vAlign w:val="center"/>
            <w:hideMark/>
          </w:tcPr>
          <w:p w14:paraId="536DCBAA" w14:textId="77777777" w:rsidR="008B264C" w:rsidRPr="001147D3" w:rsidRDefault="008B264C" w:rsidP="001147D3">
            <w:pPr>
              <w:spacing w:after="0" w:line="240" w:lineRule="auto"/>
              <w:jc w:val="center"/>
              <w:rPr>
                <w:rFonts w:ascii="Arial" w:eastAsia="Times New Roman" w:hAnsi="Arial" w:cs="Arial"/>
                <w:sz w:val="20"/>
                <w:szCs w:val="20"/>
              </w:rPr>
            </w:pPr>
            <w:r w:rsidRPr="001147D3">
              <w:rPr>
                <w:rFonts w:ascii="Arial" w:eastAsia="Times New Roman" w:hAnsi="Arial" w:cs="Arial"/>
                <w:b/>
                <w:bCs/>
                <w:sz w:val="20"/>
                <w:szCs w:val="20"/>
              </w:rPr>
              <w:t>Education Level</w:t>
            </w:r>
          </w:p>
        </w:tc>
        <w:tc>
          <w:tcPr>
            <w:tcW w:w="0" w:type="auto"/>
            <w:tcBorders>
              <w:top w:val="single" w:sz="4" w:space="0" w:color="auto"/>
              <w:left w:val="single" w:sz="4" w:space="0" w:color="auto"/>
            </w:tcBorders>
            <w:vAlign w:val="center"/>
            <w:hideMark/>
          </w:tcPr>
          <w:p w14:paraId="362B21E2" w14:textId="77777777" w:rsidR="008B264C" w:rsidRPr="001147D3" w:rsidRDefault="008B264C" w:rsidP="001147D3">
            <w:pPr>
              <w:spacing w:after="0" w:line="240" w:lineRule="auto"/>
              <w:jc w:val="center"/>
              <w:rPr>
                <w:rFonts w:ascii="Arial" w:eastAsia="Times New Roman" w:hAnsi="Arial" w:cs="Arial"/>
                <w:sz w:val="20"/>
                <w:szCs w:val="20"/>
              </w:rPr>
            </w:pPr>
            <w:r w:rsidRPr="001147D3">
              <w:rPr>
                <w:rFonts w:ascii="Arial" w:eastAsia="Times New Roman" w:hAnsi="Arial" w:cs="Arial"/>
                <w:sz w:val="20"/>
                <w:szCs w:val="20"/>
              </w:rPr>
              <w:t>Tertiary</w:t>
            </w:r>
          </w:p>
        </w:tc>
        <w:tc>
          <w:tcPr>
            <w:tcW w:w="0" w:type="auto"/>
            <w:tcBorders>
              <w:left w:val="single" w:sz="4" w:space="0" w:color="auto"/>
              <w:bottom w:val="single" w:sz="4" w:space="0" w:color="auto"/>
              <w:right w:val="single" w:sz="4" w:space="0" w:color="auto"/>
            </w:tcBorders>
            <w:vAlign w:val="center"/>
            <w:hideMark/>
          </w:tcPr>
          <w:p w14:paraId="2FBFAEDF" w14:textId="77777777" w:rsidR="008B264C" w:rsidRPr="001147D3" w:rsidRDefault="008B264C" w:rsidP="001147D3">
            <w:pPr>
              <w:spacing w:after="0" w:line="240" w:lineRule="auto"/>
              <w:jc w:val="center"/>
              <w:rPr>
                <w:rFonts w:ascii="Arial" w:eastAsia="Times New Roman" w:hAnsi="Arial" w:cs="Arial"/>
                <w:sz w:val="20"/>
                <w:szCs w:val="20"/>
              </w:rPr>
            </w:pPr>
            <w:r w:rsidRPr="001147D3">
              <w:rPr>
                <w:rFonts w:ascii="Arial" w:eastAsia="Times New Roman" w:hAnsi="Arial" w:cs="Arial"/>
                <w:sz w:val="20"/>
                <w:szCs w:val="20"/>
              </w:rPr>
              <w:t>40</w:t>
            </w:r>
          </w:p>
        </w:tc>
        <w:tc>
          <w:tcPr>
            <w:tcW w:w="0" w:type="auto"/>
            <w:tcBorders>
              <w:bottom w:val="single" w:sz="4" w:space="0" w:color="auto"/>
            </w:tcBorders>
            <w:vAlign w:val="center"/>
            <w:hideMark/>
          </w:tcPr>
          <w:p w14:paraId="67A47DB2" w14:textId="77777777" w:rsidR="008B264C" w:rsidRPr="001147D3" w:rsidRDefault="008B264C" w:rsidP="001147D3">
            <w:pPr>
              <w:spacing w:after="0" w:line="240" w:lineRule="auto"/>
              <w:jc w:val="center"/>
              <w:rPr>
                <w:rFonts w:ascii="Arial" w:eastAsia="Times New Roman" w:hAnsi="Arial" w:cs="Arial"/>
                <w:sz w:val="20"/>
                <w:szCs w:val="20"/>
              </w:rPr>
            </w:pPr>
            <w:r w:rsidRPr="001147D3">
              <w:rPr>
                <w:rFonts w:ascii="Arial" w:eastAsia="Times New Roman" w:hAnsi="Arial" w:cs="Arial"/>
                <w:sz w:val="20"/>
                <w:szCs w:val="20"/>
              </w:rPr>
              <w:t>80%</w:t>
            </w:r>
          </w:p>
        </w:tc>
      </w:tr>
      <w:tr w:rsidR="008B264C" w:rsidRPr="001147D3" w14:paraId="1B978130" w14:textId="77777777" w:rsidTr="008B264C">
        <w:trPr>
          <w:tblCellSpacing w:w="15" w:type="dxa"/>
        </w:trPr>
        <w:tc>
          <w:tcPr>
            <w:tcW w:w="0" w:type="auto"/>
            <w:tcBorders>
              <w:left w:val="single" w:sz="4" w:space="0" w:color="auto"/>
            </w:tcBorders>
            <w:vAlign w:val="center"/>
            <w:hideMark/>
          </w:tcPr>
          <w:p w14:paraId="6DC5ABE1" w14:textId="77777777" w:rsidR="008B264C" w:rsidRPr="001147D3" w:rsidRDefault="008B264C" w:rsidP="001147D3">
            <w:pPr>
              <w:spacing w:after="0" w:line="240" w:lineRule="auto"/>
              <w:jc w:val="center"/>
              <w:rPr>
                <w:rFonts w:ascii="Arial" w:eastAsia="Times New Roman" w:hAnsi="Arial" w:cs="Arial"/>
                <w:sz w:val="20"/>
                <w:szCs w:val="20"/>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535FD990" w14:textId="77777777" w:rsidR="008B264C" w:rsidRPr="001147D3" w:rsidRDefault="008B264C" w:rsidP="001147D3">
            <w:pPr>
              <w:spacing w:after="0" w:line="240" w:lineRule="auto"/>
              <w:jc w:val="center"/>
              <w:rPr>
                <w:rFonts w:ascii="Arial" w:eastAsia="Times New Roman" w:hAnsi="Arial" w:cs="Arial"/>
                <w:sz w:val="20"/>
                <w:szCs w:val="20"/>
              </w:rPr>
            </w:pPr>
            <w:r w:rsidRPr="001147D3">
              <w:rPr>
                <w:rFonts w:ascii="Arial" w:eastAsia="Times New Roman" w:hAnsi="Arial" w:cs="Arial"/>
                <w:sz w:val="20"/>
                <w:szCs w:val="20"/>
              </w:rPr>
              <w:t>Secondary or Below</w:t>
            </w:r>
          </w:p>
        </w:tc>
        <w:tc>
          <w:tcPr>
            <w:tcW w:w="0" w:type="auto"/>
            <w:tcBorders>
              <w:left w:val="single" w:sz="4" w:space="0" w:color="auto"/>
            </w:tcBorders>
            <w:vAlign w:val="center"/>
            <w:hideMark/>
          </w:tcPr>
          <w:p w14:paraId="1F2A48D9" w14:textId="77777777" w:rsidR="008B264C" w:rsidRPr="001147D3" w:rsidRDefault="008B264C" w:rsidP="001147D3">
            <w:pPr>
              <w:spacing w:after="0" w:line="240" w:lineRule="auto"/>
              <w:jc w:val="center"/>
              <w:rPr>
                <w:rFonts w:ascii="Arial" w:eastAsia="Times New Roman" w:hAnsi="Arial" w:cs="Arial"/>
                <w:sz w:val="20"/>
                <w:szCs w:val="20"/>
              </w:rPr>
            </w:pPr>
            <w:r w:rsidRPr="001147D3">
              <w:rPr>
                <w:rFonts w:ascii="Arial" w:eastAsia="Times New Roman" w:hAnsi="Arial" w:cs="Arial"/>
                <w:sz w:val="20"/>
                <w:szCs w:val="20"/>
              </w:rPr>
              <w:t>10</w:t>
            </w:r>
          </w:p>
        </w:tc>
        <w:tc>
          <w:tcPr>
            <w:tcW w:w="0" w:type="auto"/>
            <w:tcBorders>
              <w:left w:val="single" w:sz="4" w:space="0" w:color="auto"/>
            </w:tcBorders>
            <w:vAlign w:val="center"/>
            <w:hideMark/>
          </w:tcPr>
          <w:p w14:paraId="34397703" w14:textId="77777777" w:rsidR="008B264C" w:rsidRPr="001147D3" w:rsidRDefault="008B264C" w:rsidP="001147D3">
            <w:pPr>
              <w:spacing w:after="0" w:line="240" w:lineRule="auto"/>
              <w:jc w:val="center"/>
              <w:rPr>
                <w:rFonts w:ascii="Arial" w:eastAsia="Times New Roman" w:hAnsi="Arial" w:cs="Arial"/>
                <w:sz w:val="20"/>
                <w:szCs w:val="20"/>
              </w:rPr>
            </w:pPr>
            <w:r w:rsidRPr="001147D3">
              <w:rPr>
                <w:rFonts w:ascii="Arial" w:eastAsia="Times New Roman" w:hAnsi="Arial" w:cs="Arial"/>
                <w:sz w:val="20"/>
                <w:szCs w:val="20"/>
              </w:rPr>
              <w:t>20%</w:t>
            </w:r>
          </w:p>
        </w:tc>
      </w:tr>
      <w:tr w:rsidR="008B264C" w:rsidRPr="001147D3" w14:paraId="0E480EC4" w14:textId="77777777" w:rsidTr="008B264C">
        <w:trPr>
          <w:tblCellSpacing w:w="15" w:type="dxa"/>
        </w:trPr>
        <w:tc>
          <w:tcPr>
            <w:tcW w:w="0" w:type="auto"/>
            <w:tcBorders>
              <w:top w:val="single" w:sz="4" w:space="0" w:color="auto"/>
              <w:left w:val="single" w:sz="4" w:space="0" w:color="auto"/>
            </w:tcBorders>
            <w:vAlign w:val="center"/>
            <w:hideMark/>
          </w:tcPr>
          <w:p w14:paraId="1E43D2C6" w14:textId="77777777" w:rsidR="008B264C" w:rsidRPr="001147D3" w:rsidRDefault="008B264C" w:rsidP="001147D3">
            <w:pPr>
              <w:spacing w:after="0" w:line="240" w:lineRule="auto"/>
              <w:jc w:val="center"/>
              <w:rPr>
                <w:rFonts w:ascii="Arial" w:eastAsia="Times New Roman" w:hAnsi="Arial" w:cs="Arial"/>
                <w:sz w:val="20"/>
                <w:szCs w:val="20"/>
              </w:rPr>
            </w:pPr>
            <w:r w:rsidRPr="001147D3">
              <w:rPr>
                <w:rFonts w:ascii="Arial" w:eastAsia="Times New Roman" w:hAnsi="Arial" w:cs="Arial"/>
                <w:b/>
                <w:bCs/>
                <w:sz w:val="20"/>
                <w:szCs w:val="20"/>
              </w:rPr>
              <w:t>Income Level (Monthly)</w:t>
            </w:r>
          </w:p>
        </w:tc>
        <w:tc>
          <w:tcPr>
            <w:tcW w:w="0" w:type="auto"/>
            <w:tcBorders>
              <w:left w:val="single" w:sz="4" w:space="0" w:color="auto"/>
            </w:tcBorders>
            <w:vAlign w:val="center"/>
            <w:hideMark/>
          </w:tcPr>
          <w:p w14:paraId="2AF9C295" w14:textId="77777777" w:rsidR="008B264C" w:rsidRPr="001147D3" w:rsidRDefault="008B264C" w:rsidP="001147D3">
            <w:pPr>
              <w:spacing w:after="0" w:line="240" w:lineRule="auto"/>
              <w:jc w:val="center"/>
              <w:rPr>
                <w:rFonts w:ascii="Arial" w:eastAsia="Times New Roman" w:hAnsi="Arial" w:cs="Arial"/>
                <w:sz w:val="20"/>
                <w:szCs w:val="20"/>
              </w:rPr>
            </w:pPr>
            <w:r w:rsidRPr="001147D3">
              <w:rPr>
                <w:rFonts w:ascii="Arial" w:eastAsia="Times New Roman" w:hAnsi="Arial" w:cs="Arial"/>
                <w:sz w:val="20"/>
                <w:szCs w:val="20"/>
              </w:rPr>
              <w:t>₦50,000 – ₦100,000</w:t>
            </w:r>
          </w:p>
        </w:tc>
        <w:tc>
          <w:tcPr>
            <w:tcW w:w="0" w:type="auto"/>
            <w:tcBorders>
              <w:top w:val="single" w:sz="4" w:space="0" w:color="auto"/>
              <w:left w:val="single" w:sz="4" w:space="0" w:color="auto"/>
              <w:bottom w:val="single" w:sz="4" w:space="0" w:color="auto"/>
              <w:right w:val="single" w:sz="4" w:space="0" w:color="auto"/>
            </w:tcBorders>
            <w:vAlign w:val="center"/>
            <w:hideMark/>
          </w:tcPr>
          <w:p w14:paraId="4AAAA100" w14:textId="77777777" w:rsidR="008B264C" w:rsidRPr="001147D3" w:rsidRDefault="008B264C" w:rsidP="001147D3">
            <w:pPr>
              <w:spacing w:after="0" w:line="240" w:lineRule="auto"/>
              <w:jc w:val="center"/>
              <w:rPr>
                <w:rFonts w:ascii="Arial" w:eastAsia="Times New Roman" w:hAnsi="Arial" w:cs="Arial"/>
                <w:sz w:val="20"/>
                <w:szCs w:val="20"/>
              </w:rPr>
            </w:pPr>
            <w:r w:rsidRPr="001147D3">
              <w:rPr>
                <w:rFonts w:ascii="Arial" w:eastAsia="Times New Roman" w:hAnsi="Arial" w:cs="Arial"/>
                <w:sz w:val="20"/>
                <w:szCs w:val="20"/>
              </w:rPr>
              <w:t>15</w:t>
            </w:r>
          </w:p>
        </w:tc>
        <w:tc>
          <w:tcPr>
            <w:tcW w:w="0" w:type="auto"/>
            <w:tcBorders>
              <w:top w:val="single" w:sz="4" w:space="0" w:color="auto"/>
              <w:bottom w:val="single" w:sz="4" w:space="0" w:color="auto"/>
            </w:tcBorders>
            <w:vAlign w:val="center"/>
            <w:hideMark/>
          </w:tcPr>
          <w:p w14:paraId="0EEF52CC" w14:textId="77777777" w:rsidR="008B264C" w:rsidRPr="001147D3" w:rsidRDefault="008B264C" w:rsidP="001147D3">
            <w:pPr>
              <w:spacing w:after="0" w:line="240" w:lineRule="auto"/>
              <w:jc w:val="center"/>
              <w:rPr>
                <w:rFonts w:ascii="Arial" w:eastAsia="Times New Roman" w:hAnsi="Arial" w:cs="Arial"/>
                <w:sz w:val="20"/>
                <w:szCs w:val="20"/>
              </w:rPr>
            </w:pPr>
            <w:r w:rsidRPr="001147D3">
              <w:rPr>
                <w:rFonts w:ascii="Arial" w:eastAsia="Times New Roman" w:hAnsi="Arial" w:cs="Arial"/>
                <w:sz w:val="20"/>
                <w:szCs w:val="20"/>
              </w:rPr>
              <w:t>30%</w:t>
            </w:r>
          </w:p>
        </w:tc>
      </w:tr>
      <w:tr w:rsidR="008B264C" w:rsidRPr="001147D3" w14:paraId="6FA07EAE" w14:textId="77777777" w:rsidTr="008B264C">
        <w:trPr>
          <w:tblCellSpacing w:w="15" w:type="dxa"/>
        </w:trPr>
        <w:tc>
          <w:tcPr>
            <w:tcW w:w="0" w:type="auto"/>
            <w:tcBorders>
              <w:left w:val="single" w:sz="4" w:space="0" w:color="auto"/>
              <w:right w:val="single" w:sz="4" w:space="0" w:color="auto"/>
            </w:tcBorders>
            <w:vAlign w:val="center"/>
            <w:hideMark/>
          </w:tcPr>
          <w:p w14:paraId="7D6B2095" w14:textId="77777777" w:rsidR="008B264C" w:rsidRPr="001147D3" w:rsidRDefault="008B264C" w:rsidP="001147D3">
            <w:pPr>
              <w:spacing w:after="0" w:line="240" w:lineRule="auto"/>
              <w:jc w:val="center"/>
              <w:rPr>
                <w:rFonts w:ascii="Arial" w:eastAsia="Times New Roman" w:hAnsi="Arial" w:cs="Arial"/>
                <w:sz w:val="20"/>
                <w:szCs w:val="20"/>
              </w:rPr>
            </w:pPr>
          </w:p>
        </w:tc>
        <w:tc>
          <w:tcPr>
            <w:tcW w:w="0" w:type="auto"/>
            <w:tcBorders>
              <w:top w:val="single" w:sz="4" w:space="0" w:color="auto"/>
              <w:bottom w:val="single" w:sz="4" w:space="0" w:color="auto"/>
              <w:right w:val="single" w:sz="4" w:space="0" w:color="auto"/>
            </w:tcBorders>
            <w:vAlign w:val="center"/>
            <w:hideMark/>
          </w:tcPr>
          <w:p w14:paraId="11CDFADA" w14:textId="77777777" w:rsidR="008B264C" w:rsidRPr="001147D3" w:rsidRDefault="008B264C" w:rsidP="001147D3">
            <w:pPr>
              <w:spacing w:after="0" w:line="240" w:lineRule="auto"/>
              <w:jc w:val="center"/>
              <w:rPr>
                <w:rFonts w:ascii="Arial" w:eastAsia="Times New Roman" w:hAnsi="Arial" w:cs="Arial"/>
                <w:sz w:val="20"/>
                <w:szCs w:val="20"/>
              </w:rPr>
            </w:pPr>
            <w:r w:rsidRPr="001147D3">
              <w:rPr>
                <w:rFonts w:ascii="Arial" w:eastAsia="Times New Roman" w:hAnsi="Arial" w:cs="Arial"/>
                <w:sz w:val="20"/>
                <w:szCs w:val="20"/>
              </w:rPr>
              <w:t>₦100,000 – ₦200,000</w:t>
            </w:r>
          </w:p>
        </w:tc>
        <w:tc>
          <w:tcPr>
            <w:tcW w:w="0" w:type="auto"/>
            <w:vAlign w:val="center"/>
            <w:hideMark/>
          </w:tcPr>
          <w:p w14:paraId="261D4773" w14:textId="77777777" w:rsidR="008B264C" w:rsidRPr="001147D3" w:rsidRDefault="008B264C" w:rsidP="001147D3">
            <w:pPr>
              <w:spacing w:after="0" w:line="240" w:lineRule="auto"/>
              <w:jc w:val="center"/>
              <w:rPr>
                <w:rFonts w:ascii="Arial" w:eastAsia="Times New Roman" w:hAnsi="Arial" w:cs="Arial"/>
                <w:sz w:val="20"/>
                <w:szCs w:val="20"/>
              </w:rPr>
            </w:pPr>
            <w:r w:rsidRPr="001147D3">
              <w:rPr>
                <w:rFonts w:ascii="Arial" w:eastAsia="Times New Roman" w:hAnsi="Arial" w:cs="Arial"/>
                <w:sz w:val="20"/>
                <w:szCs w:val="20"/>
              </w:rPr>
              <w:t>20</w:t>
            </w:r>
          </w:p>
        </w:tc>
        <w:tc>
          <w:tcPr>
            <w:tcW w:w="0" w:type="auto"/>
            <w:tcBorders>
              <w:left w:val="single" w:sz="4" w:space="0" w:color="auto"/>
            </w:tcBorders>
            <w:vAlign w:val="center"/>
            <w:hideMark/>
          </w:tcPr>
          <w:p w14:paraId="4C4AE0D7" w14:textId="77777777" w:rsidR="008B264C" w:rsidRPr="001147D3" w:rsidRDefault="008B264C" w:rsidP="001147D3">
            <w:pPr>
              <w:spacing w:after="0" w:line="240" w:lineRule="auto"/>
              <w:jc w:val="center"/>
              <w:rPr>
                <w:rFonts w:ascii="Arial" w:eastAsia="Times New Roman" w:hAnsi="Arial" w:cs="Arial"/>
                <w:sz w:val="20"/>
                <w:szCs w:val="20"/>
              </w:rPr>
            </w:pPr>
            <w:r w:rsidRPr="001147D3">
              <w:rPr>
                <w:rFonts w:ascii="Arial" w:eastAsia="Times New Roman" w:hAnsi="Arial" w:cs="Arial"/>
                <w:sz w:val="20"/>
                <w:szCs w:val="20"/>
              </w:rPr>
              <w:t>40%</w:t>
            </w:r>
          </w:p>
        </w:tc>
      </w:tr>
      <w:tr w:rsidR="008B264C" w:rsidRPr="001147D3" w14:paraId="6F3E0207" w14:textId="77777777" w:rsidTr="008B264C">
        <w:trPr>
          <w:tblCellSpacing w:w="15" w:type="dxa"/>
        </w:trPr>
        <w:tc>
          <w:tcPr>
            <w:tcW w:w="0" w:type="auto"/>
            <w:tcBorders>
              <w:left w:val="single" w:sz="4" w:space="0" w:color="auto"/>
              <w:bottom w:val="single" w:sz="4" w:space="0" w:color="auto"/>
            </w:tcBorders>
            <w:vAlign w:val="center"/>
            <w:hideMark/>
          </w:tcPr>
          <w:p w14:paraId="7B28CC99" w14:textId="77777777" w:rsidR="008B264C" w:rsidRPr="001147D3" w:rsidRDefault="008B264C" w:rsidP="001147D3">
            <w:pPr>
              <w:spacing w:after="0" w:line="240" w:lineRule="auto"/>
              <w:jc w:val="center"/>
              <w:rPr>
                <w:rFonts w:ascii="Arial" w:eastAsia="Times New Roman" w:hAnsi="Arial" w:cs="Arial"/>
                <w:sz w:val="20"/>
                <w:szCs w:val="20"/>
              </w:rPr>
            </w:pPr>
          </w:p>
        </w:tc>
        <w:tc>
          <w:tcPr>
            <w:tcW w:w="0" w:type="auto"/>
            <w:tcBorders>
              <w:left w:val="single" w:sz="4" w:space="0" w:color="auto"/>
              <w:bottom w:val="single" w:sz="4" w:space="0" w:color="auto"/>
            </w:tcBorders>
            <w:vAlign w:val="center"/>
            <w:hideMark/>
          </w:tcPr>
          <w:p w14:paraId="673DFF4B" w14:textId="77777777" w:rsidR="008B264C" w:rsidRPr="001147D3" w:rsidRDefault="008B264C" w:rsidP="001147D3">
            <w:pPr>
              <w:spacing w:after="0" w:line="240" w:lineRule="auto"/>
              <w:jc w:val="center"/>
              <w:rPr>
                <w:rFonts w:ascii="Arial" w:eastAsia="Times New Roman" w:hAnsi="Arial" w:cs="Arial"/>
                <w:sz w:val="20"/>
                <w:szCs w:val="20"/>
              </w:rPr>
            </w:pPr>
            <w:r w:rsidRPr="001147D3">
              <w:rPr>
                <w:rFonts w:ascii="Arial" w:eastAsia="Times New Roman" w:hAnsi="Arial" w:cs="Arial"/>
                <w:sz w:val="20"/>
                <w:szCs w:val="20"/>
              </w:rPr>
              <w:t>₦200,000 and Above</w:t>
            </w:r>
          </w:p>
        </w:tc>
        <w:tc>
          <w:tcPr>
            <w:tcW w:w="0" w:type="auto"/>
            <w:tcBorders>
              <w:top w:val="single" w:sz="4" w:space="0" w:color="auto"/>
              <w:left w:val="single" w:sz="4" w:space="0" w:color="auto"/>
              <w:bottom w:val="single" w:sz="4" w:space="0" w:color="auto"/>
            </w:tcBorders>
            <w:vAlign w:val="center"/>
            <w:hideMark/>
          </w:tcPr>
          <w:p w14:paraId="5077C7DF" w14:textId="77777777" w:rsidR="008B264C" w:rsidRPr="001147D3" w:rsidRDefault="008B264C" w:rsidP="001147D3">
            <w:pPr>
              <w:spacing w:after="0" w:line="240" w:lineRule="auto"/>
              <w:jc w:val="center"/>
              <w:rPr>
                <w:rFonts w:ascii="Arial" w:eastAsia="Times New Roman" w:hAnsi="Arial" w:cs="Arial"/>
                <w:sz w:val="20"/>
                <w:szCs w:val="20"/>
              </w:rPr>
            </w:pPr>
            <w:r w:rsidRPr="001147D3">
              <w:rPr>
                <w:rFonts w:ascii="Arial" w:eastAsia="Times New Roman" w:hAnsi="Arial" w:cs="Arial"/>
                <w:sz w:val="20"/>
                <w:szCs w:val="20"/>
              </w:rPr>
              <w:t>15</w:t>
            </w:r>
          </w:p>
        </w:tc>
        <w:tc>
          <w:tcPr>
            <w:tcW w:w="0" w:type="auto"/>
            <w:tcBorders>
              <w:top w:val="single" w:sz="4" w:space="0" w:color="auto"/>
              <w:left w:val="single" w:sz="4" w:space="0" w:color="auto"/>
              <w:bottom w:val="single" w:sz="4" w:space="0" w:color="auto"/>
            </w:tcBorders>
            <w:vAlign w:val="center"/>
            <w:hideMark/>
          </w:tcPr>
          <w:p w14:paraId="1E3B97DF" w14:textId="77777777" w:rsidR="008B264C" w:rsidRPr="001147D3" w:rsidRDefault="008B264C" w:rsidP="001147D3">
            <w:pPr>
              <w:spacing w:after="0" w:line="240" w:lineRule="auto"/>
              <w:jc w:val="center"/>
              <w:rPr>
                <w:rFonts w:ascii="Arial" w:eastAsia="Times New Roman" w:hAnsi="Arial" w:cs="Arial"/>
                <w:sz w:val="20"/>
                <w:szCs w:val="20"/>
              </w:rPr>
            </w:pPr>
            <w:r w:rsidRPr="001147D3">
              <w:rPr>
                <w:rFonts w:ascii="Arial" w:eastAsia="Times New Roman" w:hAnsi="Arial" w:cs="Arial"/>
                <w:sz w:val="20"/>
                <w:szCs w:val="20"/>
              </w:rPr>
              <w:t>30%</w:t>
            </w:r>
          </w:p>
        </w:tc>
      </w:tr>
    </w:tbl>
    <w:p w14:paraId="38E0B357" w14:textId="77777777" w:rsidR="00861657" w:rsidRPr="001147D3" w:rsidRDefault="00861657" w:rsidP="001147D3">
      <w:pPr>
        <w:spacing w:line="240" w:lineRule="auto"/>
        <w:rPr>
          <w:rFonts w:ascii="Arial" w:hAnsi="Arial" w:cs="Arial"/>
          <w:sz w:val="20"/>
          <w:szCs w:val="20"/>
        </w:rPr>
      </w:pPr>
    </w:p>
    <w:p w14:paraId="1F4CE08E" w14:textId="77777777" w:rsidR="006A0745" w:rsidRPr="001147D3" w:rsidRDefault="006A0745" w:rsidP="001147D3">
      <w:pPr>
        <w:spacing w:line="240" w:lineRule="auto"/>
        <w:rPr>
          <w:rFonts w:ascii="Arial" w:hAnsi="Arial" w:cs="Arial"/>
          <w:sz w:val="20"/>
          <w:szCs w:val="20"/>
        </w:rPr>
      </w:pPr>
      <w:r w:rsidRPr="001147D3">
        <w:rPr>
          <w:rFonts w:ascii="Arial" w:hAnsi="Arial" w:cs="Arial"/>
          <w:sz w:val="20"/>
          <w:szCs w:val="20"/>
        </w:rPr>
        <w:t>Understanding the consumer profile in connection to FinTech adoption in Nigeria requires knowledge of th</w:t>
      </w:r>
      <w:r w:rsidR="00642F3E" w:rsidRPr="001147D3">
        <w:rPr>
          <w:rFonts w:ascii="Arial" w:hAnsi="Arial" w:cs="Arial"/>
          <w:sz w:val="20"/>
          <w:szCs w:val="20"/>
        </w:rPr>
        <w:t xml:space="preserve">e sample's demographic makeup. </w:t>
      </w:r>
      <w:r w:rsidRPr="001147D3">
        <w:rPr>
          <w:rFonts w:ascii="Arial" w:hAnsi="Arial" w:cs="Arial"/>
          <w:sz w:val="20"/>
          <w:szCs w:val="20"/>
        </w:rPr>
        <w:t>In line with global trends that indicate younger consumers are more likely to use digital financial services, the majority of respondents (68%) were between the ages of 25 an</w:t>
      </w:r>
      <w:r w:rsidR="00642F3E" w:rsidRPr="001147D3">
        <w:rPr>
          <w:rFonts w:ascii="Arial" w:hAnsi="Arial" w:cs="Arial"/>
          <w:sz w:val="20"/>
          <w:szCs w:val="20"/>
        </w:rPr>
        <w:t xml:space="preserve">d 34 </w:t>
      </w:r>
      <w:sdt>
        <w:sdtPr>
          <w:rPr>
            <w:rFonts w:ascii="Arial" w:hAnsi="Arial" w:cs="Arial"/>
            <w:sz w:val="20"/>
            <w:szCs w:val="20"/>
          </w:rPr>
          <w:id w:val="-1847860196"/>
          <w:citation/>
        </w:sdtPr>
        <w:sdtEndPr/>
        <w:sdtContent>
          <w:r w:rsidR="00BC6413" w:rsidRPr="001147D3">
            <w:rPr>
              <w:rFonts w:ascii="Arial" w:hAnsi="Arial" w:cs="Arial"/>
              <w:sz w:val="20"/>
              <w:szCs w:val="20"/>
            </w:rPr>
            <w:fldChar w:fldCharType="begin"/>
          </w:r>
          <w:r w:rsidR="00BC6413" w:rsidRPr="001147D3">
            <w:rPr>
              <w:rFonts w:ascii="Arial" w:hAnsi="Arial" w:cs="Arial"/>
              <w:sz w:val="20"/>
              <w:szCs w:val="20"/>
            </w:rPr>
            <w:instrText xml:space="preserve"> CITATION Oko25 \l 1033 </w:instrText>
          </w:r>
          <w:r w:rsidR="00BC6413" w:rsidRPr="001147D3">
            <w:rPr>
              <w:rFonts w:ascii="Arial" w:hAnsi="Arial" w:cs="Arial"/>
              <w:sz w:val="20"/>
              <w:szCs w:val="20"/>
            </w:rPr>
            <w:fldChar w:fldCharType="separate"/>
          </w:r>
          <w:r w:rsidR="00BC6413" w:rsidRPr="001147D3">
            <w:rPr>
              <w:rFonts w:ascii="Arial" w:hAnsi="Arial" w:cs="Arial"/>
              <w:noProof/>
              <w:sz w:val="20"/>
              <w:szCs w:val="20"/>
            </w:rPr>
            <w:t>(Okoh et al., 2025)</w:t>
          </w:r>
          <w:r w:rsidR="00BC6413" w:rsidRPr="001147D3">
            <w:rPr>
              <w:rFonts w:ascii="Arial" w:hAnsi="Arial" w:cs="Arial"/>
              <w:sz w:val="20"/>
              <w:szCs w:val="20"/>
            </w:rPr>
            <w:fldChar w:fldCharType="end"/>
          </w:r>
        </w:sdtContent>
      </w:sdt>
      <w:r w:rsidR="00642F3E" w:rsidRPr="001147D3">
        <w:rPr>
          <w:rFonts w:ascii="Arial" w:hAnsi="Arial" w:cs="Arial"/>
          <w:sz w:val="20"/>
          <w:szCs w:val="20"/>
        </w:rPr>
        <w:t xml:space="preserve">. </w:t>
      </w:r>
      <w:r w:rsidRPr="001147D3">
        <w:rPr>
          <w:rFonts w:ascii="Arial" w:hAnsi="Arial" w:cs="Arial"/>
          <w:sz w:val="20"/>
          <w:szCs w:val="20"/>
        </w:rPr>
        <w:t xml:space="preserve">Younger respondents' greater adoption rates can be explained by their comfort level with digital platforms and knowledge with technology </w:t>
      </w:r>
      <w:sdt>
        <w:sdtPr>
          <w:rPr>
            <w:rFonts w:ascii="Arial" w:hAnsi="Arial" w:cs="Arial"/>
            <w:sz w:val="20"/>
            <w:szCs w:val="20"/>
          </w:rPr>
          <w:id w:val="-1006360823"/>
          <w:citation/>
        </w:sdtPr>
        <w:sdtEndPr/>
        <w:sdtContent>
          <w:r w:rsidR="00BC6413" w:rsidRPr="001147D3">
            <w:rPr>
              <w:rFonts w:ascii="Arial" w:hAnsi="Arial" w:cs="Arial"/>
              <w:sz w:val="20"/>
              <w:szCs w:val="20"/>
            </w:rPr>
            <w:fldChar w:fldCharType="begin"/>
          </w:r>
          <w:r w:rsidR="00BC6413" w:rsidRPr="001147D3">
            <w:rPr>
              <w:rFonts w:ascii="Arial" w:hAnsi="Arial" w:cs="Arial"/>
              <w:sz w:val="20"/>
              <w:szCs w:val="20"/>
            </w:rPr>
            <w:instrText xml:space="preserve"> CITATION Maj22 \l 1033 </w:instrText>
          </w:r>
          <w:r w:rsidR="00BC6413" w:rsidRPr="001147D3">
            <w:rPr>
              <w:rFonts w:ascii="Arial" w:hAnsi="Arial" w:cs="Arial"/>
              <w:sz w:val="20"/>
              <w:szCs w:val="20"/>
            </w:rPr>
            <w:fldChar w:fldCharType="separate"/>
          </w:r>
          <w:r w:rsidR="00BC6413" w:rsidRPr="001147D3">
            <w:rPr>
              <w:rFonts w:ascii="Arial" w:hAnsi="Arial" w:cs="Arial"/>
              <w:noProof/>
              <w:sz w:val="20"/>
              <w:szCs w:val="20"/>
            </w:rPr>
            <w:t>(Majid et al., 2022)</w:t>
          </w:r>
          <w:r w:rsidR="00BC6413" w:rsidRPr="001147D3">
            <w:rPr>
              <w:rFonts w:ascii="Arial" w:hAnsi="Arial" w:cs="Arial"/>
              <w:sz w:val="20"/>
              <w:szCs w:val="20"/>
            </w:rPr>
            <w:fldChar w:fldCharType="end"/>
          </w:r>
        </w:sdtContent>
      </w:sdt>
      <w:r w:rsidRPr="001147D3">
        <w:rPr>
          <w:rFonts w:ascii="Arial" w:hAnsi="Arial" w:cs="Arial"/>
          <w:sz w:val="20"/>
          <w:szCs w:val="20"/>
        </w:rPr>
        <w:t>.</w:t>
      </w:r>
    </w:p>
    <w:p w14:paraId="634F7A28" w14:textId="77777777" w:rsidR="006A0745" w:rsidRPr="001147D3" w:rsidRDefault="006A0745" w:rsidP="001147D3">
      <w:pPr>
        <w:spacing w:line="240" w:lineRule="auto"/>
        <w:rPr>
          <w:rFonts w:ascii="Arial" w:hAnsi="Arial" w:cs="Arial"/>
          <w:sz w:val="20"/>
          <w:szCs w:val="20"/>
        </w:rPr>
      </w:pPr>
      <w:r w:rsidRPr="001147D3">
        <w:rPr>
          <w:rFonts w:ascii="Arial" w:hAnsi="Arial" w:cs="Arial"/>
          <w:sz w:val="20"/>
          <w:szCs w:val="20"/>
        </w:rPr>
        <w:t>With 56% of respondents being female and 44% being male, the sample also showed a modest gender imbalance, which is quite usual for studies pertaining to technol</w:t>
      </w:r>
      <w:r w:rsidR="00642F3E" w:rsidRPr="001147D3">
        <w:rPr>
          <w:rFonts w:ascii="Arial" w:hAnsi="Arial" w:cs="Arial"/>
          <w:sz w:val="20"/>
          <w:szCs w:val="20"/>
        </w:rPr>
        <w:t xml:space="preserve">ogy use. </w:t>
      </w:r>
      <w:r w:rsidRPr="001147D3">
        <w:rPr>
          <w:rFonts w:ascii="Arial" w:hAnsi="Arial" w:cs="Arial"/>
          <w:sz w:val="20"/>
          <w:szCs w:val="20"/>
        </w:rPr>
        <w:t xml:space="preserve">The findings of this study indicate that, when it comes to FinTech adoption, women and men are comparatively equally concerned about risk, despite the fact that women are sometimes described as being more risk-averse than men </w:t>
      </w:r>
      <w:sdt>
        <w:sdtPr>
          <w:rPr>
            <w:rFonts w:ascii="Arial" w:hAnsi="Arial" w:cs="Arial"/>
            <w:sz w:val="20"/>
            <w:szCs w:val="20"/>
          </w:rPr>
          <w:id w:val="980503030"/>
          <w:citation/>
        </w:sdtPr>
        <w:sdtEndPr/>
        <w:sdtContent>
          <w:r w:rsidR="00BC6413" w:rsidRPr="001147D3">
            <w:rPr>
              <w:rFonts w:ascii="Arial" w:hAnsi="Arial" w:cs="Arial"/>
              <w:sz w:val="20"/>
              <w:szCs w:val="20"/>
            </w:rPr>
            <w:fldChar w:fldCharType="begin"/>
          </w:r>
          <w:r w:rsidR="00BC6413" w:rsidRPr="001147D3">
            <w:rPr>
              <w:rFonts w:ascii="Arial" w:hAnsi="Arial" w:cs="Arial"/>
              <w:sz w:val="20"/>
              <w:szCs w:val="20"/>
            </w:rPr>
            <w:instrText xml:space="preserve"> CITATION Omi23 \l 1033 </w:instrText>
          </w:r>
          <w:r w:rsidR="00BC6413" w:rsidRPr="001147D3">
            <w:rPr>
              <w:rFonts w:ascii="Arial" w:hAnsi="Arial" w:cs="Arial"/>
              <w:sz w:val="20"/>
              <w:szCs w:val="20"/>
            </w:rPr>
            <w:fldChar w:fldCharType="separate"/>
          </w:r>
          <w:r w:rsidR="00BC6413" w:rsidRPr="001147D3">
            <w:rPr>
              <w:rFonts w:ascii="Arial" w:hAnsi="Arial" w:cs="Arial"/>
              <w:noProof/>
              <w:sz w:val="20"/>
              <w:szCs w:val="20"/>
            </w:rPr>
            <w:t>(Omijeh, 2023)</w:t>
          </w:r>
          <w:r w:rsidR="00BC6413" w:rsidRPr="001147D3">
            <w:rPr>
              <w:rFonts w:ascii="Arial" w:hAnsi="Arial" w:cs="Arial"/>
              <w:sz w:val="20"/>
              <w:szCs w:val="20"/>
            </w:rPr>
            <w:fldChar w:fldCharType="end"/>
          </w:r>
        </w:sdtContent>
      </w:sdt>
      <w:r w:rsidRPr="001147D3">
        <w:rPr>
          <w:rFonts w:ascii="Arial" w:hAnsi="Arial" w:cs="Arial"/>
          <w:sz w:val="20"/>
          <w:szCs w:val="20"/>
        </w:rPr>
        <w:t>.</w:t>
      </w:r>
    </w:p>
    <w:p w14:paraId="7B0E30D0" w14:textId="77777777" w:rsidR="006A0745" w:rsidRPr="001147D3" w:rsidRDefault="006A0745" w:rsidP="001147D3">
      <w:pPr>
        <w:spacing w:line="240" w:lineRule="auto"/>
        <w:rPr>
          <w:rFonts w:ascii="Arial" w:hAnsi="Arial" w:cs="Arial"/>
          <w:sz w:val="20"/>
          <w:szCs w:val="20"/>
        </w:rPr>
      </w:pPr>
      <w:r w:rsidRPr="001147D3">
        <w:rPr>
          <w:rFonts w:ascii="Arial" w:hAnsi="Arial" w:cs="Arial"/>
          <w:sz w:val="20"/>
          <w:szCs w:val="20"/>
        </w:rPr>
        <w:lastRenderedPageBreak/>
        <w:t xml:space="preserve">The idea that educated people are more likely to use FinTech services is supported by the fact that a larger percentage of respondents (80%) </w:t>
      </w:r>
      <w:r w:rsidR="00642F3E" w:rsidRPr="001147D3">
        <w:rPr>
          <w:rFonts w:ascii="Arial" w:hAnsi="Arial" w:cs="Arial"/>
          <w:sz w:val="20"/>
          <w:szCs w:val="20"/>
        </w:rPr>
        <w:t xml:space="preserve">had a postsecondary education. </w:t>
      </w:r>
      <w:r w:rsidRPr="001147D3">
        <w:rPr>
          <w:rFonts w:ascii="Arial" w:hAnsi="Arial" w:cs="Arial"/>
          <w:sz w:val="20"/>
          <w:szCs w:val="20"/>
        </w:rPr>
        <w:t xml:space="preserve">Information regarding the advantages of FinTech services becomes more widely available and alluring as educational attainment rises </w:t>
      </w:r>
      <w:sdt>
        <w:sdtPr>
          <w:rPr>
            <w:rFonts w:ascii="Arial" w:hAnsi="Arial" w:cs="Arial"/>
            <w:sz w:val="20"/>
            <w:szCs w:val="20"/>
          </w:rPr>
          <w:id w:val="-333995427"/>
          <w:citation/>
        </w:sdtPr>
        <w:sdtEndPr/>
        <w:sdtContent>
          <w:r w:rsidR="00BC6413" w:rsidRPr="001147D3">
            <w:rPr>
              <w:rFonts w:ascii="Arial" w:hAnsi="Arial" w:cs="Arial"/>
              <w:sz w:val="20"/>
              <w:szCs w:val="20"/>
            </w:rPr>
            <w:fldChar w:fldCharType="begin"/>
          </w:r>
          <w:r w:rsidR="00BC6413" w:rsidRPr="001147D3">
            <w:rPr>
              <w:rFonts w:ascii="Arial" w:hAnsi="Arial" w:cs="Arial"/>
              <w:sz w:val="20"/>
              <w:szCs w:val="20"/>
            </w:rPr>
            <w:instrText xml:space="preserve"> CITATION Omi23 \l 1033 </w:instrText>
          </w:r>
          <w:r w:rsidR="00BC6413" w:rsidRPr="001147D3">
            <w:rPr>
              <w:rFonts w:ascii="Arial" w:hAnsi="Arial" w:cs="Arial"/>
              <w:sz w:val="20"/>
              <w:szCs w:val="20"/>
            </w:rPr>
            <w:fldChar w:fldCharType="separate"/>
          </w:r>
          <w:r w:rsidR="00BC6413" w:rsidRPr="001147D3">
            <w:rPr>
              <w:rFonts w:ascii="Arial" w:hAnsi="Arial" w:cs="Arial"/>
              <w:noProof/>
              <w:sz w:val="20"/>
              <w:szCs w:val="20"/>
            </w:rPr>
            <w:t>(Omijeh, 2023)</w:t>
          </w:r>
          <w:r w:rsidR="00BC6413" w:rsidRPr="001147D3">
            <w:rPr>
              <w:rFonts w:ascii="Arial" w:hAnsi="Arial" w:cs="Arial"/>
              <w:sz w:val="20"/>
              <w:szCs w:val="20"/>
            </w:rPr>
            <w:fldChar w:fldCharType="end"/>
          </w:r>
        </w:sdtContent>
      </w:sdt>
      <w:r w:rsidRPr="001147D3">
        <w:rPr>
          <w:rFonts w:ascii="Arial" w:hAnsi="Arial" w:cs="Arial"/>
          <w:sz w:val="20"/>
          <w:szCs w:val="20"/>
        </w:rPr>
        <w:t>.</w:t>
      </w:r>
    </w:p>
    <w:p w14:paraId="6A73850F" w14:textId="77777777" w:rsidR="006A0745" w:rsidRPr="001147D3" w:rsidRDefault="006A0745" w:rsidP="001147D3">
      <w:pPr>
        <w:spacing w:line="240" w:lineRule="auto"/>
        <w:rPr>
          <w:rFonts w:ascii="Arial" w:hAnsi="Arial" w:cs="Arial"/>
          <w:sz w:val="20"/>
          <w:szCs w:val="20"/>
        </w:rPr>
      </w:pPr>
      <w:r w:rsidRPr="001147D3">
        <w:rPr>
          <w:rFonts w:ascii="Arial" w:hAnsi="Arial" w:cs="Arial"/>
          <w:sz w:val="20"/>
          <w:szCs w:val="20"/>
        </w:rPr>
        <w:t>Lastly, the income distribution shows that middle-class individuals are the most active users of FinTech platforms, with 70% of them earning between ₦50,000 and ₦200,000 per</w:t>
      </w:r>
      <w:r w:rsidR="00642F3E" w:rsidRPr="001147D3">
        <w:rPr>
          <w:rFonts w:ascii="Arial" w:hAnsi="Arial" w:cs="Arial"/>
          <w:sz w:val="20"/>
          <w:szCs w:val="20"/>
        </w:rPr>
        <w:t xml:space="preserve"> month. </w:t>
      </w:r>
      <w:r w:rsidRPr="001147D3">
        <w:rPr>
          <w:rFonts w:ascii="Arial" w:hAnsi="Arial" w:cs="Arial"/>
          <w:sz w:val="20"/>
          <w:szCs w:val="20"/>
        </w:rPr>
        <w:t xml:space="preserve">This implies that </w:t>
      </w:r>
      <w:r w:rsidR="00642F3E" w:rsidRPr="001147D3">
        <w:rPr>
          <w:rFonts w:ascii="Arial" w:hAnsi="Arial" w:cs="Arial"/>
          <w:sz w:val="20"/>
          <w:szCs w:val="20"/>
        </w:rPr>
        <w:t>people looks</w:t>
      </w:r>
      <w:r w:rsidRPr="001147D3">
        <w:rPr>
          <w:rFonts w:ascii="Arial" w:hAnsi="Arial" w:cs="Arial"/>
          <w:sz w:val="20"/>
          <w:szCs w:val="20"/>
        </w:rPr>
        <w:t xml:space="preserve"> for more affordable and practical means to get financial services than what traditional banks provide may be the ones driving FinTech adoption in Nigeria.</w:t>
      </w:r>
    </w:p>
    <w:p w14:paraId="6CC4870F" w14:textId="77777777" w:rsidR="00642F3E" w:rsidRPr="001147D3" w:rsidRDefault="00642F3E" w:rsidP="001147D3">
      <w:pPr>
        <w:spacing w:line="240" w:lineRule="auto"/>
        <w:rPr>
          <w:rFonts w:ascii="Arial" w:hAnsi="Arial" w:cs="Arial"/>
          <w:b/>
          <w:sz w:val="20"/>
          <w:szCs w:val="20"/>
        </w:rPr>
      </w:pPr>
      <w:r w:rsidRPr="001147D3">
        <w:rPr>
          <w:rFonts w:ascii="Arial" w:hAnsi="Arial" w:cs="Arial"/>
          <w:b/>
          <w:sz w:val="20"/>
          <w:szCs w:val="20"/>
        </w:rPr>
        <w:t>Perceptions of Risk: Fear of Bankruptcy and Online Scams</w:t>
      </w:r>
    </w:p>
    <w:p w14:paraId="4A7E38E5" w14:textId="77777777" w:rsidR="00642F3E" w:rsidRPr="001147D3" w:rsidRDefault="00642F3E" w:rsidP="001147D3">
      <w:pPr>
        <w:spacing w:line="240" w:lineRule="auto"/>
        <w:rPr>
          <w:rFonts w:ascii="Arial" w:hAnsi="Arial" w:cs="Arial"/>
          <w:sz w:val="20"/>
          <w:szCs w:val="20"/>
        </w:rPr>
      </w:pPr>
      <w:r w:rsidRPr="001147D3">
        <w:rPr>
          <w:rFonts w:ascii="Arial" w:hAnsi="Arial" w:cs="Arial"/>
          <w:sz w:val="20"/>
          <w:szCs w:val="20"/>
        </w:rPr>
        <w:t>The results show that Nigerian customers have serious concerns about internet frauds and bankruptcy.</w:t>
      </w:r>
    </w:p>
    <w:p w14:paraId="67597923" w14:textId="486ABE51" w:rsidR="00642F3E" w:rsidRDefault="00642F3E" w:rsidP="001147D3">
      <w:pPr>
        <w:spacing w:line="240" w:lineRule="auto"/>
        <w:rPr>
          <w:rFonts w:ascii="Arial" w:hAnsi="Arial" w:cs="Arial"/>
          <w:sz w:val="20"/>
          <w:szCs w:val="20"/>
        </w:rPr>
      </w:pPr>
      <w:r w:rsidRPr="001147D3">
        <w:rPr>
          <w:rFonts w:ascii="Arial" w:hAnsi="Arial" w:cs="Arial"/>
          <w:sz w:val="20"/>
          <w:szCs w:val="20"/>
        </w:rPr>
        <w:t xml:space="preserve">Fear of Bankruptcy: There is a profound fear of losing money in unstable financial institutions, as seen by the startling 72% of respondents who voiced concern about the potential for FinTech banks to fail. Because financial institutions have failed in the past and consumers have suffered as a result of banking failures, this worry is especially acute in emerging nations like Nigeria. This outcome confirms the findings of </w:t>
      </w:r>
      <w:r w:rsidR="00BC6413" w:rsidRPr="001147D3">
        <w:rPr>
          <w:rFonts w:ascii="Arial" w:hAnsi="Arial" w:cs="Arial"/>
          <w:noProof/>
          <w:sz w:val="20"/>
          <w:szCs w:val="20"/>
        </w:rPr>
        <w:t>Okoh et al. (2025)</w:t>
      </w:r>
      <w:r w:rsidRPr="001147D3">
        <w:rPr>
          <w:rFonts w:ascii="Arial" w:hAnsi="Arial" w:cs="Arial"/>
          <w:sz w:val="20"/>
          <w:szCs w:val="20"/>
        </w:rPr>
        <w:t>, who pointed out that Nigerian customers' adoption of FinTech services is severely hampered by their fear of financial instability. The survey emphasizes how crucial it is to allay customer concerns about financial loss by making sure FinTech companies are secure and supported by strong regulatory frameworks. Respondents 35 and older are especially concerned because they probably have more conventional ideas about banking and are less inclined to use digital-only financial services unless they have enough proof of their dependability.</w:t>
      </w:r>
    </w:p>
    <w:p w14:paraId="1266F50E" w14:textId="0BE2A434" w:rsidR="00702A17" w:rsidRDefault="00702A17" w:rsidP="001147D3">
      <w:pPr>
        <w:spacing w:line="240" w:lineRule="auto"/>
        <w:rPr>
          <w:rFonts w:ascii="Arial" w:hAnsi="Arial" w:cs="Arial"/>
          <w:sz w:val="20"/>
          <w:szCs w:val="20"/>
        </w:rPr>
      </w:pPr>
      <w:r>
        <w:rPr>
          <w:rFonts w:ascii="Arial" w:hAnsi="Arial" w:cs="Arial"/>
          <w:sz w:val="20"/>
          <w:szCs w:val="20"/>
        </w:rPr>
        <w:t xml:space="preserve">Fig 1: </w:t>
      </w:r>
      <w:r w:rsidR="000F1F04">
        <w:rPr>
          <w:rFonts w:ascii="Arial" w:hAnsi="Arial" w:cs="Arial"/>
          <w:sz w:val="20"/>
          <w:szCs w:val="20"/>
        </w:rPr>
        <w:t>The pie chart shows the fear of Bankruptcy</w:t>
      </w:r>
    </w:p>
    <w:p w14:paraId="7B12A73D" w14:textId="6E575F7D" w:rsidR="00702A17" w:rsidRDefault="00702A17" w:rsidP="001147D3">
      <w:pPr>
        <w:spacing w:line="240" w:lineRule="auto"/>
        <w:rPr>
          <w:rFonts w:ascii="Arial" w:hAnsi="Arial" w:cs="Arial"/>
          <w:sz w:val="20"/>
          <w:szCs w:val="20"/>
        </w:rPr>
      </w:pPr>
      <w:r w:rsidRPr="001147D3">
        <w:rPr>
          <w:rFonts w:ascii="Arial" w:hAnsi="Arial" w:cs="Arial"/>
          <w:noProof/>
          <w:sz w:val="20"/>
          <w:szCs w:val="20"/>
        </w:rPr>
        <w:drawing>
          <wp:anchor distT="0" distB="0" distL="114300" distR="114300" simplePos="0" relativeHeight="251661312" behindDoc="1" locked="0" layoutInCell="1" allowOverlap="1" wp14:anchorId="28F735B3" wp14:editId="2ED3CE19">
            <wp:simplePos x="0" y="0"/>
            <wp:positionH relativeFrom="column">
              <wp:posOffset>0</wp:posOffset>
            </wp:positionH>
            <wp:positionV relativeFrom="paragraph">
              <wp:posOffset>275590</wp:posOffset>
            </wp:positionV>
            <wp:extent cx="2590800" cy="2070100"/>
            <wp:effectExtent l="0" t="0" r="0" b="6350"/>
            <wp:wrapThrough wrapText="bothSides">
              <wp:wrapPolygon edited="0">
                <wp:start x="0" y="0"/>
                <wp:lineTo x="0" y="21467"/>
                <wp:lineTo x="21441" y="21467"/>
                <wp:lineTo x="21441" y="0"/>
                <wp:lineTo x="0" y="0"/>
              </wp:wrapPolygon>
            </wp:wrapThrough>
            <wp:docPr id="1" name="Picture 1" descr="C:\Users\USER\Desktop\Chats\Fear ban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Chats\Fear bank.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90800" cy="20701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AD2BB84" w14:textId="77777777" w:rsidR="00702A17" w:rsidRDefault="00702A17" w:rsidP="001147D3">
      <w:pPr>
        <w:spacing w:line="240" w:lineRule="auto"/>
        <w:rPr>
          <w:rFonts w:ascii="Arial" w:hAnsi="Arial" w:cs="Arial"/>
          <w:sz w:val="20"/>
          <w:szCs w:val="20"/>
        </w:rPr>
      </w:pPr>
    </w:p>
    <w:p w14:paraId="16446F5C" w14:textId="77777777" w:rsidR="00702A17" w:rsidRDefault="00702A17" w:rsidP="001147D3">
      <w:pPr>
        <w:spacing w:line="240" w:lineRule="auto"/>
        <w:rPr>
          <w:rFonts w:ascii="Arial" w:hAnsi="Arial" w:cs="Arial"/>
          <w:sz w:val="20"/>
          <w:szCs w:val="20"/>
        </w:rPr>
      </w:pPr>
    </w:p>
    <w:p w14:paraId="3856F486" w14:textId="77777777" w:rsidR="00702A17" w:rsidRDefault="00702A17" w:rsidP="001147D3">
      <w:pPr>
        <w:spacing w:line="240" w:lineRule="auto"/>
        <w:rPr>
          <w:rFonts w:ascii="Arial" w:hAnsi="Arial" w:cs="Arial"/>
          <w:sz w:val="20"/>
          <w:szCs w:val="20"/>
        </w:rPr>
      </w:pPr>
    </w:p>
    <w:p w14:paraId="53E32957" w14:textId="77777777" w:rsidR="00702A17" w:rsidRDefault="00702A17" w:rsidP="001147D3">
      <w:pPr>
        <w:spacing w:line="240" w:lineRule="auto"/>
        <w:rPr>
          <w:rFonts w:ascii="Arial" w:hAnsi="Arial" w:cs="Arial"/>
          <w:sz w:val="20"/>
          <w:szCs w:val="20"/>
        </w:rPr>
      </w:pPr>
    </w:p>
    <w:p w14:paraId="77727114" w14:textId="77777777" w:rsidR="00702A17" w:rsidRDefault="00702A17" w:rsidP="001147D3">
      <w:pPr>
        <w:spacing w:line="240" w:lineRule="auto"/>
        <w:rPr>
          <w:rFonts w:ascii="Arial" w:hAnsi="Arial" w:cs="Arial"/>
          <w:sz w:val="20"/>
          <w:szCs w:val="20"/>
        </w:rPr>
      </w:pPr>
    </w:p>
    <w:p w14:paraId="6571E4F1" w14:textId="77777777" w:rsidR="00702A17" w:rsidRDefault="00702A17" w:rsidP="001147D3">
      <w:pPr>
        <w:spacing w:line="240" w:lineRule="auto"/>
        <w:rPr>
          <w:rFonts w:ascii="Arial" w:hAnsi="Arial" w:cs="Arial"/>
          <w:sz w:val="20"/>
          <w:szCs w:val="20"/>
        </w:rPr>
      </w:pPr>
    </w:p>
    <w:p w14:paraId="1B4C2A9A" w14:textId="77777777" w:rsidR="00702A17" w:rsidRDefault="00702A17" w:rsidP="001147D3">
      <w:pPr>
        <w:spacing w:line="240" w:lineRule="auto"/>
        <w:rPr>
          <w:rFonts w:ascii="Arial" w:hAnsi="Arial" w:cs="Arial"/>
          <w:sz w:val="20"/>
          <w:szCs w:val="20"/>
        </w:rPr>
      </w:pPr>
    </w:p>
    <w:p w14:paraId="57845EDA" w14:textId="77777777" w:rsidR="00702A17" w:rsidRDefault="00702A17" w:rsidP="001147D3">
      <w:pPr>
        <w:spacing w:line="240" w:lineRule="auto"/>
        <w:rPr>
          <w:rFonts w:ascii="Arial" w:hAnsi="Arial" w:cs="Arial"/>
          <w:sz w:val="20"/>
          <w:szCs w:val="20"/>
        </w:rPr>
      </w:pPr>
    </w:p>
    <w:p w14:paraId="4EFCA631" w14:textId="77777777" w:rsidR="00702A17" w:rsidRDefault="00702A17" w:rsidP="001147D3">
      <w:pPr>
        <w:spacing w:line="240" w:lineRule="auto"/>
        <w:rPr>
          <w:rFonts w:ascii="Arial" w:hAnsi="Arial" w:cs="Arial"/>
          <w:sz w:val="20"/>
          <w:szCs w:val="20"/>
        </w:rPr>
      </w:pPr>
    </w:p>
    <w:p w14:paraId="54F2B0A8" w14:textId="77777777" w:rsidR="00702A17" w:rsidRDefault="00702A17" w:rsidP="001147D3">
      <w:pPr>
        <w:spacing w:line="240" w:lineRule="auto"/>
        <w:rPr>
          <w:rFonts w:ascii="Arial" w:hAnsi="Arial" w:cs="Arial"/>
          <w:sz w:val="20"/>
          <w:szCs w:val="20"/>
        </w:rPr>
      </w:pPr>
    </w:p>
    <w:p w14:paraId="4B337CA0" w14:textId="77777777" w:rsidR="00702A17" w:rsidRDefault="00702A17" w:rsidP="001147D3">
      <w:pPr>
        <w:spacing w:line="240" w:lineRule="auto"/>
        <w:rPr>
          <w:rFonts w:ascii="Arial" w:hAnsi="Arial" w:cs="Arial"/>
          <w:sz w:val="20"/>
          <w:szCs w:val="20"/>
        </w:rPr>
      </w:pPr>
    </w:p>
    <w:p w14:paraId="7E9272C8" w14:textId="77777777" w:rsidR="00702A17" w:rsidRDefault="00702A17" w:rsidP="001147D3">
      <w:pPr>
        <w:spacing w:line="240" w:lineRule="auto"/>
        <w:rPr>
          <w:rFonts w:ascii="Arial" w:hAnsi="Arial" w:cs="Arial"/>
          <w:sz w:val="20"/>
          <w:szCs w:val="20"/>
        </w:rPr>
      </w:pPr>
    </w:p>
    <w:p w14:paraId="672FAA22" w14:textId="77777777" w:rsidR="00702A17" w:rsidRDefault="00702A17" w:rsidP="001147D3">
      <w:pPr>
        <w:spacing w:line="240" w:lineRule="auto"/>
        <w:rPr>
          <w:rFonts w:ascii="Arial" w:hAnsi="Arial" w:cs="Arial"/>
          <w:sz w:val="20"/>
          <w:szCs w:val="20"/>
        </w:rPr>
      </w:pPr>
    </w:p>
    <w:p w14:paraId="288FC9A7" w14:textId="77777777" w:rsidR="00702A17" w:rsidRDefault="00702A17" w:rsidP="001147D3">
      <w:pPr>
        <w:spacing w:line="240" w:lineRule="auto"/>
        <w:rPr>
          <w:rFonts w:ascii="Arial" w:hAnsi="Arial" w:cs="Arial"/>
          <w:sz w:val="20"/>
          <w:szCs w:val="20"/>
        </w:rPr>
      </w:pPr>
    </w:p>
    <w:p w14:paraId="48D6AA7D" w14:textId="77777777" w:rsidR="00702A17" w:rsidRPr="001147D3" w:rsidRDefault="00702A17" w:rsidP="001147D3">
      <w:pPr>
        <w:spacing w:line="240" w:lineRule="auto"/>
        <w:rPr>
          <w:rFonts w:ascii="Arial" w:hAnsi="Arial" w:cs="Arial"/>
          <w:sz w:val="20"/>
          <w:szCs w:val="20"/>
        </w:rPr>
      </w:pPr>
    </w:p>
    <w:p w14:paraId="4F1C97A2" w14:textId="167E4484" w:rsidR="00702A17" w:rsidRDefault="00642F3E" w:rsidP="001147D3">
      <w:pPr>
        <w:spacing w:line="240" w:lineRule="auto"/>
        <w:rPr>
          <w:rFonts w:ascii="Arial" w:eastAsia="Times New Roman" w:hAnsi="Arial" w:cs="Arial"/>
          <w:snapToGrid w:val="0"/>
          <w:color w:val="000000"/>
          <w:w w:val="0"/>
          <w:sz w:val="20"/>
          <w:szCs w:val="20"/>
          <w:u w:color="000000"/>
          <w:bdr w:val="none" w:sz="0" w:space="0" w:color="000000"/>
          <w:shd w:val="clear" w:color="000000" w:fill="000000"/>
        </w:rPr>
      </w:pPr>
      <w:r w:rsidRPr="001147D3">
        <w:rPr>
          <w:rFonts w:ascii="Arial" w:hAnsi="Arial" w:cs="Arial"/>
          <w:sz w:val="20"/>
          <w:szCs w:val="20"/>
        </w:rPr>
        <w:lastRenderedPageBreak/>
        <w:t xml:space="preserve">Fear of Online Scams: The fact that 62% of respondents were worried about becoming victims of internet scams is another noteworthy conclusion. Nigerian customers are becoming more wary about disclosing their personal financial information online due to the sophistication of online fraud and phishing assaults </w:t>
      </w:r>
      <w:sdt>
        <w:sdtPr>
          <w:rPr>
            <w:rFonts w:ascii="Arial" w:hAnsi="Arial" w:cs="Arial"/>
            <w:sz w:val="20"/>
            <w:szCs w:val="20"/>
          </w:rPr>
          <w:id w:val="-506982734"/>
          <w:citation/>
        </w:sdtPr>
        <w:sdtEndPr/>
        <w:sdtContent>
          <w:r w:rsidR="00BC6413" w:rsidRPr="001147D3">
            <w:rPr>
              <w:rFonts w:ascii="Arial" w:hAnsi="Arial" w:cs="Arial"/>
              <w:sz w:val="20"/>
              <w:szCs w:val="20"/>
            </w:rPr>
            <w:fldChar w:fldCharType="begin"/>
          </w:r>
          <w:r w:rsidR="00BC6413" w:rsidRPr="001147D3">
            <w:rPr>
              <w:rFonts w:ascii="Arial" w:hAnsi="Arial" w:cs="Arial"/>
              <w:sz w:val="20"/>
              <w:szCs w:val="20"/>
            </w:rPr>
            <w:instrText xml:space="preserve"> CITATION Ikp25 \l 1033 </w:instrText>
          </w:r>
          <w:r w:rsidR="00BC6413" w:rsidRPr="001147D3">
            <w:rPr>
              <w:rFonts w:ascii="Arial" w:hAnsi="Arial" w:cs="Arial"/>
              <w:sz w:val="20"/>
              <w:szCs w:val="20"/>
            </w:rPr>
            <w:fldChar w:fldCharType="separate"/>
          </w:r>
          <w:r w:rsidR="00BC6413" w:rsidRPr="001147D3">
            <w:rPr>
              <w:rFonts w:ascii="Arial" w:hAnsi="Arial" w:cs="Arial"/>
              <w:noProof/>
              <w:sz w:val="20"/>
              <w:szCs w:val="20"/>
            </w:rPr>
            <w:t>(Ikpe, 2025)</w:t>
          </w:r>
          <w:r w:rsidR="00BC6413" w:rsidRPr="001147D3">
            <w:rPr>
              <w:rFonts w:ascii="Arial" w:hAnsi="Arial" w:cs="Arial"/>
              <w:sz w:val="20"/>
              <w:szCs w:val="20"/>
            </w:rPr>
            <w:fldChar w:fldCharType="end"/>
          </w:r>
        </w:sdtContent>
      </w:sdt>
      <w:r w:rsidRPr="001147D3">
        <w:rPr>
          <w:rFonts w:ascii="Arial" w:hAnsi="Arial" w:cs="Arial"/>
          <w:sz w:val="20"/>
          <w:szCs w:val="20"/>
        </w:rPr>
        <w:t xml:space="preserve">. This is in line with international studies on the uptake of digital banking, which have demonstrated that customers are discouraged from using FinTech platforms due to worries about cybercrime and data breaches </w:t>
      </w:r>
      <w:sdt>
        <w:sdtPr>
          <w:rPr>
            <w:rFonts w:ascii="Arial" w:hAnsi="Arial" w:cs="Arial"/>
            <w:sz w:val="20"/>
            <w:szCs w:val="20"/>
          </w:rPr>
          <w:id w:val="-1374384593"/>
          <w:citation/>
        </w:sdtPr>
        <w:sdtEndPr/>
        <w:sdtContent>
          <w:r w:rsidR="00BC6413" w:rsidRPr="001147D3">
            <w:rPr>
              <w:rFonts w:ascii="Arial" w:hAnsi="Arial" w:cs="Arial"/>
              <w:sz w:val="20"/>
              <w:szCs w:val="20"/>
            </w:rPr>
            <w:fldChar w:fldCharType="begin"/>
          </w:r>
          <w:r w:rsidR="00BC6413" w:rsidRPr="001147D3">
            <w:rPr>
              <w:rFonts w:ascii="Arial" w:hAnsi="Arial" w:cs="Arial"/>
              <w:sz w:val="20"/>
              <w:szCs w:val="20"/>
            </w:rPr>
            <w:instrText xml:space="preserve"> CITATION Ald23 \l 1033 </w:instrText>
          </w:r>
          <w:r w:rsidR="00BC6413" w:rsidRPr="001147D3">
            <w:rPr>
              <w:rFonts w:ascii="Arial" w:hAnsi="Arial" w:cs="Arial"/>
              <w:sz w:val="20"/>
              <w:szCs w:val="20"/>
            </w:rPr>
            <w:fldChar w:fldCharType="separate"/>
          </w:r>
          <w:r w:rsidR="00BC6413" w:rsidRPr="001147D3">
            <w:rPr>
              <w:rFonts w:ascii="Arial" w:hAnsi="Arial" w:cs="Arial"/>
              <w:noProof/>
              <w:sz w:val="20"/>
              <w:szCs w:val="20"/>
            </w:rPr>
            <w:t>(Aldboush &amp; Ferdous, 2023)</w:t>
          </w:r>
          <w:r w:rsidR="00BC6413" w:rsidRPr="001147D3">
            <w:rPr>
              <w:rFonts w:ascii="Arial" w:hAnsi="Arial" w:cs="Arial"/>
              <w:sz w:val="20"/>
              <w:szCs w:val="20"/>
            </w:rPr>
            <w:fldChar w:fldCharType="end"/>
          </w:r>
        </w:sdtContent>
      </w:sdt>
      <w:r w:rsidRPr="001147D3">
        <w:rPr>
          <w:rFonts w:ascii="Arial" w:hAnsi="Arial" w:cs="Arial"/>
          <w:sz w:val="20"/>
          <w:szCs w:val="20"/>
        </w:rPr>
        <w:t>. These worries are legitimate in light of Nigeria's growing cybercrime rate, which means FinTech companies must make significant investments in strong security protocols and inform customers about the safeguards in place for their data. Consumer trust would probably increase, for instance, if cybersecurity infrastructure was improved and security procedures were communicated clearly.</w:t>
      </w:r>
      <w:r w:rsidR="001E3E0B" w:rsidRPr="001147D3">
        <w:rPr>
          <w:rFonts w:ascii="Arial" w:eastAsia="Times New Roman" w:hAnsi="Arial" w:cs="Arial"/>
          <w:snapToGrid w:val="0"/>
          <w:color w:val="000000"/>
          <w:w w:val="0"/>
          <w:sz w:val="20"/>
          <w:szCs w:val="20"/>
          <w:u w:color="000000"/>
          <w:bdr w:val="none" w:sz="0" w:space="0" w:color="000000"/>
          <w:shd w:val="clear" w:color="000000" w:fill="000000"/>
        </w:rPr>
        <w:t xml:space="preserve"> </w:t>
      </w:r>
    </w:p>
    <w:p w14:paraId="0D75E655" w14:textId="77777777" w:rsidR="00702A17" w:rsidRDefault="00702A17" w:rsidP="001147D3">
      <w:pPr>
        <w:spacing w:line="240" w:lineRule="auto"/>
        <w:rPr>
          <w:rFonts w:ascii="Arial" w:eastAsia="Times New Roman" w:hAnsi="Arial" w:cs="Arial"/>
          <w:snapToGrid w:val="0"/>
          <w:color w:val="000000"/>
          <w:w w:val="0"/>
          <w:sz w:val="20"/>
          <w:szCs w:val="20"/>
          <w:u w:color="000000"/>
          <w:bdr w:val="none" w:sz="0" w:space="0" w:color="000000"/>
          <w:shd w:val="clear" w:color="000000" w:fill="000000"/>
        </w:rPr>
      </w:pPr>
    </w:p>
    <w:p w14:paraId="71772DCC" w14:textId="77777777" w:rsidR="00702A17" w:rsidRDefault="00702A17" w:rsidP="001147D3">
      <w:pPr>
        <w:spacing w:line="240" w:lineRule="auto"/>
        <w:rPr>
          <w:rFonts w:ascii="Arial" w:eastAsia="Times New Roman" w:hAnsi="Arial" w:cs="Arial"/>
          <w:snapToGrid w:val="0"/>
          <w:color w:val="000000"/>
          <w:w w:val="0"/>
          <w:sz w:val="20"/>
          <w:szCs w:val="20"/>
          <w:u w:color="000000"/>
          <w:bdr w:val="none" w:sz="0" w:space="0" w:color="000000"/>
          <w:shd w:val="clear" w:color="000000" w:fill="000000"/>
        </w:rPr>
      </w:pPr>
    </w:p>
    <w:p w14:paraId="5D1ABDEB" w14:textId="3B6B4BCD" w:rsidR="00702A17" w:rsidRDefault="00702A17" w:rsidP="001147D3">
      <w:pPr>
        <w:spacing w:line="240" w:lineRule="auto"/>
        <w:rPr>
          <w:rFonts w:ascii="Arial" w:eastAsia="Times New Roman" w:hAnsi="Arial" w:cs="Arial"/>
          <w:snapToGrid w:val="0"/>
          <w:color w:val="000000"/>
          <w:w w:val="0"/>
          <w:sz w:val="20"/>
          <w:szCs w:val="20"/>
          <w:u w:color="000000"/>
          <w:bdr w:val="none" w:sz="0" w:space="0" w:color="000000"/>
          <w:shd w:val="clear" w:color="000000" w:fill="000000"/>
        </w:rPr>
      </w:pPr>
      <w:r w:rsidRPr="001147D3">
        <w:rPr>
          <w:rFonts w:ascii="Arial" w:hAnsi="Arial" w:cs="Arial"/>
          <w:noProof/>
          <w:sz w:val="20"/>
          <w:szCs w:val="20"/>
        </w:rPr>
        <w:drawing>
          <wp:anchor distT="0" distB="0" distL="114300" distR="114300" simplePos="0" relativeHeight="251663360" behindDoc="1" locked="0" layoutInCell="1" allowOverlap="1" wp14:anchorId="1E47BB19" wp14:editId="40E1721E">
            <wp:simplePos x="0" y="0"/>
            <wp:positionH relativeFrom="column">
              <wp:posOffset>0</wp:posOffset>
            </wp:positionH>
            <wp:positionV relativeFrom="paragraph">
              <wp:posOffset>275590</wp:posOffset>
            </wp:positionV>
            <wp:extent cx="2355850" cy="2006600"/>
            <wp:effectExtent l="0" t="0" r="6350" b="0"/>
            <wp:wrapThrough wrapText="bothSides">
              <wp:wrapPolygon edited="0">
                <wp:start x="0" y="0"/>
                <wp:lineTo x="0" y="21327"/>
                <wp:lineTo x="21484" y="21327"/>
                <wp:lineTo x="21484" y="0"/>
                <wp:lineTo x="0" y="0"/>
              </wp:wrapPolygon>
            </wp:wrapThrough>
            <wp:docPr id="2" name="Picture 2" descr="C:\Users\USER\Desktop\Chats\Fear sc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Chats\Fear scam.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55850" cy="2006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471153E" w14:textId="77777777" w:rsidR="00702A17" w:rsidRDefault="00702A17" w:rsidP="001147D3">
      <w:pPr>
        <w:spacing w:line="240" w:lineRule="auto"/>
        <w:rPr>
          <w:rFonts w:ascii="Arial" w:eastAsia="Times New Roman" w:hAnsi="Arial" w:cs="Arial"/>
          <w:snapToGrid w:val="0"/>
          <w:color w:val="000000"/>
          <w:w w:val="0"/>
          <w:sz w:val="20"/>
          <w:szCs w:val="20"/>
          <w:u w:color="000000"/>
          <w:bdr w:val="none" w:sz="0" w:space="0" w:color="000000"/>
          <w:shd w:val="clear" w:color="000000" w:fill="000000"/>
        </w:rPr>
      </w:pPr>
    </w:p>
    <w:p w14:paraId="502ED23D" w14:textId="77777777" w:rsidR="00702A17" w:rsidRDefault="00702A17" w:rsidP="001147D3">
      <w:pPr>
        <w:spacing w:line="240" w:lineRule="auto"/>
        <w:rPr>
          <w:rFonts w:ascii="Arial" w:eastAsia="Times New Roman" w:hAnsi="Arial" w:cs="Arial"/>
          <w:snapToGrid w:val="0"/>
          <w:color w:val="000000"/>
          <w:w w:val="0"/>
          <w:sz w:val="20"/>
          <w:szCs w:val="20"/>
          <w:u w:color="000000"/>
          <w:bdr w:val="none" w:sz="0" w:space="0" w:color="000000"/>
          <w:shd w:val="clear" w:color="000000" w:fill="000000"/>
        </w:rPr>
      </w:pPr>
    </w:p>
    <w:p w14:paraId="6B87C2C7" w14:textId="77777777" w:rsidR="00702A17" w:rsidRDefault="00702A17" w:rsidP="001147D3">
      <w:pPr>
        <w:spacing w:line="240" w:lineRule="auto"/>
        <w:rPr>
          <w:rFonts w:ascii="Arial" w:eastAsia="Times New Roman" w:hAnsi="Arial" w:cs="Arial"/>
          <w:snapToGrid w:val="0"/>
          <w:color w:val="000000"/>
          <w:w w:val="0"/>
          <w:sz w:val="20"/>
          <w:szCs w:val="20"/>
          <w:u w:color="000000"/>
          <w:bdr w:val="none" w:sz="0" w:space="0" w:color="000000"/>
          <w:shd w:val="clear" w:color="000000" w:fill="000000"/>
        </w:rPr>
      </w:pPr>
    </w:p>
    <w:p w14:paraId="3A8617A4" w14:textId="77777777" w:rsidR="00702A17" w:rsidRDefault="00702A17" w:rsidP="001147D3">
      <w:pPr>
        <w:spacing w:line="240" w:lineRule="auto"/>
        <w:rPr>
          <w:rFonts w:ascii="Arial" w:eastAsia="Times New Roman" w:hAnsi="Arial" w:cs="Arial"/>
          <w:snapToGrid w:val="0"/>
          <w:color w:val="000000"/>
          <w:w w:val="0"/>
          <w:sz w:val="20"/>
          <w:szCs w:val="20"/>
          <w:u w:color="000000"/>
          <w:bdr w:val="none" w:sz="0" w:space="0" w:color="000000"/>
          <w:shd w:val="clear" w:color="000000" w:fill="000000"/>
        </w:rPr>
      </w:pPr>
    </w:p>
    <w:p w14:paraId="1FB3B33A" w14:textId="77777777" w:rsidR="00702A17" w:rsidRDefault="00702A17" w:rsidP="001147D3">
      <w:pPr>
        <w:spacing w:line="240" w:lineRule="auto"/>
        <w:rPr>
          <w:rFonts w:ascii="Arial" w:eastAsia="Times New Roman" w:hAnsi="Arial" w:cs="Arial"/>
          <w:snapToGrid w:val="0"/>
          <w:color w:val="000000"/>
          <w:w w:val="0"/>
          <w:sz w:val="20"/>
          <w:szCs w:val="20"/>
          <w:u w:color="000000"/>
          <w:bdr w:val="none" w:sz="0" w:space="0" w:color="000000"/>
          <w:shd w:val="clear" w:color="000000" w:fill="000000"/>
        </w:rPr>
      </w:pPr>
    </w:p>
    <w:p w14:paraId="3FDA5389" w14:textId="77777777" w:rsidR="00702A17" w:rsidRDefault="00702A17" w:rsidP="001147D3">
      <w:pPr>
        <w:spacing w:line="240" w:lineRule="auto"/>
        <w:rPr>
          <w:rFonts w:ascii="Arial" w:eastAsia="Times New Roman" w:hAnsi="Arial" w:cs="Arial"/>
          <w:snapToGrid w:val="0"/>
          <w:color w:val="000000"/>
          <w:w w:val="0"/>
          <w:sz w:val="20"/>
          <w:szCs w:val="20"/>
          <w:u w:color="000000"/>
          <w:bdr w:val="none" w:sz="0" w:space="0" w:color="000000"/>
          <w:shd w:val="clear" w:color="000000" w:fill="000000"/>
        </w:rPr>
      </w:pPr>
    </w:p>
    <w:p w14:paraId="26575D22" w14:textId="77777777" w:rsidR="00702A17" w:rsidRDefault="00702A17" w:rsidP="001147D3">
      <w:pPr>
        <w:spacing w:line="240" w:lineRule="auto"/>
        <w:rPr>
          <w:rFonts w:ascii="Arial" w:eastAsia="Times New Roman" w:hAnsi="Arial" w:cs="Arial"/>
          <w:snapToGrid w:val="0"/>
          <w:color w:val="000000"/>
          <w:w w:val="0"/>
          <w:sz w:val="20"/>
          <w:szCs w:val="20"/>
          <w:u w:color="000000"/>
          <w:bdr w:val="none" w:sz="0" w:space="0" w:color="000000"/>
          <w:shd w:val="clear" w:color="000000" w:fill="000000"/>
        </w:rPr>
      </w:pPr>
    </w:p>
    <w:p w14:paraId="171C801B" w14:textId="77777777" w:rsidR="00702A17" w:rsidRDefault="00702A17" w:rsidP="001147D3">
      <w:pPr>
        <w:spacing w:line="240" w:lineRule="auto"/>
        <w:rPr>
          <w:rFonts w:ascii="Arial" w:eastAsia="Times New Roman" w:hAnsi="Arial" w:cs="Arial"/>
          <w:snapToGrid w:val="0"/>
          <w:color w:val="000000"/>
          <w:w w:val="0"/>
          <w:sz w:val="20"/>
          <w:szCs w:val="20"/>
          <w:u w:color="000000"/>
          <w:bdr w:val="none" w:sz="0" w:space="0" w:color="000000"/>
          <w:shd w:val="clear" w:color="000000" w:fill="000000"/>
        </w:rPr>
      </w:pPr>
    </w:p>
    <w:p w14:paraId="7B4A5C3F" w14:textId="77777777" w:rsidR="00702A17" w:rsidRDefault="00702A17" w:rsidP="001147D3">
      <w:pPr>
        <w:spacing w:line="240" w:lineRule="auto"/>
        <w:rPr>
          <w:rFonts w:ascii="Arial" w:eastAsia="Times New Roman" w:hAnsi="Arial" w:cs="Arial"/>
          <w:snapToGrid w:val="0"/>
          <w:color w:val="000000"/>
          <w:w w:val="0"/>
          <w:sz w:val="20"/>
          <w:szCs w:val="20"/>
          <w:u w:color="000000"/>
          <w:bdr w:val="none" w:sz="0" w:space="0" w:color="000000"/>
          <w:shd w:val="clear" w:color="000000" w:fill="000000"/>
        </w:rPr>
      </w:pPr>
    </w:p>
    <w:p w14:paraId="1F7C3F65" w14:textId="19A474FF" w:rsidR="00702A17" w:rsidRDefault="00702A17" w:rsidP="001147D3">
      <w:pPr>
        <w:spacing w:line="240" w:lineRule="auto"/>
        <w:rPr>
          <w:rFonts w:ascii="Arial" w:eastAsia="Times New Roman" w:hAnsi="Arial" w:cs="Arial"/>
          <w:snapToGrid w:val="0"/>
          <w:color w:val="000000"/>
          <w:w w:val="0"/>
          <w:sz w:val="20"/>
          <w:szCs w:val="20"/>
          <w:u w:color="000000"/>
          <w:bdr w:val="none" w:sz="0" w:space="0" w:color="000000"/>
          <w:shd w:val="clear" w:color="000000" w:fill="000000"/>
        </w:rPr>
      </w:pPr>
      <w:r>
        <w:rPr>
          <w:rFonts w:ascii="Arial" w:hAnsi="Arial" w:cs="Arial"/>
          <w:sz w:val="20"/>
          <w:szCs w:val="20"/>
        </w:rPr>
        <w:t xml:space="preserve">Fig </w:t>
      </w:r>
      <w:proofErr w:type="gramStart"/>
      <w:r>
        <w:rPr>
          <w:rFonts w:ascii="Arial" w:hAnsi="Arial" w:cs="Arial"/>
          <w:sz w:val="20"/>
          <w:szCs w:val="20"/>
        </w:rPr>
        <w:t>2 :</w:t>
      </w:r>
      <w:proofErr w:type="gramEnd"/>
      <w:r w:rsidR="000F1F04">
        <w:rPr>
          <w:rFonts w:ascii="Arial" w:hAnsi="Arial" w:cs="Arial"/>
          <w:sz w:val="20"/>
          <w:szCs w:val="20"/>
        </w:rPr>
        <w:t xml:space="preserve"> The bar graph shows the fear of online scams</w:t>
      </w:r>
    </w:p>
    <w:p w14:paraId="0E88044F" w14:textId="77777777" w:rsidR="00702A17" w:rsidRPr="001147D3" w:rsidRDefault="00702A17" w:rsidP="001147D3">
      <w:pPr>
        <w:spacing w:line="240" w:lineRule="auto"/>
        <w:rPr>
          <w:rFonts w:ascii="Arial" w:hAnsi="Arial" w:cs="Arial"/>
          <w:sz w:val="20"/>
          <w:szCs w:val="20"/>
        </w:rPr>
      </w:pPr>
    </w:p>
    <w:p w14:paraId="1F82BC97" w14:textId="66DF5406" w:rsidR="00642F3E" w:rsidRPr="001147D3" w:rsidRDefault="00702A17" w:rsidP="001147D3">
      <w:pPr>
        <w:spacing w:line="240" w:lineRule="auto"/>
        <w:rPr>
          <w:rFonts w:ascii="Arial" w:hAnsi="Arial" w:cs="Arial"/>
          <w:b/>
          <w:sz w:val="20"/>
          <w:szCs w:val="20"/>
        </w:rPr>
      </w:pPr>
      <w:r>
        <w:rPr>
          <w:rFonts w:ascii="Arial" w:hAnsi="Arial" w:cs="Arial"/>
          <w:b/>
          <w:sz w:val="20"/>
          <w:szCs w:val="20"/>
        </w:rPr>
        <w:t xml:space="preserve">Table 2 : </w:t>
      </w:r>
      <w:r w:rsidR="00642F3E" w:rsidRPr="001147D3">
        <w:rPr>
          <w:rFonts w:ascii="Arial" w:hAnsi="Arial" w:cs="Arial"/>
          <w:b/>
          <w:sz w:val="20"/>
          <w:szCs w:val="20"/>
        </w:rPr>
        <w:t>Trust in FinTech Services</w:t>
      </w:r>
    </w:p>
    <w:tbl>
      <w:tblPr>
        <w:tblStyle w:val="TableGrid"/>
        <w:tblW w:w="0" w:type="auto"/>
        <w:tblLook w:val="04A0" w:firstRow="1" w:lastRow="0" w:firstColumn="1" w:lastColumn="0" w:noHBand="0" w:noVBand="1"/>
      </w:tblPr>
      <w:tblGrid>
        <w:gridCol w:w="9576"/>
      </w:tblGrid>
      <w:tr w:rsidR="001E3E0B" w:rsidRPr="001147D3" w14:paraId="4818F740" w14:textId="77777777" w:rsidTr="001E3E0B">
        <w:tc>
          <w:tcPr>
            <w:tcW w:w="9576"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898"/>
              <w:gridCol w:w="994"/>
              <w:gridCol w:w="1116"/>
              <w:gridCol w:w="1287"/>
            </w:tblGrid>
            <w:tr w:rsidR="001E3E0B" w:rsidRPr="001147D3" w14:paraId="124312BC" w14:textId="77777777" w:rsidTr="00C56BA9">
              <w:trPr>
                <w:tblHeader/>
                <w:tblCellSpacing w:w="15" w:type="dxa"/>
              </w:trPr>
              <w:tc>
                <w:tcPr>
                  <w:tcW w:w="0" w:type="auto"/>
                  <w:vAlign w:val="center"/>
                  <w:hideMark/>
                </w:tcPr>
                <w:p w14:paraId="7589B010" w14:textId="77777777" w:rsidR="001E3E0B" w:rsidRPr="001147D3" w:rsidRDefault="001E3E0B" w:rsidP="001147D3">
                  <w:pPr>
                    <w:spacing w:line="240" w:lineRule="auto"/>
                    <w:jc w:val="center"/>
                    <w:rPr>
                      <w:rFonts w:ascii="Arial" w:hAnsi="Arial" w:cs="Arial"/>
                      <w:b/>
                      <w:bCs/>
                      <w:sz w:val="20"/>
                      <w:szCs w:val="20"/>
                    </w:rPr>
                  </w:pPr>
                  <w:r w:rsidRPr="001147D3">
                    <w:rPr>
                      <w:rFonts w:ascii="Arial" w:hAnsi="Arial" w:cs="Arial"/>
                      <w:b/>
                      <w:bCs/>
                      <w:sz w:val="20"/>
                      <w:szCs w:val="20"/>
                    </w:rPr>
                    <w:t>Trust Factors</w:t>
                  </w:r>
                </w:p>
              </w:tc>
              <w:tc>
                <w:tcPr>
                  <w:tcW w:w="0" w:type="auto"/>
                  <w:vAlign w:val="center"/>
                  <w:hideMark/>
                </w:tcPr>
                <w:p w14:paraId="3E345365" w14:textId="77777777" w:rsidR="001E3E0B" w:rsidRPr="001147D3" w:rsidRDefault="001E3E0B" w:rsidP="001147D3">
                  <w:pPr>
                    <w:spacing w:line="240" w:lineRule="auto"/>
                    <w:jc w:val="center"/>
                    <w:rPr>
                      <w:rFonts w:ascii="Arial" w:hAnsi="Arial" w:cs="Arial"/>
                      <w:b/>
                      <w:bCs/>
                      <w:sz w:val="20"/>
                      <w:szCs w:val="20"/>
                    </w:rPr>
                  </w:pPr>
                  <w:r w:rsidRPr="001147D3">
                    <w:rPr>
                      <w:rFonts w:ascii="Arial" w:hAnsi="Arial" w:cs="Arial"/>
                      <w:b/>
                      <w:bCs/>
                      <w:sz w:val="20"/>
                      <w:szCs w:val="20"/>
                    </w:rPr>
                    <w:t>Agree (%)</w:t>
                  </w:r>
                </w:p>
              </w:tc>
              <w:tc>
                <w:tcPr>
                  <w:tcW w:w="0" w:type="auto"/>
                  <w:vAlign w:val="center"/>
                  <w:hideMark/>
                </w:tcPr>
                <w:p w14:paraId="78700DA6" w14:textId="77777777" w:rsidR="001E3E0B" w:rsidRPr="001147D3" w:rsidRDefault="001E3E0B" w:rsidP="001147D3">
                  <w:pPr>
                    <w:spacing w:line="240" w:lineRule="auto"/>
                    <w:jc w:val="center"/>
                    <w:rPr>
                      <w:rFonts w:ascii="Arial" w:hAnsi="Arial" w:cs="Arial"/>
                      <w:b/>
                      <w:bCs/>
                      <w:sz w:val="20"/>
                      <w:szCs w:val="20"/>
                    </w:rPr>
                  </w:pPr>
                  <w:r w:rsidRPr="001147D3">
                    <w:rPr>
                      <w:rFonts w:ascii="Arial" w:hAnsi="Arial" w:cs="Arial"/>
                      <w:b/>
                      <w:bCs/>
                      <w:sz w:val="20"/>
                      <w:szCs w:val="20"/>
                    </w:rPr>
                    <w:t>Neutral (%)</w:t>
                  </w:r>
                </w:p>
              </w:tc>
              <w:tc>
                <w:tcPr>
                  <w:tcW w:w="0" w:type="auto"/>
                  <w:vAlign w:val="center"/>
                  <w:hideMark/>
                </w:tcPr>
                <w:p w14:paraId="7DC88FD6" w14:textId="77777777" w:rsidR="001E3E0B" w:rsidRPr="001147D3" w:rsidRDefault="001E3E0B" w:rsidP="001147D3">
                  <w:pPr>
                    <w:spacing w:line="240" w:lineRule="auto"/>
                    <w:jc w:val="center"/>
                    <w:rPr>
                      <w:rFonts w:ascii="Arial" w:hAnsi="Arial" w:cs="Arial"/>
                      <w:b/>
                      <w:bCs/>
                      <w:sz w:val="20"/>
                      <w:szCs w:val="20"/>
                    </w:rPr>
                  </w:pPr>
                  <w:r w:rsidRPr="001147D3">
                    <w:rPr>
                      <w:rFonts w:ascii="Arial" w:hAnsi="Arial" w:cs="Arial"/>
                      <w:b/>
                      <w:bCs/>
                      <w:sz w:val="20"/>
                      <w:szCs w:val="20"/>
                    </w:rPr>
                    <w:t>Disagree (%)</w:t>
                  </w:r>
                </w:p>
              </w:tc>
            </w:tr>
            <w:tr w:rsidR="001E3E0B" w:rsidRPr="001147D3" w14:paraId="5BA62F32" w14:textId="77777777" w:rsidTr="00C56BA9">
              <w:trPr>
                <w:tblCellSpacing w:w="15" w:type="dxa"/>
              </w:trPr>
              <w:tc>
                <w:tcPr>
                  <w:tcW w:w="0" w:type="auto"/>
                  <w:vAlign w:val="center"/>
                  <w:hideMark/>
                </w:tcPr>
                <w:p w14:paraId="323271DE" w14:textId="77777777" w:rsidR="001E3E0B" w:rsidRPr="001147D3" w:rsidRDefault="001E3E0B" w:rsidP="001147D3">
                  <w:pPr>
                    <w:spacing w:line="240" w:lineRule="auto"/>
                    <w:jc w:val="center"/>
                    <w:rPr>
                      <w:rFonts w:ascii="Arial" w:hAnsi="Arial" w:cs="Arial"/>
                      <w:sz w:val="20"/>
                      <w:szCs w:val="20"/>
                    </w:rPr>
                  </w:pPr>
                  <w:r w:rsidRPr="001147D3">
                    <w:rPr>
                      <w:rFonts w:ascii="Arial" w:hAnsi="Arial" w:cs="Arial"/>
                      <w:b/>
                      <w:bCs/>
                      <w:sz w:val="20"/>
                      <w:szCs w:val="20"/>
                    </w:rPr>
                    <w:t>Trust in Security</w:t>
                  </w:r>
                </w:p>
              </w:tc>
              <w:tc>
                <w:tcPr>
                  <w:tcW w:w="0" w:type="auto"/>
                  <w:vAlign w:val="center"/>
                  <w:hideMark/>
                </w:tcPr>
                <w:p w14:paraId="544714A2" w14:textId="77777777" w:rsidR="001E3E0B" w:rsidRPr="001147D3" w:rsidRDefault="001E3E0B" w:rsidP="001147D3">
                  <w:pPr>
                    <w:spacing w:line="240" w:lineRule="auto"/>
                    <w:jc w:val="center"/>
                    <w:rPr>
                      <w:rFonts w:ascii="Arial" w:hAnsi="Arial" w:cs="Arial"/>
                      <w:sz w:val="20"/>
                      <w:szCs w:val="20"/>
                    </w:rPr>
                  </w:pPr>
                  <w:r w:rsidRPr="001147D3">
                    <w:rPr>
                      <w:rFonts w:ascii="Arial" w:hAnsi="Arial" w:cs="Arial"/>
                      <w:sz w:val="20"/>
                      <w:szCs w:val="20"/>
                    </w:rPr>
                    <w:t>40</w:t>
                  </w:r>
                </w:p>
              </w:tc>
              <w:tc>
                <w:tcPr>
                  <w:tcW w:w="0" w:type="auto"/>
                  <w:vAlign w:val="center"/>
                  <w:hideMark/>
                </w:tcPr>
                <w:p w14:paraId="45EF7387" w14:textId="77777777" w:rsidR="001E3E0B" w:rsidRPr="001147D3" w:rsidRDefault="001E3E0B" w:rsidP="001147D3">
                  <w:pPr>
                    <w:spacing w:line="240" w:lineRule="auto"/>
                    <w:jc w:val="center"/>
                    <w:rPr>
                      <w:rFonts w:ascii="Arial" w:hAnsi="Arial" w:cs="Arial"/>
                      <w:sz w:val="20"/>
                      <w:szCs w:val="20"/>
                    </w:rPr>
                  </w:pPr>
                  <w:r w:rsidRPr="001147D3">
                    <w:rPr>
                      <w:rFonts w:ascii="Arial" w:hAnsi="Arial" w:cs="Arial"/>
                      <w:sz w:val="20"/>
                      <w:szCs w:val="20"/>
                    </w:rPr>
                    <w:t>30</w:t>
                  </w:r>
                </w:p>
              </w:tc>
              <w:tc>
                <w:tcPr>
                  <w:tcW w:w="0" w:type="auto"/>
                  <w:vAlign w:val="center"/>
                  <w:hideMark/>
                </w:tcPr>
                <w:p w14:paraId="0E2FD25F" w14:textId="77777777" w:rsidR="001E3E0B" w:rsidRPr="001147D3" w:rsidRDefault="001E3E0B" w:rsidP="001147D3">
                  <w:pPr>
                    <w:spacing w:line="240" w:lineRule="auto"/>
                    <w:jc w:val="center"/>
                    <w:rPr>
                      <w:rFonts w:ascii="Arial" w:hAnsi="Arial" w:cs="Arial"/>
                      <w:sz w:val="20"/>
                      <w:szCs w:val="20"/>
                    </w:rPr>
                  </w:pPr>
                  <w:r w:rsidRPr="001147D3">
                    <w:rPr>
                      <w:rFonts w:ascii="Arial" w:hAnsi="Arial" w:cs="Arial"/>
                      <w:sz w:val="20"/>
                      <w:szCs w:val="20"/>
                    </w:rPr>
                    <w:t>30</w:t>
                  </w:r>
                </w:p>
              </w:tc>
            </w:tr>
            <w:tr w:rsidR="001E3E0B" w:rsidRPr="001147D3" w14:paraId="3645CDB3" w14:textId="77777777" w:rsidTr="00C56BA9">
              <w:trPr>
                <w:tblCellSpacing w:w="15" w:type="dxa"/>
              </w:trPr>
              <w:tc>
                <w:tcPr>
                  <w:tcW w:w="0" w:type="auto"/>
                  <w:vAlign w:val="center"/>
                  <w:hideMark/>
                </w:tcPr>
                <w:p w14:paraId="116D8335" w14:textId="77777777" w:rsidR="001E3E0B" w:rsidRPr="001147D3" w:rsidRDefault="001E3E0B" w:rsidP="001147D3">
                  <w:pPr>
                    <w:spacing w:line="240" w:lineRule="auto"/>
                    <w:jc w:val="center"/>
                    <w:rPr>
                      <w:rFonts w:ascii="Arial" w:hAnsi="Arial" w:cs="Arial"/>
                      <w:sz w:val="20"/>
                      <w:szCs w:val="20"/>
                    </w:rPr>
                  </w:pPr>
                  <w:r w:rsidRPr="001147D3">
                    <w:rPr>
                      <w:rFonts w:ascii="Arial" w:hAnsi="Arial" w:cs="Arial"/>
                      <w:b/>
                      <w:bCs/>
                      <w:sz w:val="20"/>
                      <w:szCs w:val="20"/>
                    </w:rPr>
                    <w:t>Trust in Regulatory Oversight</w:t>
                  </w:r>
                </w:p>
              </w:tc>
              <w:tc>
                <w:tcPr>
                  <w:tcW w:w="0" w:type="auto"/>
                  <w:vAlign w:val="center"/>
                  <w:hideMark/>
                </w:tcPr>
                <w:p w14:paraId="314F4D44" w14:textId="77777777" w:rsidR="001E3E0B" w:rsidRPr="001147D3" w:rsidRDefault="001E3E0B" w:rsidP="001147D3">
                  <w:pPr>
                    <w:spacing w:line="240" w:lineRule="auto"/>
                    <w:jc w:val="center"/>
                    <w:rPr>
                      <w:rFonts w:ascii="Arial" w:hAnsi="Arial" w:cs="Arial"/>
                      <w:sz w:val="20"/>
                      <w:szCs w:val="20"/>
                    </w:rPr>
                  </w:pPr>
                  <w:r w:rsidRPr="001147D3">
                    <w:rPr>
                      <w:rFonts w:ascii="Arial" w:hAnsi="Arial" w:cs="Arial"/>
                      <w:sz w:val="20"/>
                      <w:szCs w:val="20"/>
                    </w:rPr>
                    <w:t>45</w:t>
                  </w:r>
                </w:p>
              </w:tc>
              <w:tc>
                <w:tcPr>
                  <w:tcW w:w="0" w:type="auto"/>
                  <w:vAlign w:val="center"/>
                  <w:hideMark/>
                </w:tcPr>
                <w:p w14:paraId="4A53E858" w14:textId="77777777" w:rsidR="001E3E0B" w:rsidRPr="001147D3" w:rsidRDefault="001E3E0B" w:rsidP="001147D3">
                  <w:pPr>
                    <w:spacing w:line="240" w:lineRule="auto"/>
                    <w:jc w:val="center"/>
                    <w:rPr>
                      <w:rFonts w:ascii="Arial" w:hAnsi="Arial" w:cs="Arial"/>
                      <w:sz w:val="20"/>
                      <w:szCs w:val="20"/>
                    </w:rPr>
                  </w:pPr>
                  <w:r w:rsidRPr="001147D3">
                    <w:rPr>
                      <w:rFonts w:ascii="Arial" w:hAnsi="Arial" w:cs="Arial"/>
                      <w:sz w:val="20"/>
                      <w:szCs w:val="20"/>
                    </w:rPr>
                    <w:t>25</w:t>
                  </w:r>
                </w:p>
              </w:tc>
              <w:tc>
                <w:tcPr>
                  <w:tcW w:w="0" w:type="auto"/>
                  <w:vAlign w:val="center"/>
                  <w:hideMark/>
                </w:tcPr>
                <w:p w14:paraId="10054C1E" w14:textId="77777777" w:rsidR="001E3E0B" w:rsidRPr="001147D3" w:rsidRDefault="001E3E0B" w:rsidP="001147D3">
                  <w:pPr>
                    <w:spacing w:line="240" w:lineRule="auto"/>
                    <w:jc w:val="center"/>
                    <w:rPr>
                      <w:rFonts w:ascii="Arial" w:hAnsi="Arial" w:cs="Arial"/>
                      <w:sz w:val="20"/>
                      <w:szCs w:val="20"/>
                    </w:rPr>
                  </w:pPr>
                  <w:r w:rsidRPr="001147D3">
                    <w:rPr>
                      <w:rFonts w:ascii="Arial" w:hAnsi="Arial" w:cs="Arial"/>
                      <w:sz w:val="20"/>
                      <w:szCs w:val="20"/>
                    </w:rPr>
                    <w:t>30</w:t>
                  </w:r>
                </w:p>
              </w:tc>
            </w:tr>
            <w:tr w:rsidR="001E3E0B" w:rsidRPr="001147D3" w14:paraId="79350997" w14:textId="77777777" w:rsidTr="00C56BA9">
              <w:trPr>
                <w:tblCellSpacing w:w="15" w:type="dxa"/>
              </w:trPr>
              <w:tc>
                <w:tcPr>
                  <w:tcW w:w="0" w:type="auto"/>
                  <w:vAlign w:val="center"/>
                  <w:hideMark/>
                </w:tcPr>
                <w:p w14:paraId="2EF12BB6" w14:textId="77777777" w:rsidR="001E3E0B" w:rsidRPr="001147D3" w:rsidRDefault="001E3E0B" w:rsidP="001147D3">
                  <w:pPr>
                    <w:spacing w:line="240" w:lineRule="auto"/>
                    <w:jc w:val="center"/>
                    <w:rPr>
                      <w:rFonts w:ascii="Arial" w:hAnsi="Arial" w:cs="Arial"/>
                      <w:sz w:val="20"/>
                      <w:szCs w:val="20"/>
                    </w:rPr>
                  </w:pPr>
                  <w:r w:rsidRPr="001147D3">
                    <w:rPr>
                      <w:rFonts w:ascii="Arial" w:hAnsi="Arial" w:cs="Arial"/>
                      <w:b/>
                      <w:bCs/>
                      <w:sz w:val="20"/>
                      <w:szCs w:val="20"/>
                    </w:rPr>
                    <w:t>Trust in Overall Reliability</w:t>
                  </w:r>
                </w:p>
              </w:tc>
              <w:tc>
                <w:tcPr>
                  <w:tcW w:w="0" w:type="auto"/>
                  <w:vAlign w:val="center"/>
                  <w:hideMark/>
                </w:tcPr>
                <w:p w14:paraId="7526BD3B" w14:textId="77777777" w:rsidR="001E3E0B" w:rsidRPr="001147D3" w:rsidRDefault="001E3E0B" w:rsidP="001147D3">
                  <w:pPr>
                    <w:spacing w:line="240" w:lineRule="auto"/>
                    <w:jc w:val="center"/>
                    <w:rPr>
                      <w:rFonts w:ascii="Arial" w:hAnsi="Arial" w:cs="Arial"/>
                      <w:sz w:val="20"/>
                      <w:szCs w:val="20"/>
                    </w:rPr>
                  </w:pPr>
                  <w:r w:rsidRPr="001147D3">
                    <w:rPr>
                      <w:rFonts w:ascii="Arial" w:hAnsi="Arial" w:cs="Arial"/>
                      <w:sz w:val="20"/>
                      <w:szCs w:val="20"/>
                    </w:rPr>
                    <w:t>50</w:t>
                  </w:r>
                </w:p>
              </w:tc>
              <w:tc>
                <w:tcPr>
                  <w:tcW w:w="0" w:type="auto"/>
                  <w:vAlign w:val="center"/>
                  <w:hideMark/>
                </w:tcPr>
                <w:p w14:paraId="6A3671A6" w14:textId="77777777" w:rsidR="001E3E0B" w:rsidRPr="001147D3" w:rsidRDefault="001E3E0B" w:rsidP="001147D3">
                  <w:pPr>
                    <w:spacing w:line="240" w:lineRule="auto"/>
                    <w:jc w:val="center"/>
                    <w:rPr>
                      <w:rFonts w:ascii="Arial" w:hAnsi="Arial" w:cs="Arial"/>
                      <w:sz w:val="20"/>
                      <w:szCs w:val="20"/>
                    </w:rPr>
                  </w:pPr>
                  <w:r w:rsidRPr="001147D3">
                    <w:rPr>
                      <w:rFonts w:ascii="Arial" w:hAnsi="Arial" w:cs="Arial"/>
                      <w:sz w:val="20"/>
                      <w:szCs w:val="20"/>
                    </w:rPr>
                    <w:t>20</w:t>
                  </w:r>
                </w:p>
              </w:tc>
              <w:tc>
                <w:tcPr>
                  <w:tcW w:w="0" w:type="auto"/>
                  <w:vAlign w:val="center"/>
                  <w:hideMark/>
                </w:tcPr>
                <w:p w14:paraId="45B2D8D4" w14:textId="77777777" w:rsidR="001E3E0B" w:rsidRPr="001147D3" w:rsidRDefault="001E3E0B" w:rsidP="001147D3">
                  <w:pPr>
                    <w:spacing w:line="240" w:lineRule="auto"/>
                    <w:jc w:val="center"/>
                    <w:rPr>
                      <w:rFonts w:ascii="Arial" w:hAnsi="Arial" w:cs="Arial"/>
                      <w:sz w:val="20"/>
                      <w:szCs w:val="20"/>
                    </w:rPr>
                  </w:pPr>
                  <w:r w:rsidRPr="001147D3">
                    <w:rPr>
                      <w:rFonts w:ascii="Arial" w:hAnsi="Arial" w:cs="Arial"/>
                      <w:sz w:val="20"/>
                      <w:szCs w:val="20"/>
                    </w:rPr>
                    <w:t>30</w:t>
                  </w:r>
                </w:p>
              </w:tc>
            </w:tr>
          </w:tbl>
          <w:p w14:paraId="02BDD820" w14:textId="77777777" w:rsidR="001E3E0B" w:rsidRPr="001147D3" w:rsidRDefault="001E3E0B" w:rsidP="001147D3">
            <w:pPr>
              <w:rPr>
                <w:rFonts w:ascii="Arial" w:hAnsi="Arial" w:cs="Arial"/>
                <w:sz w:val="20"/>
                <w:szCs w:val="20"/>
              </w:rPr>
            </w:pPr>
          </w:p>
        </w:tc>
      </w:tr>
    </w:tbl>
    <w:p w14:paraId="00D231DD" w14:textId="77777777" w:rsidR="001E3E0B" w:rsidRPr="001147D3" w:rsidRDefault="001E3E0B" w:rsidP="001147D3">
      <w:pPr>
        <w:spacing w:line="240" w:lineRule="auto"/>
        <w:rPr>
          <w:rFonts w:ascii="Arial" w:hAnsi="Arial" w:cs="Arial"/>
          <w:sz w:val="20"/>
          <w:szCs w:val="20"/>
        </w:rPr>
      </w:pPr>
    </w:p>
    <w:p w14:paraId="1ACFAD13" w14:textId="77777777" w:rsidR="00642F3E" w:rsidRPr="001147D3" w:rsidRDefault="00642F3E" w:rsidP="001147D3">
      <w:pPr>
        <w:spacing w:line="240" w:lineRule="auto"/>
        <w:rPr>
          <w:rFonts w:ascii="Arial" w:hAnsi="Arial" w:cs="Arial"/>
          <w:sz w:val="20"/>
          <w:szCs w:val="20"/>
        </w:rPr>
      </w:pPr>
      <w:r w:rsidRPr="001147D3">
        <w:rPr>
          <w:rFonts w:ascii="Arial" w:hAnsi="Arial" w:cs="Arial"/>
          <w:sz w:val="20"/>
          <w:szCs w:val="20"/>
        </w:rPr>
        <w:t xml:space="preserve">One important factor in deciding whether to </w:t>
      </w:r>
      <w:r w:rsidR="00050059" w:rsidRPr="001147D3">
        <w:rPr>
          <w:rFonts w:ascii="Arial" w:hAnsi="Arial" w:cs="Arial"/>
          <w:sz w:val="20"/>
          <w:szCs w:val="20"/>
        </w:rPr>
        <w:t xml:space="preserve">use FinTech services is trust. </w:t>
      </w:r>
      <w:r w:rsidRPr="001147D3">
        <w:rPr>
          <w:rFonts w:ascii="Arial" w:hAnsi="Arial" w:cs="Arial"/>
          <w:sz w:val="20"/>
          <w:szCs w:val="20"/>
        </w:rPr>
        <w:t>According to the study's findings, Nigerian customers have a poor level of confidence in the security and dependability of FinTech platforms:</w:t>
      </w:r>
    </w:p>
    <w:p w14:paraId="13145F79" w14:textId="77777777" w:rsidR="00702A17" w:rsidRDefault="00050059" w:rsidP="001147D3">
      <w:pPr>
        <w:spacing w:line="240" w:lineRule="auto"/>
        <w:rPr>
          <w:rFonts w:ascii="Arial" w:hAnsi="Arial" w:cs="Arial"/>
          <w:sz w:val="20"/>
          <w:szCs w:val="20"/>
        </w:rPr>
      </w:pPr>
      <w:r w:rsidRPr="001147D3">
        <w:rPr>
          <w:rFonts w:ascii="Arial" w:hAnsi="Arial" w:cs="Arial"/>
          <w:sz w:val="20"/>
          <w:szCs w:val="20"/>
        </w:rPr>
        <w:t xml:space="preserve">General Trust in Security: Just 40% of those surveyed said they were confident in FinTech services' security. Given that widespread adoption of digital systems depends on trust, this is a serious challenge </w:t>
      </w:r>
    </w:p>
    <w:p w14:paraId="2C2F77D0" w14:textId="5A56B838" w:rsidR="00050059" w:rsidRPr="001147D3" w:rsidRDefault="00770206" w:rsidP="001147D3">
      <w:pPr>
        <w:spacing w:line="240" w:lineRule="auto"/>
        <w:rPr>
          <w:rFonts w:ascii="Arial" w:hAnsi="Arial" w:cs="Arial"/>
          <w:sz w:val="20"/>
          <w:szCs w:val="20"/>
        </w:rPr>
      </w:pPr>
      <w:sdt>
        <w:sdtPr>
          <w:rPr>
            <w:rFonts w:ascii="Arial" w:hAnsi="Arial" w:cs="Arial"/>
            <w:sz w:val="20"/>
            <w:szCs w:val="20"/>
          </w:rPr>
          <w:id w:val="453452344"/>
          <w:citation/>
        </w:sdtPr>
        <w:sdtEndPr/>
        <w:sdtContent>
          <w:r w:rsidR="00BC6413" w:rsidRPr="001147D3">
            <w:rPr>
              <w:rFonts w:ascii="Arial" w:hAnsi="Arial" w:cs="Arial"/>
              <w:sz w:val="20"/>
              <w:szCs w:val="20"/>
            </w:rPr>
            <w:fldChar w:fldCharType="begin"/>
          </w:r>
          <w:r w:rsidR="00BC6413" w:rsidRPr="001147D3">
            <w:rPr>
              <w:rFonts w:ascii="Arial" w:hAnsi="Arial" w:cs="Arial"/>
              <w:sz w:val="20"/>
              <w:szCs w:val="20"/>
            </w:rPr>
            <w:instrText xml:space="preserve"> CITATION Ald23 \l 1033 </w:instrText>
          </w:r>
          <w:r w:rsidR="00BC6413" w:rsidRPr="001147D3">
            <w:rPr>
              <w:rFonts w:ascii="Arial" w:hAnsi="Arial" w:cs="Arial"/>
              <w:sz w:val="20"/>
              <w:szCs w:val="20"/>
            </w:rPr>
            <w:fldChar w:fldCharType="separate"/>
          </w:r>
          <w:r w:rsidR="00BC6413" w:rsidRPr="001147D3">
            <w:rPr>
              <w:rFonts w:ascii="Arial" w:hAnsi="Arial" w:cs="Arial"/>
              <w:noProof/>
              <w:sz w:val="20"/>
              <w:szCs w:val="20"/>
            </w:rPr>
            <w:t>(Aldboush &amp; Ferdous, 2023)</w:t>
          </w:r>
          <w:r w:rsidR="00BC6413" w:rsidRPr="001147D3">
            <w:rPr>
              <w:rFonts w:ascii="Arial" w:hAnsi="Arial" w:cs="Arial"/>
              <w:sz w:val="20"/>
              <w:szCs w:val="20"/>
            </w:rPr>
            <w:fldChar w:fldCharType="end"/>
          </w:r>
        </w:sdtContent>
      </w:sdt>
      <w:r w:rsidR="00050059" w:rsidRPr="001147D3">
        <w:rPr>
          <w:rFonts w:ascii="Arial" w:hAnsi="Arial" w:cs="Arial"/>
          <w:sz w:val="20"/>
          <w:szCs w:val="20"/>
        </w:rPr>
        <w:t xml:space="preserve">. On the other hand, 75% of respondents said they trusted the security procedures of traditional financial institutions, indicating that traditional banks in Nigeria enjoy the perceived security offered by physical branches and government restrictions. This reveals a major obstacle to the adoption of FinTech: even though digital platforms offer greater convenience, customers feel safer dealing with traditional financial institutions. Effective security measures that have been demonstrated to boost consumer trust in digital platforms, such encryption, two-factor authentication, and biometric verification, must be prioritized by FinTech companies in order to address this issue </w:t>
      </w:r>
      <w:sdt>
        <w:sdtPr>
          <w:rPr>
            <w:rFonts w:ascii="Arial" w:hAnsi="Arial" w:cs="Arial"/>
            <w:sz w:val="20"/>
            <w:szCs w:val="20"/>
          </w:rPr>
          <w:id w:val="-546678183"/>
          <w:citation/>
        </w:sdtPr>
        <w:sdtEndPr/>
        <w:sdtContent>
          <w:r w:rsidR="00BC6413" w:rsidRPr="001147D3">
            <w:rPr>
              <w:rFonts w:ascii="Arial" w:hAnsi="Arial" w:cs="Arial"/>
              <w:sz w:val="20"/>
              <w:szCs w:val="20"/>
            </w:rPr>
            <w:fldChar w:fldCharType="begin"/>
          </w:r>
          <w:r w:rsidR="00BC6413" w:rsidRPr="001147D3">
            <w:rPr>
              <w:rFonts w:ascii="Arial" w:hAnsi="Arial" w:cs="Arial"/>
              <w:sz w:val="20"/>
              <w:szCs w:val="20"/>
            </w:rPr>
            <w:instrText xml:space="preserve"> CITATION Ikp25 \l 1033 </w:instrText>
          </w:r>
          <w:r w:rsidR="00BC6413" w:rsidRPr="001147D3">
            <w:rPr>
              <w:rFonts w:ascii="Arial" w:hAnsi="Arial" w:cs="Arial"/>
              <w:sz w:val="20"/>
              <w:szCs w:val="20"/>
            </w:rPr>
            <w:fldChar w:fldCharType="separate"/>
          </w:r>
          <w:r w:rsidR="00BC6413" w:rsidRPr="001147D3">
            <w:rPr>
              <w:rFonts w:ascii="Arial" w:hAnsi="Arial" w:cs="Arial"/>
              <w:noProof/>
              <w:sz w:val="20"/>
              <w:szCs w:val="20"/>
            </w:rPr>
            <w:t>(Ikpe, 2025)</w:t>
          </w:r>
          <w:r w:rsidR="00BC6413" w:rsidRPr="001147D3">
            <w:rPr>
              <w:rFonts w:ascii="Arial" w:hAnsi="Arial" w:cs="Arial"/>
              <w:sz w:val="20"/>
              <w:szCs w:val="20"/>
            </w:rPr>
            <w:fldChar w:fldCharType="end"/>
          </w:r>
        </w:sdtContent>
      </w:sdt>
      <w:r w:rsidR="00050059" w:rsidRPr="001147D3">
        <w:rPr>
          <w:rFonts w:ascii="Arial" w:hAnsi="Arial" w:cs="Arial"/>
          <w:sz w:val="20"/>
          <w:szCs w:val="20"/>
        </w:rPr>
        <w:t>.</w:t>
      </w:r>
    </w:p>
    <w:p w14:paraId="34143799" w14:textId="77777777" w:rsidR="00050059" w:rsidRPr="001147D3" w:rsidRDefault="00050059" w:rsidP="001147D3">
      <w:pPr>
        <w:spacing w:line="240" w:lineRule="auto"/>
        <w:rPr>
          <w:rFonts w:ascii="Arial" w:hAnsi="Arial" w:cs="Arial"/>
          <w:sz w:val="20"/>
          <w:szCs w:val="20"/>
        </w:rPr>
      </w:pPr>
      <w:r w:rsidRPr="001147D3">
        <w:rPr>
          <w:rFonts w:ascii="Arial" w:hAnsi="Arial" w:cs="Arial"/>
          <w:sz w:val="20"/>
          <w:szCs w:val="20"/>
        </w:rPr>
        <w:t xml:space="preserve">Trust in Regulatory Oversight: Due to worries about the inadequate enforcement of consumer protection rules, the majority of respondents (55%) expressed a lack of faith in the regulatory environment for FinTech banks. This result aligns with the worries expressed by </w:t>
      </w:r>
      <w:r w:rsidR="00BC6413" w:rsidRPr="001147D3">
        <w:rPr>
          <w:rFonts w:ascii="Arial" w:hAnsi="Arial" w:cs="Arial"/>
          <w:noProof/>
          <w:sz w:val="20"/>
          <w:szCs w:val="20"/>
        </w:rPr>
        <w:t>Igbinenikaro &amp; Adewusi (2024)</w:t>
      </w:r>
      <w:r w:rsidRPr="001147D3">
        <w:rPr>
          <w:rFonts w:ascii="Arial" w:hAnsi="Arial" w:cs="Arial"/>
          <w:sz w:val="20"/>
          <w:szCs w:val="20"/>
        </w:rPr>
        <w:t>, who pointed out that a major barrier to FinTech adoption in emerging nations is a lack of confidence in governmental regulation. Stronger enforcement measures are required to safeguard customers against fraud and financial losses, as Nigeria’s regulatory framework for digital financial services are still comparatively undevelo</w:t>
      </w:r>
      <w:r w:rsidR="0044083F" w:rsidRPr="001147D3">
        <w:rPr>
          <w:rFonts w:ascii="Arial" w:hAnsi="Arial" w:cs="Arial"/>
          <w:sz w:val="20"/>
          <w:szCs w:val="20"/>
        </w:rPr>
        <w:t xml:space="preserve">ped </w:t>
      </w:r>
      <w:sdt>
        <w:sdtPr>
          <w:rPr>
            <w:rFonts w:ascii="Arial" w:hAnsi="Arial" w:cs="Arial"/>
            <w:sz w:val="20"/>
            <w:szCs w:val="20"/>
          </w:rPr>
          <w:id w:val="966624466"/>
          <w:citation/>
        </w:sdtPr>
        <w:sdtEndPr/>
        <w:sdtContent>
          <w:r w:rsidR="00BC6413" w:rsidRPr="001147D3">
            <w:rPr>
              <w:rFonts w:ascii="Arial" w:hAnsi="Arial" w:cs="Arial"/>
              <w:sz w:val="20"/>
              <w:szCs w:val="20"/>
            </w:rPr>
            <w:fldChar w:fldCharType="begin"/>
          </w:r>
          <w:r w:rsidR="00BC6413" w:rsidRPr="001147D3">
            <w:rPr>
              <w:rFonts w:ascii="Arial" w:hAnsi="Arial" w:cs="Arial"/>
              <w:sz w:val="20"/>
              <w:szCs w:val="20"/>
            </w:rPr>
            <w:instrText xml:space="preserve"> CITATION Maj22 \l 1033 </w:instrText>
          </w:r>
          <w:r w:rsidR="00BC6413" w:rsidRPr="001147D3">
            <w:rPr>
              <w:rFonts w:ascii="Arial" w:hAnsi="Arial" w:cs="Arial"/>
              <w:sz w:val="20"/>
              <w:szCs w:val="20"/>
            </w:rPr>
            <w:fldChar w:fldCharType="separate"/>
          </w:r>
          <w:r w:rsidR="00BC6413" w:rsidRPr="001147D3">
            <w:rPr>
              <w:rFonts w:ascii="Arial" w:hAnsi="Arial" w:cs="Arial"/>
              <w:noProof/>
              <w:sz w:val="20"/>
              <w:szCs w:val="20"/>
            </w:rPr>
            <w:t>(Majid et al., 2022)</w:t>
          </w:r>
          <w:r w:rsidR="00BC6413" w:rsidRPr="001147D3">
            <w:rPr>
              <w:rFonts w:ascii="Arial" w:hAnsi="Arial" w:cs="Arial"/>
              <w:sz w:val="20"/>
              <w:szCs w:val="20"/>
            </w:rPr>
            <w:fldChar w:fldCharType="end"/>
          </w:r>
        </w:sdtContent>
      </w:sdt>
      <w:r w:rsidR="0044083F" w:rsidRPr="001147D3">
        <w:rPr>
          <w:rFonts w:ascii="Arial" w:hAnsi="Arial" w:cs="Arial"/>
          <w:sz w:val="20"/>
          <w:szCs w:val="20"/>
        </w:rPr>
        <w:t xml:space="preserve">. </w:t>
      </w:r>
      <w:r w:rsidRPr="001147D3">
        <w:rPr>
          <w:rFonts w:ascii="Arial" w:hAnsi="Arial" w:cs="Arial"/>
          <w:sz w:val="20"/>
          <w:szCs w:val="20"/>
        </w:rPr>
        <w:t>To address consumer concerns over the security of digital banking systems, Nigerian regulatory bodies, such as the Central Bank of Nigeria (CBN), must create more precise regulations and a stronger supervision structure.</w:t>
      </w:r>
    </w:p>
    <w:p w14:paraId="06A5C04A" w14:textId="72F45320" w:rsidR="00050059" w:rsidRPr="001147D3" w:rsidRDefault="00702A17" w:rsidP="001147D3">
      <w:pPr>
        <w:spacing w:line="240" w:lineRule="auto"/>
        <w:rPr>
          <w:rFonts w:ascii="Arial" w:hAnsi="Arial" w:cs="Arial"/>
          <w:b/>
          <w:sz w:val="20"/>
          <w:szCs w:val="20"/>
        </w:rPr>
      </w:pPr>
      <w:r>
        <w:rPr>
          <w:rFonts w:ascii="Arial" w:hAnsi="Arial" w:cs="Arial"/>
          <w:b/>
          <w:sz w:val="20"/>
          <w:szCs w:val="20"/>
        </w:rPr>
        <w:t xml:space="preserve">Table 3 : </w:t>
      </w:r>
      <w:r w:rsidR="00050059" w:rsidRPr="001147D3">
        <w:rPr>
          <w:rFonts w:ascii="Arial" w:hAnsi="Arial" w:cs="Arial"/>
          <w:b/>
          <w:sz w:val="20"/>
          <w:szCs w:val="20"/>
        </w:rPr>
        <w:t>Adoption of FinTech Services</w:t>
      </w:r>
    </w:p>
    <w:tbl>
      <w:tblPr>
        <w:tblStyle w:val="TableGrid"/>
        <w:tblW w:w="0" w:type="auto"/>
        <w:tblLook w:val="04A0" w:firstRow="1" w:lastRow="0" w:firstColumn="1" w:lastColumn="0" w:noHBand="0" w:noVBand="1"/>
      </w:tblPr>
      <w:tblGrid>
        <w:gridCol w:w="9576"/>
      </w:tblGrid>
      <w:tr w:rsidR="001E3E0B" w:rsidRPr="001147D3" w14:paraId="45609B9E" w14:textId="77777777" w:rsidTr="001E3E0B">
        <w:tc>
          <w:tcPr>
            <w:tcW w:w="9576"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464"/>
              <w:gridCol w:w="1072"/>
              <w:gridCol w:w="1520"/>
            </w:tblGrid>
            <w:tr w:rsidR="001E3E0B" w:rsidRPr="001147D3" w14:paraId="257982D1" w14:textId="77777777" w:rsidTr="00C56BA9">
              <w:trPr>
                <w:tblHeader/>
                <w:tblCellSpacing w:w="15" w:type="dxa"/>
              </w:trPr>
              <w:tc>
                <w:tcPr>
                  <w:tcW w:w="0" w:type="auto"/>
                  <w:vAlign w:val="center"/>
                  <w:hideMark/>
                </w:tcPr>
                <w:p w14:paraId="1FCE8E98" w14:textId="77777777" w:rsidR="001E3E0B" w:rsidRPr="001147D3" w:rsidRDefault="001E3E0B" w:rsidP="001147D3">
                  <w:pPr>
                    <w:spacing w:line="240" w:lineRule="auto"/>
                    <w:jc w:val="center"/>
                    <w:rPr>
                      <w:rFonts w:ascii="Arial" w:hAnsi="Arial" w:cs="Arial"/>
                      <w:b/>
                      <w:bCs/>
                      <w:sz w:val="20"/>
                      <w:szCs w:val="20"/>
                    </w:rPr>
                  </w:pPr>
                  <w:r w:rsidRPr="001147D3">
                    <w:rPr>
                      <w:rFonts w:ascii="Arial" w:hAnsi="Arial" w:cs="Arial"/>
                      <w:b/>
                      <w:bCs/>
                      <w:sz w:val="20"/>
                      <w:szCs w:val="20"/>
                    </w:rPr>
                    <w:t>Adoption Status</w:t>
                  </w:r>
                </w:p>
              </w:tc>
              <w:tc>
                <w:tcPr>
                  <w:tcW w:w="0" w:type="auto"/>
                  <w:vAlign w:val="center"/>
                  <w:hideMark/>
                </w:tcPr>
                <w:p w14:paraId="524125C9" w14:textId="77777777" w:rsidR="001E3E0B" w:rsidRPr="001147D3" w:rsidRDefault="001E3E0B" w:rsidP="001147D3">
                  <w:pPr>
                    <w:spacing w:line="240" w:lineRule="auto"/>
                    <w:jc w:val="center"/>
                    <w:rPr>
                      <w:rFonts w:ascii="Arial" w:hAnsi="Arial" w:cs="Arial"/>
                      <w:b/>
                      <w:bCs/>
                      <w:sz w:val="20"/>
                      <w:szCs w:val="20"/>
                    </w:rPr>
                  </w:pPr>
                  <w:r w:rsidRPr="001147D3">
                    <w:rPr>
                      <w:rFonts w:ascii="Arial" w:hAnsi="Arial" w:cs="Arial"/>
                      <w:b/>
                      <w:bCs/>
                      <w:sz w:val="20"/>
                      <w:szCs w:val="20"/>
                    </w:rPr>
                    <w:t>Frequency</w:t>
                  </w:r>
                </w:p>
              </w:tc>
              <w:tc>
                <w:tcPr>
                  <w:tcW w:w="0" w:type="auto"/>
                  <w:vAlign w:val="center"/>
                  <w:hideMark/>
                </w:tcPr>
                <w:p w14:paraId="285379EF" w14:textId="77777777" w:rsidR="001E3E0B" w:rsidRPr="001147D3" w:rsidRDefault="001E3E0B" w:rsidP="001147D3">
                  <w:pPr>
                    <w:spacing w:line="240" w:lineRule="auto"/>
                    <w:jc w:val="center"/>
                    <w:rPr>
                      <w:rFonts w:ascii="Arial" w:hAnsi="Arial" w:cs="Arial"/>
                      <w:b/>
                      <w:bCs/>
                      <w:sz w:val="20"/>
                      <w:szCs w:val="20"/>
                    </w:rPr>
                  </w:pPr>
                  <w:r w:rsidRPr="001147D3">
                    <w:rPr>
                      <w:rFonts w:ascii="Arial" w:hAnsi="Arial" w:cs="Arial"/>
                      <w:b/>
                      <w:bCs/>
                      <w:sz w:val="20"/>
                      <w:szCs w:val="20"/>
                    </w:rPr>
                    <w:t>Percentage (%)</w:t>
                  </w:r>
                </w:p>
              </w:tc>
            </w:tr>
            <w:tr w:rsidR="001E3E0B" w:rsidRPr="001147D3" w14:paraId="6A39296C" w14:textId="77777777" w:rsidTr="00C56BA9">
              <w:trPr>
                <w:tblCellSpacing w:w="15" w:type="dxa"/>
              </w:trPr>
              <w:tc>
                <w:tcPr>
                  <w:tcW w:w="0" w:type="auto"/>
                  <w:vAlign w:val="center"/>
                  <w:hideMark/>
                </w:tcPr>
                <w:p w14:paraId="419C6038" w14:textId="77777777" w:rsidR="001E3E0B" w:rsidRPr="001147D3" w:rsidRDefault="001E3E0B" w:rsidP="001147D3">
                  <w:pPr>
                    <w:spacing w:line="240" w:lineRule="auto"/>
                    <w:jc w:val="center"/>
                    <w:rPr>
                      <w:rFonts w:ascii="Arial" w:hAnsi="Arial" w:cs="Arial"/>
                      <w:sz w:val="20"/>
                      <w:szCs w:val="20"/>
                    </w:rPr>
                  </w:pPr>
                  <w:r w:rsidRPr="001147D3">
                    <w:rPr>
                      <w:rFonts w:ascii="Arial" w:hAnsi="Arial" w:cs="Arial"/>
                      <w:b/>
                      <w:bCs/>
                      <w:sz w:val="20"/>
                      <w:szCs w:val="20"/>
                    </w:rPr>
                    <w:t>Current Users</w:t>
                  </w:r>
                </w:p>
              </w:tc>
              <w:tc>
                <w:tcPr>
                  <w:tcW w:w="0" w:type="auto"/>
                  <w:vAlign w:val="center"/>
                  <w:hideMark/>
                </w:tcPr>
                <w:p w14:paraId="27242B72" w14:textId="77777777" w:rsidR="001E3E0B" w:rsidRPr="001147D3" w:rsidRDefault="001E3E0B" w:rsidP="001147D3">
                  <w:pPr>
                    <w:spacing w:line="240" w:lineRule="auto"/>
                    <w:jc w:val="center"/>
                    <w:rPr>
                      <w:rFonts w:ascii="Arial" w:hAnsi="Arial" w:cs="Arial"/>
                      <w:sz w:val="20"/>
                      <w:szCs w:val="20"/>
                    </w:rPr>
                  </w:pPr>
                  <w:r w:rsidRPr="001147D3">
                    <w:rPr>
                      <w:rFonts w:ascii="Arial" w:hAnsi="Arial" w:cs="Arial"/>
                      <w:sz w:val="20"/>
                      <w:szCs w:val="20"/>
                    </w:rPr>
                    <w:t>27</w:t>
                  </w:r>
                </w:p>
              </w:tc>
              <w:tc>
                <w:tcPr>
                  <w:tcW w:w="0" w:type="auto"/>
                  <w:vAlign w:val="center"/>
                  <w:hideMark/>
                </w:tcPr>
                <w:p w14:paraId="31A38BDB" w14:textId="77777777" w:rsidR="001E3E0B" w:rsidRPr="001147D3" w:rsidRDefault="001E3E0B" w:rsidP="001147D3">
                  <w:pPr>
                    <w:spacing w:line="240" w:lineRule="auto"/>
                    <w:jc w:val="center"/>
                    <w:rPr>
                      <w:rFonts w:ascii="Arial" w:hAnsi="Arial" w:cs="Arial"/>
                      <w:sz w:val="20"/>
                      <w:szCs w:val="20"/>
                    </w:rPr>
                  </w:pPr>
                  <w:r w:rsidRPr="001147D3">
                    <w:rPr>
                      <w:rFonts w:ascii="Arial" w:hAnsi="Arial" w:cs="Arial"/>
                      <w:sz w:val="20"/>
                      <w:szCs w:val="20"/>
                    </w:rPr>
                    <w:t>54%</w:t>
                  </w:r>
                </w:p>
              </w:tc>
            </w:tr>
            <w:tr w:rsidR="001E3E0B" w:rsidRPr="001147D3" w14:paraId="12A40641" w14:textId="77777777" w:rsidTr="00C56BA9">
              <w:trPr>
                <w:tblCellSpacing w:w="15" w:type="dxa"/>
              </w:trPr>
              <w:tc>
                <w:tcPr>
                  <w:tcW w:w="0" w:type="auto"/>
                  <w:vAlign w:val="center"/>
                  <w:hideMark/>
                </w:tcPr>
                <w:p w14:paraId="2DF6FE69" w14:textId="77777777" w:rsidR="001E3E0B" w:rsidRPr="001147D3" w:rsidRDefault="001E3E0B" w:rsidP="001147D3">
                  <w:pPr>
                    <w:spacing w:line="240" w:lineRule="auto"/>
                    <w:jc w:val="center"/>
                    <w:rPr>
                      <w:rFonts w:ascii="Arial" w:hAnsi="Arial" w:cs="Arial"/>
                      <w:sz w:val="20"/>
                      <w:szCs w:val="20"/>
                    </w:rPr>
                  </w:pPr>
                  <w:r w:rsidRPr="001147D3">
                    <w:rPr>
                      <w:rFonts w:ascii="Arial" w:hAnsi="Arial" w:cs="Arial"/>
                      <w:b/>
                      <w:bCs/>
                      <w:sz w:val="20"/>
                      <w:szCs w:val="20"/>
                    </w:rPr>
                    <w:t>Non-Users (Intend to Adopt)</w:t>
                  </w:r>
                </w:p>
              </w:tc>
              <w:tc>
                <w:tcPr>
                  <w:tcW w:w="0" w:type="auto"/>
                  <w:vAlign w:val="center"/>
                  <w:hideMark/>
                </w:tcPr>
                <w:p w14:paraId="778AC461" w14:textId="77777777" w:rsidR="001E3E0B" w:rsidRPr="001147D3" w:rsidRDefault="001E3E0B" w:rsidP="001147D3">
                  <w:pPr>
                    <w:spacing w:line="240" w:lineRule="auto"/>
                    <w:jc w:val="center"/>
                    <w:rPr>
                      <w:rFonts w:ascii="Arial" w:hAnsi="Arial" w:cs="Arial"/>
                      <w:sz w:val="20"/>
                      <w:szCs w:val="20"/>
                    </w:rPr>
                  </w:pPr>
                  <w:r w:rsidRPr="001147D3">
                    <w:rPr>
                      <w:rFonts w:ascii="Arial" w:hAnsi="Arial" w:cs="Arial"/>
                      <w:sz w:val="20"/>
                      <w:szCs w:val="20"/>
                    </w:rPr>
                    <w:t>18</w:t>
                  </w:r>
                </w:p>
              </w:tc>
              <w:tc>
                <w:tcPr>
                  <w:tcW w:w="0" w:type="auto"/>
                  <w:vAlign w:val="center"/>
                  <w:hideMark/>
                </w:tcPr>
                <w:p w14:paraId="219CACF5" w14:textId="77777777" w:rsidR="001E3E0B" w:rsidRPr="001147D3" w:rsidRDefault="001E3E0B" w:rsidP="001147D3">
                  <w:pPr>
                    <w:spacing w:line="240" w:lineRule="auto"/>
                    <w:jc w:val="center"/>
                    <w:rPr>
                      <w:rFonts w:ascii="Arial" w:hAnsi="Arial" w:cs="Arial"/>
                      <w:sz w:val="20"/>
                      <w:szCs w:val="20"/>
                    </w:rPr>
                  </w:pPr>
                  <w:r w:rsidRPr="001147D3">
                    <w:rPr>
                      <w:rFonts w:ascii="Arial" w:hAnsi="Arial" w:cs="Arial"/>
                      <w:sz w:val="20"/>
                      <w:szCs w:val="20"/>
                    </w:rPr>
                    <w:t>36%</w:t>
                  </w:r>
                </w:p>
              </w:tc>
            </w:tr>
            <w:tr w:rsidR="001E3E0B" w:rsidRPr="001147D3" w14:paraId="5923AA92" w14:textId="77777777" w:rsidTr="00C56BA9">
              <w:trPr>
                <w:tblCellSpacing w:w="15" w:type="dxa"/>
              </w:trPr>
              <w:tc>
                <w:tcPr>
                  <w:tcW w:w="0" w:type="auto"/>
                  <w:vAlign w:val="center"/>
                  <w:hideMark/>
                </w:tcPr>
                <w:p w14:paraId="39909786" w14:textId="77777777" w:rsidR="001E3E0B" w:rsidRPr="001147D3" w:rsidRDefault="001E3E0B" w:rsidP="001147D3">
                  <w:pPr>
                    <w:spacing w:line="240" w:lineRule="auto"/>
                    <w:jc w:val="center"/>
                    <w:rPr>
                      <w:rFonts w:ascii="Arial" w:hAnsi="Arial" w:cs="Arial"/>
                      <w:sz w:val="20"/>
                      <w:szCs w:val="20"/>
                    </w:rPr>
                  </w:pPr>
                  <w:r w:rsidRPr="001147D3">
                    <w:rPr>
                      <w:rFonts w:ascii="Arial" w:hAnsi="Arial" w:cs="Arial"/>
                      <w:b/>
                      <w:bCs/>
                      <w:sz w:val="20"/>
                      <w:szCs w:val="20"/>
                    </w:rPr>
                    <w:t>Non-Users (Do Not Intend to Adopt)</w:t>
                  </w:r>
                </w:p>
              </w:tc>
              <w:tc>
                <w:tcPr>
                  <w:tcW w:w="0" w:type="auto"/>
                  <w:vAlign w:val="center"/>
                  <w:hideMark/>
                </w:tcPr>
                <w:p w14:paraId="7B11B416" w14:textId="77777777" w:rsidR="001E3E0B" w:rsidRPr="001147D3" w:rsidRDefault="001E3E0B" w:rsidP="001147D3">
                  <w:pPr>
                    <w:spacing w:line="240" w:lineRule="auto"/>
                    <w:jc w:val="center"/>
                    <w:rPr>
                      <w:rFonts w:ascii="Arial" w:hAnsi="Arial" w:cs="Arial"/>
                      <w:sz w:val="20"/>
                      <w:szCs w:val="20"/>
                    </w:rPr>
                  </w:pPr>
                  <w:r w:rsidRPr="001147D3">
                    <w:rPr>
                      <w:rFonts w:ascii="Arial" w:hAnsi="Arial" w:cs="Arial"/>
                      <w:sz w:val="20"/>
                      <w:szCs w:val="20"/>
                    </w:rPr>
                    <w:t>5</w:t>
                  </w:r>
                </w:p>
              </w:tc>
              <w:tc>
                <w:tcPr>
                  <w:tcW w:w="0" w:type="auto"/>
                  <w:vAlign w:val="center"/>
                  <w:hideMark/>
                </w:tcPr>
                <w:p w14:paraId="7136A9F9" w14:textId="77777777" w:rsidR="001E3E0B" w:rsidRPr="001147D3" w:rsidRDefault="001E3E0B" w:rsidP="001147D3">
                  <w:pPr>
                    <w:spacing w:line="240" w:lineRule="auto"/>
                    <w:jc w:val="center"/>
                    <w:rPr>
                      <w:rFonts w:ascii="Arial" w:hAnsi="Arial" w:cs="Arial"/>
                      <w:sz w:val="20"/>
                      <w:szCs w:val="20"/>
                    </w:rPr>
                  </w:pPr>
                  <w:r w:rsidRPr="001147D3">
                    <w:rPr>
                      <w:rFonts w:ascii="Arial" w:hAnsi="Arial" w:cs="Arial"/>
                      <w:sz w:val="20"/>
                      <w:szCs w:val="20"/>
                    </w:rPr>
                    <w:t>10%</w:t>
                  </w:r>
                </w:p>
              </w:tc>
            </w:tr>
          </w:tbl>
          <w:p w14:paraId="48537948" w14:textId="77777777" w:rsidR="001E3E0B" w:rsidRPr="001147D3" w:rsidRDefault="001E3E0B" w:rsidP="001147D3">
            <w:pPr>
              <w:rPr>
                <w:rFonts w:ascii="Arial" w:hAnsi="Arial" w:cs="Arial"/>
                <w:sz w:val="20"/>
                <w:szCs w:val="20"/>
              </w:rPr>
            </w:pPr>
          </w:p>
        </w:tc>
      </w:tr>
    </w:tbl>
    <w:p w14:paraId="263EDBC9" w14:textId="77777777" w:rsidR="001E3E0B" w:rsidRPr="001147D3" w:rsidRDefault="001E3E0B" w:rsidP="001147D3">
      <w:pPr>
        <w:spacing w:line="240" w:lineRule="auto"/>
        <w:rPr>
          <w:rFonts w:ascii="Arial" w:hAnsi="Arial" w:cs="Arial"/>
          <w:sz w:val="20"/>
          <w:szCs w:val="20"/>
        </w:rPr>
      </w:pPr>
    </w:p>
    <w:p w14:paraId="54826A43" w14:textId="77777777" w:rsidR="0044083F" w:rsidRPr="001147D3" w:rsidRDefault="0044083F" w:rsidP="001147D3">
      <w:pPr>
        <w:spacing w:line="240" w:lineRule="auto"/>
        <w:rPr>
          <w:rFonts w:ascii="Arial" w:hAnsi="Arial" w:cs="Arial"/>
          <w:sz w:val="20"/>
          <w:szCs w:val="20"/>
        </w:rPr>
      </w:pPr>
      <w:r w:rsidRPr="001147D3">
        <w:rPr>
          <w:rFonts w:ascii="Arial" w:hAnsi="Arial" w:cs="Arial"/>
          <w:sz w:val="20"/>
          <w:szCs w:val="20"/>
        </w:rPr>
        <w:t xml:space="preserve">54% of respondents said they had used FinTech services, despite risk concerns.  According to these results, FinTech services have a moderate level of penetration, but there is still a lot of space for expansion. Digital wallets and mobile money platforms, which are being utilized more and more for routine financial operations like bill payment and money transfers, were the most popular services among consumers. According to study by </w:t>
      </w:r>
      <w:r w:rsidR="00BC6413" w:rsidRPr="001147D3">
        <w:rPr>
          <w:rFonts w:ascii="Arial" w:hAnsi="Arial" w:cs="Arial"/>
          <w:noProof/>
          <w:sz w:val="20"/>
          <w:szCs w:val="20"/>
        </w:rPr>
        <w:t>Ogunode &amp; Akintoye (2023)</w:t>
      </w:r>
      <w:r w:rsidRPr="001147D3">
        <w:rPr>
          <w:rFonts w:ascii="Arial" w:hAnsi="Arial" w:cs="Arial"/>
          <w:sz w:val="20"/>
          <w:szCs w:val="20"/>
        </w:rPr>
        <w:t>, mobile money is especially well-liked in areas with little access to conventional banking facilities.</w:t>
      </w:r>
    </w:p>
    <w:p w14:paraId="2A3367AE" w14:textId="77777777" w:rsidR="0044083F" w:rsidRDefault="0044083F" w:rsidP="001147D3">
      <w:pPr>
        <w:spacing w:line="240" w:lineRule="auto"/>
        <w:rPr>
          <w:rFonts w:ascii="Arial" w:hAnsi="Arial" w:cs="Arial"/>
          <w:sz w:val="20"/>
          <w:szCs w:val="20"/>
        </w:rPr>
      </w:pPr>
      <w:r w:rsidRPr="001147D3">
        <w:rPr>
          <w:rFonts w:ascii="Arial" w:hAnsi="Arial" w:cs="Arial"/>
          <w:sz w:val="20"/>
          <w:szCs w:val="20"/>
        </w:rPr>
        <w:t xml:space="preserve">Intention to Adopt: If they were given greater guarantees regarding the security and dependability of these platforms, 35% of the non-users said they would be interested in utilizing FinTech services in the future. By addressing customer concerns about security and trust, FinTech companies have a potential chance to grow their user base. According to </w:t>
      </w:r>
      <w:r w:rsidR="00BC6413" w:rsidRPr="001147D3">
        <w:rPr>
          <w:rFonts w:ascii="Arial" w:hAnsi="Arial" w:cs="Arial"/>
          <w:noProof/>
          <w:sz w:val="20"/>
          <w:szCs w:val="20"/>
        </w:rPr>
        <w:t>Okoh et al. (2025)</w:t>
      </w:r>
      <w:r w:rsidRPr="001147D3">
        <w:rPr>
          <w:rFonts w:ascii="Arial" w:hAnsi="Arial" w:cs="Arial"/>
          <w:sz w:val="20"/>
          <w:szCs w:val="20"/>
        </w:rPr>
        <w:t>, raising customer awareness and improving the perceived security of FinTech services can greatly increase adoption rates.</w:t>
      </w:r>
    </w:p>
    <w:p w14:paraId="24E5D09C" w14:textId="37B78E70" w:rsidR="00702A17" w:rsidRPr="001147D3" w:rsidRDefault="00702A17" w:rsidP="001147D3">
      <w:pPr>
        <w:spacing w:line="240" w:lineRule="auto"/>
        <w:rPr>
          <w:rFonts w:ascii="Arial" w:hAnsi="Arial" w:cs="Arial"/>
          <w:sz w:val="20"/>
          <w:szCs w:val="20"/>
        </w:rPr>
      </w:pPr>
      <w:r>
        <w:rPr>
          <w:rFonts w:ascii="Arial" w:hAnsi="Arial" w:cs="Arial"/>
          <w:sz w:val="20"/>
          <w:szCs w:val="20"/>
        </w:rPr>
        <w:t xml:space="preserve">Table 4 : </w:t>
      </w:r>
      <w:r w:rsidR="000F1F04" w:rsidRPr="000F1F04">
        <w:rPr>
          <w:rFonts w:ascii="Arial" w:hAnsi="Arial" w:cs="Arial"/>
          <w:b/>
          <w:bCs/>
          <w:sz w:val="20"/>
          <w:szCs w:val="20"/>
        </w:rPr>
        <w:t>Risk Perception of FinTech services</w:t>
      </w:r>
      <w:r w:rsidR="000F1F04" w:rsidRPr="000F1F04">
        <w:rPr>
          <w:rFonts w:ascii="Arial" w:hAnsi="Arial" w:cs="Arial"/>
          <w:sz w:val="20"/>
          <w:szCs w:val="20"/>
        </w:rPr>
        <w:t xml:space="preserve"> </w:t>
      </w:r>
    </w:p>
    <w:tbl>
      <w:tblPr>
        <w:tblStyle w:val="TableGrid"/>
        <w:tblW w:w="0" w:type="auto"/>
        <w:tblLook w:val="04A0" w:firstRow="1" w:lastRow="0" w:firstColumn="1" w:lastColumn="0" w:noHBand="0" w:noVBand="1"/>
      </w:tblPr>
      <w:tblGrid>
        <w:gridCol w:w="9576"/>
      </w:tblGrid>
      <w:tr w:rsidR="001E3E0B" w:rsidRPr="001147D3" w14:paraId="105219EB" w14:textId="77777777" w:rsidTr="001E3E0B">
        <w:tc>
          <w:tcPr>
            <w:tcW w:w="9576" w:type="dxa"/>
          </w:tcPr>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2121"/>
              <w:gridCol w:w="2483"/>
              <w:gridCol w:w="776"/>
            </w:tblGrid>
            <w:tr w:rsidR="001E3E0B" w:rsidRPr="001147D3" w14:paraId="73B80FA1" w14:textId="77777777" w:rsidTr="001E3E0B">
              <w:trPr>
                <w:tblHeader/>
                <w:tblCellSpacing w:w="15" w:type="dxa"/>
                <w:jc w:val="center"/>
              </w:trPr>
              <w:tc>
                <w:tcPr>
                  <w:tcW w:w="0" w:type="auto"/>
                  <w:vAlign w:val="center"/>
                  <w:hideMark/>
                </w:tcPr>
                <w:p w14:paraId="111D41CD" w14:textId="77777777" w:rsidR="001E3E0B" w:rsidRPr="001147D3" w:rsidRDefault="001E3E0B" w:rsidP="001147D3">
                  <w:pPr>
                    <w:spacing w:line="240" w:lineRule="auto"/>
                    <w:rPr>
                      <w:rFonts w:ascii="Arial" w:hAnsi="Arial" w:cs="Arial"/>
                      <w:b/>
                      <w:bCs/>
                      <w:sz w:val="20"/>
                      <w:szCs w:val="20"/>
                    </w:rPr>
                  </w:pPr>
                  <w:r w:rsidRPr="001147D3">
                    <w:rPr>
                      <w:rFonts w:ascii="Arial" w:hAnsi="Arial" w:cs="Arial"/>
                      <w:b/>
                      <w:bCs/>
                      <w:sz w:val="20"/>
                      <w:szCs w:val="20"/>
                    </w:rPr>
                    <w:t>Risk Perception</w:t>
                  </w:r>
                </w:p>
              </w:tc>
              <w:tc>
                <w:tcPr>
                  <w:tcW w:w="0" w:type="auto"/>
                  <w:vAlign w:val="center"/>
                  <w:hideMark/>
                </w:tcPr>
                <w:p w14:paraId="2A7202CE" w14:textId="77777777" w:rsidR="001E3E0B" w:rsidRPr="001147D3" w:rsidRDefault="001E3E0B" w:rsidP="001147D3">
                  <w:pPr>
                    <w:spacing w:line="240" w:lineRule="auto"/>
                    <w:rPr>
                      <w:rFonts w:ascii="Arial" w:hAnsi="Arial" w:cs="Arial"/>
                      <w:b/>
                      <w:bCs/>
                      <w:sz w:val="20"/>
                      <w:szCs w:val="20"/>
                    </w:rPr>
                  </w:pPr>
                  <w:r w:rsidRPr="001147D3">
                    <w:rPr>
                      <w:rFonts w:ascii="Arial" w:hAnsi="Arial" w:cs="Arial"/>
                      <w:b/>
                      <w:bCs/>
                      <w:sz w:val="20"/>
                      <w:szCs w:val="20"/>
                    </w:rPr>
                    <w:t>Correlation Coefficient (r)</w:t>
                  </w:r>
                </w:p>
              </w:tc>
              <w:tc>
                <w:tcPr>
                  <w:tcW w:w="0" w:type="auto"/>
                  <w:vAlign w:val="center"/>
                  <w:hideMark/>
                </w:tcPr>
                <w:p w14:paraId="72E26E8D" w14:textId="77777777" w:rsidR="001E3E0B" w:rsidRPr="001147D3" w:rsidRDefault="001E3E0B" w:rsidP="001147D3">
                  <w:pPr>
                    <w:spacing w:line="240" w:lineRule="auto"/>
                    <w:rPr>
                      <w:rFonts w:ascii="Arial" w:hAnsi="Arial" w:cs="Arial"/>
                      <w:b/>
                      <w:bCs/>
                      <w:sz w:val="20"/>
                      <w:szCs w:val="20"/>
                    </w:rPr>
                  </w:pPr>
                  <w:r w:rsidRPr="001147D3">
                    <w:rPr>
                      <w:rFonts w:ascii="Arial" w:hAnsi="Arial" w:cs="Arial"/>
                      <w:b/>
                      <w:bCs/>
                      <w:sz w:val="20"/>
                      <w:szCs w:val="20"/>
                    </w:rPr>
                    <w:t>p-value</w:t>
                  </w:r>
                </w:p>
              </w:tc>
            </w:tr>
            <w:tr w:rsidR="001E3E0B" w:rsidRPr="001147D3" w14:paraId="476A6546" w14:textId="77777777" w:rsidTr="001E3E0B">
              <w:trPr>
                <w:tblCellSpacing w:w="15" w:type="dxa"/>
                <w:jc w:val="center"/>
              </w:trPr>
              <w:tc>
                <w:tcPr>
                  <w:tcW w:w="0" w:type="auto"/>
                  <w:vAlign w:val="center"/>
                  <w:hideMark/>
                </w:tcPr>
                <w:p w14:paraId="773C8FCB" w14:textId="77777777" w:rsidR="001E3E0B" w:rsidRPr="001147D3" w:rsidRDefault="001E3E0B" w:rsidP="001147D3">
                  <w:pPr>
                    <w:spacing w:line="240" w:lineRule="auto"/>
                    <w:rPr>
                      <w:rFonts w:ascii="Arial" w:hAnsi="Arial" w:cs="Arial"/>
                      <w:sz w:val="20"/>
                      <w:szCs w:val="20"/>
                    </w:rPr>
                  </w:pPr>
                  <w:r w:rsidRPr="001147D3">
                    <w:rPr>
                      <w:rFonts w:ascii="Arial" w:hAnsi="Arial" w:cs="Arial"/>
                      <w:b/>
                      <w:bCs/>
                      <w:sz w:val="20"/>
                      <w:szCs w:val="20"/>
                    </w:rPr>
                    <w:t>Fear of Bankruptcy</w:t>
                  </w:r>
                </w:p>
              </w:tc>
              <w:tc>
                <w:tcPr>
                  <w:tcW w:w="0" w:type="auto"/>
                  <w:vAlign w:val="center"/>
                  <w:hideMark/>
                </w:tcPr>
                <w:p w14:paraId="696545C5" w14:textId="77777777" w:rsidR="001E3E0B" w:rsidRPr="001147D3" w:rsidRDefault="001E3E0B" w:rsidP="001147D3">
                  <w:pPr>
                    <w:spacing w:line="240" w:lineRule="auto"/>
                    <w:rPr>
                      <w:rFonts w:ascii="Arial" w:hAnsi="Arial" w:cs="Arial"/>
                      <w:sz w:val="20"/>
                      <w:szCs w:val="20"/>
                    </w:rPr>
                  </w:pPr>
                  <w:r w:rsidRPr="001147D3">
                    <w:rPr>
                      <w:rFonts w:ascii="Arial" w:hAnsi="Arial" w:cs="Arial"/>
                      <w:sz w:val="20"/>
                      <w:szCs w:val="20"/>
                    </w:rPr>
                    <w:t>-0.62</w:t>
                  </w:r>
                </w:p>
              </w:tc>
              <w:tc>
                <w:tcPr>
                  <w:tcW w:w="0" w:type="auto"/>
                  <w:vAlign w:val="center"/>
                  <w:hideMark/>
                </w:tcPr>
                <w:p w14:paraId="6D328D7A" w14:textId="77777777" w:rsidR="001E3E0B" w:rsidRPr="001147D3" w:rsidRDefault="001E3E0B" w:rsidP="001147D3">
                  <w:pPr>
                    <w:spacing w:line="240" w:lineRule="auto"/>
                    <w:rPr>
                      <w:rFonts w:ascii="Arial" w:hAnsi="Arial" w:cs="Arial"/>
                      <w:sz w:val="20"/>
                      <w:szCs w:val="20"/>
                    </w:rPr>
                  </w:pPr>
                  <w:r w:rsidRPr="001147D3">
                    <w:rPr>
                      <w:rFonts w:ascii="Arial" w:hAnsi="Arial" w:cs="Arial"/>
                      <w:sz w:val="20"/>
                      <w:szCs w:val="20"/>
                    </w:rPr>
                    <w:t>&lt;0.05</w:t>
                  </w:r>
                </w:p>
              </w:tc>
            </w:tr>
            <w:tr w:rsidR="001E3E0B" w:rsidRPr="001147D3" w14:paraId="0FE06D65" w14:textId="77777777" w:rsidTr="001E3E0B">
              <w:trPr>
                <w:tblCellSpacing w:w="15" w:type="dxa"/>
                <w:jc w:val="center"/>
              </w:trPr>
              <w:tc>
                <w:tcPr>
                  <w:tcW w:w="0" w:type="auto"/>
                  <w:vAlign w:val="center"/>
                  <w:hideMark/>
                </w:tcPr>
                <w:p w14:paraId="57BC1442" w14:textId="77777777" w:rsidR="001E3E0B" w:rsidRPr="001147D3" w:rsidRDefault="001E3E0B" w:rsidP="001147D3">
                  <w:pPr>
                    <w:spacing w:line="240" w:lineRule="auto"/>
                    <w:rPr>
                      <w:rFonts w:ascii="Arial" w:hAnsi="Arial" w:cs="Arial"/>
                      <w:sz w:val="20"/>
                      <w:szCs w:val="20"/>
                    </w:rPr>
                  </w:pPr>
                  <w:r w:rsidRPr="001147D3">
                    <w:rPr>
                      <w:rFonts w:ascii="Arial" w:hAnsi="Arial" w:cs="Arial"/>
                      <w:b/>
                      <w:bCs/>
                      <w:sz w:val="20"/>
                      <w:szCs w:val="20"/>
                    </w:rPr>
                    <w:t>Fear of Online Scams</w:t>
                  </w:r>
                </w:p>
              </w:tc>
              <w:tc>
                <w:tcPr>
                  <w:tcW w:w="0" w:type="auto"/>
                  <w:vAlign w:val="center"/>
                  <w:hideMark/>
                </w:tcPr>
                <w:p w14:paraId="6561FC0B" w14:textId="77777777" w:rsidR="001E3E0B" w:rsidRPr="001147D3" w:rsidRDefault="001E3E0B" w:rsidP="001147D3">
                  <w:pPr>
                    <w:spacing w:line="240" w:lineRule="auto"/>
                    <w:rPr>
                      <w:rFonts w:ascii="Arial" w:hAnsi="Arial" w:cs="Arial"/>
                      <w:sz w:val="20"/>
                      <w:szCs w:val="20"/>
                    </w:rPr>
                  </w:pPr>
                  <w:r w:rsidRPr="001147D3">
                    <w:rPr>
                      <w:rFonts w:ascii="Arial" w:hAnsi="Arial" w:cs="Arial"/>
                      <w:sz w:val="20"/>
                      <w:szCs w:val="20"/>
                    </w:rPr>
                    <w:t>-0.58</w:t>
                  </w:r>
                </w:p>
              </w:tc>
              <w:tc>
                <w:tcPr>
                  <w:tcW w:w="0" w:type="auto"/>
                  <w:vAlign w:val="center"/>
                  <w:hideMark/>
                </w:tcPr>
                <w:p w14:paraId="7B0F2A8D" w14:textId="77777777" w:rsidR="001E3E0B" w:rsidRPr="001147D3" w:rsidRDefault="001E3E0B" w:rsidP="001147D3">
                  <w:pPr>
                    <w:spacing w:line="240" w:lineRule="auto"/>
                    <w:rPr>
                      <w:rFonts w:ascii="Arial" w:hAnsi="Arial" w:cs="Arial"/>
                      <w:sz w:val="20"/>
                      <w:szCs w:val="20"/>
                    </w:rPr>
                  </w:pPr>
                  <w:r w:rsidRPr="001147D3">
                    <w:rPr>
                      <w:rFonts w:ascii="Arial" w:hAnsi="Arial" w:cs="Arial"/>
                      <w:sz w:val="20"/>
                      <w:szCs w:val="20"/>
                    </w:rPr>
                    <w:t>&lt;0.05</w:t>
                  </w:r>
                </w:p>
              </w:tc>
            </w:tr>
          </w:tbl>
          <w:p w14:paraId="2FD16D12" w14:textId="77777777" w:rsidR="001E3E0B" w:rsidRPr="001147D3" w:rsidRDefault="001E3E0B" w:rsidP="001147D3">
            <w:pPr>
              <w:rPr>
                <w:rFonts w:ascii="Arial" w:hAnsi="Arial" w:cs="Arial"/>
                <w:sz w:val="20"/>
                <w:szCs w:val="20"/>
              </w:rPr>
            </w:pPr>
          </w:p>
        </w:tc>
      </w:tr>
    </w:tbl>
    <w:p w14:paraId="38B8FFB3" w14:textId="77777777" w:rsidR="001E3E0B" w:rsidRPr="001147D3" w:rsidRDefault="001E3E0B" w:rsidP="001147D3">
      <w:pPr>
        <w:spacing w:line="240" w:lineRule="auto"/>
        <w:rPr>
          <w:rFonts w:ascii="Arial" w:hAnsi="Arial" w:cs="Arial"/>
          <w:sz w:val="20"/>
          <w:szCs w:val="20"/>
        </w:rPr>
      </w:pPr>
    </w:p>
    <w:p w14:paraId="2C3639C4" w14:textId="77777777" w:rsidR="0044083F" w:rsidRPr="001147D3" w:rsidRDefault="0044083F" w:rsidP="001147D3">
      <w:pPr>
        <w:spacing w:line="240" w:lineRule="auto"/>
        <w:rPr>
          <w:rFonts w:ascii="Arial" w:hAnsi="Arial" w:cs="Arial"/>
          <w:sz w:val="20"/>
          <w:szCs w:val="20"/>
        </w:rPr>
      </w:pPr>
      <w:r w:rsidRPr="001147D3">
        <w:rPr>
          <w:rFonts w:ascii="Arial" w:hAnsi="Arial" w:cs="Arial"/>
          <w:sz w:val="20"/>
          <w:szCs w:val="20"/>
        </w:rPr>
        <w:t xml:space="preserve">Adoption of FinTech services is negatively correlated with fear of bankruptcy (r = -0.62), indicating that adoption is less likely as fear of financial loss rises. Similarly, increased concerns about fraud lower the </w:t>
      </w:r>
      <w:r w:rsidRPr="001147D3">
        <w:rPr>
          <w:rFonts w:ascii="Arial" w:hAnsi="Arial" w:cs="Arial"/>
          <w:sz w:val="20"/>
          <w:szCs w:val="20"/>
        </w:rPr>
        <w:lastRenderedPageBreak/>
        <w:t xml:space="preserve">likelihood of using FinTech services, according to the link between adoption and fear of online scams (r = -0.58). The findings of </w:t>
      </w:r>
      <w:r w:rsidR="00BC6413" w:rsidRPr="001147D3">
        <w:rPr>
          <w:rFonts w:ascii="Arial" w:hAnsi="Arial" w:cs="Arial"/>
          <w:noProof/>
          <w:sz w:val="20"/>
          <w:szCs w:val="20"/>
        </w:rPr>
        <w:t>Aldboush &amp; Ferdous (2023)</w:t>
      </w:r>
      <w:r w:rsidRPr="001147D3">
        <w:rPr>
          <w:rFonts w:ascii="Arial" w:hAnsi="Arial" w:cs="Arial"/>
          <w:sz w:val="20"/>
          <w:szCs w:val="20"/>
        </w:rPr>
        <w:t>, who highlighted that risk perception is a crucial factor in the adoption of financial innovations, are consistent with these findings.</w:t>
      </w:r>
    </w:p>
    <w:p w14:paraId="3752CF79" w14:textId="77777777" w:rsidR="0044083F" w:rsidRPr="001147D3" w:rsidRDefault="0044083F" w:rsidP="001147D3">
      <w:pPr>
        <w:spacing w:line="240" w:lineRule="auto"/>
        <w:rPr>
          <w:rFonts w:ascii="Arial" w:hAnsi="Arial" w:cs="Arial"/>
          <w:b/>
          <w:sz w:val="20"/>
          <w:szCs w:val="20"/>
        </w:rPr>
      </w:pPr>
      <w:r w:rsidRPr="001147D3">
        <w:rPr>
          <w:rFonts w:ascii="Arial" w:hAnsi="Arial" w:cs="Arial"/>
          <w:b/>
          <w:sz w:val="20"/>
          <w:szCs w:val="20"/>
        </w:rPr>
        <w:t>Trust as a Mediator Between Risk Perception and FinTech Adoption</w:t>
      </w:r>
    </w:p>
    <w:p w14:paraId="7EEE226E" w14:textId="77777777" w:rsidR="00777356" w:rsidRPr="001147D3" w:rsidRDefault="00777356" w:rsidP="001147D3">
      <w:pPr>
        <w:spacing w:line="240" w:lineRule="auto"/>
        <w:rPr>
          <w:rFonts w:ascii="Arial" w:hAnsi="Arial" w:cs="Arial"/>
          <w:sz w:val="20"/>
          <w:szCs w:val="20"/>
        </w:rPr>
      </w:pPr>
      <w:r w:rsidRPr="001147D3">
        <w:rPr>
          <w:rFonts w:ascii="Arial" w:hAnsi="Arial" w:cs="Arial"/>
          <w:sz w:val="20"/>
          <w:szCs w:val="20"/>
        </w:rPr>
        <w:t>The association between risk perception and adoption is mediated by faith in the security and dependability of FinTech services, according to another research employing regression analysis. The model demonstrated that the detrimental effects of online fraud and bankruptcy anxiety on adoption decreased as confidence in FinTech services grew. This emphasizes how crucial it is to increase confidence in FinTech platforms in order to get past the obstacles presented by perceived dangers.</w:t>
      </w:r>
    </w:p>
    <w:p w14:paraId="10ABCF20" w14:textId="77777777" w:rsidR="0044083F" w:rsidRDefault="00777356" w:rsidP="001147D3">
      <w:pPr>
        <w:spacing w:line="240" w:lineRule="auto"/>
        <w:rPr>
          <w:rFonts w:ascii="Arial" w:hAnsi="Arial" w:cs="Arial"/>
          <w:sz w:val="20"/>
          <w:szCs w:val="20"/>
        </w:rPr>
      </w:pPr>
      <w:r w:rsidRPr="001147D3">
        <w:rPr>
          <w:rFonts w:ascii="Arial" w:hAnsi="Arial" w:cs="Arial"/>
          <w:sz w:val="20"/>
          <w:szCs w:val="20"/>
        </w:rPr>
        <w:t xml:space="preserve">The Technology Acceptance Model (TAM), which contends that users' acceptance of new technologies is influenced by perceived usefulness (in this case, trust) and simplicity of use, lends credence to this conclusion </w:t>
      </w:r>
      <w:sdt>
        <w:sdtPr>
          <w:rPr>
            <w:rFonts w:ascii="Arial" w:hAnsi="Arial" w:cs="Arial"/>
            <w:sz w:val="20"/>
            <w:szCs w:val="20"/>
          </w:rPr>
          <w:id w:val="828571783"/>
          <w:citation/>
        </w:sdtPr>
        <w:sdtEndPr/>
        <w:sdtContent>
          <w:r w:rsidR="00BC6413" w:rsidRPr="001147D3">
            <w:rPr>
              <w:rFonts w:ascii="Arial" w:hAnsi="Arial" w:cs="Arial"/>
              <w:sz w:val="20"/>
              <w:szCs w:val="20"/>
            </w:rPr>
            <w:fldChar w:fldCharType="begin"/>
          </w:r>
          <w:r w:rsidR="00BC6413" w:rsidRPr="001147D3">
            <w:rPr>
              <w:rFonts w:ascii="Arial" w:hAnsi="Arial" w:cs="Arial"/>
              <w:sz w:val="20"/>
              <w:szCs w:val="20"/>
            </w:rPr>
            <w:instrText xml:space="preserve"> CITATION Dav891 \l 1033 </w:instrText>
          </w:r>
          <w:r w:rsidR="00BC6413" w:rsidRPr="001147D3">
            <w:rPr>
              <w:rFonts w:ascii="Arial" w:hAnsi="Arial" w:cs="Arial"/>
              <w:sz w:val="20"/>
              <w:szCs w:val="20"/>
            </w:rPr>
            <w:fldChar w:fldCharType="separate"/>
          </w:r>
          <w:r w:rsidR="00BC6413" w:rsidRPr="001147D3">
            <w:rPr>
              <w:rFonts w:ascii="Arial" w:hAnsi="Arial" w:cs="Arial"/>
              <w:noProof/>
              <w:sz w:val="20"/>
              <w:szCs w:val="20"/>
            </w:rPr>
            <w:t>(Davis, 1989)</w:t>
          </w:r>
          <w:r w:rsidR="00BC6413" w:rsidRPr="001147D3">
            <w:rPr>
              <w:rFonts w:ascii="Arial" w:hAnsi="Arial" w:cs="Arial"/>
              <w:sz w:val="20"/>
              <w:szCs w:val="20"/>
            </w:rPr>
            <w:fldChar w:fldCharType="end"/>
          </w:r>
        </w:sdtContent>
      </w:sdt>
      <w:r w:rsidRPr="001147D3">
        <w:rPr>
          <w:rFonts w:ascii="Arial" w:hAnsi="Arial" w:cs="Arial"/>
          <w:sz w:val="20"/>
          <w:szCs w:val="20"/>
        </w:rPr>
        <w:t>. The model suggests that even in situations where customers perceive large risks, increasing trust in FinTech services can greatly boost their adoption rates.</w:t>
      </w:r>
    </w:p>
    <w:p w14:paraId="096AE95A" w14:textId="0E7443CF" w:rsidR="001D219D" w:rsidRPr="001D219D" w:rsidRDefault="001D219D" w:rsidP="001147D3">
      <w:pPr>
        <w:spacing w:line="240" w:lineRule="auto"/>
        <w:rPr>
          <w:rFonts w:ascii="Arial" w:hAnsi="Arial" w:cs="Arial"/>
          <w:b/>
          <w:sz w:val="20"/>
          <w:szCs w:val="20"/>
        </w:rPr>
      </w:pPr>
      <w:r>
        <w:rPr>
          <w:rFonts w:ascii="Arial" w:hAnsi="Arial" w:cs="Arial"/>
          <w:sz w:val="20"/>
          <w:szCs w:val="20"/>
        </w:rPr>
        <w:t>Pea</w:t>
      </w:r>
      <w:r w:rsidRPr="001D219D">
        <w:rPr>
          <w:rFonts w:ascii="Arial" w:hAnsi="Arial" w:cs="Arial"/>
          <w:b/>
          <w:sz w:val="20"/>
          <w:szCs w:val="20"/>
        </w:rPr>
        <w:t>rson Correlation Analysis</w:t>
      </w:r>
    </w:p>
    <w:p w14:paraId="5B74FC74" w14:textId="15014C40" w:rsidR="001D219D" w:rsidRDefault="001D219D" w:rsidP="001D219D">
      <w:pPr>
        <w:spacing w:line="240" w:lineRule="auto"/>
        <w:rPr>
          <w:rFonts w:ascii="Arial" w:hAnsi="Arial" w:cs="Arial"/>
          <w:sz w:val="20"/>
          <w:szCs w:val="20"/>
        </w:rPr>
      </w:pPr>
      <w:r w:rsidRPr="001D219D">
        <w:rPr>
          <w:rFonts w:ascii="Arial" w:hAnsi="Arial" w:cs="Arial"/>
          <w:sz w:val="20"/>
          <w:szCs w:val="20"/>
        </w:rPr>
        <w:t>The degree and direction of the correlations between adoption levels, trust, fear of online scams, and fear of bankruptcy were assessed using</w:t>
      </w:r>
      <w:r>
        <w:rPr>
          <w:rFonts w:ascii="Arial" w:hAnsi="Arial" w:cs="Arial"/>
          <w:sz w:val="20"/>
          <w:szCs w:val="20"/>
        </w:rPr>
        <w:t xml:space="preserve"> Pearson Correlation Analysis. </w:t>
      </w:r>
      <w:r w:rsidRPr="001D219D">
        <w:rPr>
          <w:rFonts w:ascii="Arial" w:hAnsi="Arial" w:cs="Arial"/>
          <w:sz w:val="20"/>
          <w:szCs w:val="20"/>
        </w:rPr>
        <w:t>There was a positive correlation between adoption and trust (r = 0.65, p &lt; 0.05), but there were significant negative correlations between adoption and fear of scams (r = -0.58, p &lt; 0.05) and fear of bankruptcy (r = -0.62, p &lt; 0.05).</w:t>
      </w:r>
    </w:p>
    <w:p w14:paraId="14792430" w14:textId="0D016CAA" w:rsidR="001D219D" w:rsidRPr="001D219D" w:rsidRDefault="001D219D" w:rsidP="001D219D">
      <w:pPr>
        <w:spacing w:line="240" w:lineRule="auto"/>
        <w:rPr>
          <w:rFonts w:ascii="Arial" w:hAnsi="Arial" w:cs="Arial"/>
          <w:b/>
          <w:sz w:val="20"/>
          <w:szCs w:val="20"/>
        </w:rPr>
      </w:pPr>
      <w:r w:rsidRPr="001D219D">
        <w:rPr>
          <w:rFonts w:ascii="Arial" w:hAnsi="Arial" w:cs="Arial"/>
          <w:b/>
          <w:sz w:val="20"/>
          <w:szCs w:val="20"/>
        </w:rPr>
        <w:t>Regression Analysis</w:t>
      </w:r>
    </w:p>
    <w:p w14:paraId="3205CE6D" w14:textId="05F1488E" w:rsidR="001D219D" w:rsidRDefault="001D219D" w:rsidP="001D219D">
      <w:pPr>
        <w:spacing w:line="240" w:lineRule="auto"/>
        <w:rPr>
          <w:rFonts w:ascii="Arial" w:hAnsi="Arial" w:cs="Arial"/>
          <w:sz w:val="20"/>
          <w:szCs w:val="20"/>
        </w:rPr>
      </w:pPr>
      <w:r w:rsidRPr="001D219D">
        <w:rPr>
          <w:rFonts w:ascii="Arial" w:hAnsi="Arial" w:cs="Arial"/>
          <w:sz w:val="20"/>
          <w:szCs w:val="20"/>
        </w:rPr>
        <w:t>The mediating function of trust was tes</w:t>
      </w:r>
      <w:r>
        <w:rPr>
          <w:rFonts w:ascii="Arial" w:hAnsi="Arial" w:cs="Arial"/>
          <w:sz w:val="20"/>
          <w:szCs w:val="20"/>
        </w:rPr>
        <w:t xml:space="preserve">ted using regression analysis. </w:t>
      </w:r>
      <w:r w:rsidRPr="001D219D">
        <w:rPr>
          <w:rFonts w:ascii="Arial" w:hAnsi="Arial" w:cs="Arial"/>
          <w:sz w:val="20"/>
          <w:szCs w:val="20"/>
        </w:rPr>
        <w:t>According to the findings, trust accounted for 41% of the variation in adoption rates and greatly mitigated the detrimental impact of risk perception on adoption.</w:t>
      </w:r>
    </w:p>
    <w:p w14:paraId="2D436CE2" w14:textId="4AB20229" w:rsidR="001D219D" w:rsidRPr="001D219D" w:rsidRDefault="001D219D" w:rsidP="001D219D">
      <w:pPr>
        <w:spacing w:line="240" w:lineRule="auto"/>
        <w:rPr>
          <w:rFonts w:ascii="Arial" w:hAnsi="Arial" w:cs="Arial"/>
          <w:b/>
          <w:sz w:val="20"/>
          <w:szCs w:val="20"/>
        </w:rPr>
      </w:pPr>
      <w:r w:rsidRPr="001D219D">
        <w:rPr>
          <w:rFonts w:ascii="Arial" w:hAnsi="Arial" w:cs="Arial"/>
          <w:b/>
          <w:sz w:val="20"/>
          <w:szCs w:val="20"/>
        </w:rPr>
        <w:t>ANOVA (Analysis of Variance)</w:t>
      </w:r>
    </w:p>
    <w:p w14:paraId="23CCEEBC" w14:textId="48244AC8" w:rsidR="001D219D" w:rsidRDefault="001D219D" w:rsidP="001D219D">
      <w:pPr>
        <w:spacing w:line="240" w:lineRule="auto"/>
        <w:rPr>
          <w:rFonts w:ascii="Arial" w:hAnsi="Arial" w:cs="Arial"/>
          <w:sz w:val="20"/>
          <w:szCs w:val="20"/>
        </w:rPr>
      </w:pPr>
      <w:r w:rsidRPr="001D219D">
        <w:rPr>
          <w:rFonts w:ascii="Arial" w:hAnsi="Arial" w:cs="Arial"/>
          <w:sz w:val="20"/>
          <w:szCs w:val="20"/>
        </w:rPr>
        <w:t>To determine whether there were variations in risk perception and trust levels among demographic groups, an analysis</w:t>
      </w:r>
      <w:r>
        <w:rPr>
          <w:rFonts w:ascii="Arial" w:hAnsi="Arial" w:cs="Arial"/>
          <w:sz w:val="20"/>
          <w:szCs w:val="20"/>
        </w:rPr>
        <w:t xml:space="preserve"> of variance (ANOVA) was used. </w:t>
      </w:r>
      <w:r w:rsidRPr="001D219D">
        <w:rPr>
          <w:rFonts w:ascii="Arial" w:hAnsi="Arial" w:cs="Arial"/>
          <w:sz w:val="20"/>
          <w:szCs w:val="20"/>
        </w:rPr>
        <w:t>The findings showed that respondents 35 years of age and older reported higher levels of fear of bankruptcy, with significant variations in fear by age gro</w:t>
      </w:r>
      <w:r>
        <w:rPr>
          <w:rFonts w:ascii="Arial" w:hAnsi="Arial" w:cs="Arial"/>
          <w:sz w:val="20"/>
          <w:szCs w:val="20"/>
        </w:rPr>
        <w:t>up (</w:t>
      </w:r>
      <w:proofErr w:type="gramStart"/>
      <w:r>
        <w:rPr>
          <w:rFonts w:ascii="Arial" w:hAnsi="Arial" w:cs="Arial"/>
          <w:sz w:val="20"/>
          <w:szCs w:val="20"/>
        </w:rPr>
        <w:t>F(</w:t>
      </w:r>
      <w:proofErr w:type="gramEnd"/>
      <w:r>
        <w:rPr>
          <w:rFonts w:ascii="Arial" w:hAnsi="Arial" w:cs="Arial"/>
          <w:sz w:val="20"/>
          <w:szCs w:val="20"/>
        </w:rPr>
        <w:t xml:space="preserve">2,47) = 5.23, p &lt; 0.01). </w:t>
      </w:r>
      <w:r w:rsidRPr="001D219D">
        <w:rPr>
          <w:rFonts w:ascii="Arial" w:hAnsi="Arial" w:cs="Arial"/>
          <w:sz w:val="20"/>
          <w:szCs w:val="20"/>
        </w:rPr>
        <w:t xml:space="preserve">Trust in </w:t>
      </w:r>
      <w:proofErr w:type="spellStart"/>
      <w:r w:rsidRPr="001D219D">
        <w:rPr>
          <w:rFonts w:ascii="Arial" w:hAnsi="Arial" w:cs="Arial"/>
          <w:sz w:val="20"/>
          <w:szCs w:val="20"/>
        </w:rPr>
        <w:t>FinTech</w:t>
      </w:r>
      <w:proofErr w:type="spellEnd"/>
      <w:r w:rsidRPr="001D219D">
        <w:rPr>
          <w:rFonts w:ascii="Arial" w:hAnsi="Arial" w:cs="Arial"/>
          <w:sz w:val="20"/>
          <w:szCs w:val="20"/>
        </w:rPr>
        <w:t xml:space="preserve"> security was significantly correlated with respondents' educational level (</w:t>
      </w:r>
      <w:proofErr w:type="gramStart"/>
      <w:r w:rsidRPr="001D219D">
        <w:rPr>
          <w:rFonts w:ascii="Arial" w:hAnsi="Arial" w:cs="Arial"/>
          <w:sz w:val="20"/>
          <w:szCs w:val="20"/>
        </w:rPr>
        <w:t>F(</w:t>
      </w:r>
      <w:proofErr w:type="gramEnd"/>
      <w:r w:rsidRPr="001D219D">
        <w:rPr>
          <w:rFonts w:ascii="Arial" w:hAnsi="Arial" w:cs="Arial"/>
          <w:sz w:val="20"/>
          <w:szCs w:val="20"/>
        </w:rPr>
        <w:t>1,48) = 4.76, p &lt; 0.05), with those with tertiary education demonstrating higher levels of trust.</w:t>
      </w:r>
    </w:p>
    <w:p w14:paraId="7BFFA687" w14:textId="65061EC2" w:rsidR="001D219D" w:rsidRPr="001D219D" w:rsidRDefault="001D219D" w:rsidP="001D219D">
      <w:pPr>
        <w:spacing w:line="240" w:lineRule="auto"/>
        <w:rPr>
          <w:rFonts w:ascii="Arial" w:hAnsi="Arial" w:cs="Arial"/>
          <w:b/>
          <w:sz w:val="20"/>
          <w:szCs w:val="20"/>
        </w:rPr>
      </w:pPr>
      <w:r w:rsidRPr="001D219D">
        <w:rPr>
          <w:rFonts w:ascii="Arial" w:hAnsi="Arial" w:cs="Arial"/>
          <w:b/>
          <w:sz w:val="20"/>
          <w:szCs w:val="20"/>
        </w:rPr>
        <w:t>Chi-Square Test</w:t>
      </w:r>
    </w:p>
    <w:p w14:paraId="07EF728C" w14:textId="42F8D8A7" w:rsidR="001D219D" w:rsidRPr="001D219D" w:rsidRDefault="001D219D" w:rsidP="001D219D">
      <w:pPr>
        <w:spacing w:line="240" w:lineRule="auto"/>
        <w:rPr>
          <w:rFonts w:ascii="Arial" w:hAnsi="Arial" w:cs="Arial"/>
          <w:sz w:val="20"/>
          <w:szCs w:val="20"/>
        </w:rPr>
      </w:pPr>
      <w:r w:rsidRPr="001D219D">
        <w:rPr>
          <w:rFonts w:ascii="Arial" w:hAnsi="Arial" w:cs="Arial"/>
          <w:sz w:val="20"/>
          <w:szCs w:val="20"/>
        </w:rPr>
        <w:t>The relationship between adoption status and category demographic characteristics was invest</w:t>
      </w:r>
      <w:r>
        <w:rPr>
          <w:rFonts w:ascii="Arial" w:hAnsi="Arial" w:cs="Arial"/>
          <w:sz w:val="20"/>
          <w:szCs w:val="20"/>
        </w:rPr>
        <w:t xml:space="preserve">igated using chi-square tests. </w:t>
      </w:r>
      <w:r w:rsidRPr="001D219D">
        <w:rPr>
          <w:rFonts w:ascii="Arial" w:hAnsi="Arial" w:cs="Arial"/>
          <w:sz w:val="20"/>
          <w:szCs w:val="20"/>
        </w:rPr>
        <w:t>While there was no significant correlation between gender and adoption (</w:t>
      </w:r>
      <w:proofErr w:type="gramStart"/>
      <w:r w:rsidRPr="001D219D">
        <w:rPr>
          <w:rFonts w:ascii="Arial" w:hAnsi="Arial" w:cs="Arial"/>
          <w:sz w:val="20"/>
          <w:szCs w:val="20"/>
        </w:rPr>
        <w:t>χ²(</w:t>
      </w:r>
      <w:proofErr w:type="gramEnd"/>
      <w:r w:rsidRPr="001D219D">
        <w:rPr>
          <w:rFonts w:ascii="Arial" w:hAnsi="Arial" w:cs="Arial"/>
          <w:sz w:val="20"/>
          <w:szCs w:val="20"/>
        </w:rPr>
        <w:t xml:space="preserve">1, N=50) = 1.14, p &gt; 0.05), there was a strong correlation between income level and adoption (χ²(2, N=50) = 6.72, p &lt; 0.05), with middle-class individuals being more likely to use </w:t>
      </w:r>
      <w:proofErr w:type="spellStart"/>
      <w:r w:rsidRPr="001D219D">
        <w:rPr>
          <w:rFonts w:ascii="Arial" w:hAnsi="Arial" w:cs="Arial"/>
          <w:sz w:val="20"/>
          <w:szCs w:val="20"/>
        </w:rPr>
        <w:t>FinTech</w:t>
      </w:r>
      <w:proofErr w:type="spellEnd"/>
      <w:r w:rsidRPr="001D219D">
        <w:rPr>
          <w:rFonts w:ascii="Arial" w:hAnsi="Arial" w:cs="Arial"/>
          <w:sz w:val="20"/>
          <w:szCs w:val="20"/>
        </w:rPr>
        <w:t xml:space="preserve"> services.</w:t>
      </w:r>
    </w:p>
    <w:p w14:paraId="23D708F9" w14:textId="5528EE54" w:rsidR="001D219D" w:rsidRPr="001147D3" w:rsidRDefault="001D219D" w:rsidP="001D219D">
      <w:pPr>
        <w:spacing w:line="240" w:lineRule="auto"/>
        <w:rPr>
          <w:rFonts w:ascii="Arial" w:hAnsi="Arial" w:cs="Arial"/>
          <w:sz w:val="20"/>
          <w:szCs w:val="20"/>
        </w:rPr>
      </w:pPr>
      <w:r w:rsidRPr="001D219D">
        <w:rPr>
          <w:rFonts w:ascii="Arial" w:hAnsi="Arial" w:cs="Arial"/>
          <w:sz w:val="20"/>
          <w:szCs w:val="20"/>
        </w:rPr>
        <w:t xml:space="preserve">The study offered a more thorough statistical evaluation of the interactions among demographic characteristics, risk perception, trust, and adoption </w:t>
      </w:r>
      <w:proofErr w:type="spellStart"/>
      <w:r w:rsidRPr="001D219D">
        <w:rPr>
          <w:rFonts w:ascii="Arial" w:hAnsi="Arial" w:cs="Arial"/>
          <w:sz w:val="20"/>
          <w:szCs w:val="20"/>
        </w:rPr>
        <w:t>behaviour</w:t>
      </w:r>
      <w:proofErr w:type="spellEnd"/>
      <w:r w:rsidRPr="001D219D">
        <w:rPr>
          <w:rFonts w:ascii="Arial" w:hAnsi="Arial" w:cs="Arial"/>
          <w:sz w:val="20"/>
          <w:szCs w:val="20"/>
        </w:rPr>
        <w:t xml:space="preserve"> by combining correlation, regression, A</w:t>
      </w:r>
      <w:r>
        <w:rPr>
          <w:rFonts w:ascii="Arial" w:hAnsi="Arial" w:cs="Arial"/>
          <w:sz w:val="20"/>
          <w:szCs w:val="20"/>
        </w:rPr>
        <w:t xml:space="preserve">NOVA, and Chi-square analyses. </w:t>
      </w:r>
      <w:r w:rsidRPr="001D219D">
        <w:rPr>
          <w:rFonts w:ascii="Arial" w:hAnsi="Arial" w:cs="Arial"/>
          <w:sz w:val="20"/>
          <w:szCs w:val="20"/>
        </w:rPr>
        <w:t xml:space="preserve">These outcomes support the findings' validity and point to particular customer groups </w:t>
      </w:r>
      <w:proofErr w:type="gramStart"/>
      <w:r w:rsidRPr="001D219D">
        <w:rPr>
          <w:rFonts w:ascii="Arial" w:hAnsi="Arial" w:cs="Arial"/>
          <w:sz w:val="20"/>
          <w:szCs w:val="20"/>
        </w:rPr>
        <w:t>that regulators</w:t>
      </w:r>
      <w:proofErr w:type="gramEnd"/>
      <w:r w:rsidRPr="001D219D">
        <w:rPr>
          <w:rFonts w:ascii="Arial" w:hAnsi="Arial" w:cs="Arial"/>
          <w:sz w:val="20"/>
          <w:szCs w:val="20"/>
        </w:rPr>
        <w:t xml:space="preserve"> and </w:t>
      </w:r>
      <w:proofErr w:type="spellStart"/>
      <w:r w:rsidRPr="001D219D">
        <w:rPr>
          <w:rFonts w:ascii="Arial" w:hAnsi="Arial" w:cs="Arial"/>
          <w:sz w:val="20"/>
          <w:szCs w:val="20"/>
        </w:rPr>
        <w:t>FinTech</w:t>
      </w:r>
      <w:proofErr w:type="spellEnd"/>
      <w:r w:rsidRPr="001D219D">
        <w:rPr>
          <w:rFonts w:ascii="Arial" w:hAnsi="Arial" w:cs="Arial"/>
          <w:sz w:val="20"/>
          <w:szCs w:val="20"/>
        </w:rPr>
        <w:t xml:space="preserve"> companies could target with interventions.</w:t>
      </w:r>
    </w:p>
    <w:p w14:paraId="2A35A72A" w14:textId="77777777" w:rsidR="00777356" w:rsidRPr="00014C28" w:rsidRDefault="00777356" w:rsidP="001147D3">
      <w:pPr>
        <w:pStyle w:val="Heading2"/>
        <w:spacing w:line="240" w:lineRule="auto"/>
        <w:rPr>
          <w:rFonts w:ascii="Arial" w:hAnsi="Arial" w:cs="Arial"/>
          <w:sz w:val="22"/>
          <w:szCs w:val="20"/>
        </w:rPr>
      </w:pPr>
      <w:r w:rsidRPr="00014C28">
        <w:rPr>
          <w:rFonts w:ascii="Arial" w:hAnsi="Arial" w:cs="Arial"/>
          <w:sz w:val="22"/>
          <w:szCs w:val="20"/>
        </w:rPr>
        <w:t>Achieving the Research Objectives</w:t>
      </w:r>
    </w:p>
    <w:p w14:paraId="675AB3FF" w14:textId="77777777" w:rsidR="00777356" w:rsidRPr="001147D3" w:rsidRDefault="00777356" w:rsidP="001147D3">
      <w:pPr>
        <w:spacing w:line="240" w:lineRule="auto"/>
        <w:rPr>
          <w:rFonts w:ascii="Arial" w:hAnsi="Arial" w:cs="Arial"/>
          <w:sz w:val="20"/>
          <w:szCs w:val="20"/>
        </w:rPr>
      </w:pPr>
      <w:r w:rsidRPr="001147D3">
        <w:rPr>
          <w:rFonts w:ascii="Arial" w:hAnsi="Arial" w:cs="Arial"/>
          <w:sz w:val="20"/>
          <w:szCs w:val="20"/>
        </w:rPr>
        <w:t>The following are the outcomes of the research:</w:t>
      </w:r>
    </w:p>
    <w:p w14:paraId="1DB83141" w14:textId="77777777" w:rsidR="00777356" w:rsidRPr="001147D3" w:rsidRDefault="00777356" w:rsidP="001147D3">
      <w:pPr>
        <w:spacing w:line="240" w:lineRule="auto"/>
        <w:rPr>
          <w:rFonts w:ascii="Arial" w:hAnsi="Arial" w:cs="Arial"/>
          <w:sz w:val="20"/>
          <w:szCs w:val="20"/>
        </w:rPr>
      </w:pPr>
      <w:r w:rsidRPr="001147D3">
        <w:rPr>
          <w:rFonts w:ascii="Arial" w:hAnsi="Arial" w:cs="Arial"/>
          <w:b/>
          <w:sz w:val="20"/>
          <w:szCs w:val="20"/>
        </w:rPr>
        <w:t>Fear of Bankruptcy and Online Scams:</w:t>
      </w:r>
      <w:r w:rsidRPr="001147D3">
        <w:rPr>
          <w:rFonts w:ascii="Arial" w:hAnsi="Arial" w:cs="Arial"/>
          <w:sz w:val="20"/>
          <w:szCs w:val="20"/>
        </w:rPr>
        <w:t xml:space="preserve"> The study discovered that consumers' opinions of FinTech services are greatly influenced by their fear of bankruptcy and online scams. Concerns over the possibility of monetary loss as a result of these variables were voiced by most respondents.</w:t>
      </w:r>
    </w:p>
    <w:p w14:paraId="3E464881" w14:textId="77777777" w:rsidR="00777356" w:rsidRPr="001147D3" w:rsidRDefault="00777356" w:rsidP="001147D3">
      <w:pPr>
        <w:spacing w:line="240" w:lineRule="auto"/>
        <w:rPr>
          <w:rFonts w:ascii="Arial" w:hAnsi="Arial" w:cs="Arial"/>
          <w:sz w:val="20"/>
          <w:szCs w:val="20"/>
        </w:rPr>
      </w:pPr>
      <w:r w:rsidRPr="001147D3">
        <w:rPr>
          <w:rFonts w:ascii="Arial" w:hAnsi="Arial" w:cs="Arial"/>
          <w:b/>
          <w:sz w:val="20"/>
          <w:szCs w:val="20"/>
        </w:rPr>
        <w:lastRenderedPageBreak/>
        <w:t>Trust in FinTech Services:</w:t>
      </w:r>
      <w:r w:rsidRPr="001147D3">
        <w:rPr>
          <w:rFonts w:ascii="Arial" w:hAnsi="Arial" w:cs="Arial"/>
          <w:sz w:val="20"/>
          <w:szCs w:val="20"/>
        </w:rPr>
        <w:t xml:space="preserve"> The study evaluated the degree of trust in FinTech banks and found that many customers had misgivings about FinTech platforms because of security and regulatory worries. One of the most important factors in removing the adoption hurdles was found to be trust in these platforms.</w:t>
      </w:r>
    </w:p>
    <w:p w14:paraId="2958580D" w14:textId="77777777" w:rsidR="00777356" w:rsidRPr="001147D3" w:rsidRDefault="00777356" w:rsidP="001147D3">
      <w:pPr>
        <w:spacing w:line="240" w:lineRule="auto"/>
        <w:rPr>
          <w:rFonts w:ascii="Arial" w:hAnsi="Arial" w:cs="Arial"/>
          <w:sz w:val="20"/>
          <w:szCs w:val="20"/>
        </w:rPr>
      </w:pPr>
      <w:r w:rsidRPr="001147D3">
        <w:rPr>
          <w:rFonts w:ascii="Arial" w:hAnsi="Arial" w:cs="Arial"/>
          <w:b/>
          <w:sz w:val="20"/>
          <w:szCs w:val="20"/>
        </w:rPr>
        <w:t>Perceived Risks and Adoption:</w:t>
      </w:r>
      <w:r w:rsidRPr="001147D3">
        <w:rPr>
          <w:rFonts w:ascii="Arial" w:hAnsi="Arial" w:cs="Arial"/>
          <w:sz w:val="20"/>
          <w:szCs w:val="20"/>
        </w:rPr>
        <w:t xml:space="preserve"> The study showed that adoption of FinTech services is highly impacted by perceived risks. Adoption of these services was found to be negatively impacted by fear of bankruptcy and internet frauds.</w:t>
      </w:r>
    </w:p>
    <w:p w14:paraId="3D36C6BC" w14:textId="77777777" w:rsidR="0044083F" w:rsidRPr="00014C28" w:rsidRDefault="0044083F" w:rsidP="001147D3">
      <w:pPr>
        <w:pStyle w:val="Heading3"/>
        <w:spacing w:line="240" w:lineRule="auto"/>
        <w:rPr>
          <w:rFonts w:ascii="Arial" w:hAnsi="Arial" w:cs="Arial"/>
          <w:sz w:val="22"/>
          <w:szCs w:val="20"/>
        </w:rPr>
      </w:pPr>
      <w:r w:rsidRPr="00014C28">
        <w:rPr>
          <w:rFonts w:ascii="Arial" w:hAnsi="Arial" w:cs="Arial"/>
          <w:sz w:val="22"/>
          <w:szCs w:val="20"/>
        </w:rPr>
        <w:t>Implications of the Findings</w:t>
      </w:r>
    </w:p>
    <w:p w14:paraId="7972F63B" w14:textId="77777777" w:rsidR="0044083F" w:rsidRPr="001147D3" w:rsidRDefault="0044083F" w:rsidP="001147D3">
      <w:pPr>
        <w:spacing w:line="240" w:lineRule="auto"/>
        <w:rPr>
          <w:rFonts w:ascii="Arial" w:hAnsi="Arial" w:cs="Arial"/>
          <w:sz w:val="20"/>
          <w:szCs w:val="20"/>
        </w:rPr>
      </w:pPr>
      <w:r w:rsidRPr="001147D3">
        <w:rPr>
          <w:rFonts w:ascii="Arial" w:hAnsi="Arial" w:cs="Arial"/>
          <w:sz w:val="20"/>
          <w:szCs w:val="20"/>
        </w:rPr>
        <w:t>The study's conclusions have significant ramifications for Nigerian FinTech companies, regulators, and legislators:</w:t>
      </w:r>
    </w:p>
    <w:p w14:paraId="4A5D30C4" w14:textId="77777777" w:rsidR="0044083F" w:rsidRPr="001147D3" w:rsidRDefault="0044083F" w:rsidP="001147D3">
      <w:pPr>
        <w:spacing w:line="240" w:lineRule="auto"/>
        <w:rPr>
          <w:rFonts w:ascii="Arial" w:hAnsi="Arial" w:cs="Arial"/>
          <w:sz w:val="20"/>
          <w:szCs w:val="20"/>
        </w:rPr>
      </w:pPr>
      <w:r w:rsidRPr="001147D3">
        <w:rPr>
          <w:rFonts w:ascii="Arial" w:hAnsi="Arial" w:cs="Arial"/>
          <w:b/>
          <w:sz w:val="20"/>
          <w:szCs w:val="20"/>
        </w:rPr>
        <w:t>For FinTech Providers:</w:t>
      </w:r>
      <w:r w:rsidRPr="001147D3">
        <w:rPr>
          <w:rFonts w:ascii="Arial" w:hAnsi="Arial" w:cs="Arial"/>
          <w:sz w:val="20"/>
          <w:szCs w:val="20"/>
        </w:rPr>
        <w:t xml:space="preserve"> Investing in robust security measures and open communication on consumer protection and data protection is crucial. FinTech platforms may boost client retention and grow their user base by lowering perceived risks and fostering trust. Concerns raised by customers can also be greatly allayed by providing instructional programs and intuitive user interfaces that emphasize security aspects.</w:t>
      </w:r>
    </w:p>
    <w:p w14:paraId="7424A871" w14:textId="77777777" w:rsidR="0044083F" w:rsidRPr="001147D3" w:rsidRDefault="0044083F" w:rsidP="001147D3">
      <w:pPr>
        <w:spacing w:line="240" w:lineRule="auto"/>
        <w:rPr>
          <w:rFonts w:ascii="Arial" w:hAnsi="Arial" w:cs="Arial"/>
          <w:sz w:val="20"/>
          <w:szCs w:val="20"/>
        </w:rPr>
      </w:pPr>
      <w:r w:rsidRPr="001147D3">
        <w:rPr>
          <w:rFonts w:ascii="Arial" w:hAnsi="Arial" w:cs="Arial"/>
          <w:b/>
          <w:sz w:val="20"/>
          <w:szCs w:val="20"/>
        </w:rPr>
        <w:t>For Regulators:</w:t>
      </w:r>
      <w:r w:rsidRPr="001147D3">
        <w:rPr>
          <w:rFonts w:ascii="Arial" w:hAnsi="Arial" w:cs="Arial"/>
          <w:sz w:val="20"/>
          <w:szCs w:val="20"/>
        </w:rPr>
        <w:t xml:space="preserve"> To safeguard customers and promote confidence in FinTech platforms, the government and regulatory agencies, such the Central Bank of Nigeria (CBN), must create a more thorough regulatory framework. Increased use of digital financial services will be encouraged by improved customer confidence and stricter enforcement of security and fraud protection legislation.</w:t>
      </w:r>
    </w:p>
    <w:p w14:paraId="3D5EDDB4" w14:textId="77777777" w:rsidR="0044083F" w:rsidRPr="001147D3" w:rsidRDefault="0044083F" w:rsidP="001147D3">
      <w:pPr>
        <w:spacing w:line="240" w:lineRule="auto"/>
        <w:rPr>
          <w:rFonts w:ascii="Arial" w:hAnsi="Arial" w:cs="Arial"/>
          <w:sz w:val="20"/>
          <w:szCs w:val="20"/>
        </w:rPr>
      </w:pPr>
      <w:r w:rsidRPr="001147D3">
        <w:rPr>
          <w:rFonts w:ascii="Arial" w:hAnsi="Arial" w:cs="Arial"/>
          <w:b/>
          <w:sz w:val="20"/>
          <w:szCs w:val="20"/>
        </w:rPr>
        <w:t>For Policymakers:</w:t>
      </w:r>
      <w:r w:rsidRPr="001147D3">
        <w:rPr>
          <w:rFonts w:ascii="Arial" w:hAnsi="Arial" w:cs="Arial"/>
          <w:sz w:val="20"/>
          <w:szCs w:val="20"/>
        </w:rPr>
        <w:t xml:space="preserve"> Legislators ought to concentrate on fostering an atmosphere that encourages the expansion of FinTech, which includes offering rewards to banks that implement strict security protocols and make consumer education investments. To develop stronger financial literacy programs that address the particular dangers connected to digital banking, public-private collaborations should be investigated.</w:t>
      </w:r>
    </w:p>
    <w:p w14:paraId="7B6C1688" w14:textId="77777777" w:rsidR="0044083F" w:rsidRPr="00014C28" w:rsidRDefault="0044083F" w:rsidP="001147D3">
      <w:pPr>
        <w:pStyle w:val="Heading2"/>
        <w:spacing w:line="240" w:lineRule="auto"/>
        <w:rPr>
          <w:rFonts w:ascii="Arial" w:hAnsi="Arial" w:cs="Arial"/>
          <w:sz w:val="22"/>
          <w:szCs w:val="20"/>
        </w:rPr>
      </w:pPr>
      <w:r w:rsidRPr="00014C28">
        <w:rPr>
          <w:rFonts w:ascii="Arial" w:hAnsi="Arial" w:cs="Arial"/>
          <w:sz w:val="22"/>
          <w:szCs w:val="20"/>
        </w:rPr>
        <w:t>Summary</w:t>
      </w:r>
    </w:p>
    <w:p w14:paraId="7CA95EEE" w14:textId="77777777" w:rsidR="0044083F" w:rsidRPr="001147D3" w:rsidRDefault="00777356" w:rsidP="001147D3">
      <w:pPr>
        <w:spacing w:line="240" w:lineRule="auto"/>
        <w:rPr>
          <w:rFonts w:ascii="Arial" w:hAnsi="Arial" w:cs="Arial"/>
          <w:sz w:val="20"/>
          <w:szCs w:val="20"/>
        </w:rPr>
      </w:pPr>
      <w:r w:rsidRPr="001147D3">
        <w:rPr>
          <w:rFonts w:ascii="Arial" w:hAnsi="Arial" w:cs="Arial"/>
          <w:sz w:val="20"/>
          <w:szCs w:val="20"/>
        </w:rPr>
        <w:t>The results' analysis demonstrates that consumer perceptions of risk, especially those related to online fraud and bankruptcy, have a big impact on how Nigerians feel about FinTech banks.  There are still significant obstacles relating to perceived risk and trust, even if the use of FinTech services is expanding. In order to encourage a wider use of FinTech services in Nigeria, these findings highlight the significance of resolving these issues through improved security, improved regulatory monitoring, and consumer education.</w:t>
      </w:r>
    </w:p>
    <w:p w14:paraId="08ABD6A9" w14:textId="77777777" w:rsidR="00777356" w:rsidRPr="00014C28" w:rsidRDefault="007578AF" w:rsidP="001147D3">
      <w:pPr>
        <w:pStyle w:val="Heading1"/>
        <w:spacing w:line="240" w:lineRule="auto"/>
        <w:rPr>
          <w:rFonts w:ascii="Arial" w:hAnsi="Arial" w:cs="Arial"/>
          <w:sz w:val="22"/>
          <w:szCs w:val="20"/>
        </w:rPr>
      </w:pPr>
      <w:r w:rsidRPr="00014C28">
        <w:rPr>
          <w:rFonts w:ascii="Arial" w:hAnsi="Arial" w:cs="Arial"/>
          <w:sz w:val="22"/>
          <w:szCs w:val="20"/>
        </w:rPr>
        <w:t>Recommendation and Conclusion</w:t>
      </w:r>
    </w:p>
    <w:p w14:paraId="4356D129" w14:textId="77777777" w:rsidR="007578AF" w:rsidRPr="001147D3" w:rsidRDefault="007578AF" w:rsidP="001147D3">
      <w:pPr>
        <w:spacing w:line="240" w:lineRule="auto"/>
        <w:rPr>
          <w:rFonts w:ascii="Arial" w:hAnsi="Arial" w:cs="Arial"/>
          <w:sz w:val="20"/>
          <w:szCs w:val="20"/>
        </w:rPr>
      </w:pPr>
      <w:r w:rsidRPr="001147D3">
        <w:rPr>
          <w:rFonts w:ascii="Arial" w:hAnsi="Arial" w:cs="Arial"/>
          <w:sz w:val="20"/>
          <w:szCs w:val="20"/>
        </w:rPr>
        <w:t>The study's conclusions, their ramifications for FinTech companies, regulators, and legislators, as well as suggestions for enhancing the uptake of FinTech services in Nigeria, are all presented in this chapter. It also offers recommendations for more study in this field. The study sought to determine how Nigerian consumers' opinions of FinTech banks are influenced by their fear of bankruptcy and online scams, how much trust they place in FinTech services, and how perceived risks impact the uptake and ongoing use of these services.</w:t>
      </w:r>
    </w:p>
    <w:p w14:paraId="74A2DB79" w14:textId="77777777" w:rsidR="007578AF" w:rsidRPr="00014C28" w:rsidRDefault="007578AF" w:rsidP="001147D3">
      <w:pPr>
        <w:pStyle w:val="Heading2"/>
        <w:spacing w:line="240" w:lineRule="auto"/>
        <w:rPr>
          <w:rFonts w:ascii="Arial" w:hAnsi="Arial" w:cs="Arial"/>
          <w:sz w:val="22"/>
          <w:szCs w:val="20"/>
        </w:rPr>
      </w:pPr>
      <w:r w:rsidRPr="00014C28">
        <w:rPr>
          <w:rFonts w:ascii="Arial" w:hAnsi="Arial" w:cs="Arial"/>
          <w:sz w:val="22"/>
          <w:szCs w:val="20"/>
        </w:rPr>
        <w:t>Summary of Key Findings</w:t>
      </w:r>
    </w:p>
    <w:p w14:paraId="26CA9909" w14:textId="77777777" w:rsidR="007578AF" w:rsidRPr="001147D3" w:rsidRDefault="007578AF" w:rsidP="001147D3">
      <w:pPr>
        <w:spacing w:line="240" w:lineRule="auto"/>
        <w:rPr>
          <w:rFonts w:ascii="Arial" w:hAnsi="Arial" w:cs="Arial"/>
          <w:sz w:val="20"/>
          <w:szCs w:val="20"/>
        </w:rPr>
      </w:pPr>
      <w:r w:rsidRPr="001147D3">
        <w:rPr>
          <w:rFonts w:ascii="Arial" w:hAnsi="Arial" w:cs="Arial"/>
          <w:sz w:val="20"/>
          <w:szCs w:val="20"/>
        </w:rPr>
        <w:t>The following are the study's main conclusions:</w:t>
      </w:r>
    </w:p>
    <w:p w14:paraId="455DAD49" w14:textId="77777777" w:rsidR="007578AF" w:rsidRPr="001147D3" w:rsidRDefault="007578AF" w:rsidP="001147D3">
      <w:pPr>
        <w:spacing w:line="240" w:lineRule="auto"/>
        <w:rPr>
          <w:rFonts w:ascii="Arial" w:hAnsi="Arial" w:cs="Arial"/>
          <w:sz w:val="20"/>
          <w:szCs w:val="20"/>
        </w:rPr>
      </w:pPr>
      <w:r w:rsidRPr="001147D3">
        <w:rPr>
          <w:rFonts w:ascii="Arial" w:hAnsi="Arial" w:cs="Arial"/>
          <w:b/>
          <w:sz w:val="20"/>
          <w:szCs w:val="20"/>
        </w:rPr>
        <w:t>Fear of Bankruptcy:</w:t>
      </w:r>
      <w:r w:rsidRPr="001147D3">
        <w:rPr>
          <w:rFonts w:ascii="Arial" w:hAnsi="Arial" w:cs="Arial"/>
          <w:sz w:val="20"/>
          <w:szCs w:val="20"/>
        </w:rPr>
        <w:t xml:space="preserve"> The majority of respondents (72%) were worried about the danger of losing their money if FinTech banks went bankrupt. Older respondents (35 years and older) who exhibited more conventional financial conduct were more likely to experience this dread.</w:t>
      </w:r>
    </w:p>
    <w:p w14:paraId="35CD9A25" w14:textId="77777777" w:rsidR="007578AF" w:rsidRPr="001147D3" w:rsidRDefault="007578AF" w:rsidP="001147D3">
      <w:pPr>
        <w:spacing w:line="240" w:lineRule="auto"/>
        <w:rPr>
          <w:rFonts w:ascii="Arial" w:hAnsi="Arial" w:cs="Arial"/>
          <w:sz w:val="20"/>
          <w:szCs w:val="20"/>
        </w:rPr>
      </w:pPr>
      <w:r w:rsidRPr="001147D3">
        <w:rPr>
          <w:rFonts w:ascii="Arial" w:hAnsi="Arial" w:cs="Arial"/>
          <w:b/>
          <w:sz w:val="20"/>
          <w:szCs w:val="20"/>
        </w:rPr>
        <w:t>Fear of Online Scam:</w:t>
      </w:r>
      <w:r w:rsidRPr="001147D3">
        <w:rPr>
          <w:rFonts w:ascii="Arial" w:hAnsi="Arial" w:cs="Arial"/>
          <w:sz w:val="20"/>
          <w:szCs w:val="20"/>
        </w:rPr>
        <w:t xml:space="preserve"> Sixty-two percent of those surveyed said they were afraid of becoming victims of online frauds. Among individuals who had never utilized FinTech services, these worries were especially prevalent, suggesting a lack of confidence in the safety of online platforms.</w:t>
      </w:r>
    </w:p>
    <w:p w14:paraId="2B9F4201" w14:textId="77777777" w:rsidR="007578AF" w:rsidRPr="001147D3" w:rsidRDefault="007578AF" w:rsidP="001147D3">
      <w:pPr>
        <w:spacing w:line="240" w:lineRule="auto"/>
        <w:rPr>
          <w:rFonts w:ascii="Arial" w:hAnsi="Arial" w:cs="Arial"/>
          <w:sz w:val="20"/>
          <w:szCs w:val="20"/>
        </w:rPr>
      </w:pPr>
      <w:r w:rsidRPr="001147D3">
        <w:rPr>
          <w:rFonts w:ascii="Arial" w:hAnsi="Arial" w:cs="Arial"/>
          <w:b/>
          <w:sz w:val="20"/>
          <w:szCs w:val="20"/>
        </w:rPr>
        <w:t>Trust in FinTech Services:</w:t>
      </w:r>
      <w:r w:rsidRPr="001147D3">
        <w:rPr>
          <w:rFonts w:ascii="Arial" w:hAnsi="Arial" w:cs="Arial"/>
          <w:sz w:val="20"/>
          <w:szCs w:val="20"/>
        </w:rPr>
        <w:t xml:space="preserve"> There was comparatively little faith in the security and dependability of FinTech services. Just 40% of respondents said they were confident in the security precautions that </w:t>
      </w:r>
      <w:r w:rsidRPr="001147D3">
        <w:rPr>
          <w:rFonts w:ascii="Arial" w:hAnsi="Arial" w:cs="Arial"/>
          <w:sz w:val="20"/>
          <w:szCs w:val="20"/>
        </w:rPr>
        <w:lastRenderedPageBreak/>
        <w:t>FinTech banks had put in place, and 55% said they were suspicious of the regulatory control that these firms received.</w:t>
      </w:r>
    </w:p>
    <w:p w14:paraId="17B3DB8F" w14:textId="77777777" w:rsidR="007578AF" w:rsidRPr="001147D3" w:rsidRDefault="007578AF" w:rsidP="001147D3">
      <w:pPr>
        <w:spacing w:line="240" w:lineRule="auto"/>
        <w:rPr>
          <w:rFonts w:ascii="Arial" w:hAnsi="Arial" w:cs="Arial"/>
          <w:sz w:val="20"/>
          <w:szCs w:val="20"/>
        </w:rPr>
      </w:pPr>
      <w:r w:rsidRPr="001147D3">
        <w:rPr>
          <w:rFonts w:ascii="Arial" w:hAnsi="Arial" w:cs="Arial"/>
          <w:b/>
          <w:sz w:val="20"/>
          <w:szCs w:val="20"/>
        </w:rPr>
        <w:t>Adoption of FinTech Services:</w:t>
      </w:r>
      <w:r w:rsidRPr="001147D3">
        <w:rPr>
          <w:rFonts w:ascii="Arial" w:hAnsi="Arial" w:cs="Arial"/>
          <w:sz w:val="20"/>
          <w:szCs w:val="20"/>
        </w:rPr>
        <w:t xml:space="preserve"> Mobile money platforms are the most widely used FinTech services, with 54% of respondents reporting utilizing them. But according to 46% of respondents, the main obstacles to acceptance of FinTech services are security and fraud concerns. 35% of non-users stated that if they were guaranteed improved security and dependability, they would utilize FinTech services in the future.</w:t>
      </w:r>
    </w:p>
    <w:p w14:paraId="69FAC374" w14:textId="77777777" w:rsidR="007578AF" w:rsidRPr="001147D3" w:rsidRDefault="007578AF" w:rsidP="001147D3">
      <w:pPr>
        <w:spacing w:line="240" w:lineRule="auto"/>
        <w:rPr>
          <w:rFonts w:ascii="Arial" w:hAnsi="Arial" w:cs="Arial"/>
          <w:sz w:val="20"/>
          <w:szCs w:val="20"/>
        </w:rPr>
      </w:pPr>
      <w:r w:rsidRPr="001147D3">
        <w:rPr>
          <w:rFonts w:ascii="Arial" w:hAnsi="Arial" w:cs="Arial"/>
          <w:b/>
          <w:sz w:val="20"/>
          <w:szCs w:val="20"/>
        </w:rPr>
        <w:t>Relationship Between Risk Perception and Adoption:</w:t>
      </w:r>
      <w:r w:rsidRPr="001147D3">
        <w:rPr>
          <w:rFonts w:ascii="Arial" w:hAnsi="Arial" w:cs="Arial"/>
          <w:sz w:val="20"/>
          <w:szCs w:val="20"/>
        </w:rPr>
        <w:t xml:space="preserve"> Fear of bankruptcy (r = -0.62) and fear of online scams (r = -0.58) were significantly correlated negatively with the adoption of FinTech services, indicating that lower adoption rates are caused by higher perceived risk.</w:t>
      </w:r>
    </w:p>
    <w:p w14:paraId="5429366B" w14:textId="77777777" w:rsidR="007578AF" w:rsidRPr="001147D3" w:rsidRDefault="007578AF" w:rsidP="001147D3">
      <w:pPr>
        <w:spacing w:line="240" w:lineRule="auto"/>
        <w:rPr>
          <w:rFonts w:ascii="Arial" w:hAnsi="Arial" w:cs="Arial"/>
          <w:sz w:val="20"/>
          <w:szCs w:val="20"/>
        </w:rPr>
      </w:pPr>
      <w:r w:rsidRPr="001147D3">
        <w:rPr>
          <w:rFonts w:ascii="Arial" w:hAnsi="Arial" w:cs="Arial"/>
          <w:b/>
          <w:sz w:val="20"/>
          <w:szCs w:val="20"/>
        </w:rPr>
        <w:t>Trust as a Mediator:</w:t>
      </w:r>
      <w:r w:rsidRPr="001147D3">
        <w:rPr>
          <w:rFonts w:ascii="Arial" w:hAnsi="Arial" w:cs="Arial"/>
          <w:sz w:val="20"/>
          <w:szCs w:val="20"/>
        </w:rPr>
        <w:t xml:space="preserve"> The association between risk perception and adoption was found to be mediated by trust in the security and dependability of FinTech services.  Perceived hazards had less of an adverse effect on adoption as trust grew.</w:t>
      </w:r>
    </w:p>
    <w:p w14:paraId="4C199BAF" w14:textId="77777777" w:rsidR="007578AF" w:rsidRPr="00014C28" w:rsidRDefault="007578AF" w:rsidP="001147D3">
      <w:pPr>
        <w:pStyle w:val="Heading2"/>
        <w:spacing w:line="240" w:lineRule="auto"/>
        <w:rPr>
          <w:rFonts w:ascii="Arial" w:hAnsi="Arial" w:cs="Arial"/>
          <w:sz w:val="22"/>
          <w:szCs w:val="20"/>
        </w:rPr>
      </w:pPr>
      <w:r w:rsidRPr="00014C28">
        <w:rPr>
          <w:rFonts w:ascii="Arial" w:hAnsi="Arial" w:cs="Arial"/>
          <w:sz w:val="22"/>
          <w:szCs w:val="20"/>
        </w:rPr>
        <w:t>Recommendations</w:t>
      </w:r>
    </w:p>
    <w:p w14:paraId="0D76693C" w14:textId="77777777" w:rsidR="007578AF" w:rsidRPr="001147D3" w:rsidRDefault="007578AF" w:rsidP="001147D3">
      <w:pPr>
        <w:spacing w:line="240" w:lineRule="auto"/>
        <w:rPr>
          <w:rFonts w:ascii="Arial" w:hAnsi="Arial" w:cs="Arial"/>
          <w:sz w:val="20"/>
          <w:szCs w:val="20"/>
        </w:rPr>
      </w:pPr>
      <w:r w:rsidRPr="001147D3">
        <w:rPr>
          <w:rFonts w:ascii="Arial" w:hAnsi="Arial" w:cs="Arial"/>
          <w:sz w:val="20"/>
          <w:szCs w:val="20"/>
        </w:rPr>
        <w:t>The following suggestions are offered to improve Nigeria's uptake of FinTech services in light of the conclusions and ramifications:</w:t>
      </w:r>
    </w:p>
    <w:p w14:paraId="12AFE26A" w14:textId="77777777" w:rsidR="007578AF" w:rsidRPr="001147D3" w:rsidRDefault="007578AF" w:rsidP="001147D3">
      <w:pPr>
        <w:spacing w:line="240" w:lineRule="auto"/>
        <w:rPr>
          <w:rFonts w:ascii="Arial" w:hAnsi="Arial" w:cs="Arial"/>
          <w:sz w:val="20"/>
          <w:szCs w:val="20"/>
        </w:rPr>
      </w:pPr>
      <w:r w:rsidRPr="001147D3">
        <w:rPr>
          <w:rFonts w:ascii="Arial" w:hAnsi="Arial" w:cs="Arial"/>
          <w:b/>
          <w:sz w:val="20"/>
          <w:szCs w:val="20"/>
        </w:rPr>
        <w:t>Enhance Security Features:</w:t>
      </w:r>
      <w:r w:rsidRPr="001147D3">
        <w:rPr>
          <w:rFonts w:ascii="Arial" w:hAnsi="Arial" w:cs="Arial"/>
          <w:sz w:val="20"/>
          <w:szCs w:val="20"/>
        </w:rPr>
        <w:t xml:space="preserve"> FinTech businesses should spend money on cutting-edge security tools like biometric authentication, end-to-end encryption, and fraud detection systems to safeguard customer financial information and allay worries about onli</w:t>
      </w:r>
      <w:r w:rsidR="00F51139" w:rsidRPr="001147D3">
        <w:rPr>
          <w:rFonts w:ascii="Arial" w:hAnsi="Arial" w:cs="Arial"/>
          <w:sz w:val="20"/>
          <w:szCs w:val="20"/>
        </w:rPr>
        <w:t xml:space="preserve">ne fraud. </w:t>
      </w:r>
      <w:r w:rsidRPr="001147D3">
        <w:rPr>
          <w:rFonts w:ascii="Arial" w:hAnsi="Arial" w:cs="Arial"/>
          <w:sz w:val="20"/>
          <w:szCs w:val="20"/>
        </w:rPr>
        <w:t>Building trust will be aided by frequent security audits and open discussion regarding security procedures.</w:t>
      </w:r>
    </w:p>
    <w:p w14:paraId="008DB828" w14:textId="77777777" w:rsidR="00F51139" w:rsidRPr="001147D3" w:rsidRDefault="00F51139" w:rsidP="001147D3">
      <w:pPr>
        <w:spacing w:line="240" w:lineRule="auto"/>
        <w:rPr>
          <w:rFonts w:ascii="Arial" w:hAnsi="Arial" w:cs="Arial"/>
          <w:sz w:val="20"/>
          <w:szCs w:val="20"/>
        </w:rPr>
      </w:pPr>
      <w:r w:rsidRPr="001147D3">
        <w:rPr>
          <w:rFonts w:ascii="Arial" w:hAnsi="Arial" w:cs="Arial"/>
          <w:b/>
          <w:sz w:val="20"/>
          <w:szCs w:val="20"/>
        </w:rPr>
        <w:t>Increase Consumer Education:</w:t>
      </w:r>
      <w:r w:rsidRPr="001147D3">
        <w:rPr>
          <w:rFonts w:ascii="Arial" w:hAnsi="Arial" w:cs="Arial"/>
          <w:sz w:val="20"/>
          <w:szCs w:val="20"/>
        </w:rPr>
        <w:t xml:space="preserve"> FinTech companies ought to start educational initiatives to increase public knowledge of the security and safety of their systems. Tutorials, webinars, and educational materials about safeguarding customer data and fraud prevention strategies may fall under this category. For potential consumers, especially those who are not familiar with them, this would help demystify digital financial services.</w:t>
      </w:r>
    </w:p>
    <w:p w14:paraId="57DE7A1F" w14:textId="77777777" w:rsidR="00F51139" w:rsidRPr="001147D3" w:rsidRDefault="00F51139" w:rsidP="001147D3">
      <w:pPr>
        <w:spacing w:line="240" w:lineRule="auto"/>
        <w:rPr>
          <w:rFonts w:ascii="Arial" w:hAnsi="Arial" w:cs="Arial"/>
          <w:sz w:val="20"/>
          <w:szCs w:val="20"/>
        </w:rPr>
      </w:pPr>
      <w:r w:rsidRPr="001147D3">
        <w:rPr>
          <w:rFonts w:ascii="Arial" w:hAnsi="Arial" w:cs="Arial"/>
          <w:b/>
          <w:sz w:val="20"/>
          <w:szCs w:val="20"/>
        </w:rPr>
        <w:t>Strengthen Regulatory Frameworks:</w:t>
      </w:r>
      <w:r w:rsidRPr="001147D3">
        <w:rPr>
          <w:rFonts w:ascii="Arial" w:hAnsi="Arial" w:cs="Arial"/>
          <w:sz w:val="20"/>
          <w:szCs w:val="20"/>
        </w:rPr>
        <w:t xml:space="preserve"> Clear rules for FinTech businesses should be established by the Nigerian government and regulatory agencies to guarantee that they follow security regulations and offer consumer protection. To monitor and guarantee compliance, regulatory agencies should collaborate closely with FinTech companies. They should also establish a clear procedure for customers to report financial problems or fraud.</w:t>
      </w:r>
    </w:p>
    <w:p w14:paraId="0CFFDBD2" w14:textId="77777777" w:rsidR="00F51139" w:rsidRPr="001147D3" w:rsidRDefault="00F51139" w:rsidP="001147D3">
      <w:pPr>
        <w:spacing w:line="240" w:lineRule="auto"/>
        <w:rPr>
          <w:rFonts w:ascii="Arial" w:hAnsi="Arial" w:cs="Arial"/>
          <w:sz w:val="20"/>
          <w:szCs w:val="20"/>
        </w:rPr>
      </w:pPr>
      <w:r w:rsidRPr="001147D3">
        <w:rPr>
          <w:rFonts w:ascii="Arial" w:hAnsi="Arial" w:cs="Arial"/>
          <w:b/>
          <w:sz w:val="20"/>
          <w:szCs w:val="20"/>
        </w:rPr>
        <w:t>Promote Trust through Transparency:</w:t>
      </w:r>
      <w:r w:rsidRPr="001147D3">
        <w:rPr>
          <w:rFonts w:ascii="Arial" w:hAnsi="Arial" w:cs="Arial"/>
          <w:sz w:val="20"/>
          <w:szCs w:val="20"/>
        </w:rPr>
        <w:t xml:space="preserve"> FinTech businesses must to be more open about how they operate and comply with regulations. Consumer trust will be increased if they make information about their financial viability, adherence to security requirements, and consumer protection measures publicly available. Offering clients clear routes for resolving grievances or worries regarding their money is another way to promote openness.</w:t>
      </w:r>
    </w:p>
    <w:p w14:paraId="4EA0BD16" w14:textId="77777777" w:rsidR="00F51139" w:rsidRPr="001147D3" w:rsidRDefault="00F51139" w:rsidP="001147D3">
      <w:pPr>
        <w:spacing w:line="240" w:lineRule="auto"/>
        <w:rPr>
          <w:rFonts w:ascii="Arial" w:hAnsi="Arial" w:cs="Arial"/>
          <w:sz w:val="20"/>
          <w:szCs w:val="20"/>
        </w:rPr>
      </w:pPr>
      <w:r w:rsidRPr="001147D3">
        <w:rPr>
          <w:rFonts w:ascii="Arial" w:hAnsi="Arial" w:cs="Arial"/>
          <w:b/>
          <w:sz w:val="20"/>
          <w:szCs w:val="20"/>
        </w:rPr>
        <w:t>Focus on Rural Areas:</w:t>
      </w:r>
      <w:r w:rsidRPr="001147D3">
        <w:rPr>
          <w:rFonts w:ascii="Arial" w:hAnsi="Arial" w:cs="Arial"/>
          <w:sz w:val="20"/>
          <w:szCs w:val="20"/>
        </w:rPr>
        <w:t xml:space="preserve"> FinTech businesses should concentrate on extending their services to rural areas, where there is a greater need for easily accessible financial services, since urban consumers are more likely to adopt FinTech. For rural people, offering offline payment methods and mobile-based solutions can help close the gap.</w:t>
      </w:r>
    </w:p>
    <w:p w14:paraId="0782DEDF" w14:textId="77777777" w:rsidR="00F51139" w:rsidRPr="001147D3" w:rsidRDefault="00F51139" w:rsidP="001147D3">
      <w:pPr>
        <w:spacing w:line="240" w:lineRule="auto"/>
        <w:rPr>
          <w:rFonts w:ascii="Arial" w:hAnsi="Arial" w:cs="Arial"/>
          <w:sz w:val="20"/>
          <w:szCs w:val="20"/>
        </w:rPr>
      </w:pPr>
      <w:r w:rsidRPr="001147D3">
        <w:rPr>
          <w:rFonts w:ascii="Arial" w:hAnsi="Arial" w:cs="Arial"/>
          <w:b/>
          <w:sz w:val="20"/>
          <w:szCs w:val="20"/>
        </w:rPr>
        <w:t>Incentivize Usage:</w:t>
      </w:r>
      <w:r w:rsidRPr="001147D3">
        <w:rPr>
          <w:rFonts w:ascii="Arial" w:hAnsi="Arial" w:cs="Arial"/>
          <w:sz w:val="20"/>
          <w:szCs w:val="20"/>
        </w:rPr>
        <w:t xml:space="preserve"> FinTech businesses could provide incentives for new customers, including cashbacks, referral bonuses, or reduced transaction fees, to promote adoption.  More customers would investigate and test out FinTech platforms as a result.</w:t>
      </w:r>
    </w:p>
    <w:p w14:paraId="42ACB760" w14:textId="77777777" w:rsidR="00F51139" w:rsidRPr="00014C28" w:rsidRDefault="00F51139" w:rsidP="001147D3">
      <w:pPr>
        <w:pStyle w:val="Heading2"/>
        <w:spacing w:line="240" w:lineRule="auto"/>
        <w:rPr>
          <w:rFonts w:ascii="Arial" w:hAnsi="Arial" w:cs="Arial"/>
          <w:sz w:val="22"/>
          <w:szCs w:val="20"/>
        </w:rPr>
      </w:pPr>
      <w:r w:rsidRPr="00014C28">
        <w:rPr>
          <w:rFonts w:ascii="Arial" w:hAnsi="Arial" w:cs="Arial"/>
          <w:sz w:val="22"/>
          <w:szCs w:val="20"/>
        </w:rPr>
        <w:t>Conclusion</w:t>
      </w:r>
    </w:p>
    <w:p w14:paraId="7703B7B6" w14:textId="77777777" w:rsidR="00F51139" w:rsidRPr="001147D3" w:rsidRDefault="00F51139" w:rsidP="001147D3">
      <w:pPr>
        <w:spacing w:line="240" w:lineRule="auto"/>
        <w:rPr>
          <w:rFonts w:ascii="Arial" w:hAnsi="Arial" w:cs="Arial"/>
          <w:sz w:val="20"/>
          <w:szCs w:val="20"/>
        </w:rPr>
      </w:pPr>
      <w:r w:rsidRPr="001147D3">
        <w:rPr>
          <w:rFonts w:ascii="Arial" w:hAnsi="Arial" w:cs="Arial"/>
          <w:sz w:val="20"/>
          <w:szCs w:val="20"/>
        </w:rPr>
        <w:t xml:space="preserve">This study has offered a thorough analysis of the variables affecting Nigerian consumers' perceptions of risk, trust, and security in relation to the adoption of FinTech services. The results unequivocally show that although FinTech acceptance is increasing, there are still many obstacles to overcome, especially in </w:t>
      </w:r>
      <w:r w:rsidRPr="001147D3">
        <w:rPr>
          <w:rFonts w:ascii="Arial" w:hAnsi="Arial" w:cs="Arial"/>
          <w:sz w:val="20"/>
          <w:szCs w:val="20"/>
        </w:rPr>
        <w:lastRenderedPageBreak/>
        <w:t>relation to the perceived hazards of using digital financial systems. According to the report, Nigerian consumers' two main worries are being scammed online and losing money as a result of bankruptcy. These worries have a big impact on how customers feel about FinTech services and frequently discourage adoption.</w:t>
      </w:r>
    </w:p>
    <w:p w14:paraId="64ABB927" w14:textId="77777777" w:rsidR="00F51139" w:rsidRPr="001147D3" w:rsidRDefault="00F51139" w:rsidP="001147D3">
      <w:pPr>
        <w:spacing w:line="240" w:lineRule="auto"/>
        <w:rPr>
          <w:rFonts w:ascii="Arial" w:hAnsi="Arial" w:cs="Arial"/>
          <w:sz w:val="20"/>
          <w:szCs w:val="20"/>
        </w:rPr>
      </w:pPr>
      <w:r w:rsidRPr="001147D3">
        <w:rPr>
          <w:rFonts w:ascii="Arial" w:hAnsi="Arial" w:cs="Arial"/>
          <w:sz w:val="20"/>
          <w:szCs w:val="20"/>
        </w:rPr>
        <w:t>The relationship between risk perception and FinTech adoption was found to be significantly mediated by trust. Customers were more inclined to embrace and stick with FinTech platforms if they had greater faith in their security protocols and regulatory monitoring. This supports the notion that improving consumer confidence in FinTech institutions requires stronger regulatory frameworks, effective security procedures, and clear communication.</w:t>
      </w:r>
    </w:p>
    <w:p w14:paraId="2AEAE6B5" w14:textId="77777777" w:rsidR="00F51139" w:rsidRPr="001147D3" w:rsidRDefault="00F51139" w:rsidP="001147D3">
      <w:pPr>
        <w:spacing w:line="240" w:lineRule="auto"/>
        <w:rPr>
          <w:rFonts w:ascii="Arial" w:hAnsi="Arial" w:cs="Arial"/>
          <w:sz w:val="20"/>
          <w:szCs w:val="20"/>
        </w:rPr>
      </w:pPr>
      <w:r w:rsidRPr="001147D3">
        <w:rPr>
          <w:rFonts w:ascii="Arial" w:hAnsi="Arial" w:cs="Arial"/>
          <w:sz w:val="20"/>
          <w:szCs w:val="20"/>
        </w:rPr>
        <w:t>The study also discovered that the main users of FinTech services in Nigeria were middle-class consumers, who have easier access to digital gadgets and internet connectivity. FinTech services were more likely to be adopted by younger people, who were generally between the ages of 25 and 34. This is consistent with global trends that indicate younger generations are more receptive to adopting technology for financial transactions.</w:t>
      </w:r>
    </w:p>
    <w:p w14:paraId="10A189EB" w14:textId="77777777" w:rsidR="00F51139" w:rsidRPr="001147D3" w:rsidRDefault="00F51139" w:rsidP="001147D3">
      <w:pPr>
        <w:spacing w:line="240" w:lineRule="auto"/>
        <w:rPr>
          <w:rFonts w:ascii="Arial" w:hAnsi="Arial" w:cs="Arial"/>
          <w:sz w:val="20"/>
          <w:szCs w:val="20"/>
        </w:rPr>
      </w:pPr>
      <w:r w:rsidRPr="001147D3">
        <w:rPr>
          <w:rFonts w:ascii="Arial" w:hAnsi="Arial" w:cs="Arial"/>
          <w:sz w:val="20"/>
          <w:szCs w:val="20"/>
        </w:rPr>
        <w:t>In conclusion, even though FinTech has the potential to revolutionize financial inclusion in Nigeria, it is imperative to get beyond obstacles including consumers' mistrust of digital platforms, fear of bankruptcy, and frauds. FinTech companies must put a high priority on gaining the trust of their customers by providing dependable, transparent, and safe services. Furthermore, creating a strong regulatory framework that safeguards customers and promotes confidence in the digital financial ecosystem is a critical task for the government and regulatory agencies.</w:t>
      </w:r>
    </w:p>
    <w:p w14:paraId="2034BFE2" w14:textId="77777777" w:rsidR="00F51139" w:rsidRPr="001147D3" w:rsidRDefault="00F51139" w:rsidP="001147D3">
      <w:pPr>
        <w:spacing w:line="240" w:lineRule="auto"/>
        <w:rPr>
          <w:rFonts w:ascii="Arial" w:hAnsi="Arial" w:cs="Arial"/>
          <w:sz w:val="20"/>
          <w:szCs w:val="20"/>
        </w:rPr>
      </w:pPr>
      <w:r w:rsidRPr="001147D3">
        <w:rPr>
          <w:rFonts w:ascii="Arial" w:hAnsi="Arial" w:cs="Arial"/>
          <w:sz w:val="20"/>
          <w:szCs w:val="20"/>
        </w:rPr>
        <w:t xml:space="preserve">Addressing these issues and creating a safe, reliable environment will be essential to FinTech's long-term success in Nigeria as it develops further. In addition to offering practical suggestions to reduce risks, boost trust, and encourage broader adoption of FinTech services, this study includes insightful information on the unique difficulties Nigerian </w:t>
      </w:r>
      <w:r w:rsidR="00861657" w:rsidRPr="001147D3">
        <w:rPr>
          <w:rFonts w:ascii="Arial" w:hAnsi="Arial" w:cs="Arial"/>
          <w:sz w:val="20"/>
          <w:szCs w:val="20"/>
        </w:rPr>
        <w:t>customers’</w:t>
      </w:r>
      <w:r w:rsidRPr="001147D3">
        <w:rPr>
          <w:rFonts w:ascii="Arial" w:hAnsi="Arial" w:cs="Arial"/>
          <w:sz w:val="20"/>
          <w:szCs w:val="20"/>
        </w:rPr>
        <w:t xml:space="preserve"> experience.</w:t>
      </w:r>
    </w:p>
    <w:p w14:paraId="22B20DD5" w14:textId="77777777" w:rsidR="00861657" w:rsidRPr="00014C28" w:rsidRDefault="00861657" w:rsidP="001147D3">
      <w:pPr>
        <w:pStyle w:val="Heading2"/>
        <w:spacing w:line="240" w:lineRule="auto"/>
        <w:rPr>
          <w:rFonts w:ascii="Arial" w:hAnsi="Arial" w:cs="Arial"/>
          <w:sz w:val="22"/>
          <w:szCs w:val="20"/>
        </w:rPr>
      </w:pPr>
      <w:r w:rsidRPr="00014C28">
        <w:rPr>
          <w:rFonts w:ascii="Arial" w:hAnsi="Arial" w:cs="Arial"/>
          <w:sz w:val="22"/>
          <w:szCs w:val="20"/>
        </w:rPr>
        <w:t>Future Research Directions</w:t>
      </w:r>
    </w:p>
    <w:p w14:paraId="23C957DB" w14:textId="77777777" w:rsidR="00861657" w:rsidRPr="001147D3" w:rsidRDefault="00861657" w:rsidP="001147D3">
      <w:pPr>
        <w:spacing w:line="240" w:lineRule="auto"/>
        <w:rPr>
          <w:rFonts w:ascii="Arial" w:hAnsi="Arial" w:cs="Arial"/>
          <w:sz w:val="20"/>
          <w:szCs w:val="20"/>
        </w:rPr>
      </w:pPr>
      <w:r w:rsidRPr="001147D3">
        <w:rPr>
          <w:rFonts w:ascii="Arial" w:hAnsi="Arial" w:cs="Arial"/>
          <w:sz w:val="20"/>
          <w:szCs w:val="20"/>
        </w:rPr>
        <w:t>The following topics could be investigated in future studies:</w:t>
      </w:r>
    </w:p>
    <w:p w14:paraId="7E3C3E3A" w14:textId="77777777" w:rsidR="00861657" w:rsidRPr="001147D3" w:rsidRDefault="00861657" w:rsidP="001147D3">
      <w:pPr>
        <w:spacing w:line="240" w:lineRule="auto"/>
        <w:rPr>
          <w:rFonts w:ascii="Arial" w:hAnsi="Arial" w:cs="Arial"/>
          <w:sz w:val="20"/>
          <w:szCs w:val="20"/>
        </w:rPr>
      </w:pPr>
      <w:r w:rsidRPr="001147D3">
        <w:rPr>
          <w:rFonts w:ascii="Arial" w:hAnsi="Arial" w:cs="Arial"/>
          <w:b/>
          <w:sz w:val="20"/>
          <w:szCs w:val="20"/>
        </w:rPr>
        <w:t>Impact of Financial Literacy:</w:t>
      </w:r>
      <w:r w:rsidRPr="001147D3">
        <w:rPr>
          <w:rFonts w:ascii="Arial" w:hAnsi="Arial" w:cs="Arial"/>
          <w:sz w:val="20"/>
          <w:szCs w:val="20"/>
        </w:rPr>
        <w:t xml:space="preserve"> Examining how financial literacy can help allay consumer worries about the dangers of adopting FinTech.</w:t>
      </w:r>
    </w:p>
    <w:p w14:paraId="682C36D2" w14:textId="77777777" w:rsidR="00861657" w:rsidRPr="001147D3" w:rsidRDefault="00861657" w:rsidP="001147D3">
      <w:pPr>
        <w:spacing w:line="240" w:lineRule="auto"/>
        <w:rPr>
          <w:rFonts w:ascii="Arial" w:hAnsi="Arial" w:cs="Arial"/>
          <w:sz w:val="20"/>
          <w:szCs w:val="20"/>
        </w:rPr>
      </w:pPr>
      <w:r w:rsidRPr="001147D3">
        <w:rPr>
          <w:rFonts w:ascii="Arial" w:hAnsi="Arial" w:cs="Arial"/>
          <w:b/>
          <w:sz w:val="20"/>
          <w:szCs w:val="20"/>
        </w:rPr>
        <w:t>Regional Differences:</w:t>
      </w:r>
      <w:r w:rsidRPr="001147D3">
        <w:rPr>
          <w:rFonts w:ascii="Arial" w:hAnsi="Arial" w:cs="Arial"/>
          <w:sz w:val="20"/>
          <w:szCs w:val="20"/>
        </w:rPr>
        <w:t xml:space="preserve"> Examining how FinTech services are adopted in various parts of Nigeria, especially in rural areas.</w:t>
      </w:r>
    </w:p>
    <w:p w14:paraId="03400AF5" w14:textId="670225BF" w:rsidR="00861657" w:rsidRDefault="00861657" w:rsidP="001147D3">
      <w:pPr>
        <w:spacing w:line="240" w:lineRule="auto"/>
        <w:rPr>
          <w:rFonts w:ascii="Arial" w:hAnsi="Arial" w:cs="Arial"/>
          <w:sz w:val="20"/>
          <w:szCs w:val="20"/>
        </w:rPr>
      </w:pPr>
      <w:r w:rsidRPr="001147D3">
        <w:rPr>
          <w:rFonts w:ascii="Arial" w:hAnsi="Arial" w:cs="Arial"/>
          <w:b/>
          <w:sz w:val="20"/>
          <w:szCs w:val="20"/>
        </w:rPr>
        <w:t>Regulatory Interventions' Effectiveness:</w:t>
      </w:r>
      <w:r w:rsidRPr="001147D3">
        <w:rPr>
          <w:rFonts w:ascii="Arial" w:hAnsi="Arial" w:cs="Arial"/>
          <w:sz w:val="20"/>
          <w:szCs w:val="20"/>
        </w:rPr>
        <w:t xml:space="preserve"> Evaluating how government and regulatory agencies' actions have affected the growth of customer trust in FinTech services.</w:t>
      </w:r>
    </w:p>
    <w:p w14:paraId="586F0859" w14:textId="36A010C1" w:rsidR="001D77F7" w:rsidRDefault="001D77F7" w:rsidP="001147D3">
      <w:pPr>
        <w:spacing w:line="240" w:lineRule="auto"/>
        <w:rPr>
          <w:rFonts w:ascii="Arial" w:hAnsi="Arial" w:cs="Arial"/>
          <w:sz w:val="20"/>
          <w:szCs w:val="20"/>
        </w:rPr>
      </w:pPr>
    </w:p>
    <w:p w14:paraId="2AF9103F" w14:textId="77777777" w:rsidR="001D77F7" w:rsidRPr="00046C34" w:rsidRDefault="001D77F7" w:rsidP="001D77F7">
      <w:pPr>
        <w:rPr>
          <w:rFonts w:ascii="Calibri" w:eastAsia="Calibri" w:hAnsi="Calibri"/>
          <w:kern w:val="2"/>
          <w:highlight w:val="yellow"/>
        </w:rPr>
      </w:pPr>
      <w:bookmarkStart w:id="0" w:name="_Hlk204003461"/>
      <w:r w:rsidRPr="00046C34">
        <w:rPr>
          <w:rFonts w:ascii="Calibri" w:eastAsia="Calibri" w:hAnsi="Calibri"/>
          <w:kern w:val="2"/>
          <w:highlight w:val="yellow"/>
        </w:rPr>
        <w:t>Disclaimer (Artificial intelligence)</w:t>
      </w:r>
    </w:p>
    <w:p w14:paraId="2FF11063" w14:textId="77777777" w:rsidR="001D77F7" w:rsidRPr="00046C34" w:rsidRDefault="001D77F7" w:rsidP="001D77F7">
      <w:pPr>
        <w:rPr>
          <w:rFonts w:ascii="Calibri" w:eastAsia="Calibri" w:hAnsi="Calibri"/>
          <w:kern w:val="2"/>
          <w:highlight w:val="yellow"/>
        </w:rPr>
      </w:pPr>
      <w:r w:rsidRPr="00046C34">
        <w:rPr>
          <w:rFonts w:ascii="Calibri" w:eastAsia="Calibri" w:hAnsi="Calibri"/>
          <w:kern w:val="2"/>
          <w:highlight w:val="yellow"/>
        </w:rPr>
        <w:t xml:space="preserve">Option 1: </w:t>
      </w:r>
    </w:p>
    <w:p w14:paraId="35AF8E76" w14:textId="4177F961" w:rsidR="001D77F7" w:rsidRPr="00D22513" w:rsidRDefault="00D22513" w:rsidP="00D22513">
      <w:pPr>
        <w:rPr>
          <w:rFonts w:ascii="Calibri" w:eastAsia="Calibri" w:hAnsi="Calibri"/>
          <w:kern w:val="2"/>
          <w:highlight w:val="yellow"/>
        </w:rPr>
      </w:pPr>
      <w:r>
        <w:rPr>
          <w:rFonts w:ascii="Calibri" w:eastAsia="Calibri" w:hAnsi="Calibri"/>
          <w:kern w:val="2"/>
          <w:highlight w:val="yellow"/>
        </w:rPr>
        <w:t xml:space="preserve">I David </w:t>
      </w:r>
      <w:proofErr w:type="spellStart"/>
      <w:r>
        <w:rPr>
          <w:rFonts w:ascii="Calibri" w:eastAsia="Calibri" w:hAnsi="Calibri"/>
          <w:kern w:val="2"/>
          <w:highlight w:val="yellow"/>
        </w:rPr>
        <w:t>Olanrewaju</w:t>
      </w:r>
      <w:proofErr w:type="spellEnd"/>
      <w:r>
        <w:rPr>
          <w:rFonts w:ascii="Calibri" w:eastAsia="Calibri" w:hAnsi="Calibri"/>
          <w:kern w:val="2"/>
          <w:highlight w:val="yellow"/>
        </w:rPr>
        <w:t xml:space="preserve"> AKISANMI </w:t>
      </w:r>
      <w:r w:rsidR="001D77F7" w:rsidRPr="00046C34">
        <w:rPr>
          <w:rFonts w:ascii="Calibri" w:eastAsia="Calibri" w:hAnsi="Calibri"/>
          <w:kern w:val="2"/>
          <w:highlight w:val="yellow"/>
        </w:rPr>
        <w:t>hereby declare that NO generative AI technologies such as Large Language Models (</w:t>
      </w:r>
      <w:proofErr w:type="spellStart"/>
      <w:r w:rsidR="001D77F7" w:rsidRPr="00046C34">
        <w:rPr>
          <w:rFonts w:ascii="Calibri" w:eastAsia="Calibri" w:hAnsi="Calibri"/>
          <w:kern w:val="2"/>
          <w:highlight w:val="yellow"/>
        </w:rPr>
        <w:t>ChatGPT</w:t>
      </w:r>
      <w:proofErr w:type="spellEnd"/>
      <w:r w:rsidR="001D77F7" w:rsidRPr="00046C34">
        <w:rPr>
          <w:rFonts w:ascii="Calibri" w:eastAsia="Calibri" w:hAnsi="Calibri"/>
          <w:kern w:val="2"/>
          <w:highlight w:val="yellow"/>
        </w:rPr>
        <w:t xml:space="preserve">, COPILOT, etc.) and text-to-image generators have been used during the writing or editing of this manuscript. </w:t>
      </w:r>
      <w:bookmarkStart w:id="1" w:name="_GoBack"/>
      <w:bookmarkEnd w:id="0"/>
      <w:bookmarkEnd w:id="1"/>
    </w:p>
    <w:sdt>
      <w:sdtPr>
        <w:rPr>
          <w:rFonts w:ascii="Arial" w:eastAsiaTheme="minorHAnsi" w:hAnsi="Arial" w:cs="Arial"/>
          <w:b w:val="0"/>
          <w:bCs w:val="0"/>
          <w:color w:val="auto"/>
          <w:sz w:val="20"/>
          <w:szCs w:val="20"/>
        </w:rPr>
        <w:id w:val="1488213357"/>
        <w:docPartObj>
          <w:docPartGallery w:val="Bibliographies"/>
          <w:docPartUnique/>
        </w:docPartObj>
      </w:sdtPr>
      <w:sdtEndPr/>
      <w:sdtContent>
        <w:p w14:paraId="4AF1055C" w14:textId="77777777" w:rsidR="002C2057" w:rsidRPr="001147D3" w:rsidRDefault="002C2057" w:rsidP="001147D3">
          <w:pPr>
            <w:pStyle w:val="Heading1"/>
            <w:spacing w:line="240" w:lineRule="auto"/>
            <w:rPr>
              <w:rFonts w:ascii="Arial" w:hAnsi="Arial" w:cs="Arial"/>
              <w:sz w:val="20"/>
              <w:szCs w:val="20"/>
            </w:rPr>
          </w:pPr>
          <w:r w:rsidRPr="001147D3">
            <w:rPr>
              <w:rFonts w:ascii="Arial" w:hAnsi="Arial" w:cs="Arial"/>
              <w:sz w:val="20"/>
              <w:szCs w:val="20"/>
            </w:rPr>
            <w:t>Bibliography</w:t>
          </w:r>
        </w:p>
        <w:sdt>
          <w:sdtPr>
            <w:rPr>
              <w:rFonts w:ascii="Arial" w:hAnsi="Arial" w:cs="Arial"/>
              <w:sz w:val="20"/>
              <w:szCs w:val="20"/>
            </w:rPr>
            <w:id w:val="111145805"/>
            <w:bibliography/>
          </w:sdtPr>
          <w:sdtEndPr/>
          <w:sdtContent>
            <w:p w14:paraId="1B6788A5" w14:textId="77777777" w:rsidR="002C2057" w:rsidRPr="001147D3" w:rsidRDefault="002C2057" w:rsidP="001147D3">
              <w:pPr>
                <w:pStyle w:val="Bibliography"/>
                <w:spacing w:line="240" w:lineRule="auto"/>
                <w:rPr>
                  <w:rFonts w:ascii="Arial" w:hAnsi="Arial" w:cs="Arial"/>
                  <w:noProof/>
                  <w:sz w:val="20"/>
                  <w:szCs w:val="20"/>
                </w:rPr>
              </w:pPr>
              <w:r w:rsidRPr="001147D3">
                <w:rPr>
                  <w:rFonts w:ascii="Arial" w:hAnsi="Arial" w:cs="Arial"/>
                  <w:sz w:val="20"/>
                  <w:szCs w:val="20"/>
                </w:rPr>
                <w:fldChar w:fldCharType="begin"/>
              </w:r>
              <w:r w:rsidRPr="001147D3">
                <w:rPr>
                  <w:rFonts w:ascii="Arial" w:hAnsi="Arial" w:cs="Arial"/>
                  <w:sz w:val="20"/>
                  <w:szCs w:val="20"/>
                </w:rPr>
                <w:instrText xml:space="preserve"> BIBLIOGRAPHY </w:instrText>
              </w:r>
              <w:r w:rsidRPr="001147D3">
                <w:rPr>
                  <w:rFonts w:ascii="Arial" w:hAnsi="Arial" w:cs="Arial"/>
                  <w:sz w:val="20"/>
                  <w:szCs w:val="20"/>
                </w:rPr>
                <w:fldChar w:fldCharType="separate"/>
              </w:r>
              <w:r w:rsidRPr="001147D3">
                <w:rPr>
                  <w:rFonts w:ascii="Arial" w:hAnsi="Arial" w:cs="Arial"/>
                  <w:noProof/>
                  <w:sz w:val="20"/>
                  <w:szCs w:val="20"/>
                </w:rPr>
                <w:t xml:space="preserve">Adeyokunnu, J.A., Ishola, S.A. &amp; Bamisaye, S.O., 2025. An Exploratory Study of the Relationship Between Financial Technology (FinTech) and Associated Risks in Nigeria. </w:t>
              </w:r>
              <w:r w:rsidRPr="001147D3">
                <w:rPr>
                  <w:rFonts w:ascii="Arial" w:hAnsi="Arial" w:cs="Arial"/>
                  <w:i/>
                  <w:iCs/>
                  <w:noProof/>
                  <w:sz w:val="20"/>
                  <w:szCs w:val="20"/>
                </w:rPr>
                <w:t>British Journal of Interdisciplinary Research</w:t>
              </w:r>
              <w:r w:rsidRPr="001147D3">
                <w:rPr>
                  <w:rFonts w:ascii="Arial" w:hAnsi="Arial" w:cs="Arial"/>
                  <w:noProof/>
                  <w:sz w:val="20"/>
                  <w:szCs w:val="20"/>
                </w:rPr>
                <w:t>, 2(3), pp.57-70.</w:t>
              </w:r>
            </w:p>
            <w:p w14:paraId="6DF1F3D6" w14:textId="77777777" w:rsidR="002C2057" w:rsidRPr="001147D3" w:rsidRDefault="002C2057" w:rsidP="001147D3">
              <w:pPr>
                <w:pStyle w:val="Bibliography"/>
                <w:spacing w:line="240" w:lineRule="auto"/>
                <w:rPr>
                  <w:rFonts w:ascii="Arial" w:hAnsi="Arial" w:cs="Arial"/>
                  <w:noProof/>
                  <w:sz w:val="20"/>
                  <w:szCs w:val="20"/>
                </w:rPr>
              </w:pPr>
              <w:r w:rsidRPr="001147D3">
                <w:rPr>
                  <w:rFonts w:ascii="Arial" w:hAnsi="Arial" w:cs="Arial"/>
                  <w:noProof/>
                  <w:sz w:val="20"/>
                  <w:szCs w:val="20"/>
                </w:rPr>
                <w:t xml:space="preserve">Aldboush, h.H.H. &amp; Ferdous, M., 2023. Building Trust in Fintech: An Analysis of Ethical and Privacy Considerations in the Intersection of Big Data, AI, and Customer Trust. </w:t>
              </w:r>
              <w:r w:rsidRPr="001147D3">
                <w:rPr>
                  <w:rFonts w:ascii="Arial" w:hAnsi="Arial" w:cs="Arial"/>
                  <w:i/>
                  <w:iCs/>
                  <w:noProof/>
                  <w:sz w:val="20"/>
                  <w:szCs w:val="20"/>
                </w:rPr>
                <w:t>International Journal of Financial Studies</w:t>
              </w:r>
              <w:r w:rsidRPr="001147D3">
                <w:rPr>
                  <w:rFonts w:ascii="Arial" w:hAnsi="Arial" w:cs="Arial"/>
                  <w:noProof/>
                  <w:sz w:val="20"/>
                  <w:szCs w:val="20"/>
                </w:rPr>
                <w:t>, 11(3), p.90.</w:t>
              </w:r>
            </w:p>
            <w:p w14:paraId="76244709" w14:textId="77777777" w:rsidR="002C2057" w:rsidRPr="001147D3" w:rsidRDefault="002C2057" w:rsidP="001147D3">
              <w:pPr>
                <w:pStyle w:val="Bibliography"/>
                <w:spacing w:line="240" w:lineRule="auto"/>
                <w:rPr>
                  <w:rFonts w:ascii="Arial" w:hAnsi="Arial" w:cs="Arial"/>
                  <w:noProof/>
                  <w:sz w:val="20"/>
                  <w:szCs w:val="20"/>
                </w:rPr>
              </w:pPr>
              <w:r w:rsidRPr="001147D3">
                <w:rPr>
                  <w:rFonts w:ascii="Arial" w:hAnsi="Arial" w:cs="Arial"/>
                  <w:noProof/>
                  <w:sz w:val="20"/>
                  <w:szCs w:val="20"/>
                </w:rPr>
                <w:t xml:space="preserve">Arafat, Y.M., 2024. Research Ethics: Meaning and Principles. </w:t>
              </w:r>
              <w:r w:rsidRPr="001147D3">
                <w:rPr>
                  <w:rFonts w:ascii="Arial" w:hAnsi="Arial" w:cs="Arial"/>
                  <w:i/>
                  <w:iCs/>
                  <w:noProof/>
                  <w:sz w:val="20"/>
                  <w:szCs w:val="20"/>
                </w:rPr>
                <w:t>SSRN Electronic Journal</w:t>
              </w:r>
              <w:r w:rsidRPr="001147D3">
                <w:rPr>
                  <w:rFonts w:ascii="Arial" w:hAnsi="Arial" w:cs="Arial"/>
                  <w:noProof/>
                  <w:sz w:val="20"/>
                  <w:szCs w:val="20"/>
                </w:rPr>
                <w:t>, 8(1), pp.139-44.</w:t>
              </w:r>
            </w:p>
            <w:p w14:paraId="68C60C7E" w14:textId="77777777" w:rsidR="002C2057" w:rsidRPr="001147D3" w:rsidRDefault="002C2057" w:rsidP="001147D3">
              <w:pPr>
                <w:pStyle w:val="Bibliography"/>
                <w:spacing w:line="240" w:lineRule="auto"/>
                <w:rPr>
                  <w:rFonts w:ascii="Arial" w:hAnsi="Arial" w:cs="Arial"/>
                  <w:noProof/>
                  <w:sz w:val="20"/>
                  <w:szCs w:val="20"/>
                </w:rPr>
              </w:pPr>
              <w:r w:rsidRPr="001147D3">
                <w:rPr>
                  <w:rFonts w:ascii="Arial" w:hAnsi="Arial" w:cs="Arial"/>
                  <w:noProof/>
                  <w:sz w:val="20"/>
                  <w:szCs w:val="20"/>
                </w:rPr>
                <w:t xml:space="preserve">Atkinson, A., 2024. Who's affraid of bankruptcy? In </w:t>
              </w:r>
              <w:r w:rsidRPr="001147D3">
                <w:rPr>
                  <w:rFonts w:ascii="Arial" w:hAnsi="Arial" w:cs="Arial"/>
                  <w:i/>
                  <w:iCs/>
                  <w:noProof/>
                  <w:sz w:val="20"/>
                  <w:szCs w:val="20"/>
                </w:rPr>
                <w:t>Unjust Debts: How our bankruptcy system makes America more unequal</w:t>
              </w:r>
              <w:r w:rsidRPr="001147D3">
                <w:rPr>
                  <w:rFonts w:ascii="Arial" w:hAnsi="Arial" w:cs="Arial"/>
                  <w:noProof/>
                  <w:sz w:val="20"/>
                  <w:szCs w:val="20"/>
                </w:rPr>
                <w:t>. New York: New Press. p.308.</w:t>
              </w:r>
            </w:p>
            <w:p w14:paraId="10DA3117" w14:textId="77777777" w:rsidR="002C2057" w:rsidRPr="001147D3" w:rsidRDefault="002C2057" w:rsidP="001147D3">
              <w:pPr>
                <w:pStyle w:val="Bibliography"/>
                <w:spacing w:line="240" w:lineRule="auto"/>
                <w:rPr>
                  <w:rFonts w:ascii="Arial" w:hAnsi="Arial" w:cs="Arial"/>
                  <w:noProof/>
                  <w:sz w:val="20"/>
                  <w:szCs w:val="20"/>
                </w:rPr>
              </w:pPr>
              <w:r w:rsidRPr="001147D3">
                <w:rPr>
                  <w:rFonts w:ascii="Arial" w:hAnsi="Arial" w:cs="Arial"/>
                  <w:noProof/>
                  <w:sz w:val="20"/>
                  <w:szCs w:val="20"/>
                </w:rPr>
                <w:t xml:space="preserve">Bryman, A., 2016. </w:t>
              </w:r>
              <w:r w:rsidRPr="001147D3">
                <w:rPr>
                  <w:rFonts w:ascii="Arial" w:hAnsi="Arial" w:cs="Arial"/>
                  <w:i/>
                  <w:iCs/>
                  <w:noProof/>
                  <w:sz w:val="20"/>
                  <w:szCs w:val="20"/>
                </w:rPr>
                <w:t>Social Research Methods</w:t>
              </w:r>
              <w:r w:rsidRPr="001147D3">
                <w:rPr>
                  <w:rFonts w:ascii="Arial" w:hAnsi="Arial" w:cs="Arial"/>
                  <w:noProof/>
                  <w:sz w:val="20"/>
                  <w:szCs w:val="20"/>
                </w:rPr>
                <w:t>. 5th ed. London: Oxford University Press.</w:t>
              </w:r>
            </w:p>
            <w:p w14:paraId="1D9A07BD" w14:textId="77777777" w:rsidR="002C2057" w:rsidRPr="001147D3" w:rsidRDefault="002C2057" w:rsidP="001147D3">
              <w:pPr>
                <w:pStyle w:val="Bibliography"/>
                <w:spacing w:line="240" w:lineRule="auto"/>
                <w:rPr>
                  <w:rFonts w:ascii="Arial" w:hAnsi="Arial" w:cs="Arial"/>
                  <w:noProof/>
                  <w:sz w:val="20"/>
                  <w:szCs w:val="20"/>
                </w:rPr>
              </w:pPr>
              <w:r w:rsidRPr="001147D3">
                <w:rPr>
                  <w:rFonts w:ascii="Arial" w:hAnsi="Arial" w:cs="Arial"/>
                  <w:noProof/>
                  <w:sz w:val="20"/>
                  <w:szCs w:val="20"/>
                </w:rPr>
                <w:t xml:space="preserve">Creswell, J.W. &amp; Creswell, D.J., 2018. </w:t>
              </w:r>
              <w:r w:rsidRPr="001147D3">
                <w:rPr>
                  <w:rFonts w:ascii="Arial" w:hAnsi="Arial" w:cs="Arial"/>
                  <w:i/>
                  <w:iCs/>
                  <w:noProof/>
                  <w:sz w:val="20"/>
                  <w:szCs w:val="20"/>
                </w:rPr>
                <w:t>Research Design: Qualitative, Quantitative, and Mixed Methods Approach</w:t>
              </w:r>
              <w:r w:rsidRPr="001147D3">
                <w:rPr>
                  <w:rFonts w:ascii="Arial" w:hAnsi="Arial" w:cs="Arial"/>
                  <w:noProof/>
                  <w:sz w:val="20"/>
                  <w:szCs w:val="20"/>
                </w:rPr>
                <w:t>. 5th ed. California: Sage Publication.</w:t>
              </w:r>
            </w:p>
            <w:p w14:paraId="3927A2F8" w14:textId="77777777" w:rsidR="002C2057" w:rsidRPr="001147D3" w:rsidRDefault="002C2057" w:rsidP="001147D3">
              <w:pPr>
                <w:pStyle w:val="Bibliography"/>
                <w:spacing w:line="240" w:lineRule="auto"/>
                <w:rPr>
                  <w:rFonts w:ascii="Arial" w:hAnsi="Arial" w:cs="Arial"/>
                  <w:noProof/>
                  <w:sz w:val="20"/>
                  <w:szCs w:val="20"/>
                </w:rPr>
              </w:pPr>
              <w:r w:rsidRPr="001147D3">
                <w:rPr>
                  <w:rFonts w:ascii="Arial" w:hAnsi="Arial" w:cs="Arial"/>
                  <w:noProof/>
                  <w:sz w:val="20"/>
                  <w:szCs w:val="20"/>
                </w:rPr>
                <w:t xml:space="preserve">Davis, F.D., 1989. Perceived Usefulness, Perceived Ease of Use, and User Acceptance of Information Technology. </w:t>
              </w:r>
              <w:r w:rsidRPr="001147D3">
                <w:rPr>
                  <w:rFonts w:ascii="Arial" w:hAnsi="Arial" w:cs="Arial"/>
                  <w:i/>
                  <w:iCs/>
                  <w:noProof/>
                  <w:sz w:val="20"/>
                  <w:szCs w:val="20"/>
                </w:rPr>
                <w:t>MIS Quarterly</w:t>
              </w:r>
              <w:r w:rsidRPr="001147D3">
                <w:rPr>
                  <w:rFonts w:ascii="Arial" w:hAnsi="Arial" w:cs="Arial"/>
                  <w:noProof/>
                  <w:sz w:val="20"/>
                  <w:szCs w:val="20"/>
                </w:rPr>
                <w:t>, 13(3), pp.319-39.</w:t>
              </w:r>
            </w:p>
            <w:p w14:paraId="40A3DE9B" w14:textId="77777777" w:rsidR="002C2057" w:rsidRPr="001147D3" w:rsidRDefault="002C2057" w:rsidP="001147D3">
              <w:pPr>
                <w:pStyle w:val="Bibliography"/>
                <w:spacing w:line="240" w:lineRule="auto"/>
                <w:rPr>
                  <w:rFonts w:ascii="Arial" w:hAnsi="Arial" w:cs="Arial"/>
                  <w:noProof/>
                  <w:sz w:val="20"/>
                  <w:szCs w:val="20"/>
                </w:rPr>
              </w:pPr>
              <w:r w:rsidRPr="001147D3">
                <w:rPr>
                  <w:rFonts w:ascii="Arial" w:hAnsi="Arial" w:cs="Arial"/>
                  <w:noProof/>
                  <w:sz w:val="20"/>
                  <w:szCs w:val="20"/>
                </w:rPr>
                <w:t xml:space="preserve">Devlin, J.F. et al., 2025. Trust and FinTech: A Review and Research Agenda. </w:t>
              </w:r>
              <w:r w:rsidRPr="001147D3">
                <w:rPr>
                  <w:rFonts w:ascii="Arial" w:hAnsi="Arial" w:cs="Arial"/>
                  <w:i/>
                  <w:iCs/>
                  <w:noProof/>
                  <w:sz w:val="20"/>
                  <w:szCs w:val="20"/>
                </w:rPr>
                <w:t>Electronic Markets</w:t>
              </w:r>
              <w:r w:rsidRPr="001147D3">
                <w:rPr>
                  <w:rFonts w:ascii="Arial" w:hAnsi="Arial" w:cs="Arial"/>
                  <w:noProof/>
                  <w:sz w:val="20"/>
                  <w:szCs w:val="20"/>
                </w:rPr>
                <w:t>, 35(62), pp.1-17.</w:t>
              </w:r>
            </w:p>
            <w:p w14:paraId="699FCA54" w14:textId="77777777" w:rsidR="002C2057" w:rsidRPr="001147D3" w:rsidRDefault="002C2057" w:rsidP="001147D3">
              <w:pPr>
                <w:pStyle w:val="Bibliography"/>
                <w:spacing w:line="240" w:lineRule="auto"/>
                <w:rPr>
                  <w:rFonts w:ascii="Arial" w:hAnsi="Arial" w:cs="Arial"/>
                  <w:noProof/>
                  <w:sz w:val="20"/>
                  <w:szCs w:val="20"/>
                </w:rPr>
              </w:pPr>
              <w:r w:rsidRPr="001147D3">
                <w:rPr>
                  <w:rFonts w:ascii="Arial" w:hAnsi="Arial" w:cs="Arial"/>
                  <w:noProof/>
                  <w:sz w:val="20"/>
                  <w:szCs w:val="20"/>
                </w:rPr>
                <w:t xml:space="preserve">Dillman, D.A., Smyth, J.D. &amp; Christian, L.M., 2014. </w:t>
              </w:r>
              <w:r w:rsidRPr="001147D3">
                <w:rPr>
                  <w:rFonts w:ascii="Arial" w:hAnsi="Arial" w:cs="Arial"/>
                  <w:i/>
                  <w:iCs/>
                  <w:noProof/>
                  <w:sz w:val="20"/>
                  <w:szCs w:val="20"/>
                </w:rPr>
                <w:t>Internet, Phone, Mail, and Mixed</w:t>
              </w:r>
              <w:r w:rsidRPr="001147D3">
                <w:rPr>
                  <w:rFonts w:ascii="Cambria Math" w:hAnsi="Cambria Math" w:cs="Cambria Math"/>
                  <w:i/>
                  <w:iCs/>
                  <w:noProof/>
                  <w:sz w:val="20"/>
                  <w:szCs w:val="20"/>
                </w:rPr>
                <w:t>‐</w:t>
              </w:r>
              <w:r w:rsidRPr="001147D3">
                <w:rPr>
                  <w:rFonts w:ascii="Arial" w:hAnsi="Arial" w:cs="Arial"/>
                  <w:i/>
                  <w:iCs/>
                  <w:noProof/>
                  <w:sz w:val="20"/>
                  <w:szCs w:val="20"/>
                </w:rPr>
                <w:t>Mode Surveys: The Tailored Design Method</w:t>
              </w:r>
              <w:r w:rsidRPr="001147D3">
                <w:rPr>
                  <w:rFonts w:ascii="Arial" w:hAnsi="Arial" w:cs="Arial"/>
                  <w:noProof/>
                  <w:sz w:val="20"/>
                  <w:szCs w:val="20"/>
                </w:rPr>
                <w:t>. 4th ed. New Jersey: John Wiley &amp; Sons.</w:t>
              </w:r>
            </w:p>
            <w:p w14:paraId="3221F98B" w14:textId="77777777" w:rsidR="002C2057" w:rsidRPr="001147D3" w:rsidRDefault="002C2057" w:rsidP="001147D3">
              <w:pPr>
                <w:pStyle w:val="Bibliography"/>
                <w:spacing w:line="240" w:lineRule="auto"/>
                <w:rPr>
                  <w:rFonts w:ascii="Arial" w:hAnsi="Arial" w:cs="Arial"/>
                  <w:noProof/>
                  <w:sz w:val="20"/>
                  <w:szCs w:val="20"/>
                </w:rPr>
              </w:pPr>
              <w:r w:rsidRPr="001147D3">
                <w:rPr>
                  <w:rFonts w:ascii="Arial" w:hAnsi="Arial" w:cs="Arial"/>
                  <w:noProof/>
                  <w:sz w:val="20"/>
                  <w:szCs w:val="20"/>
                </w:rPr>
                <w:t xml:space="preserve">Etikan, I., 2016. Comparison of Convinience Sampling and Purposive Sampling. </w:t>
              </w:r>
              <w:r w:rsidRPr="001147D3">
                <w:rPr>
                  <w:rFonts w:ascii="Arial" w:hAnsi="Arial" w:cs="Arial"/>
                  <w:i/>
                  <w:iCs/>
                  <w:noProof/>
                  <w:sz w:val="20"/>
                  <w:szCs w:val="20"/>
                </w:rPr>
                <w:t>American Journal of Theoreticaal and Applied Statistics</w:t>
              </w:r>
              <w:r w:rsidRPr="001147D3">
                <w:rPr>
                  <w:rFonts w:ascii="Arial" w:hAnsi="Arial" w:cs="Arial"/>
                  <w:noProof/>
                  <w:sz w:val="20"/>
                  <w:szCs w:val="20"/>
                </w:rPr>
                <w:t>, 5(1), pp.1-7.</w:t>
              </w:r>
            </w:p>
            <w:p w14:paraId="5C6F1B17" w14:textId="77777777" w:rsidR="002C2057" w:rsidRPr="001147D3" w:rsidRDefault="002C2057" w:rsidP="001147D3">
              <w:pPr>
                <w:pStyle w:val="Bibliography"/>
                <w:spacing w:line="240" w:lineRule="auto"/>
                <w:rPr>
                  <w:rFonts w:ascii="Arial" w:hAnsi="Arial" w:cs="Arial"/>
                  <w:noProof/>
                  <w:sz w:val="20"/>
                  <w:szCs w:val="20"/>
                </w:rPr>
              </w:pPr>
              <w:r w:rsidRPr="001147D3">
                <w:rPr>
                  <w:rFonts w:ascii="Arial" w:hAnsi="Arial" w:cs="Arial"/>
                  <w:noProof/>
                  <w:sz w:val="20"/>
                  <w:szCs w:val="20"/>
                </w:rPr>
                <w:t xml:space="preserve">Field, A., 2013. </w:t>
              </w:r>
              <w:r w:rsidRPr="001147D3">
                <w:rPr>
                  <w:rFonts w:ascii="Arial" w:hAnsi="Arial" w:cs="Arial"/>
                  <w:i/>
                  <w:iCs/>
                  <w:noProof/>
                  <w:sz w:val="20"/>
                  <w:szCs w:val="20"/>
                </w:rPr>
                <w:t>Discovering Statistics Using IBM SPSS Statistics: And Sex and Drugs and Rock “N” Roll</w:t>
              </w:r>
              <w:r w:rsidRPr="001147D3">
                <w:rPr>
                  <w:rFonts w:ascii="Arial" w:hAnsi="Arial" w:cs="Arial"/>
                  <w:noProof/>
                  <w:sz w:val="20"/>
                  <w:szCs w:val="20"/>
                </w:rPr>
                <w:t>. 4th ed. London: Sage Publications.</w:t>
              </w:r>
            </w:p>
            <w:p w14:paraId="2D6F3A24" w14:textId="77777777" w:rsidR="002C2057" w:rsidRPr="001147D3" w:rsidRDefault="002C2057" w:rsidP="001147D3">
              <w:pPr>
                <w:pStyle w:val="Bibliography"/>
                <w:spacing w:line="240" w:lineRule="auto"/>
                <w:rPr>
                  <w:rFonts w:ascii="Arial" w:hAnsi="Arial" w:cs="Arial"/>
                  <w:noProof/>
                  <w:sz w:val="20"/>
                  <w:szCs w:val="20"/>
                </w:rPr>
              </w:pPr>
              <w:r w:rsidRPr="001147D3">
                <w:rPr>
                  <w:rFonts w:ascii="Arial" w:hAnsi="Arial" w:cs="Arial"/>
                  <w:noProof/>
                  <w:sz w:val="20"/>
                  <w:szCs w:val="20"/>
                </w:rPr>
                <w:t xml:space="preserve">Igbinenikaro, E. &amp; Adewusi, A.O., 2024. Financial Law: Policy Frameworks for Regulating FinTech Innovations: Ensuring Consumer Protection While Fostering Innovation. </w:t>
              </w:r>
              <w:r w:rsidRPr="001147D3">
                <w:rPr>
                  <w:rFonts w:ascii="Arial" w:hAnsi="Arial" w:cs="Arial"/>
                  <w:i/>
                  <w:iCs/>
                  <w:noProof/>
                  <w:sz w:val="20"/>
                  <w:szCs w:val="20"/>
                </w:rPr>
                <w:t>Finance &amp; Accounting Research Journal</w:t>
              </w:r>
              <w:r w:rsidRPr="001147D3">
                <w:rPr>
                  <w:rFonts w:ascii="Arial" w:hAnsi="Arial" w:cs="Arial"/>
                  <w:noProof/>
                  <w:sz w:val="20"/>
                  <w:szCs w:val="20"/>
                </w:rPr>
                <w:t>, 6(4), pp.515-30.</w:t>
              </w:r>
            </w:p>
            <w:p w14:paraId="1F16496D" w14:textId="77777777" w:rsidR="002C2057" w:rsidRPr="001147D3" w:rsidRDefault="002C2057" w:rsidP="001147D3">
              <w:pPr>
                <w:pStyle w:val="Bibliography"/>
                <w:spacing w:line="240" w:lineRule="auto"/>
                <w:rPr>
                  <w:rFonts w:ascii="Arial" w:hAnsi="Arial" w:cs="Arial"/>
                  <w:noProof/>
                  <w:sz w:val="20"/>
                  <w:szCs w:val="20"/>
                </w:rPr>
              </w:pPr>
              <w:r w:rsidRPr="001147D3">
                <w:rPr>
                  <w:rFonts w:ascii="Arial" w:hAnsi="Arial" w:cs="Arial"/>
                  <w:noProof/>
                  <w:sz w:val="20"/>
                  <w:szCs w:val="20"/>
                </w:rPr>
                <w:t xml:space="preserve">Ikpe, E.O., 2025. Exploring Digital Distrust and E-Payment Adoption Among Rural Adults in Cross River State, Nigeria: Implications for The Advancement of FinTech Development. </w:t>
              </w:r>
              <w:r w:rsidRPr="001147D3">
                <w:rPr>
                  <w:rFonts w:ascii="Arial" w:hAnsi="Arial" w:cs="Arial"/>
                  <w:i/>
                  <w:iCs/>
                  <w:noProof/>
                  <w:sz w:val="20"/>
                  <w:szCs w:val="20"/>
                </w:rPr>
                <w:t>International Journal of Functional Research in Arts &amp; Humanities</w:t>
              </w:r>
              <w:r w:rsidRPr="001147D3">
                <w:rPr>
                  <w:rFonts w:ascii="Arial" w:hAnsi="Arial" w:cs="Arial"/>
                  <w:noProof/>
                  <w:sz w:val="20"/>
                  <w:szCs w:val="20"/>
                </w:rPr>
                <w:t>, 4(2), pp.155-60.</w:t>
              </w:r>
            </w:p>
            <w:p w14:paraId="350BA5FA" w14:textId="77777777" w:rsidR="002C2057" w:rsidRPr="001147D3" w:rsidRDefault="002C2057" w:rsidP="001147D3">
              <w:pPr>
                <w:pStyle w:val="Bibliography"/>
                <w:spacing w:line="240" w:lineRule="auto"/>
                <w:rPr>
                  <w:rFonts w:ascii="Arial" w:hAnsi="Arial" w:cs="Arial"/>
                  <w:noProof/>
                  <w:sz w:val="20"/>
                  <w:szCs w:val="20"/>
                </w:rPr>
              </w:pPr>
              <w:r w:rsidRPr="001147D3">
                <w:rPr>
                  <w:rFonts w:ascii="Arial" w:hAnsi="Arial" w:cs="Arial"/>
                  <w:noProof/>
                  <w:sz w:val="20"/>
                  <w:szCs w:val="20"/>
                </w:rPr>
                <w:t xml:space="preserve">Jais, Z. et al., 2024. Online Scam: A Systematic Literature Review. </w:t>
              </w:r>
              <w:r w:rsidRPr="001147D3">
                <w:rPr>
                  <w:rFonts w:ascii="Arial" w:hAnsi="Arial" w:cs="Arial"/>
                  <w:i/>
                  <w:iCs/>
                  <w:noProof/>
                  <w:sz w:val="20"/>
                  <w:szCs w:val="20"/>
                </w:rPr>
                <w:t>Jurnal 'Ulwan</w:t>
              </w:r>
              <w:r w:rsidRPr="001147D3">
                <w:rPr>
                  <w:rFonts w:ascii="Arial" w:hAnsi="Arial" w:cs="Arial"/>
                  <w:noProof/>
                  <w:sz w:val="20"/>
                  <w:szCs w:val="20"/>
                </w:rPr>
                <w:t>, 9(1), pp.257-80.</w:t>
              </w:r>
            </w:p>
            <w:p w14:paraId="1AEB3752" w14:textId="77777777" w:rsidR="002C2057" w:rsidRPr="001147D3" w:rsidRDefault="002C2057" w:rsidP="001147D3">
              <w:pPr>
                <w:pStyle w:val="Bibliography"/>
                <w:spacing w:line="240" w:lineRule="auto"/>
                <w:rPr>
                  <w:rFonts w:ascii="Arial" w:hAnsi="Arial" w:cs="Arial"/>
                  <w:noProof/>
                  <w:sz w:val="20"/>
                  <w:szCs w:val="20"/>
                </w:rPr>
              </w:pPr>
              <w:r w:rsidRPr="001147D3">
                <w:rPr>
                  <w:rFonts w:ascii="Arial" w:hAnsi="Arial" w:cs="Arial"/>
                  <w:noProof/>
                  <w:sz w:val="20"/>
                  <w:szCs w:val="20"/>
                </w:rPr>
                <w:t xml:space="preserve">Likert, R., 1932. A Technique for the Measurement of Attitudes. </w:t>
              </w:r>
              <w:r w:rsidRPr="001147D3">
                <w:rPr>
                  <w:rFonts w:ascii="Arial" w:hAnsi="Arial" w:cs="Arial"/>
                  <w:i/>
                  <w:iCs/>
                  <w:noProof/>
                  <w:sz w:val="20"/>
                  <w:szCs w:val="20"/>
                </w:rPr>
                <w:t>Archives of Psychology</w:t>
              </w:r>
              <w:r w:rsidRPr="001147D3">
                <w:rPr>
                  <w:rFonts w:ascii="Arial" w:hAnsi="Arial" w:cs="Arial"/>
                  <w:noProof/>
                  <w:sz w:val="20"/>
                  <w:szCs w:val="20"/>
                </w:rPr>
                <w:t>, 22(140), p.55.</w:t>
              </w:r>
            </w:p>
            <w:p w14:paraId="4CB613EA" w14:textId="77777777" w:rsidR="002C2057" w:rsidRPr="001147D3" w:rsidRDefault="002C2057" w:rsidP="001147D3">
              <w:pPr>
                <w:pStyle w:val="Bibliography"/>
                <w:spacing w:line="240" w:lineRule="auto"/>
                <w:rPr>
                  <w:rFonts w:ascii="Arial" w:hAnsi="Arial" w:cs="Arial"/>
                  <w:noProof/>
                  <w:sz w:val="20"/>
                  <w:szCs w:val="20"/>
                </w:rPr>
              </w:pPr>
              <w:r w:rsidRPr="001147D3">
                <w:rPr>
                  <w:rFonts w:ascii="Arial" w:hAnsi="Arial" w:cs="Arial"/>
                  <w:noProof/>
                  <w:sz w:val="20"/>
                  <w:szCs w:val="20"/>
                </w:rPr>
                <w:t xml:space="preserve">Majid, S., Chaudhary, M.G. &amp; Ali, U., 2022. Financial Literacy and Adoption of FinTech: The Role of Financial Risk Tolerance. </w:t>
              </w:r>
              <w:r w:rsidRPr="001147D3">
                <w:rPr>
                  <w:rFonts w:ascii="Arial" w:hAnsi="Arial" w:cs="Arial"/>
                  <w:i/>
                  <w:iCs/>
                  <w:noProof/>
                  <w:sz w:val="20"/>
                  <w:szCs w:val="20"/>
                </w:rPr>
                <w:t>Global Social Sciences Review</w:t>
              </w:r>
              <w:r w:rsidRPr="001147D3">
                <w:rPr>
                  <w:rFonts w:ascii="Arial" w:hAnsi="Arial" w:cs="Arial"/>
                  <w:noProof/>
                  <w:sz w:val="20"/>
                  <w:szCs w:val="20"/>
                </w:rPr>
                <w:t>, 7(1), pp.168-79.</w:t>
              </w:r>
            </w:p>
            <w:p w14:paraId="0026CAA8" w14:textId="77777777" w:rsidR="002C2057" w:rsidRPr="001147D3" w:rsidRDefault="002C2057" w:rsidP="001147D3">
              <w:pPr>
                <w:pStyle w:val="Bibliography"/>
                <w:spacing w:line="240" w:lineRule="auto"/>
                <w:rPr>
                  <w:rFonts w:ascii="Arial" w:hAnsi="Arial" w:cs="Arial"/>
                  <w:noProof/>
                  <w:sz w:val="20"/>
                  <w:szCs w:val="20"/>
                </w:rPr>
              </w:pPr>
              <w:r w:rsidRPr="001147D3">
                <w:rPr>
                  <w:rFonts w:ascii="Arial" w:hAnsi="Arial" w:cs="Arial"/>
                  <w:noProof/>
                  <w:sz w:val="20"/>
                  <w:szCs w:val="20"/>
                </w:rPr>
                <w:t xml:space="preserve">Ogbonna, K.A., Joy, A., Chukwuma, A. &amp; Ogungbangbe, B., 2024. Fintech and business growth in the banking industry: An outlook from Opay microfinance bank Nigeria limited. </w:t>
              </w:r>
              <w:r w:rsidRPr="001147D3">
                <w:rPr>
                  <w:rFonts w:ascii="Arial" w:hAnsi="Arial" w:cs="Arial"/>
                  <w:i/>
                  <w:iCs/>
                  <w:noProof/>
                  <w:sz w:val="20"/>
                  <w:szCs w:val="20"/>
                </w:rPr>
                <w:t>Journal of Management Science</w:t>
              </w:r>
              <w:r w:rsidRPr="001147D3">
                <w:rPr>
                  <w:rFonts w:ascii="Arial" w:hAnsi="Arial" w:cs="Arial"/>
                  <w:noProof/>
                  <w:sz w:val="20"/>
                  <w:szCs w:val="20"/>
                </w:rPr>
                <w:t>, 14(1), pp.87-91.</w:t>
              </w:r>
            </w:p>
            <w:p w14:paraId="6B394FEB" w14:textId="77777777" w:rsidR="002C2057" w:rsidRPr="001147D3" w:rsidRDefault="002C2057" w:rsidP="001147D3">
              <w:pPr>
                <w:pStyle w:val="Bibliography"/>
                <w:spacing w:line="240" w:lineRule="auto"/>
                <w:rPr>
                  <w:rFonts w:ascii="Arial" w:hAnsi="Arial" w:cs="Arial"/>
                  <w:noProof/>
                  <w:sz w:val="20"/>
                  <w:szCs w:val="20"/>
                </w:rPr>
              </w:pPr>
              <w:r w:rsidRPr="001147D3">
                <w:rPr>
                  <w:rFonts w:ascii="Arial" w:hAnsi="Arial" w:cs="Arial"/>
                  <w:noProof/>
                  <w:sz w:val="20"/>
                  <w:szCs w:val="20"/>
                </w:rPr>
                <w:t xml:space="preserve">Ogunode, O.A. &amp; Akintoye, R.I., 2023. Financial Technologies and Financial Inclusion in Emerging Economies: Perspectives from Nigeria. </w:t>
              </w:r>
              <w:r w:rsidRPr="001147D3">
                <w:rPr>
                  <w:rFonts w:ascii="Arial" w:hAnsi="Arial" w:cs="Arial"/>
                  <w:i/>
                  <w:iCs/>
                  <w:noProof/>
                  <w:sz w:val="20"/>
                  <w:szCs w:val="20"/>
                </w:rPr>
                <w:t>Asian Journal of Economics, Business and Accounting</w:t>
              </w:r>
              <w:r w:rsidRPr="001147D3">
                <w:rPr>
                  <w:rFonts w:ascii="Arial" w:hAnsi="Arial" w:cs="Arial"/>
                  <w:noProof/>
                  <w:sz w:val="20"/>
                  <w:szCs w:val="20"/>
                </w:rPr>
                <w:t>, 23(1), pp.38-54.</w:t>
              </w:r>
            </w:p>
            <w:p w14:paraId="10BBCFC1" w14:textId="77777777" w:rsidR="002C2057" w:rsidRPr="001147D3" w:rsidRDefault="002C2057" w:rsidP="001147D3">
              <w:pPr>
                <w:pStyle w:val="Bibliography"/>
                <w:spacing w:line="240" w:lineRule="auto"/>
                <w:rPr>
                  <w:rFonts w:ascii="Arial" w:hAnsi="Arial" w:cs="Arial"/>
                  <w:noProof/>
                  <w:sz w:val="20"/>
                  <w:szCs w:val="20"/>
                </w:rPr>
              </w:pPr>
              <w:r w:rsidRPr="001147D3">
                <w:rPr>
                  <w:rFonts w:ascii="Arial" w:hAnsi="Arial" w:cs="Arial"/>
                  <w:noProof/>
                  <w:sz w:val="20"/>
                  <w:szCs w:val="20"/>
                </w:rPr>
                <w:lastRenderedPageBreak/>
                <w:t xml:space="preserve">Okoh, J.I., Stephen, O., Afrogha, O.O. &amp; Adamu, M.A., 2025. Challenges of Financial Technology (FINTECH) Innovations of Small Enterprises in SouthWest, Nigeria. </w:t>
              </w:r>
              <w:r w:rsidRPr="001147D3">
                <w:rPr>
                  <w:rFonts w:ascii="Arial" w:hAnsi="Arial" w:cs="Arial"/>
                  <w:i/>
                  <w:iCs/>
                  <w:noProof/>
                  <w:sz w:val="20"/>
                  <w:szCs w:val="20"/>
                </w:rPr>
                <w:t>NIU Journal of Social Sciences</w:t>
              </w:r>
              <w:r w:rsidRPr="001147D3">
                <w:rPr>
                  <w:rFonts w:ascii="Arial" w:hAnsi="Arial" w:cs="Arial"/>
                  <w:noProof/>
                  <w:sz w:val="20"/>
                  <w:szCs w:val="20"/>
                </w:rPr>
                <w:t>, 11(1), pp.207-16.</w:t>
              </w:r>
            </w:p>
            <w:p w14:paraId="101DD7D6" w14:textId="77777777" w:rsidR="002C2057" w:rsidRPr="001147D3" w:rsidRDefault="002C2057" w:rsidP="001147D3">
              <w:pPr>
                <w:pStyle w:val="Bibliography"/>
                <w:spacing w:line="240" w:lineRule="auto"/>
                <w:rPr>
                  <w:rFonts w:ascii="Arial" w:hAnsi="Arial" w:cs="Arial"/>
                  <w:noProof/>
                  <w:sz w:val="20"/>
                  <w:szCs w:val="20"/>
                </w:rPr>
              </w:pPr>
              <w:r w:rsidRPr="001147D3">
                <w:rPr>
                  <w:rFonts w:ascii="Arial" w:hAnsi="Arial" w:cs="Arial"/>
                  <w:noProof/>
                  <w:sz w:val="20"/>
                  <w:szCs w:val="20"/>
                </w:rPr>
                <w:t xml:space="preserve">Omijeh, B.O., 2023. The Effect of Online Fraudon the Adoption of Digital Economy inNigeria: A Review. </w:t>
              </w:r>
              <w:r w:rsidRPr="001147D3">
                <w:rPr>
                  <w:rFonts w:ascii="Arial" w:hAnsi="Arial" w:cs="Arial"/>
                  <w:i/>
                  <w:iCs/>
                  <w:noProof/>
                  <w:sz w:val="20"/>
                  <w:szCs w:val="20"/>
                </w:rPr>
                <w:t>Afropolitan Journals</w:t>
              </w:r>
              <w:r w:rsidRPr="001147D3">
                <w:rPr>
                  <w:rFonts w:ascii="Arial" w:hAnsi="Arial" w:cs="Arial"/>
                  <w:noProof/>
                  <w:sz w:val="20"/>
                  <w:szCs w:val="20"/>
                </w:rPr>
                <w:t>, 10(1), pp.26-33.</w:t>
              </w:r>
            </w:p>
            <w:p w14:paraId="63EDF379" w14:textId="77777777" w:rsidR="002C2057" w:rsidRPr="001147D3" w:rsidRDefault="002C2057" w:rsidP="001147D3">
              <w:pPr>
                <w:pStyle w:val="Bibliography"/>
                <w:spacing w:line="240" w:lineRule="auto"/>
                <w:rPr>
                  <w:rFonts w:ascii="Arial" w:hAnsi="Arial" w:cs="Arial"/>
                  <w:noProof/>
                  <w:sz w:val="20"/>
                  <w:szCs w:val="20"/>
                </w:rPr>
              </w:pPr>
              <w:r w:rsidRPr="001147D3">
                <w:rPr>
                  <w:rFonts w:ascii="Arial" w:hAnsi="Arial" w:cs="Arial"/>
                  <w:noProof/>
                  <w:sz w:val="20"/>
                  <w:szCs w:val="20"/>
                </w:rPr>
                <w:t xml:space="preserve">Palinkas, L.A. et al., 2013. Purposeful Sampling for Qualitative Data Collection and Analysis in Mixed Method Implementation Research. </w:t>
              </w:r>
              <w:r w:rsidRPr="001147D3">
                <w:rPr>
                  <w:rFonts w:ascii="Arial" w:hAnsi="Arial" w:cs="Arial"/>
                  <w:i/>
                  <w:iCs/>
                  <w:noProof/>
                  <w:sz w:val="20"/>
                  <w:szCs w:val="20"/>
                </w:rPr>
                <w:t>Administration and Policy in Mental Health and Mental Health Services Research</w:t>
              </w:r>
              <w:r w:rsidRPr="001147D3">
                <w:rPr>
                  <w:rFonts w:ascii="Arial" w:hAnsi="Arial" w:cs="Arial"/>
                  <w:noProof/>
                  <w:sz w:val="20"/>
                  <w:szCs w:val="20"/>
                </w:rPr>
                <w:t>, 42(5), pp.1-12.</w:t>
              </w:r>
            </w:p>
            <w:p w14:paraId="3AA254C8" w14:textId="77777777" w:rsidR="002C2057" w:rsidRPr="001147D3" w:rsidRDefault="002C2057" w:rsidP="001147D3">
              <w:pPr>
                <w:pStyle w:val="Bibliography"/>
                <w:spacing w:line="240" w:lineRule="auto"/>
                <w:rPr>
                  <w:rFonts w:ascii="Arial" w:hAnsi="Arial" w:cs="Arial"/>
                  <w:noProof/>
                  <w:sz w:val="20"/>
                  <w:szCs w:val="20"/>
                </w:rPr>
              </w:pPr>
              <w:r w:rsidRPr="001147D3">
                <w:rPr>
                  <w:rFonts w:ascii="Arial" w:hAnsi="Arial" w:cs="Arial"/>
                  <w:noProof/>
                  <w:sz w:val="20"/>
                  <w:szCs w:val="20"/>
                </w:rPr>
                <w:t xml:space="preserve">Siegrist, M. &amp; Arvai, J., 2020. Risk Perception: Reflections on 40 Years of Research. </w:t>
              </w:r>
              <w:r w:rsidRPr="001147D3">
                <w:rPr>
                  <w:rFonts w:ascii="Arial" w:hAnsi="Arial" w:cs="Arial"/>
                  <w:i/>
                  <w:iCs/>
                  <w:noProof/>
                  <w:sz w:val="20"/>
                  <w:szCs w:val="20"/>
                </w:rPr>
                <w:t>Risk Analysis: An International Journal</w:t>
              </w:r>
              <w:r w:rsidRPr="001147D3">
                <w:rPr>
                  <w:rFonts w:ascii="Arial" w:hAnsi="Arial" w:cs="Arial"/>
                  <w:noProof/>
                  <w:sz w:val="20"/>
                  <w:szCs w:val="20"/>
                </w:rPr>
                <w:t>, 40(S1), pp.2191-206.</w:t>
              </w:r>
            </w:p>
            <w:p w14:paraId="009B3EBF" w14:textId="77777777" w:rsidR="002C2057" w:rsidRPr="001147D3" w:rsidRDefault="002C2057" w:rsidP="001147D3">
              <w:pPr>
                <w:spacing w:line="240" w:lineRule="auto"/>
                <w:rPr>
                  <w:rFonts w:ascii="Arial" w:hAnsi="Arial" w:cs="Arial"/>
                  <w:sz w:val="20"/>
                  <w:szCs w:val="20"/>
                </w:rPr>
              </w:pPr>
              <w:r w:rsidRPr="001147D3">
                <w:rPr>
                  <w:rFonts w:ascii="Arial" w:hAnsi="Arial" w:cs="Arial"/>
                  <w:b/>
                  <w:bCs/>
                  <w:noProof/>
                  <w:sz w:val="20"/>
                  <w:szCs w:val="20"/>
                </w:rPr>
                <w:fldChar w:fldCharType="end"/>
              </w:r>
            </w:p>
          </w:sdtContent>
        </w:sdt>
      </w:sdtContent>
    </w:sdt>
    <w:p w14:paraId="5EC2E0CE" w14:textId="77777777" w:rsidR="002C2057" w:rsidRPr="001147D3" w:rsidRDefault="002C2057" w:rsidP="001147D3">
      <w:pPr>
        <w:spacing w:line="240" w:lineRule="auto"/>
        <w:rPr>
          <w:rFonts w:ascii="Arial" w:hAnsi="Arial" w:cs="Arial"/>
          <w:sz w:val="20"/>
          <w:szCs w:val="20"/>
        </w:rPr>
      </w:pPr>
    </w:p>
    <w:p w14:paraId="75371A3F" w14:textId="77777777" w:rsidR="002C2057" w:rsidRPr="001147D3" w:rsidRDefault="002C2057" w:rsidP="001147D3">
      <w:pPr>
        <w:spacing w:line="240" w:lineRule="auto"/>
        <w:rPr>
          <w:rFonts w:ascii="Arial" w:hAnsi="Arial" w:cs="Arial"/>
          <w:sz w:val="20"/>
          <w:szCs w:val="20"/>
        </w:rPr>
      </w:pPr>
    </w:p>
    <w:p w14:paraId="5DF6DF44" w14:textId="77777777" w:rsidR="002C2057" w:rsidRPr="00014C28" w:rsidRDefault="002C2057" w:rsidP="001147D3">
      <w:pPr>
        <w:pStyle w:val="Heading1"/>
        <w:spacing w:line="240" w:lineRule="auto"/>
        <w:rPr>
          <w:rFonts w:ascii="Arial" w:hAnsi="Arial" w:cs="Arial"/>
          <w:sz w:val="22"/>
          <w:szCs w:val="20"/>
        </w:rPr>
      </w:pPr>
      <w:r w:rsidRPr="00014C28">
        <w:rPr>
          <w:rFonts w:ascii="Arial" w:hAnsi="Arial" w:cs="Arial"/>
          <w:sz w:val="22"/>
          <w:szCs w:val="20"/>
        </w:rPr>
        <w:t>Appendix</w:t>
      </w:r>
    </w:p>
    <w:p w14:paraId="62E0219F" w14:textId="77777777" w:rsidR="008610A6" w:rsidRPr="001147D3" w:rsidRDefault="008610A6" w:rsidP="001147D3">
      <w:pPr>
        <w:spacing w:before="100" w:beforeAutospacing="1" w:after="100" w:afterAutospacing="1" w:line="240" w:lineRule="auto"/>
        <w:jc w:val="left"/>
        <w:outlineLvl w:val="2"/>
        <w:rPr>
          <w:rFonts w:ascii="Arial" w:eastAsia="Times New Roman" w:hAnsi="Arial" w:cs="Arial"/>
          <w:b/>
          <w:bCs/>
          <w:sz w:val="20"/>
          <w:szCs w:val="20"/>
        </w:rPr>
      </w:pPr>
      <w:r w:rsidRPr="001147D3">
        <w:rPr>
          <w:rFonts w:ascii="Arial" w:eastAsia="Times New Roman" w:hAnsi="Arial" w:cs="Arial"/>
          <w:b/>
          <w:bCs/>
          <w:sz w:val="20"/>
          <w:szCs w:val="20"/>
        </w:rPr>
        <w:t>Questionnaire: Fear of Bankruptcy and Scam? Risk Perception and Adoption of FinTech Banks in Nigeria</w:t>
      </w:r>
    </w:p>
    <w:p w14:paraId="4B76BC82" w14:textId="77777777" w:rsidR="008610A6" w:rsidRPr="001147D3" w:rsidRDefault="008610A6" w:rsidP="001147D3">
      <w:pPr>
        <w:spacing w:before="100" w:beforeAutospacing="1" w:after="100" w:afterAutospacing="1" w:line="240" w:lineRule="auto"/>
        <w:jc w:val="left"/>
        <w:outlineLvl w:val="3"/>
        <w:rPr>
          <w:rFonts w:ascii="Arial" w:eastAsia="Times New Roman" w:hAnsi="Arial" w:cs="Arial"/>
          <w:b/>
          <w:bCs/>
          <w:sz w:val="20"/>
          <w:szCs w:val="20"/>
        </w:rPr>
      </w:pPr>
      <w:r w:rsidRPr="001147D3">
        <w:rPr>
          <w:rFonts w:ascii="Arial" w:eastAsia="Times New Roman" w:hAnsi="Arial" w:cs="Arial"/>
          <w:b/>
          <w:bCs/>
          <w:sz w:val="20"/>
          <w:szCs w:val="20"/>
        </w:rPr>
        <w:t>Section A: Demographic Information</w:t>
      </w:r>
    </w:p>
    <w:p w14:paraId="252AA8B6" w14:textId="77777777" w:rsidR="008610A6" w:rsidRPr="001147D3" w:rsidRDefault="008610A6" w:rsidP="001147D3">
      <w:pPr>
        <w:spacing w:before="100" w:beforeAutospacing="1" w:after="100" w:afterAutospacing="1" w:line="240" w:lineRule="auto"/>
        <w:jc w:val="left"/>
        <w:rPr>
          <w:rFonts w:ascii="Arial" w:eastAsia="Times New Roman" w:hAnsi="Arial" w:cs="Arial"/>
          <w:sz w:val="20"/>
          <w:szCs w:val="20"/>
        </w:rPr>
      </w:pPr>
      <w:r w:rsidRPr="001147D3">
        <w:rPr>
          <w:rFonts w:ascii="Arial" w:eastAsia="Times New Roman" w:hAnsi="Arial" w:cs="Arial"/>
          <w:sz w:val="20"/>
          <w:szCs w:val="20"/>
        </w:rPr>
        <w:t>Please fill out the following demographic information.</w:t>
      </w:r>
    </w:p>
    <w:p w14:paraId="70970DA7" w14:textId="77777777" w:rsidR="008610A6" w:rsidRPr="001147D3" w:rsidRDefault="008610A6" w:rsidP="001147D3">
      <w:pPr>
        <w:numPr>
          <w:ilvl w:val="0"/>
          <w:numId w:val="5"/>
        </w:numPr>
        <w:spacing w:before="100" w:beforeAutospacing="1" w:after="100" w:afterAutospacing="1" w:line="240" w:lineRule="auto"/>
        <w:jc w:val="left"/>
        <w:rPr>
          <w:rFonts w:ascii="Arial" w:eastAsia="Times New Roman" w:hAnsi="Arial" w:cs="Arial"/>
          <w:sz w:val="20"/>
          <w:szCs w:val="20"/>
        </w:rPr>
      </w:pPr>
      <w:r w:rsidRPr="001147D3">
        <w:rPr>
          <w:rFonts w:ascii="Arial" w:eastAsia="Times New Roman" w:hAnsi="Arial" w:cs="Arial"/>
          <w:b/>
          <w:bCs/>
          <w:sz w:val="20"/>
          <w:szCs w:val="20"/>
        </w:rPr>
        <w:t>Age</w:t>
      </w:r>
      <w:r w:rsidRPr="001147D3">
        <w:rPr>
          <w:rFonts w:ascii="Arial" w:eastAsia="Times New Roman" w:hAnsi="Arial" w:cs="Arial"/>
          <w:sz w:val="20"/>
          <w:szCs w:val="20"/>
        </w:rPr>
        <w:t>:</w:t>
      </w:r>
      <w:r w:rsidRPr="001147D3">
        <w:rPr>
          <w:rFonts w:ascii="Arial" w:eastAsia="Times New Roman" w:hAnsi="Arial" w:cs="Arial"/>
          <w:sz w:val="20"/>
          <w:szCs w:val="20"/>
        </w:rPr>
        <w:br/>
        <w:t>a) 18-24</w:t>
      </w:r>
      <w:r w:rsidRPr="001147D3">
        <w:rPr>
          <w:rFonts w:ascii="Arial" w:eastAsia="Times New Roman" w:hAnsi="Arial" w:cs="Arial"/>
          <w:sz w:val="20"/>
          <w:szCs w:val="20"/>
        </w:rPr>
        <w:br/>
        <w:t>b) 25-34</w:t>
      </w:r>
      <w:r w:rsidRPr="001147D3">
        <w:rPr>
          <w:rFonts w:ascii="Arial" w:eastAsia="Times New Roman" w:hAnsi="Arial" w:cs="Arial"/>
          <w:sz w:val="20"/>
          <w:szCs w:val="20"/>
        </w:rPr>
        <w:br/>
        <w:t>c) 35-44</w:t>
      </w:r>
      <w:r w:rsidRPr="001147D3">
        <w:rPr>
          <w:rFonts w:ascii="Arial" w:eastAsia="Times New Roman" w:hAnsi="Arial" w:cs="Arial"/>
          <w:sz w:val="20"/>
          <w:szCs w:val="20"/>
        </w:rPr>
        <w:br/>
        <w:t>d) 45-54</w:t>
      </w:r>
      <w:r w:rsidRPr="001147D3">
        <w:rPr>
          <w:rFonts w:ascii="Arial" w:eastAsia="Times New Roman" w:hAnsi="Arial" w:cs="Arial"/>
          <w:sz w:val="20"/>
          <w:szCs w:val="20"/>
        </w:rPr>
        <w:br/>
        <w:t>e) 55 and above</w:t>
      </w:r>
    </w:p>
    <w:p w14:paraId="6DF3C111" w14:textId="77777777" w:rsidR="008610A6" w:rsidRPr="001147D3" w:rsidRDefault="008610A6" w:rsidP="001147D3">
      <w:pPr>
        <w:numPr>
          <w:ilvl w:val="0"/>
          <w:numId w:val="5"/>
        </w:numPr>
        <w:spacing w:before="100" w:beforeAutospacing="1" w:after="100" w:afterAutospacing="1" w:line="240" w:lineRule="auto"/>
        <w:jc w:val="left"/>
        <w:rPr>
          <w:rFonts w:ascii="Arial" w:eastAsia="Times New Roman" w:hAnsi="Arial" w:cs="Arial"/>
          <w:sz w:val="20"/>
          <w:szCs w:val="20"/>
        </w:rPr>
      </w:pPr>
      <w:r w:rsidRPr="001147D3">
        <w:rPr>
          <w:rFonts w:ascii="Arial" w:eastAsia="Times New Roman" w:hAnsi="Arial" w:cs="Arial"/>
          <w:b/>
          <w:bCs/>
          <w:sz w:val="20"/>
          <w:szCs w:val="20"/>
        </w:rPr>
        <w:t>Gender</w:t>
      </w:r>
      <w:r w:rsidRPr="001147D3">
        <w:rPr>
          <w:rFonts w:ascii="Arial" w:eastAsia="Times New Roman" w:hAnsi="Arial" w:cs="Arial"/>
          <w:sz w:val="20"/>
          <w:szCs w:val="20"/>
        </w:rPr>
        <w:t>:</w:t>
      </w:r>
      <w:r w:rsidRPr="001147D3">
        <w:rPr>
          <w:rFonts w:ascii="Arial" w:eastAsia="Times New Roman" w:hAnsi="Arial" w:cs="Arial"/>
          <w:sz w:val="20"/>
          <w:szCs w:val="20"/>
        </w:rPr>
        <w:br/>
        <w:t>a) Male</w:t>
      </w:r>
      <w:r w:rsidRPr="001147D3">
        <w:rPr>
          <w:rFonts w:ascii="Arial" w:eastAsia="Times New Roman" w:hAnsi="Arial" w:cs="Arial"/>
          <w:sz w:val="20"/>
          <w:szCs w:val="20"/>
        </w:rPr>
        <w:br/>
        <w:t>b) Female</w:t>
      </w:r>
      <w:r w:rsidRPr="001147D3">
        <w:rPr>
          <w:rFonts w:ascii="Arial" w:eastAsia="Times New Roman" w:hAnsi="Arial" w:cs="Arial"/>
          <w:sz w:val="20"/>
          <w:szCs w:val="20"/>
        </w:rPr>
        <w:br/>
        <w:t>c) Other</w:t>
      </w:r>
    </w:p>
    <w:p w14:paraId="3B429DB1" w14:textId="77777777" w:rsidR="008610A6" w:rsidRPr="001147D3" w:rsidRDefault="008610A6" w:rsidP="001147D3">
      <w:pPr>
        <w:numPr>
          <w:ilvl w:val="0"/>
          <w:numId w:val="5"/>
        </w:numPr>
        <w:spacing w:before="100" w:beforeAutospacing="1" w:after="100" w:afterAutospacing="1" w:line="240" w:lineRule="auto"/>
        <w:jc w:val="left"/>
        <w:rPr>
          <w:rFonts w:ascii="Arial" w:eastAsia="Times New Roman" w:hAnsi="Arial" w:cs="Arial"/>
          <w:sz w:val="20"/>
          <w:szCs w:val="20"/>
        </w:rPr>
      </w:pPr>
      <w:r w:rsidRPr="001147D3">
        <w:rPr>
          <w:rFonts w:ascii="Arial" w:eastAsia="Times New Roman" w:hAnsi="Arial" w:cs="Arial"/>
          <w:b/>
          <w:bCs/>
          <w:sz w:val="20"/>
          <w:szCs w:val="20"/>
        </w:rPr>
        <w:t>Highest Level of Education Completed</w:t>
      </w:r>
      <w:r w:rsidRPr="001147D3">
        <w:rPr>
          <w:rFonts w:ascii="Arial" w:eastAsia="Times New Roman" w:hAnsi="Arial" w:cs="Arial"/>
          <w:sz w:val="20"/>
          <w:szCs w:val="20"/>
        </w:rPr>
        <w:t>:</w:t>
      </w:r>
      <w:r w:rsidRPr="001147D3">
        <w:rPr>
          <w:rFonts w:ascii="Arial" w:eastAsia="Times New Roman" w:hAnsi="Arial" w:cs="Arial"/>
          <w:sz w:val="20"/>
          <w:szCs w:val="20"/>
        </w:rPr>
        <w:br/>
        <w:t>a) Secondary School</w:t>
      </w:r>
      <w:r w:rsidRPr="001147D3">
        <w:rPr>
          <w:rFonts w:ascii="Arial" w:eastAsia="Times New Roman" w:hAnsi="Arial" w:cs="Arial"/>
          <w:sz w:val="20"/>
          <w:szCs w:val="20"/>
        </w:rPr>
        <w:br/>
        <w:t>b) Tertiary/University</w:t>
      </w:r>
      <w:r w:rsidRPr="001147D3">
        <w:rPr>
          <w:rFonts w:ascii="Arial" w:eastAsia="Times New Roman" w:hAnsi="Arial" w:cs="Arial"/>
          <w:sz w:val="20"/>
          <w:szCs w:val="20"/>
        </w:rPr>
        <w:br/>
        <w:t>c) Postgraduate</w:t>
      </w:r>
      <w:r w:rsidRPr="001147D3">
        <w:rPr>
          <w:rFonts w:ascii="Arial" w:eastAsia="Times New Roman" w:hAnsi="Arial" w:cs="Arial"/>
          <w:sz w:val="20"/>
          <w:szCs w:val="20"/>
        </w:rPr>
        <w:br/>
        <w:t>d) Other (please specify)</w:t>
      </w:r>
    </w:p>
    <w:p w14:paraId="05A8542A" w14:textId="77777777" w:rsidR="008610A6" w:rsidRPr="001147D3" w:rsidRDefault="008610A6" w:rsidP="001147D3">
      <w:pPr>
        <w:numPr>
          <w:ilvl w:val="0"/>
          <w:numId w:val="5"/>
        </w:numPr>
        <w:spacing w:before="100" w:beforeAutospacing="1" w:after="100" w:afterAutospacing="1" w:line="240" w:lineRule="auto"/>
        <w:jc w:val="left"/>
        <w:rPr>
          <w:rFonts w:ascii="Arial" w:eastAsia="Times New Roman" w:hAnsi="Arial" w:cs="Arial"/>
          <w:sz w:val="20"/>
          <w:szCs w:val="20"/>
        </w:rPr>
      </w:pPr>
      <w:r w:rsidRPr="001147D3">
        <w:rPr>
          <w:rFonts w:ascii="Arial" w:eastAsia="Times New Roman" w:hAnsi="Arial" w:cs="Arial"/>
          <w:b/>
          <w:bCs/>
          <w:sz w:val="20"/>
          <w:szCs w:val="20"/>
        </w:rPr>
        <w:t>Monthly Income</w:t>
      </w:r>
      <w:r w:rsidRPr="001147D3">
        <w:rPr>
          <w:rFonts w:ascii="Arial" w:eastAsia="Times New Roman" w:hAnsi="Arial" w:cs="Arial"/>
          <w:sz w:val="20"/>
          <w:szCs w:val="20"/>
        </w:rPr>
        <w:t>:</w:t>
      </w:r>
      <w:r w:rsidRPr="001147D3">
        <w:rPr>
          <w:rFonts w:ascii="Arial" w:eastAsia="Times New Roman" w:hAnsi="Arial" w:cs="Arial"/>
          <w:sz w:val="20"/>
          <w:szCs w:val="20"/>
        </w:rPr>
        <w:br/>
        <w:t>a) ₦50,000 – ₦100,000</w:t>
      </w:r>
      <w:r w:rsidRPr="001147D3">
        <w:rPr>
          <w:rFonts w:ascii="Arial" w:eastAsia="Times New Roman" w:hAnsi="Arial" w:cs="Arial"/>
          <w:sz w:val="20"/>
          <w:szCs w:val="20"/>
        </w:rPr>
        <w:br/>
        <w:t>b) ₦100,000 – ₦200,000</w:t>
      </w:r>
      <w:r w:rsidRPr="001147D3">
        <w:rPr>
          <w:rFonts w:ascii="Arial" w:eastAsia="Times New Roman" w:hAnsi="Arial" w:cs="Arial"/>
          <w:sz w:val="20"/>
          <w:szCs w:val="20"/>
        </w:rPr>
        <w:br/>
        <w:t>c) ₦200,000 and above</w:t>
      </w:r>
      <w:r w:rsidRPr="001147D3">
        <w:rPr>
          <w:rFonts w:ascii="Arial" w:eastAsia="Times New Roman" w:hAnsi="Arial" w:cs="Arial"/>
          <w:sz w:val="20"/>
          <w:szCs w:val="20"/>
        </w:rPr>
        <w:br/>
        <w:t>d) Below ₦50,000</w:t>
      </w:r>
    </w:p>
    <w:p w14:paraId="25B17FF7" w14:textId="77777777" w:rsidR="008610A6" w:rsidRPr="001147D3" w:rsidRDefault="008610A6" w:rsidP="001147D3">
      <w:pPr>
        <w:spacing w:before="100" w:beforeAutospacing="1" w:after="100" w:afterAutospacing="1" w:line="240" w:lineRule="auto"/>
        <w:jc w:val="left"/>
        <w:outlineLvl w:val="3"/>
        <w:rPr>
          <w:rFonts w:ascii="Arial" w:eastAsia="Times New Roman" w:hAnsi="Arial" w:cs="Arial"/>
          <w:b/>
          <w:bCs/>
          <w:sz w:val="20"/>
          <w:szCs w:val="20"/>
        </w:rPr>
      </w:pPr>
      <w:r w:rsidRPr="001147D3">
        <w:rPr>
          <w:rFonts w:ascii="Arial" w:eastAsia="Times New Roman" w:hAnsi="Arial" w:cs="Arial"/>
          <w:b/>
          <w:bCs/>
          <w:sz w:val="20"/>
          <w:szCs w:val="20"/>
        </w:rPr>
        <w:t>Section B: Risk Perception</w:t>
      </w:r>
    </w:p>
    <w:p w14:paraId="2586DCC1" w14:textId="77777777" w:rsidR="008610A6" w:rsidRPr="001147D3" w:rsidRDefault="008610A6" w:rsidP="001147D3">
      <w:pPr>
        <w:spacing w:before="100" w:beforeAutospacing="1" w:after="100" w:afterAutospacing="1" w:line="240" w:lineRule="auto"/>
        <w:jc w:val="left"/>
        <w:rPr>
          <w:rFonts w:ascii="Arial" w:eastAsia="Times New Roman" w:hAnsi="Arial" w:cs="Arial"/>
          <w:sz w:val="20"/>
          <w:szCs w:val="20"/>
        </w:rPr>
      </w:pPr>
      <w:r w:rsidRPr="001147D3">
        <w:rPr>
          <w:rFonts w:ascii="Arial" w:eastAsia="Times New Roman" w:hAnsi="Arial" w:cs="Arial"/>
          <w:sz w:val="20"/>
          <w:szCs w:val="20"/>
        </w:rPr>
        <w:t>This section measures your perception of risk when using FinTech services. Please answer based on your level of agreement with each statement.</w:t>
      </w:r>
    </w:p>
    <w:p w14:paraId="41CFB087" w14:textId="77777777" w:rsidR="008610A6" w:rsidRPr="001147D3" w:rsidRDefault="008610A6" w:rsidP="001147D3">
      <w:pPr>
        <w:numPr>
          <w:ilvl w:val="0"/>
          <w:numId w:val="6"/>
        </w:numPr>
        <w:spacing w:before="100" w:beforeAutospacing="1" w:after="100" w:afterAutospacing="1" w:line="240" w:lineRule="auto"/>
        <w:jc w:val="left"/>
        <w:rPr>
          <w:rFonts w:ascii="Arial" w:eastAsia="Times New Roman" w:hAnsi="Arial" w:cs="Arial"/>
          <w:sz w:val="20"/>
          <w:szCs w:val="20"/>
        </w:rPr>
      </w:pPr>
      <w:r w:rsidRPr="001147D3">
        <w:rPr>
          <w:rFonts w:ascii="Arial" w:eastAsia="Times New Roman" w:hAnsi="Arial" w:cs="Arial"/>
          <w:b/>
          <w:bCs/>
          <w:sz w:val="20"/>
          <w:szCs w:val="20"/>
        </w:rPr>
        <w:lastRenderedPageBreak/>
        <w:t>Fear of Bankruptcy</w:t>
      </w:r>
      <w:r w:rsidRPr="001147D3">
        <w:rPr>
          <w:rFonts w:ascii="Arial" w:eastAsia="Times New Roman" w:hAnsi="Arial" w:cs="Arial"/>
          <w:sz w:val="20"/>
          <w:szCs w:val="20"/>
        </w:rPr>
        <w:br/>
        <w:t>a) I fear that FinTech banks may go bankrupt, resulting in the loss of my money.</w:t>
      </w:r>
      <w:r w:rsidRPr="001147D3">
        <w:rPr>
          <w:rFonts w:ascii="Arial" w:eastAsia="Times New Roman" w:hAnsi="Arial" w:cs="Arial"/>
          <w:sz w:val="20"/>
          <w:szCs w:val="20"/>
        </w:rPr>
        <w:br/>
      </w:r>
      <w:r w:rsidRPr="001147D3">
        <w:rPr>
          <w:rFonts w:ascii="MS Gothic" w:eastAsia="MS Gothic" w:hAnsi="MS Gothic" w:cs="MS Gothic" w:hint="eastAsia"/>
          <w:sz w:val="20"/>
          <w:szCs w:val="20"/>
        </w:rPr>
        <w:t>☐</w:t>
      </w:r>
      <w:r w:rsidRPr="001147D3">
        <w:rPr>
          <w:rFonts w:ascii="Arial" w:eastAsia="Times New Roman" w:hAnsi="Arial" w:cs="Arial"/>
          <w:sz w:val="20"/>
          <w:szCs w:val="20"/>
        </w:rPr>
        <w:t xml:space="preserve"> Strongly Agree</w:t>
      </w:r>
      <w:r w:rsidRPr="001147D3">
        <w:rPr>
          <w:rFonts w:ascii="Arial" w:eastAsia="Times New Roman" w:hAnsi="Arial" w:cs="Arial"/>
          <w:sz w:val="20"/>
          <w:szCs w:val="20"/>
        </w:rPr>
        <w:br/>
      </w:r>
      <w:r w:rsidRPr="001147D3">
        <w:rPr>
          <w:rFonts w:ascii="MS Gothic" w:eastAsia="MS Gothic" w:hAnsi="MS Gothic" w:cs="MS Gothic" w:hint="eastAsia"/>
          <w:sz w:val="20"/>
          <w:szCs w:val="20"/>
        </w:rPr>
        <w:t>☐</w:t>
      </w:r>
      <w:r w:rsidRPr="001147D3">
        <w:rPr>
          <w:rFonts w:ascii="Arial" w:eastAsia="Times New Roman" w:hAnsi="Arial" w:cs="Arial"/>
          <w:sz w:val="20"/>
          <w:szCs w:val="20"/>
        </w:rPr>
        <w:t xml:space="preserve"> Agree</w:t>
      </w:r>
      <w:r w:rsidRPr="001147D3">
        <w:rPr>
          <w:rFonts w:ascii="Arial" w:eastAsia="Times New Roman" w:hAnsi="Arial" w:cs="Arial"/>
          <w:sz w:val="20"/>
          <w:szCs w:val="20"/>
        </w:rPr>
        <w:br/>
      </w:r>
      <w:r w:rsidRPr="001147D3">
        <w:rPr>
          <w:rFonts w:ascii="MS Gothic" w:eastAsia="MS Gothic" w:hAnsi="MS Gothic" w:cs="MS Gothic" w:hint="eastAsia"/>
          <w:sz w:val="20"/>
          <w:szCs w:val="20"/>
        </w:rPr>
        <w:t>☐</w:t>
      </w:r>
      <w:r w:rsidRPr="001147D3">
        <w:rPr>
          <w:rFonts w:ascii="Arial" w:eastAsia="Times New Roman" w:hAnsi="Arial" w:cs="Arial"/>
          <w:sz w:val="20"/>
          <w:szCs w:val="20"/>
        </w:rPr>
        <w:t xml:space="preserve"> Neutral</w:t>
      </w:r>
      <w:r w:rsidRPr="001147D3">
        <w:rPr>
          <w:rFonts w:ascii="Arial" w:eastAsia="Times New Roman" w:hAnsi="Arial" w:cs="Arial"/>
          <w:sz w:val="20"/>
          <w:szCs w:val="20"/>
        </w:rPr>
        <w:br/>
      </w:r>
      <w:r w:rsidRPr="001147D3">
        <w:rPr>
          <w:rFonts w:ascii="MS Gothic" w:eastAsia="MS Gothic" w:hAnsi="MS Gothic" w:cs="MS Gothic" w:hint="eastAsia"/>
          <w:sz w:val="20"/>
          <w:szCs w:val="20"/>
        </w:rPr>
        <w:t>☐</w:t>
      </w:r>
      <w:r w:rsidRPr="001147D3">
        <w:rPr>
          <w:rFonts w:ascii="Arial" w:eastAsia="Times New Roman" w:hAnsi="Arial" w:cs="Arial"/>
          <w:sz w:val="20"/>
          <w:szCs w:val="20"/>
        </w:rPr>
        <w:t xml:space="preserve"> Disagree</w:t>
      </w:r>
      <w:r w:rsidRPr="001147D3">
        <w:rPr>
          <w:rFonts w:ascii="Arial" w:eastAsia="Times New Roman" w:hAnsi="Arial" w:cs="Arial"/>
          <w:sz w:val="20"/>
          <w:szCs w:val="20"/>
        </w:rPr>
        <w:br/>
      </w:r>
      <w:r w:rsidRPr="001147D3">
        <w:rPr>
          <w:rFonts w:ascii="MS Gothic" w:eastAsia="MS Gothic" w:hAnsi="MS Gothic" w:cs="MS Gothic" w:hint="eastAsia"/>
          <w:sz w:val="20"/>
          <w:szCs w:val="20"/>
        </w:rPr>
        <w:t>☐</w:t>
      </w:r>
      <w:r w:rsidRPr="001147D3">
        <w:rPr>
          <w:rFonts w:ascii="Arial" w:eastAsia="Times New Roman" w:hAnsi="Arial" w:cs="Arial"/>
          <w:sz w:val="20"/>
          <w:szCs w:val="20"/>
        </w:rPr>
        <w:t xml:space="preserve"> Strongly Disagree</w:t>
      </w:r>
    </w:p>
    <w:p w14:paraId="57B411C5" w14:textId="77777777" w:rsidR="008610A6" w:rsidRPr="001147D3" w:rsidRDefault="008610A6" w:rsidP="001147D3">
      <w:pPr>
        <w:numPr>
          <w:ilvl w:val="0"/>
          <w:numId w:val="6"/>
        </w:numPr>
        <w:spacing w:before="100" w:beforeAutospacing="1" w:after="100" w:afterAutospacing="1" w:line="240" w:lineRule="auto"/>
        <w:jc w:val="left"/>
        <w:rPr>
          <w:rFonts w:ascii="Arial" w:eastAsia="Times New Roman" w:hAnsi="Arial" w:cs="Arial"/>
          <w:sz w:val="20"/>
          <w:szCs w:val="20"/>
        </w:rPr>
      </w:pPr>
      <w:r w:rsidRPr="001147D3">
        <w:rPr>
          <w:rFonts w:ascii="Arial" w:eastAsia="Times New Roman" w:hAnsi="Arial" w:cs="Arial"/>
          <w:b/>
          <w:bCs/>
          <w:sz w:val="20"/>
          <w:szCs w:val="20"/>
        </w:rPr>
        <w:t>Fear of Losing Money</w:t>
      </w:r>
      <w:r w:rsidRPr="001147D3">
        <w:rPr>
          <w:rFonts w:ascii="Arial" w:eastAsia="Times New Roman" w:hAnsi="Arial" w:cs="Arial"/>
          <w:sz w:val="20"/>
          <w:szCs w:val="20"/>
        </w:rPr>
        <w:br/>
        <w:t>a) I am concerned about losing my money if a FinTech platform fails or is hacked.</w:t>
      </w:r>
      <w:r w:rsidRPr="001147D3">
        <w:rPr>
          <w:rFonts w:ascii="Arial" w:eastAsia="Times New Roman" w:hAnsi="Arial" w:cs="Arial"/>
          <w:sz w:val="20"/>
          <w:szCs w:val="20"/>
        </w:rPr>
        <w:br/>
      </w:r>
      <w:r w:rsidRPr="001147D3">
        <w:rPr>
          <w:rFonts w:ascii="MS Gothic" w:eastAsia="MS Gothic" w:hAnsi="MS Gothic" w:cs="MS Gothic" w:hint="eastAsia"/>
          <w:sz w:val="20"/>
          <w:szCs w:val="20"/>
        </w:rPr>
        <w:t>☐</w:t>
      </w:r>
      <w:r w:rsidRPr="001147D3">
        <w:rPr>
          <w:rFonts w:ascii="Arial" w:eastAsia="Times New Roman" w:hAnsi="Arial" w:cs="Arial"/>
          <w:sz w:val="20"/>
          <w:szCs w:val="20"/>
        </w:rPr>
        <w:t xml:space="preserve"> Strongly Agree</w:t>
      </w:r>
      <w:r w:rsidRPr="001147D3">
        <w:rPr>
          <w:rFonts w:ascii="Arial" w:eastAsia="Times New Roman" w:hAnsi="Arial" w:cs="Arial"/>
          <w:sz w:val="20"/>
          <w:szCs w:val="20"/>
        </w:rPr>
        <w:br/>
      </w:r>
      <w:r w:rsidRPr="001147D3">
        <w:rPr>
          <w:rFonts w:ascii="MS Gothic" w:eastAsia="MS Gothic" w:hAnsi="MS Gothic" w:cs="MS Gothic" w:hint="eastAsia"/>
          <w:sz w:val="20"/>
          <w:szCs w:val="20"/>
        </w:rPr>
        <w:t>☐</w:t>
      </w:r>
      <w:r w:rsidRPr="001147D3">
        <w:rPr>
          <w:rFonts w:ascii="Arial" w:eastAsia="Times New Roman" w:hAnsi="Arial" w:cs="Arial"/>
          <w:sz w:val="20"/>
          <w:szCs w:val="20"/>
        </w:rPr>
        <w:t xml:space="preserve"> Agree</w:t>
      </w:r>
      <w:r w:rsidRPr="001147D3">
        <w:rPr>
          <w:rFonts w:ascii="Arial" w:eastAsia="Times New Roman" w:hAnsi="Arial" w:cs="Arial"/>
          <w:sz w:val="20"/>
          <w:szCs w:val="20"/>
        </w:rPr>
        <w:br/>
      </w:r>
      <w:r w:rsidRPr="001147D3">
        <w:rPr>
          <w:rFonts w:ascii="MS Gothic" w:eastAsia="MS Gothic" w:hAnsi="MS Gothic" w:cs="MS Gothic" w:hint="eastAsia"/>
          <w:sz w:val="20"/>
          <w:szCs w:val="20"/>
        </w:rPr>
        <w:t>☐</w:t>
      </w:r>
      <w:r w:rsidRPr="001147D3">
        <w:rPr>
          <w:rFonts w:ascii="Arial" w:eastAsia="Times New Roman" w:hAnsi="Arial" w:cs="Arial"/>
          <w:sz w:val="20"/>
          <w:szCs w:val="20"/>
        </w:rPr>
        <w:t xml:space="preserve"> Neutral</w:t>
      </w:r>
      <w:r w:rsidRPr="001147D3">
        <w:rPr>
          <w:rFonts w:ascii="Arial" w:eastAsia="Times New Roman" w:hAnsi="Arial" w:cs="Arial"/>
          <w:sz w:val="20"/>
          <w:szCs w:val="20"/>
        </w:rPr>
        <w:br/>
      </w:r>
      <w:r w:rsidRPr="001147D3">
        <w:rPr>
          <w:rFonts w:ascii="MS Gothic" w:eastAsia="MS Gothic" w:hAnsi="MS Gothic" w:cs="MS Gothic" w:hint="eastAsia"/>
          <w:sz w:val="20"/>
          <w:szCs w:val="20"/>
        </w:rPr>
        <w:t>☐</w:t>
      </w:r>
      <w:r w:rsidRPr="001147D3">
        <w:rPr>
          <w:rFonts w:ascii="Arial" w:eastAsia="Times New Roman" w:hAnsi="Arial" w:cs="Arial"/>
          <w:sz w:val="20"/>
          <w:szCs w:val="20"/>
        </w:rPr>
        <w:t xml:space="preserve"> Disagree</w:t>
      </w:r>
      <w:r w:rsidRPr="001147D3">
        <w:rPr>
          <w:rFonts w:ascii="Arial" w:eastAsia="Times New Roman" w:hAnsi="Arial" w:cs="Arial"/>
          <w:sz w:val="20"/>
          <w:szCs w:val="20"/>
        </w:rPr>
        <w:br/>
      </w:r>
      <w:r w:rsidRPr="001147D3">
        <w:rPr>
          <w:rFonts w:ascii="MS Gothic" w:eastAsia="MS Gothic" w:hAnsi="MS Gothic" w:cs="MS Gothic" w:hint="eastAsia"/>
          <w:sz w:val="20"/>
          <w:szCs w:val="20"/>
        </w:rPr>
        <w:t>☐</w:t>
      </w:r>
      <w:r w:rsidRPr="001147D3">
        <w:rPr>
          <w:rFonts w:ascii="Arial" w:eastAsia="Times New Roman" w:hAnsi="Arial" w:cs="Arial"/>
          <w:sz w:val="20"/>
          <w:szCs w:val="20"/>
        </w:rPr>
        <w:t xml:space="preserve"> Strongly Disagree</w:t>
      </w:r>
    </w:p>
    <w:p w14:paraId="321A8D88" w14:textId="77777777" w:rsidR="008610A6" w:rsidRPr="001147D3" w:rsidRDefault="008610A6" w:rsidP="001147D3">
      <w:pPr>
        <w:numPr>
          <w:ilvl w:val="0"/>
          <w:numId w:val="6"/>
        </w:numPr>
        <w:spacing w:before="100" w:beforeAutospacing="1" w:after="100" w:afterAutospacing="1" w:line="240" w:lineRule="auto"/>
        <w:jc w:val="left"/>
        <w:rPr>
          <w:rFonts w:ascii="Arial" w:eastAsia="Times New Roman" w:hAnsi="Arial" w:cs="Arial"/>
          <w:sz w:val="20"/>
          <w:szCs w:val="20"/>
        </w:rPr>
      </w:pPr>
      <w:r w:rsidRPr="001147D3">
        <w:rPr>
          <w:rFonts w:ascii="Arial" w:eastAsia="Times New Roman" w:hAnsi="Arial" w:cs="Arial"/>
          <w:b/>
          <w:bCs/>
          <w:sz w:val="20"/>
          <w:szCs w:val="20"/>
        </w:rPr>
        <w:t>Fear of Online Scams</w:t>
      </w:r>
      <w:r w:rsidRPr="001147D3">
        <w:rPr>
          <w:rFonts w:ascii="Arial" w:eastAsia="Times New Roman" w:hAnsi="Arial" w:cs="Arial"/>
          <w:sz w:val="20"/>
          <w:szCs w:val="20"/>
        </w:rPr>
        <w:br/>
        <w:t>a) I fear being scammed when using FinTech services.</w:t>
      </w:r>
      <w:r w:rsidRPr="001147D3">
        <w:rPr>
          <w:rFonts w:ascii="Arial" w:eastAsia="Times New Roman" w:hAnsi="Arial" w:cs="Arial"/>
          <w:sz w:val="20"/>
          <w:szCs w:val="20"/>
        </w:rPr>
        <w:br/>
      </w:r>
      <w:r w:rsidRPr="001147D3">
        <w:rPr>
          <w:rFonts w:ascii="MS Gothic" w:eastAsia="MS Gothic" w:hAnsi="MS Gothic" w:cs="MS Gothic" w:hint="eastAsia"/>
          <w:sz w:val="20"/>
          <w:szCs w:val="20"/>
        </w:rPr>
        <w:t>☐</w:t>
      </w:r>
      <w:r w:rsidRPr="001147D3">
        <w:rPr>
          <w:rFonts w:ascii="Arial" w:eastAsia="Times New Roman" w:hAnsi="Arial" w:cs="Arial"/>
          <w:sz w:val="20"/>
          <w:szCs w:val="20"/>
        </w:rPr>
        <w:t xml:space="preserve"> Strongly Agree</w:t>
      </w:r>
      <w:r w:rsidRPr="001147D3">
        <w:rPr>
          <w:rFonts w:ascii="Arial" w:eastAsia="Times New Roman" w:hAnsi="Arial" w:cs="Arial"/>
          <w:sz w:val="20"/>
          <w:szCs w:val="20"/>
        </w:rPr>
        <w:br/>
      </w:r>
      <w:r w:rsidRPr="001147D3">
        <w:rPr>
          <w:rFonts w:ascii="MS Gothic" w:eastAsia="MS Gothic" w:hAnsi="MS Gothic" w:cs="MS Gothic" w:hint="eastAsia"/>
          <w:sz w:val="20"/>
          <w:szCs w:val="20"/>
        </w:rPr>
        <w:t>☐</w:t>
      </w:r>
      <w:r w:rsidRPr="001147D3">
        <w:rPr>
          <w:rFonts w:ascii="Arial" w:eastAsia="Times New Roman" w:hAnsi="Arial" w:cs="Arial"/>
          <w:sz w:val="20"/>
          <w:szCs w:val="20"/>
        </w:rPr>
        <w:t xml:space="preserve"> Agree</w:t>
      </w:r>
      <w:r w:rsidRPr="001147D3">
        <w:rPr>
          <w:rFonts w:ascii="Arial" w:eastAsia="Times New Roman" w:hAnsi="Arial" w:cs="Arial"/>
          <w:sz w:val="20"/>
          <w:szCs w:val="20"/>
        </w:rPr>
        <w:br/>
      </w:r>
      <w:r w:rsidRPr="001147D3">
        <w:rPr>
          <w:rFonts w:ascii="MS Gothic" w:eastAsia="MS Gothic" w:hAnsi="MS Gothic" w:cs="MS Gothic" w:hint="eastAsia"/>
          <w:sz w:val="20"/>
          <w:szCs w:val="20"/>
        </w:rPr>
        <w:t>☐</w:t>
      </w:r>
      <w:r w:rsidRPr="001147D3">
        <w:rPr>
          <w:rFonts w:ascii="Arial" w:eastAsia="Times New Roman" w:hAnsi="Arial" w:cs="Arial"/>
          <w:sz w:val="20"/>
          <w:szCs w:val="20"/>
        </w:rPr>
        <w:t xml:space="preserve"> Neutral</w:t>
      </w:r>
      <w:r w:rsidRPr="001147D3">
        <w:rPr>
          <w:rFonts w:ascii="Arial" w:eastAsia="Times New Roman" w:hAnsi="Arial" w:cs="Arial"/>
          <w:sz w:val="20"/>
          <w:szCs w:val="20"/>
        </w:rPr>
        <w:br/>
      </w:r>
      <w:r w:rsidRPr="001147D3">
        <w:rPr>
          <w:rFonts w:ascii="MS Gothic" w:eastAsia="MS Gothic" w:hAnsi="MS Gothic" w:cs="MS Gothic" w:hint="eastAsia"/>
          <w:sz w:val="20"/>
          <w:szCs w:val="20"/>
        </w:rPr>
        <w:t>☐</w:t>
      </w:r>
      <w:r w:rsidRPr="001147D3">
        <w:rPr>
          <w:rFonts w:ascii="Arial" w:eastAsia="Times New Roman" w:hAnsi="Arial" w:cs="Arial"/>
          <w:sz w:val="20"/>
          <w:szCs w:val="20"/>
        </w:rPr>
        <w:t xml:space="preserve"> Disagree</w:t>
      </w:r>
      <w:r w:rsidRPr="001147D3">
        <w:rPr>
          <w:rFonts w:ascii="Arial" w:eastAsia="Times New Roman" w:hAnsi="Arial" w:cs="Arial"/>
          <w:sz w:val="20"/>
          <w:szCs w:val="20"/>
        </w:rPr>
        <w:br/>
      </w:r>
      <w:r w:rsidRPr="001147D3">
        <w:rPr>
          <w:rFonts w:ascii="MS Gothic" w:eastAsia="MS Gothic" w:hAnsi="MS Gothic" w:cs="MS Gothic" w:hint="eastAsia"/>
          <w:sz w:val="20"/>
          <w:szCs w:val="20"/>
        </w:rPr>
        <w:t>☐</w:t>
      </w:r>
      <w:r w:rsidRPr="001147D3">
        <w:rPr>
          <w:rFonts w:ascii="Arial" w:eastAsia="Times New Roman" w:hAnsi="Arial" w:cs="Arial"/>
          <w:sz w:val="20"/>
          <w:szCs w:val="20"/>
        </w:rPr>
        <w:t xml:space="preserve"> Strongly Disagree</w:t>
      </w:r>
    </w:p>
    <w:p w14:paraId="3FB46183" w14:textId="77777777" w:rsidR="008610A6" w:rsidRPr="001147D3" w:rsidRDefault="008610A6" w:rsidP="001147D3">
      <w:pPr>
        <w:numPr>
          <w:ilvl w:val="0"/>
          <w:numId w:val="6"/>
        </w:numPr>
        <w:spacing w:before="100" w:beforeAutospacing="1" w:after="100" w:afterAutospacing="1" w:line="240" w:lineRule="auto"/>
        <w:jc w:val="left"/>
        <w:rPr>
          <w:rFonts w:ascii="Arial" w:eastAsia="Times New Roman" w:hAnsi="Arial" w:cs="Arial"/>
          <w:sz w:val="20"/>
          <w:szCs w:val="20"/>
        </w:rPr>
      </w:pPr>
      <w:r w:rsidRPr="001147D3">
        <w:rPr>
          <w:rFonts w:ascii="Arial" w:eastAsia="Times New Roman" w:hAnsi="Arial" w:cs="Arial"/>
          <w:b/>
          <w:bCs/>
          <w:sz w:val="20"/>
          <w:szCs w:val="20"/>
        </w:rPr>
        <w:t>Concerns About Fraudulent Transactions</w:t>
      </w:r>
      <w:r w:rsidRPr="001147D3">
        <w:rPr>
          <w:rFonts w:ascii="Arial" w:eastAsia="Times New Roman" w:hAnsi="Arial" w:cs="Arial"/>
          <w:sz w:val="20"/>
          <w:szCs w:val="20"/>
        </w:rPr>
        <w:br/>
        <w:t>a) I worry that transactions I make through FinTech platforms may be fraudulent.</w:t>
      </w:r>
      <w:r w:rsidRPr="001147D3">
        <w:rPr>
          <w:rFonts w:ascii="Arial" w:eastAsia="Times New Roman" w:hAnsi="Arial" w:cs="Arial"/>
          <w:sz w:val="20"/>
          <w:szCs w:val="20"/>
        </w:rPr>
        <w:br/>
      </w:r>
      <w:r w:rsidRPr="001147D3">
        <w:rPr>
          <w:rFonts w:ascii="MS Gothic" w:eastAsia="MS Gothic" w:hAnsi="MS Gothic" w:cs="MS Gothic" w:hint="eastAsia"/>
          <w:sz w:val="20"/>
          <w:szCs w:val="20"/>
        </w:rPr>
        <w:t>☐</w:t>
      </w:r>
      <w:r w:rsidRPr="001147D3">
        <w:rPr>
          <w:rFonts w:ascii="Arial" w:eastAsia="Times New Roman" w:hAnsi="Arial" w:cs="Arial"/>
          <w:sz w:val="20"/>
          <w:szCs w:val="20"/>
        </w:rPr>
        <w:t xml:space="preserve"> Strongly Agree</w:t>
      </w:r>
      <w:r w:rsidRPr="001147D3">
        <w:rPr>
          <w:rFonts w:ascii="Arial" w:eastAsia="Times New Roman" w:hAnsi="Arial" w:cs="Arial"/>
          <w:sz w:val="20"/>
          <w:szCs w:val="20"/>
        </w:rPr>
        <w:br/>
      </w:r>
      <w:r w:rsidRPr="001147D3">
        <w:rPr>
          <w:rFonts w:ascii="MS Gothic" w:eastAsia="MS Gothic" w:hAnsi="MS Gothic" w:cs="MS Gothic" w:hint="eastAsia"/>
          <w:sz w:val="20"/>
          <w:szCs w:val="20"/>
        </w:rPr>
        <w:t>☐</w:t>
      </w:r>
      <w:r w:rsidRPr="001147D3">
        <w:rPr>
          <w:rFonts w:ascii="Arial" w:eastAsia="Times New Roman" w:hAnsi="Arial" w:cs="Arial"/>
          <w:sz w:val="20"/>
          <w:szCs w:val="20"/>
        </w:rPr>
        <w:t xml:space="preserve"> Agree</w:t>
      </w:r>
      <w:r w:rsidRPr="001147D3">
        <w:rPr>
          <w:rFonts w:ascii="Arial" w:eastAsia="Times New Roman" w:hAnsi="Arial" w:cs="Arial"/>
          <w:sz w:val="20"/>
          <w:szCs w:val="20"/>
        </w:rPr>
        <w:br/>
      </w:r>
      <w:r w:rsidRPr="001147D3">
        <w:rPr>
          <w:rFonts w:ascii="MS Gothic" w:eastAsia="MS Gothic" w:hAnsi="MS Gothic" w:cs="MS Gothic" w:hint="eastAsia"/>
          <w:sz w:val="20"/>
          <w:szCs w:val="20"/>
        </w:rPr>
        <w:t>☐</w:t>
      </w:r>
      <w:r w:rsidRPr="001147D3">
        <w:rPr>
          <w:rFonts w:ascii="Arial" w:eastAsia="Times New Roman" w:hAnsi="Arial" w:cs="Arial"/>
          <w:sz w:val="20"/>
          <w:szCs w:val="20"/>
        </w:rPr>
        <w:t xml:space="preserve"> Neutral</w:t>
      </w:r>
      <w:r w:rsidRPr="001147D3">
        <w:rPr>
          <w:rFonts w:ascii="Arial" w:eastAsia="Times New Roman" w:hAnsi="Arial" w:cs="Arial"/>
          <w:sz w:val="20"/>
          <w:szCs w:val="20"/>
        </w:rPr>
        <w:br/>
      </w:r>
      <w:r w:rsidRPr="001147D3">
        <w:rPr>
          <w:rFonts w:ascii="MS Gothic" w:eastAsia="MS Gothic" w:hAnsi="MS Gothic" w:cs="MS Gothic" w:hint="eastAsia"/>
          <w:sz w:val="20"/>
          <w:szCs w:val="20"/>
        </w:rPr>
        <w:t>☐</w:t>
      </w:r>
      <w:r w:rsidRPr="001147D3">
        <w:rPr>
          <w:rFonts w:ascii="Arial" w:eastAsia="Times New Roman" w:hAnsi="Arial" w:cs="Arial"/>
          <w:sz w:val="20"/>
          <w:szCs w:val="20"/>
        </w:rPr>
        <w:t xml:space="preserve"> Disagree</w:t>
      </w:r>
      <w:r w:rsidRPr="001147D3">
        <w:rPr>
          <w:rFonts w:ascii="Arial" w:eastAsia="Times New Roman" w:hAnsi="Arial" w:cs="Arial"/>
          <w:sz w:val="20"/>
          <w:szCs w:val="20"/>
        </w:rPr>
        <w:br/>
      </w:r>
      <w:r w:rsidRPr="001147D3">
        <w:rPr>
          <w:rFonts w:ascii="MS Gothic" w:eastAsia="MS Gothic" w:hAnsi="MS Gothic" w:cs="MS Gothic" w:hint="eastAsia"/>
          <w:sz w:val="20"/>
          <w:szCs w:val="20"/>
        </w:rPr>
        <w:t>☐</w:t>
      </w:r>
      <w:r w:rsidRPr="001147D3">
        <w:rPr>
          <w:rFonts w:ascii="Arial" w:eastAsia="Times New Roman" w:hAnsi="Arial" w:cs="Arial"/>
          <w:sz w:val="20"/>
          <w:szCs w:val="20"/>
        </w:rPr>
        <w:t xml:space="preserve"> Strongly Disagree</w:t>
      </w:r>
    </w:p>
    <w:p w14:paraId="060DC6E5" w14:textId="77777777" w:rsidR="008610A6" w:rsidRPr="001147D3" w:rsidRDefault="008610A6" w:rsidP="001147D3">
      <w:pPr>
        <w:spacing w:before="100" w:beforeAutospacing="1" w:after="100" w:afterAutospacing="1" w:line="240" w:lineRule="auto"/>
        <w:jc w:val="left"/>
        <w:outlineLvl w:val="3"/>
        <w:rPr>
          <w:rFonts w:ascii="Arial" w:eastAsia="Times New Roman" w:hAnsi="Arial" w:cs="Arial"/>
          <w:b/>
          <w:bCs/>
          <w:sz w:val="20"/>
          <w:szCs w:val="20"/>
        </w:rPr>
      </w:pPr>
      <w:r w:rsidRPr="001147D3">
        <w:rPr>
          <w:rFonts w:ascii="Arial" w:eastAsia="Times New Roman" w:hAnsi="Arial" w:cs="Arial"/>
          <w:b/>
          <w:bCs/>
          <w:sz w:val="20"/>
          <w:szCs w:val="20"/>
        </w:rPr>
        <w:t>Section C: Trust in FinTech Services</w:t>
      </w:r>
    </w:p>
    <w:p w14:paraId="5993ECAC" w14:textId="77777777" w:rsidR="008610A6" w:rsidRPr="001147D3" w:rsidRDefault="008610A6" w:rsidP="001147D3">
      <w:pPr>
        <w:spacing w:before="100" w:beforeAutospacing="1" w:after="100" w:afterAutospacing="1" w:line="240" w:lineRule="auto"/>
        <w:jc w:val="left"/>
        <w:rPr>
          <w:rFonts w:ascii="Arial" w:eastAsia="Times New Roman" w:hAnsi="Arial" w:cs="Arial"/>
          <w:sz w:val="20"/>
          <w:szCs w:val="20"/>
        </w:rPr>
      </w:pPr>
      <w:r w:rsidRPr="001147D3">
        <w:rPr>
          <w:rFonts w:ascii="Arial" w:eastAsia="Times New Roman" w:hAnsi="Arial" w:cs="Arial"/>
          <w:sz w:val="20"/>
          <w:szCs w:val="20"/>
        </w:rPr>
        <w:t>Please indicate how much you agree or disagree with the following statements about your trust in FinTech platforms.</w:t>
      </w:r>
    </w:p>
    <w:p w14:paraId="1AEB6624" w14:textId="77777777" w:rsidR="008610A6" w:rsidRPr="001147D3" w:rsidRDefault="008610A6" w:rsidP="001147D3">
      <w:pPr>
        <w:numPr>
          <w:ilvl w:val="0"/>
          <w:numId w:val="7"/>
        </w:numPr>
        <w:spacing w:before="100" w:beforeAutospacing="1" w:after="100" w:afterAutospacing="1" w:line="240" w:lineRule="auto"/>
        <w:jc w:val="left"/>
        <w:rPr>
          <w:rFonts w:ascii="Arial" w:eastAsia="Times New Roman" w:hAnsi="Arial" w:cs="Arial"/>
          <w:sz w:val="20"/>
          <w:szCs w:val="20"/>
        </w:rPr>
      </w:pPr>
      <w:r w:rsidRPr="001147D3">
        <w:rPr>
          <w:rFonts w:ascii="Arial" w:eastAsia="Times New Roman" w:hAnsi="Arial" w:cs="Arial"/>
          <w:b/>
          <w:bCs/>
          <w:sz w:val="20"/>
          <w:szCs w:val="20"/>
        </w:rPr>
        <w:t>Trust in Security Measures</w:t>
      </w:r>
      <w:r w:rsidRPr="001147D3">
        <w:rPr>
          <w:rFonts w:ascii="Arial" w:eastAsia="Times New Roman" w:hAnsi="Arial" w:cs="Arial"/>
          <w:sz w:val="20"/>
          <w:szCs w:val="20"/>
        </w:rPr>
        <w:br/>
        <w:t>a) I trust the security measures that FinTech platforms put in place to protect my personal and financial information.</w:t>
      </w:r>
      <w:r w:rsidRPr="001147D3">
        <w:rPr>
          <w:rFonts w:ascii="Arial" w:eastAsia="Times New Roman" w:hAnsi="Arial" w:cs="Arial"/>
          <w:sz w:val="20"/>
          <w:szCs w:val="20"/>
        </w:rPr>
        <w:br/>
      </w:r>
      <w:r w:rsidRPr="001147D3">
        <w:rPr>
          <w:rFonts w:ascii="MS Gothic" w:eastAsia="MS Gothic" w:hAnsi="MS Gothic" w:cs="MS Gothic" w:hint="eastAsia"/>
          <w:sz w:val="20"/>
          <w:szCs w:val="20"/>
        </w:rPr>
        <w:t>☐</w:t>
      </w:r>
      <w:r w:rsidRPr="001147D3">
        <w:rPr>
          <w:rFonts w:ascii="Arial" w:eastAsia="Times New Roman" w:hAnsi="Arial" w:cs="Arial"/>
          <w:sz w:val="20"/>
          <w:szCs w:val="20"/>
        </w:rPr>
        <w:t xml:space="preserve"> Strongly Agree</w:t>
      </w:r>
      <w:r w:rsidRPr="001147D3">
        <w:rPr>
          <w:rFonts w:ascii="Arial" w:eastAsia="Times New Roman" w:hAnsi="Arial" w:cs="Arial"/>
          <w:sz w:val="20"/>
          <w:szCs w:val="20"/>
        </w:rPr>
        <w:br/>
      </w:r>
      <w:r w:rsidRPr="001147D3">
        <w:rPr>
          <w:rFonts w:ascii="MS Gothic" w:eastAsia="MS Gothic" w:hAnsi="MS Gothic" w:cs="MS Gothic" w:hint="eastAsia"/>
          <w:sz w:val="20"/>
          <w:szCs w:val="20"/>
        </w:rPr>
        <w:t>☐</w:t>
      </w:r>
      <w:r w:rsidRPr="001147D3">
        <w:rPr>
          <w:rFonts w:ascii="Arial" w:eastAsia="Times New Roman" w:hAnsi="Arial" w:cs="Arial"/>
          <w:sz w:val="20"/>
          <w:szCs w:val="20"/>
        </w:rPr>
        <w:t xml:space="preserve"> Agree</w:t>
      </w:r>
      <w:r w:rsidRPr="001147D3">
        <w:rPr>
          <w:rFonts w:ascii="Arial" w:eastAsia="Times New Roman" w:hAnsi="Arial" w:cs="Arial"/>
          <w:sz w:val="20"/>
          <w:szCs w:val="20"/>
        </w:rPr>
        <w:br/>
      </w:r>
      <w:r w:rsidRPr="001147D3">
        <w:rPr>
          <w:rFonts w:ascii="MS Gothic" w:eastAsia="MS Gothic" w:hAnsi="MS Gothic" w:cs="MS Gothic" w:hint="eastAsia"/>
          <w:sz w:val="20"/>
          <w:szCs w:val="20"/>
        </w:rPr>
        <w:t>☐</w:t>
      </w:r>
      <w:r w:rsidRPr="001147D3">
        <w:rPr>
          <w:rFonts w:ascii="Arial" w:eastAsia="Times New Roman" w:hAnsi="Arial" w:cs="Arial"/>
          <w:sz w:val="20"/>
          <w:szCs w:val="20"/>
        </w:rPr>
        <w:t xml:space="preserve"> Neutral</w:t>
      </w:r>
      <w:r w:rsidRPr="001147D3">
        <w:rPr>
          <w:rFonts w:ascii="Arial" w:eastAsia="Times New Roman" w:hAnsi="Arial" w:cs="Arial"/>
          <w:sz w:val="20"/>
          <w:szCs w:val="20"/>
        </w:rPr>
        <w:br/>
      </w:r>
      <w:r w:rsidRPr="001147D3">
        <w:rPr>
          <w:rFonts w:ascii="MS Gothic" w:eastAsia="MS Gothic" w:hAnsi="MS Gothic" w:cs="MS Gothic" w:hint="eastAsia"/>
          <w:sz w:val="20"/>
          <w:szCs w:val="20"/>
        </w:rPr>
        <w:t>☐</w:t>
      </w:r>
      <w:r w:rsidRPr="001147D3">
        <w:rPr>
          <w:rFonts w:ascii="Arial" w:eastAsia="Times New Roman" w:hAnsi="Arial" w:cs="Arial"/>
          <w:sz w:val="20"/>
          <w:szCs w:val="20"/>
        </w:rPr>
        <w:t xml:space="preserve"> Disagree</w:t>
      </w:r>
      <w:r w:rsidRPr="001147D3">
        <w:rPr>
          <w:rFonts w:ascii="Arial" w:eastAsia="Times New Roman" w:hAnsi="Arial" w:cs="Arial"/>
          <w:sz w:val="20"/>
          <w:szCs w:val="20"/>
        </w:rPr>
        <w:br/>
      </w:r>
      <w:r w:rsidRPr="001147D3">
        <w:rPr>
          <w:rFonts w:ascii="MS Gothic" w:eastAsia="MS Gothic" w:hAnsi="MS Gothic" w:cs="MS Gothic" w:hint="eastAsia"/>
          <w:sz w:val="20"/>
          <w:szCs w:val="20"/>
        </w:rPr>
        <w:t>☐</w:t>
      </w:r>
      <w:r w:rsidRPr="001147D3">
        <w:rPr>
          <w:rFonts w:ascii="Arial" w:eastAsia="Times New Roman" w:hAnsi="Arial" w:cs="Arial"/>
          <w:sz w:val="20"/>
          <w:szCs w:val="20"/>
        </w:rPr>
        <w:t xml:space="preserve"> Strongly Disagree</w:t>
      </w:r>
    </w:p>
    <w:p w14:paraId="53BA3CE2" w14:textId="77777777" w:rsidR="008610A6" w:rsidRPr="001147D3" w:rsidRDefault="008610A6" w:rsidP="001147D3">
      <w:pPr>
        <w:numPr>
          <w:ilvl w:val="0"/>
          <w:numId w:val="7"/>
        </w:numPr>
        <w:spacing w:before="100" w:beforeAutospacing="1" w:after="100" w:afterAutospacing="1" w:line="240" w:lineRule="auto"/>
        <w:jc w:val="left"/>
        <w:rPr>
          <w:rFonts w:ascii="Arial" w:eastAsia="Times New Roman" w:hAnsi="Arial" w:cs="Arial"/>
          <w:sz w:val="20"/>
          <w:szCs w:val="20"/>
        </w:rPr>
      </w:pPr>
      <w:r w:rsidRPr="001147D3">
        <w:rPr>
          <w:rFonts w:ascii="Arial" w:eastAsia="Times New Roman" w:hAnsi="Arial" w:cs="Arial"/>
          <w:b/>
          <w:bCs/>
          <w:sz w:val="20"/>
          <w:szCs w:val="20"/>
        </w:rPr>
        <w:t>Trust in Regulatory Oversight</w:t>
      </w:r>
      <w:r w:rsidRPr="001147D3">
        <w:rPr>
          <w:rFonts w:ascii="Arial" w:eastAsia="Times New Roman" w:hAnsi="Arial" w:cs="Arial"/>
          <w:sz w:val="20"/>
          <w:szCs w:val="20"/>
        </w:rPr>
        <w:br/>
        <w:t>a) I trust that FinTech platforms are regulated by the Nigerian government or relevant authorities to ensure consumer protection.</w:t>
      </w:r>
      <w:r w:rsidRPr="001147D3">
        <w:rPr>
          <w:rFonts w:ascii="Arial" w:eastAsia="Times New Roman" w:hAnsi="Arial" w:cs="Arial"/>
          <w:sz w:val="20"/>
          <w:szCs w:val="20"/>
        </w:rPr>
        <w:br/>
      </w:r>
      <w:r w:rsidRPr="001147D3">
        <w:rPr>
          <w:rFonts w:ascii="MS Gothic" w:eastAsia="MS Gothic" w:hAnsi="MS Gothic" w:cs="MS Gothic" w:hint="eastAsia"/>
          <w:sz w:val="20"/>
          <w:szCs w:val="20"/>
        </w:rPr>
        <w:t>☐</w:t>
      </w:r>
      <w:r w:rsidRPr="001147D3">
        <w:rPr>
          <w:rFonts w:ascii="Arial" w:eastAsia="Times New Roman" w:hAnsi="Arial" w:cs="Arial"/>
          <w:sz w:val="20"/>
          <w:szCs w:val="20"/>
        </w:rPr>
        <w:t xml:space="preserve"> Strongly Agree</w:t>
      </w:r>
      <w:r w:rsidRPr="001147D3">
        <w:rPr>
          <w:rFonts w:ascii="Arial" w:eastAsia="Times New Roman" w:hAnsi="Arial" w:cs="Arial"/>
          <w:sz w:val="20"/>
          <w:szCs w:val="20"/>
        </w:rPr>
        <w:br/>
      </w:r>
      <w:r w:rsidRPr="001147D3">
        <w:rPr>
          <w:rFonts w:ascii="MS Gothic" w:eastAsia="MS Gothic" w:hAnsi="MS Gothic" w:cs="MS Gothic" w:hint="eastAsia"/>
          <w:sz w:val="20"/>
          <w:szCs w:val="20"/>
        </w:rPr>
        <w:t>☐</w:t>
      </w:r>
      <w:r w:rsidRPr="001147D3">
        <w:rPr>
          <w:rFonts w:ascii="Arial" w:eastAsia="Times New Roman" w:hAnsi="Arial" w:cs="Arial"/>
          <w:sz w:val="20"/>
          <w:szCs w:val="20"/>
        </w:rPr>
        <w:t xml:space="preserve"> Agree</w:t>
      </w:r>
      <w:r w:rsidRPr="001147D3">
        <w:rPr>
          <w:rFonts w:ascii="Arial" w:eastAsia="Times New Roman" w:hAnsi="Arial" w:cs="Arial"/>
          <w:sz w:val="20"/>
          <w:szCs w:val="20"/>
        </w:rPr>
        <w:br/>
      </w:r>
      <w:r w:rsidRPr="001147D3">
        <w:rPr>
          <w:rFonts w:ascii="MS Gothic" w:eastAsia="MS Gothic" w:hAnsi="MS Gothic" w:cs="MS Gothic" w:hint="eastAsia"/>
          <w:sz w:val="20"/>
          <w:szCs w:val="20"/>
        </w:rPr>
        <w:t>☐</w:t>
      </w:r>
      <w:r w:rsidRPr="001147D3">
        <w:rPr>
          <w:rFonts w:ascii="Arial" w:eastAsia="Times New Roman" w:hAnsi="Arial" w:cs="Arial"/>
          <w:sz w:val="20"/>
          <w:szCs w:val="20"/>
        </w:rPr>
        <w:t xml:space="preserve"> Neutral</w:t>
      </w:r>
      <w:r w:rsidRPr="001147D3">
        <w:rPr>
          <w:rFonts w:ascii="Arial" w:eastAsia="Times New Roman" w:hAnsi="Arial" w:cs="Arial"/>
          <w:sz w:val="20"/>
          <w:szCs w:val="20"/>
        </w:rPr>
        <w:br/>
      </w:r>
      <w:r w:rsidRPr="001147D3">
        <w:rPr>
          <w:rFonts w:ascii="MS Gothic" w:eastAsia="MS Gothic" w:hAnsi="MS Gothic" w:cs="MS Gothic" w:hint="eastAsia"/>
          <w:sz w:val="20"/>
          <w:szCs w:val="20"/>
        </w:rPr>
        <w:t>☐</w:t>
      </w:r>
      <w:r w:rsidRPr="001147D3">
        <w:rPr>
          <w:rFonts w:ascii="Arial" w:eastAsia="Times New Roman" w:hAnsi="Arial" w:cs="Arial"/>
          <w:sz w:val="20"/>
          <w:szCs w:val="20"/>
        </w:rPr>
        <w:t xml:space="preserve"> Disagree</w:t>
      </w:r>
      <w:r w:rsidRPr="001147D3">
        <w:rPr>
          <w:rFonts w:ascii="Arial" w:eastAsia="Times New Roman" w:hAnsi="Arial" w:cs="Arial"/>
          <w:sz w:val="20"/>
          <w:szCs w:val="20"/>
        </w:rPr>
        <w:br/>
      </w:r>
      <w:r w:rsidRPr="001147D3">
        <w:rPr>
          <w:rFonts w:ascii="MS Gothic" w:eastAsia="MS Gothic" w:hAnsi="MS Gothic" w:cs="MS Gothic" w:hint="eastAsia"/>
          <w:sz w:val="20"/>
          <w:szCs w:val="20"/>
        </w:rPr>
        <w:t>☐</w:t>
      </w:r>
      <w:r w:rsidRPr="001147D3">
        <w:rPr>
          <w:rFonts w:ascii="Arial" w:eastAsia="Times New Roman" w:hAnsi="Arial" w:cs="Arial"/>
          <w:sz w:val="20"/>
          <w:szCs w:val="20"/>
        </w:rPr>
        <w:t xml:space="preserve"> Strongly Disagree</w:t>
      </w:r>
    </w:p>
    <w:p w14:paraId="2ABE80B8" w14:textId="77777777" w:rsidR="008610A6" w:rsidRPr="001147D3" w:rsidRDefault="008610A6" w:rsidP="001147D3">
      <w:pPr>
        <w:numPr>
          <w:ilvl w:val="0"/>
          <w:numId w:val="7"/>
        </w:numPr>
        <w:spacing w:before="100" w:beforeAutospacing="1" w:after="100" w:afterAutospacing="1" w:line="240" w:lineRule="auto"/>
        <w:jc w:val="left"/>
        <w:rPr>
          <w:rFonts w:ascii="Arial" w:eastAsia="Times New Roman" w:hAnsi="Arial" w:cs="Arial"/>
          <w:sz w:val="20"/>
          <w:szCs w:val="20"/>
        </w:rPr>
      </w:pPr>
      <w:r w:rsidRPr="001147D3">
        <w:rPr>
          <w:rFonts w:ascii="Arial" w:eastAsia="Times New Roman" w:hAnsi="Arial" w:cs="Arial"/>
          <w:b/>
          <w:bCs/>
          <w:sz w:val="20"/>
          <w:szCs w:val="20"/>
        </w:rPr>
        <w:lastRenderedPageBreak/>
        <w:t>Trust in Overall Reliability</w:t>
      </w:r>
      <w:r w:rsidRPr="001147D3">
        <w:rPr>
          <w:rFonts w:ascii="Arial" w:eastAsia="Times New Roman" w:hAnsi="Arial" w:cs="Arial"/>
          <w:sz w:val="20"/>
          <w:szCs w:val="20"/>
        </w:rPr>
        <w:br/>
        <w:t>a) I trust that FinTech services will reliably process my transactions without errors.</w:t>
      </w:r>
      <w:r w:rsidRPr="001147D3">
        <w:rPr>
          <w:rFonts w:ascii="Arial" w:eastAsia="Times New Roman" w:hAnsi="Arial" w:cs="Arial"/>
          <w:sz w:val="20"/>
          <w:szCs w:val="20"/>
        </w:rPr>
        <w:br/>
      </w:r>
      <w:r w:rsidRPr="001147D3">
        <w:rPr>
          <w:rFonts w:ascii="MS Gothic" w:eastAsia="MS Gothic" w:hAnsi="MS Gothic" w:cs="MS Gothic" w:hint="eastAsia"/>
          <w:sz w:val="20"/>
          <w:szCs w:val="20"/>
        </w:rPr>
        <w:t>☐</w:t>
      </w:r>
      <w:r w:rsidRPr="001147D3">
        <w:rPr>
          <w:rFonts w:ascii="Arial" w:eastAsia="Times New Roman" w:hAnsi="Arial" w:cs="Arial"/>
          <w:sz w:val="20"/>
          <w:szCs w:val="20"/>
        </w:rPr>
        <w:t xml:space="preserve"> Strongly Agree</w:t>
      </w:r>
      <w:r w:rsidRPr="001147D3">
        <w:rPr>
          <w:rFonts w:ascii="Arial" w:eastAsia="Times New Roman" w:hAnsi="Arial" w:cs="Arial"/>
          <w:sz w:val="20"/>
          <w:szCs w:val="20"/>
        </w:rPr>
        <w:br/>
      </w:r>
      <w:r w:rsidRPr="001147D3">
        <w:rPr>
          <w:rFonts w:ascii="MS Gothic" w:eastAsia="MS Gothic" w:hAnsi="MS Gothic" w:cs="MS Gothic" w:hint="eastAsia"/>
          <w:sz w:val="20"/>
          <w:szCs w:val="20"/>
        </w:rPr>
        <w:t>☐</w:t>
      </w:r>
      <w:r w:rsidRPr="001147D3">
        <w:rPr>
          <w:rFonts w:ascii="Arial" w:eastAsia="Times New Roman" w:hAnsi="Arial" w:cs="Arial"/>
          <w:sz w:val="20"/>
          <w:szCs w:val="20"/>
        </w:rPr>
        <w:t xml:space="preserve"> Agree</w:t>
      </w:r>
      <w:r w:rsidRPr="001147D3">
        <w:rPr>
          <w:rFonts w:ascii="Arial" w:eastAsia="Times New Roman" w:hAnsi="Arial" w:cs="Arial"/>
          <w:sz w:val="20"/>
          <w:szCs w:val="20"/>
        </w:rPr>
        <w:br/>
      </w:r>
      <w:r w:rsidRPr="001147D3">
        <w:rPr>
          <w:rFonts w:ascii="MS Gothic" w:eastAsia="MS Gothic" w:hAnsi="MS Gothic" w:cs="MS Gothic" w:hint="eastAsia"/>
          <w:sz w:val="20"/>
          <w:szCs w:val="20"/>
        </w:rPr>
        <w:t>☐</w:t>
      </w:r>
      <w:r w:rsidRPr="001147D3">
        <w:rPr>
          <w:rFonts w:ascii="Arial" w:eastAsia="Times New Roman" w:hAnsi="Arial" w:cs="Arial"/>
          <w:sz w:val="20"/>
          <w:szCs w:val="20"/>
        </w:rPr>
        <w:t xml:space="preserve"> Neutral</w:t>
      </w:r>
      <w:r w:rsidRPr="001147D3">
        <w:rPr>
          <w:rFonts w:ascii="Arial" w:eastAsia="Times New Roman" w:hAnsi="Arial" w:cs="Arial"/>
          <w:sz w:val="20"/>
          <w:szCs w:val="20"/>
        </w:rPr>
        <w:br/>
      </w:r>
      <w:r w:rsidRPr="001147D3">
        <w:rPr>
          <w:rFonts w:ascii="MS Gothic" w:eastAsia="MS Gothic" w:hAnsi="MS Gothic" w:cs="MS Gothic" w:hint="eastAsia"/>
          <w:sz w:val="20"/>
          <w:szCs w:val="20"/>
        </w:rPr>
        <w:t>☐</w:t>
      </w:r>
      <w:r w:rsidRPr="001147D3">
        <w:rPr>
          <w:rFonts w:ascii="Arial" w:eastAsia="Times New Roman" w:hAnsi="Arial" w:cs="Arial"/>
          <w:sz w:val="20"/>
          <w:szCs w:val="20"/>
        </w:rPr>
        <w:t xml:space="preserve"> Disagree</w:t>
      </w:r>
      <w:r w:rsidRPr="001147D3">
        <w:rPr>
          <w:rFonts w:ascii="Arial" w:eastAsia="Times New Roman" w:hAnsi="Arial" w:cs="Arial"/>
          <w:sz w:val="20"/>
          <w:szCs w:val="20"/>
        </w:rPr>
        <w:br/>
      </w:r>
      <w:r w:rsidRPr="001147D3">
        <w:rPr>
          <w:rFonts w:ascii="MS Gothic" w:eastAsia="MS Gothic" w:hAnsi="MS Gothic" w:cs="MS Gothic" w:hint="eastAsia"/>
          <w:sz w:val="20"/>
          <w:szCs w:val="20"/>
        </w:rPr>
        <w:t>☐</w:t>
      </w:r>
      <w:r w:rsidRPr="001147D3">
        <w:rPr>
          <w:rFonts w:ascii="Arial" w:eastAsia="Times New Roman" w:hAnsi="Arial" w:cs="Arial"/>
          <w:sz w:val="20"/>
          <w:szCs w:val="20"/>
        </w:rPr>
        <w:t xml:space="preserve"> Strongly Disagree</w:t>
      </w:r>
    </w:p>
    <w:p w14:paraId="695CEBC8" w14:textId="77777777" w:rsidR="008610A6" w:rsidRPr="001147D3" w:rsidRDefault="008610A6" w:rsidP="001147D3">
      <w:pPr>
        <w:numPr>
          <w:ilvl w:val="0"/>
          <w:numId w:val="7"/>
        </w:numPr>
        <w:spacing w:before="100" w:beforeAutospacing="1" w:after="100" w:afterAutospacing="1" w:line="240" w:lineRule="auto"/>
        <w:jc w:val="left"/>
        <w:rPr>
          <w:rFonts w:ascii="Arial" w:eastAsia="Times New Roman" w:hAnsi="Arial" w:cs="Arial"/>
          <w:sz w:val="20"/>
          <w:szCs w:val="20"/>
        </w:rPr>
      </w:pPr>
      <w:r w:rsidRPr="001147D3">
        <w:rPr>
          <w:rFonts w:ascii="Arial" w:eastAsia="Times New Roman" w:hAnsi="Arial" w:cs="Arial"/>
          <w:b/>
          <w:bCs/>
          <w:sz w:val="20"/>
          <w:szCs w:val="20"/>
        </w:rPr>
        <w:t>Confidence in Customer Support</w:t>
      </w:r>
      <w:r w:rsidRPr="001147D3">
        <w:rPr>
          <w:rFonts w:ascii="Arial" w:eastAsia="Times New Roman" w:hAnsi="Arial" w:cs="Arial"/>
          <w:sz w:val="20"/>
          <w:szCs w:val="20"/>
        </w:rPr>
        <w:br/>
        <w:t>a) I believe that FinTech platforms provide adequate customer support to resolve issues if they arise.</w:t>
      </w:r>
      <w:r w:rsidRPr="001147D3">
        <w:rPr>
          <w:rFonts w:ascii="Arial" w:eastAsia="Times New Roman" w:hAnsi="Arial" w:cs="Arial"/>
          <w:sz w:val="20"/>
          <w:szCs w:val="20"/>
        </w:rPr>
        <w:br/>
      </w:r>
      <w:r w:rsidRPr="001147D3">
        <w:rPr>
          <w:rFonts w:ascii="MS Gothic" w:eastAsia="MS Gothic" w:hAnsi="MS Gothic" w:cs="MS Gothic" w:hint="eastAsia"/>
          <w:sz w:val="20"/>
          <w:szCs w:val="20"/>
        </w:rPr>
        <w:t>☐</w:t>
      </w:r>
      <w:r w:rsidRPr="001147D3">
        <w:rPr>
          <w:rFonts w:ascii="Arial" w:eastAsia="Times New Roman" w:hAnsi="Arial" w:cs="Arial"/>
          <w:sz w:val="20"/>
          <w:szCs w:val="20"/>
        </w:rPr>
        <w:t xml:space="preserve"> Strongly Agree</w:t>
      </w:r>
      <w:r w:rsidRPr="001147D3">
        <w:rPr>
          <w:rFonts w:ascii="Arial" w:eastAsia="Times New Roman" w:hAnsi="Arial" w:cs="Arial"/>
          <w:sz w:val="20"/>
          <w:szCs w:val="20"/>
        </w:rPr>
        <w:br/>
      </w:r>
      <w:r w:rsidRPr="001147D3">
        <w:rPr>
          <w:rFonts w:ascii="MS Gothic" w:eastAsia="MS Gothic" w:hAnsi="MS Gothic" w:cs="MS Gothic" w:hint="eastAsia"/>
          <w:sz w:val="20"/>
          <w:szCs w:val="20"/>
        </w:rPr>
        <w:t>☐</w:t>
      </w:r>
      <w:r w:rsidRPr="001147D3">
        <w:rPr>
          <w:rFonts w:ascii="Arial" w:eastAsia="Times New Roman" w:hAnsi="Arial" w:cs="Arial"/>
          <w:sz w:val="20"/>
          <w:szCs w:val="20"/>
        </w:rPr>
        <w:t xml:space="preserve"> Agree</w:t>
      </w:r>
      <w:r w:rsidRPr="001147D3">
        <w:rPr>
          <w:rFonts w:ascii="Arial" w:eastAsia="Times New Roman" w:hAnsi="Arial" w:cs="Arial"/>
          <w:sz w:val="20"/>
          <w:szCs w:val="20"/>
        </w:rPr>
        <w:br/>
      </w:r>
      <w:r w:rsidRPr="001147D3">
        <w:rPr>
          <w:rFonts w:ascii="MS Gothic" w:eastAsia="MS Gothic" w:hAnsi="MS Gothic" w:cs="MS Gothic" w:hint="eastAsia"/>
          <w:sz w:val="20"/>
          <w:szCs w:val="20"/>
        </w:rPr>
        <w:t>☐</w:t>
      </w:r>
      <w:r w:rsidRPr="001147D3">
        <w:rPr>
          <w:rFonts w:ascii="Arial" w:eastAsia="Times New Roman" w:hAnsi="Arial" w:cs="Arial"/>
          <w:sz w:val="20"/>
          <w:szCs w:val="20"/>
        </w:rPr>
        <w:t xml:space="preserve"> Neutral</w:t>
      </w:r>
      <w:r w:rsidRPr="001147D3">
        <w:rPr>
          <w:rFonts w:ascii="Arial" w:eastAsia="Times New Roman" w:hAnsi="Arial" w:cs="Arial"/>
          <w:sz w:val="20"/>
          <w:szCs w:val="20"/>
        </w:rPr>
        <w:br/>
      </w:r>
      <w:r w:rsidRPr="001147D3">
        <w:rPr>
          <w:rFonts w:ascii="MS Gothic" w:eastAsia="MS Gothic" w:hAnsi="MS Gothic" w:cs="MS Gothic" w:hint="eastAsia"/>
          <w:sz w:val="20"/>
          <w:szCs w:val="20"/>
        </w:rPr>
        <w:t>☐</w:t>
      </w:r>
      <w:r w:rsidRPr="001147D3">
        <w:rPr>
          <w:rFonts w:ascii="Arial" w:eastAsia="Times New Roman" w:hAnsi="Arial" w:cs="Arial"/>
          <w:sz w:val="20"/>
          <w:szCs w:val="20"/>
        </w:rPr>
        <w:t xml:space="preserve"> Disagree</w:t>
      </w:r>
      <w:r w:rsidRPr="001147D3">
        <w:rPr>
          <w:rFonts w:ascii="Arial" w:eastAsia="Times New Roman" w:hAnsi="Arial" w:cs="Arial"/>
          <w:sz w:val="20"/>
          <w:szCs w:val="20"/>
        </w:rPr>
        <w:br/>
      </w:r>
      <w:r w:rsidRPr="001147D3">
        <w:rPr>
          <w:rFonts w:ascii="MS Gothic" w:eastAsia="MS Gothic" w:hAnsi="MS Gothic" w:cs="MS Gothic" w:hint="eastAsia"/>
          <w:sz w:val="20"/>
          <w:szCs w:val="20"/>
        </w:rPr>
        <w:t>☐</w:t>
      </w:r>
      <w:r w:rsidRPr="001147D3">
        <w:rPr>
          <w:rFonts w:ascii="Arial" w:eastAsia="Times New Roman" w:hAnsi="Arial" w:cs="Arial"/>
          <w:sz w:val="20"/>
          <w:szCs w:val="20"/>
        </w:rPr>
        <w:t xml:space="preserve"> Strongly Disagree</w:t>
      </w:r>
    </w:p>
    <w:p w14:paraId="2CCE48CD" w14:textId="77777777" w:rsidR="008610A6" w:rsidRPr="001147D3" w:rsidRDefault="008610A6" w:rsidP="001147D3">
      <w:pPr>
        <w:spacing w:before="100" w:beforeAutospacing="1" w:after="100" w:afterAutospacing="1" w:line="240" w:lineRule="auto"/>
        <w:jc w:val="left"/>
        <w:outlineLvl w:val="3"/>
        <w:rPr>
          <w:rFonts w:ascii="Arial" w:eastAsia="Times New Roman" w:hAnsi="Arial" w:cs="Arial"/>
          <w:b/>
          <w:bCs/>
          <w:sz w:val="20"/>
          <w:szCs w:val="20"/>
        </w:rPr>
      </w:pPr>
      <w:r w:rsidRPr="001147D3">
        <w:rPr>
          <w:rFonts w:ascii="Arial" w:eastAsia="Times New Roman" w:hAnsi="Arial" w:cs="Arial"/>
          <w:b/>
          <w:bCs/>
          <w:sz w:val="20"/>
          <w:szCs w:val="20"/>
        </w:rPr>
        <w:t>Section D: Adoption of FinTech Services</w:t>
      </w:r>
    </w:p>
    <w:p w14:paraId="00CB9E98" w14:textId="77777777" w:rsidR="008610A6" w:rsidRPr="001147D3" w:rsidRDefault="008610A6" w:rsidP="001147D3">
      <w:pPr>
        <w:spacing w:before="100" w:beforeAutospacing="1" w:after="100" w:afterAutospacing="1" w:line="240" w:lineRule="auto"/>
        <w:jc w:val="left"/>
        <w:rPr>
          <w:rFonts w:ascii="Arial" w:eastAsia="Times New Roman" w:hAnsi="Arial" w:cs="Arial"/>
          <w:sz w:val="20"/>
          <w:szCs w:val="20"/>
        </w:rPr>
      </w:pPr>
      <w:r w:rsidRPr="001147D3">
        <w:rPr>
          <w:rFonts w:ascii="Arial" w:eastAsia="Times New Roman" w:hAnsi="Arial" w:cs="Arial"/>
          <w:sz w:val="20"/>
          <w:szCs w:val="20"/>
        </w:rPr>
        <w:t>This section measures your usage and intentions regarding FinTech services.</w:t>
      </w:r>
    </w:p>
    <w:p w14:paraId="1E8FD096" w14:textId="77777777" w:rsidR="008610A6" w:rsidRPr="001147D3" w:rsidRDefault="008610A6" w:rsidP="001147D3">
      <w:pPr>
        <w:numPr>
          <w:ilvl w:val="0"/>
          <w:numId w:val="8"/>
        </w:numPr>
        <w:spacing w:before="100" w:beforeAutospacing="1" w:after="100" w:afterAutospacing="1" w:line="240" w:lineRule="auto"/>
        <w:jc w:val="left"/>
        <w:rPr>
          <w:rFonts w:ascii="Arial" w:eastAsia="Times New Roman" w:hAnsi="Arial" w:cs="Arial"/>
          <w:sz w:val="20"/>
          <w:szCs w:val="20"/>
        </w:rPr>
      </w:pPr>
      <w:r w:rsidRPr="001147D3">
        <w:rPr>
          <w:rFonts w:ascii="Arial" w:eastAsia="Times New Roman" w:hAnsi="Arial" w:cs="Arial"/>
          <w:b/>
          <w:bCs/>
          <w:sz w:val="20"/>
          <w:szCs w:val="20"/>
        </w:rPr>
        <w:t>Current Use of FinTech Services</w:t>
      </w:r>
      <w:r w:rsidRPr="001147D3">
        <w:rPr>
          <w:rFonts w:ascii="Arial" w:eastAsia="Times New Roman" w:hAnsi="Arial" w:cs="Arial"/>
          <w:sz w:val="20"/>
          <w:szCs w:val="20"/>
        </w:rPr>
        <w:br/>
        <w:t>a) Do you currently use any FinTech services (e.g., mobile money, digital wallets, online payment platforms)?</w:t>
      </w:r>
      <w:r w:rsidRPr="001147D3">
        <w:rPr>
          <w:rFonts w:ascii="Arial" w:eastAsia="Times New Roman" w:hAnsi="Arial" w:cs="Arial"/>
          <w:sz w:val="20"/>
          <w:szCs w:val="20"/>
        </w:rPr>
        <w:br/>
      </w:r>
      <w:r w:rsidRPr="001147D3">
        <w:rPr>
          <w:rFonts w:ascii="MS Gothic" w:eastAsia="MS Gothic" w:hAnsi="MS Gothic" w:cs="MS Gothic" w:hint="eastAsia"/>
          <w:sz w:val="20"/>
          <w:szCs w:val="20"/>
        </w:rPr>
        <w:t>☐</w:t>
      </w:r>
      <w:r w:rsidRPr="001147D3">
        <w:rPr>
          <w:rFonts w:ascii="Arial" w:eastAsia="Times New Roman" w:hAnsi="Arial" w:cs="Arial"/>
          <w:sz w:val="20"/>
          <w:szCs w:val="20"/>
        </w:rPr>
        <w:t xml:space="preserve"> Yes</w:t>
      </w:r>
      <w:r w:rsidRPr="001147D3">
        <w:rPr>
          <w:rFonts w:ascii="Arial" w:eastAsia="Times New Roman" w:hAnsi="Arial" w:cs="Arial"/>
          <w:sz w:val="20"/>
          <w:szCs w:val="20"/>
        </w:rPr>
        <w:br/>
      </w:r>
      <w:r w:rsidRPr="001147D3">
        <w:rPr>
          <w:rFonts w:ascii="MS Gothic" w:eastAsia="MS Gothic" w:hAnsi="MS Gothic" w:cs="MS Gothic" w:hint="eastAsia"/>
          <w:sz w:val="20"/>
          <w:szCs w:val="20"/>
        </w:rPr>
        <w:t>☐</w:t>
      </w:r>
      <w:r w:rsidRPr="001147D3">
        <w:rPr>
          <w:rFonts w:ascii="Arial" w:eastAsia="Times New Roman" w:hAnsi="Arial" w:cs="Arial"/>
          <w:sz w:val="20"/>
          <w:szCs w:val="20"/>
        </w:rPr>
        <w:t xml:space="preserve"> No</w:t>
      </w:r>
    </w:p>
    <w:p w14:paraId="0E41DA25" w14:textId="77777777" w:rsidR="008610A6" w:rsidRPr="001147D3" w:rsidRDefault="008610A6" w:rsidP="001147D3">
      <w:pPr>
        <w:numPr>
          <w:ilvl w:val="0"/>
          <w:numId w:val="8"/>
        </w:numPr>
        <w:spacing w:before="100" w:beforeAutospacing="1" w:after="100" w:afterAutospacing="1" w:line="240" w:lineRule="auto"/>
        <w:jc w:val="left"/>
        <w:rPr>
          <w:rFonts w:ascii="Arial" w:eastAsia="Times New Roman" w:hAnsi="Arial" w:cs="Arial"/>
          <w:sz w:val="20"/>
          <w:szCs w:val="20"/>
        </w:rPr>
      </w:pPr>
      <w:r w:rsidRPr="001147D3">
        <w:rPr>
          <w:rFonts w:ascii="Arial" w:eastAsia="Times New Roman" w:hAnsi="Arial" w:cs="Arial"/>
          <w:b/>
          <w:bCs/>
          <w:sz w:val="20"/>
          <w:szCs w:val="20"/>
        </w:rPr>
        <w:t>Frequency of Use</w:t>
      </w:r>
      <w:r w:rsidRPr="001147D3">
        <w:rPr>
          <w:rFonts w:ascii="Arial" w:eastAsia="Times New Roman" w:hAnsi="Arial" w:cs="Arial"/>
          <w:sz w:val="20"/>
          <w:szCs w:val="20"/>
        </w:rPr>
        <w:br/>
        <w:t>If you use FinTech services, how often do you use them?</w:t>
      </w:r>
      <w:r w:rsidRPr="001147D3">
        <w:rPr>
          <w:rFonts w:ascii="Arial" w:eastAsia="Times New Roman" w:hAnsi="Arial" w:cs="Arial"/>
          <w:sz w:val="20"/>
          <w:szCs w:val="20"/>
        </w:rPr>
        <w:br/>
      </w:r>
      <w:r w:rsidRPr="001147D3">
        <w:rPr>
          <w:rFonts w:ascii="MS Gothic" w:eastAsia="MS Gothic" w:hAnsi="MS Gothic" w:cs="MS Gothic" w:hint="eastAsia"/>
          <w:sz w:val="20"/>
          <w:szCs w:val="20"/>
        </w:rPr>
        <w:t>☐</w:t>
      </w:r>
      <w:r w:rsidRPr="001147D3">
        <w:rPr>
          <w:rFonts w:ascii="Arial" w:eastAsia="Times New Roman" w:hAnsi="Arial" w:cs="Arial"/>
          <w:sz w:val="20"/>
          <w:szCs w:val="20"/>
        </w:rPr>
        <w:t xml:space="preserve"> Daily</w:t>
      </w:r>
      <w:r w:rsidRPr="001147D3">
        <w:rPr>
          <w:rFonts w:ascii="Arial" w:eastAsia="Times New Roman" w:hAnsi="Arial" w:cs="Arial"/>
          <w:sz w:val="20"/>
          <w:szCs w:val="20"/>
        </w:rPr>
        <w:br/>
      </w:r>
      <w:r w:rsidRPr="001147D3">
        <w:rPr>
          <w:rFonts w:ascii="MS Gothic" w:eastAsia="MS Gothic" w:hAnsi="MS Gothic" w:cs="MS Gothic" w:hint="eastAsia"/>
          <w:sz w:val="20"/>
          <w:szCs w:val="20"/>
        </w:rPr>
        <w:t>☐</w:t>
      </w:r>
      <w:r w:rsidRPr="001147D3">
        <w:rPr>
          <w:rFonts w:ascii="Arial" w:eastAsia="Times New Roman" w:hAnsi="Arial" w:cs="Arial"/>
          <w:sz w:val="20"/>
          <w:szCs w:val="20"/>
        </w:rPr>
        <w:t xml:space="preserve"> Weekly</w:t>
      </w:r>
      <w:r w:rsidRPr="001147D3">
        <w:rPr>
          <w:rFonts w:ascii="Arial" w:eastAsia="Times New Roman" w:hAnsi="Arial" w:cs="Arial"/>
          <w:sz w:val="20"/>
          <w:szCs w:val="20"/>
        </w:rPr>
        <w:br/>
      </w:r>
      <w:r w:rsidRPr="001147D3">
        <w:rPr>
          <w:rFonts w:ascii="MS Gothic" w:eastAsia="MS Gothic" w:hAnsi="MS Gothic" w:cs="MS Gothic" w:hint="eastAsia"/>
          <w:sz w:val="20"/>
          <w:szCs w:val="20"/>
        </w:rPr>
        <w:t>☐</w:t>
      </w:r>
      <w:r w:rsidRPr="001147D3">
        <w:rPr>
          <w:rFonts w:ascii="Arial" w:eastAsia="Times New Roman" w:hAnsi="Arial" w:cs="Arial"/>
          <w:sz w:val="20"/>
          <w:szCs w:val="20"/>
        </w:rPr>
        <w:t xml:space="preserve"> Monthly</w:t>
      </w:r>
      <w:r w:rsidRPr="001147D3">
        <w:rPr>
          <w:rFonts w:ascii="Arial" w:eastAsia="Times New Roman" w:hAnsi="Arial" w:cs="Arial"/>
          <w:sz w:val="20"/>
          <w:szCs w:val="20"/>
        </w:rPr>
        <w:br/>
      </w:r>
      <w:r w:rsidRPr="001147D3">
        <w:rPr>
          <w:rFonts w:ascii="MS Gothic" w:eastAsia="MS Gothic" w:hAnsi="MS Gothic" w:cs="MS Gothic" w:hint="eastAsia"/>
          <w:sz w:val="20"/>
          <w:szCs w:val="20"/>
        </w:rPr>
        <w:t>☐</w:t>
      </w:r>
      <w:r w:rsidRPr="001147D3">
        <w:rPr>
          <w:rFonts w:ascii="Arial" w:eastAsia="Times New Roman" w:hAnsi="Arial" w:cs="Arial"/>
          <w:sz w:val="20"/>
          <w:szCs w:val="20"/>
        </w:rPr>
        <w:t xml:space="preserve"> Rarely</w:t>
      </w:r>
    </w:p>
    <w:p w14:paraId="0F5A7FA5" w14:textId="77777777" w:rsidR="008610A6" w:rsidRPr="001147D3" w:rsidRDefault="008610A6" w:rsidP="001147D3">
      <w:pPr>
        <w:numPr>
          <w:ilvl w:val="0"/>
          <w:numId w:val="8"/>
        </w:numPr>
        <w:spacing w:before="100" w:beforeAutospacing="1" w:after="100" w:afterAutospacing="1" w:line="240" w:lineRule="auto"/>
        <w:jc w:val="left"/>
        <w:rPr>
          <w:rFonts w:ascii="Arial" w:eastAsia="Times New Roman" w:hAnsi="Arial" w:cs="Arial"/>
          <w:sz w:val="20"/>
          <w:szCs w:val="20"/>
        </w:rPr>
      </w:pPr>
      <w:r w:rsidRPr="001147D3">
        <w:rPr>
          <w:rFonts w:ascii="Arial" w:eastAsia="Times New Roman" w:hAnsi="Arial" w:cs="Arial"/>
          <w:b/>
          <w:bCs/>
          <w:sz w:val="20"/>
          <w:szCs w:val="20"/>
        </w:rPr>
        <w:t>Barriers to Adoption</w:t>
      </w:r>
      <w:r w:rsidRPr="001147D3">
        <w:rPr>
          <w:rFonts w:ascii="Arial" w:eastAsia="Times New Roman" w:hAnsi="Arial" w:cs="Arial"/>
          <w:sz w:val="20"/>
          <w:szCs w:val="20"/>
        </w:rPr>
        <w:br/>
        <w:t>a) If you do not use FinTech services, what are the reasons? (Select all that apply)</w:t>
      </w:r>
      <w:r w:rsidRPr="001147D3">
        <w:rPr>
          <w:rFonts w:ascii="Arial" w:eastAsia="Times New Roman" w:hAnsi="Arial" w:cs="Arial"/>
          <w:sz w:val="20"/>
          <w:szCs w:val="20"/>
        </w:rPr>
        <w:br/>
      </w:r>
      <w:r w:rsidRPr="001147D3">
        <w:rPr>
          <w:rFonts w:ascii="MS Gothic" w:eastAsia="MS Gothic" w:hAnsi="MS Gothic" w:cs="MS Gothic" w:hint="eastAsia"/>
          <w:sz w:val="20"/>
          <w:szCs w:val="20"/>
        </w:rPr>
        <w:t>☐</w:t>
      </w:r>
      <w:r w:rsidRPr="001147D3">
        <w:rPr>
          <w:rFonts w:ascii="Arial" w:eastAsia="Times New Roman" w:hAnsi="Arial" w:cs="Arial"/>
          <w:sz w:val="20"/>
          <w:szCs w:val="20"/>
        </w:rPr>
        <w:t xml:space="preserve"> Fear of losing money (bankruptcy or fraud)</w:t>
      </w:r>
      <w:r w:rsidRPr="001147D3">
        <w:rPr>
          <w:rFonts w:ascii="Arial" w:eastAsia="Times New Roman" w:hAnsi="Arial" w:cs="Arial"/>
          <w:sz w:val="20"/>
          <w:szCs w:val="20"/>
        </w:rPr>
        <w:br/>
      </w:r>
      <w:r w:rsidRPr="001147D3">
        <w:rPr>
          <w:rFonts w:ascii="MS Gothic" w:eastAsia="MS Gothic" w:hAnsi="MS Gothic" w:cs="MS Gothic" w:hint="eastAsia"/>
          <w:sz w:val="20"/>
          <w:szCs w:val="20"/>
        </w:rPr>
        <w:t>☐</w:t>
      </w:r>
      <w:r w:rsidRPr="001147D3">
        <w:rPr>
          <w:rFonts w:ascii="Arial" w:eastAsia="Times New Roman" w:hAnsi="Arial" w:cs="Arial"/>
          <w:sz w:val="20"/>
          <w:szCs w:val="20"/>
        </w:rPr>
        <w:t xml:space="preserve"> Lack of trust in the security of the platform</w:t>
      </w:r>
      <w:r w:rsidRPr="001147D3">
        <w:rPr>
          <w:rFonts w:ascii="Arial" w:eastAsia="Times New Roman" w:hAnsi="Arial" w:cs="Arial"/>
          <w:sz w:val="20"/>
          <w:szCs w:val="20"/>
        </w:rPr>
        <w:br/>
      </w:r>
      <w:r w:rsidRPr="001147D3">
        <w:rPr>
          <w:rFonts w:ascii="MS Gothic" w:eastAsia="MS Gothic" w:hAnsi="MS Gothic" w:cs="MS Gothic" w:hint="eastAsia"/>
          <w:sz w:val="20"/>
          <w:szCs w:val="20"/>
        </w:rPr>
        <w:t>☐</w:t>
      </w:r>
      <w:r w:rsidRPr="001147D3">
        <w:rPr>
          <w:rFonts w:ascii="Arial" w:eastAsia="Times New Roman" w:hAnsi="Arial" w:cs="Arial"/>
          <w:sz w:val="20"/>
          <w:szCs w:val="20"/>
        </w:rPr>
        <w:t xml:space="preserve"> Prefer traditional banking methods</w:t>
      </w:r>
      <w:r w:rsidRPr="001147D3">
        <w:rPr>
          <w:rFonts w:ascii="Arial" w:eastAsia="Times New Roman" w:hAnsi="Arial" w:cs="Arial"/>
          <w:sz w:val="20"/>
          <w:szCs w:val="20"/>
        </w:rPr>
        <w:br/>
      </w:r>
      <w:r w:rsidRPr="001147D3">
        <w:rPr>
          <w:rFonts w:ascii="MS Gothic" w:eastAsia="MS Gothic" w:hAnsi="MS Gothic" w:cs="MS Gothic" w:hint="eastAsia"/>
          <w:sz w:val="20"/>
          <w:szCs w:val="20"/>
        </w:rPr>
        <w:t>☐</w:t>
      </w:r>
      <w:r w:rsidRPr="001147D3">
        <w:rPr>
          <w:rFonts w:ascii="Arial" w:eastAsia="Times New Roman" w:hAnsi="Arial" w:cs="Arial"/>
          <w:sz w:val="20"/>
          <w:szCs w:val="20"/>
        </w:rPr>
        <w:t xml:space="preserve"> Lack of information about FinTech services</w:t>
      </w:r>
      <w:r w:rsidRPr="001147D3">
        <w:rPr>
          <w:rFonts w:ascii="Arial" w:eastAsia="Times New Roman" w:hAnsi="Arial" w:cs="Arial"/>
          <w:sz w:val="20"/>
          <w:szCs w:val="20"/>
        </w:rPr>
        <w:br/>
      </w:r>
      <w:r w:rsidRPr="001147D3">
        <w:rPr>
          <w:rFonts w:ascii="MS Gothic" w:eastAsia="MS Gothic" w:hAnsi="MS Gothic" w:cs="MS Gothic" w:hint="eastAsia"/>
          <w:sz w:val="20"/>
          <w:szCs w:val="20"/>
        </w:rPr>
        <w:t>☐</w:t>
      </w:r>
      <w:r w:rsidRPr="001147D3">
        <w:rPr>
          <w:rFonts w:ascii="Arial" w:eastAsia="Times New Roman" w:hAnsi="Arial" w:cs="Arial"/>
          <w:sz w:val="20"/>
          <w:szCs w:val="20"/>
        </w:rPr>
        <w:t xml:space="preserve"> Other (please specify): ______________________</w:t>
      </w:r>
    </w:p>
    <w:p w14:paraId="1DDF8FA2" w14:textId="77777777" w:rsidR="008610A6" w:rsidRPr="001147D3" w:rsidRDefault="008610A6" w:rsidP="001147D3">
      <w:pPr>
        <w:numPr>
          <w:ilvl w:val="0"/>
          <w:numId w:val="8"/>
        </w:numPr>
        <w:spacing w:before="100" w:beforeAutospacing="1" w:after="100" w:afterAutospacing="1" w:line="240" w:lineRule="auto"/>
        <w:jc w:val="left"/>
        <w:rPr>
          <w:rFonts w:ascii="Arial" w:eastAsia="Times New Roman" w:hAnsi="Arial" w:cs="Arial"/>
          <w:sz w:val="20"/>
          <w:szCs w:val="20"/>
        </w:rPr>
      </w:pPr>
      <w:r w:rsidRPr="001147D3">
        <w:rPr>
          <w:rFonts w:ascii="Arial" w:eastAsia="Times New Roman" w:hAnsi="Arial" w:cs="Arial"/>
          <w:b/>
          <w:bCs/>
          <w:sz w:val="20"/>
          <w:szCs w:val="20"/>
        </w:rPr>
        <w:t>Intention to Adopt</w:t>
      </w:r>
      <w:r w:rsidRPr="001147D3">
        <w:rPr>
          <w:rFonts w:ascii="Arial" w:eastAsia="Times New Roman" w:hAnsi="Arial" w:cs="Arial"/>
          <w:sz w:val="20"/>
          <w:szCs w:val="20"/>
        </w:rPr>
        <w:br/>
        <w:t>a) If you are not currently using FinTech services, would you consider using them in the future?</w:t>
      </w:r>
      <w:r w:rsidRPr="001147D3">
        <w:rPr>
          <w:rFonts w:ascii="Arial" w:eastAsia="Times New Roman" w:hAnsi="Arial" w:cs="Arial"/>
          <w:sz w:val="20"/>
          <w:szCs w:val="20"/>
        </w:rPr>
        <w:br/>
      </w:r>
      <w:r w:rsidRPr="001147D3">
        <w:rPr>
          <w:rFonts w:ascii="MS Gothic" w:eastAsia="MS Gothic" w:hAnsi="MS Gothic" w:cs="MS Gothic" w:hint="eastAsia"/>
          <w:sz w:val="20"/>
          <w:szCs w:val="20"/>
        </w:rPr>
        <w:t>☐</w:t>
      </w:r>
      <w:r w:rsidRPr="001147D3">
        <w:rPr>
          <w:rFonts w:ascii="Arial" w:eastAsia="Times New Roman" w:hAnsi="Arial" w:cs="Arial"/>
          <w:sz w:val="20"/>
          <w:szCs w:val="20"/>
        </w:rPr>
        <w:t xml:space="preserve"> Yes</w:t>
      </w:r>
      <w:r w:rsidRPr="001147D3">
        <w:rPr>
          <w:rFonts w:ascii="Arial" w:eastAsia="Times New Roman" w:hAnsi="Arial" w:cs="Arial"/>
          <w:sz w:val="20"/>
          <w:szCs w:val="20"/>
        </w:rPr>
        <w:br/>
      </w:r>
      <w:r w:rsidRPr="001147D3">
        <w:rPr>
          <w:rFonts w:ascii="MS Gothic" w:eastAsia="MS Gothic" w:hAnsi="MS Gothic" w:cs="MS Gothic" w:hint="eastAsia"/>
          <w:sz w:val="20"/>
          <w:szCs w:val="20"/>
        </w:rPr>
        <w:t>☐</w:t>
      </w:r>
      <w:r w:rsidRPr="001147D3">
        <w:rPr>
          <w:rFonts w:ascii="Arial" w:eastAsia="Times New Roman" w:hAnsi="Arial" w:cs="Arial"/>
          <w:sz w:val="20"/>
          <w:szCs w:val="20"/>
        </w:rPr>
        <w:t xml:space="preserve"> No</w:t>
      </w:r>
      <w:r w:rsidRPr="001147D3">
        <w:rPr>
          <w:rFonts w:ascii="Arial" w:eastAsia="Times New Roman" w:hAnsi="Arial" w:cs="Arial"/>
          <w:sz w:val="20"/>
          <w:szCs w:val="20"/>
        </w:rPr>
        <w:br/>
      </w:r>
      <w:r w:rsidRPr="001147D3">
        <w:rPr>
          <w:rFonts w:ascii="MS Gothic" w:eastAsia="MS Gothic" w:hAnsi="MS Gothic" w:cs="MS Gothic" w:hint="eastAsia"/>
          <w:sz w:val="20"/>
          <w:szCs w:val="20"/>
        </w:rPr>
        <w:t>☐</w:t>
      </w:r>
      <w:r w:rsidRPr="001147D3">
        <w:rPr>
          <w:rFonts w:ascii="Arial" w:eastAsia="Times New Roman" w:hAnsi="Arial" w:cs="Arial"/>
          <w:sz w:val="20"/>
          <w:szCs w:val="20"/>
        </w:rPr>
        <w:t xml:space="preserve"> Maybe</w:t>
      </w:r>
    </w:p>
    <w:p w14:paraId="2495FBE7" w14:textId="77777777" w:rsidR="008610A6" w:rsidRPr="001147D3" w:rsidRDefault="008610A6" w:rsidP="001147D3">
      <w:pPr>
        <w:numPr>
          <w:ilvl w:val="0"/>
          <w:numId w:val="8"/>
        </w:numPr>
        <w:spacing w:before="100" w:beforeAutospacing="1" w:after="100" w:afterAutospacing="1" w:line="240" w:lineRule="auto"/>
        <w:jc w:val="left"/>
        <w:rPr>
          <w:rFonts w:ascii="Arial" w:eastAsia="Times New Roman" w:hAnsi="Arial" w:cs="Arial"/>
          <w:sz w:val="20"/>
          <w:szCs w:val="20"/>
        </w:rPr>
      </w:pPr>
      <w:r w:rsidRPr="001147D3">
        <w:rPr>
          <w:rFonts w:ascii="Arial" w:eastAsia="Times New Roman" w:hAnsi="Arial" w:cs="Arial"/>
          <w:b/>
          <w:bCs/>
          <w:sz w:val="20"/>
          <w:szCs w:val="20"/>
        </w:rPr>
        <w:t>Factors for Future Adoption</w:t>
      </w:r>
      <w:r w:rsidRPr="001147D3">
        <w:rPr>
          <w:rFonts w:ascii="Arial" w:eastAsia="Times New Roman" w:hAnsi="Arial" w:cs="Arial"/>
          <w:sz w:val="20"/>
          <w:szCs w:val="20"/>
        </w:rPr>
        <w:br/>
        <w:t>a) What factors would influence your decision to adopt FinTech services in the future? (Select all that apply)</w:t>
      </w:r>
      <w:r w:rsidRPr="001147D3">
        <w:rPr>
          <w:rFonts w:ascii="Arial" w:eastAsia="Times New Roman" w:hAnsi="Arial" w:cs="Arial"/>
          <w:sz w:val="20"/>
          <w:szCs w:val="20"/>
        </w:rPr>
        <w:br/>
      </w:r>
      <w:r w:rsidRPr="001147D3">
        <w:rPr>
          <w:rFonts w:ascii="MS Gothic" w:eastAsia="MS Gothic" w:hAnsi="MS Gothic" w:cs="MS Gothic" w:hint="eastAsia"/>
          <w:sz w:val="20"/>
          <w:szCs w:val="20"/>
        </w:rPr>
        <w:t>☐</w:t>
      </w:r>
      <w:r w:rsidRPr="001147D3">
        <w:rPr>
          <w:rFonts w:ascii="Arial" w:eastAsia="Times New Roman" w:hAnsi="Arial" w:cs="Arial"/>
          <w:sz w:val="20"/>
          <w:szCs w:val="20"/>
        </w:rPr>
        <w:t xml:space="preserve"> Improved security features</w:t>
      </w:r>
      <w:r w:rsidRPr="001147D3">
        <w:rPr>
          <w:rFonts w:ascii="Arial" w:eastAsia="Times New Roman" w:hAnsi="Arial" w:cs="Arial"/>
          <w:sz w:val="20"/>
          <w:szCs w:val="20"/>
        </w:rPr>
        <w:br/>
      </w:r>
      <w:r w:rsidRPr="001147D3">
        <w:rPr>
          <w:rFonts w:ascii="MS Gothic" w:eastAsia="MS Gothic" w:hAnsi="MS Gothic" w:cs="MS Gothic" w:hint="eastAsia"/>
          <w:sz w:val="20"/>
          <w:szCs w:val="20"/>
        </w:rPr>
        <w:t>☐</w:t>
      </w:r>
      <w:r w:rsidRPr="001147D3">
        <w:rPr>
          <w:rFonts w:ascii="Arial" w:eastAsia="Times New Roman" w:hAnsi="Arial" w:cs="Arial"/>
          <w:sz w:val="20"/>
          <w:szCs w:val="20"/>
        </w:rPr>
        <w:t xml:space="preserve"> Better regulatory oversight</w:t>
      </w:r>
      <w:r w:rsidRPr="001147D3">
        <w:rPr>
          <w:rFonts w:ascii="Arial" w:eastAsia="Times New Roman" w:hAnsi="Arial" w:cs="Arial"/>
          <w:sz w:val="20"/>
          <w:szCs w:val="20"/>
        </w:rPr>
        <w:br/>
      </w:r>
      <w:r w:rsidRPr="001147D3">
        <w:rPr>
          <w:rFonts w:ascii="MS Gothic" w:eastAsia="MS Gothic" w:hAnsi="MS Gothic" w:cs="MS Gothic" w:hint="eastAsia"/>
          <w:sz w:val="20"/>
          <w:szCs w:val="20"/>
        </w:rPr>
        <w:t>☐</w:t>
      </w:r>
      <w:r w:rsidRPr="001147D3">
        <w:rPr>
          <w:rFonts w:ascii="Arial" w:eastAsia="Times New Roman" w:hAnsi="Arial" w:cs="Arial"/>
          <w:sz w:val="20"/>
          <w:szCs w:val="20"/>
        </w:rPr>
        <w:t xml:space="preserve"> Positive customer reviews</w:t>
      </w:r>
      <w:r w:rsidRPr="001147D3">
        <w:rPr>
          <w:rFonts w:ascii="Arial" w:eastAsia="Times New Roman" w:hAnsi="Arial" w:cs="Arial"/>
          <w:sz w:val="20"/>
          <w:szCs w:val="20"/>
        </w:rPr>
        <w:br/>
      </w:r>
      <w:r w:rsidRPr="001147D3">
        <w:rPr>
          <w:rFonts w:ascii="MS Gothic" w:eastAsia="MS Gothic" w:hAnsi="MS Gothic" w:cs="MS Gothic" w:hint="eastAsia"/>
          <w:sz w:val="20"/>
          <w:szCs w:val="20"/>
        </w:rPr>
        <w:t>☐</w:t>
      </w:r>
      <w:r w:rsidRPr="001147D3">
        <w:rPr>
          <w:rFonts w:ascii="Arial" w:eastAsia="Times New Roman" w:hAnsi="Arial" w:cs="Arial"/>
          <w:sz w:val="20"/>
          <w:szCs w:val="20"/>
        </w:rPr>
        <w:t xml:space="preserve"> Recommendations from friends/family</w:t>
      </w:r>
      <w:r w:rsidRPr="001147D3">
        <w:rPr>
          <w:rFonts w:ascii="Arial" w:eastAsia="Times New Roman" w:hAnsi="Arial" w:cs="Arial"/>
          <w:sz w:val="20"/>
          <w:szCs w:val="20"/>
        </w:rPr>
        <w:br/>
      </w:r>
      <w:r w:rsidRPr="001147D3">
        <w:rPr>
          <w:rFonts w:ascii="MS Gothic" w:eastAsia="MS Gothic" w:hAnsi="MS Gothic" w:cs="MS Gothic" w:hint="eastAsia"/>
          <w:sz w:val="20"/>
          <w:szCs w:val="20"/>
        </w:rPr>
        <w:lastRenderedPageBreak/>
        <w:t>☐</w:t>
      </w:r>
      <w:r w:rsidRPr="001147D3">
        <w:rPr>
          <w:rFonts w:ascii="Arial" w:eastAsia="Times New Roman" w:hAnsi="Arial" w:cs="Arial"/>
          <w:sz w:val="20"/>
          <w:szCs w:val="20"/>
        </w:rPr>
        <w:t xml:space="preserve"> Lower transaction fees</w:t>
      </w:r>
      <w:r w:rsidRPr="001147D3">
        <w:rPr>
          <w:rFonts w:ascii="Arial" w:eastAsia="Times New Roman" w:hAnsi="Arial" w:cs="Arial"/>
          <w:sz w:val="20"/>
          <w:szCs w:val="20"/>
        </w:rPr>
        <w:br/>
      </w:r>
      <w:r w:rsidRPr="001147D3">
        <w:rPr>
          <w:rFonts w:ascii="MS Gothic" w:eastAsia="MS Gothic" w:hAnsi="MS Gothic" w:cs="MS Gothic" w:hint="eastAsia"/>
          <w:sz w:val="20"/>
          <w:szCs w:val="20"/>
        </w:rPr>
        <w:t>☐</w:t>
      </w:r>
      <w:r w:rsidRPr="001147D3">
        <w:rPr>
          <w:rFonts w:ascii="Arial" w:eastAsia="Times New Roman" w:hAnsi="Arial" w:cs="Arial"/>
          <w:sz w:val="20"/>
          <w:szCs w:val="20"/>
        </w:rPr>
        <w:t xml:space="preserve"> Other (please specify): ______________________</w:t>
      </w:r>
    </w:p>
    <w:p w14:paraId="28ED9809" w14:textId="77777777" w:rsidR="008610A6" w:rsidRPr="001147D3" w:rsidRDefault="008610A6" w:rsidP="001147D3">
      <w:pPr>
        <w:spacing w:before="100" w:beforeAutospacing="1" w:after="100" w:afterAutospacing="1" w:line="240" w:lineRule="auto"/>
        <w:jc w:val="left"/>
        <w:outlineLvl w:val="3"/>
        <w:rPr>
          <w:rFonts w:ascii="Arial" w:eastAsia="Times New Roman" w:hAnsi="Arial" w:cs="Arial"/>
          <w:b/>
          <w:bCs/>
          <w:sz w:val="20"/>
          <w:szCs w:val="20"/>
        </w:rPr>
      </w:pPr>
      <w:r w:rsidRPr="001147D3">
        <w:rPr>
          <w:rFonts w:ascii="Arial" w:eastAsia="Times New Roman" w:hAnsi="Arial" w:cs="Arial"/>
          <w:b/>
          <w:bCs/>
          <w:sz w:val="20"/>
          <w:szCs w:val="20"/>
        </w:rPr>
        <w:t>Section E: General Opinions on FinTech in Nigeria</w:t>
      </w:r>
    </w:p>
    <w:p w14:paraId="3DEE5B90" w14:textId="77777777" w:rsidR="008610A6" w:rsidRPr="001147D3" w:rsidRDefault="008610A6" w:rsidP="001147D3">
      <w:pPr>
        <w:numPr>
          <w:ilvl w:val="0"/>
          <w:numId w:val="9"/>
        </w:numPr>
        <w:spacing w:before="100" w:beforeAutospacing="1" w:after="100" w:afterAutospacing="1" w:line="240" w:lineRule="auto"/>
        <w:jc w:val="left"/>
        <w:rPr>
          <w:rFonts w:ascii="Arial" w:eastAsia="Times New Roman" w:hAnsi="Arial" w:cs="Arial"/>
          <w:sz w:val="20"/>
          <w:szCs w:val="20"/>
        </w:rPr>
      </w:pPr>
      <w:r w:rsidRPr="001147D3">
        <w:rPr>
          <w:rFonts w:ascii="Arial" w:eastAsia="Times New Roman" w:hAnsi="Arial" w:cs="Arial"/>
          <w:b/>
          <w:bCs/>
          <w:sz w:val="20"/>
          <w:szCs w:val="20"/>
        </w:rPr>
        <w:t>Perceived Benefits of FinTech</w:t>
      </w:r>
      <w:r w:rsidRPr="001147D3">
        <w:rPr>
          <w:rFonts w:ascii="Arial" w:eastAsia="Times New Roman" w:hAnsi="Arial" w:cs="Arial"/>
          <w:sz w:val="20"/>
          <w:szCs w:val="20"/>
        </w:rPr>
        <w:br/>
        <w:t>a) FinTech services provide better convenience compared to traditional banking.</w:t>
      </w:r>
      <w:r w:rsidRPr="001147D3">
        <w:rPr>
          <w:rFonts w:ascii="Arial" w:eastAsia="Times New Roman" w:hAnsi="Arial" w:cs="Arial"/>
          <w:sz w:val="20"/>
          <w:szCs w:val="20"/>
        </w:rPr>
        <w:br/>
      </w:r>
      <w:r w:rsidRPr="001147D3">
        <w:rPr>
          <w:rFonts w:ascii="MS Gothic" w:eastAsia="MS Gothic" w:hAnsi="MS Gothic" w:cs="MS Gothic" w:hint="eastAsia"/>
          <w:sz w:val="20"/>
          <w:szCs w:val="20"/>
        </w:rPr>
        <w:t>☐</w:t>
      </w:r>
      <w:r w:rsidRPr="001147D3">
        <w:rPr>
          <w:rFonts w:ascii="Arial" w:eastAsia="Times New Roman" w:hAnsi="Arial" w:cs="Arial"/>
          <w:sz w:val="20"/>
          <w:szCs w:val="20"/>
        </w:rPr>
        <w:t xml:space="preserve"> Strongly Agree</w:t>
      </w:r>
      <w:r w:rsidRPr="001147D3">
        <w:rPr>
          <w:rFonts w:ascii="Arial" w:eastAsia="Times New Roman" w:hAnsi="Arial" w:cs="Arial"/>
          <w:sz w:val="20"/>
          <w:szCs w:val="20"/>
        </w:rPr>
        <w:br/>
      </w:r>
      <w:r w:rsidRPr="001147D3">
        <w:rPr>
          <w:rFonts w:ascii="MS Gothic" w:eastAsia="MS Gothic" w:hAnsi="MS Gothic" w:cs="MS Gothic" w:hint="eastAsia"/>
          <w:sz w:val="20"/>
          <w:szCs w:val="20"/>
        </w:rPr>
        <w:t>☐</w:t>
      </w:r>
      <w:r w:rsidRPr="001147D3">
        <w:rPr>
          <w:rFonts w:ascii="Arial" w:eastAsia="Times New Roman" w:hAnsi="Arial" w:cs="Arial"/>
          <w:sz w:val="20"/>
          <w:szCs w:val="20"/>
        </w:rPr>
        <w:t xml:space="preserve"> Agree</w:t>
      </w:r>
      <w:r w:rsidRPr="001147D3">
        <w:rPr>
          <w:rFonts w:ascii="Arial" w:eastAsia="Times New Roman" w:hAnsi="Arial" w:cs="Arial"/>
          <w:sz w:val="20"/>
          <w:szCs w:val="20"/>
        </w:rPr>
        <w:br/>
      </w:r>
      <w:r w:rsidRPr="001147D3">
        <w:rPr>
          <w:rFonts w:ascii="MS Gothic" w:eastAsia="MS Gothic" w:hAnsi="MS Gothic" w:cs="MS Gothic" w:hint="eastAsia"/>
          <w:sz w:val="20"/>
          <w:szCs w:val="20"/>
        </w:rPr>
        <w:t>☐</w:t>
      </w:r>
      <w:r w:rsidRPr="001147D3">
        <w:rPr>
          <w:rFonts w:ascii="Arial" w:eastAsia="Times New Roman" w:hAnsi="Arial" w:cs="Arial"/>
          <w:sz w:val="20"/>
          <w:szCs w:val="20"/>
        </w:rPr>
        <w:t xml:space="preserve"> Neutral</w:t>
      </w:r>
      <w:r w:rsidRPr="001147D3">
        <w:rPr>
          <w:rFonts w:ascii="Arial" w:eastAsia="Times New Roman" w:hAnsi="Arial" w:cs="Arial"/>
          <w:sz w:val="20"/>
          <w:szCs w:val="20"/>
        </w:rPr>
        <w:br/>
      </w:r>
      <w:r w:rsidRPr="001147D3">
        <w:rPr>
          <w:rFonts w:ascii="MS Gothic" w:eastAsia="MS Gothic" w:hAnsi="MS Gothic" w:cs="MS Gothic" w:hint="eastAsia"/>
          <w:sz w:val="20"/>
          <w:szCs w:val="20"/>
        </w:rPr>
        <w:t>☐</w:t>
      </w:r>
      <w:r w:rsidRPr="001147D3">
        <w:rPr>
          <w:rFonts w:ascii="Arial" w:eastAsia="Times New Roman" w:hAnsi="Arial" w:cs="Arial"/>
          <w:sz w:val="20"/>
          <w:szCs w:val="20"/>
        </w:rPr>
        <w:t xml:space="preserve"> Disagree</w:t>
      </w:r>
      <w:r w:rsidRPr="001147D3">
        <w:rPr>
          <w:rFonts w:ascii="Arial" w:eastAsia="Times New Roman" w:hAnsi="Arial" w:cs="Arial"/>
          <w:sz w:val="20"/>
          <w:szCs w:val="20"/>
        </w:rPr>
        <w:br/>
      </w:r>
      <w:r w:rsidRPr="001147D3">
        <w:rPr>
          <w:rFonts w:ascii="MS Gothic" w:eastAsia="MS Gothic" w:hAnsi="MS Gothic" w:cs="MS Gothic" w:hint="eastAsia"/>
          <w:sz w:val="20"/>
          <w:szCs w:val="20"/>
        </w:rPr>
        <w:t>☐</w:t>
      </w:r>
      <w:r w:rsidRPr="001147D3">
        <w:rPr>
          <w:rFonts w:ascii="Arial" w:eastAsia="Times New Roman" w:hAnsi="Arial" w:cs="Arial"/>
          <w:sz w:val="20"/>
          <w:szCs w:val="20"/>
        </w:rPr>
        <w:t xml:space="preserve"> Strongly Disagree</w:t>
      </w:r>
    </w:p>
    <w:p w14:paraId="7C3B6DAD" w14:textId="77777777" w:rsidR="008610A6" w:rsidRPr="001147D3" w:rsidRDefault="008610A6" w:rsidP="001147D3">
      <w:pPr>
        <w:numPr>
          <w:ilvl w:val="0"/>
          <w:numId w:val="9"/>
        </w:numPr>
        <w:spacing w:before="100" w:beforeAutospacing="1" w:after="100" w:afterAutospacing="1" w:line="240" w:lineRule="auto"/>
        <w:jc w:val="left"/>
        <w:rPr>
          <w:rFonts w:ascii="Arial" w:eastAsia="Times New Roman" w:hAnsi="Arial" w:cs="Arial"/>
          <w:sz w:val="20"/>
          <w:szCs w:val="20"/>
        </w:rPr>
      </w:pPr>
      <w:r w:rsidRPr="001147D3">
        <w:rPr>
          <w:rFonts w:ascii="Arial" w:eastAsia="Times New Roman" w:hAnsi="Arial" w:cs="Arial"/>
          <w:b/>
          <w:bCs/>
          <w:sz w:val="20"/>
          <w:szCs w:val="20"/>
        </w:rPr>
        <w:t>Financial Inclusion</w:t>
      </w:r>
      <w:r w:rsidRPr="001147D3">
        <w:rPr>
          <w:rFonts w:ascii="Arial" w:eastAsia="Times New Roman" w:hAnsi="Arial" w:cs="Arial"/>
          <w:sz w:val="20"/>
          <w:szCs w:val="20"/>
        </w:rPr>
        <w:br/>
        <w:t>a) FinTech services have improved access to financial services for people who are unbanked or underbanked in Nigeria.</w:t>
      </w:r>
      <w:r w:rsidRPr="001147D3">
        <w:rPr>
          <w:rFonts w:ascii="Arial" w:eastAsia="Times New Roman" w:hAnsi="Arial" w:cs="Arial"/>
          <w:sz w:val="20"/>
          <w:szCs w:val="20"/>
        </w:rPr>
        <w:br/>
      </w:r>
      <w:r w:rsidRPr="001147D3">
        <w:rPr>
          <w:rFonts w:ascii="MS Gothic" w:eastAsia="MS Gothic" w:hAnsi="MS Gothic" w:cs="MS Gothic" w:hint="eastAsia"/>
          <w:sz w:val="20"/>
          <w:szCs w:val="20"/>
        </w:rPr>
        <w:t>☐</w:t>
      </w:r>
      <w:r w:rsidRPr="001147D3">
        <w:rPr>
          <w:rFonts w:ascii="Arial" w:eastAsia="Times New Roman" w:hAnsi="Arial" w:cs="Arial"/>
          <w:sz w:val="20"/>
          <w:szCs w:val="20"/>
        </w:rPr>
        <w:t xml:space="preserve"> Strongly Agree</w:t>
      </w:r>
      <w:r w:rsidRPr="001147D3">
        <w:rPr>
          <w:rFonts w:ascii="Arial" w:eastAsia="Times New Roman" w:hAnsi="Arial" w:cs="Arial"/>
          <w:sz w:val="20"/>
          <w:szCs w:val="20"/>
        </w:rPr>
        <w:br/>
      </w:r>
      <w:r w:rsidRPr="001147D3">
        <w:rPr>
          <w:rFonts w:ascii="MS Gothic" w:eastAsia="MS Gothic" w:hAnsi="MS Gothic" w:cs="MS Gothic" w:hint="eastAsia"/>
          <w:sz w:val="20"/>
          <w:szCs w:val="20"/>
        </w:rPr>
        <w:t>☐</w:t>
      </w:r>
      <w:r w:rsidRPr="001147D3">
        <w:rPr>
          <w:rFonts w:ascii="Arial" w:eastAsia="Times New Roman" w:hAnsi="Arial" w:cs="Arial"/>
          <w:sz w:val="20"/>
          <w:szCs w:val="20"/>
        </w:rPr>
        <w:t xml:space="preserve"> Agree</w:t>
      </w:r>
      <w:r w:rsidRPr="001147D3">
        <w:rPr>
          <w:rFonts w:ascii="Arial" w:eastAsia="Times New Roman" w:hAnsi="Arial" w:cs="Arial"/>
          <w:sz w:val="20"/>
          <w:szCs w:val="20"/>
        </w:rPr>
        <w:br/>
      </w:r>
      <w:r w:rsidRPr="001147D3">
        <w:rPr>
          <w:rFonts w:ascii="MS Gothic" w:eastAsia="MS Gothic" w:hAnsi="MS Gothic" w:cs="MS Gothic" w:hint="eastAsia"/>
          <w:sz w:val="20"/>
          <w:szCs w:val="20"/>
        </w:rPr>
        <w:t>☐</w:t>
      </w:r>
      <w:r w:rsidRPr="001147D3">
        <w:rPr>
          <w:rFonts w:ascii="Arial" w:eastAsia="Times New Roman" w:hAnsi="Arial" w:cs="Arial"/>
          <w:sz w:val="20"/>
          <w:szCs w:val="20"/>
        </w:rPr>
        <w:t xml:space="preserve"> Neutral</w:t>
      </w:r>
      <w:r w:rsidRPr="001147D3">
        <w:rPr>
          <w:rFonts w:ascii="Arial" w:eastAsia="Times New Roman" w:hAnsi="Arial" w:cs="Arial"/>
          <w:sz w:val="20"/>
          <w:szCs w:val="20"/>
        </w:rPr>
        <w:br/>
      </w:r>
      <w:r w:rsidRPr="001147D3">
        <w:rPr>
          <w:rFonts w:ascii="MS Gothic" w:eastAsia="MS Gothic" w:hAnsi="MS Gothic" w:cs="MS Gothic" w:hint="eastAsia"/>
          <w:sz w:val="20"/>
          <w:szCs w:val="20"/>
        </w:rPr>
        <w:t>☐</w:t>
      </w:r>
      <w:r w:rsidRPr="001147D3">
        <w:rPr>
          <w:rFonts w:ascii="Arial" w:eastAsia="Times New Roman" w:hAnsi="Arial" w:cs="Arial"/>
          <w:sz w:val="20"/>
          <w:szCs w:val="20"/>
        </w:rPr>
        <w:t xml:space="preserve"> Disagree</w:t>
      </w:r>
      <w:r w:rsidRPr="001147D3">
        <w:rPr>
          <w:rFonts w:ascii="Arial" w:eastAsia="Times New Roman" w:hAnsi="Arial" w:cs="Arial"/>
          <w:sz w:val="20"/>
          <w:szCs w:val="20"/>
        </w:rPr>
        <w:br/>
      </w:r>
      <w:r w:rsidRPr="001147D3">
        <w:rPr>
          <w:rFonts w:ascii="MS Gothic" w:eastAsia="MS Gothic" w:hAnsi="MS Gothic" w:cs="MS Gothic" w:hint="eastAsia"/>
          <w:sz w:val="20"/>
          <w:szCs w:val="20"/>
        </w:rPr>
        <w:t>☐</w:t>
      </w:r>
      <w:r w:rsidRPr="001147D3">
        <w:rPr>
          <w:rFonts w:ascii="Arial" w:eastAsia="Times New Roman" w:hAnsi="Arial" w:cs="Arial"/>
          <w:sz w:val="20"/>
          <w:szCs w:val="20"/>
        </w:rPr>
        <w:t xml:space="preserve"> Strongly Disagree</w:t>
      </w:r>
    </w:p>
    <w:p w14:paraId="0EEB7D96" w14:textId="77777777" w:rsidR="008610A6" w:rsidRPr="001147D3" w:rsidRDefault="008610A6" w:rsidP="001147D3">
      <w:pPr>
        <w:numPr>
          <w:ilvl w:val="0"/>
          <w:numId w:val="9"/>
        </w:numPr>
        <w:spacing w:before="100" w:beforeAutospacing="1" w:after="100" w:afterAutospacing="1" w:line="240" w:lineRule="auto"/>
        <w:jc w:val="left"/>
        <w:rPr>
          <w:rFonts w:ascii="Arial" w:eastAsia="Times New Roman" w:hAnsi="Arial" w:cs="Arial"/>
          <w:sz w:val="20"/>
          <w:szCs w:val="20"/>
        </w:rPr>
      </w:pPr>
      <w:r w:rsidRPr="001147D3">
        <w:rPr>
          <w:rFonts w:ascii="Arial" w:eastAsia="Times New Roman" w:hAnsi="Arial" w:cs="Arial"/>
          <w:b/>
          <w:bCs/>
          <w:sz w:val="20"/>
          <w:szCs w:val="20"/>
        </w:rPr>
        <w:t>Overall Perception of FinTech Services</w:t>
      </w:r>
      <w:r w:rsidRPr="001147D3">
        <w:rPr>
          <w:rFonts w:ascii="Arial" w:eastAsia="Times New Roman" w:hAnsi="Arial" w:cs="Arial"/>
          <w:sz w:val="20"/>
          <w:szCs w:val="20"/>
        </w:rPr>
        <w:br/>
        <w:t>a) Overall, I have a positive opinion of FinTech services and would recommend them to others.</w:t>
      </w:r>
      <w:r w:rsidRPr="001147D3">
        <w:rPr>
          <w:rFonts w:ascii="Arial" w:eastAsia="Times New Roman" w:hAnsi="Arial" w:cs="Arial"/>
          <w:sz w:val="20"/>
          <w:szCs w:val="20"/>
        </w:rPr>
        <w:br/>
      </w:r>
      <w:r w:rsidRPr="001147D3">
        <w:rPr>
          <w:rFonts w:ascii="MS Gothic" w:eastAsia="MS Gothic" w:hAnsi="MS Gothic" w:cs="MS Gothic" w:hint="eastAsia"/>
          <w:sz w:val="20"/>
          <w:szCs w:val="20"/>
        </w:rPr>
        <w:t>☐</w:t>
      </w:r>
      <w:r w:rsidRPr="001147D3">
        <w:rPr>
          <w:rFonts w:ascii="Arial" w:eastAsia="Times New Roman" w:hAnsi="Arial" w:cs="Arial"/>
          <w:sz w:val="20"/>
          <w:szCs w:val="20"/>
        </w:rPr>
        <w:t xml:space="preserve"> Strongly Agree</w:t>
      </w:r>
      <w:r w:rsidRPr="001147D3">
        <w:rPr>
          <w:rFonts w:ascii="Arial" w:eastAsia="Times New Roman" w:hAnsi="Arial" w:cs="Arial"/>
          <w:sz w:val="20"/>
          <w:szCs w:val="20"/>
        </w:rPr>
        <w:br/>
      </w:r>
      <w:r w:rsidRPr="001147D3">
        <w:rPr>
          <w:rFonts w:ascii="MS Gothic" w:eastAsia="MS Gothic" w:hAnsi="MS Gothic" w:cs="MS Gothic" w:hint="eastAsia"/>
          <w:sz w:val="20"/>
          <w:szCs w:val="20"/>
        </w:rPr>
        <w:t>☐</w:t>
      </w:r>
      <w:r w:rsidRPr="001147D3">
        <w:rPr>
          <w:rFonts w:ascii="Arial" w:eastAsia="Times New Roman" w:hAnsi="Arial" w:cs="Arial"/>
          <w:sz w:val="20"/>
          <w:szCs w:val="20"/>
        </w:rPr>
        <w:t xml:space="preserve"> Agree</w:t>
      </w:r>
      <w:r w:rsidRPr="001147D3">
        <w:rPr>
          <w:rFonts w:ascii="Arial" w:eastAsia="Times New Roman" w:hAnsi="Arial" w:cs="Arial"/>
          <w:sz w:val="20"/>
          <w:szCs w:val="20"/>
        </w:rPr>
        <w:br/>
      </w:r>
      <w:r w:rsidRPr="001147D3">
        <w:rPr>
          <w:rFonts w:ascii="MS Gothic" w:eastAsia="MS Gothic" w:hAnsi="MS Gothic" w:cs="MS Gothic" w:hint="eastAsia"/>
          <w:sz w:val="20"/>
          <w:szCs w:val="20"/>
        </w:rPr>
        <w:t>☐</w:t>
      </w:r>
      <w:r w:rsidRPr="001147D3">
        <w:rPr>
          <w:rFonts w:ascii="Arial" w:eastAsia="Times New Roman" w:hAnsi="Arial" w:cs="Arial"/>
          <w:sz w:val="20"/>
          <w:szCs w:val="20"/>
        </w:rPr>
        <w:t xml:space="preserve"> Neutral</w:t>
      </w:r>
      <w:r w:rsidRPr="001147D3">
        <w:rPr>
          <w:rFonts w:ascii="Arial" w:eastAsia="Times New Roman" w:hAnsi="Arial" w:cs="Arial"/>
          <w:sz w:val="20"/>
          <w:szCs w:val="20"/>
        </w:rPr>
        <w:br/>
      </w:r>
      <w:r w:rsidRPr="001147D3">
        <w:rPr>
          <w:rFonts w:ascii="MS Gothic" w:eastAsia="MS Gothic" w:hAnsi="MS Gothic" w:cs="MS Gothic" w:hint="eastAsia"/>
          <w:sz w:val="20"/>
          <w:szCs w:val="20"/>
        </w:rPr>
        <w:t>☐</w:t>
      </w:r>
      <w:r w:rsidRPr="001147D3">
        <w:rPr>
          <w:rFonts w:ascii="Arial" w:eastAsia="Times New Roman" w:hAnsi="Arial" w:cs="Arial"/>
          <w:sz w:val="20"/>
          <w:szCs w:val="20"/>
        </w:rPr>
        <w:t xml:space="preserve"> Disagree</w:t>
      </w:r>
      <w:r w:rsidRPr="001147D3">
        <w:rPr>
          <w:rFonts w:ascii="Arial" w:eastAsia="Times New Roman" w:hAnsi="Arial" w:cs="Arial"/>
          <w:sz w:val="20"/>
          <w:szCs w:val="20"/>
        </w:rPr>
        <w:br/>
      </w:r>
      <w:r w:rsidRPr="001147D3">
        <w:rPr>
          <w:rFonts w:ascii="MS Gothic" w:eastAsia="MS Gothic" w:hAnsi="MS Gothic" w:cs="MS Gothic" w:hint="eastAsia"/>
          <w:sz w:val="20"/>
          <w:szCs w:val="20"/>
        </w:rPr>
        <w:t>☐</w:t>
      </w:r>
      <w:r w:rsidRPr="001147D3">
        <w:rPr>
          <w:rFonts w:ascii="Arial" w:eastAsia="Times New Roman" w:hAnsi="Arial" w:cs="Arial"/>
          <w:sz w:val="20"/>
          <w:szCs w:val="20"/>
        </w:rPr>
        <w:t xml:space="preserve"> Strongly Disagree</w:t>
      </w:r>
    </w:p>
    <w:p w14:paraId="7B3DA128" w14:textId="77777777" w:rsidR="008610A6" w:rsidRPr="001147D3" w:rsidRDefault="008610A6" w:rsidP="001147D3">
      <w:pPr>
        <w:spacing w:before="100" w:beforeAutospacing="1" w:after="100" w:afterAutospacing="1" w:line="240" w:lineRule="auto"/>
        <w:jc w:val="left"/>
        <w:outlineLvl w:val="3"/>
        <w:rPr>
          <w:rFonts w:ascii="Arial" w:eastAsia="Times New Roman" w:hAnsi="Arial" w:cs="Arial"/>
          <w:b/>
          <w:bCs/>
          <w:sz w:val="20"/>
          <w:szCs w:val="20"/>
        </w:rPr>
      </w:pPr>
      <w:r w:rsidRPr="001147D3">
        <w:rPr>
          <w:rFonts w:ascii="Arial" w:eastAsia="Times New Roman" w:hAnsi="Arial" w:cs="Arial"/>
          <w:b/>
          <w:bCs/>
          <w:sz w:val="20"/>
          <w:szCs w:val="20"/>
        </w:rPr>
        <w:t>Section F: Additional Comments</w:t>
      </w:r>
    </w:p>
    <w:p w14:paraId="065C682E" w14:textId="77777777" w:rsidR="008610A6" w:rsidRPr="001147D3" w:rsidRDefault="008610A6" w:rsidP="001147D3">
      <w:pPr>
        <w:numPr>
          <w:ilvl w:val="0"/>
          <w:numId w:val="10"/>
        </w:numPr>
        <w:spacing w:before="100" w:beforeAutospacing="1" w:after="100" w:afterAutospacing="1" w:line="240" w:lineRule="auto"/>
        <w:jc w:val="left"/>
        <w:rPr>
          <w:rFonts w:ascii="Arial" w:eastAsia="Times New Roman" w:hAnsi="Arial" w:cs="Arial"/>
          <w:sz w:val="20"/>
          <w:szCs w:val="20"/>
        </w:rPr>
      </w:pPr>
      <w:r w:rsidRPr="001147D3">
        <w:rPr>
          <w:rFonts w:ascii="Arial" w:eastAsia="Times New Roman" w:hAnsi="Arial" w:cs="Arial"/>
          <w:b/>
          <w:bCs/>
          <w:sz w:val="20"/>
          <w:szCs w:val="20"/>
        </w:rPr>
        <w:t>Open-Ended Feedback</w:t>
      </w:r>
      <w:r w:rsidRPr="001147D3">
        <w:rPr>
          <w:rFonts w:ascii="Arial" w:eastAsia="Times New Roman" w:hAnsi="Arial" w:cs="Arial"/>
          <w:sz w:val="20"/>
          <w:szCs w:val="20"/>
        </w:rPr>
        <w:br/>
        <w:t>a) Please provide any additional comments or concerns you may have regarding FinTech services in Nigeria.</w:t>
      </w:r>
    </w:p>
    <w:p w14:paraId="22156EE0" w14:textId="77777777" w:rsidR="008610A6" w:rsidRPr="001147D3" w:rsidRDefault="008610A6" w:rsidP="001147D3">
      <w:pPr>
        <w:spacing w:before="100" w:beforeAutospacing="1" w:after="100" w:afterAutospacing="1" w:line="240" w:lineRule="auto"/>
        <w:jc w:val="left"/>
        <w:outlineLvl w:val="2"/>
        <w:rPr>
          <w:rFonts w:ascii="Arial" w:eastAsia="Times New Roman" w:hAnsi="Arial" w:cs="Arial"/>
          <w:bCs/>
          <w:sz w:val="20"/>
          <w:szCs w:val="20"/>
        </w:rPr>
      </w:pPr>
      <w:r w:rsidRPr="001147D3">
        <w:rPr>
          <w:rFonts w:ascii="Arial" w:eastAsia="Times New Roman" w:hAnsi="Arial" w:cs="Arial"/>
          <w:bCs/>
          <w:sz w:val="20"/>
          <w:szCs w:val="20"/>
        </w:rPr>
        <w:t>Thank you for participating in this survey. Your responses are valuable and will contribute to understanding the factors that influence the adoption of FinTech services in Nigeria.</w:t>
      </w:r>
    </w:p>
    <w:p w14:paraId="2B4B49C3" w14:textId="77777777" w:rsidR="002C2057" w:rsidRPr="001147D3" w:rsidRDefault="002C2057" w:rsidP="001147D3">
      <w:pPr>
        <w:spacing w:line="240" w:lineRule="auto"/>
        <w:rPr>
          <w:rFonts w:ascii="Arial" w:hAnsi="Arial" w:cs="Arial"/>
          <w:sz w:val="20"/>
          <w:szCs w:val="20"/>
        </w:rPr>
      </w:pPr>
    </w:p>
    <w:p w14:paraId="02599523" w14:textId="77777777" w:rsidR="00861657" w:rsidRPr="001147D3" w:rsidRDefault="00861657" w:rsidP="001147D3">
      <w:pPr>
        <w:spacing w:line="240" w:lineRule="auto"/>
        <w:rPr>
          <w:rFonts w:ascii="Arial" w:hAnsi="Arial" w:cs="Arial"/>
          <w:sz w:val="20"/>
          <w:szCs w:val="20"/>
        </w:rPr>
      </w:pPr>
    </w:p>
    <w:sectPr w:rsidR="00861657" w:rsidRPr="001147D3">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1EA7D0" w14:textId="77777777" w:rsidR="00770206" w:rsidRDefault="00770206" w:rsidP="001147D3">
      <w:pPr>
        <w:spacing w:after="0" w:line="240" w:lineRule="auto"/>
      </w:pPr>
      <w:r>
        <w:separator/>
      </w:r>
    </w:p>
  </w:endnote>
  <w:endnote w:type="continuationSeparator" w:id="0">
    <w:p w14:paraId="1383FF6F" w14:textId="77777777" w:rsidR="00770206" w:rsidRDefault="00770206" w:rsidP="001147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AA6C7D" w14:textId="77777777" w:rsidR="00CF0E12" w:rsidRDefault="00CF0E1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C2D23E" w14:textId="77777777" w:rsidR="00CF0E12" w:rsidRDefault="00CF0E1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9D70BF" w14:textId="77777777" w:rsidR="00CF0E12" w:rsidRDefault="00CF0E1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987CB1" w14:textId="77777777" w:rsidR="00770206" w:rsidRDefault="00770206" w:rsidP="001147D3">
      <w:pPr>
        <w:spacing w:after="0" w:line="240" w:lineRule="auto"/>
      </w:pPr>
      <w:r>
        <w:separator/>
      </w:r>
    </w:p>
  </w:footnote>
  <w:footnote w:type="continuationSeparator" w:id="0">
    <w:p w14:paraId="0DD6D362" w14:textId="77777777" w:rsidR="00770206" w:rsidRDefault="00770206" w:rsidP="001147D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356546" w14:textId="168B97BF" w:rsidR="00CF0E12" w:rsidRDefault="00770206">
    <w:pPr>
      <w:pStyle w:val="Header"/>
    </w:pPr>
    <w:r>
      <w:rPr>
        <w:noProof/>
      </w:rPr>
      <w:pict w14:anchorId="50A9A0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9629501" o:spid="_x0000_s2050" type="#_x0000_t136" style="position:absolute;left:0;text-align:left;margin-left:0;margin-top:0;width:593.85pt;height:65.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4A0FA5" w14:textId="36AD01B0" w:rsidR="00CF0E12" w:rsidRDefault="00770206">
    <w:pPr>
      <w:pStyle w:val="Header"/>
    </w:pPr>
    <w:r>
      <w:rPr>
        <w:noProof/>
      </w:rPr>
      <w:pict w14:anchorId="45D5D0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9629502" o:spid="_x0000_s2051" type="#_x0000_t136" style="position:absolute;left:0;text-align:left;margin-left:0;margin-top:0;width:593.85pt;height:65.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72B571" w14:textId="2E48283C" w:rsidR="00CF0E12" w:rsidRDefault="00770206">
    <w:pPr>
      <w:pStyle w:val="Header"/>
    </w:pPr>
    <w:r>
      <w:rPr>
        <w:noProof/>
      </w:rPr>
      <w:pict w14:anchorId="72D346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9629500" o:spid="_x0000_s2049" type="#_x0000_t136" style="position:absolute;left:0;text-align:left;margin-left:0;margin-top:0;width:593.85pt;height:65.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973D4"/>
    <w:multiLevelType w:val="multilevel"/>
    <w:tmpl w:val="BFF23BB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0147955"/>
    <w:multiLevelType w:val="multilevel"/>
    <w:tmpl w:val="171868B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21436D8"/>
    <w:multiLevelType w:val="hybridMultilevel"/>
    <w:tmpl w:val="8DF69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A2B0CAE"/>
    <w:multiLevelType w:val="multilevel"/>
    <w:tmpl w:val="43347FC4"/>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7C74159"/>
    <w:multiLevelType w:val="hybridMultilevel"/>
    <w:tmpl w:val="5DDC2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A7A3990"/>
    <w:multiLevelType w:val="hybridMultilevel"/>
    <w:tmpl w:val="23864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0B95944"/>
    <w:multiLevelType w:val="hybridMultilevel"/>
    <w:tmpl w:val="AF10A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6A821C3"/>
    <w:multiLevelType w:val="multilevel"/>
    <w:tmpl w:val="C48CD2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EDE0AA5"/>
    <w:multiLevelType w:val="multilevel"/>
    <w:tmpl w:val="17AC8A3A"/>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76B1448B"/>
    <w:multiLevelType w:val="multilevel"/>
    <w:tmpl w:val="989E8C96"/>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4"/>
  </w:num>
  <w:num w:numId="3">
    <w:abstractNumId w:val="2"/>
  </w:num>
  <w:num w:numId="4">
    <w:abstractNumId w:val="5"/>
  </w:num>
  <w:num w:numId="5">
    <w:abstractNumId w:val="7"/>
  </w:num>
  <w:num w:numId="6">
    <w:abstractNumId w:val="0"/>
  </w:num>
  <w:num w:numId="7">
    <w:abstractNumId w:val="1"/>
  </w:num>
  <w:num w:numId="8">
    <w:abstractNumId w:val="9"/>
  </w:num>
  <w:num w:numId="9">
    <w:abstractNumId w:val="8"/>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2tDQyNDWxMDEwNjM1MzVQ0lEKTi0uzszPAykwrAUAjtlQfSwAAAA="/>
  </w:docVars>
  <w:rsids>
    <w:rsidRoot w:val="007A7F99"/>
    <w:rsid w:val="00014C28"/>
    <w:rsid w:val="000226B8"/>
    <w:rsid w:val="00030FC3"/>
    <w:rsid w:val="00050059"/>
    <w:rsid w:val="000723D5"/>
    <w:rsid w:val="000942B9"/>
    <w:rsid w:val="000B3C2B"/>
    <w:rsid w:val="000C5BBB"/>
    <w:rsid w:val="000F1F04"/>
    <w:rsid w:val="001147D3"/>
    <w:rsid w:val="001D219D"/>
    <w:rsid w:val="001D77F7"/>
    <w:rsid w:val="001E3E0B"/>
    <w:rsid w:val="001E5BA4"/>
    <w:rsid w:val="001F1F05"/>
    <w:rsid w:val="00224448"/>
    <w:rsid w:val="002547F3"/>
    <w:rsid w:val="002C2057"/>
    <w:rsid w:val="00372E52"/>
    <w:rsid w:val="003A2A58"/>
    <w:rsid w:val="004147AF"/>
    <w:rsid w:val="0044083F"/>
    <w:rsid w:val="00470661"/>
    <w:rsid w:val="004913EE"/>
    <w:rsid w:val="004D7A75"/>
    <w:rsid w:val="00546B5E"/>
    <w:rsid w:val="005548B4"/>
    <w:rsid w:val="005869D6"/>
    <w:rsid w:val="005A5820"/>
    <w:rsid w:val="005F6E99"/>
    <w:rsid w:val="00600B3B"/>
    <w:rsid w:val="00642F3E"/>
    <w:rsid w:val="00670D9D"/>
    <w:rsid w:val="00682E22"/>
    <w:rsid w:val="006A0745"/>
    <w:rsid w:val="00702A17"/>
    <w:rsid w:val="00755931"/>
    <w:rsid w:val="007578AF"/>
    <w:rsid w:val="00770206"/>
    <w:rsid w:val="00777356"/>
    <w:rsid w:val="007A7F99"/>
    <w:rsid w:val="008119AB"/>
    <w:rsid w:val="0083686A"/>
    <w:rsid w:val="008610A6"/>
    <w:rsid w:val="00861657"/>
    <w:rsid w:val="008B264C"/>
    <w:rsid w:val="009248FB"/>
    <w:rsid w:val="009958E9"/>
    <w:rsid w:val="009B3A87"/>
    <w:rsid w:val="00A73545"/>
    <w:rsid w:val="00AA12C8"/>
    <w:rsid w:val="00AE4620"/>
    <w:rsid w:val="00B00639"/>
    <w:rsid w:val="00BC6413"/>
    <w:rsid w:val="00BE2486"/>
    <w:rsid w:val="00C200C5"/>
    <w:rsid w:val="00C56BA9"/>
    <w:rsid w:val="00CA128F"/>
    <w:rsid w:val="00CD6D8D"/>
    <w:rsid w:val="00CF0E12"/>
    <w:rsid w:val="00D2065F"/>
    <w:rsid w:val="00D22513"/>
    <w:rsid w:val="00DC661F"/>
    <w:rsid w:val="00E33DE9"/>
    <w:rsid w:val="00EF48AC"/>
    <w:rsid w:val="00F20948"/>
    <w:rsid w:val="00F51139"/>
    <w:rsid w:val="00FB30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8621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0063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2C205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2C2057"/>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8610A6"/>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7F99"/>
    <w:pPr>
      <w:ind w:left="720"/>
      <w:contextualSpacing/>
    </w:pPr>
  </w:style>
  <w:style w:type="paragraph" w:styleId="BalloonText">
    <w:name w:val="Balloon Text"/>
    <w:basedOn w:val="Normal"/>
    <w:link w:val="BalloonTextChar"/>
    <w:uiPriority w:val="99"/>
    <w:semiHidden/>
    <w:unhideWhenUsed/>
    <w:rsid w:val="001E3E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3E0B"/>
    <w:rPr>
      <w:rFonts w:ascii="Tahoma" w:hAnsi="Tahoma" w:cs="Tahoma"/>
      <w:sz w:val="16"/>
      <w:szCs w:val="16"/>
    </w:rPr>
  </w:style>
  <w:style w:type="table" w:styleId="TableGrid">
    <w:name w:val="Table Grid"/>
    <w:basedOn w:val="TableNormal"/>
    <w:uiPriority w:val="59"/>
    <w:rsid w:val="001E3E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B0063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2C205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2C2057"/>
    <w:rPr>
      <w:rFonts w:asciiTheme="majorHAnsi" w:eastAsiaTheme="majorEastAsia" w:hAnsiTheme="majorHAnsi" w:cstheme="majorBidi"/>
      <w:b/>
      <w:bCs/>
      <w:color w:val="4F81BD" w:themeColor="accent1"/>
    </w:rPr>
  </w:style>
  <w:style w:type="paragraph" w:styleId="Bibliography">
    <w:name w:val="Bibliography"/>
    <w:basedOn w:val="Normal"/>
    <w:next w:val="Normal"/>
    <w:uiPriority w:val="37"/>
    <w:unhideWhenUsed/>
    <w:rsid w:val="002C2057"/>
  </w:style>
  <w:style w:type="character" w:customStyle="1" w:styleId="Heading4Char">
    <w:name w:val="Heading 4 Char"/>
    <w:basedOn w:val="DefaultParagraphFont"/>
    <w:link w:val="Heading4"/>
    <w:uiPriority w:val="9"/>
    <w:semiHidden/>
    <w:rsid w:val="008610A6"/>
    <w:rPr>
      <w:rFonts w:asciiTheme="majorHAnsi" w:eastAsiaTheme="majorEastAsia" w:hAnsiTheme="majorHAnsi" w:cstheme="majorBidi"/>
      <w:b/>
      <w:bCs/>
      <w:i/>
      <w:iCs/>
      <w:color w:val="4F81BD" w:themeColor="accent1"/>
    </w:rPr>
  </w:style>
  <w:style w:type="paragraph" w:styleId="Header">
    <w:name w:val="header"/>
    <w:basedOn w:val="Normal"/>
    <w:link w:val="HeaderChar"/>
    <w:uiPriority w:val="99"/>
    <w:unhideWhenUsed/>
    <w:rsid w:val="001147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47D3"/>
  </w:style>
  <w:style w:type="paragraph" w:styleId="Footer">
    <w:name w:val="footer"/>
    <w:basedOn w:val="Normal"/>
    <w:link w:val="FooterChar"/>
    <w:uiPriority w:val="99"/>
    <w:unhideWhenUsed/>
    <w:rsid w:val="001147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47D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0063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2C205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2C2057"/>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8610A6"/>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7F99"/>
    <w:pPr>
      <w:ind w:left="720"/>
      <w:contextualSpacing/>
    </w:pPr>
  </w:style>
  <w:style w:type="paragraph" w:styleId="BalloonText">
    <w:name w:val="Balloon Text"/>
    <w:basedOn w:val="Normal"/>
    <w:link w:val="BalloonTextChar"/>
    <w:uiPriority w:val="99"/>
    <w:semiHidden/>
    <w:unhideWhenUsed/>
    <w:rsid w:val="001E3E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3E0B"/>
    <w:rPr>
      <w:rFonts w:ascii="Tahoma" w:hAnsi="Tahoma" w:cs="Tahoma"/>
      <w:sz w:val="16"/>
      <w:szCs w:val="16"/>
    </w:rPr>
  </w:style>
  <w:style w:type="table" w:styleId="TableGrid">
    <w:name w:val="Table Grid"/>
    <w:basedOn w:val="TableNormal"/>
    <w:uiPriority w:val="59"/>
    <w:rsid w:val="001E3E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B0063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2C205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2C2057"/>
    <w:rPr>
      <w:rFonts w:asciiTheme="majorHAnsi" w:eastAsiaTheme="majorEastAsia" w:hAnsiTheme="majorHAnsi" w:cstheme="majorBidi"/>
      <w:b/>
      <w:bCs/>
      <w:color w:val="4F81BD" w:themeColor="accent1"/>
    </w:rPr>
  </w:style>
  <w:style w:type="paragraph" w:styleId="Bibliography">
    <w:name w:val="Bibliography"/>
    <w:basedOn w:val="Normal"/>
    <w:next w:val="Normal"/>
    <w:uiPriority w:val="37"/>
    <w:unhideWhenUsed/>
    <w:rsid w:val="002C2057"/>
  </w:style>
  <w:style w:type="character" w:customStyle="1" w:styleId="Heading4Char">
    <w:name w:val="Heading 4 Char"/>
    <w:basedOn w:val="DefaultParagraphFont"/>
    <w:link w:val="Heading4"/>
    <w:uiPriority w:val="9"/>
    <w:semiHidden/>
    <w:rsid w:val="008610A6"/>
    <w:rPr>
      <w:rFonts w:asciiTheme="majorHAnsi" w:eastAsiaTheme="majorEastAsia" w:hAnsiTheme="majorHAnsi" w:cstheme="majorBidi"/>
      <w:b/>
      <w:bCs/>
      <w:i/>
      <w:iCs/>
      <w:color w:val="4F81BD" w:themeColor="accent1"/>
    </w:rPr>
  </w:style>
  <w:style w:type="paragraph" w:styleId="Header">
    <w:name w:val="header"/>
    <w:basedOn w:val="Normal"/>
    <w:link w:val="HeaderChar"/>
    <w:uiPriority w:val="99"/>
    <w:unhideWhenUsed/>
    <w:rsid w:val="001147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47D3"/>
  </w:style>
  <w:style w:type="paragraph" w:styleId="Footer">
    <w:name w:val="footer"/>
    <w:basedOn w:val="Normal"/>
    <w:link w:val="FooterChar"/>
    <w:uiPriority w:val="99"/>
    <w:unhideWhenUsed/>
    <w:rsid w:val="001147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47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037311">
      <w:bodyDiv w:val="1"/>
      <w:marLeft w:val="0"/>
      <w:marRight w:val="0"/>
      <w:marTop w:val="0"/>
      <w:marBottom w:val="0"/>
      <w:divBdr>
        <w:top w:val="none" w:sz="0" w:space="0" w:color="auto"/>
        <w:left w:val="none" w:sz="0" w:space="0" w:color="auto"/>
        <w:bottom w:val="none" w:sz="0" w:space="0" w:color="auto"/>
        <w:right w:val="none" w:sz="0" w:space="0" w:color="auto"/>
      </w:divBdr>
    </w:div>
    <w:div w:id="297028718">
      <w:bodyDiv w:val="1"/>
      <w:marLeft w:val="0"/>
      <w:marRight w:val="0"/>
      <w:marTop w:val="0"/>
      <w:marBottom w:val="0"/>
      <w:divBdr>
        <w:top w:val="none" w:sz="0" w:space="0" w:color="auto"/>
        <w:left w:val="none" w:sz="0" w:space="0" w:color="auto"/>
        <w:bottom w:val="none" w:sz="0" w:space="0" w:color="auto"/>
        <w:right w:val="none" w:sz="0" w:space="0" w:color="auto"/>
      </w:divBdr>
    </w:div>
    <w:div w:id="326982331">
      <w:bodyDiv w:val="1"/>
      <w:marLeft w:val="0"/>
      <w:marRight w:val="0"/>
      <w:marTop w:val="0"/>
      <w:marBottom w:val="0"/>
      <w:divBdr>
        <w:top w:val="none" w:sz="0" w:space="0" w:color="auto"/>
        <w:left w:val="none" w:sz="0" w:space="0" w:color="auto"/>
        <w:bottom w:val="none" w:sz="0" w:space="0" w:color="auto"/>
        <w:right w:val="none" w:sz="0" w:space="0" w:color="auto"/>
      </w:divBdr>
    </w:div>
    <w:div w:id="364251715">
      <w:bodyDiv w:val="1"/>
      <w:marLeft w:val="0"/>
      <w:marRight w:val="0"/>
      <w:marTop w:val="0"/>
      <w:marBottom w:val="0"/>
      <w:divBdr>
        <w:top w:val="none" w:sz="0" w:space="0" w:color="auto"/>
        <w:left w:val="none" w:sz="0" w:space="0" w:color="auto"/>
        <w:bottom w:val="none" w:sz="0" w:space="0" w:color="auto"/>
        <w:right w:val="none" w:sz="0" w:space="0" w:color="auto"/>
      </w:divBdr>
    </w:div>
    <w:div w:id="737215485">
      <w:bodyDiv w:val="1"/>
      <w:marLeft w:val="0"/>
      <w:marRight w:val="0"/>
      <w:marTop w:val="0"/>
      <w:marBottom w:val="0"/>
      <w:divBdr>
        <w:top w:val="none" w:sz="0" w:space="0" w:color="auto"/>
        <w:left w:val="none" w:sz="0" w:space="0" w:color="auto"/>
        <w:bottom w:val="none" w:sz="0" w:space="0" w:color="auto"/>
        <w:right w:val="none" w:sz="0" w:space="0" w:color="auto"/>
      </w:divBdr>
    </w:div>
    <w:div w:id="1725833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XSL" StyleName="Harvard - Anglia*">
  <b:Source>
    <b:Tag>Oko25</b:Tag>
    <b:SourceType>JournalArticle</b:SourceType>
    <b:Guid>{C80FADA5-8B26-44A8-A4F4-22D5E81F4C96}</b:Guid>
    <b:Title>Challenges of Financial Technology (FINTECH) Innovations of Small Enterprises in SouthWest, Nigeria</b:Title>
    <b:JournalName>NIU Journal of Social Sciences</b:JournalName>
    <b:Year>2025</b:Year>
    <b:Pages>207-216</b:Pages>
    <b:Volume>11</b:Volume>
    <b:Issue>1</b:Issue>
    <b:Author>
      <b:Author>
        <b:NameList>
          <b:Person>
            <b:Last>Okoh</b:Last>
            <b:Middle>I</b:Middle>
            <b:First>Johnson</b:First>
          </b:Person>
          <b:Person>
            <b:Last>Stephen</b:Last>
            <b:First>Ojeka</b:First>
          </b:Person>
          <b:Person>
            <b:Last>Afrogha</b:Last>
            <b:Middle>Oludami</b:Middle>
            <b:First>Olufolakemi</b:First>
          </b:Person>
          <b:Person>
            <b:Last>Adamu</b:Last>
            <b:Middle>Afebuamhe</b:Middle>
            <b:First>Mijinyawa</b:First>
          </b:Person>
        </b:NameList>
      </b:Author>
    </b:Author>
    <b:RefOrder>1</b:RefOrder>
  </b:Source>
  <b:Source>
    <b:Tag>Maj22</b:Tag>
    <b:SourceType>JournalArticle</b:SourceType>
    <b:Guid>{3E807045-FF7B-45B4-90EE-84556FAEC34A}</b:Guid>
    <b:Title>Financial Literacy and Adoption of FinTech: The Role of Financial Risk Tolerance</b:Title>
    <b:JournalName>Global Social Sciences Review</b:JournalName>
    <b:Year>2022</b:Year>
    <b:Pages>168-179</b:Pages>
    <b:Volume>7</b:Volume>
    <b:Issue>1</b:Issue>
    <b:Author>
      <b:Author>
        <b:NameList>
          <b:Person>
            <b:Last>Majid</b:Last>
            <b:First>Safyan</b:First>
          </b:Person>
          <b:Person>
            <b:Last>Chaudhary</b:Last>
            <b:Middle>Gulzaib</b:Middle>
            <b:First>Muhammad</b:First>
          </b:Person>
          <b:Person>
            <b:Last>Ali</b:Last>
            <b:First>Usman</b:First>
          </b:Person>
        </b:NameList>
      </b:Author>
    </b:Author>
    <b:RefOrder>2</b:RefOrder>
  </b:Source>
  <b:Source>
    <b:Tag>Ogb24</b:Tag>
    <b:SourceType>JournalArticle</b:SourceType>
    <b:Guid>{493CAF43-8496-4960-AFBD-47F67A857311}</b:Guid>
    <b:Title>Fintech and business growth in the banking industry: An outlook from Opay microfinance bank Nigeria limited</b:Title>
    <b:JournalName>Journal of Management Science</b:JournalName>
    <b:Year>2024</b:Year>
    <b:Pages>87-91</b:Pages>
    <b:Volume>14</b:Volume>
    <b:Issue>1</b:Issue>
    <b:Author>
      <b:Author>
        <b:NameList>
          <b:Person>
            <b:Last>Ogbonna</b:Last>
            <b:Middle>Alexanda</b:Middle>
            <b:First>Kalu</b:First>
          </b:Person>
          <b:Person>
            <b:Last>Joy</b:Last>
            <b:First>Agodi</b:First>
          </b:Person>
          <b:Person>
            <b:Last>Chukwuma</b:Last>
            <b:First>Aniuga</b:First>
          </b:Person>
          <b:Person>
            <b:Last>Ogungbangbe</b:Last>
            <b:First>Bashir</b:First>
          </b:Person>
        </b:NameList>
      </b:Author>
    </b:Author>
    <b:RefOrder>3</b:RefOrder>
  </b:Source>
  <b:Source>
    <b:Tag>Atk24</b:Tag>
    <b:SourceType>BookSection</b:SourceType>
    <b:Guid>{19688BDB-8733-4A30-84FF-F42ECA5CDB27}</b:Guid>
    <b:Title>Who's affraid of bankruptcy?</b:Title>
    <b:Year>2024</b:Year>
    <b:Pages>308</b:Pages>
    <b:BookTitle>Unjust Debts: How our bankruptcy system makes America more unequal</b:BookTitle>
    <b:City>New York</b:City>
    <b:Publisher>New Press</b:Publisher>
    <b:Author>
      <b:Author>
        <b:NameList>
          <b:Person>
            <b:Last>Atkinson</b:Last>
            <b:First>Abbye</b:First>
          </b:Person>
        </b:NameList>
      </b:Author>
    </b:Author>
    <b:RefOrder>4</b:RefOrder>
  </b:Source>
  <b:Source>
    <b:Tag>Jai24</b:Tag>
    <b:SourceType>JournalArticle</b:SourceType>
    <b:Guid>{1BECF3E6-0310-4364-ADBD-38C598A6A6DB}</b:Guid>
    <b:Title>Online Scam: A Systematic Literature Review</b:Title>
    <b:Year>2024</b:Year>
    <b:Pages>257-280</b:Pages>
    <b:JournalName>Jurnal 'Ulwan</b:JournalName>
    <b:Volume>9</b:Volume>
    <b:Issue>1</b:Issue>
    <b:Author>
      <b:Author>
        <b:NameList>
          <b:Person>
            <b:Last>Jais</b:Last>
            <b:First>Zurairah</b:First>
          </b:Person>
          <b:Person>
            <b:Last>Shahrul Azmi</b:Last>
            <b:First>Salbiah Nur</b:First>
          </b:Person>
          <b:Person>
            <b:Last>Mohd Hasini</b:Last>
            <b:First>Noor Fariza</b:First>
          </b:Person>
          <b:Person>
            <b:Last>Samsudin</b:Last>
            <b:Middle>Niza</b:Middle>
            <b:First>Shahrul</b:First>
          </b:Person>
          <b:Person>
            <b:Last>Izhar</b:Last>
            <b:Middle>Izzuani</b:Middle>
            <b:First>Nor</b:First>
          </b:Person>
          <b:Person>
            <b:Last>Idris</b:Last>
            <b:Middle>Ainee</b:Middle>
            <b:First>Nor</b:First>
          </b:Person>
          <b:Person>
            <b:Last>Abu Hassan</b:Last>
            <b:Middle>Amirulsyafiq</b:Middle>
            <b:First>Sarjan</b:First>
          </b:Person>
        </b:NameList>
      </b:Author>
    </b:Author>
    <b:RefOrder>5</b:RefOrder>
  </b:Source>
  <b:Source>
    <b:Tag>Sie20</b:Tag>
    <b:SourceType>JournalArticle</b:SourceType>
    <b:Guid>{F06EF6DB-995C-4322-B6ED-DD1C2E4B6FFE}</b:Guid>
    <b:Title>Risk Perception: Reflections on 40 Years of Research</b:Title>
    <b:JournalName>Risk Analysis: An International Journal</b:JournalName>
    <b:Year>2020</b:Year>
    <b:Pages>2191-2206</b:Pages>
    <b:Volume>40</b:Volume>
    <b:Issue>S1</b:Issue>
    <b:Author>
      <b:Author>
        <b:NameList>
          <b:Person>
            <b:Last>Siegrist</b:Last>
            <b:First>Michael</b:First>
          </b:Person>
          <b:Person>
            <b:Last>Arvai</b:Last>
            <b:First>Joseph</b:First>
          </b:Person>
        </b:NameList>
      </b:Author>
    </b:Author>
    <b:RefOrder>6</b:RefOrder>
  </b:Source>
  <b:Source>
    <b:Tag>Dev25</b:Tag>
    <b:SourceType>JournalArticle</b:SourceType>
    <b:Guid>{66565450-2F93-416C-B749-2F7E3A2D2DEF}</b:Guid>
    <b:Title>Trust and FinTech: A Review and Research Agenda</b:Title>
    <b:JournalName>Electronic Markets</b:JournalName>
    <b:Year>2025</b:Year>
    <b:Pages>1-17</b:Pages>
    <b:Volume>35</b:Volume>
    <b:Issue>62</b:Issue>
    <b:Author>
      <b:Author>
        <b:NameList>
          <b:Person>
            <b:Last>Devlin</b:Last>
            <b:Middle>F</b:Middle>
            <b:First>James</b:First>
          </b:Person>
          <b:Person>
            <b:Last>Roy</b:Last>
            <b:Middle>K</b:Middle>
            <b:First>Sanjit</b:First>
          </b:Person>
          <b:Person>
            <b:Last>Sekhon</b:Last>
            <b:First>Harjit</b:First>
          </b:Person>
          <b:Person>
            <b:Last>Moin</b:Last>
            <b:Middle>M. A</b:Middle>
            <b:First>S</b:First>
          </b:Person>
          <b:Person>
            <b:Last>Sahiner</b:Last>
            <b:First>Mehmet</b:First>
          </b:Person>
        </b:NameList>
      </b:Author>
    </b:Author>
    <b:RefOrder>7</b:RefOrder>
  </b:Source>
  <b:Source>
    <b:Tag>Ogu23</b:Tag>
    <b:SourceType>JournalArticle</b:SourceType>
    <b:Guid>{9E93B449-C804-44FB-A54D-79E77CE2997C}</b:Guid>
    <b:Title>Financial Technologies and Financial Inclusion in Emerging Economies: Perspectives from Nigeria</b:Title>
    <b:JournalName>Asian Journal of Economics, Business and Accounting</b:JournalName>
    <b:Year>2023</b:Year>
    <b:Pages>38-54</b:Pages>
    <b:Volume>23</b:Volume>
    <b:Issue>1</b:Issue>
    <b:Author>
      <b:Author>
        <b:NameList>
          <b:Person>
            <b:Last>Ogunode</b:Last>
            <b:Middle>Adewole</b:Middle>
            <b:First>Olubunmi</b:First>
          </b:Person>
          <b:Person>
            <b:Last>Akintoye</b:Last>
            <b:Middle>Ishola</b:Middle>
            <b:First>Rufus</b:First>
          </b:Person>
        </b:NameList>
      </b:Author>
    </b:Author>
    <b:RefOrder>8</b:RefOrder>
  </b:Source>
  <b:Source>
    <b:Tag>Ald23</b:Tag>
    <b:SourceType>JournalArticle</b:SourceType>
    <b:Guid>{E32A5F48-E10D-404E-AF89-6D7379AC9A60}</b:Guid>
    <b:Title>Building Trust in Fintech: An Analysis of Ethical and Privacy Considerations in the Intersection of Big Data, AI, and Customer Trust</b:Title>
    <b:JournalName>International Journal of Financial Studies</b:JournalName>
    <b:Year>2023</b:Year>
    <b:Pages>90</b:Pages>
    <b:Volume>11</b:Volume>
    <b:Issue>3</b:Issue>
    <b:Author>
      <b:Author>
        <b:NameList>
          <b:Person>
            <b:Last>Aldboush</b:Last>
            <b:Middle>H. H</b:Middle>
            <b:First>hassan</b:First>
          </b:Person>
          <b:Person>
            <b:Last>Ferdous</b:Last>
            <b:First>Marah</b:First>
          </b:Person>
        </b:NameList>
      </b:Author>
    </b:Author>
    <b:RefOrder>9</b:RefOrder>
  </b:Source>
  <b:Source>
    <b:Tag>Dav891</b:Tag>
    <b:SourceType>JournalArticle</b:SourceType>
    <b:Guid>{712E1CF9-49C0-4E6C-83E8-C32FEFA1AB18}</b:Guid>
    <b:Title>Perceived Usefulness, Perceived Ease of Use, and User Acceptance of Information Technology</b:Title>
    <b:JournalName>MIS Quarterly</b:JournalName>
    <b:Year>1989</b:Year>
    <b:Pages>319-339</b:Pages>
    <b:Volume>13</b:Volume>
    <b:Issue>3</b:Issue>
    <b:Author>
      <b:Author>
        <b:NameList>
          <b:Person>
            <b:Last>Davis</b:Last>
            <b:Middle>D</b:Middle>
            <b:First>Fred</b:First>
          </b:Person>
        </b:NameList>
      </b:Author>
    </b:Author>
    <b:RefOrder>10</b:RefOrder>
  </b:Source>
  <b:Source>
    <b:Tag>Ikp25</b:Tag>
    <b:SourceType>JournalArticle</b:SourceType>
    <b:Guid>{9FC528A3-B276-4C9E-A62B-01D9646C9158}</b:Guid>
    <b:Title>Exploring Digital Distrust and E-Payment Adoption Among Rural Adults in Cross River State, Nigeria: Implications for The Advancement of FinTech Development</b:Title>
    <b:JournalName>International Journal of Functional Research in Arts &amp; Humanities</b:JournalName>
    <b:Year>2025</b:Year>
    <b:Pages>155-160</b:Pages>
    <b:Volume>4</b:Volume>
    <b:Issue>2</b:Issue>
    <b:Author>
      <b:Author>
        <b:NameList>
          <b:Person>
            <b:Last>Ikpe</b:Last>
            <b:Middle>Okon</b:Middle>
            <b:First>Eyibio</b:First>
          </b:Person>
        </b:NameList>
      </b:Author>
    </b:Author>
    <b:RefOrder>11</b:RefOrder>
  </b:Source>
  <b:Source>
    <b:Tag>Ade251</b:Tag>
    <b:SourceType>JournalArticle</b:SourceType>
    <b:Guid>{3207382E-ED5B-4853-8700-D63A11EDC7E7}</b:Guid>
    <b:Title>An Exploratory Study of the Relationship Between Financial Technology (FinTech) and Associated Risks in Nigeria</b:Title>
    <b:JournalName>British Journal of Interdisciplinary Research</b:JournalName>
    <b:Year>2025</b:Year>
    <b:Pages>57-70</b:Pages>
    <b:Volume>2</b:Volume>
    <b:Issue>3</b:Issue>
    <b:Author>
      <b:Author>
        <b:NameList>
          <b:Person>
            <b:Last>Adeyokunnu</b:Last>
            <b:Middle>A</b:Middle>
            <b:First>J</b:First>
          </b:Person>
          <b:Person>
            <b:Last>Ishola</b:Last>
            <b:Middle>A</b:Middle>
            <b:First>S</b:First>
          </b:Person>
          <b:Person>
            <b:Last>Bamisaye</b:Last>
            <b:Middle>O</b:Middle>
            <b:First>S</b:First>
          </b:Person>
        </b:NameList>
      </b:Author>
    </b:Author>
    <b:RefOrder>12</b:RefOrder>
  </b:Source>
  <b:Source>
    <b:Tag>Omi23</b:Tag>
    <b:SourceType>JournalArticle</b:SourceType>
    <b:Guid>{EFDFAA79-AED4-4A26-AC51-854238C6EC95}</b:Guid>
    <b:Title>The Effect of Online Fraudon the Adoption of Digital Economy inNigeria: A Review</b:Title>
    <b:JournalName>Afropolitan Journals</b:JournalName>
    <b:Year>2023</b:Year>
    <b:Pages>26-33</b:Pages>
    <b:Volume>10</b:Volume>
    <b:Issue>1</b:Issue>
    <b:Author>
      <b:Author>
        <b:NameList>
          <b:Person>
            <b:Last>Omijeh</b:Last>
            <b:Middle>O</b:Middle>
            <b:First>Bourdillon</b:First>
          </b:Person>
        </b:NameList>
      </b:Author>
    </b:Author>
    <b:RefOrder>13</b:RefOrder>
  </b:Source>
  <b:Source>
    <b:Tag>Igb24</b:Tag>
    <b:SourceType>JournalArticle</b:SourceType>
    <b:Guid>{A0BFB40F-0CDB-425B-A3A5-2897201FA514}</b:Guid>
    <b:Title>Financial Law: Policy Frameworks for Regulating FinTech Innovations: Ensuring Consumer Protection While Fostering Innovation</b:Title>
    <b:JournalName>Finance &amp; Accounting Research Journal</b:JournalName>
    <b:Year>2024</b:Year>
    <b:Pages>515-530</b:Pages>
    <b:Volume>6</b:Volume>
    <b:Issue>4</b:Issue>
    <b:Author>
      <b:Author>
        <b:NameList>
          <b:Person>
            <b:Last>Igbinenikaro</b:Last>
            <b:First>Etinosa</b:First>
          </b:Person>
          <b:Person>
            <b:Last>Adewusi</b:Last>
            <b:Middle>Olachi</b:Middle>
            <b:First>Adefolake</b:First>
          </b:Person>
        </b:NameList>
      </b:Author>
    </b:Author>
    <b:RefOrder>14</b:RefOrder>
  </b:Source>
  <b:Source>
    <b:Tag>Cre18</b:Tag>
    <b:SourceType>Book</b:SourceType>
    <b:Guid>{76E5BB09-F0CF-457E-8B78-25C13DCDEC5C}</b:Guid>
    <b:Title>Research Design: Qualitative, Quantitative, and Mixed Methods Approach</b:Title>
    <b:Year>2018</b:Year>
    <b:City>California</b:City>
    <b:Publisher>Sage Publication</b:Publisher>
    <b:Edition>Fifth</b:Edition>
    <b:Author>
      <b:Author>
        <b:NameList>
          <b:Person>
            <b:Last>Creswell</b:Last>
            <b:Middle>W</b:Middle>
            <b:First>John</b:First>
          </b:Person>
          <b:Person>
            <b:Last>Creswell</b:Last>
            <b:Middle>J</b:Middle>
            <b:First>David</b:First>
          </b:Person>
        </b:NameList>
      </b:Author>
    </b:Author>
    <b:RefOrder>21</b:RefOrder>
  </b:Source>
  <b:Source>
    <b:Tag>Pal13</b:Tag>
    <b:SourceType>JournalArticle</b:SourceType>
    <b:Guid>{B761067A-BF12-4992-A39A-95FCE757A637}</b:Guid>
    <b:Title>Purposeful Sampling for Qualitative Data Collection and Analysis in Mixed Method Implementation Research</b:Title>
    <b:JournalName>Administration and Policy in Mental Health and Mental Health Services Research</b:JournalName>
    <b:Year>2013</b:Year>
    <b:Pages>1-12</b:Pages>
    <b:Volume>42</b:Volume>
    <b:Issue>5</b:Issue>
    <b:Author>
      <b:Author>
        <b:NameList>
          <b:Person>
            <b:Last>Palinkas</b:Last>
            <b:Middle>A</b:Middle>
            <b:First>Lawrence</b:First>
          </b:Person>
          <b:Person>
            <b:Last>Horwitz</b:Last>
            <b:Middle>M</b:Middle>
            <b:First>Sarah</b:First>
          </b:Person>
          <b:Person>
            <b:Last>Green</b:Last>
            <b:Middle>A</b:Middle>
            <b:First>Carla</b:First>
          </b:Person>
          <b:Person>
            <b:Last>Wisdom</b:Last>
            <b:Middle>P</b:Middle>
            <b:First>Jennifer</b:First>
          </b:Person>
          <b:Person>
            <b:Last>Duan</b:Last>
            <b:First>Naihua</b:First>
          </b:Person>
          <b:Person>
            <b:Last>Hoagwood</b:Last>
            <b:Middle>Eaton</b:Middle>
            <b:First>Kimberly</b:First>
          </b:Person>
        </b:NameList>
      </b:Author>
    </b:Author>
    <b:RefOrder>22</b:RefOrder>
  </b:Source>
  <b:Source>
    <b:Tag>Bry16</b:Tag>
    <b:SourceType>Book</b:SourceType>
    <b:Guid>{3FD5ACB0-682B-4FDB-87B7-77F300B7D0A8}</b:Guid>
    <b:Title>Social Research Methods</b:Title>
    <b:Year>2016</b:Year>
    <b:City>London</b:City>
    <b:Publisher>Oxford University Press</b:Publisher>
    <b:Edition>5th</b:Edition>
    <b:Author>
      <b:Author>
        <b:NameList>
          <b:Person>
            <b:Last>Bryman</b:Last>
            <b:First>Alan</b:First>
          </b:Person>
        </b:NameList>
      </b:Author>
    </b:Author>
    <b:RefOrder>15</b:RefOrder>
  </b:Source>
  <b:Source>
    <b:Tag>Eti16</b:Tag>
    <b:SourceType>JournalArticle</b:SourceType>
    <b:Guid>{FAAAA8B7-5DF5-47B2-B906-FEBAD903508F}</b:Guid>
    <b:Title>Comparison of Convinience Sampling and Purposive Sampling</b:Title>
    <b:JournalName>American Journal of Theoreticaal and Applied Statistics</b:JournalName>
    <b:Year>2016</b:Year>
    <b:Pages>1-7</b:Pages>
    <b:Volume>5</b:Volume>
    <b:Issue>1</b:Issue>
    <b:Author>
      <b:Author>
        <b:NameList>
          <b:Person>
            <b:Last>Etikan</b:Last>
            <b:First>Ilker</b:First>
          </b:Person>
        </b:NameList>
      </b:Author>
    </b:Author>
    <b:RefOrder>16</b:RefOrder>
  </b:Source>
  <b:Source>
    <b:Tag>Lik32</b:Tag>
    <b:SourceType>JournalArticle</b:SourceType>
    <b:Guid>{99E89FC2-C38E-4107-B32F-74313954B958}</b:Guid>
    <b:Title>A Technique for the Measurement of Attitudes</b:Title>
    <b:JournalName>Archives of Psychology</b:JournalName>
    <b:Year>1932</b:Year>
    <b:Pages>55</b:Pages>
    <b:Volume>22</b:Volume>
    <b:Issue>140</b:Issue>
    <b:Author>
      <b:Author>
        <b:NameList>
          <b:Person>
            <b:Last>Likert</b:Last>
            <b:First>R</b:First>
          </b:Person>
        </b:NameList>
      </b:Author>
    </b:Author>
    <b:RefOrder>17</b:RefOrder>
  </b:Source>
  <b:Source>
    <b:Tag>Dil14</b:Tag>
    <b:SourceType>Book</b:SourceType>
    <b:Guid>{67333157-C939-4747-9234-7245D9B32FF8}</b:Guid>
    <b:Title>Internet, Phone, Mail, and Mixed‐Mode Surveys: The Tailored Design Method</b:Title>
    <b:Year>2014</b:Year>
    <b:City>New Jersey</b:City>
    <b:Publisher>John Wiley &amp; Sons</b:Publisher>
    <b:Edition>4th</b:Edition>
    <b:Author>
      <b:Author>
        <b:NameList>
          <b:Person>
            <b:Last>Dillman</b:Last>
            <b:Middle>A</b:Middle>
            <b:First>Don</b:First>
          </b:Person>
          <b:Person>
            <b:Last>Smyth</b:Last>
            <b:Middle>D</b:Middle>
            <b:First>Jolene</b:First>
          </b:Person>
          <b:Person>
            <b:Last>Christian</b:Last>
            <b:Middle>Melani</b:Middle>
            <b:First>Leah</b:First>
          </b:Person>
        </b:NameList>
      </b:Author>
    </b:Author>
    <b:RefOrder>18</b:RefOrder>
  </b:Source>
  <b:Source>
    <b:Tag>Fie13</b:Tag>
    <b:SourceType>Book</b:SourceType>
    <b:Guid>{1B34646D-8474-4DCB-BD3C-DFB2576E8E29}</b:Guid>
    <b:Title>Discovering Statistics Using IBM SPSS Statistics: And Sex and Drugs and Rock “N” Roll</b:Title>
    <b:Year>2013</b:Year>
    <b:City>London</b:City>
    <b:Publisher>Sage Publications</b:Publisher>
    <b:Edition>4th</b:Edition>
    <b:Author>
      <b:Author>
        <b:NameList>
          <b:Person>
            <b:Last>Field</b:Last>
            <b:First>A</b:First>
          </b:Person>
        </b:NameList>
      </b:Author>
    </b:Author>
    <b:RefOrder>19</b:RefOrder>
  </b:Source>
  <b:Source>
    <b:Tag>Ara24</b:Tag>
    <b:SourceType>JournalArticle</b:SourceType>
    <b:Guid>{2457E43F-7276-4E1B-B7B7-ABDDA5CC97D8}</b:Guid>
    <b:Title>Research Ethics: Meaning and Principles</b:Title>
    <b:Year>2024</b:Year>
    <b:JournalName>SSRN Electronic Journal</b:JournalName>
    <b:Pages>139-144</b:Pages>
    <b:Volume>8</b:Volume>
    <b:Issue>1</b:Issue>
    <b:Author>
      <b:Author>
        <b:NameList>
          <b:Person>
            <b:Last>Arafat</b:Last>
            <b:Middle>M</b:Middle>
            <b:First>Yeasir</b:First>
          </b:Person>
        </b:NameList>
      </b:Author>
    </b:Author>
    <b:RefOrder>20</b:RefOrder>
  </b:Source>
</b:Sources>
</file>

<file path=customXml/itemProps1.xml><?xml version="1.0" encoding="utf-8"?>
<ds:datastoreItem xmlns:ds="http://schemas.openxmlformats.org/officeDocument/2006/customXml" ds:itemID="{BD56A9C1-5650-4A75-8557-FAB3629097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20</Pages>
  <Words>8861</Words>
  <Characters>50514</Characters>
  <Application>Microsoft Office Word</Application>
  <DocSecurity>0</DocSecurity>
  <Lines>420</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59257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10</cp:revision>
  <dcterms:created xsi:type="dcterms:W3CDTF">2025-08-08T09:39:00Z</dcterms:created>
  <dcterms:modified xsi:type="dcterms:W3CDTF">2025-08-13T18:15:00Z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7bd263c0-098e-4c51-94cb-dbcb798d86cf</vt:lpwstr>
  </property>
</Properties>
</file>