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894DBA" w14:textId="7FDEFB82" w:rsidR="00E85940" w:rsidRDefault="00E85940" w:rsidP="00E85940">
      <w:pPr>
        <w:spacing w:before="100" w:beforeAutospacing="1" w:after="100" w:afterAutospacing="1" w:line="240" w:lineRule="auto"/>
        <w:rPr>
          <w:rFonts w:ascii="Times New Roman" w:eastAsia="Times New Roman" w:hAnsi="Times New Roman" w:cs="Times New Roman"/>
          <w:b/>
          <w:bCs/>
          <w:sz w:val="24"/>
          <w:szCs w:val="24"/>
        </w:rPr>
      </w:pPr>
      <w:commentRangeStart w:id="0"/>
      <w:r w:rsidRPr="00DF3915">
        <w:rPr>
          <w:rFonts w:ascii="Times New Roman" w:eastAsia="Times New Roman" w:hAnsi="Times New Roman" w:cs="Times New Roman"/>
          <w:b/>
          <w:bCs/>
          <w:sz w:val="24"/>
          <w:szCs w:val="24"/>
        </w:rPr>
        <w:t>Rethinking Curriculum for the Future: Integrating 21st-Century Skills into Nigeria’s Basic Education to Meet Global Competency Standards</w:t>
      </w:r>
      <w:commentRangeEnd w:id="0"/>
      <w:r w:rsidR="00217091">
        <w:rPr>
          <w:rStyle w:val="CommentReference"/>
        </w:rPr>
        <w:commentReference w:id="0"/>
      </w:r>
    </w:p>
    <w:p w14:paraId="756EE814" w14:textId="77777777" w:rsidR="00082A77" w:rsidRDefault="00082A77" w:rsidP="00082A77">
      <w:pPr>
        <w:spacing w:after="0" w:line="240" w:lineRule="auto"/>
        <w:rPr>
          <w:rFonts w:ascii="Times New Roman" w:eastAsia="Times New Roman" w:hAnsi="Times New Roman" w:cs="Times New Roman"/>
          <w:sz w:val="24"/>
          <w:szCs w:val="24"/>
        </w:rPr>
      </w:pPr>
    </w:p>
    <w:p w14:paraId="0C3CFD26" w14:textId="41939A7B" w:rsidR="00E85940" w:rsidRPr="00082A77" w:rsidRDefault="00E85940" w:rsidP="00082A77">
      <w:pPr>
        <w:spacing w:after="0" w:line="240" w:lineRule="auto"/>
        <w:rPr>
          <w:rFonts w:ascii="Times New Roman" w:eastAsia="Times New Roman" w:hAnsi="Times New Roman" w:cs="Times New Roman"/>
          <w:b/>
          <w:bCs/>
          <w:sz w:val="24"/>
          <w:szCs w:val="24"/>
        </w:rPr>
      </w:pPr>
      <w:r w:rsidRPr="00082A77">
        <w:rPr>
          <w:rFonts w:ascii="Times New Roman" w:eastAsia="Times New Roman" w:hAnsi="Times New Roman" w:cs="Times New Roman"/>
          <w:b/>
          <w:bCs/>
          <w:sz w:val="24"/>
          <w:szCs w:val="24"/>
        </w:rPr>
        <w:t>Abstract</w:t>
      </w:r>
      <w:commentRangeStart w:id="1"/>
      <w:r w:rsidR="00805C09" w:rsidRPr="00082A77">
        <w:rPr>
          <w:rFonts w:ascii="Times New Roman" w:eastAsia="Times New Roman" w:hAnsi="Times New Roman" w:cs="Times New Roman"/>
          <w:b/>
          <w:bCs/>
          <w:sz w:val="24"/>
          <w:szCs w:val="24"/>
        </w:rPr>
        <w:t>.</w:t>
      </w:r>
      <w:commentRangeEnd w:id="1"/>
      <w:r w:rsidR="00C13F19">
        <w:rPr>
          <w:rStyle w:val="CommentReference"/>
        </w:rPr>
        <w:commentReference w:id="1"/>
      </w:r>
      <w:r w:rsidR="00805C09" w:rsidRPr="00082A77">
        <w:rPr>
          <w:rFonts w:ascii="Times New Roman" w:eastAsia="Times New Roman" w:hAnsi="Times New Roman" w:cs="Times New Roman"/>
          <w:b/>
          <w:bCs/>
          <w:sz w:val="24"/>
          <w:szCs w:val="24"/>
        </w:rPr>
        <w:t xml:space="preserve"> </w:t>
      </w:r>
    </w:p>
    <w:p w14:paraId="5AFEE1AB" w14:textId="77777777" w:rsidR="00BE4734" w:rsidRPr="00BE4734" w:rsidRDefault="00BE4734" w:rsidP="00BE4734">
      <w:pPr>
        <w:spacing w:after="0" w:line="240" w:lineRule="auto"/>
        <w:rPr>
          <w:rFonts w:ascii="Times New Roman" w:eastAsia="Times New Roman" w:hAnsi="Times New Roman" w:cs="Times New Roman"/>
          <w:sz w:val="24"/>
          <w:szCs w:val="24"/>
        </w:rPr>
      </w:pPr>
      <w:commentRangeStart w:id="2"/>
      <w:commentRangeStart w:id="3"/>
      <w:r w:rsidRPr="00BE4734">
        <w:rPr>
          <w:rFonts w:ascii="Times New Roman" w:eastAsia="Times New Roman" w:hAnsi="Times New Roman" w:cs="Times New Roman"/>
          <w:sz w:val="24"/>
          <w:szCs w:val="24"/>
        </w:rPr>
        <w:t>Because technology, the economy, and society are changing so quickly</w:t>
      </w:r>
      <w:commentRangeEnd w:id="3"/>
      <w:r w:rsidR="006A5B28">
        <w:rPr>
          <w:rStyle w:val="CommentReference"/>
        </w:rPr>
        <w:commentReference w:id="3"/>
      </w:r>
      <w:r w:rsidRPr="00BE4734">
        <w:rPr>
          <w:rFonts w:ascii="Times New Roman" w:eastAsia="Times New Roman" w:hAnsi="Times New Roman" w:cs="Times New Roman"/>
          <w:sz w:val="24"/>
          <w:szCs w:val="24"/>
        </w:rPr>
        <w:t xml:space="preserve">, there is more demand around the world for schools to </w:t>
      </w:r>
      <w:commentRangeStart w:id="4"/>
      <w:r w:rsidRPr="00BE4734">
        <w:rPr>
          <w:rFonts w:ascii="Times New Roman" w:eastAsia="Times New Roman" w:hAnsi="Times New Roman" w:cs="Times New Roman"/>
          <w:sz w:val="24"/>
          <w:szCs w:val="24"/>
        </w:rPr>
        <w:t>teach children skills for the 21st century</w:t>
      </w:r>
      <w:commentRangeEnd w:id="4"/>
      <w:r w:rsidR="006A5B28">
        <w:rPr>
          <w:rStyle w:val="CommentReference"/>
        </w:rPr>
        <w:commentReference w:id="4"/>
      </w:r>
      <w:r w:rsidRPr="00BE4734">
        <w:rPr>
          <w:rFonts w:ascii="Times New Roman" w:eastAsia="Times New Roman" w:hAnsi="Times New Roman" w:cs="Times New Roman"/>
          <w:sz w:val="24"/>
          <w:szCs w:val="24"/>
        </w:rPr>
        <w:t xml:space="preserve">, like critical thinking, creativity, teamwork, communication, digital literacy, and global citizenship. These skills are becoming </w:t>
      </w:r>
      <w:commentRangeStart w:id="5"/>
      <w:r w:rsidRPr="00BE4734">
        <w:rPr>
          <w:rFonts w:ascii="Times New Roman" w:eastAsia="Times New Roman" w:hAnsi="Times New Roman" w:cs="Times New Roman"/>
          <w:sz w:val="24"/>
          <w:szCs w:val="24"/>
        </w:rPr>
        <w:t xml:space="preserve">more and more important </w:t>
      </w:r>
      <w:commentRangeEnd w:id="5"/>
      <w:r w:rsidR="006A5B28">
        <w:rPr>
          <w:rStyle w:val="CommentReference"/>
        </w:rPr>
        <w:commentReference w:id="5"/>
      </w:r>
      <w:r w:rsidRPr="00BE4734">
        <w:rPr>
          <w:rFonts w:ascii="Times New Roman" w:eastAsia="Times New Roman" w:hAnsi="Times New Roman" w:cs="Times New Roman"/>
          <w:sz w:val="24"/>
          <w:szCs w:val="24"/>
        </w:rPr>
        <w:t>for both long-term g</w:t>
      </w:r>
      <w:bookmarkStart w:id="6" w:name="_GoBack"/>
      <w:bookmarkEnd w:id="6"/>
      <w:r w:rsidRPr="00BE4734">
        <w:rPr>
          <w:rFonts w:ascii="Times New Roman" w:eastAsia="Times New Roman" w:hAnsi="Times New Roman" w:cs="Times New Roman"/>
          <w:sz w:val="24"/>
          <w:szCs w:val="24"/>
        </w:rPr>
        <w:t xml:space="preserve">rowth and competition on a global scale. The Partnership for 21st Century Learning, </w:t>
      </w:r>
      <w:commentRangeStart w:id="7"/>
      <w:r w:rsidRPr="00BE4734">
        <w:rPr>
          <w:rFonts w:ascii="Times New Roman" w:eastAsia="Times New Roman" w:hAnsi="Times New Roman" w:cs="Times New Roman"/>
          <w:sz w:val="24"/>
          <w:szCs w:val="24"/>
        </w:rPr>
        <w:t>UNESCO's</w:t>
      </w:r>
      <w:commentRangeEnd w:id="7"/>
      <w:r w:rsidR="006A5B28">
        <w:rPr>
          <w:rStyle w:val="CommentReference"/>
        </w:rPr>
        <w:commentReference w:id="7"/>
      </w:r>
      <w:r w:rsidRPr="00BE4734">
        <w:rPr>
          <w:rFonts w:ascii="Times New Roman" w:eastAsia="Times New Roman" w:hAnsi="Times New Roman" w:cs="Times New Roman"/>
          <w:sz w:val="24"/>
          <w:szCs w:val="24"/>
        </w:rPr>
        <w:t xml:space="preserve"> Education 2030 Agenda, and the </w:t>
      </w:r>
      <w:commentRangeStart w:id="8"/>
      <w:r w:rsidRPr="00BE4734">
        <w:rPr>
          <w:rFonts w:ascii="Times New Roman" w:eastAsia="Times New Roman" w:hAnsi="Times New Roman" w:cs="Times New Roman"/>
          <w:sz w:val="24"/>
          <w:szCs w:val="24"/>
        </w:rPr>
        <w:t>OECD</w:t>
      </w:r>
      <w:commentRangeEnd w:id="8"/>
      <w:r w:rsidR="006A5B28">
        <w:rPr>
          <w:rStyle w:val="CommentReference"/>
        </w:rPr>
        <w:commentReference w:id="8"/>
      </w:r>
      <w:r w:rsidRPr="00BE4734">
        <w:rPr>
          <w:rFonts w:ascii="Times New Roman" w:eastAsia="Times New Roman" w:hAnsi="Times New Roman" w:cs="Times New Roman"/>
          <w:sz w:val="24"/>
          <w:szCs w:val="24"/>
        </w:rPr>
        <w:t xml:space="preserve"> Global Competence Framework all contain them. This evaluation examines the alignment of Nigeria's basic education curriculum with international competency standards and explores potential integration strategies. The research integrates international best practices and evaluates their applicability to the Nigerian context through a systematic analysis of </w:t>
      </w:r>
      <w:commentRangeStart w:id="9"/>
      <w:r w:rsidRPr="00BE4734">
        <w:rPr>
          <w:rFonts w:ascii="Times New Roman" w:eastAsia="Times New Roman" w:hAnsi="Times New Roman" w:cs="Times New Roman"/>
          <w:sz w:val="24"/>
          <w:szCs w:val="24"/>
        </w:rPr>
        <w:t xml:space="preserve">peer-reviewed </w:t>
      </w:r>
      <w:commentRangeEnd w:id="9"/>
      <w:r w:rsidR="006A5B28">
        <w:rPr>
          <w:rStyle w:val="CommentReference"/>
        </w:rPr>
        <w:commentReference w:id="9"/>
      </w:r>
      <w:r w:rsidRPr="00BE4734">
        <w:rPr>
          <w:rFonts w:ascii="Times New Roman" w:eastAsia="Times New Roman" w:hAnsi="Times New Roman" w:cs="Times New Roman"/>
          <w:sz w:val="24"/>
          <w:szCs w:val="24"/>
        </w:rPr>
        <w:t>literature, comparative case studies, and national and international policy documents. The findings indicate a significant disparity between global competency-based models and Nigeria's existing curriculum, characteri</w:t>
      </w:r>
      <w:commentRangeStart w:id="10"/>
      <w:r w:rsidRPr="00BE4734">
        <w:rPr>
          <w:rFonts w:ascii="Times New Roman" w:eastAsia="Times New Roman" w:hAnsi="Times New Roman" w:cs="Times New Roman"/>
          <w:sz w:val="24"/>
          <w:szCs w:val="24"/>
        </w:rPr>
        <w:t>z</w:t>
      </w:r>
      <w:commentRangeEnd w:id="10"/>
      <w:r w:rsidR="004132BD">
        <w:rPr>
          <w:rStyle w:val="CommentReference"/>
        </w:rPr>
        <w:commentReference w:id="10"/>
      </w:r>
      <w:proofErr w:type="gramStart"/>
      <w:r w:rsidRPr="00BE4734">
        <w:rPr>
          <w:rFonts w:ascii="Times New Roman" w:eastAsia="Times New Roman" w:hAnsi="Times New Roman" w:cs="Times New Roman"/>
          <w:sz w:val="24"/>
          <w:szCs w:val="24"/>
        </w:rPr>
        <w:t>ed</w:t>
      </w:r>
      <w:proofErr w:type="gramEnd"/>
      <w:r w:rsidRPr="00BE4734">
        <w:rPr>
          <w:rFonts w:ascii="Times New Roman" w:eastAsia="Times New Roman" w:hAnsi="Times New Roman" w:cs="Times New Roman"/>
          <w:sz w:val="24"/>
          <w:szCs w:val="24"/>
        </w:rPr>
        <w:t xml:space="preserve"> by content-heavy syllabi, examination-centric assessment, and minimal interdisciplinary integration. Lessons learnt from Kenya, India, Finland, and Singapore show how important it is to have flexible curricula, integrated skill development, continuing evaluation, and good professional development for teachers. The review proposes a context-sensitive approach grounded in transdisciplinary, project-based, and culturally responsive pedagogy, emphasi</w:t>
      </w:r>
      <w:commentRangeStart w:id="11"/>
      <w:r w:rsidRPr="00BE4734">
        <w:rPr>
          <w:rFonts w:ascii="Times New Roman" w:eastAsia="Times New Roman" w:hAnsi="Times New Roman" w:cs="Times New Roman"/>
          <w:sz w:val="24"/>
          <w:szCs w:val="24"/>
        </w:rPr>
        <w:t>z</w:t>
      </w:r>
      <w:commentRangeEnd w:id="11"/>
      <w:r w:rsidR="0037199B">
        <w:rPr>
          <w:rStyle w:val="CommentReference"/>
        </w:rPr>
        <w:commentReference w:id="11"/>
      </w:r>
      <w:r w:rsidRPr="00BE4734">
        <w:rPr>
          <w:rFonts w:ascii="Times New Roman" w:eastAsia="Times New Roman" w:hAnsi="Times New Roman" w:cs="Times New Roman"/>
          <w:sz w:val="24"/>
          <w:szCs w:val="24"/>
        </w:rPr>
        <w:t xml:space="preserve">ing competencies essential for Nigeria's developmental requirements. To make this happen, there has to be targeted teacher training, a persistent commitment to policy, fair access to ICT, and well-coordinated partnerships with foreign organizations, NGOs, and the government. This study offers a framework for incorporating 21st-century competencies into basic education, while simultaneously enhancing </w:t>
      </w:r>
      <w:commentRangeStart w:id="12"/>
      <w:r w:rsidRPr="00BE4734">
        <w:rPr>
          <w:rFonts w:ascii="Times New Roman" w:eastAsia="Times New Roman" w:hAnsi="Times New Roman" w:cs="Times New Roman"/>
          <w:sz w:val="24"/>
          <w:szCs w:val="24"/>
        </w:rPr>
        <w:t xml:space="preserve">national policy </w:t>
      </w:r>
      <w:commentRangeEnd w:id="12"/>
      <w:r w:rsidR="0037199B">
        <w:rPr>
          <w:rStyle w:val="CommentReference"/>
        </w:rPr>
        <w:commentReference w:id="12"/>
      </w:r>
      <w:r w:rsidRPr="00BE4734">
        <w:rPr>
          <w:rFonts w:ascii="Times New Roman" w:eastAsia="Times New Roman" w:hAnsi="Times New Roman" w:cs="Times New Roman"/>
          <w:sz w:val="24"/>
          <w:szCs w:val="24"/>
        </w:rPr>
        <w:t>discourse and comparative education scholarship by situating Nigeria's curriculum reform within the global context.</w:t>
      </w:r>
      <w:commentRangeEnd w:id="2"/>
      <w:r w:rsidR="00C13F19">
        <w:rPr>
          <w:rStyle w:val="CommentReference"/>
        </w:rPr>
        <w:commentReference w:id="2"/>
      </w:r>
    </w:p>
    <w:p w14:paraId="0648EF87" w14:textId="77777777" w:rsidR="00E85940" w:rsidRPr="00E85940" w:rsidRDefault="00E85940" w:rsidP="00E85940">
      <w:pPr>
        <w:spacing w:before="100" w:beforeAutospacing="1" w:after="100" w:afterAutospacing="1" w:line="240" w:lineRule="auto"/>
        <w:rPr>
          <w:rFonts w:ascii="Times New Roman" w:eastAsia="Times New Roman" w:hAnsi="Times New Roman" w:cs="Times New Roman"/>
          <w:sz w:val="24"/>
          <w:szCs w:val="24"/>
        </w:rPr>
      </w:pPr>
      <w:r w:rsidRPr="00E85940">
        <w:rPr>
          <w:rFonts w:ascii="Times New Roman" w:eastAsia="Times New Roman" w:hAnsi="Times New Roman" w:cs="Times New Roman"/>
          <w:b/>
          <w:bCs/>
          <w:sz w:val="24"/>
          <w:szCs w:val="24"/>
        </w:rPr>
        <w:t>Keywords:</w:t>
      </w:r>
      <w:r w:rsidRPr="00E85940">
        <w:rPr>
          <w:rFonts w:ascii="Times New Roman" w:eastAsia="Times New Roman" w:hAnsi="Times New Roman" w:cs="Times New Roman"/>
          <w:sz w:val="24"/>
          <w:szCs w:val="24"/>
        </w:rPr>
        <w:t xml:space="preserve"> 21st-century skills, competency-based education, curriculum reform, Nigeria, global education standards, teacher training</w:t>
      </w:r>
    </w:p>
    <w:p w14:paraId="3AD88B65" w14:textId="77777777" w:rsidR="00E85940" w:rsidRPr="00E85940" w:rsidRDefault="00E85940" w:rsidP="00E85940">
      <w:pPr>
        <w:spacing w:before="100" w:beforeAutospacing="1" w:after="100" w:afterAutospacing="1" w:line="240" w:lineRule="auto"/>
        <w:outlineLvl w:val="1"/>
        <w:rPr>
          <w:rFonts w:ascii="Times New Roman" w:eastAsia="Times New Roman" w:hAnsi="Times New Roman" w:cs="Times New Roman"/>
          <w:b/>
          <w:bCs/>
          <w:sz w:val="36"/>
          <w:szCs w:val="36"/>
        </w:rPr>
      </w:pPr>
      <w:r w:rsidRPr="00E85940">
        <w:rPr>
          <w:rFonts w:ascii="Times New Roman" w:eastAsia="Times New Roman" w:hAnsi="Times New Roman" w:cs="Times New Roman"/>
          <w:b/>
          <w:bCs/>
          <w:sz w:val="36"/>
          <w:szCs w:val="36"/>
        </w:rPr>
        <w:t>1. Introduction</w:t>
      </w:r>
    </w:p>
    <w:p w14:paraId="60D70A41" w14:textId="425054F2"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Around the world, schools are moving away from rote memori</w:t>
      </w:r>
      <w:commentRangeStart w:id="13"/>
      <w:r w:rsidRPr="00BE4734">
        <w:rPr>
          <w:rFonts w:ascii="Times New Roman" w:eastAsia="Times New Roman" w:hAnsi="Times New Roman" w:cs="Times New Roman"/>
          <w:sz w:val="24"/>
          <w:szCs w:val="24"/>
        </w:rPr>
        <w:t>z</w:t>
      </w:r>
      <w:commentRangeEnd w:id="13"/>
      <w:r w:rsidR="006A5B28">
        <w:rPr>
          <w:rStyle w:val="CommentReference"/>
        </w:rPr>
        <w:commentReference w:id="13"/>
      </w:r>
      <w:r w:rsidRPr="00BE4734">
        <w:rPr>
          <w:rFonts w:ascii="Times New Roman" w:eastAsia="Times New Roman" w:hAnsi="Times New Roman" w:cs="Times New Roman"/>
          <w:sz w:val="24"/>
          <w:szCs w:val="24"/>
        </w:rPr>
        <w:t xml:space="preserve">ation and content-heavy models and toward competency-based learning. This provides students the skills they need to do well in a world that is </w:t>
      </w:r>
      <w:commentRangeStart w:id="14"/>
      <w:r w:rsidRPr="00BE4734">
        <w:rPr>
          <w:rFonts w:ascii="Times New Roman" w:eastAsia="Times New Roman" w:hAnsi="Times New Roman" w:cs="Times New Roman"/>
          <w:sz w:val="24"/>
          <w:szCs w:val="24"/>
        </w:rPr>
        <w:t xml:space="preserve">growing </w:t>
      </w:r>
      <w:commentRangeEnd w:id="14"/>
      <w:r w:rsidR="0037199B">
        <w:rPr>
          <w:rStyle w:val="CommentReference"/>
        </w:rPr>
        <w:commentReference w:id="14"/>
      </w:r>
      <w:r w:rsidRPr="00BE4734">
        <w:rPr>
          <w:rFonts w:ascii="Times New Roman" w:eastAsia="Times New Roman" w:hAnsi="Times New Roman" w:cs="Times New Roman"/>
          <w:sz w:val="24"/>
          <w:szCs w:val="24"/>
        </w:rPr>
        <w:t xml:space="preserve">more connected and changing </w:t>
      </w:r>
      <w:commentRangeStart w:id="15"/>
      <w:r w:rsidRPr="00BE4734">
        <w:rPr>
          <w:rFonts w:ascii="Times New Roman" w:eastAsia="Times New Roman" w:hAnsi="Times New Roman" w:cs="Times New Roman"/>
          <w:sz w:val="24"/>
          <w:szCs w:val="24"/>
        </w:rPr>
        <w:t>quickly</w:t>
      </w:r>
      <w:commentRangeEnd w:id="15"/>
      <w:r w:rsidR="0037199B">
        <w:rPr>
          <w:rStyle w:val="CommentReference"/>
        </w:rPr>
        <w:commentReference w:id="15"/>
      </w:r>
      <w:r w:rsidRPr="00BE4734">
        <w:rPr>
          <w:rFonts w:ascii="Times New Roman" w:eastAsia="Times New Roman" w:hAnsi="Times New Roman" w:cs="Times New Roman"/>
          <w:sz w:val="24"/>
          <w:szCs w:val="24"/>
        </w:rPr>
        <w:t>. This transition is happening because people have reali</w:t>
      </w:r>
      <w:commentRangeStart w:id="16"/>
      <w:commentRangeStart w:id="17"/>
      <w:r w:rsidRPr="00BE4734">
        <w:rPr>
          <w:rFonts w:ascii="Times New Roman" w:eastAsia="Times New Roman" w:hAnsi="Times New Roman" w:cs="Times New Roman"/>
          <w:sz w:val="24"/>
          <w:szCs w:val="24"/>
        </w:rPr>
        <w:t>z</w:t>
      </w:r>
      <w:commentRangeEnd w:id="16"/>
      <w:r w:rsidR="006A5B28">
        <w:rPr>
          <w:rStyle w:val="CommentReference"/>
        </w:rPr>
        <w:commentReference w:id="16"/>
      </w:r>
      <w:commentRangeEnd w:id="17"/>
      <w:r w:rsidR="008B5092">
        <w:rPr>
          <w:rStyle w:val="CommentReference"/>
        </w:rPr>
        <w:commentReference w:id="17"/>
      </w:r>
      <w:r w:rsidRPr="00BE4734">
        <w:rPr>
          <w:rFonts w:ascii="Times New Roman" w:eastAsia="Times New Roman" w:hAnsi="Times New Roman" w:cs="Times New Roman"/>
          <w:sz w:val="24"/>
          <w:szCs w:val="24"/>
        </w:rPr>
        <w:t>ed that the problems of the 21st century, such as climate change and changes in the job market, need a workforce that can think critically, solve complex problems, cooperate with people from other cultures, and adapt to new environments</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{"citationID":"LyJVYqeK","properties":{"formattedCitation":"[1]","plainCitation":"[1]","noteIndex":0},"citationItems":[{"id":6230,"uris":["http://zotero.org/users/16652950/items/333XFEPS"],"itemData":{"id":6230,"type":"article-journal","container-title":"Applied Developmental Science","DOI":"10.1080/10888691.2018.1537791","ISSN":"1088-8691","issue":"2","note":"publisher: Routledge","page":"97-140","source":"tandfonline.com (Atypon)","title":"Implications for educational practice of the science of learning and development","volume":"24","author":[{"family":"Darling-Hammond","given":"Linda"},{"family":"Flook","given":"Lisa"},{"family":"Cook-Harvey","given":"Channa"},{"family":"Barron","given":"Brigid"},{"family":"Osher","given":"David"}],"issued":{"date-parts":[["2020",4,2]]}}}],"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[1]</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International groups like the OECD and UNESCO have stressed the need for educational systems that include digital literacy, socioemotional skills, and global competency as important parts of basic education</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{"citationID":"qeYh0h5U","properties":{"formattedCitation":"[2]","plainCitation":"[2]","noteIndex":0},"citationItems":[{"id":6232,"uris":["http://zotero.org/users/16652950/items/GJZPRZS6"],"itemData":{"id":6232,"type":"article-journal","abstract":"This article brings together literature and perspectives that have evolved during the last decade on issues of social and emotional aspects of learning in a digital age. This topic points to some core challenges and worries of contemporary social developments within digitalized societies, and ways of perceiving future developments of how we conceptualize learning and education within and beyond formal schooling to better provide for ways of engaging young learners. The aim is to address some emerging issues on the importance of digital social and emotional skills (D-SEL) relevant for our understanding of learning and education in contemporary and future societies. We use developments in selected countries (Norway, Czech Republic, USA and Japan) as examples to discuss how social and emotional skills have entered educational systems. The findings show that not only knowledge in a cognitive sense is important for human life, but also people’s approach to life and their ability to adapt to changes as digital social and emotional ways of learning.","container-title":"Technology, Knowledge and Learning","DOI":"10.1007/s10758-024-09775-w","ISSN":"2211-1670","issue":"4","journalAbbreviation":"Tech Know Learn","language":"en","page":"1751-1766","source":"Springer Link","title":"Social and Emotional Modes of Learning Within Digital Ecosystems: Emerging Research Agendas","title-short":"Social and Emotional Modes of Learning Within Digital Ecosystems","volume":"29","author":[{"family":"Erstad","given":"Ola"},{"family":"Černochová","given":"Miroslava"},{"family":"Knezek","given":"Gerald"},{"family":"Furuta","given":"Takahisa"},{"family":"Takami","given":"Kyosuke"},{"family":"Liang","given":"Changhao"}],"issued":{"date-parts":[["2024",12,1]]}}}],"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[2]</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commentRangeStart w:id="18"/>
      <w:r w:rsidRPr="00BE4734">
        <w:rPr>
          <w:rFonts w:ascii="Times New Roman" w:eastAsia="Times New Roman" w:hAnsi="Times New Roman" w:cs="Times New Roman"/>
          <w:sz w:val="24"/>
          <w:szCs w:val="24"/>
        </w:rPr>
        <w:t>Nigeria, which has the most people in Africa and is a developing economy</w:t>
      </w:r>
      <w:commentRangeEnd w:id="18"/>
      <w:r w:rsidR="008B5092">
        <w:rPr>
          <w:rStyle w:val="CommentReference"/>
        </w:rPr>
        <w:commentReference w:id="18"/>
      </w:r>
      <w:r w:rsidRPr="00BE4734">
        <w:rPr>
          <w:rFonts w:ascii="Times New Roman" w:eastAsia="Times New Roman" w:hAnsi="Times New Roman" w:cs="Times New Roman"/>
          <w:sz w:val="24"/>
          <w:szCs w:val="24"/>
        </w:rPr>
        <w:t>, is under a lot of pressure to moderni</w:t>
      </w:r>
      <w:commentRangeStart w:id="19"/>
      <w:r w:rsidRPr="00BE4734">
        <w:rPr>
          <w:rFonts w:ascii="Times New Roman" w:eastAsia="Times New Roman" w:hAnsi="Times New Roman" w:cs="Times New Roman"/>
          <w:sz w:val="24"/>
          <w:szCs w:val="24"/>
        </w:rPr>
        <w:t>z</w:t>
      </w:r>
      <w:commentRangeEnd w:id="19"/>
      <w:r w:rsidR="008B5092">
        <w:rPr>
          <w:rStyle w:val="CommentReference"/>
        </w:rPr>
        <w:commentReference w:id="19"/>
      </w:r>
      <w:r w:rsidRPr="00BE4734">
        <w:rPr>
          <w:rFonts w:ascii="Times New Roman" w:eastAsia="Times New Roman" w:hAnsi="Times New Roman" w:cs="Times New Roman"/>
          <w:sz w:val="24"/>
          <w:szCs w:val="24"/>
        </w:rPr>
        <w:t xml:space="preserve">e its basic education curriculum to reflect </w:t>
      </w:r>
      <w:commentRangeStart w:id="20"/>
      <w:r w:rsidRPr="00BE4734">
        <w:rPr>
          <w:rFonts w:ascii="Times New Roman" w:eastAsia="Times New Roman" w:hAnsi="Times New Roman" w:cs="Times New Roman"/>
          <w:sz w:val="24"/>
          <w:szCs w:val="24"/>
        </w:rPr>
        <w:t>these developments in the globe.</w:t>
      </w:r>
      <w:commentRangeEnd w:id="20"/>
      <w:r w:rsidR="008B5092">
        <w:rPr>
          <w:rStyle w:val="CommentReference"/>
        </w:rPr>
        <w:commentReference w:id="20"/>
      </w:r>
      <w:r w:rsidRPr="00BE4734">
        <w:rPr>
          <w:rFonts w:ascii="Times New Roman" w:eastAsia="Times New Roman" w:hAnsi="Times New Roman" w:cs="Times New Roman"/>
          <w:sz w:val="24"/>
          <w:szCs w:val="24"/>
        </w:rPr>
        <w:t xml:space="preserve"> The National Policy on Education and other policy papers say that </w:t>
      </w:r>
      <w:proofErr w:type="gramStart"/>
      <w:r w:rsidRPr="00BE4734">
        <w:rPr>
          <w:rFonts w:ascii="Times New Roman" w:eastAsia="Times New Roman" w:hAnsi="Times New Roman" w:cs="Times New Roman"/>
          <w:sz w:val="24"/>
          <w:szCs w:val="24"/>
        </w:rPr>
        <w:t>it's</w:t>
      </w:r>
      <w:proofErr w:type="gramEnd"/>
      <w:r w:rsidRPr="00BE4734">
        <w:rPr>
          <w:rFonts w:ascii="Times New Roman" w:eastAsia="Times New Roman" w:hAnsi="Times New Roman" w:cs="Times New Roman"/>
          <w:sz w:val="24"/>
          <w:szCs w:val="24"/>
        </w:rPr>
        <w:t xml:space="preserve"> important to get students ready for the digital economy, yet the current curriculum is still mostly focused on </w:t>
      </w:r>
      <w:commentRangeStart w:id="21"/>
      <w:r w:rsidRPr="00BE4734">
        <w:rPr>
          <w:rFonts w:ascii="Times New Roman" w:eastAsia="Times New Roman" w:hAnsi="Times New Roman" w:cs="Times New Roman"/>
          <w:sz w:val="24"/>
          <w:szCs w:val="24"/>
        </w:rPr>
        <w:t xml:space="preserve">content and </w:t>
      </w:r>
      <w:r w:rsidRPr="00BE4734">
        <w:rPr>
          <w:rFonts w:ascii="Times New Roman" w:eastAsia="Times New Roman" w:hAnsi="Times New Roman" w:cs="Times New Roman"/>
          <w:sz w:val="24"/>
          <w:szCs w:val="24"/>
        </w:rPr>
        <w:lastRenderedPageBreak/>
        <w:t>tests</w:t>
      </w:r>
      <w:commentRangeEnd w:id="21"/>
      <w:r w:rsidR="008B5092">
        <w:rPr>
          <w:rStyle w:val="CommentReference"/>
        </w:rPr>
        <w:commentReference w:id="21"/>
      </w:r>
      <w:r w:rsidRPr="00BE4734">
        <w:rPr>
          <w:rFonts w:ascii="Times New Roman" w:eastAsia="Times New Roman" w:hAnsi="Times New Roman" w:cs="Times New Roman"/>
          <w:sz w:val="24"/>
          <w:szCs w:val="24"/>
        </w:rPr>
        <w:t>. Teaching, learning, and testing do not do a good job of addressing core 21st-century abilities like creativity, problem-solving, digital literacy, and global citizenship</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{"citationID":"BAm2oS62","properties":{"formattedCitation":"[3]","plainCitation":"[3]","noteIndex":0},"citationItems":[{"id":6234,"uris":["http://zotero.org/users/16652950/items/IHD79RIW"],"itemData":{"id":6234,"type":"article-journal","abstract":"Nigeria is a country located in West Africa and is home to over 200 million people. It is the most populous country in Africa and has a diverse culture and a rich history. One of the most significant challenges that Nigeria has faced in recent years is the development of its education sector. However, there has been some progress in this area in recent years. In this article, we will discuss the educational development in Nigeria, including the challenges faced and the progress made.","container-title":"Educational Research","language":"en","note":"publisher: International Research Journals","page":"1-3","source":"www.interesjournals.org","title":"The Quality of Educational Development in Nigeria","author":[{"family":"Luise","given":"Obeza E."}],"issued":{"date-parts":[["2023",3,31]]}}}],"schema":"https://github.com/citation-style-language/schema/raw/master/csl-citation.json"}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[3]</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Due to this imbalance, Nigerian students may not be prepared to compete on the global stage or make significant contributions to their country's development.</w:t>
      </w:r>
      <w:r w:rsidRPr="00BE4734">
        <w:rPr>
          <w:rFonts w:ascii="Times New Roman" w:eastAsia="Times New Roman" w:hAnsi="Times New Roman" w:cs="Times New Roman"/>
          <w:sz w:val="24"/>
          <w:szCs w:val="24"/>
        </w:rPr>
        <w:br/>
        <w:t xml:space="preserve">The goal of this </w:t>
      </w:r>
      <w:commentRangeStart w:id="22"/>
      <w:r w:rsidRPr="00BE4734">
        <w:rPr>
          <w:rFonts w:ascii="Times New Roman" w:eastAsia="Times New Roman" w:hAnsi="Times New Roman" w:cs="Times New Roman"/>
          <w:sz w:val="24"/>
          <w:szCs w:val="24"/>
        </w:rPr>
        <w:t>review</w:t>
      </w:r>
      <w:commentRangeEnd w:id="22"/>
      <w:r w:rsidR="005D6D32">
        <w:rPr>
          <w:rStyle w:val="CommentReference"/>
        </w:rPr>
        <w:commentReference w:id="22"/>
      </w:r>
      <w:r w:rsidRPr="00BE4734">
        <w:rPr>
          <w:rFonts w:ascii="Times New Roman" w:eastAsia="Times New Roman" w:hAnsi="Times New Roman" w:cs="Times New Roman"/>
          <w:sz w:val="24"/>
          <w:szCs w:val="24"/>
        </w:rPr>
        <w:t xml:space="preserve"> is to gather the finest ways from across the world to teach 21st-century skills in basic education and see how they might be adapted to Nigeria's social, cultural, and policy setting. </w:t>
      </w:r>
      <w:commentRangeStart w:id="23"/>
      <w:r w:rsidRPr="00BE4734">
        <w:rPr>
          <w:rFonts w:ascii="Times New Roman" w:eastAsia="Times New Roman" w:hAnsi="Times New Roman" w:cs="Times New Roman"/>
          <w:sz w:val="24"/>
          <w:szCs w:val="24"/>
        </w:rPr>
        <w:t xml:space="preserve">The project will utilize </w:t>
      </w:r>
      <w:commentRangeEnd w:id="23"/>
      <w:r w:rsidR="005D6D32">
        <w:rPr>
          <w:rStyle w:val="CommentReference"/>
        </w:rPr>
        <w:commentReference w:id="23"/>
      </w:r>
      <w:r w:rsidRPr="00BE4734">
        <w:rPr>
          <w:rFonts w:ascii="Times New Roman" w:eastAsia="Times New Roman" w:hAnsi="Times New Roman" w:cs="Times New Roman"/>
          <w:sz w:val="24"/>
          <w:szCs w:val="24"/>
        </w:rPr>
        <w:t>national policy analysis, comparative case studies, and international frameworks to identify the potential and systemic barriers affecting curricular change in Nigeria.</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m4djosAi","properties":{"formattedCitation":"[4]","plainCitation":"[4]","noteIndex":0},"citationItems":[{"id":6236,"uris":["http://zotero.org/users/16652950/items/BSJWNKGL"],"itemData":{"id":6236,"type":"article-journal","DOI":"10.5281/zenodo.14879702","source":"Zenodo","title":"Integrating 21st Century Skills into Secondary Education: Preparing Students for a Productive Society","title-short":"Integrating 21st Century Skills into Secondary Education","URL":"https://zenodo.org/records/14879702","author":[{"family":"Okonkwo","given":"Dr Iibi John &amp; Dr Cecilia Okwudinma"}],"accessed":{"date-parts":[["2025",8,13]]},"issued":{"date-parts":[["2025",2,16]]}}}],"schema":"https://github.com/citation-style-language/schema/raw/master/csl-citation.json"}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[4]</w:t>
      </w:r>
      <w:r w:rsidR="00592B4A">
        <w:rPr>
          <w:rFonts w:ascii="Times New Roman" w:eastAsia="Times New Roman" w:hAnsi="Times New Roman" w:cs="Times New Roman"/>
          <w:sz w:val="24"/>
          <w:szCs w:val="24"/>
        </w:rPr>
        <w:fldChar w:fldCharType="end"/>
      </w:r>
      <w:r w:rsidR="008B5092">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t>The paper is organi</w:t>
      </w:r>
      <w:commentRangeStart w:id="24"/>
      <w:r w:rsidRPr="00BE4734">
        <w:rPr>
          <w:rFonts w:ascii="Times New Roman" w:eastAsia="Times New Roman" w:hAnsi="Times New Roman" w:cs="Times New Roman"/>
          <w:sz w:val="24"/>
          <w:szCs w:val="24"/>
        </w:rPr>
        <w:t>z</w:t>
      </w:r>
      <w:commentRangeEnd w:id="24"/>
      <w:r w:rsidR="005D6D32">
        <w:rPr>
          <w:rStyle w:val="CommentReference"/>
        </w:rPr>
        <w:commentReference w:id="24"/>
      </w:r>
      <w:proofErr w:type="gramStart"/>
      <w:r w:rsidRPr="00BE4734">
        <w:rPr>
          <w:rFonts w:ascii="Times New Roman" w:eastAsia="Times New Roman" w:hAnsi="Times New Roman" w:cs="Times New Roman"/>
          <w:sz w:val="24"/>
          <w:szCs w:val="24"/>
        </w:rPr>
        <w:t>ed</w:t>
      </w:r>
      <w:proofErr w:type="gramEnd"/>
      <w:r w:rsidRPr="00BE4734">
        <w:rPr>
          <w:rFonts w:ascii="Times New Roman" w:eastAsia="Times New Roman" w:hAnsi="Times New Roman" w:cs="Times New Roman"/>
          <w:sz w:val="24"/>
          <w:szCs w:val="24"/>
        </w:rPr>
        <w:t xml:space="preserve"> like this: In the realm of global education discourse, Section 2 examines the concept and dimensions of 21st-century abilities. Section 3 looks at how Nigeria's basic education program is doing right now. Section 5 looks at the problems that make integration hard, whereas Section 4 looks at what we may learn from similar situations. Section 6 offers a conceptual framework for the integration of 21st-century skills in Nigeria, followed by policy and practice implications in Section 7, and concluding remarks in Section 8.</w:t>
      </w:r>
    </w:p>
    <w:p w14:paraId="1E3418D4" w14:textId="77777777" w:rsidR="00E85940" w:rsidRPr="00E85940" w:rsidRDefault="00E85940" w:rsidP="00E85940">
      <w:pPr>
        <w:spacing w:before="100" w:beforeAutospacing="1" w:after="100" w:afterAutospacing="1" w:line="240" w:lineRule="auto"/>
        <w:outlineLvl w:val="1"/>
        <w:rPr>
          <w:rFonts w:ascii="Times New Roman" w:eastAsia="Times New Roman" w:hAnsi="Times New Roman" w:cs="Times New Roman"/>
          <w:b/>
          <w:bCs/>
          <w:sz w:val="36"/>
          <w:szCs w:val="36"/>
        </w:rPr>
      </w:pPr>
      <w:r w:rsidRPr="00E85940">
        <w:rPr>
          <w:rFonts w:ascii="Times New Roman" w:eastAsia="Times New Roman" w:hAnsi="Times New Roman" w:cs="Times New Roman"/>
          <w:b/>
          <w:bCs/>
          <w:sz w:val="36"/>
          <w:szCs w:val="36"/>
        </w:rPr>
        <w:t>2. Understanding 21st-Century Skills in Global Education</w:t>
      </w:r>
    </w:p>
    <w:p w14:paraId="0FBD4416" w14:textId="77777777" w:rsidR="00592B4A"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The term "21st-century skills" refers to a set of abilities, attitudes, and character traits that </w:t>
      </w:r>
      <w:proofErr w:type="gramStart"/>
      <w:r w:rsidRPr="00BE4734">
        <w:rPr>
          <w:rFonts w:ascii="Times New Roman" w:eastAsia="Times New Roman" w:hAnsi="Times New Roman" w:cs="Times New Roman"/>
          <w:sz w:val="24"/>
          <w:szCs w:val="24"/>
        </w:rPr>
        <w:t>are believed</w:t>
      </w:r>
      <w:proofErr w:type="gramEnd"/>
      <w:r w:rsidRPr="00BE4734">
        <w:rPr>
          <w:rFonts w:ascii="Times New Roman" w:eastAsia="Times New Roman" w:hAnsi="Times New Roman" w:cs="Times New Roman"/>
          <w:sz w:val="24"/>
          <w:szCs w:val="24"/>
        </w:rPr>
        <w:t xml:space="preserve"> to be necessary for students </w:t>
      </w:r>
      <w:commentRangeStart w:id="25"/>
      <w:r w:rsidRPr="00BE4734">
        <w:rPr>
          <w:rFonts w:ascii="Times New Roman" w:eastAsia="Times New Roman" w:hAnsi="Times New Roman" w:cs="Times New Roman"/>
          <w:sz w:val="24"/>
          <w:szCs w:val="24"/>
        </w:rPr>
        <w:t>to</w:t>
      </w:r>
      <w:commentRangeEnd w:id="25"/>
      <w:r w:rsidR="005D6D32">
        <w:rPr>
          <w:rStyle w:val="CommentReference"/>
        </w:rPr>
        <w:commentReference w:id="25"/>
      </w:r>
      <w:r w:rsidRPr="00BE4734">
        <w:rPr>
          <w:rFonts w:ascii="Times New Roman" w:eastAsia="Times New Roman" w:hAnsi="Times New Roman" w:cs="Times New Roman"/>
          <w:sz w:val="24"/>
          <w:szCs w:val="24"/>
        </w:rPr>
        <w:t xml:space="preserve"> successfully navigate and make a substantial contribution </w:t>
      </w:r>
      <w:commentRangeStart w:id="26"/>
      <w:r w:rsidRPr="00BE4734">
        <w:rPr>
          <w:rFonts w:ascii="Times New Roman" w:eastAsia="Times New Roman" w:hAnsi="Times New Roman" w:cs="Times New Roman"/>
          <w:sz w:val="24"/>
          <w:szCs w:val="24"/>
        </w:rPr>
        <w:t>to the</w:t>
      </w:r>
      <w:commentRangeEnd w:id="26"/>
      <w:r w:rsidR="005D6D32">
        <w:rPr>
          <w:rStyle w:val="CommentReference"/>
        </w:rPr>
        <w:commentReference w:id="26"/>
      </w:r>
      <w:r w:rsidRPr="00BE4734">
        <w:rPr>
          <w:rFonts w:ascii="Times New Roman" w:eastAsia="Times New Roman" w:hAnsi="Times New Roman" w:cs="Times New Roman"/>
          <w:sz w:val="24"/>
          <w:szCs w:val="24"/>
        </w:rPr>
        <w:t xml:space="preserve"> demands of the modern workforce and society. A widely acknowledged framework encompasses six interrelated domains: critical thinking, creativity, collaboration, communication, digital literacy, and global citizenship; nevertheless, definitions vary across organi</w:t>
      </w:r>
      <w:commentRangeStart w:id="27"/>
      <w:r w:rsidRPr="00BE4734">
        <w:rPr>
          <w:rFonts w:ascii="Times New Roman" w:eastAsia="Times New Roman" w:hAnsi="Times New Roman" w:cs="Times New Roman"/>
          <w:sz w:val="24"/>
          <w:szCs w:val="24"/>
        </w:rPr>
        <w:t>z</w:t>
      </w:r>
      <w:commentRangeEnd w:id="27"/>
      <w:r w:rsidR="00724A7A">
        <w:rPr>
          <w:rStyle w:val="CommentReference"/>
        </w:rPr>
        <w:commentReference w:id="27"/>
      </w:r>
      <w:r w:rsidRPr="00BE4734">
        <w:rPr>
          <w:rFonts w:ascii="Times New Roman" w:eastAsia="Times New Roman" w:hAnsi="Times New Roman" w:cs="Times New Roman"/>
          <w:sz w:val="24"/>
          <w:szCs w:val="24"/>
        </w:rPr>
        <w:t>ations and contexts</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{"citationID":"rzg34coL","properties":{"formattedCitation":"[5]","plainCitation":"[5]","noteIndex":0},"citationItems":[{"id":6237,"uris":["http://zotero.org/users/16652950/items/EYAZA3MX"],"itemData":{"id":6237,"type":"article-journal","abstract":"This article addresses educational challenges posed by the future of work, examining “21st century skills”, their conception, assessment, and valorization. It focuses in particular on key soft skill competencies known as the “4Cs”: creativity, critical thinking, collaboration, and communication. In a section on each C, we provide an overview of assessment at the level of individual performance, before focusing on the less common assessment of systemic support for the development of the 4Cs that can be measured at the institutional level (i.e., in schools, universities, professional training programs, etc.). We then present the process of official assessment and certification known as “labelization”, suggesting it as a solution both for establishing a publicly trusted assessment of the 4Cs and for promoting their cultural valorization. Next, two variations of the “International Institute for Competency Development’s 21st Century Skills Framework” are presented. The first of these comprehensive systems allows for the assessment and labelization of the extent to which development of the 4Cs is supported by a formal educational program or institution. The second assesses informal educational or training experiences, such as playing a game. We discuss the overlap between the 4Cs and the challenges of teaching and institutionalizing them, both of which may be assisted by adopting a dynamic interactionist model of the 4Cs—playfully entitled “Crea-Critical-Collab-ication”—for pedagogical and policy-promotion purposes. We conclude by briefly discussing opportunities presented by future research and new technologies such as artificial intelligence and virtual reality.","container-title":"Journal of Intelligence","DOI":"10.3390/jintelligence11030054","ISSN":"2079-3200","issue":"3","language":"en","license":"http://creativecommons.org/licenses/by/3.0/","note":"publisher: Multidisciplinary Digital Publishing Institute","page":"54","source":"www.mdpi.com","title":"Creativity, Critical Thinking, Communication, and Collaboration: Assessment, Certification, and Promotion of 21st Century Skills for the Future of Work and Education","title-short":"Creativity, Critical Thinking, Communication, and Collaboration","volume":"11","author":[{"family":"Thornhill-Miller","given":"Branden"},{"family":"Camarda","given":"Anaëlle"},{"family":"Mercier","given":"Maxence"},{"family":"Burkhardt","given":"Jean-Marie"},{"family":"Morisseau","given":"Tiffany"},{"family":"Bourgeois-Bougrine","given":"Samira"},{"family":"Vinchon","given":"Florent"},{"family":"El Hayek","given":"Stephanie"},{"family":"Augereau-Landais","given":"Myriam"},{"family":"Mourey","given":"Florence"},{"family":"Feybesse","given":"Cyrille"},{"family":"Sundquist","given":"Daniel"},{"family":"Lubart","given":"Todd"}],"issued":{"date-parts":[["2023",3]]}}}],"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[5]</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Students with critical thinking skills can look at different points of view, look at information objectively, and make good decisions. Creativity helps people come up with new ideas and be flexible when tackling problems. Collaboration and communication are the keys to working well together in companies that are becoming more multicultural and virtual. In a world where technology is everywhere, digital literacy helps students find, evaluate, and create content in the right way. Global citizenship promotes intercultural understanding, empathy, and engagement with global issues such as sustainability, equity, and peace</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{"citationID":"1G29mKIZ","properties":{"formattedCitation":"[6]","plainCitation":"[6]","noteIndex":0},"citationItems":[{"id":6239,"uris":["http://zotero.org/users/16652950/items/7QNXFQGL"],"itemData":{"id":6239,"type":"article-journal","abstract":"Critical thinking skills are one of the important elements in modern education to prepare students for the challenges of the 21st century. However, traditional approaches that are still dominant in the learning process often fail to encourage the development of these skills optimally. This study aims to explore the effectiveness of collaborative learning in improving students' critical thinking skills. The method used is a literature study with thematic analysis of various relevant academic articles and reports published in the last five years. The results of the study show that collaborative learning provides an interactive environment where students can discuss, share ideas, and provide feedback to each other. These collaborative activities not only improve students' analytical abilities but also strengthen communication and teamwork skills. In addition, the integration of technology in collaborative learning, such as the use of digital platforms for online discussions, further expands the potential for the development of critical thinking skills. Despite facing challenges, such as lack of teacher training and access to technology, the study concludes that collaborative learning is an effective approach in building students' critical skills in a variety of educational contexts.","container-title":"The Journal of Academic Science","DOI":"10.59613/2dx5zr09","ISSN":"2997-7258","issue":"8","language":"en","license":"Copyright (c) 2024 Ventje Jany Kalukar, Titi Riyanti, Marcus Frets. Pessireron, Suhendra  Suhendra, Satria  Yudistira (Author)","page":"1145-1153","source":"thejoas.com","title":"Enhancing Critical Thinking Skills Through Collaborative Learning in Modern Educational Practices","volume":"1","author":[{"family":"Kalukar","given":"Ventje Jany"},{"family":"Krobo","given":"Andrianus"},{"family":"Pessireron","given":"Marcus Frets"},{"family":"Suhendra","given":"Suhendra"},{"family":"Yudistira","given":"Satria"}],"issued":{"date-parts":[["2024",12,12]]}}}],"schema":"https://github.com/citation-style-language/schema/raw/master/csl-citation.json"}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[6]</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p>
    <w:p w14:paraId="55468760" w14:textId="77777777" w:rsidR="00592B4A"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International organi</w:t>
      </w:r>
      <w:commentRangeStart w:id="28"/>
      <w:r w:rsidRPr="00BE4734">
        <w:rPr>
          <w:rFonts w:ascii="Times New Roman" w:eastAsia="Times New Roman" w:hAnsi="Times New Roman" w:cs="Times New Roman"/>
          <w:sz w:val="24"/>
          <w:szCs w:val="24"/>
        </w:rPr>
        <w:t>z</w:t>
      </w:r>
      <w:commentRangeEnd w:id="28"/>
      <w:r w:rsidR="00724A7A">
        <w:rPr>
          <w:rStyle w:val="CommentReference"/>
        </w:rPr>
        <w:commentReference w:id="28"/>
      </w:r>
      <w:r w:rsidRPr="00BE4734">
        <w:rPr>
          <w:rFonts w:ascii="Times New Roman" w:eastAsia="Times New Roman" w:hAnsi="Times New Roman" w:cs="Times New Roman"/>
          <w:sz w:val="24"/>
          <w:szCs w:val="24"/>
        </w:rPr>
        <w:t>ations have made these skills into standards that guide improvements to curricula all across the world. According to the OECD Global Competence Framework, global competence is the ability to think about local, global, and intercultural issues, understand and appreciate different points of view, and act responsibly for the good of everyone and the environment</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{"citationID":"V3WrImkS","properties":{"formattedCitation":"[7]","plainCitation":"[7]","noteIndex":0},"citationItems":[{"id":6241,"uris":["http://zotero.org/users/16652950/items/Y2LCWNXE"],"itemData":{"id":6241,"type":"article-journal","abstract":"Amid the rapid changes that adolescents experience in today's globalized society, global competence has become a core quality that enables them to cope with the demands of life, learning, and work. To understand the potential categorization of global competence and its influencing factors among secondary school students, this study used a questionnaire to survey students in 89 secondary schools in Shanghai, China. Latent profile analysis was used to examine the heterogeneity of the selected students' global competence. Analysis of variance was performed to explore how the latent categories of global competence are associated with gender and foreign language learning. Furthermore, logistic regression analysis was employed to identify their potential profiles' influencing factors. The results demonstrated that secondary school students' global competence can be categorized into one of four potential categories––limited awareness and engagement, emerging awareness and engagement, developed cognition and moderate engagement, and highly developed and globally engaged––with the highest number in the developed cognition and moderate engagement group and the lowest number in the limited awareness and engagement group. Furthermore, the variables of gender, years of foreign language learning, number of languages studied, and satisfaction with the school's foreign language curriculum may serve as potential indicators for categorizing global competence profiles. The study's results can be useful for subsequent theoretical and practical research in this field.","container-title":"Acta Psychologica","DOI":"10.1016/j.actpsy.2025.104850","ISSN":"0001-6918","journalAbbreviation":"Acta Psychologica","page":"104850","source":"ScienceDirect","title":"Foreign language learning's role in the development of global competence: A latent profile analysis","title-short":"Foreign language learning's role in the development of global competence","volume":"254","author":[{"family":"Zhou","given":"Maojie"},{"family":"Wang","given":"Xuemei"},{"family":"Wang","given":"Rongkai"}],"issued":{"date-parts":[["2025",4,1]]}}}],"schema":"https://github.com/citation-style-language/schema/raw/master/csl-citation.json"}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[7]</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The UNESCO Education 2030 Agenda is based on Sustainable Development Goal 4 and emphasizes the importance of digital literacy, civic involvement, and environmental awareness. It also focuses on providing high-quality, inclusive, and fair education and helping people build skills for lifelong learning. The Partnership for 21st Century Learning (P21) combines these four important skills into the "4Cs" model: critical thinking, communication, cooperation, and creativity. These are supported by skills in media, information, and life and work</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{"citationID":"7ojeG0tl","properties":{"formattedCitation":"[8]","plainCitation":"[8]","noteIndex":0},"citationItems":[{"id":6242,"uris":["http://zotero.org/users/16652950/items/YQRTGGE7"],"itemData":{"id":6242,"type":"article-journal","abstract":"Sustainable Development Goals (SDG) are at the forefront of government initiatives across the world. The SDGs are primarily concerned with promoting sustainable growth via ensuring wellbeing, economic growth, environmental legislation, and academic advancement. One of the most prominent goals of the SDG is to provide learners with high-quality education (SDG 4). This paper aims to look at the perspectives of the Sustainable Development Goals improvised to provide quality education. We also analyze the existing state of multiple initiatives implemented by the Indian government in the pathway to achieving objectives of quality education (SDG 4). Additionally, a case study is considered for understanding the association among the observed indicators of SDG4. For this purpose, exploratory data analysis, and numerical association rule mining in combination with QuantMiner genetic algorithm approaches have been applied. The outcomes reveal the presence of a significant degree of association among these parameters pointing out the fact that understanding the impact of one (or more) indicator on other related indicators is critical for achieving SDG 4 goals (or factors). These findings will assist governing bodies in taking preventive measures while modifying existing policies and ensuring the effective enactment of SDG 4 goals, which also will subsequently aid in the resolution of issues related to other SDGs.","container-title":"Education and Information Technologies","DOI":"10.1007/s10639-022-11265-4","ISSN":"1360-2357","issue":"2","journalAbbreviation":"Educ Inf Technol (Dordr)","note":"PMID: 35975216\nPMCID: PMC9371379","page":"2031-2069","source":"PubMed Central","title":"Sustainable Development Goal for Quality Education (SDG 4): A study on SDG 4 to extract the pattern of association among the indicators of SDG 4 employing a genetic algorithm","title-short":"Sustainable Development Goal for Quality Education (SDG 4)","volume":"28","author":[{"family":"Saini","given":"Munish"},{"family":"Sengupta","given":"Eshan"},{"family":"Singh","given":"Madanjit"},{"family":"Singh","given":"Harnoor"},{"family":"Singh","given":"Jaswinder"}],"issued":{"date-parts":[["2023"]]}}}],"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[8]</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4FC6EA86" w14:textId="52760ACE"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br/>
        <w:t xml:space="preserve">The addition of 21st-century skills to schools around the world shows a definite move away from rote memorization and toward competency-based models. Countries </w:t>
      </w:r>
      <w:proofErr w:type="gramStart"/>
      <w:r w:rsidRPr="00BE4734">
        <w:rPr>
          <w:rFonts w:ascii="Times New Roman" w:eastAsia="Times New Roman" w:hAnsi="Times New Roman" w:cs="Times New Roman"/>
          <w:sz w:val="24"/>
          <w:szCs w:val="24"/>
        </w:rPr>
        <w:t>like</w:t>
      </w:r>
      <w:proofErr w:type="gramEnd"/>
      <w:r w:rsidRPr="00BE4734">
        <w:rPr>
          <w:rFonts w:ascii="Times New Roman" w:eastAsia="Times New Roman" w:hAnsi="Times New Roman" w:cs="Times New Roman"/>
          <w:sz w:val="24"/>
          <w:szCs w:val="24"/>
        </w:rPr>
        <w:t xml:space="preserve"> Finland, Singapore, and Canada have changed their curricula to focus on problem-solving across disciplines, project-</w:t>
      </w:r>
      <w:r w:rsidRPr="00BE4734">
        <w:rPr>
          <w:rFonts w:ascii="Times New Roman" w:eastAsia="Times New Roman" w:hAnsi="Times New Roman" w:cs="Times New Roman"/>
          <w:sz w:val="24"/>
          <w:szCs w:val="24"/>
        </w:rPr>
        <w:lastRenderedPageBreak/>
        <w:t xml:space="preserve">based learning, and formative assessment methods that test how well students can use what </w:t>
      </w:r>
      <w:commentRangeStart w:id="29"/>
      <w:r w:rsidRPr="00BE4734">
        <w:rPr>
          <w:rFonts w:ascii="Times New Roman" w:eastAsia="Times New Roman" w:hAnsi="Times New Roman" w:cs="Times New Roman"/>
          <w:sz w:val="24"/>
          <w:szCs w:val="24"/>
        </w:rPr>
        <w:t>they've</w:t>
      </w:r>
      <w:commentRangeEnd w:id="29"/>
      <w:r w:rsidR="00724A7A">
        <w:rPr>
          <w:rStyle w:val="CommentReference"/>
        </w:rPr>
        <w:commentReference w:id="29"/>
      </w:r>
      <w:r w:rsidRPr="00BE4734">
        <w:rPr>
          <w:rFonts w:ascii="Times New Roman" w:eastAsia="Times New Roman" w:hAnsi="Times New Roman" w:cs="Times New Roman"/>
          <w:sz w:val="24"/>
          <w:szCs w:val="24"/>
        </w:rPr>
        <w:t xml:space="preserve"> learned instead of how well they can remember it. Emerging economies like Kenya and Malaysia have used competency-based curricula to be culturally relevant while adjusting to changes in the global economy. As this pattern shows, being able to learn, unlearn, and relearn is just as crucial in a knowledge-driven economy as being an expert in a certain field</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{"citationID":"mfqxbYNX","properties":{"formattedCitation":"[9]","plainCitation":"[9]","noteIndex":0},"citationItems":[{"id":6244,"uris":["http://zotero.org/users/16652950/items/MUEQ7F2B"],"itemData":{"id":6244,"type":"article-journal","abstract":"Integrated or interdisciplinary curriculum (IC) is an effective and relevant way to teach the 21st century competencies and to apply the transdisciplinary skills necessary for solving complex global problems. We review the underpinnings of both traditional and progressive education and past periods of implementation of IC in order to understand its history. Multiple definitions of IC are identified on a continuum. Reasons to dismiss the continuum are also offered. Two periods when IC was implemented in a consistent way in the United States are explored: the progressive era from 1919 to 1955, and the late 1980s and early 1990s. Similarities in each era are identified such as progressive principles of teaching and learning. Differences are also considered in basic assumptions held by curriculum developers of the day with the 1980s and 1990s lacking the 1930s deep social purpose of teaching for a democratic society. The socio-political context is visited to understand the beginnings and endings of these eras. The current educational context is then viewed from a global context. We see a landscape in which accountability and disciplines are counterbalanced by a global redefinition of what’s worth knowing and a shift toward interdisciplinary competencies/skills/capabilities, well-being and teaching the whole child. Indeed, this is happening in places around the planet such as Finland. The ideas are reminiscent of the 1930s progressive movement—a time of experimentation when student interests and needs more than disciplinary content shaped an IC. We propose that the current global conversation can offer conceptual cohesion to encourage and support the implementation of IC and can act as a proxy for the Progressive Education Association that guided practitioners from 1919 to 1955.","container-title":"Frontiers in Education","DOI":"10.3389/feduc.2020.00122","ISSN":"2504-284X","journalAbbreviation":"Front. Educ.","language":"English","note":"publisher: Frontiers","source":"Frontiers","title":"21st Century Competencies in Light of the History of Integrated Curriculum","URL":"https://www.frontiersin.org/journals/education/articles/10.3389/feduc.2020.00122/full","volume":"5","author":[{"family":"Drake","given":"Susan M."},{"family":"Reid","given":"Joanne L."}],"accessed":{"date-parts":[["2025",8,13]]},"issued":{"date-parts":[["2020",7,14]]}}}],"schema":"https://github.com/citation-style-language/schema/raw/master/csl-citation.json"}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[9]</w:t>
      </w:r>
      <w:r w:rsidR="00592B4A">
        <w:rPr>
          <w:rFonts w:ascii="Times New Roman" w:eastAsia="Times New Roman" w:hAnsi="Times New Roman" w:cs="Times New Roman"/>
          <w:sz w:val="24"/>
          <w:szCs w:val="24"/>
        </w:rPr>
        <w:fldChar w:fldCharType="end"/>
      </w:r>
      <w:r w:rsidR="00724A7A">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t>These global standards and trends are both a model and a warning for Nigeria. To make sure that the adoption of 21st-century skills is both important and long-lasting, successful integration needs not only a new curriculum but also a change in the way teachers teach, grade, and prepare for teaching</w:t>
      </w:r>
      <w:r w:rsidR="00592B4A">
        <w:rPr>
          <w:rFonts w:ascii="Times New Roman" w:eastAsia="Times New Roman" w:hAnsi="Times New Roman" w:cs="Times New Roman"/>
          <w:sz w:val="24"/>
          <w:szCs w:val="24"/>
        </w:rPr>
        <w:fldChar w:fldCharType="begin"/>
      </w:r>
      <w:r w:rsidR="00592B4A">
        <w:rPr>
          <w:rFonts w:ascii="Times New Roman" w:eastAsia="Times New Roman" w:hAnsi="Times New Roman" w:cs="Times New Roman"/>
          <w:sz w:val="24"/>
          <w:szCs w:val="24"/>
        </w:rPr>
        <w:instrText xml:space="preserve"> ADDIN ZOTERO_ITEM CSL_CITATION {"citationID":"qOHga8Ft","properties":{"formattedCitation":"[10]","plainCitation":"[10]","noteIndex":0},"citationItems":[{"id":6246,"uris":["http://zotero.org/users/16652950/items/Z729XZD4"],"itemData":{"id":6246,"type":"article-journal","container-title":"Frontiers in Education","DOI":"10.3389/feduc.2025.1562391","ISSN":"2504-284X","journalAbbreviation":"Front. Educ.","language":"English","note":"publisher: Frontiers","page":"1562391","source":"www.frontiersin.org","title":"Digital learning in the 21st century: trends, challenges, and innovations in technology integration","title-short":"Digital learning in the 21st century","volume":"10","author":[{"family":"Zou","given":"Yumei"},{"family":"Kuek","given":"Florence"},{"family":"Feng","given":"Wenqin"},{"family":"Cheng","given":"Xiaoli"}],"issued":{"date-parts":[["2025",3,28]]}}}],"schema":"https://github.com/citation-style-language/schema/raw/master/csl-citation.json"} </w:instrText>
      </w:r>
      <w:r w:rsidR="00592B4A">
        <w:rPr>
          <w:rFonts w:ascii="Times New Roman" w:eastAsia="Times New Roman" w:hAnsi="Times New Roman" w:cs="Times New Roman"/>
          <w:sz w:val="24"/>
          <w:szCs w:val="24"/>
        </w:rPr>
        <w:fldChar w:fldCharType="separate"/>
      </w:r>
      <w:r w:rsidR="00592B4A" w:rsidRPr="00592B4A">
        <w:rPr>
          <w:rFonts w:ascii="Times New Roman" w:hAnsi="Times New Roman" w:cs="Times New Roman"/>
          <w:sz w:val="24"/>
        </w:rPr>
        <w:t>[10]</w:t>
      </w:r>
      <w:r w:rsidR="00592B4A">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07B9C2BC" w14:textId="77777777" w:rsidR="00A04F93" w:rsidRDefault="00E85940" w:rsidP="00A04F93">
      <w:pPr>
        <w:pStyle w:val="Heading2"/>
        <w:rPr>
          <w:rStyle w:val="Strong"/>
          <w:b/>
          <w:bCs/>
        </w:rPr>
      </w:pPr>
      <w:r>
        <w:rPr>
          <w:rStyle w:val="Strong"/>
          <w:b/>
          <w:bCs/>
        </w:rPr>
        <w:t>3. Nigeria’s Basic Education Curriculum: Current State</w:t>
      </w:r>
    </w:p>
    <w:p w14:paraId="1767CB47" w14:textId="37711184" w:rsidR="00E85940" w:rsidRPr="00A04F93" w:rsidRDefault="00E85940" w:rsidP="00A04F93">
      <w:pPr>
        <w:pStyle w:val="Heading2"/>
        <w:rPr>
          <w:b w:val="0"/>
          <w:bCs w:val="0"/>
        </w:rPr>
      </w:pPr>
      <w:r w:rsidRPr="00A04F93">
        <w:rPr>
          <w:rStyle w:val="Strong"/>
          <w:b/>
          <w:bCs/>
        </w:rPr>
        <w:t>Policy Background</w:t>
      </w:r>
    </w:p>
    <w:p w14:paraId="2A0B5D2B" w14:textId="4E09026C"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The Universal Basic Education (UBE) program, which started in 1999, is the basis for Nigeria's basic education system. It provides nine years of free, required schooling, including three years of junior high school and six years of primary school. The Nigerian Educational Research and Development Council (NERDC) has made many changes to the curriculum to make it better and more useful. These changes are based on the National Policy on Education. The 2012 Basic Education Curriculum employed a thematic and cross-disciplinary approach in the lower years to teach entrepreneurial skills and reduce the amount of work students had to do. Even after these changes, there are still gaps in how well the curriculum aligns with 21st century goals and global competency frameworks</w:t>
      </w:r>
      <w:r w:rsidR="00A04F93">
        <w:rPr>
          <w:rFonts w:ascii="Times New Roman" w:eastAsia="Times New Roman" w:hAnsi="Times New Roman" w:cs="Times New Roman"/>
          <w:sz w:val="24"/>
          <w:szCs w:val="24"/>
        </w:rPr>
        <w:fldChar w:fldCharType="begin"/>
      </w:r>
      <w:r w:rsidR="00A04F93">
        <w:rPr>
          <w:rFonts w:ascii="Times New Roman" w:eastAsia="Times New Roman" w:hAnsi="Times New Roman" w:cs="Times New Roman"/>
          <w:sz w:val="24"/>
          <w:szCs w:val="24"/>
        </w:rPr>
        <w:instrText xml:space="preserve"> ADDIN ZOTERO_ITEM CSL_CITATION {"citationID":"NlHGiVTe","properties":{"formattedCitation":"[11]","plainCitation":"[11]","noteIndex":0},"citationItems":[{"id":6248,"uris":["http://zotero.org/users/16652950/items/2P9FSFID"],"itemData":{"id":6248,"type":"article-journal","abstract":"The formation of educational policies is complex by nature. The complexity owes not only to the fact that education is asector where it is difficult to identify the underpinnings and their effects to be foreseen, but also to the diversity of interests thateducation represents for the different actors in society. In the dynamics of educational management, within the large context of aglobal quest for Education for All (EFA), the Nigerian UBE and the Swedish Grundskola programmes have a fundamentalprinciple in common. Compared to other socio-economic sectors, educational development involves more difficult andmultidimensional problems. Faced with financial constraints, governments in many countries are not able to meet the broadsocial demands without adopting restrictive measures within the education sector, while rationalising the use of allocatedresources. Because there are too many actors, variables and the interrelations between these, the result of Education for All(EFA) with the Grundskola was successful perhaps, based on some of the issues discussed while that of the Nigerian UniversalBasic Education (UBE) programme proved abortive.","container-title":"Mediterranean Journal of Social Sciences","ISSN":"2039-2117","issue":"7","language":"en","page":"79","source":"www.richtmann.org","title":"A Comparative Analysis of Universal Basic Education Programme in Nigeria (UBE) and the “Grundskola” Education Programme of Sweden","volume":"2","author":[{"family":"Opara","given":"Jacinta A."}],"issued":{"date-parts":[["2011",12,1]]}}}],"schema":"https://github.com/citation-style-language/schema/raw/master/csl-citation.json"} </w:instrText>
      </w:r>
      <w:r w:rsidR="00A04F93">
        <w:rPr>
          <w:rFonts w:ascii="Times New Roman" w:eastAsia="Times New Roman" w:hAnsi="Times New Roman" w:cs="Times New Roman"/>
          <w:sz w:val="24"/>
          <w:szCs w:val="24"/>
        </w:rPr>
        <w:fldChar w:fldCharType="separate"/>
      </w:r>
      <w:r w:rsidR="00A04F93" w:rsidRPr="00A04F93">
        <w:rPr>
          <w:rFonts w:ascii="Times New Roman" w:hAnsi="Times New Roman" w:cs="Times New Roman"/>
          <w:sz w:val="24"/>
        </w:rPr>
        <w:t>[11]</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The Structure of the Current Curriculum</w:t>
      </w:r>
      <w:r w:rsidRPr="00BE4734">
        <w:rPr>
          <w:rFonts w:ascii="Times New Roman" w:eastAsia="Times New Roman" w:hAnsi="Times New Roman" w:cs="Times New Roman"/>
          <w:b/>
          <w:bCs/>
          <w:sz w:val="24"/>
          <w:szCs w:val="24"/>
        </w:rPr>
        <w:br/>
      </w:r>
    </w:p>
    <w:p w14:paraId="761BFBCF" w14:textId="298BEDA7"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Reading, math, science, social studies, and vocational education are the primary areas of the curriculum, which keeps its discipline-based framework. One of its best features is that it includes business, ICT as a subject, and civic education that teaches people about national values. Learning goals and evaluation criteria </w:t>
      </w:r>
      <w:commentRangeStart w:id="30"/>
      <w:proofErr w:type="gramStart"/>
      <w:r w:rsidRPr="00BE4734">
        <w:rPr>
          <w:rFonts w:ascii="Times New Roman" w:eastAsia="Times New Roman" w:hAnsi="Times New Roman" w:cs="Times New Roman"/>
          <w:sz w:val="24"/>
          <w:szCs w:val="24"/>
        </w:rPr>
        <w:t>don't</w:t>
      </w:r>
      <w:commentRangeEnd w:id="30"/>
      <w:proofErr w:type="gramEnd"/>
      <w:r w:rsidR="00724A7A">
        <w:rPr>
          <w:rStyle w:val="CommentReference"/>
        </w:rPr>
        <w:commentReference w:id="30"/>
      </w:r>
      <w:r w:rsidRPr="00BE4734">
        <w:rPr>
          <w:rFonts w:ascii="Times New Roman" w:eastAsia="Times New Roman" w:hAnsi="Times New Roman" w:cs="Times New Roman"/>
          <w:sz w:val="24"/>
          <w:szCs w:val="24"/>
        </w:rPr>
        <w:t xml:space="preserve"> clearly cover skills like creativity, critical thinking, teamwork, and global awareness. Digital literacy is not very useful for solving problems because it is often taught on its own instead of as part of other subjects. Curricula's content-heavy design also makes it hard to do project-based, hands-on learning that builds higher-order skills</w:t>
      </w:r>
      <w:r w:rsidR="00A04F93">
        <w:rPr>
          <w:rFonts w:ascii="Times New Roman" w:eastAsia="Times New Roman" w:hAnsi="Times New Roman" w:cs="Times New Roman"/>
          <w:sz w:val="24"/>
          <w:szCs w:val="24"/>
        </w:rPr>
        <w:fldChar w:fldCharType="begin"/>
      </w:r>
      <w:r w:rsidR="00A04F93">
        <w:rPr>
          <w:rFonts w:ascii="Times New Roman" w:eastAsia="Times New Roman" w:hAnsi="Times New Roman" w:cs="Times New Roman"/>
          <w:sz w:val="24"/>
          <w:szCs w:val="24"/>
        </w:rPr>
        <w:instrText xml:space="preserve"> ADDIN ZOTERO_ITEM CSL_CITATION {"citationID":"ktdviTnQ","properties":{"formattedCitation":"[12]","plainCitation":"[12]","noteIndex":0},"citationItems":[{"id":6250,"uris":["http://zotero.org/users/16652950/items/ATPJNYV4"],"itemData":{"id":6250,"type":"article-journal","abstract":"One of the fundamental components of the United Nations’ sustainable development 2030 agenda is quality education. It aims to ensure inclusive and equitable quality education for all. Digital technologies have emerged as an essential tool to achieve this goal. These technologies are simple to detect emissions sources, prevent additional damage through improved energy efficiency and lower-carbon alternatives to fossil fuels, and even remove surplus greenhouse gases from the environment. Digital technologies strive to decrease or eliminate pollution and waste while increasing production and efficiency. These technologies have shown a powerful impact on the education system. The recent COVID-19 Pandemic has further institutionalised the applications of digital technologies in education. These digital technologies have made a paradigm shift in the entire education system. It is not only a knowledge provider but also a co-creator of information, a mentor, and an assessor. Technological improvements in education have made life easier for students. Instead of using pen and paper, students nowadays use various software and tools to create presentations and projects. When compared to a stack of notebooks, an iPad is relatively light. When opposed to a weighty book, surfing an E-book is easier. These methods aid in increasing interest in research. This paper is brief about the need for digital technologies in education and discusses major applications and challenges in education.","container-title":"Sustainable Operations and Computers","DOI":"10.1016/j.susoc.2022.05.004","ISSN":"2666-4127","journalAbbreviation":"Sustainable Operations and Computers","page":"275-285","source":"ScienceDirect","title":"Understanding the role of digital technologies in education: A review","title-short":"Understanding the role of digital technologies in education","volume":"3","author":[{"family":"Haleem","given":"Abid"},{"family":"Javaid","given":"Mohd"},{"family":"Qadri","given":"Mohd Asim"},{"family":"Suman","given":"Rajiv"}],"issued":{"date-parts":[["2022",1,1]]}}}],"schema":"https://github.com/citation-style-language/schema/raw/master/csl-citation.json"} </w:instrText>
      </w:r>
      <w:r w:rsidR="00A04F93">
        <w:rPr>
          <w:rFonts w:ascii="Times New Roman" w:eastAsia="Times New Roman" w:hAnsi="Times New Roman" w:cs="Times New Roman"/>
          <w:sz w:val="24"/>
          <w:szCs w:val="24"/>
        </w:rPr>
        <w:fldChar w:fldCharType="separate"/>
      </w:r>
      <w:r w:rsidR="00A04F93" w:rsidRPr="00A04F93">
        <w:rPr>
          <w:rFonts w:ascii="Times New Roman" w:hAnsi="Times New Roman" w:cs="Times New Roman"/>
          <w:sz w:val="24"/>
        </w:rPr>
        <w:t>[12]</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Figure 2 demonstrates how the basic education curriculum in Nigeria focuses on the most important 21st-century skills based on the results of curriculum analysis and policy documents.</w:t>
      </w:r>
    </w:p>
    <w:p w14:paraId="0688205D" w14:textId="4F3958CF" w:rsidR="00E85940" w:rsidRDefault="000320F3" w:rsidP="00E85940">
      <w:pPr>
        <w:pStyle w:val="NormalWeb"/>
      </w:pPr>
      <w:r>
        <w:rPr>
          <w:noProof/>
        </w:rPr>
        <w:lastRenderedPageBreak/>
        <w:drawing>
          <wp:inline distT="0" distB="0" distL="0" distR="0" wp14:anchorId="31E41623" wp14:editId="6D737EE4">
            <wp:extent cx="5800725" cy="5486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2_updated_competency.png"/>
                    <pic:cNvPicPr/>
                  </pic:nvPicPr>
                  <pic:blipFill>
                    <a:blip r:embed="rId8">
                      <a:extLst>
                        <a:ext uri="{28A0092B-C50C-407E-A947-70E740481C1C}">
                          <a14:useLocalDpi xmlns:a14="http://schemas.microsoft.com/office/drawing/2010/main" val="0"/>
                        </a:ext>
                      </a:extLst>
                    </a:blip>
                    <a:stretch>
                      <a:fillRect/>
                    </a:stretch>
                  </pic:blipFill>
                  <pic:spPr>
                    <a:xfrm>
                      <a:off x="0" y="0"/>
                      <a:ext cx="5800737" cy="5486411"/>
                    </a:xfrm>
                    <a:prstGeom prst="rect">
                      <a:avLst/>
                    </a:prstGeom>
                  </pic:spPr>
                </pic:pic>
              </a:graphicData>
            </a:graphic>
          </wp:inline>
        </w:drawing>
      </w:r>
    </w:p>
    <w:p w14:paraId="6D7878DB" w14:textId="77777777" w:rsidR="001F57E6" w:rsidRDefault="00BE4734" w:rsidP="00BE4734">
      <w:pPr>
        <w:spacing w:after="0" w:line="240" w:lineRule="auto"/>
        <w:rPr>
          <w:rFonts w:ascii="Times New Roman" w:eastAsia="Times New Roman" w:hAnsi="Times New Roman" w:cs="Times New Roman"/>
          <w:sz w:val="24"/>
          <w:szCs w:val="24"/>
        </w:rPr>
      </w:pPr>
      <w:commentRangeStart w:id="31"/>
      <w:r w:rsidRPr="00BE4734">
        <w:rPr>
          <w:rFonts w:ascii="Times New Roman" w:eastAsia="Times New Roman" w:hAnsi="Times New Roman" w:cs="Times New Roman"/>
          <w:sz w:val="24"/>
          <w:szCs w:val="24"/>
        </w:rPr>
        <w:t>Figure 1: The current focus of Nigerian Basic Education on skills needed in the 21st century</w:t>
      </w:r>
      <w:r w:rsidR="0040670A">
        <w:rPr>
          <w:rFonts w:ascii="Times New Roman" w:eastAsia="Times New Roman" w:hAnsi="Times New Roman" w:cs="Times New Roman"/>
          <w:sz w:val="24"/>
          <w:szCs w:val="24"/>
        </w:rPr>
        <w:t>.</w:t>
      </w:r>
      <w:commentRangeEnd w:id="31"/>
    </w:p>
    <w:p w14:paraId="20B554BC" w14:textId="2C20D8D0" w:rsidR="00A04F93" w:rsidRDefault="001F57E6" w:rsidP="00BE4734">
      <w:pPr>
        <w:spacing w:after="0" w:line="240" w:lineRule="auto"/>
        <w:rPr>
          <w:rFonts w:ascii="Times New Roman" w:eastAsia="Times New Roman" w:hAnsi="Times New Roman" w:cs="Times New Roman"/>
          <w:sz w:val="24"/>
          <w:szCs w:val="24"/>
        </w:rPr>
      </w:pPr>
      <w:r>
        <w:rPr>
          <w:rStyle w:val="CommentReference"/>
        </w:rPr>
        <w:commentReference w:id="31"/>
      </w:r>
      <w:r w:rsidR="00BE4734" w:rsidRPr="00BE4734">
        <w:rPr>
          <w:rFonts w:ascii="Times New Roman" w:eastAsia="Times New Roman" w:hAnsi="Times New Roman" w:cs="Times New Roman"/>
          <w:sz w:val="24"/>
          <w:szCs w:val="24"/>
        </w:rPr>
        <w:t>The projected percentage of emphasis placed on six essential qualities in Nigeria's basic education curriculum—critical thinking, creativity, teamwork, communication, digital literacy, and global citizenship—</w:t>
      </w:r>
      <w:proofErr w:type="gramStart"/>
      <w:r w:rsidR="00BE4734" w:rsidRPr="00BE4734">
        <w:rPr>
          <w:rFonts w:ascii="Times New Roman" w:eastAsia="Times New Roman" w:hAnsi="Times New Roman" w:cs="Times New Roman"/>
          <w:sz w:val="24"/>
          <w:szCs w:val="24"/>
        </w:rPr>
        <w:t>is shown</w:t>
      </w:r>
      <w:proofErr w:type="gramEnd"/>
      <w:r w:rsidR="00BE4734" w:rsidRPr="00BE4734">
        <w:rPr>
          <w:rFonts w:ascii="Times New Roman" w:eastAsia="Times New Roman" w:hAnsi="Times New Roman" w:cs="Times New Roman"/>
          <w:sz w:val="24"/>
          <w:szCs w:val="24"/>
        </w:rPr>
        <w:t xml:space="preserve"> in this chart. The information is made up of reviews of policies and evaluations of curricular content that are relevant. The distribution focuses on digital literacy as a separate subject, with less emphasis on integrating abilities like creativity, teamwork, and global citizenship. </w:t>
      </w:r>
      <w:r w:rsidR="00BE4734" w:rsidRPr="00BE4734">
        <w:rPr>
          <w:rFonts w:ascii="Times New Roman" w:eastAsia="Times New Roman" w:hAnsi="Times New Roman" w:cs="Times New Roman"/>
          <w:sz w:val="24"/>
          <w:szCs w:val="24"/>
        </w:rPr>
        <w:br/>
      </w:r>
      <w:r w:rsidR="00BE4734" w:rsidRPr="00BE4734">
        <w:rPr>
          <w:rFonts w:ascii="Times New Roman" w:eastAsia="Times New Roman" w:hAnsi="Times New Roman" w:cs="Times New Roman"/>
          <w:sz w:val="24"/>
          <w:szCs w:val="24"/>
        </w:rPr>
        <w:br/>
      </w:r>
      <w:commentRangeStart w:id="32"/>
      <w:r w:rsidR="00BE4734" w:rsidRPr="00BE4734">
        <w:rPr>
          <w:rFonts w:ascii="Times New Roman" w:eastAsia="Times New Roman" w:hAnsi="Times New Roman" w:cs="Times New Roman"/>
          <w:b/>
          <w:bCs/>
          <w:sz w:val="24"/>
          <w:szCs w:val="24"/>
        </w:rPr>
        <w:t>How to Test</w:t>
      </w:r>
      <w:r w:rsidR="00BE4734" w:rsidRPr="00BE4734">
        <w:rPr>
          <w:rFonts w:ascii="Times New Roman" w:eastAsia="Times New Roman" w:hAnsi="Times New Roman" w:cs="Times New Roman"/>
          <w:b/>
          <w:bCs/>
          <w:sz w:val="24"/>
          <w:szCs w:val="24"/>
        </w:rPr>
        <w:br/>
      </w:r>
      <w:commentRangeEnd w:id="32"/>
      <w:r>
        <w:rPr>
          <w:rStyle w:val="CommentReference"/>
        </w:rPr>
        <w:commentReference w:id="32"/>
      </w:r>
      <w:r w:rsidR="00BE4734" w:rsidRPr="00BE4734">
        <w:rPr>
          <w:rFonts w:ascii="Times New Roman" w:eastAsia="Times New Roman" w:hAnsi="Times New Roman" w:cs="Times New Roman"/>
          <w:sz w:val="24"/>
          <w:szCs w:val="24"/>
        </w:rPr>
        <w:t xml:space="preserve">In Nigeria, examinations are still the main way to judge students. The Basic Education Certificate Examination (BECE) and other high-stakes standardized tests are the most important ones. These assessments put more emphasis on remembering facts and knowing how to do things than on showing off talents. There are certain parts of continuous assessment, but they are not always used in the same way, and they often don't have the rigor needed to test abilities like </w:t>
      </w:r>
      <w:r w:rsidR="00BE4734" w:rsidRPr="00BE4734">
        <w:rPr>
          <w:rFonts w:ascii="Times New Roman" w:eastAsia="Times New Roman" w:hAnsi="Times New Roman" w:cs="Times New Roman"/>
          <w:sz w:val="24"/>
          <w:szCs w:val="24"/>
        </w:rPr>
        <w:lastRenderedPageBreak/>
        <w:t>creativity, critical thinking, and teamwork. This focus on summative evaluation makes it hard to use competency-based teaching methods, and it also encourages students to memorize things</w:t>
      </w:r>
      <w:r w:rsidR="00A04F93">
        <w:rPr>
          <w:rFonts w:ascii="Times New Roman" w:eastAsia="Times New Roman" w:hAnsi="Times New Roman" w:cs="Times New Roman"/>
          <w:sz w:val="24"/>
          <w:szCs w:val="24"/>
        </w:rPr>
        <w:fldChar w:fldCharType="begin"/>
      </w:r>
      <w:r w:rsidR="00A04F93">
        <w:rPr>
          <w:rFonts w:ascii="Times New Roman" w:eastAsia="Times New Roman" w:hAnsi="Times New Roman" w:cs="Times New Roman"/>
          <w:sz w:val="24"/>
          <w:szCs w:val="24"/>
        </w:rPr>
        <w:instrText xml:space="preserve"> ADDIN ZOTERO_ITEM CSL_CITATION {"citationID":"VTR4SbXa","properties":{"formattedCitation":"[13]","plainCitation":"[13]","noteIndex":0},"citationItems":[{"id":6252,"uris":["http://zotero.org/users/16652950/items/XRXUUHV7"],"itemData":{"id":6252,"type":"article-journal","abstract":"The study sought to investigate perceived effect of BECE, as a high-stakes test on curriculum implementation in Ghana. Twenty (20) Junior High Schools were selected from the total of fifty (50) Junior High Schools within Kwahu South District, Eastern Region of Ghana, for the study. A descriptive cross-sectional survey design was used. Proportionate stratified sampling procedure was used to select one hundred and twenty (120) teachers. However, the response rate was 91% representing 109 teachers. Data were collected using an adapted Teacher’s High-Stakes Testing Survey (THTS) questionnaire. Statistical procedures used in data analysis were mainly means and standard deviations. The study discovered that BECE as a high-stakes test that drives curriculum implementation in Ghana, places our “national curriculum” and “teaching practices” at stake. It is recommended that GES as a matter of policy provides appropriate in-service training to JHS teachers on the unintended effect of BECE and the need for teachers to engage in broad curriculum implementation to minimise the effect that accompanies it.","container-title":"International Journal of Social Sciences &amp; Educational Studies","DOI":"10.23918/ijsses.v5i3p72","issue":"3","language":"en","license":"Copyright (c) 2024 International Journal of Social Sciences &amp; Educational Studies","page":"72-82","source":"ijsses.tiu.edu.iq","title":"What’s at Stake in High-Stakes Testing in Ghana: Implication for Curriculum Implementation in Basic Schools","title-short":"What’s at Stake in High-Stakes Testing in Ghana","volume":"5","author":[{"family":"Amoako","given":"Isaac"}],"issued":{"date-parts":[["2019",3,1]]}}}],"schema":"https://github.com/citation-style-language/schema/raw/master/csl-citation.json"} </w:instrText>
      </w:r>
      <w:r w:rsidR="00A04F93">
        <w:rPr>
          <w:rFonts w:ascii="Times New Roman" w:eastAsia="Times New Roman" w:hAnsi="Times New Roman" w:cs="Times New Roman"/>
          <w:sz w:val="24"/>
          <w:szCs w:val="24"/>
        </w:rPr>
        <w:fldChar w:fldCharType="separate"/>
      </w:r>
      <w:r w:rsidR="00A04F93" w:rsidRPr="00A04F93">
        <w:rPr>
          <w:rFonts w:ascii="Times New Roman" w:hAnsi="Times New Roman" w:cs="Times New Roman"/>
          <w:sz w:val="24"/>
        </w:rPr>
        <w:t>[13]</w:t>
      </w:r>
      <w:r w:rsidR="00A04F93">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r w:rsidR="00BE4734" w:rsidRPr="00BE4734">
        <w:rPr>
          <w:rFonts w:ascii="Times New Roman" w:eastAsia="Times New Roman" w:hAnsi="Times New Roman" w:cs="Times New Roman"/>
          <w:sz w:val="24"/>
          <w:szCs w:val="24"/>
        </w:rPr>
        <w:br/>
      </w:r>
      <w:commentRangeStart w:id="33"/>
      <w:r w:rsidR="00BE4734" w:rsidRPr="00BE4734">
        <w:rPr>
          <w:rFonts w:ascii="Times New Roman" w:eastAsia="Times New Roman" w:hAnsi="Times New Roman" w:cs="Times New Roman"/>
          <w:b/>
          <w:bCs/>
          <w:sz w:val="24"/>
          <w:szCs w:val="24"/>
        </w:rPr>
        <w:t xml:space="preserve">Preparing teachers and building infrastructure </w:t>
      </w:r>
      <w:r w:rsidR="00BE4734" w:rsidRPr="00BE4734">
        <w:rPr>
          <w:rFonts w:ascii="Times New Roman" w:eastAsia="Times New Roman" w:hAnsi="Times New Roman" w:cs="Times New Roman"/>
          <w:b/>
          <w:bCs/>
          <w:sz w:val="24"/>
          <w:szCs w:val="24"/>
        </w:rPr>
        <w:br/>
      </w:r>
      <w:commentRangeEnd w:id="33"/>
      <w:r>
        <w:rPr>
          <w:rStyle w:val="CommentReference"/>
        </w:rPr>
        <w:commentReference w:id="33"/>
      </w:r>
      <w:proofErr w:type="gramStart"/>
      <w:r w:rsidR="00BE4734" w:rsidRPr="00BE4734">
        <w:rPr>
          <w:rFonts w:ascii="Times New Roman" w:eastAsia="Times New Roman" w:hAnsi="Times New Roman" w:cs="Times New Roman"/>
          <w:sz w:val="24"/>
          <w:szCs w:val="24"/>
        </w:rPr>
        <w:t>To</w:t>
      </w:r>
      <w:proofErr w:type="gramEnd"/>
      <w:r w:rsidR="00BE4734" w:rsidRPr="00BE4734">
        <w:rPr>
          <w:rFonts w:ascii="Times New Roman" w:eastAsia="Times New Roman" w:hAnsi="Times New Roman" w:cs="Times New Roman"/>
          <w:sz w:val="24"/>
          <w:szCs w:val="24"/>
        </w:rPr>
        <w:t xml:space="preserve"> teach modern skills well, teachers need to be well-trained and skilled in active, learner-centered methods. However, professional development for teachers who are already working is not regular, and many Nigerian instructors </w:t>
      </w:r>
      <w:commentRangeStart w:id="34"/>
      <w:proofErr w:type="gramStart"/>
      <w:r w:rsidR="00BE4734" w:rsidRPr="00BE4734">
        <w:rPr>
          <w:rFonts w:ascii="Times New Roman" w:eastAsia="Times New Roman" w:hAnsi="Times New Roman" w:cs="Times New Roman"/>
          <w:sz w:val="24"/>
          <w:szCs w:val="24"/>
        </w:rPr>
        <w:t>don't</w:t>
      </w:r>
      <w:commentRangeEnd w:id="34"/>
      <w:proofErr w:type="gramEnd"/>
      <w:r>
        <w:rPr>
          <w:rStyle w:val="CommentReference"/>
        </w:rPr>
        <w:commentReference w:id="34"/>
      </w:r>
      <w:r w:rsidR="00BE4734" w:rsidRPr="00BE4734">
        <w:rPr>
          <w:rFonts w:ascii="Times New Roman" w:eastAsia="Times New Roman" w:hAnsi="Times New Roman" w:cs="Times New Roman"/>
          <w:sz w:val="24"/>
          <w:szCs w:val="24"/>
        </w:rPr>
        <w:t xml:space="preserve"> learn about competency-based education until they start working. Infrastructure problems including crowded classrooms, bad ICT equipment, and inconsistent energy make it much harder to use technology and participatory methods. Differences between rural and urban places make these problems worse by keeping a lot of students from getting to learning environments that help them improve their skills</w:t>
      </w:r>
      <w:r w:rsidR="00A04F93">
        <w:rPr>
          <w:rFonts w:ascii="Times New Roman" w:eastAsia="Times New Roman" w:hAnsi="Times New Roman" w:cs="Times New Roman"/>
          <w:sz w:val="24"/>
          <w:szCs w:val="24"/>
        </w:rPr>
        <w:fldChar w:fldCharType="begin"/>
      </w:r>
      <w:r w:rsidR="00A04F93">
        <w:rPr>
          <w:rFonts w:ascii="Times New Roman" w:eastAsia="Times New Roman" w:hAnsi="Times New Roman" w:cs="Times New Roman"/>
          <w:sz w:val="24"/>
          <w:szCs w:val="24"/>
        </w:rPr>
        <w:instrText xml:space="preserve"> ADDIN ZOTERO_ITEM CSL_CITATION {"citationID":"U1qm7vdy","properties":{"formattedCitation":"[14]","plainCitation":"[14]","noteIndex":0},"citationItems":[{"id":6254,"uris":["http://zotero.org/users/16652950/items/VAGFHFY3"],"itemData":{"id":6254,"type":"article-journal","abstract":"This qualitative study investigated the professional development needs of lecturers who are transiting to a technology-mediated environment following advancements in technology. This research work was conducted to address the increasing use of digital tools and platforms in education, shed light on the challenges that lecturers face when adopting modern technology in their teaching, and provide insights on how to design compelling professional development opportunities that address their needs. A convenience sample of faculty and administrators in the faculty of education at a university in Uganda was selected, and 89 participants were interviewed using an interview guide. The study found that most lecturers view time as a significant barrier to their professional development, and therefore, they require professional development opportunities that are tailored to their needs, relevant to their application of technology, and delivered by trainers who use principles of adult education and constructivism. The study shows a need for those involved in planning and implementing professional development opportunities to consider the needs of administrators and lecturers, and the principles of adult education and constructivism when designing and implementing professional development opportunities.","container-title":"Education and Information Technologies","DOI":"10.1007/s10639-023-11790-w","ISSN":"1360-2357","journalAbbreviation":"Educ Inf Technol (Dordr)","note":"PMID: 37361776\nPMCID: PMC10106886","page":"1-27","source":"PubMed Central","title":"Modern technology adoption and professional development of lecturers","author":[{"family":"Uzorka","given":"Afam"},{"family":"Namara","given":"Shiellah"},{"family":"Olaniyan","given":"Ademola Olatide"}],"issued":{"date-parts":[["2023",4,17]]}}}],"schema":"https://github.com/citation-style-language/schema/raw/master/csl-citation.json"} </w:instrText>
      </w:r>
      <w:r w:rsidR="00A04F93">
        <w:rPr>
          <w:rFonts w:ascii="Times New Roman" w:eastAsia="Times New Roman" w:hAnsi="Times New Roman" w:cs="Times New Roman"/>
          <w:sz w:val="24"/>
          <w:szCs w:val="24"/>
        </w:rPr>
        <w:fldChar w:fldCharType="separate"/>
      </w:r>
      <w:r w:rsidR="00A04F93" w:rsidRPr="00A04F93">
        <w:rPr>
          <w:rFonts w:ascii="Times New Roman" w:hAnsi="Times New Roman" w:cs="Times New Roman"/>
          <w:sz w:val="24"/>
        </w:rPr>
        <w:t>[14]</w:t>
      </w:r>
      <w:r w:rsidR="00A04F93">
        <w:rPr>
          <w:rFonts w:ascii="Times New Roman" w:eastAsia="Times New Roman" w:hAnsi="Times New Roman" w:cs="Times New Roman"/>
          <w:sz w:val="24"/>
          <w:szCs w:val="24"/>
        </w:rPr>
        <w:fldChar w:fldCharType="end"/>
      </w:r>
      <w:r w:rsidR="00BE4734" w:rsidRPr="00BE4734">
        <w:rPr>
          <w:rFonts w:ascii="Times New Roman" w:eastAsia="Times New Roman" w:hAnsi="Times New Roman" w:cs="Times New Roman"/>
          <w:sz w:val="24"/>
          <w:szCs w:val="24"/>
        </w:rPr>
        <w:t>.</w:t>
      </w:r>
    </w:p>
    <w:p w14:paraId="3766FEC7" w14:textId="146713AD"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t>In conclusion, structural constraints in curriculum design, evaluation, teacher preparation, and infrastructure continue to impede the comprehensive integration of 21st-century skills, notwithstanding modest advancements in the modernization of Nigeria's basic education curriculum. These deficiencies must be corrected so that Nigerian students can meet national and international standards for competence</w:t>
      </w:r>
      <w:r w:rsidR="00A04F93">
        <w:rPr>
          <w:rFonts w:ascii="Times New Roman" w:eastAsia="Times New Roman" w:hAnsi="Times New Roman" w:cs="Times New Roman"/>
          <w:sz w:val="24"/>
          <w:szCs w:val="24"/>
        </w:rPr>
        <w:fldChar w:fldCharType="begin"/>
      </w:r>
      <w:r w:rsidR="00A04F93">
        <w:rPr>
          <w:rFonts w:ascii="Times New Roman" w:eastAsia="Times New Roman" w:hAnsi="Times New Roman" w:cs="Times New Roman"/>
          <w:sz w:val="24"/>
          <w:szCs w:val="24"/>
        </w:rPr>
        <w:instrText xml:space="preserve"> ADDIN ZOTERO_ITEM CSL_CITATION {"citationID":"9LxGw7xh","properties":{"formattedCitation":"[15]","plainCitation":"[15]","noteIndex":0},"citationItems":[{"id":6257,"uris":["http://zotero.org/users/16652950/items/UJQYUC9I"],"itemData":{"id":6257,"type":"article-journal","abstract":"The premise of this study, utilizing content analysis and descriptive qualitative designs, posited that teachers' comprehension of 21st-century/4Cs skills' could define the caliber of educational materials in higher education institutions. The study aimed to ascertain how 21st-century skills were incorporated in teachers' term evaluations and instructional plans, and to explore teachers' understanding of these skills. From 2022 to 2023, this research was carried out at the Faculty of Education in one university in Indonesia. There were 54 documents collected, which included 27 teachers' term evaluations and 27 instructional plans. Four teachers were interviewed to collect information related to their 4Cs competencies’ familiarity, opinions, and the challenges of the 4Cs competencies integration. To evaluate the collected documents, this study utilized the Career Technical Education (CTE) Career Ready Practices checklist, a 21st-Century Skills/4Cs rubric encompassing “Communication,” “Creativity,” “Critical Thinking,” and “Collaboration.” The research indicated that teachers' term evaluations and instructional plans have incorporated 4C skills in the categories of “Not yet reached competency” and “Approaching competency.” The research suggests that teachers' understanding of 4Cs competencies can be initially assessed through their instructional materials, 4Cs competencies, familiarity, positive opinions, and challenges. Teachers must have familiarity with 4Cs competencies in order to provide these skills in their instructional materials/plans and develop teaching with the 4Cs competencies. A multifaceted strategy is needed for the next research, including focused professional development, collaboration among educators, institutional leaders' support, and alignment with larger educational priorities and goals.","container-title":"Heliyon","DOI":"10.1016/j.heliyon.2024.e35148","ISSN":"2405-8440","issue":"15","journalAbbreviation":"Heliyon","note":"PMID: 39170322\nPMCID: PMC11336407","page":"e35148","source":"PubMed Central","title":"The integration of 21st century skills in the curriculum of education","volume":"10","author":[{"family":"Herlinawati","given":"Herlinawati"},{"family":"Marwa","given":"Marwa"},{"family":"Ismail","given":"Noriah"},{"family":"Junaidi","given":""},{"family":"Liza","given":"Ledya Oktavia"},{"family":"Situmorang","given":"Dominikus David Biondi"}],"issued":{"date-parts":[["2024",8,3]]}}}],"schema":"https://github.com/citation-style-language/schema/raw/master/csl-citation.json"} </w:instrText>
      </w:r>
      <w:r w:rsidR="00A04F93">
        <w:rPr>
          <w:rFonts w:ascii="Times New Roman" w:eastAsia="Times New Roman" w:hAnsi="Times New Roman" w:cs="Times New Roman"/>
          <w:sz w:val="24"/>
          <w:szCs w:val="24"/>
        </w:rPr>
        <w:fldChar w:fldCharType="separate"/>
      </w:r>
      <w:r w:rsidR="00A04F93" w:rsidRPr="00A04F93">
        <w:rPr>
          <w:rFonts w:ascii="Times New Roman" w:hAnsi="Times New Roman" w:cs="Times New Roman"/>
          <w:sz w:val="24"/>
        </w:rPr>
        <w:t>[15]</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53011D5A" w14:textId="77777777" w:rsidR="00A04F93" w:rsidRDefault="00E85940" w:rsidP="00A04F93">
      <w:pPr>
        <w:pStyle w:val="Heading2"/>
        <w:rPr>
          <w:rStyle w:val="Strong"/>
          <w:b/>
          <w:bCs/>
        </w:rPr>
      </w:pPr>
      <w:r>
        <w:rPr>
          <w:rStyle w:val="Strong"/>
          <w:b/>
          <w:bCs/>
        </w:rPr>
        <w:t>4. Lessons from Comparative Contexts</w:t>
      </w:r>
    </w:p>
    <w:p w14:paraId="1D7F83FB" w14:textId="7EB3CE5F" w:rsidR="00E85940" w:rsidRPr="00A04F93" w:rsidRDefault="00E85940" w:rsidP="00A04F93">
      <w:pPr>
        <w:pStyle w:val="Heading2"/>
        <w:rPr>
          <w:b w:val="0"/>
          <w:bCs w:val="0"/>
        </w:rPr>
      </w:pPr>
      <w:r w:rsidRPr="00A04F93">
        <w:rPr>
          <w:rStyle w:val="Strong"/>
          <w:b/>
          <w:bCs/>
        </w:rPr>
        <w:t>Case Studies</w:t>
      </w:r>
    </w:p>
    <w:p w14:paraId="58F44334" w14:textId="77777777" w:rsidR="00A04F93"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Nigeria may learn a lot from the big changes to the curriculum that many countries have made to include skills for the 21st century. Kenya's Competency-Based Curriculum (CBC), which was put into effect in 2017, focuses more on building basic abilities like critical thinking, problem-solving, communication, and citizenship than on learning about specific subjects. It puts flexible learning paths, constant assessment, and instruction that is oriented on the learner first. Kenya's experience illustrates that competency-based reform is possible in Africa, even though there are still problems with implementation, especially when it comes to getting teachers ready and having enough resources</w:t>
      </w:r>
      <w:r w:rsidR="00A04F93">
        <w:rPr>
          <w:rFonts w:ascii="Times New Roman" w:eastAsia="Times New Roman" w:hAnsi="Times New Roman" w:cs="Times New Roman"/>
          <w:sz w:val="24"/>
          <w:szCs w:val="24"/>
        </w:rPr>
        <w:fldChar w:fldCharType="begin"/>
      </w:r>
      <w:r w:rsidR="00A04F93">
        <w:rPr>
          <w:rFonts w:ascii="Times New Roman" w:eastAsia="Times New Roman" w:hAnsi="Times New Roman" w:cs="Times New Roman"/>
          <w:sz w:val="24"/>
          <w:szCs w:val="24"/>
        </w:rPr>
        <w:instrText xml:space="preserve"> ADDIN ZOTERO_ITEM CSL_CITATION {"citationID":"fTjuLJE5","properties":{"formattedCitation":"[16]","plainCitation":"[16]","noteIndex":0},"citationItems":[{"id":6260,"uris":["http://zotero.org/users/16652950/items/E5QFL4JA"],"itemData":{"id":6260,"type":"article-journal","abstract":"The new Competence Based Curriculum in the Kenyan education system received support and criticism in equal measures. Being a new system, all aspects of CBC implementation must be interrogated. This study intended to evaluate the determinants of CBC adoption in public primary schools in Starehe District, Nairobi County, Kenya. The specific objectives were to determine the effect of teacher education, learning materials, parental involvement, and school leadership on the implementation of CBC. This research is based on constructivism theory. A descriptive research design was used and the target group included 35 public primary schools in Starehe District. Descriptive and inferential statistics were used to assess quantitative data. Major themes were generated and presented in narratives as a result of the thematic analysis of qualitative data. The study found that the implementation of CBC in public primary schools in Nairobi County was positively impacted by teachers' training in CBC, learning materials, parental involvement, and school leadership style. The positive impact was reflected in increased participation of learners in extra co-curricular activities such as sports, better communication, and collaboration among learners, improvement in learners’ ability to read with comprehension, and learners’ participation in community service activities such as street cleaning. The findings suggested that teachers should receive CBC training more frequently. The teachers would have ample time to comprehend the idea of CBC pedagogy thanks to this. The report also suggests that the government, through the Ministry of Education, set aside sufficient funds to buy all the necessary instructional materials for the students in all public elementary schools.","container-title":"Journal of Public Policy and Governance","DOI":"10.70619/vol3iss1pp39-50","ISSN":"2788-8509","issue":"1","language":"en","license":"Copyright (c) 2023 Venicah Bochere  Mogere, Dr. Patrick  Mbataru","page":"39-50","source":"edinburgjournals.org","title":"Determinants of Competence-Based Curriculum Implementation in Selected Public Primary Schools in Nairobi County, Kenya","volume":"3","author":[{"family":"Mogere","given":"Venicah Bochere"},{"family":"Mbataru","given":"Dr Patrick"}],"issued":{"date-parts":[["2023",5,8]]}}}],"schema":"https://github.com/citation-style-language/schema/raw/master/csl-citation.json"} </w:instrText>
      </w:r>
      <w:r w:rsidR="00A04F93">
        <w:rPr>
          <w:rFonts w:ascii="Times New Roman" w:eastAsia="Times New Roman" w:hAnsi="Times New Roman" w:cs="Times New Roman"/>
          <w:sz w:val="24"/>
          <w:szCs w:val="24"/>
        </w:rPr>
        <w:fldChar w:fldCharType="separate"/>
      </w:r>
      <w:r w:rsidR="00A04F93" w:rsidRPr="00A04F93">
        <w:rPr>
          <w:rFonts w:ascii="Times New Roman" w:hAnsi="Times New Roman" w:cs="Times New Roman"/>
          <w:sz w:val="24"/>
        </w:rPr>
        <w:t>[16]</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7F04428B" w14:textId="77777777" w:rsidR="00A04F93"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t>India, one of Asia's growing economies, has put into effect the National Education Policy (NEP) 2020. This policy encourages flexible, all-encompassing curricula that teach skills like environmental awareness, multilingual communication, and coding from the very first grades. In the same way, Malaysia's Education Blueprint (2013–2025) includes six important student traits, such ethics, leadership, and bilingualism, in every topic instead of considering them as separate subjects. These examples show how national vision documents can change the curriculum over time</w:t>
      </w:r>
      <w:r w:rsidR="00A04F93">
        <w:rPr>
          <w:rFonts w:ascii="Times New Roman" w:eastAsia="Times New Roman" w:hAnsi="Times New Roman" w:cs="Times New Roman"/>
          <w:sz w:val="24"/>
          <w:szCs w:val="24"/>
        </w:rPr>
        <w:fldChar w:fldCharType="begin"/>
      </w:r>
      <w:r w:rsidR="00A04F93">
        <w:rPr>
          <w:rFonts w:ascii="Times New Roman" w:eastAsia="Times New Roman" w:hAnsi="Times New Roman" w:cs="Times New Roman"/>
          <w:sz w:val="24"/>
          <w:szCs w:val="24"/>
        </w:rPr>
        <w:instrText xml:space="preserve"> ADDIN ZOTERO_ITEM CSL_CITATION {"citationID":"80q13dPT","properties":{"formattedCitation":"[17]","plainCitation":"[17]","noteIndex":0},"citationItems":[{"id":6262,"uris":["http://zotero.org/users/16652950/items/HVVWQMJB"],"itemData":{"id":6262,"type":"article-journal","abstract":"The National Education Policy 2020 (NEP 2020) is a comprehensive and ambitious plan to transform India’s education system. However, its implementation has spark...","archive_location":"Sage CA: Los Angeles, CA","container-title":"SAGE Open","DOI":"10.1177/21582440241279367","language":"EN","license":"© The Author(s) 2024","note":"publisher: SAGE PublicationsSage CA: Los Angeles, CA","source":"journals.sagepub.com","title":"Evaluating the Promise and Pitfalls of India’s National Education Policy 2020: Insights from the Perspectives of Students, Teachers, and Experts","title-short":"Evaluating the Promise and Pitfalls of India’s National Education Policy 2020","URL":"https://journals.sagepub.com/doi/10.1177/21582440241279367","author":[{"family":"Kulal","given":"Abhinandan"},{"family":"N","given":"Abhishek"},{"family":"Dinesh","given":"Sahana"},{"family":"Bhat","given":"Deepa C."},{"family":"Girish","given":"Amrutha"}],"accessed":{"date-parts":[["2025",8,13]]},"issued":{"date-parts":[["2024",10,21]]}}}],"schema":"https://github.com/citation-style-language/schema/raw/master/csl-citation.json"} </w:instrText>
      </w:r>
      <w:r w:rsidR="00A04F93">
        <w:rPr>
          <w:rFonts w:ascii="Times New Roman" w:eastAsia="Times New Roman" w:hAnsi="Times New Roman" w:cs="Times New Roman"/>
          <w:sz w:val="24"/>
          <w:szCs w:val="24"/>
        </w:rPr>
        <w:fldChar w:fldCharType="separate"/>
      </w:r>
      <w:r w:rsidR="00A04F93" w:rsidRPr="00A04F93">
        <w:rPr>
          <w:rFonts w:ascii="Times New Roman" w:hAnsi="Times New Roman" w:cs="Times New Roman"/>
          <w:sz w:val="24"/>
        </w:rPr>
        <w:t>[17]</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3421D09D" w14:textId="77777777" w:rsidR="00A04F93" w:rsidRDefault="00BE4734" w:rsidP="00A04F93">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br/>
        <w:t xml:space="preserve">Finland has garnered international reputation in OECD contexts for its high-trust teacher profession that supports innovation in the classroom and its phenomenon-based learning method, which dissolves topic boundaries to address real-world concerns. Singapore, on the other hand, strikes a balance between high academic standards and programs like "Thinking Schools, Learning Nation," which teach critical and creative thinking skills across the curriculum and </w:t>
      </w:r>
      <w:r w:rsidRPr="00BE4734">
        <w:rPr>
          <w:rFonts w:ascii="Times New Roman" w:eastAsia="Times New Roman" w:hAnsi="Times New Roman" w:cs="Times New Roman"/>
          <w:sz w:val="24"/>
          <w:szCs w:val="24"/>
        </w:rPr>
        <w:lastRenderedPageBreak/>
        <w:t>spend a lot of money on teachers' ongoing professional development. Table 1 provides a concise comparative overview of the curricular models, skill integration strategies, and assessment methodologies discussed above, illustrating how select nations have integrated 21st-century abilities into their foundational education systems</w:t>
      </w:r>
      <w:r w:rsidR="00A04F93">
        <w:rPr>
          <w:rFonts w:ascii="Times New Roman" w:eastAsia="Times New Roman" w:hAnsi="Times New Roman" w:cs="Times New Roman"/>
          <w:sz w:val="24"/>
          <w:szCs w:val="24"/>
        </w:rPr>
        <w:fldChar w:fldCharType="begin"/>
      </w:r>
      <w:r w:rsidR="00A04F93">
        <w:rPr>
          <w:rFonts w:ascii="Times New Roman" w:eastAsia="Times New Roman" w:hAnsi="Times New Roman" w:cs="Times New Roman"/>
          <w:sz w:val="24"/>
          <w:szCs w:val="24"/>
        </w:rPr>
        <w:instrText xml:space="preserve"> ADDIN ZOTERO_ITEM CSL_CITATION {"citationID":"skevQ28Z","properties":{"formattedCitation":"[18]","plainCitation":"[18]","noteIndex":0},"citationItems":[{"id":6264,"uris":["http://zotero.org/users/16652950/items/KIBS2GPK"],"itemData":{"id":6264,"type":"article-journal","abstract":"The idea of phenomenon-based learning (PhBL) was introduced into the Finnish core curriculum for basic education in 2014. The Finnish approach has raised interest in many other countries. In Finlan...","archive_location":"world","container-title":"Cogent Education","ISSN":"2331-186X","language":"EN","license":"© 2024 The Author(s). Published by Informa UK Limited, trading as Taylor &amp; Francis Group.","note":"publisher: Cogent","source":"www.tandfonline.com","title":"Phenomenon-based learning in Finland: a critical overview of its historical and philosophical roots","title-short":"Phenomenon-based learning in Finland","URL":"https://www.tandfonline.com/doi/abs/10.1080/2331186X.2024.2309733","author":[{"family":"Schaffar","given":"Birgit"},{"family":"Wolff","given":"Lili-Ann"}],"accessed":{"date-parts":[["2025",8,13]]},"issued":{"date-parts":[["2024",12,31]]}}}],"schema":"https://github.com/citation-style-language/schema/raw/master/csl-citation.json"} </w:instrText>
      </w:r>
      <w:r w:rsidR="00A04F93">
        <w:rPr>
          <w:rFonts w:ascii="Times New Roman" w:eastAsia="Times New Roman" w:hAnsi="Times New Roman" w:cs="Times New Roman"/>
          <w:sz w:val="24"/>
          <w:szCs w:val="24"/>
        </w:rPr>
        <w:fldChar w:fldCharType="separate"/>
      </w:r>
      <w:r w:rsidR="00A04F93" w:rsidRPr="00A04F93">
        <w:rPr>
          <w:rFonts w:ascii="Times New Roman" w:hAnsi="Times New Roman" w:cs="Times New Roman"/>
          <w:sz w:val="24"/>
        </w:rPr>
        <w:t>[18]</w:t>
      </w:r>
      <w:r w:rsidR="00A04F93">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73B3082E" w14:textId="77777777" w:rsidR="00A04F93" w:rsidRDefault="00A04F93" w:rsidP="00A04F93">
      <w:pPr>
        <w:spacing w:after="0" w:line="240" w:lineRule="auto"/>
      </w:pPr>
    </w:p>
    <w:p w14:paraId="33F353F7" w14:textId="77777777" w:rsidR="001F57E6" w:rsidRPr="001F57E6" w:rsidRDefault="000320F3" w:rsidP="00A04F93">
      <w:pPr>
        <w:spacing w:after="0" w:line="240" w:lineRule="auto"/>
        <w:rPr>
          <w:b/>
          <w:highlight w:val="yellow"/>
        </w:rPr>
      </w:pPr>
      <w:commentRangeStart w:id="35"/>
      <w:r w:rsidRPr="001F57E6">
        <w:rPr>
          <w:b/>
          <w:highlight w:val="yellow"/>
        </w:rPr>
        <w:t>Table</w:t>
      </w:r>
      <w:r w:rsidR="0040670A" w:rsidRPr="001F57E6">
        <w:rPr>
          <w:b/>
          <w:highlight w:val="yellow"/>
        </w:rPr>
        <w:t xml:space="preserve"> 1</w:t>
      </w:r>
      <w:r w:rsidRPr="001F57E6">
        <w:rPr>
          <w:b/>
          <w:highlight w:val="yellow"/>
        </w:rPr>
        <w:t xml:space="preserve"> </w:t>
      </w:r>
    </w:p>
    <w:p w14:paraId="008A88DB" w14:textId="18E8E913" w:rsidR="000320F3" w:rsidRPr="001F57E6" w:rsidRDefault="000320F3" w:rsidP="00A04F93">
      <w:pPr>
        <w:spacing w:after="0" w:line="240" w:lineRule="auto"/>
        <w:rPr>
          <w:rFonts w:ascii="Times New Roman" w:eastAsia="Times New Roman" w:hAnsi="Times New Roman" w:cs="Times New Roman"/>
          <w:i/>
          <w:sz w:val="24"/>
          <w:szCs w:val="24"/>
        </w:rPr>
      </w:pPr>
      <w:r w:rsidRPr="001F57E6">
        <w:rPr>
          <w:i/>
          <w:highlight w:val="yellow"/>
        </w:rPr>
        <w:t xml:space="preserve">Comparative Overview of 21st-Century Skills Integration </w:t>
      </w:r>
      <w:proofErr w:type="gramStart"/>
      <w:r w:rsidRPr="001F57E6">
        <w:rPr>
          <w:i/>
          <w:highlight w:val="yellow"/>
        </w:rPr>
        <w:t>Across</w:t>
      </w:r>
      <w:proofErr w:type="gramEnd"/>
      <w:r w:rsidRPr="001F57E6">
        <w:rPr>
          <w:i/>
          <w:highlight w:val="yellow"/>
        </w:rPr>
        <w:t xml:space="preserve"> Selected Countries</w:t>
      </w:r>
      <w:commentRangeEnd w:id="35"/>
      <w:r w:rsidR="001F57E6">
        <w:rPr>
          <w:rStyle w:val="CommentReference"/>
        </w:rPr>
        <w:commentReference w:id="35"/>
      </w:r>
    </w:p>
    <w:tbl>
      <w:tblPr>
        <w:tblStyle w:val="TableGrid"/>
        <w:tblW w:w="0" w:type="auto"/>
        <w:tblLook w:val="04A0" w:firstRow="1" w:lastRow="0" w:firstColumn="1" w:lastColumn="0" w:noHBand="0" w:noVBand="1"/>
      </w:tblPr>
      <w:tblGrid>
        <w:gridCol w:w="2160"/>
        <w:gridCol w:w="2160"/>
        <w:gridCol w:w="2160"/>
        <w:gridCol w:w="2160"/>
      </w:tblGrid>
      <w:tr w:rsidR="000320F3" w14:paraId="756EFB63" w14:textId="77777777" w:rsidTr="00BF3507">
        <w:tc>
          <w:tcPr>
            <w:tcW w:w="2160" w:type="dxa"/>
          </w:tcPr>
          <w:p w14:paraId="5DB0DAFA" w14:textId="77777777" w:rsidR="000320F3" w:rsidRDefault="000320F3" w:rsidP="00BF3507">
            <w:r>
              <w:t>Country</w:t>
            </w:r>
          </w:p>
        </w:tc>
        <w:tc>
          <w:tcPr>
            <w:tcW w:w="2160" w:type="dxa"/>
          </w:tcPr>
          <w:p w14:paraId="64CD831C" w14:textId="77777777" w:rsidR="000320F3" w:rsidRDefault="000320F3" w:rsidP="00BF3507">
            <w:r>
              <w:t>Curriculum Model</w:t>
            </w:r>
          </w:p>
        </w:tc>
        <w:tc>
          <w:tcPr>
            <w:tcW w:w="2160" w:type="dxa"/>
          </w:tcPr>
          <w:p w14:paraId="3B2BA9C1" w14:textId="77777777" w:rsidR="000320F3" w:rsidRDefault="000320F3" w:rsidP="00BF3507">
            <w:r>
              <w:t>21st-Century Skills Integration</w:t>
            </w:r>
          </w:p>
        </w:tc>
        <w:tc>
          <w:tcPr>
            <w:tcW w:w="2160" w:type="dxa"/>
          </w:tcPr>
          <w:p w14:paraId="151C3020" w14:textId="77777777" w:rsidR="000320F3" w:rsidRDefault="000320F3" w:rsidP="00BF3507">
            <w:r>
              <w:t>Assessment Approach</w:t>
            </w:r>
          </w:p>
        </w:tc>
      </w:tr>
      <w:tr w:rsidR="000320F3" w14:paraId="1273A4E2" w14:textId="77777777" w:rsidTr="00BF3507">
        <w:tc>
          <w:tcPr>
            <w:tcW w:w="2160" w:type="dxa"/>
          </w:tcPr>
          <w:p w14:paraId="3DAEF4E8" w14:textId="77777777" w:rsidR="000320F3" w:rsidRDefault="000320F3" w:rsidP="00BF3507">
            <w:r>
              <w:t>Nigeria</w:t>
            </w:r>
          </w:p>
        </w:tc>
        <w:tc>
          <w:tcPr>
            <w:tcW w:w="2160" w:type="dxa"/>
          </w:tcPr>
          <w:p w14:paraId="7BF65081" w14:textId="77777777" w:rsidR="000320F3" w:rsidRDefault="000320F3" w:rsidP="00BF3507">
            <w:r>
              <w:t>Content-heavy, exam-oriented</w:t>
            </w:r>
          </w:p>
        </w:tc>
        <w:tc>
          <w:tcPr>
            <w:tcW w:w="2160" w:type="dxa"/>
          </w:tcPr>
          <w:p w14:paraId="337B581B" w14:textId="77777777" w:rsidR="000320F3" w:rsidRDefault="000320F3" w:rsidP="00BF3507">
            <w:r>
              <w:t>Partial, ICT as standalone subject</w:t>
            </w:r>
          </w:p>
        </w:tc>
        <w:tc>
          <w:tcPr>
            <w:tcW w:w="2160" w:type="dxa"/>
          </w:tcPr>
          <w:p w14:paraId="1DEFC560" w14:textId="128218E6" w:rsidR="000320F3" w:rsidRDefault="000320F3" w:rsidP="00BF3507">
            <w:r>
              <w:t>Standardized exams, limited continuous assessment</w:t>
            </w:r>
            <w:r w:rsidR="00A04F93">
              <w:fldChar w:fldCharType="begin"/>
            </w:r>
            <w:r w:rsidR="00A04F93">
              <w:instrText xml:space="preserve"> ADDIN ZOTERO_ITEM CSL_CITATION {"citationID":"VBCKJ6n9","properties":{"formattedCitation":"[19]","plainCitation":"[19]","noteIndex":0},"citationItems":[{"id":6266,"uris":["http://zotero.org/users/16652950/items/P9NZXE2U"],"itemData":{"id":6266,"type":"article-journal","abstract":"The increasing demand for University education and continuous creation of new faculties to meet admission demand without corresponding increase in infrastructural and human resources to manage University affair bring complexity to the system. In addition, various dimensions of academic corruption are common in tertiary institutions especially in developing countries where Information and Communication Technology (ICT) is not sufficiently and effectively deployed to check mate behavioral excesses of staff and students. This paper therefore presented how ICT connects University leadership and academics (knowledge) for administrative effectiveness of Nigerian University based on secondary data material collected online from related articles, educational forum and data directly gathered from education administrators in Tertiary institution and students’ experiences about education administration. It presents various Education ICT tools used in Information administration and learning. Some common corrupt practises that undermine University administration are highlighted and the combat strategy using a simple Digital Nervous System (DNS) was proposed to showcase a simple but innovative ICT- enabled interaction among the management, the students and the staff for the efficiency, effectiveness and productivity of administration in Nigerian Tertiary Education. This work will serve as an excellent guide to stakeholders, and University administrators towards improved administrative performance. It will foster the foundation for establishing a viable and sustainable ICT inspired learning.Key Words: Administration, Corruption, Digital Nervous System (DNS), Information and Communication Technology (ICT), University","container-title":"AFRREV STECH: An International Journal of Science and Technology","DOI":"10.4314/stech.v8i2.5","ISSN":"2227-5444","issue":"2","language":"en","license":"Copyright (c)","page":"64-85","source":"www.ajol.info","title":"ICT and administrative effectiveness of University in Nigeria: A connect between leadership and knowledge","title-short":"ICT and administrative effectiveness of University in Nigeria","volume":"8","author":[{"family":"Ajah","given":"Ifeyinwa A."},{"family":"Chigozie-Okwum","given":"Chioma C."}],"issued":{"date-parts":[["2019",12,9]]}}}],"schema":"https://github.com/citation-style-language/schema/raw/master/csl-citation.json"} </w:instrText>
            </w:r>
            <w:r w:rsidR="00A04F93">
              <w:fldChar w:fldCharType="separate"/>
            </w:r>
            <w:r w:rsidR="00A04F93" w:rsidRPr="00A04F93">
              <w:rPr>
                <w:rFonts w:ascii="Calibri" w:hAnsi="Calibri" w:cs="Calibri"/>
              </w:rPr>
              <w:t>[19]</w:t>
            </w:r>
            <w:r w:rsidR="00A04F93">
              <w:fldChar w:fldCharType="end"/>
            </w:r>
          </w:p>
        </w:tc>
      </w:tr>
      <w:tr w:rsidR="000320F3" w14:paraId="25515B6A" w14:textId="77777777" w:rsidTr="00BF3507">
        <w:tc>
          <w:tcPr>
            <w:tcW w:w="2160" w:type="dxa"/>
          </w:tcPr>
          <w:p w14:paraId="79891DA2" w14:textId="77777777" w:rsidR="000320F3" w:rsidRDefault="000320F3" w:rsidP="00BF3507">
            <w:r>
              <w:t>Kenya</w:t>
            </w:r>
          </w:p>
        </w:tc>
        <w:tc>
          <w:tcPr>
            <w:tcW w:w="2160" w:type="dxa"/>
          </w:tcPr>
          <w:p w14:paraId="1C42BE26" w14:textId="77777777" w:rsidR="000320F3" w:rsidRDefault="000320F3" w:rsidP="00BF3507">
            <w:r>
              <w:t>Competency-Based Curriculum (CBC)</w:t>
            </w:r>
          </w:p>
        </w:tc>
        <w:tc>
          <w:tcPr>
            <w:tcW w:w="2160" w:type="dxa"/>
          </w:tcPr>
          <w:p w14:paraId="478579AB" w14:textId="77777777" w:rsidR="000320F3" w:rsidRDefault="000320F3" w:rsidP="00BF3507">
            <w:r>
              <w:t>Core competencies across subjects</w:t>
            </w:r>
          </w:p>
        </w:tc>
        <w:tc>
          <w:tcPr>
            <w:tcW w:w="2160" w:type="dxa"/>
          </w:tcPr>
          <w:p w14:paraId="669961FF" w14:textId="0E801C8D" w:rsidR="000320F3" w:rsidRDefault="000320F3" w:rsidP="00BF3507">
            <w:r>
              <w:t>Continuous &amp; formative assessment</w:t>
            </w:r>
            <w:r w:rsidR="00A04F93">
              <w:fldChar w:fldCharType="begin"/>
            </w:r>
            <w:r w:rsidR="00A04F93">
              <w:instrText xml:space="preserve"> ADDIN ZOTERO_ITEM CSL_CITATION {"citationID":"QAcvn8pk","properties":{"formattedCitation":"[20]","plainCitation":"[20]","noteIndex":0},"citationItems":[{"id":6270,"uris":["http://zotero.org/users/16652950/items/8KPZTHGF"],"itemData":{"id":6270,"type":"article-journal","container-title":"Culture, Education, and Future","DOI":"10.70116/2980274199","ISSN":"2980-2741","issue":"1","language":"en","page":"135-158","source":"journals.symphonypub.com","title":"Competency based curriculum in Kenya: Taking stock of implementation process at early years education","title-short":"Competency based curriculum in Kenya","volume":"3","author":[{"family":"Wanyama","given":"Bernard Wasilwa"}],"issued":{"date-parts":[["2025",6,26]]}}}],"schema":"https://github.com/citation-style-language/schema/raw/master/csl-citation.json"} </w:instrText>
            </w:r>
            <w:r w:rsidR="00A04F93">
              <w:fldChar w:fldCharType="separate"/>
            </w:r>
            <w:r w:rsidR="00A04F93" w:rsidRPr="00A04F93">
              <w:rPr>
                <w:rFonts w:ascii="Calibri" w:hAnsi="Calibri" w:cs="Calibri"/>
              </w:rPr>
              <w:t>[20]</w:t>
            </w:r>
            <w:r w:rsidR="00A04F93">
              <w:fldChar w:fldCharType="end"/>
            </w:r>
          </w:p>
        </w:tc>
      </w:tr>
      <w:tr w:rsidR="000320F3" w14:paraId="5BC4A34A" w14:textId="77777777" w:rsidTr="00BF3507">
        <w:tc>
          <w:tcPr>
            <w:tcW w:w="2160" w:type="dxa"/>
          </w:tcPr>
          <w:p w14:paraId="3D2CBAF0" w14:textId="77777777" w:rsidR="000320F3" w:rsidRDefault="000320F3" w:rsidP="00BF3507">
            <w:r>
              <w:t>India</w:t>
            </w:r>
          </w:p>
        </w:tc>
        <w:tc>
          <w:tcPr>
            <w:tcW w:w="2160" w:type="dxa"/>
          </w:tcPr>
          <w:p w14:paraId="780C6353" w14:textId="77777777" w:rsidR="000320F3" w:rsidRDefault="000320F3" w:rsidP="00BF3507">
            <w:r>
              <w:t>Holistic &amp; flexible (NEP 2020)</w:t>
            </w:r>
          </w:p>
        </w:tc>
        <w:tc>
          <w:tcPr>
            <w:tcW w:w="2160" w:type="dxa"/>
          </w:tcPr>
          <w:p w14:paraId="0E4B54B3" w14:textId="77777777" w:rsidR="000320F3" w:rsidRDefault="000320F3" w:rsidP="00BF3507">
            <w:r>
              <w:t>Coding, environmental awareness, multilingualism</w:t>
            </w:r>
          </w:p>
        </w:tc>
        <w:tc>
          <w:tcPr>
            <w:tcW w:w="2160" w:type="dxa"/>
          </w:tcPr>
          <w:p w14:paraId="7AFD2014" w14:textId="6D82129F" w:rsidR="000320F3" w:rsidRDefault="000320F3" w:rsidP="00BF3507">
            <w:r>
              <w:t>Formative + high-stakes exams</w:t>
            </w:r>
            <w:r w:rsidR="00A04F93">
              <w:fldChar w:fldCharType="begin"/>
            </w:r>
            <w:r w:rsidR="00A04F93">
              <w:instrText xml:space="preserve"> ADDIN ZOTERO_ITEM CSL_CITATION {"citationID":"EVB4e1of","properties":{"formattedCitation":"[21]","plainCitation":"[21]","noteIndex":0},"citationItems":[{"id":6271,"uris":["http://zotero.org/users/16652950/items/Z28BUXB4"],"itemData":{"id":6271,"type":"post-weblog","abstract":"India’s education system is at a pivotal moment. With the introduction of the New Education Policy 2024 (NEP 2024), a renewed vision for quality, inclusivity,","container-title":"Proctur Blog","language":"en-US","note":"section: Educational ERP system","title":"New Education Policy 2024","URL":"https://proctur.com/blog/new-education-policy-2024/","accessed":{"date-parts":[["2025",8,13]]},"issued":{"date-parts":[["2025",7,30]]}}}],"schema":"https://github.com/citation-style-language/schema/raw/master/csl-citation.json"} </w:instrText>
            </w:r>
            <w:r w:rsidR="00A04F93">
              <w:fldChar w:fldCharType="separate"/>
            </w:r>
            <w:r w:rsidR="00A04F93" w:rsidRPr="00A04F93">
              <w:rPr>
                <w:rFonts w:ascii="Calibri" w:hAnsi="Calibri" w:cs="Calibri"/>
              </w:rPr>
              <w:t>[21]</w:t>
            </w:r>
            <w:r w:rsidR="00A04F93">
              <w:fldChar w:fldCharType="end"/>
            </w:r>
          </w:p>
        </w:tc>
      </w:tr>
      <w:tr w:rsidR="000320F3" w14:paraId="0CB0BA11" w14:textId="77777777" w:rsidTr="00BF3507">
        <w:tc>
          <w:tcPr>
            <w:tcW w:w="2160" w:type="dxa"/>
          </w:tcPr>
          <w:p w14:paraId="21B929D2" w14:textId="77777777" w:rsidR="000320F3" w:rsidRDefault="000320F3" w:rsidP="00BF3507">
            <w:r>
              <w:t>Malaysia</w:t>
            </w:r>
          </w:p>
        </w:tc>
        <w:tc>
          <w:tcPr>
            <w:tcW w:w="2160" w:type="dxa"/>
          </w:tcPr>
          <w:p w14:paraId="57863242" w14:textId="77777777" w:rsidR="000320F3" w:rsidRDefault="000320F3" w:rsidP="00BF3507">
            <w:r>
              <w:t>Skills-embedded across subjects</w:t>
            </w:r>
          </w:p>
        </w:tc>
        <w:tc>
          <w:tcPr>
            <w:tcW w:w="2160" w:type="dxa"/>
          </w:tcPr>
          <w:p w14:paraId="5242E711" w14:textId="77777777" w:rsidR="000320F3" w:rsidRDefault="000320F3" w:rsidP="00BF3507">
            <w:r>
              <w:t>Leadership, bilingualism, ethics</w:t>
            </w:r>
          </w:p>
        </w:tc>
        <w:tc>
          <w:tcPr>
            <w:tcW w:w="2160" w:type="dxa"/>
          </w:tcPr>
          <w:p w14:paraId="6BA74FE3" w14:textId="2D90527A" w:rsidR="000320F3" w:rsidRDefault="000320F3" w:rsidP="00BF3507">
            <w:r>
              <w:t>Balanced formative &amp; summative</w:t>
            </w:r>
            <w:r w:rsidR="00A43336">
              <w:fldChar w:fldCharType="begin"/>
            </w:r>
            <w:r w:rsidR="00A43336">
              <w:instrText xml:space="preserve"> ADDIN ZOTERO_ITEM CSL_CITATION {"citationID":"iPxCKB84","properties":{"formattedCitation":"[22]","plainCitation":"[22]","noteIndex":0},"citationItems":[{"id":6273,"uris":["http://zotero.org/users/16652950/items/QSBCA5TF"],"itemData":{"id":6273,"type":"webpage","abstract":"PDF | This article discusses the importance of classroom assessment that informs students' learning. Classroom assessment generally practices three... | Find, read and cite all the research you need on ResearchGate","container-title":"ResearchGate","language":"en","title":"(PDF) Implementing Classroom Assessment In Malaysia: An Investigation","title-short":"(PDF) Implementing Classroom Assessment In Malaysia","URL":"https://www.researchgate.net/publication/348355621_Implementing_Classroom_Assessment_In_Malaysia_An_Investigation","accessed":{"date-parts":[["2025",8,13]]},"issued":{"date-parts":[["2025",2,26]]}}}],"schema":"https://github.com/citation-style-language/schema/raw/master/csl-citation.json"} </w:instrText>
            </w:r>
            <w:r w:rsidR="00A43336">
              <w:fldChar w:fldCharType="separate"/>
            </w:r>
            <w:r w:rsidR="00A43336" w:rsidRPr="00A43336">
              <w:rPr>
                <w:rFonts w:ascii="Calibri" w:hAnsi="Calibri" w:cs="Calibri"/>
              </w:rPr>
              <w:t>[22]</w:t>
            </w:r>
            <w:r w:rsidR="00A43336">
              <w:fldChar w:fldCharType="end"/>
            </w:r>
          </w:p>
        </w:tc>
      </w:tr>
      <w:tr w:rsidR="000320F3" w14:paraId="150A7A58" w14:textId="77777777" w:rsidTr="00BF3507">
        <w:tc>
          <w:tcPr>
            <w:tcW w:w="2160" w:type="dxa"/>
          </w:tcPr>
          <w:p w14:paraId="72DEE8BA" w14:textId="77777777" w:rsidR="000320F3" w:rsidRDefault="000320F3" w:rsidP="00BF3507">
            <w:r>
              <w:t>Finland</w:t>
            </w:r>
          </w:p>
        </w:tc>
        <w:tc>
          <w:tcPr>
            <w:tcW w:w="2160" w:type="dxa"/>
          </w:tcPr>
          <w:p w14:paraId="6C931D81" w14:textId="77777777" w:rsidR="000320F3" w:rsidRDefault="000320F3" w:rsidP="00BF3507">
            <w:r>
              <w:t>Phenomenon-based learning</w:t>
            </w:r>
          </w:p>
        </w:tc>
        <w:tc>
          <w:tcPr>
            <w:tcW w:w="2160" w:type="dxa"/>
          </w:tcPr>
          <w:p w14:paraId="62DFDA78" w14:textId="77777777" w:rsidR="000320F3" w:rsidRDefault="000320F3" w:rsidP="00BF3507">
            <w:r>
              <w:t>Interdisciplinary, real-world problems</w:t>
            </w:r>
          </w:p>
        </w:tc>
        <w:tc>
          <w:tcPr>
            <w:tcW w:w="2160" w:type="dxa"/>
          </w:tcPr>
          <w:p w14:paraId="40CD0A21" w14:textId="68264419" w:rsidR="000320F3" w:rsidRDefault="000320F3" w:rsidP="00BF3507">
            <w:r>
              <w:t>Formative, project-based evaluation</w:t>
            </w:r>
            <w:r w:rsidR="00A43336">
              <w:fldChar w:fldCharType="begin"/>
            </w:r>
            <w:r w:rsidR="00A43336">
              <w:instrText xml:space="preserve"> ADDIN ZOTERO_ITEM CSL_CITATION {"citationID":"aDHWm2ht","properties":{"formattedCitation":"[23]","plainCitation":"[23]","noteIndex":0},"citationItems":[{"id":6275,"uris":["http://zotero.org/users/16652950/items/HJY3VGJS"],"itemData":{"id":6275,"type":"article-journal","container-title":"Education 3-13","DOI":"10.1080/03004279.2024.2409246","ISSN":"0300-4279","note":"publisher: Routledge","page":"1-14","source":"tandfonline.com (Atypon)","title":"Multidisciplinary learning assessment in Finland – a phenomenographic approach on teachers’ perceptions","author":[{"family":"Hietamäki","given":"Ulla"},{"family":"Harju-Luukkainen","given":"Heidi"},{"family":"Maunula","given":"Minna"}]}}],"schema":"https://github.com/citation-style-language/schema/raw/master/csl-citation.json"} </w:instrText>
            </w:r>
            <w:r w:rsidR="00A43336">
              <w:fldChar w:fldCharType="separate"/>
            </w:r>
            <w:r w:rsidR="00A43336" w:rsidRPr="00A43336">
              <w:rPr>
                <w:rFonts w:ascii="Calibri" w:hAnsi="Calibri" w:cs="Calibri"/>
              </w:rPr>
              <w:t>[23]</w:t>
            </w:r>
            <w:r w:rsidR="00A43336">
              <w:fldChar w:fldCharType="end"/>
            </w:r>
          </w:p>
        </w:tc>
      </w:tr>
      <w:tr w:rsidR="000320F3" w14:paraId="3578F7A6" w14:textId="77777777" w:rsidTr="00BF3507">
        <w:tc>
          <w:tcPr>
            <w:tcW w:w="2160" w:type="dxa"/>
          </w:tcPr>
          <w:p w14:paraId="4E043A17" w14:textId="77777777" w:rsidR="000320F3" w:rsidRDefault="000320F3" w:rsidP="00BF3507">
            <w:r>
              <w:t>Singapore</w:t>
            </w:r>
          </w:p>
        </w:tc>
        <w:tc>
          <w:tcPr>
            <w:tcW w:w="2160" w:type="dxa"/>
          </w:tcPr>
          <w:p w14:paraId="13356012" w14:textId="77777777" w:rsidR="000320F3" w:rsidRDefault="000320F3" w:rsidP="00BF3507">
            <w:r>
              <w:t>Integrated critical &amp; creative thinking</w:t>
            </w:r>
          </w:p>
        </w:tc>
        <w:tc>
          <w:tcPr>
            <w:tcW w:w="2160" w:type="dxa"/>
          </w:tcPr>
          <w:p w14:paraId="01B3529B" w14:textId="77777777" w:rsidR="000320F3" w:rsidRDefault="000320F3" w:rsidP="00BF3507">
            <w:r>
              <w:t>Critical thinking across curriculum</w:t>
            </w:r>
          </w:p>
        </w:tc>
        <w:tc>
          <w:tcPr>
            <w:tcW w:w="2160" w:type="dxa"/>
          </w:tcPr>
          <w:p w14:paraId="5774C366" w14:textId="73D92014" w:rsidR="000320F3" w:rsidRDefault="000320F3" w:rsidP="00BF3507">
            <w:r>
              <w:t>Performance-based and formative</w:t>
            </w:r>
            <w:r w:rsidR="00A43336">
              <w:fldChar w:fldCharType="begin"/>
            </w:r>
            <w:r w:rsidR="00A43336">
              <w:instrText xml:space="preserve"> ADDIN ZOTERO_ITEM CSL_CITATION {"citationID":"rIfMkfcS","properties":{"formattedCitation":"[24]","plainCitation":"[24]","noteIndex":0},"citationItems":[{"id":6277,"uris":["http://zotero.org/users/16652950/items/C5Z6MN6V"],"itemData":{"id":6277,"type":"article-journal","abstract":"This study aimed to explore the relationship between the critical thinking and creativity skills of university students. The objectives were to explore the level of critical thinking skills, the degree of creativity in students’ written exam papers, the nature of the relationship between these constructs, and gender differences in the manifestation of these skills in writing. A sample of 167 students, including 100 females and 67 males, from a co-educational university participated in the study. Data were collected using self-report measures for critical thinking and creativity from student mid-term exam papers. The assessment tool to assess critical thinking skills, and an adapted version of the TTCT Verbal-A was used to measure the creativity level in the written products. Descriptive statistics, correlation analysis, and comparative analysis were conducted using SPSS (version 29). The findings revealed that both the variables’ scores were moderate in the data. They also indicated that students fall within the moderate level of both the skills. A significant positive correlation was found between critical thinking and creativity, suggesting a meaningful relationship between these constructs. Gender differences were also observed, with females scoring higher in both the constructs compared to males. Furthermore, these insights highlight the need for educational strategies that foster both skills, ensuring a balanced development among students. This study is useful for educators, policymakers, and researchers interested in critical thinking and creativity and also underscores the need for future research and curricula to enhance student learning outcomes.","container-title":"Education Sciences","DOI":"10.3390/educsci15040464","ISSN":"2227-7102","issue":"4","language":"en","license":"http://creativecommons.org/licenses/by/3.0/","note":"publisher: Multidisciplinary Digital Publishing Institute","page":"464","source":"www.mdpi.com","title":"Exploring the Relationship Between Critical Thinking and Creativity in University Students: Gender Differences and the Assessment of Skills","title-short":"Exploring the Relationship Between Critical Thinking and Creativity in University Students","volume":"15","author":[{"family":"Shaber","given":"Nelofir"},{"family":"Shah","given":"Syed Kazim"},{"family":"Imran","given":"Muhammad"},{"family":"Almusharraf","given":"Norah"}],"issued":{"date-parts":[["2025",4]]}}}],"schema":"https://github.com/citation-style-language/schema/raw/master/csl-citation.json"} </w:instrText>
            </w:r>
            <w:r w:rsidR="00A43336">
              <w:fldChar w:fldCharType="separate"/>
            </w:r>
            <w:r w:rsidR="00A43336" w:rsidRPr="00A43336">
              <w:rPr>
                <w:rFonts w:ascii="Calibri" w:hAnsi="Calibri" w:cs="Calibri"/>
              </w:rPr>
              <w:t>[24]</w:t>
            </w:r>
            <w:r w:rsidR="00A43336">
              <w:fldChar w:fldCharType="end"/>
            </w:r>
          </w:p>
        </w:tc>
      </w:tr>
    </w:tbl>
    <w:p w14:paraId="6A1356B2" w14:textId="15BD6881"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Table 1 compares how well a few selected countries have integrated 21st-century capabilities. This table shows how Nigeria, Kenya, India, Malaysia, Finland, and Singapore are integrating 21st-century skills into their schools, including the curriculum frameworks, evaluation techniques, and the level and type of integration. It highlights important differences in how national education systems teach skills like creativity, critical thinking, cooperation, and digital literacy, as well as how well formative and summative evaluation methods function together.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Practices that can be used in different situations</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t>Several behaviors emerge as relevant to Nigeria from these diverse contexts. Curriculum flexibility allows for local adaptation while maintaining national coherence, which makes relevance and responsiveness possible. Integrated skills development teaches 21st-century skills in real-life scenarios by include them in subject education instead of treating them as extras. Ongoing evaluation that focuses on formative feedback and real-world use helps students learn more and gain skills</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{"citationID":"S7eQOh9m","properties":{"formattedCitation":"[25]","plainCitation":"[25]","noteIndex":0},"citationItems":[{"id":6279,"uris":["http://zotero.org/users/16652950/items/LBXZ8AT8"],"itemData":{"id":6279,"type":"webpage","title":"(PDF) EXPLORING CULTURAL INFLUENCES ON CURRICULUM AND EDUCATION REFORMS: LESSONS FOR NIGERIA'S FUTURE","URL":"https://www.researchgate.net/publication/382039272_EXPLORING_CULTURAL_INFLUENCES_ON_CURRICULUM_AND_EDUCATION_REFORMS_LESSONS_FOR_NIGERIA'S_FUTURE","accessed":{"date-parts":[["2025",8,13]]}}}],"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[25]</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 xml:space="preserve">Challenges of Contextual Adaptation </w:t>
      </w:r>
      <w:r w:rsidRPr="00BE4734">
        <w:rPr>
          <w:rFonts w:ascii="Times New Roman" w:eastAsia="Times New Roman" w:hAnsi="Times New Roman" w:cs="Times New Roman"/>
          <w:b/>
          <w:bCs/>
          <w:sz w:val="24"/>
          <w:szCs w:val="24"/>
        </w:rPr>
        <w:br/>
      </w:r>
      <w:commentRangeStart w:id="36"/>
      <w:proofErr w:type="gramStart"/>
      <w:r w:rsidRPr="00BE4734">
        <w:rPr>
          <w:rFonts w:ascii="Times New Roman" w:eastAsia="Times New Roman" w:hAnsi="Times New Roman" w:cs="Times New Roman"/>
          <w:sz w:val="24"/>
          <w:szCs w:val="24"/>
        </w:rPr>
        <w:t>But</w:t>
      </w:r>
      <w:proofErr w:type="gramEnd"/>
      <w:r w:rsidRPr="00BE4734">
        <w:rPr>
          <w:rFonts w:ascii="Times New Roman" w:eastAsia="Times New Roman" w:hAnsi="Times New Roman" w:cs="Times New Roman"/>
          <w:sz w:val="24"/>
          <w:szCs w:val="24"/>
        </w:rPr>
        <w:t xml:space="preserve"> Nigeria's unique social, cultural, and infrastructure conditions must be considered during the adaptation process</w:t>
      </w:r>
      <w:commentRangeEnd w:id="36"/>
      <w:r w:rsidR="001F57E6">
        <w:rPr>
          <w:rStyle w:val="CommentReference"/>
        </w:rPr>
        <w:commentReference w:id="36"/>
      </w:r>
      <w:r w:rsidRPr="00BE4734">
        <w:rPr>
          <w:rFonts w:ascii="Times New Roman" w:eastAsia="Times New Roman" w:hAnsi="Times New Roman" w:cs="Times New Roman"/>
          <w:sz w:val="24"/>
          <w:szCs w:val="24"/>
        </w:rPr>
        <w:t xml:space="preserve">. Some strategies may not be adopted right away because of traditions that stress on exams, unequal access to ICT, and high student-teacher ratios. In Kenya, India, and Finland, policy changes have often been followed by ongoing investment, good teacher training programs, and strong support from stakeholders. These are conditions that Nigeria may need to </w:t>
      </w:r>
      <w:r w:rsidRPr="00BE4734">
        <w:rPr>
          <w:rFonts w:ascii="Times New Roman" w:eastAsia="Times New Roman" w:hAnsi="Times New Roman" w:cs="Times New Roman"/>
          <w:sz w:val="24"/>
          <w:szCs w:val="24"/>
        </w:rPr>
        <w:lastRenderedPageBreak/>
        <w:t>purposefully create. So, the lesson is to choose and change parts that fit with national goals, available resources, and cultural values, rather than copying them exactly</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{"citationID":"9h2u92oI","properties":{"formattedCitation":"[26]","plainCitation":"[26]","noteIndex":0},"citationItems":[{"id":6281,"uris":["http://zotero.org/users/16652950/items/DUQI3KHU"],"itemData":{"id":6281,"type":"article-journal","abstract":"Background\nAcross the globe, gender disparities still exist with regard to equitable access to resources, participation in decision‐making processes, and gender and sexual‐based violence. This is particularly true in fragile and conflict‐affected settings, where women and girls are affected by both fragility and conflict in unique ways. While women have been acknowledged as key actors in peace processes and post‐conflict reconstruction (e.g., through the United Nations Security Council Resolution 1325 and the Women, Peace and Security Agenda) evidence on the effectiveness of gender‐specific and gender‐transformative interventions to improve women's empowerment in fragile and conflict‐affected states and situations (FCAS) remains understudied.\n\nObjectives\nThe purpose of this review was to synthesize the body of evidence around gender‐specific and gender‐transformative interventions aimed at improving women's empowerment in fragile and conflict‐affected settings with high levels of gender inequality. We also aimed to identify barriers and facilitators that could affect the effectiveness of these interventions and to provide implications for policy, practice and research designs within the field of transitional aid.\n\nMethods\nWe searched for and screened over 100,000 experimental and quasi‐experimental studies focused on FCAS at the individual and community levels. We used standard methodological procedures outlined by the Campbell Collaboration for the data collection and analysis, including quantitative and qualitative analyses, and completed the Grading of Recommendations, Assessment, Development and Evaluations (GRADE) methodology to assess the certainty around each body of evidence.\n\nResults\nWe identified 104 impact evaluations (75% randomised controlled trials) assessing the effects of 14 different types of interventions in FCAS. About 28% of included studies were assessed as having a high risk of bias (45% among quasi‐experimental designs). Interventions supporting women's empowerment and gender equality in FCAS produced positive effects on the outcomes related to the primary focus of the intervention. There are no significant negative effects of any included interventions. However, we observe smaller effects on behavioural outcomes further along the causal chain of empowerment. Qualitative syntheses indicated that gender norms and practices are potential barriers to intervention effectiveness, while working with local powers and institutions can facilitate the uptake and legitimacy of interventions.\n\nConclusions\nWe observe gaps of rigorous evidence in certain regions (notably MENA and Latin America) and in interventions specifically targeting women as actors of peacebuilding. Gender norms and practices are important elements to consider in programme design and implementation to maximise potential benefits: focusing on empowerment only might not be enough in the absence of targeting the restrictive gender norms and practices that may undermine intervention effectiveness. Lastly, programme designers and implementation should consider explicitly targeting specific empowerment outcomes, promoting social capital and exchange, and tailoring the intervention components to the desired empowerment‐related outcomes.","container-title":"Campbell Systematic Reviews","DOI":"10.1002/cl2.1214","ISSN":"1891-1803","issue":"1","journalAbbreviation":"Campbell Syst Rev","note":"PMID: 36913184\nPMCID: PMC8904729","page":"e1214","source":"PubMed Central","title":"Strengthening women's empowerment and gender equality in fragile contexts towards peaceful and inclusive societies: A systematic review and meta‐analysis","title-short":"Strengthening women's empowerment and gender equality in fragile contexts towards peaceful and inclusive societies","volume":"18","author":[{"family":"Lwamba","given":"Etienne"},{"family":"Shisler","given":"Shannon"},{"family":"Ridlehoover","given":"Will"},{"family":"Kupfer","given":"Meital"},{"family":"Tshabalala","given":"Nkululeko"},{"family":"Nduku","given":"Promise"},{"family":"Langer","given":"Laurenz"},{"family":"Grant","given":"Sean"},{"family":"Sonnenfeld","given":"Ada"},{"family":"Anda","given":"Daniela"},{"family":"Eyers","given":"John"},{"family":"Snilstveit","given":"Birte"}],"issued":{"date-parts":[["2022",3,8]]}}}],"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[26]</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4E31940E" w14:textId="77777777" w:rsidR="00A43336" w:rsidRDefault="00E85940" w:rsidP="00A43336">
      <w:pPr>
        <w:pStyle w:val="Heading2"/>
        <w:rPr>
          <w:rStyle w:val="Strong"/>
          <w:b/>
          <w:bCs/>
        </w:rPr>
      </w:pPr>
      <w:r>
        <w:rPr>
          <w:rStyle w:val="Strong"/>
          <w:b/>
          <w:bCs/>
        </w:rPr>
        <w:t>5. Barriers to Integration in Nigeria</w:t>
      </w:r>
    </w:p>
    <w:p w14:paraId="45BD5345" w14:textId="359C7497" w:rsidR="00E85940" w:rsidRPr="00A43336" w:rsidRDefault="00E85940" w:rsidP="00A43336">
      <w:pPr>
        <w:pStyle w:val="Heading2"/>
        <w:rPr>
          <w:b w:val="0"/>
          <w:bCs w:val="0"/>
        </w:rPr>
      </w:pPr>
      <w:commentRangeStart w:id="37"/>
      <w:r w:rsidRPr="00A43336">
        <w:rPr>
          <w:rStyle w:val="Strong"/>
          <w:b/>
          <w:bCs/>
        </w:rPr>
        <w:t>Systemic and Policy Barriers</w:t>
      </w:r>
      <w:commentRangeEnd w:id="37"/>
      <w:r w:rsidR="001F57E6">
        <w:rPr>
          <w:rStyle w:val="CommentReference"/>
          <w:rFonts w:asciiTheme="minorHAnsi" w:eastAsiaTheme="minorHAnsi" w:hAnsiTheme="minorHAnsi" w:cstheme="minorBidi"/>
          <w:b w:val="0"/>
          <w:bCs w:val="0"/>
        </w:rPr>
        <w:commentReference w:id="37"/>
      </w:r>
    </w:p>
    <w:p w14:paraId="30FAF1D7" w14:textId="185ACC81"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Even while the government's rhetoric recognizes the need of 21st-century skills, Nigerian curriculum reform is hindered by a persistent gap between policy and reality. Policies like the National Policy on Education spell out what skills should be developed first, but there are still no ways to put these plans into action. UNESCO says that the education sector should get 15–20% of the national budget, but it doesn't, which makes it hard to buy teaching materials, build schools, and educate teachers. Frequent changes to policies that are based more on political changes than on planning based on evidence can hurt stakeholder trust and the continuity of change</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{"citationID":"r6pGwXD7","properties":{"formattedCitation":"[27]","plainCitation":"[27]","noteIndex":0},"citationItems":[{"id":6284,"uris":["http://zotero.org/users/16652950/items/G65DU4VA"],"itemData":{"id":6284,"type":"webpage","title":"The Role of Civic Education","URL":"https://civiced.org/papers/articles_role.html","accessed":{"date-parts":[["2025",8,13]]}}}],"schema":"https://github.com/citation-style-language/schema/raw/master/csl-citation.json"}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[27]</w:t>
      </w:r>
      <w:r w:rsidR="00A43336">
        <w:rPr>
          <w:rFonts w:ascii="Times New Roman" w:eastAsia="Times New Roman" w:hAnsi="Times New Roman" w:cs="Times New Roman"/>
          <w:sz w:val="24"/>
          <w:szCs w:val="24"/>
        </w:rPr>
        <w:fldChar w:fldCharType="end"/>
      </w:r>
      <w:r w:rsidR="004827BA">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commentRangeStart w:id="38"/>
      <w:r w:rsidRPr="00BE4734">
        <w:rPr>
          <w:rFonts w:ascii="Times New Roman" w:eastAsia="Times New Roman" w:hAnsi="Times New Roman" w:cs="Times New Roman"/>
          <w:b/>
          <w:bCs/>
          <w:sz w:val="24"/>
          <w:szCs w:val="24"/>
        </w:rPr>
        <w:t>Barriers to Learning</w:t>
      </w:r>
      <w:commentRangeEnd w:id="38"/>
      <w:r w:rsidR="004827BA">
        <w:rPr>
          <w:rStyle w:val="CommentReference"/>
        </w:rPr>
        <w:commentReference w:id="38"/>
      </w:r>
    </w:p>
    <w:p w14:paraId="6CAAA7AE" w14:textId="77777777" w:rsidR="004827BA"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Even though many teachers </w:t>
      </w:r>
      <w:commentRangeStart w:id="39"/>
      <w:proofErr w:type="gramStart"/>
      <w:r w:rsidRPr="00BE4734">
        <w:rPr>
          <w:rFonts w:ascii="Times New Roman" w:eastAsia="Times New Roman" w:hAnsi="Times New Roman" w:cs="Times New Roman"/>
          <w:sz w:val="24"/>
          <w:szCs w:val="24"/>
        </w:rPr>
        <w:t>don't</w:t>
      </w:r>
      <w:commentRangeEnd w:id="39"/>
      <w:proofErr w:type="gramEnd"/>
      <w:r w:rsidR="004827BA">
        <w:rPr>
          <w:rStyle w:val="CommentReference"/>
        </w:rPr>
        <w:commentReference w:id="39"/>
      </w:r>
      <w:r w:rsidRPr="00BE4734">
        <w:rPr>
          <w:rFonts w:ascii="Times New Roman" w:eastAsia="Times New Roman" w:hAnsi="Times New Roman" w:cs="Times New Roman"/>
          <w:sz w:val="24"/>
          <w:szCs w:val="24"/>
        </w:rPr>
        <w:t xml:space="preserve"> have formal training in competency-based education (CBE) principles, they are very important for the successful integration of modern capabilities. In pre-service teacher education, the transmission of subject knowledge often takes precedence over active learning, problem-solving, and collaborative pedagogy. In-service professional development rarely focuses on integrating 21st-century skills. As a result, teaching methods that center on lectures and tests are still the most common in the classroom, even if the curriculum encourages creativity and critical thinking</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{"citationID":"8Nbdm8lC","properties":{"formattedCitation":"[28]","plainCitation":"[28]","noteIndex":0},"citationItems":[{"id":6286,"uris":["http://zotero.org/users/16652950/items/LZBRLEDE"],"itemData":{"id":6286,"type":"article-journal","abstract":"Background \nWork-integrated learning constitutes a large part of current healthcare education. During the last decades, a competency-based educational (CBE) approach has been introduced to reduce the theory-practice gap and to promote continuous competency development. Different frameworks and models have been developed to support CBE implementation in practice. Although CBE is now well-established, implementation at healthcare workplaces remains complex and controversial. This study aims to explore how students, mentors, and educators from different healthcare disciplines perceive the implementation of CBE at the workplace. The six-step model of Embo et al. (2015) was used as a base: (1) competency selection, (2) formulating learning goals, (3) self-monitoring performance, (4) self-assessing competency development, (5) summative assessment of individual competencies, and (6) summative assessment of global professional competence.\n\nMethods \nThree semi-structured focus group interviews were conducted with (1) five students, (2) five mentors, and (3) five educators. We recruited participants from six different educational programs: audiology, midwifery, nursing (associate degree and bachelor), occupational therapy, or speech therapy. We used thematic analysis combining an inductive and deductive approach.\n\nResults \nAn overview of the predefined competencies was hard to find which complicated CBE implementation and resulted in a lack of consistency between the steps; e.g., the link between the selection of relevant competencies (step 1) and the formulation of learning goals based on these selected competencies (step 2) was absent. Furthermore, the analysis of the data helped identifying seven barriers for CBE implementation: (1) a gap between the educational program and the workplace, (2) a lacking overview of predefined competencies, (3) a major focus on technical competencies at the expense of generic competencies, (4) weak formulation of the learning goals, (5) obstacles related to reflection, (6) low feedback quality, and (7) perceived subjectivity of the assessment approach.\n\nConclusion \nThe present barriers to CBE implementation lead to a fragmentation of current work-integrated learning. In this way, theory beats practice when it comes to CBE implementation as the theory of CBE is not effectively implemented. However, the identification of these barriers might help to find solutions to optimize CBE implementation. Future research seems critical to optimize CBE so that theory can meet practice and the opportunities of CBE optimize healthcare education.\n\nSupplementary Information\nThe online version contains supplementary material available at 10.1186/s12909-023-04446-3.","container-title":"BMC Medical Education","DOI":"10.1186/s12909-023-04446-3","ISSN":"1472-6920","journalAbbreviation":"BMC Med Educ","note":"PMID: 37386406\nPMCID: PMC10308607","page":"484","source":"PubMed Central","title":"When theory beats practice: the implementation of competency-based education at healthcare workplaces","title-short":"When theory beats practice","volume":"23","author":[{"family":"Janssens","given":"Oona"},{"family":"Embo","given":"Mieke"},{"family":"Valcke","given":"Martin"},{"family":"Haerens","given":"Leen"}],"issued":{"date-parts":[["2023",6,29]]}}}],"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[28]</w:t>
      </w:r>
      <w:r w:rsidR="00A43336">
        <w:rPr>
          <w:rFonts w:ascii="Times New Roman" w:eastAsia="Times New Roman" w:hAnsi="Times New Roman" w:cs="Times New Roman"/>
          <w:sz w:val="24"/>
          <w:szCs w:val="24"/>
        </w:rPr>
        <w:fldChar w:fldCharType="end"/>
      </w:r>
      <w:r w:rsidR="004827BA">
        <w:rPr>
          <w:rFonts w:ascii="Times New Roman" w:eastAsia="Times New Roman" w:hAnsi="Times New Roman" w:cs="Times New Roman"/>
          <w:sz w:val="24"/>
          <w:szCs w:val="24"/>
        </w:rPr>
        <w:t xml:space="preserve">. </w:t>
      </w:r>
    </w:p>
    <w:p w14:paraId="31BD0A97" w14:textId="1F1E6E04" w:rsidR="00BE4734" w:rsidRDefault="004827BA" w:rsidP="00BE473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Technological </w:t>
      </w:r>
      <w:commentRangeStart w:id="40"/>
      <w:r>
        <w:rPr>
          <w:rFonts w:ascii="Times New Roman" w:eastAsia="Times New Roman" w:hAnsi="Times New Roman" w:cs="Times New Roman"/>
          <w:b/>
          <w:bCs/>
          <w:sz w:val="24"/>
          <w:szCs w:val="24"/>
        </w:rPr>
        <w:t xml:space="preserve">Obstacles </w:t>
      </w:r>
      <w:commentRangeEnd w:id="40"/>
      <w:r>
        <w:rPr>
          <w:rStyle w:val="CommentReference"/>
        </w:rPr>
        <w:commentReference w:id="40"/>
      </w:r>
    </w:p>
    <w:p w14:paraId="4BCB0ECE" w14:textId="19348A45"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The digital divide makes it even harder to learn new skills. Many schools, especially those in distant areas, don't have adequate computers, internet access, or reliable electricity. Teachers may not know how to use technology in interesting lessons or feel comfortable doing so when it is available. This technology gap limits students' chances to learn digital literacy, online collaboration, and media production abilities, which are becoming more and more important for global competitiveness</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{"citationID":"kx5weAXc","properties":{"formattedCitation":"[29]","plainCitation":"[29]","noteIndex":0},"citationItems":[{"id":6289,"uris":["http://zotero.org/users/16652950/items/KU6UJLSA"],"itemData":{"id":6289,"type":"article-journal","abstract":"This quantitative study aimed to better understand how teachers implement technology in a variety of teaching modalities to enhance content delivery and student engagement. More specifically, it aimed to investigate the digital divide of technology usage based upon school setting and usage frequency. Responses were collected using a random sampling method of full-time K-12 public school teachers in a Mid-Atlantic state. The instrument was developed from prior research and examined educator usage frequency of instructional technology in urban, rural, and suburban schools dependent upon teaching modality. A total of 423 participants responded to the researcher-created questionnaire and yielded practical implementations for further study. The findings uncovered significant differences in usage frequency of rural, urban, and suburban teachers utilizing technology dependent upon modality (ex. cooperative learning, small group instruction, student-led research, problem-solving). Results of this investigation contribute to the field through an attempt to foster a discussion of disparities between the integration of technology and school setting. The purpose of this discussion is to identify gaps in the digital divide, apply frameworks geared toward equity, and create professional development opportunities for all educators to differentiate technology usage across multiple teaching modalities.","container-title":"Education and Information Technologies","DOI":"10.1007/s10639-022-11488-5","ISSN":"1360-2357","journalAbbreviation":"Educ Inf Technol (Dordr)","note":"PMID: 36714442\nPMCID: PMC9867994","page":"1-19","source":"PubMed Central","title":"Digital divide and teaching modality: It’s role in technology and instructional strategies","title-short":"Digital divide and teaching modality","author":[{"family":"Kormos","given":"Erik"},{"family":"Wisdom","given":"Kendra"}],"issued":{"date-parts":[["2023",1,19]]}}}],"schema":"https://github.com/citation-style-language/schema/raw/master/csl-citation.json"}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[29]</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 xml:space="preserve">Social and Cultural Factors </w:t>
      </w:r>
      <w:r w:rsidRPr="00BE4734">
        <w:rPr>
          <w:rFonts w:ascii="Times New Roman" w:eastAsia="Times New Roman" w:hAnsi="Times New Roman" w:cs="Times New Roman"/>
          <w:b/>
          <w:bCs/>
          <w:sz w:val="24"/>
          <w:szCs w:val="24"/>
        </w:rPr>
        <w:br/>
      </w:r>
    </w:p>
    <w:p w14:paraId="61E5014A" w14:textId="557CB6A8"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When changing the curriculum, it's also important to think about Nigeria's many languages and cultures. New teaching methods may not work as effectively in some places because of the language, the community's goals, and the local beliefs. Parents and teachers may sometimes appreciate less concrete skills like creativity or teamwork more than more traditional measures of academic success, like high exam scores. Social inequities, like differences in educational chances for boys and girls, make skill development even less fair. Girls in rural areas are often the most affected</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{"citationID":"eWpotIm5","properties":{"formattedCitation":"[30]","plainCitation":"[30]","noteIndex":0},"citationItems":[{"id":6297,"uris":["http://zotero.org/users/16652950/items/8IL6VQYZ"],"itemData":{"id":6297,"type":"article-journal","abstract":"Research on play tends to consider its relevance as universal: all children play. Whilst research is increasingly pointing to the benefits of play to children’s development and learning, there is also increasing recognition that this research is predominantly carried out in Western contexts, and that its conclusions may not carry over to other contexts. In this paper, we explore the implications of investigating the concept of learning through play to Global Majority contexts, where both play and the contribution of play to learning may be understood differently, and in some cases may not be appropriate. Play is not equally valued in all cultures and around the world children have varying amounts of time dedicated to free play and schooling, as well as very different educational experiences. Globally, there have been increasing efforts to recognise and deal with some of these tensions. Drawing on research carried out at PEDAL, we highlight examples of how learning through play may be understood and enacted in four Global Majority contexts (Nigeria, Mexico, South Africa and Kenya) and some of the questions that have arisen through our work. We use these examples to reflect on our role as play researchers.","container-title":"International Journal of Play","DOI":"10.1080/21594937.2024.2388952","ISSN":"2159-4937","issue":"3","note":"publisher: Routledge\n_eprint: https://doi.org/10.1080/21594937.2024.2388952","page":"228-253","source":"Taylor and Francis+NEJM","title":"Learning through play in Global Majority countries: reflections from the PEDAL centre on understanding and adapting the concept in four different contexts","title-short":"Learning through play in Global Majority countries","volume":"13","author":[{"family":"Courtois","given":"Soizic Le"},{"family":"Ezeugwu","given":"Chika R."},{"family":"Fajardo-Tovar","given":"Dina D."},{"family":"Nowack","given":"Stephanie K."},{"family":"Okullo","given":"Domnick O."},{"family":"Bayley","given":"Stephen"},{"family":"Baker","given":"Sara"},{"family":"Ramchandani","given":"Paul"}],"issued":{"date-parts":[["2024",7,2]]}}}],"schema":"https://github.com/citation-style-language/schema/raw/master/csl-citation.json"}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[30]</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t>Figure 1 displays a readiness profile encompassing five essential indicators derived from literature and policy study, illustrating the comparative strengths and shortcomings of Nigeria's preparedness for the integration of 21st-century capabilities. All things considered, these problems reveal that sociocultural, pedagogical, technological, and structural factors all work together in a multifaceted way. To create a conducive environment for the integration of 21st-</w:t>
      </w:r>
      <w:r w:rsidRPr="00BE4734">
        <w:rPr>
          <w:rFonts w:ascii="Times New Roman" w:eastAsia="Times New Roman" w:hAnsi="Times New Roman" w:cs="Times New Roman"/>
          <w:sz w:val="24"/>
          <w:szCs w:val="24"/>
        </w:rPr>
        <w:lastRenderedPageBreak/>
        <w:t>century skills, we need constant financing, stakeholder involvement, and policy alignment in addition to curriculum creation.</w:t>
      </w:r>
    </w:p>
    <w:p w14:paraId="3DF8980A" w14:textId="5982F97C" w:rsidR="000320F3" w:rsidRDefault="000320F3" w:rsidP="00E85940">
      <w:pPr>
        <w:pStyle w:val="NormalWeb"/>
      </w:pPr>
      <w:r>
        <w:rPr>
          <w:noProof/>
        </w:rPr>
        <w:drawing>
          <wp:inline distT="0" distB="0" distL="0" distR="0" wp14:anchorId="3C2EC3C8" wp14:editId="36B504B9">
            <wp:extent cx="5943600" cy="42456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1_readiness.png"/>
                    <pic:cNvPicPr/>
                  </pic:nvPicPr>
                  <pic:blipFill>
                    <a:blip r:embed="rId9">
                      <a:extLst>
                        <a:ext uri="{28A0092B-C50C-407E-A947-70E740481C1C}">
                          <a14:useLocalDpi xmlns:a14="http://schemas.microsoft.com/office/drawing/2010/main" val="0"/>
                        </a:ext>
                      </a:extLst>
                    </a:blip>
                    <a:stretch>
                      <a:fillRect/>
                    </a:stretch>
                  </pic:blipFill>
                  <pic:spPr>
                    <a:xfrm>
                      <a:off x="0" y="0"/>
                      <a:ext cx="5943600" cy="4245610"/>
                    </a:xfrm>
                    <a:prstGeom prst="rect">
                      <a:avLst/>
                    </a:prstGeom>
                  </pic:spPr>
                </pic:pic>
              </a:graphicData>
            </a:graphic>
          </wp:inline>
        </w:drawing>
      </w:r>
    </w:p>
    <w:p w14:paraId="745890CC" w14:textId="77777777" w:rsidR="0040670A" w:rsidRDefault="000320F3" w:rsidP="000320F3">
      <w:pPr>
        <w:pStyle w:val="NormalWeb"/>
      </w:pPr>
      <w:r>
        <w:rPr>
          <w:rStyle w:val="Strong"/>
        </w:rPr>
        <w:t>Figure 2: Readiness for 21st-Century Skills Integration in Nigeria</w:t>
      </w:r>
      <w:r>
        <w:t xml:space="preserve">. </w:t>
      </w:r>
    </w:p>
    <w:p w14:paraId="7B26043C" w14:textId="0E768853" w:rsidR="000320F3" w:rsidRDefault="000320F3" w:rsidP="000320F3">
      <w:pPr>
        <w:pStyle w:val="NormalWeb"/>
      </w:pPr>
      <w:r>
        <w:rPr>
          <w:rStyle w:val="Emphasis"/>
          <w:rFonts w:eastAsiaTheme="majorEastAsia"/>
        </w:rPr>
        <w:t>This figure presents a comparative rating (on a 0–10 scale) of Nigeria’s readiness across five dimensions: policy commitment, teacher training, ICT infrastructure, curriculum flexibility, and assessment reform. The scores are based on synthesized findings from national policy documents, comparative education reports, and relevant scholarly studies. Higher scores indicate stronger readiness, while lower scores highlight priority areas for intervention.</w:t>
      </w:r>
    </w:p>
    <w:p w14:paraId="10A9E071" w14:textId="77777777" w:rsidR="000320F3" w:rsidRDefault="000320F3" w:rsidP="00E85940">
      <w:pPr>
        <w:pStyle w:val="NormalWeb"/>
      </w:pPr>
    </w:p>
    <w:p w14:paraId="1B308DE6" w14:textId="77777777" w:rsidR="00A43336" w:rsidRDefault="00A43336" w:rsidP="00E85940">
      <w:pPr>
        <w:pStyle w:val="Heading2"/>
        <w:rPr>
          <w:rStyle w:val="Strong"/>
          <w:b/>
          <w:bCs/>
        </w:rPr>
      </w:pPr>
    </w:p>
    <w:p w14:paraId="60517280" w14:textId="77777777" w:rsidR="00A43336" w:rsidRDefault="00A43336" w:rsidP="00E85940">
      <w:pPr>
        <w:pStyle w:val="Heading2"/>
        <w:rPr>
          <w:rStyle w:val="Strong"/>
          <w:b/>
          <w:bCs/>
        </w:rPr>
      </w:pPr>
    </w:p>
    <w:p w14:paraId="522CBB92" w14:textId="77777777" w:rsidR="00A43336" w:rsidRDefault="00E85940" w:rsidP="00A43336">
      <w:pPr>
        <w:pStyle w:val="Heading2"/>
        <w:rPr>
          <w:rStyle w:val="Strong"/>
          <w:b/>
          <w:bCs/>
        </w:rPr>
      </w:pPr>
      <w:r>
        <w:rPr>
          <w:rStyle w:val="Strong"/>
          <w:b/>
          <w:bCs/>
        </w:rPr>
        <w:t>6. Proposed Framework for Integration</w:t>
      </w:r>
    </w:p>
    <w:p w14:paraId="5B19805F" w14:textId="05B0294A" w:rsidR="00E85940" w:rsidRDefault="00E85940" w:rsidP="00A43336">
      <w:pPr>
        <w:pStyle w:val="Heading2"/>
      </w:pPr>
      <w:commentRangeStart w:id="41"/>
      <w:r>
        <w:rPr>
          <w:rStyle w:val="Strong"/>
        </w:rPr>
        <w:lastRenderedPageBreak/>
        <w:t>Core Competencies for Nigeria</w:t>
      </w:r>
      <w:commentRangeEnd w:id="41"/>
      <w:r w:rsidR="004827BA">
        <w:rPr>
          <w:rStyle w:val="CommentReference"/>
          <w:rFonts w:asciiTheme="minorHAnsi" w:eastAsiaTheme="minorHAnsi" w:hAnsiTheme="minorHAnsi" w:cstheme="minorBidi"/>
          <w:b w:val="0"/>
          <w:bCs w:val="0"/>
        </w:rPr>
        <w:commentReference w:id="41"/>
      </w:r>
    </w:p>
    <w:p w14:paraId="1309AF0E" w14:textId="1A0C1479" w:rsidR="00BE4734" w:rsidRDefault="00BE4734" w:rsidP="00BE4734">
      <w:pPr>
        <w:spacing w:after="0" w:line="240" w:lineRule="auto"/>
        <w:rPr>
          <w:rFonts w:ascii="Times New Roman" w:eastAsia="Times New Roman" w:hAnsi="Times New Roman" w:cs="Times New Roman"/>
          <w:b/>
          <w:bCs/>
          <w:sz w:val="24"/>
          <w:szCs w:val="24"/>
        </w:rPr>
      </w:pPr>
      <w:r w:rsidRPr="00BE4734">
        <w:rPr>
          <w:rFonts w:ascii="Times New Roman" w:eastAsia="Times New Roman" w:hAnsi="Times New Roman" w:cs="Times New Roman"/>
          <w:sz w:val="24"/>
          <w:szCs w:val="24"/>
        </w:rPr>
        <w:t>Nigeria's incorporation of 21st-century skills should prioritize competencies that directly advance national development objectives, considering both domestic priorities and global standards. These include the following: critical thinking for efficient problem-solving in entrepreneurship and governance; creativity and innovation to promote economic diversification; digital literacy to improve participation in the global knowledge economy; cooperation and communication to fortify social cohesion in a multiethnic setting; and global citizenship to promote responsible engagement with transnational issues like public health and climate change</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{"citationID":"tOdSNccP","properties":{"formattedCitation":"[31]","plainCitation":"[31]","noteIndex":0},"citationItems":[{"id":6299,"uris":["http://zotero.org/users/16652950/items/2VSLT4AN"],"itemData":{"id":6299,"type":"article-journal","abstract":"This systematic review underscores the significance of learning communities as fertile grounds for skill development across diverse contexts. Furthermore, it reviews and theoretically evaluates several commonly used strategies, methods, and supports for developing skills within learning communities by synthesizing the existing literature. We followed the procedure outlined by the Preferred Reporting Items for Systematic Review and Meta-Analyses (PRISMA) to ensure a transparent, comprehensive, and standardized approach to conducting and reporting our systematic review, thereby enhancing the review’s credibility and reproducibility. Through an extensive analysis of the literature, we identified eleven strategies, methods, and supports (application of collaborative projects, mentorship programs, workshops and training sessions, online learning platforms, peer learning and feedback, problem-based learning, cross-collaboration initiatives, leadership development programs, inclusive learning environments, gamification and simulations, and social media and networking) that play pivotal roles in nurturing different types of skills. We describe each identified solution, its advantages and challenges, the types of skills targeted for development, and their overall contribution to skill enhancement. The findings emphasize the importance of fostering collaborative and interactive environments within learning communities to facilitate collective skill development and personal growth. Our systematic review faced some challenges (e.g., heterogeneity of studies and lack of longitudinal data) due to the overwhelming diversity of the literature on skill development across various disciplines and contexts. Overall, by synthesizing existing knowledge and identifying gaps in the literature, this review serves as a foundation for advancing theory, informing practice, and promoting continual improvement in skill development within learning communities.","container-title":"Administrative Sciences","DOI":"10.3390/admsci14090231","ISSN":"2076-3387","issue":"9","language":"en","license":"http://creativecommons.org/licenses/by/3.0/","note":"publisher: Multidisciplinary Digital Publishing Institute","page":"231","source":"www.mdpi.com","title":"Strategies, Methods, and Supports for Developing Skills within Learning Communities: A Systematic Review of the Literature","title-short":"Strategies, Methods, and Supports for Developing Skills within Learning Communities","volume":"14","author":[{"family":"Zamiri","given":"Majid"},{"family":"Esmaeili","given":"Ali"}],"issued":{"date-parts":[["2024",9]]}}}],"schema":"https://github.com/citation-style-language/schema/raw/master/csl-citation.json"}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[31]</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p>
    <w:p w14:paraId="735B1A6F" w14:textId="482754A5"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b/>
          <w:bCs/>
          <w:sz w:val="24"/>
          <w:szCs w:val="24"/>
        </w:rPr>
        <w:t>Principles for Redesigning the Curriculum</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t>The curriculum should be changed to include more than one subject so that students can use what they learn in real life circumstances. The major thing to focus on should be project-based learning (PBL), which lets students come up with, carry out, and present ideas that blend what they know with how things work in the real world. It is important that the curriculum is culturally relevant. This means that it should include global perspectives while also showing Nigeria's history, values, and current events. This two-pronged strategy guarantees that students will keep their cultural identity while also learning the skills they need to be involved in the world</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{"citationID":"FIbQGrzE","properties":{"formattedCitation":"[32]","plainCitation":"[32]","noteIndex":0},"citationItems":[{"id":6303,"uris":["http://zotero.org/users/16652950/items/NPKM6XT2"],"itemData":{"id":6303,"type":"article-journal","abstract":"With the educational reform for skills in the 21st century, a large number of scholars have explored project-based learning. However, whether project-based learning can effectively improve the learning effect of students has not yet reached a unified conclusion. This study uses a meta-analysis method to conduct an in-depth quantitative analysis of 66 experimental or quasi-experimental research papers based on project-based learning over the past 20 years. The results of the study showed that compared with the traditional teaching model, project-based learning significantly improved students' learning outcomes and positively contributed to academic achievement, affective attitudes, and thinking skills, especially academic achievement. The results of the moderating effects test indicated that the effectiveness of project-based learning and teaching was influenced by different moderating variables, including country region, subject area, type of course, academic period, group size, class size, and experimental period.: (1) from the perspective of country geography, the effects of project-based learning in Asia, especially in Southeast Asia, were significantly better than those in Western Europe and North America; (2) in terms of curriculum, project-based learning promotes student learning effects more significantly in engineering and technology subjects, and is better applied in laboratory classes than in theory classes; (3) from a pedagogical point of view, project-based learning is more suitable for small group teaching, in which the group size is 4-5 people teaching the best results; (4) in view of the experimental period, 9-18 weeks is more appropriate and has more obvious advantages for application at the high school level.","container-title":"Frontiers in Psychology","DOI":"10.3389/fpsyg.2023.1202728","ISSN":"1664-1078","journalAbbreviation":"Front. Psychol.","language":"English","note":"publisher: Frontiers","source":"Frontiers","title":"A study of the impact of project-based learning on student learning effects: a meta-analysis study","title-short":"A study of the impact of project-based learning on student learning effects","URL":"https://www.frontiersin.org/journals/psychology/articles/10.3389/fpsyg.2023.1202728/full","volume":"14","author":[{"family":"Zhang","given":"Lu"},{"family":"Ma","given":"Yan"}],"accessed":{"date-parts":[["2025",8,13]]},"issued":{"date-parts":[["2023",7,17]]}}}],"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[32]</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Plan for putting it into action</w:t>
      </w:r>
    </w:p>
    <w:p w14:paraId="57E360AF" w14:textId="26B4E227"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t>The first stage in reform should be to run pilot initiatives in a few urban and rural schools. This would help test ideas, gather local evidence, and build trust among stakeholders. It is important to make teacher professional development a priority. In-service programs should teach teachers how to use active pedagogy and technology in the classroom, and pre-service courses should be modified to include CBE ideas. A staggered deployment that starts in lower primary and goes up makes it possible to make iterative improvements based on feedback, mobilize resources, and adapt progressively. Working with foreign organizations, NGOs, and businesses can help you get money and technical help</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{"citationID":"dtLou9Kl","properties":{"formattedCitation":"[33]","plainCitation":"[33]","noteIndex":0},"citationItems":[{"id":6305,"uris":["http://zotero.org/users/16652950/items/XRMPCZSV"],"itemData":{"id":6305,"type":"chapter","abstract":"Education systems in all countries are currently confronted by many challenges. Policymakers and educationalists have been attempting to solve problems through changes aimed at increasing access, quality, efficiency and relevance, and making systems more equitable.","container-title":"Rural School Improvement in Developing Countries","event-place":"Singapore","ISBN":"978-981-97-4917-1","language":"en","note":"DOI: 10.1007/978-981-97-4917-1_1","page":"1-35","publisher":"Springer Nature","publisher-place":"Singapore","source":"Springer Link","title":"School Improvement in Rural Settings: A Review of International Research and Practice","title-short":"School Improvement in Rural Settings","URL":"https://doi.org/10.1007/978-981-97-4917-1_1","author":[{"family":"Hardman","given":"Frank"},{"family":"Sandi","given":"Ana Maria"}],"editor":[{"family":"Zhao","given":"Yuchi"},{"family":"Liu","given":"Jing"}],"accessed":{"date-parts":[["2025",8,13]]},"issued":{"date-parts":[["2024"]]}}}],"schema":"https://github.com/citation-style-language/schema/raw/master/csl-citation.json"}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[33]</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 xml:space="preserve">Checking and Evaluating </w:t>
      </w:r>
      <w:r w:rsidRPr="00BE4734">
        <w:rPr>
          <w:rFonts w:ascii="Times New Roman" w:eastAsia="Times New Roman" w:hAnsi="Times New Roman" w:cs="Times New Roman"/>
          <w:b/>
          <w:bCs/>
          <w:sz w:val="24"/>
          <w:szCs w:val="24"/>
        </w:rPr>
        <w:br/>
      </w:r>
    </w:p>
    <w:p w14:paraId="42996C1E" w14:textId="604A876D" w:rsidR="00A43336"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In addition to keeping track of how well students are doing, good monitoring and evaluation (M&amp;E) systems should also look at how well students are learning, how well teachers are accepting new teaching methods, and how ready the infrastructure is. Mixed-method evaluation, which uses performance tasks, portfolios, observational data, and standardized tests, can provide you a whole picture of development. Regular reporting to stakeholders will keep accountability and political will strong</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{"citationID":"xGX34A9G","properties":{"formattedCitation":"[34]","plainCitation":"[34]","noteIndex":0},"citationItems":[{"id":6307,"uris":["http://zotero.org/users/16652950/items/H4D5RFXA"],"itemData":{"id":6307,"type":"article-journal","abstract":"Assessment is an integral core component of the educational process (learning–teaching–assessment), influencing learning and teaching. Its impact extends beyond these core elements, shaping decisions that affect students, teachers, administrators, policymakers, and the wider community. Recognizing the critical role and broad impact of assessment on educational practices, we must leverage its power to foster better education that caters to diverse multicultural learners and promotes a more equitable society. In this theoretical paper, we comprehensively explore the transformative potential of assessment focusing on culturally responsive assessment, on both teaching and learning practices, emphasizing the needs of diverse learners. We discuss possible solutions to enhance educational outcomes through assessment redesign, critically examine the barriers to implementing these solutions, and propose viable strategies to mitigate these challenges, ensuring all learners reach their full potential.","container-title":"Education Sciences","DOI":"10.3390/educsci15020224","ISSN":"2227-7102","issue":"2","language":"en","license":"http://creativecommons.org/licenses/by/3.0/","note":"publisher: Multidisciplinary Digital Publishing Institute","page":"224","source":"www.mdpi.com","title":"The Role of Assessment in Improving Education and Promoting Educational Equity","volume":"15","author":[{"family":"Levy-Feldman","given":"Irit"}],"issued":{"date-parts":[["2025",2]]}}}],"schema":"https://github.com/citation-style-language/schema/raw/master/csl-citation.json"}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[34]</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r>
    </w:p>
    <w:p w14:paraId="0F2F1851" w14:textId="0454C1BF"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Nigeria may build a generation of students ready for the challenges of the twenty-first century by putting these parts together in a way that makes sense and fits its basic education system with both local needs for growth and worldwide standards for skills.</w:t>
      </w:r>
    </w:p>
    <w:p w14:paraId="7E63CD46" w14:textId="77777777" w:rsidR="00E85940" w:rsidRPr="00E85940" w:rsidRDefault="00E85940" w:rsidP="00E85940">
      <w:pPr>
        <w:spacing w:before="100" w:beforeAutospacing="1" w:after="100" w:afterAutospacing="1" w:line="240" w:lineRule="auto"/>
        <w:outlineLvl w:val="1"/>
        <w:rPr>
          <w:rFonts w:ascii="Times New Roman" w:eastAsia="Times New Roman" w:hAnsi="Times New Roman" w:cs="Times New Roman"/>
          <w:b/>
          <w:bCs/>
          <w:sz w:val="36"/>
          <w:szCs w:val="36"/>
        </w:rPr>
      </w:pPr>
      <w:r w:rsidRPr="00E85940">
        <w:rPr>
          <w:rFonts w:ascii="Times New Roman" w:eastAsia="Times New Roman" w:hAnsi="Times New Roman" w:cs="Times New Roman"/>
          <w:b/>
          <w:bCs/>
          <w:sz w:val="36"/>
          <w:szCs w:val="36"/>
        </w:rPr>
        <w:lastRenderedPageBreak/>
        <w:t>7. Implications for Policy and Practice</w:t>
      </w:r>
    </w:p>
    <w:p w14:paraId="22458AB1" w14:textId="5A791190" w:rsid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b/>
          <w:bCs/>
          <w:sz w:val="24"/>
          <w:szCs w:val="24"/>
        </w:rPr>
        <w:t xml:space="preserve">Suggestions for Changing Policies </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t>To bring Nigeria's basic education up to worldwide competency levels, policy changes must put the integration of 21st-century skills into curricular objectives, learning outcomes, and assessment frameworks at the top of their list of things to do. This necessitates unwavering budgetary commitments, continuity throughout political cycles, and explicit national objectives for competency acquisition. Policies should also promote curriculum flexibility to make it easier for states and cities to adjust to different situations</w:t>
      </w:r>
      <w:r w:rsidR="00A43336">
        <w:rPr>
          <w:rFonts w:ascii="Times New Roman" w:eastAsia="Times New Roman" w:hAnsi="Times New Roman" w:cs="Times New Roman"/>
          <w:sz w:val="24"/>
          <w:szCs w:val="24"/>
        </w:rPr>
        <w:fldChar w:fldCharType="begin"/>
      </w:r>
      <w:r w:rsidR="00A43336">
        <w:rPr>
          <w:rFonts w:ascii="Times New Roman" w:eastAsia="Times New Roman" w:hAnsi="Times New Roman" w:cs="Times New Roman"/>
          <w:sz w:val="24"/>
          <w:szCs w:val="24"/>
        </w:rPr>
        <w:instrText xml:space="preserve"> ADDIN ZOTERO_ITEM CSL_CITATION {"citationID":"NgcAGXax","properties":{"formattedCitation":"[35]","plainCitation":"[35]","noteIndex":0},"citationItems":[{"id":6309,"uris":["http://zotero.org/users/16652950/items/XJVNUZIR"],"itemData":{"id":6309,"type":"article-journal","abstract":"Responsive educational proposals to develop skills to meet the demands of Industry 4.0 have become imperative to guarantee inclusive, equitable, and quality education and promote lifelong learning opportunities for all, also reducing the negative impact of COVID-19 and the major post-pandemic social issues. This article analyzes which components of Education 4.0 have been considered in 21st century skills frameworks and identifies the teaching and learning methods and key stakeholders impacted. We conducted a systematic literature review (SLR) with research questions to highlight studies that address 21st century frameworks worldwide, identifying which teaching-–earning strategies contain 4.0 components, their learning dimensions, and the targeted stakeholders. The findings allowed us to identify opportunities to create or improve 21st century skills frameworks with the required Education 4.0 components to develop future skills. Our study revealed the absence of these frameworks for teachers and schools. Most are oriented toward students, developing competencies through the dimensions of character, meta-learning, and linking active learning teaching strategies. This work presents studies incorporating innovative educational practices and the core Education 4.0 components. It concludes with a reflection on creating educational models to develop complex-reasoning competencies and auto-systemic thinking to support problem-solving and address social needs.","container-title":"Sustainability","DOI":"10.3390/su14031493","ISSN":"2071-1050","issue":"3","language":"en","license":"http://creativecommons.org/licenses/by/3.0/","note":"publisher: Multidisciplinary Digital Publishing Institute","page":"1493","source":"www.mdpi.com","title":"Components of Education 4.0 in 21st Century Skills Frameworks: Systematic Review","title-short":"Components of Education 4.0 in 21st Century Skills Frameworks","volume":"14","author":[{"family":"González-Pérez","given":"Laura Icela"},{"family":"Ramírez-Montoya","given":"María Soledad"}],"issued":{"date-parts":[["2022",1]]}}}],"schema":"https://github.com/citation-style-language/schema/raw/master/csl-citation.json"} </w:instrText>
      </w:r>
      <w:r w:rsidR="00A43336">
        <w:rPr>
          <w:rFonts w:ascii="Times New Roman" w:eastAsia="Times New Roman" w:hAnsi="Times New Roman" w:cs="Times New Roman"/>
          <w:sz w:val="24"/>
          <w:szCs w:val="24"/>
        </w:rPr>
        <w:fldChar w:fldCharType="separate"/>
      </w:r>
      <w:r w:rsidR="00A43336" w:rsidRPr="00A43336">
        <w:rPr>
          <w:rFonts w:ascii="Times New Roman" w:hAnsi="Times New Roman" w:cs="Times New Roman"/>
          <w:sz w:val="24"/>
        </w:rPr>
        <w:t>[35]</w:t>
      </w:r>
      <w:r w:rsidR="00A43336">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r w:rsidRPr="00BE4734">
        <w:rPr>
          <w:rFonts w:ascii="Times New Roman" w:eastAsia="Times New Roman" w:hAnsi="Times New Roman" w:cs="Times New Roman"/>
          <w:sz w:val="24"/>
          <w:szCs w:val="24"/>
        </w:rPr>
        <w:br/>
      </w:r>
    </w:p>
    <w:p w14:paraId="6CB916E3" w14:textId="77777777" w:rsidR="0081530C"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b/>
          <w:bCs/>
          <w:sz w:val="24"/>
          <w:szCs w:val="24"/>
        </w:rPr>
        <w:t xml:space="preserve">Top Priorities for Teacher Training </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br/>
        <w:t>Teachers need to be ready for reform to work. Pre-service programs should include active pedagogy, technology integration, and competency-based education as required modules. In order to give teachers the skills they need to help students learn together, ask tough questions, and come up with new ways to solve problems, in-service professional development must be planned, ongoing, and focused on practice. Teacher incentive programs including career development, performance-based incentives, and recognition should stimulate the use of new ideas</w:t>
      </w:r>
      <w:r w:rsidR="0081530C">
        <w:rPr>
          <w:rFonts w:ascii="Times New Roman" w:eastAsia="Times New Roman" w:hAnsi="Times New Roman" w:cs="Times New Roman"/>
          <w:sz w:val="24"/>
          <w:szCs w:val="24"/>
        </w:rPr>
        <w:fldChar w:fldCharType="begin"/>
      </w:r>
      <w:r w:rsidR="0081530C">
        <w:rPr>
          <w:rFonts w:ascii="Times New Roman" w:eastAsia="Times New Roman" w:hAnsi="Times New Roman" w:cs="Times New Roman"/>
          <w:sz w:val="24"/>
          <w:szCs w:val="24"/>
        </w:rPr>
        <w:instrText xml:space="preserve"> ADDIN ZOTERO_ITEM CSL_CITATION {"citationID":"k8ZgMUll","properties":{"formattedCitation":"[36]","plainCitation":"[36]","noteIndex":0},"citationItems":[{"id":6311,"uris":["http://zotero.org/users/16652950/items/5SJFPVWF"],"itemData":{"id":6311,"type":"article-journal","abstract":"Science, Technology, Engineering, and Mathematics (STEM) integrated curricular approach has become the leading type of education reform worldwide. This paper presents a STEM integrated collaborative activity to enhance STEM knowledge among pre-service mathematics and chemistry teachers. Well-structured and planned on-site workshops on STEM activities were delivered to pre-service teachers while growing mathematics and science content knowledge and pedagogical practices. The qualitative content analysis research methodology was used to identify relevant topics related to post reflective questions regarding pre-service teacher perspectives on the experience gained through the collaborative practices at the STEM workshop. The results show that the workshop had a positive effect on pre-service teachers’ conceptualization of STEM—through collaborative, participatory practices, an effective learning environment while bringing attention to teacher professional development and education policymakers. Key elements of this study approach included: (1) collaboration between university professors to teach and incorporate STEM in higher education; (2) unique partnership among mathematical and chemistry pre-service teachers; and (3) professional development, which is devoted and adopted into a study course.","container-title":"Frontiers in Education","DOI":"10.3389/feduc.2021.585075","ISSN":"2504-284X","journalAbbreviation":"Front. Educ.","language":"English","note":"publisher: Frontiers","source":"Frontiers","title":"Developing Pre-service Teachers Conceptualization of STEM and STEM Pedagogical Practices","URL":"https://www.frontiersin.org/journals/education/articles/10.3389/feduc.2021.585075/full","volume":"6","author":[{"family":"Berisha","given":"Fatlume"},{"family":"Vula","given":"Eda"}],"accessed":{"date-parts":[["2025",8,13]]},"issued":{"date-parts":[["2021",5,31]]}}}],"schema":"https://github.com/citation-style-language/schema/raw/master/csl-citation.json"} </w:instrText>
      </w:r>
      <w:r w:rsidR="0081530C">
        <w:rPr>
          <w:rFonts w:ascii="Times New Roman" w:eastAsia="Times New Roman" w:hAnsi="Times New Roman" w:cs="Times New Roman"/>
          <w:sz w:val="24"/>
          <w:szCs w:val="24"/>
        </w:rPr>
        <w:fldChar w:fldCharType="separate"/>
      </w:r>
      <w:r w:rsidR="0081530C" w:rsidRPr="0081530C">
        <w:rPr>
          <w:rFonts w:ascii="Times New Roman" w:hAnsi="Times New Roman" w:cs="Times New Roman"/>
          <w:sz w:val="24"/>
        </w:rPr>
        <w:t>[36]</w:t>
      </w:r>
      <w:r w:rsidR="0081530C">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p>
    <w:p w14:paraId="153B4D12" w14:textId="26E42845"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br/>
      </w:r>
      <w:r w:rsidRPr="00BE4734">
        <w:rPr>
          <w:rFonts w:ascii="Times New Roman" w:eastAsia="Times New Roman" w:hAnsi="Times New Roman" w:cs="Times New Roman"/>
          <w:b/>
          <w:bCs/>
          <w:sz w:val="24"/>
          <w:szCs w:val="24"/>
        </w:rPr>
        <w:t xml:space="preserve">The function of partnerships </w:t>
      </w:r>
      <w:r w:rsidRPr="00BE4734">
        <w:rPr>
          <w:rFonts w:ascii="Times New Roman" w:eastAsia="Times New Roman" w:hAnsi="Times New Roman" w:cs="Times New Roman"/>
          <w:b/>
          <w:bCs/>
          <w:sz w:val="24"/>
          <w:szCs w:val="24"/>
        </w:rPr>
        <w:br/>
      </w:r>
      <w:r w:rsidRPr="00BE4734">
        <w:rPr>
          <w:rFonts w:ascii="Times New Roman" w:eastAsia="Times New Roman" w:hAnsi="Times New Roman" w:cs="Times New Roman"/>
          <w:sz w:val="24"/>
          <w:szCs w:val="24"/>
        </w:rPr>
        <w:t>Strategic relationships can help fill in gaps in expertise and resources. For trial initiatives and establishing capacity, the government can work with NGOs, businesses, and international organizations like UNESCO and UNICEF to get money, digital infrastructure, and technical know-how. Community involvement is just as crucial as cultural tolerance and endurance. Local leaders and parent-teacher associations can help push for changes and help schools put them into action</w:t>
      </w:r>
      <w:r w:rsidR="0081530C">
        <w:rPr>
          <w:rFonts w:ascii="Times New Roman" w:eastAsia="Times New Roman" w:hAnsi="Times New Roman" w:cs="Times New Roman"/>
          <w:sz w:val="24"/>
          <w:szCs w:val="24"/>
        </w:rPr>
        <w:fldChar w:fldCharType="begin"/>
      </w:r>
      <w:r w:rsidR="0081530C">
        <w:rPr>
          <w:rFonts w:ascii="Times New Roman" w:eastAsia="Times New Roman" w:hAnsi="Times New Roman" w:cs="Times New Roman"/>
          <w:sz w:val="24"/>
          <w:szCs w:val="24"/>
        </w:rPr>
        <w:instrText xml:space="preserve"> ADDIN ZOTERO_ITEM CSL_CITATION {"citationID":"A6B3BEfr","properties":{"formattedCitation":"[37]","plainCitation":"[37]","noteIndex":0},"citationItems":[{"id":6313,"uris":["http://zotero.org/users/16652950/items/R2LDNQG6"],"itemData":{"id":6313,"type":"article-journal","abstract":"BACKGROUND:\nGiven the expanding range of health influencing factors, increasing expectations from the health systems, and general challenges such as insufficient resources, the health services needed by people cannot be provided completely by the governments alone. Therefore, nongovernmental organizations (NGOs)-government collaboration is considered a common approach in health-care provision for different communities. Since the NGO-government collaboration is complicated and usually influenced by many challenges and issues, the present study was conducted to identify collaboration challenges between the government and NGOs in providing health-care services.\n\nMATERIALS AND METHODS:\nUsing a systematic review method and searching in ISI Web of Science, Scopus, PubMed, and Embase databases, using related keyword/terms, between March 2020 and June 2020, studies on NGO-government collaboration in the health area were collected without time limitation. After completing the article selection process, those articles that consistent with the research purpose were chosen for the final analysis.\n\nRESULTS:\nFrom 4236 initially collected studies, 16 studies were chosen for the final analysis. Based on the content analysis of the selected articles, 70 challenges were identified in the NGO-government collaboration to provide health-care services. These challenges were divided into five main themes: structural issues, process issues, issues related to roles and responsibilities, trust and communications issues, and control and power relation issues and 11 subthemes.\n\nCONCLUSION:\nThe present study provides significant challenges by NGO-government collaboration in providing health-care services. Awareness of these challenges plays an important role in promoting such collaborations and enables these organizations to highly exploit the strengths of each other, resulting in a collaboration with win–win situation.","container-title":"Journal of Education and Health Promotion","DOI":"10.4103/jehp.jehp_1312_20","ISSN":"2277-9531","journalAbbreviation":"J Educ Health Promot","note":"PMID: 34395679\nPMCID: PMC8318181","page":"242","source":"PubMed Central","title":"Collaboration between the government and nongovernmental organizations in providing health-care services: A systematic review of challenges","title-short":"Collaboration between the government and nongovernmental organizations in providing health-care services","volume":"10","author":[{"family":"Rajabi","given":"Mohanna"},{"family":"Ebrahimi","given":"Parvin"},{"family":"Aryankhesal","given":"Aidin"}],"issued":{"date-parts":[["2021",6,30]]}}}],"schema":"https://github.com/citation-style-language/schema/raw/master/csl-citation.json"} </w:instrText>
      </w:r>
      <w:r w:rsidR="0081530C">
        <w:rPr>
          <w:rFonts w:ascii="Times New Roman" w:eastAsia="Times New Roman" w:hAnsi="Times New Roman" w:cs="Times New Roman"/>
          <w:sz w:val="24"/>
          <w:szCs w:val="24"/>
        </w:rPr>
        <w:fldChar w:fldCharType="separate"/>
      </w:r>
      <w:r w:rsidR="0081530C" w:rsidRPr="0081530C">
        <w:rPr>
          <w:rFonts w:ascii="Times New Roman" w:hAnsi="Times New Roman" w:cs="Times New Roman"/>
          <w:sz w:val="24"/>
        </w:rPr>
        <w:t>[37]</w:t>
      </w:r>
      <w:r w:rsidR="0081530C">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 xml:space="preserve">. </w:t>
      </w:r>
      <w:r w:rsidRPr="00BE4734">
        <w:rPr>
          <w:rFonts w:ascii="Times New Roman" w:eastAsia="Times New Roman" w:hAnsi="Times New Roman" w:cs="Times New Roman"/>
          <w:sz w:val="24"/>
          <w:szCs w:val="24"/>
        </w:rPr>
        <w:br/>
        <w:t>Nigeria can create a supportive environment for incorporating 21st-century skills into its basic education system, fostering local growth and enhancing international competitiveness, through robust policy guidance, empowered educators, and well-coordinated collaborations.</w:t>
      </w:r>
    </w:p>
    <w:p w14:paraId="3BB72CC4" w14:textId="63DB6526" w:rsidR="00E85940" w:rsidRPr="00E85940" w:rsidRDefault="00E85940" w:rsidP="00C70214">
      <w:pPr>
        <w:spacing w:before="100" w:beforeAutospacing="1" w:after="100" w:afterAutospacing="1" w:line="240" w:lineRule="auto"/>
        <w:rPr>
          <w:rFonts w:ascii="Times New Roman" w:eastAsia="Times New Roman" w:hAnsi="Times New Roman" w:cs="Times New Roman"/>
          <w:b/>
          <w:bCs/>
          <w:sz w:val="36"/>
          <w:szCs w:val="36"/>
        </w:rPr>
      </w:pPr>
      <w:r w:rsidRPr="00E85940">
        <w:rPr>
          <w:rFonts w:ascii="Times New Roman" w:eastAsia="Times New Roman" w:hAnsi="Times New Roman" w:cs="Times New Roman"/>
          <w:b/>
          <w:bCs/>
          <w:sz w:val="36"/>
          <w:szCs w:val="36"/>
        </w:rPr>
        <w:t>8. Conclusion</w:t>
      </w:r>
    </w:p>
    <w:p w14:paraId="4CC2A0EE" w14:textId="519FBAC5" w:rsidR="00BE4734" w:rsidRPr="00BE4734" w:rsidRDefault="00BE4734" w:rsidP="00BE4734">
      <w:pPr>
        <w:spacing w:after="0" w:line="240" w:lineRule="auto"/>
        <w:rPr>
          <w:rFonts w:ascii="Times New Roman" w:eastAsia="Times New Roman" w:hAnsi="Times New Roman" w:cs="Times New Roman"/>
          <w:sz w:val="24"/>
          <w:szCs w:val="24"/>
        </w:rPr>
      </w:pPr>
      <w:r w:rsidRPr="00BE4734">
        <w:rPr>
          <w:rFonts w:ascii="Times New Roman" w:eastAsia="Times New Roman" w:hAnsi="Times New Roman" w:cs="Times New Roman"/>
          <w:sz w:val="24"/>
          <w:szCs w:val="24"/>
        </w:rPr>
        <w:t xml:space="preserve">Nigeria's basic education curriculum must be revised to include 21st-century skills. In a time when technology is changing quickly, job markets are changing, and global problems are getting more complicated, it's important for Nigerian students to be able to think critically, be creative, and act ethically. This is important for both the country's growth and its ability to compete globally. </w:t>
      </w:r>
      <w:r w:rsidRPr="00BE4734">
        <w:rPr>
          <w:rFonts w:ascii="Times New Roman" w:eastAsia="Times New Roman" w:hAnsi="Times New Roman" w:cs="Times New Roman"/>
          <w:sz w:val="24"/>
          <w:szCs w:val="24"/>
        </w:rPr>
        <w:br/>
        <w:t>This assessment has put Nigeria's needs for curriculum reform into the bigger picture of global competency-based education by taking ideas from many other countries and giving them a framework that may be used in Nigeria. By doing this, it adds to the growing body of study on how developing countries might bridge the gap between traditional, content-heavy schools and newer, skill-rich, learner-centered schools.</w:t>
      </w:r>
      <w:r w:rsidRPr="00BE4734">
        <w:rPr>
          <w:rFonts w:ascii="Times New Roman" w:eastAsia="Times New Roman" w:hAnsi="Times New Roman" w:cs="Times New Roman"/>
          <w:sz w:val="24"/>
          <w:szCs w:val="24"/>
        </w:rPr>
        <w:br/>
        <w:t xml:space="preserve">To move forward, we need to act quickly: develop strong coalitions between different groups, improve teachers' skills, make sure everyone has equitable access to technology, and keep </w:t>
      </w:r>
      <w:r w:rsidRPr="00BE4734">
        <w:rPr>
          <w:rFonts w:ascii="Times New Roman" w:eastAsia="Times New Roman" w:hAnsi="Times New Roman" w:cs="Times New Roman"/>
          <w:sz w:val="24"/>
          <w:szCs w:val="24"/>
        </w:rPr>
        <w:lastRenderedPageBreak/>
        <w:t>making policies that work. Reform is not merely a necessary step for education; it is a planned investment in Nigeria's future human capital. If Nigeria takes advantage of this chance, it may build an education system that helps all kids do well in the 21st century and make important contributions to society, not just pass tests. It's time to do something now</w:t>
      </w:r>
      <w:r w:rsidR="0081530C">
        <w:rPr>
          <w:rFonts w:ascii="Times New Roman" w:eastAsia="Times New Roman" w:hAnsi="Times New Roman" w:cs="Times New Roman"/>
          <w:sz w:val="24"/>
          <w:szCs w:val="24"/>
        </w:rPr>
        <w:fldChar w:fldCharType="begin"/>
      </w:r>
      <w:r w:rsidR="0081530C">
        <w:rPr>
          <w:rFonts w:ascii="Times New Roman" w:eastAsia="Times New Roman" w:hAnsi="Times New Roman" w:cs="Times New Roman"/>
          <w:sz w:val="24"/>
          <w:szCs w:val="24"/>
        </w:rPr>
        <w:instrText xml:space="preserve"> ADDIN ZOTERO_ITEM CSL_CITATION {"citationID":"eMRGt5e4","properties":{"formattedCitation":"[38]","plainCitation":"[38]","noteIndex":0},"citationItems":[{"id":4375,"uris":["http://zotero.org/users/16652950/items/FK4LEPHE"],"itemData":{"id":4375,"type":"article-journal","abstract":"When addressing juvenile delinquencies in Nigeria, it is important to consider the roles and effects of parenting styles and family structures. Although, there are no universally accepted parenting styles, evidence and studies have pointed to some parenting styles that expose children to delinquent behaviours. We examined different parenting styles comprehensively in this article and how these styles can influence juvenile delinquencies. We also discussed the association between single-parenting and behavioural outcomes; accounting how single-parenting may increase risks of delinquencies. Furthermore, marital discord was discussed and social learning theory by Albert Bandura was adopted to buttress our positions. We concluded that parenting styles have roles in delinquencies and that while children raised by single parents may be vulnerable to delinquencies, the assumption may not always be true. This study posits that government and appropriate agencies should establish a functional child support systems across Nigeria and family institution should be paid more attention to.","container-title":"African Journal of Social Issues","DOI":"10.4314/ajosi.v7i1.8","ISSN":"2734-3324","issue":"1","language":"en","license":"Copyright (c) 2024","note":"number: 1","page":"116-132","source":"www.ajol.info","title":"Juvenile delinquency as a contemporary issue in Nigeria: understanding the impacts of parenting styles, single parenting and marital discord.","title-short":"Juvenile delinquency as a contemporary issue in Nigeria","volume":"7","author":[{"family":"Folorunsho","given":"Sunkanmi"},{"family":"Ajayi","given":"Victor"},{"family":"Abdulrazaq","given":"Oluwakemi"}],"issued":{"date-parts":[["2024",3,23]]}}}],"schema":"https://github.com/citation-style-language/schema/raw/master/csl-citation.json"} </w:instrText>
      </w:r>
      <w:r w:rsidR="0081530C">
        <w:rPr>
          <w:rFonts w:ascii="Times New Roman" w:eastAsia="Times New Roman" w:hAnsi="Times New Roman" w:cs="Times New Roman"/>
          <w:sz w:val="24"/>
          <w:szCs w:val="24"/>
        </w:rPr>
        <w:fldChar w:fldCharType="separate"/>
      </w:r>
      <w:r w:rsidR="0081530C" w:rsidRPr="0081530C">
        <w:rPr>
          <w:rFonts w:ascii="Times New Roman" w:hAnsi="Times New Roman" w:cs="Times New Roman"/>
          <w:sz w:val="24"/>
        </w:rPr>
        <w:t>[38]</w:t>
      </w:r>
      <w:r w:rsidR="0081530C">
        <w:rPr>
          <w:rFonts w:ascii="Times New Roman" w:eastAsia="Times New Roman" w:hAnsi="Times New Roman" w:cs="Times New Roman"/>
          <w:sz w:val="24"/>
          <w:szCs w:val="24"/>
        </w:rPr>
        <w:fldChar w:fldCharType="end"/>
      </w:r>
      <w:r w:rsidRPr="00BE4734">
        <w:rPr>
          <w:rFonts w:ascii="Times New Roman" w:eastAsia="Times New Roman" w:hAnsi="Times New Roman" w:cs="Times New Roman"/>
          <w:sz w:val="24"/>
          <w:szCs w:val="24"/>
        </w:rPr>
        <w:t>.</w:t>
      </w:r>
    </w:p>
    <w:p w14:paraId="55F94F44" w14:textId="4B0F4EFE" w:rsidR="00E85940" w:rsidRDefault="00E85940" w:rsidP="00BE4734">
      <w:pPr>
        <w:spacing w:after="0" w:line="240" w:lineRule="auto"/>
      </w:pPr>
    </w:p>
    <w:p w14:paraId="25563A58" w14:textId="78091429" w:rsidR="0086381A" w:rsidRPr="0086381A" w:rsidRDefault="0086381A" w:rsidP="00BE4734">
      <w:pPr>
        <w:spacing w:after="0" w:line="240" w:lineRule="auto"/>
        <w:rPr>
          <w:b/>
          <w:bCs/>
        </w:rPr>
      </w:pPr>
    </w:p>
    <w:p w14:paraId="0F577311" w14:textId="421CF3F8" w:rsidR="0086381A" w:rsidRDefault="0086381A" w:rsidP="00BE4734">
      <w:pPr>
        <w:spacing w:after="0" w:line="240" w:lineRule="auto"/>
        <w:rPr>
          <w:b/>
          <w:bCs/>
        </w:rPr>
      </w:pPr>
      <w:r w:rsidRPr="0086381A">
        <w:rPr>
          <w:b/>
          <w:bCs/>
        </w:rPr>
        <w:t>REFE</w:t>
      </w:r>
      <w:r>
        <w:rPr>
          <w:b/>
          <w:bCs/>
        </w:rPr>
        <w:t>RENCES</w:t>
      </w:r>
    </w:p>
    <w:commentRangeStart w:id="42"/>
    <w:commentRangeStart w:id="43"/>
    <w:p w14:paraId="6CDFC1C2" w14:textId="734CB4D0" w:rsidR="0086381A" w:rsidRPr="0086381A" w:rsidRDefault="0086381A" w:rsidP="0086381A">
      <w:pPr>
        <w:pStyle w:val="Bibliography"/>
        <w:rPr>
          <w:rFonts w:ascii="Calibri" w:hAnsi="Calibri" w:cs="Calibri"/>
        </w:rPr>
      </w:pPr>
      <w:r>
        <w:rPr>
          <w:b/>
          <w:bCs/>
        </w:rPr>
        <w:fldChar w:fldCharType="begin"/>
      </w:r>
      <w:r>
        <w:rPr>
          <w:b/>
          <w:bCs/>
        </w:rPr>
        <w:instrText xml:space="preserve"> ADDIN ZOTERO_BIBL {"uncited":[],"omitted":[],"custom":[]} CSL_BIBLIOGRAPHY </w:instrText>
      </w:r>
      <w:r>
        <w:rPr>
          <w:b/>
          <w:bCs/>
        </w:rPr>
        <w:fldChar w:fldCharType="separate"/>
      </w:r>
      <w:r w:rsidRPr="0086381A">
        <w:rPr>
          <w:rFonts w:ascii="Calibri" w:hAnsi="Calibri" w:cs="Calibri"/>
        </w:rPr>
        <w:t xml:space="preserve">1. </w:t>
      </w:r>
      <w:r w:rsidRPr="0086381A">
        <w:rPr>
          <w:rFonts w:ascii="Calibri" w:hAnsi="Calibri" w:cs="Calibri"/>
        </w:rPr>
        <w:tab/>
        <w:t>Darling-Hammond</w:t>
      </w:r>
      <w:r w:rsidR="004827BA">
        <w:rPr>
          <w:rFonts w:ascii="Calibri" w:hAnsi="Calibri" w:cs="Calibri"/>
          <w:color w:val="FF0000"/>
        </w:rPr>
        <w:t>,</w:t>
      </w:r>
      <w:r w:rsidRPr="0086381A">
        <w:rPr>
          <w:rFonts w:ascii="Calibri" w:hAnsi="Calibri" w:cs="Calibri"/>
        </w:rPr>
        <w:t xml:space="preserve"> L</w:t>
      </w:r>
      <w:r w:rsidR="004827BA">
        <w:rPr>
          <w:rFonts w:ascii="Calibri" w:hAnsi="Calibri" w:cs="Calibri"/>
          <w:color w:val="FF0000"/>
        </w:rPr>
        <w:t>.</w:t>
      </w:r>
      <w:r w:rsidRPr="0086381A">
        <w:rPr>
          <w:rFonts w:ascii="Calibri" w:hAnsi="Calibri" w:cs="Calibri"/>
        </w:rPr>
        <w:t xml:space="preserve">, </w:t>
      </w:r>
      <w:proofErr w:type="spellStart"/>
      <w:r w:rsidRPr="0086381A">
        <w:rPr>
          <w:rFonts w:ascii="Calibri" w:hAnsi="Calibri" w:cs="Calibri"/>
        </w:rPr>
        <w:t>Flook</w:t>
      </w:r>
      <w:proofErr w:type="spellEnd"/>
      <w:r w:rsidR="004827BA">
        <w:rPr>
          <w:rFonts w:ascii="Calibri" w:hAnsi="Calibri" w:cs="Calibri"/>
          <w:color w:val="FF0000"/>
        </w:rPr>
        <w:t>,</w:t>
      </w:r>
      <w:r w:rsidRPr="0086381A">
        <w:rPr>
          <w:rFonts w:ascii="Calibri" w:hAnsi="Calibri" w:cs="Calibri"/>
        </w:rPr>
        <w:t xml:space="preserve"> L</w:t>
      </w:r>
      <w:r w:rsidR="004827BA">
        <w:rPr>
          <w:rFonts w:ascii="Calibri" w:hAnsi="Calibri" w:cs="Calibri"/>
          <w:color w:val="FF0000"/>
        </w:rPr>
        <w:t>.</w:t>
      </w:r>
      <w:r w:rsidRPr="0086381A">
        <w:rPr>
          <w:rFonts w:ascii="Calibri" w:hAnsi="Calibri" w:cs="Calibri"/>
        </w:rPr>
        <w:t>, Cook-Harvey</w:t>
      </w:r>
      <w:r w:rsidR="004827BA">
        <w:rPr>
          <w:rFonts w:ascii="Calibri" w:hAnsi="Calibri" w:cs="Calibri"/>
        </w:rPr>
        <w:t>,</w:t>
      </w:r>
      <w:r w:rsidRPr="0086381A">
        <w:rPr>
          <w:rFonts w:ascii="Calibri" w:hAnsi="Calibri" w:cs="Calibri"/>
        </w:rPr>
        <w:t xml:space="preserve"> C</w:t>
      </w:r>
      <w:r w:rsidR="004827BA">
        <w:rPr>
          <w:rFonts w:ascii="Calibri" w:hAnsi="Calibri" w:cs="Calibri"/>
        </w:rPr>
        <w:t>.</w:t>
      </w:r>
      <w:r w:rsidRPr="0086381A">
        <w:rPr>
          <w:rFonts w:ascii="Calibri" w:hAnsi="Calibri" w:cs="Calibri"/>
        </w:rPr>
        <w:t>, Barron</w:t>
      </w:r>
      <w:r w:rsidR="004827BA">
        <w:rPr>
          <w:rFonts w:ascii="Calibri" w:hAnsi="Calibri" w:cs="Calibri"/>
        </w:rPr>
        <w:t>,</w:t>
      </w:r>
      <w:r w:rsidRPr="0086381A">
        <w:rPr>
          <w:rFonts w:ascii="Calibri" w:hAnsi="Calibri" w:cs="Calibri"/>
        </w:rPr>
        <w:t xml:space="preserve"> B</w:t>
      </w:r>
      <w:r w:rsidR="004827BA">
        <w:rPr>
          <w:rFonts w:ascii="Calibri" w:hAnsi="Calibri" w:cs="Calibri"/>
        </w:rPr>
        <w:t>.</w:t>
      </w:r>
      <w:r w:rsidRPr="0086381A">
        <w:rPr>
          <w:rFonts w:ascii="Calibri" w:hAnsi="Calibri" w:cs="Calibri"/>
        </w:rPr>
        <w:t xml:space="preserve">, </w:t>
      </w:r>
      <w:r w:rsidR="004827BA">
        <w:rPr>
          <w:rFonts w:ascii="Calibri" w:hAnsi="Calibri" w:cs="Calibri"/>
        </w:rPr>
        <w:t xml:space="preserve">&amp; </w:t>
      </w:r>
      <w:proofErr w:type="spellStart"/>
      <w:r w:rsidRPr="0086381A">
        <w:rPr>
          <w:rFonts w:ascii="Calibri" w:hAnsi="Calibri" w:cs="Calibri"/>
        </w:rPr>
        <w:t>Osher</w:t>
      </w:r>
      <w:proofErr w:type="spellEnd"/>
      <w:r w:rsidR="004827BA">
        <w:rPr>
          <w:rFonts w:ascii="Calibri" w:hAnsi="Calibri" w:cs="Calibri"/>
        </w:rPr>
        <w:t>,</w:t>
      </w:r>
      <w:r w:rsidRPr="0086381A">
        <w:rPr>
          <w:rFonts w:ascii="Calibri" w:hAnsi="Calibri" w:cs="Calibri"/>
        </w:rPr>
        <w:t xml:space="preserve"> D.</w:t>
      </w:r>
      <w:r w:rsidR="004827BA">
        <w:rPr>
          <w:rFonts w:ascii="Calibri" w:hAnsi="Calibri" w:cs="Calibri"/>
        </w:rPr>
        <w:t xml:space="preserve"> </w:t>
      </w:r>
      <w:r w:rsidR="004827BA" w:rsidRPr="004827BA">
        <w:rPr>
          <w:rFonts w:ascii="Calibri" w:hAnsi="Calibri" w:cs="Calibri"/>
          <w:color w:val="FF0000"/>
        </w:rPr>
        <w:t>(date of publication)</w:t>
      </w:r>
      <w:r w:rsidRPr="0086381A">
        <w:rPr>
          <w:rFonts w:ascii="Calibri" w:hAnsi="Calibri" w:cs="Calibri"/>
        </w:rPr>
        <w:t xml:space="preserve"> Implications for educational practice of the science of learning and development. Applied Developmental Science. 2020 Apr 2;24(2):97–140. </w:t>
      </w:r>
    </w:p>
    <w:p w14:paraId="5F19166D" w14:textId="77777777" w:rsidR="0086381A" w:rsidRPr="0086381A" w:rsidRDefault="0086381A" w:rsidP="0086381A">
      <w:pPr>
        <w:pStyle w:val="Bibliography"/>
        <w:rPr>
          <w:rFonts w:ascii="Calibri" w:hAnsi="Calibri" w:cs="Calibri"/>
        </w:rPr>
      </w:pPr>
      <w:r w:rsidRPr="0086381A">
        <w:rPr>
          <w:rFonts w:ascii="Calibri" w:hAnsi="Calibri" w:cs="Calibri"/>
        </w:rPr>
        <w:t xml:space="preserve">2. </w:t>
      </w:r>
      <w:r w:rsidRPr="0086381A">
        <w:rPr>
          <w:rFonts w:ascii="Calibri" w:hAnsi="Calibri" w:cs="Calibri"/>
        </w:rPr>
        <w:tab/>
        <w:t xml:space="preserve">Erstad O, Černochová M, Knezek G, Furuta T, Takami K, Liang C. Social and Emotional Modes of Learning Within Digital Ecosystems: Emerging Research Agendas. Tech Know Learn. 2024 Dec 1;29(4):1751–66. </w:t>
      </w:r>
    </w:p>
    <w:p w14:paraId="607E439D" w14:textId="77777777" w:rsidR="0086381A" w:rsidRPr="0086381A" w:rsidRDefault="0086381A" w:rsidP="0086381A">
      <w:pPr>
        <w:pStyle w:val="Bibliography"/>
        <w:rPr>
          <w:rFonts w:ascii="Calibri" w:hAnsi="Calibri" w:cs="Calibri"/>
        </w:rPr>
      </w:pPr>
      <w:r w:rsidRPr="0086381A">
        <w:rPr>
          <w:rFonts w:ascii="Calibri" w:hAnsi="Calibri" w:cs="Calibri"/>
        </w:rPr>
        <w:t xml:space="preserve">3. </w:t>
      </w:r>
      <w:r w:rsidRPr="0086381A">
        <w:rPr>
          <w:rFonts w:ascii="Calibri" w:hAnsi="Calibri" w:cs="Calibri"/>
        </w:rPr>
        <w:tab/>
        <w:t xml:space="preserve">Luise OE. The Quality of Educational Development in Nigeria. Educational Research. 2023 Mar 31;1–3. </w:t>
      </w:r>
    </w:p>
    <w:p w14:paraId="66F4CD14" w14:textId="77777777" w:rsidR="0086381A" w:rsidRPr="0086381A" w:rsidRDefault="0086381A" w:rsidP="0086381A">
      <w:pPr>
        <w:pStyle w:val="Bibliography"/>
        <w:rPr>
          <w:rFonts w:ascii="Calibri" w:hAnsi="Calibri" w:cs="Calibri"/>
        </w:rPr>
      </w:pPr>
      <w:r w:rsidRPr="0086381A">
        <w:rPr>
          <w:rFonts w:ascii="Calibri" w:hAnsi="Calibri" w:cs="Calibri"/>
        </w:rPr>
        <w:t xml:space="preserve">4. </w:t>
      </w:r>
      <w:r w:rsidRPr="0086381A">
        <w:rPr>
          <w:rFonts w:ascii="Calibri" w:hAnsi="Calibri" w:cs="Calibri"/>
        </w:rPr>
        <w:tab/>
        <w:t>Okonkwo DIJ&amp; DCO. Integrating 21st Century Skills into Secondary Education: Preparing Students for a Productive Society. 2025 Feb 16 [cited 2025 Aug 13]; Available from: https://zenodo.org/records/14879702</w:t>
      </w:r>
    </w:p>
    <w:p w14:paraId="586C5972" w14:textId="77777777" w:rsidR="0086381A" w:rsidRPr="0086381A" w:rsidRDefault="0086381A" w:rsidP="0086381A">
      <w:pPr>
        <w:pStyle w:val="Bibliography"/>
        <w:rPr>
          <w:rFonts w:ascii="Calibri" w:hAnsi="Calibri" w:cs="Calibri"/>
        </w:rPr>
      </w:pPr>
      <w:r w:rsidRPr="0086381A">
        <w:rPr>
          <w:rFonts w:ascii="Calibri" w:hAnsi="Calibri" w:cs="Calibri"/>
        </w:rPr>
        <w:t xml:space="preserve">5. </w:t>
      </w:r>
      <w:r w:rsidRPr="0086381A">
        <w:rPr>
          <w:rFonts w:ascii="Calibri" w:hAnsi="Calibri" w:cs="Calibri"/>
        </w:rPr>
        <w:tab/>
        <w:t xml:space="preserve">Thornhill-Miller B, Camarda A, Mercier M, Burkhardt JM, Morisseau T, Bourgeois-Bougrine S, et al. Creativity, Critical Thinking, Communication, and Collaboration: Assessment, Certification, and Promotion of 21st Century Skills for the Future of Work and Education. Journal of Intelligence. 2023 Mar;11(3):54. </w:t>
      </w:r>
    </w:p>
    <w:p w14:paraId="4FB05ACE" w14:textId="77777777" w:rsidR="0086381A" w:rsidRPr="0086381A" w:rsidRDefault="0086381A" w:rsidP="0086381A">
      <w:pPr>
        <w:pStyle w:val="Bibliography"/>
        <w:rPr>
          <w:rFonts w:ascii="Calibri" w:hAnsi="Calibri" w:cs="Calibri"/>
        </w:rPr>
      </w:pPr>
      <w:r w:rsidRPr="0086381A">
        <w:rPr>
          <w:rFonts w:ascii="Calibri" w:hAnsi="Calibri" w:cs="Calibri"/>
        </w:rPr>
        <w:t xml:space="preserve">6. </w:t>
      </w:r>
      <w:r w:rsidRPr="0086381A">
        <w:rPr>
          <w:rFonts w:ascii="Calibri" w:hAnsi="Calibri" w:cs="Calibri"/>
        </w:rPr>
        <w:tab/>
        <w:t xml:space="preserve">Kalukar VJ, Krobo A, Pessireron MF, Suhendra S, Yudistira S. Enhancing Critical Thinking Skills Through Collaborative Learning in Modern Educational Practices. The Journal of Academic Science. 2024 Dec 12;1(8):1145–53. </w:t>
      </w:r>
    </w:p>
    <w:p w14:paraId="3B987C5C" w14:textId="77777777" w:rsidR="0086381A" w:rsidRPr="0086381A" w:rsidRDefault="0086381A" w:rsidP="0086381A">
      <w:pPr>
        <w:pStyle w:val="Bibliography"/>
        <w:rPr>
          <w:rFonts w:ascii="Calibri" w:hAnsi="Calibri" w:cs="Calibri"/>
        </w:rPr>
      </w:pPr>
      <w:r w:rsidRPr="0086381A">
        <w:rPr>
          <w:rFonts w:ascii="Calibri" w:hAnsi="Calibri" w:cs="Calibri"/>
        </w:rPr>
        <w:t xml:space="preserve">7. </w:t>
      </w:r>
      <w:r w:rsidRPr="0086381A">
        <w:rPr>
          <w:rFonts w:ascii="Calibri" w:hAnsi="Calibri" w:cs="Calibri"/>
        </w:rPr>
        <w:tab/>
        <w:t xml:space="preserve">Zhou M, Wang X, Wang R. Foreign language learning’s role in the development of global competence: A latent profile analysis. Acta Psychologica. 2025 Apr 1;254:104850. </w:t>
      </w:r>
    </w:p>
    <w:p w14:paraId="63E7A1FF" w14:textId="77777777" w:rsidR="0086381A" w:rsidRPr="0086381A" w:rsidRDefault="0086381A" w:rsidP="0086381A">
      <w:pPr>
        <w:pStyle w:val="Bibliography"/>
        <w:rPr>
          <w:rFonts w:ascii="Calibri" w:hAnsi="Calibri" w:cs="Calibri"/>
        </w:rPr>
      </w:pPr>
      <w:r w:rsidRPr="0086381A">
        <w:rPr>
          <w:rFonts w:ascii="Calibri" w:hAnsi="Calibri" w:cs="Calibri"/>
        </w:rPr>
        <w:t xml:space="preserve">8. </w:t>
      </w:r>
      <w:r w:rsidRPr="0086381A">
        <w:rPr>
          <w:rFonts w:ascii="Calibri" w:hAnsi="Calibri" w:cs="Calibri"/>
        </w:rPr>
        <w:tab/>
        <w:t xml:space="preserve">Saini M, Sengupta E, Singh M, Singh H, Singh J. Sustainable Development Goal for Quality Education (SDG 4): A study on SDG 4 to extract the pattern of association among the indicators of SDG 4 employing a genetic algorithm. Educ Inf Technol (Dordr). 2023;28(2):2031–69. </w:t>
      </w:r>
    </w:p>
    <w:p w14:paraId="483EA5E7" w14:textId="77777777" w:rsidR="0086381A" w:rsidRPr="0086381A" w:rsidRDefault="0086381A" w:rsidP="0086381A">
      <w:pPr>
        <w:pStyle w:val="Bibliography"/>
        <w:rPr>
          <w:rFonts w:ascii="Calibri" w:hAnsi="Calibri" w:cs="Calibri"/>
        </w:rPr>
      </w:pPr>
      <w:r w:rsidRPr="0086381A">
        <w:rPr>
          <w:rFonts w:ascii="Calibri" w:hAnsi="Calibri" w:cs="Calibri"/>
        </w:rPr>
        <w:t xml:space="preserve">9. </w:t>
      </w:r>
      <w:r w:rsidRPr="0086381A">
        <w:rPr>
          <w:rFonts w:ascii="Calibri" w:hAnsi="Calibri" w:cs="Calibri"/>
        </w:rPr>
        <w:tab/>
        <w:t>Drake SM, Reid JL. 21st Century Competencies in Light of the History of Integrated Curriculum. Front Educ [Internet]. 2020 Jul 14 [cited 2025 Aug 13];5. Available from: https://www.frontiersin.org/journals/education/articles/10.3389/feduc.2020.00122/full</w:t>
      </w:r>
    </w:p>
    <w:p w14:paraId="266F68D5" w14:textId="77777777" w:rsidR="0086381A" w:rsidRPr="0086381A" w:rsidRDefault="0086381A" w:rsidP="0086381A">
      <w:pPr>
        <w:pStyle w:val="Bibliography"/>
        <w:rPr>
          <w:rFonts w:ascii="Calibri" w:hAnsi="Calibri" w:cs="Calibri"/>
        </w:rPr>
      </w:pPr>
      <w:r w:rsidRPr="0086381A">
        <w:rPr>
          <w:rFonts w:ascii="Calibri" w:hAnsi="Calibri" w:cs="Calibri"/>
        </w:rPr>
        <w:t xml:space="preserve">10. </w:t>
      </w:r>
      <w:r w:rsidRPr="0086381A">
        <w:rPr>
          <w:rFonts w:ascii="Calibri" w:hAnsi="Calibri" w:cs="Calibri"/>
        </w:rPr>
        <w:tab/>
        <w:t xml:space="preserve">Zou Y, Kuek F, Feng W, Cheng X. Digital learning in the 21st century: trends, challenges, and innovations in technology integration. Front Educ. 2025 Mar 28;10:1562391. </w:t>
      </w:r>
    </w:p>
    <w:p w14:paraId="1B158C06" w14:textId="77777777" w:rsidR="0086381A" w:rsidRPr="0086381A" w:rsidRDefault="0086381A" w:rsidP="0086381A">
      <w:pPr>
        <w:pStyle w:val="Bibliography"/>
        <w:rPr>
          <w:rFonts w:ascii="Calibri" w:hAnsi="Calibri" w:cs="Calibri"/>
        </w:rPr>
      </w:pPr>
      <w:r w:rsidRPr="0086381A">
        <w:rPr>
          <w:rFonts w:ascii="Calibri" w:hAnsi="Calibri" w:cs="Calibri"/>
        </w:rPr>
        <w:t xml:space="preserve">11. </w:t>
      </w:r>
      <w:r w:rsidRPr="0086381A">
        <w:rPr>
          <w:rFonts w:ascii="Calibri" w:hAnsi="Calibri" w:cs="Calibri"/>
        </w:rPr>
        <w:tab/>
        <w:t xml:space="preserve">Opara JA. A Comparative Analysis of Universal Basic Education Programme in Nigeria (UBE) and the “Grundskola” Education Programme of Sweden. Mediterranean Journal of Social Sciences. 2011 Dec 1;2(7):79. </w:t>
      </w:r>
    </w:p>
    <w:p w14:paraId="24A97116" w14:textId="77777777" w:rsidR="0086381A" w:rsidRPr="0086381A" w:rsidRDefault="0086381A" w:rsidP="0086381A">
      <w:pPr>
        <w:pStyle w:val="Bibliography"/>
        <w:rPr>
          <w:rFonts w:ascii="Calibri" w:hAnsi="Calibri" w:cs="Calibri"/>
        </w:rPr>
      </w:pPr>
      <w:r w:rsidRPr="0086381A">
        <w:rPr>
          <w:rFonts w:ascii="Calibri" w:hAnsi="Calibri" w:cs="Calibri"/>
        </w:rPr>
        <w:lastRenderedPageBreak/>
        <w:t xml:space="preserve">12. </w:t>
      </w:r>
      <w:r w:rsidRPr="0086381A">
        <w:rPr>
          <w:rFonts w:ascii="Calibri" w:hAnsi="Calibri" w:cs="Calibri"/>
        </w:rPr>
        <w:tab/>
        <w:t xml:space="preserve">Haleem A, Javaid M, Qadri MA, Suman R. Understanding the role of digital technologies in education: A review. Sustainable Operations and Computers. 2022 Jan 1;3:275–85. </w:t>
      </w:r>
    </w:p>
    <w:p w14:paraId="13642798" w14:textId="77777777" w:rsidR="0086381A" w:rsidRPr="0086381A" w:rsidRDefault="0086381A" w:rsidP="0086381A">
      <w:pPr>
        <w:pStyle w:val="Bibliography"/>
        <w:rPr>
          <w:rFonts w:ascii="Calibri" w:hAnsi="Calibri" w:cs="Calibri"/>
        </w:rPr>
      </w:pPr>
      <w:r w:rsidRPr="0086381A">
        <w:rPr>
          <w:rFonts w:ascii="Calibri" w:hAnsi="Calibri" w:cs="Calibri"/>
        </w:rPr>
        <w:t xml:space="preserve">13. </w:t>
      </w:r>
      <w:r w:rsidRPr="0086381A">
        <w:rPr>
          <w:rFonts w:ascii="Calibri" w:hAnsi="Calibri" w:cs="Calibri"/>
        </w:rPr>
        <w:tab/>
        <w:t xml:space="preserve">Amoako I. What’s at Stake in High-Stakes Testing in Ghana: Implication for Curriculum Implementation in Basic Schools. International Journal of Social Sciences &amp; Educational Studies. 2019 Mar 1;5(3):72–82. </w:t>
      </w:r>
    </w:p>
    <w:p w14:paraId="044FBA74" w14:textId="77777777" w:rsidR="0086381A" w:rsidRPr="0086381A" w:rsidRDefault="0086381A" w:rsidP="0086381A">
      <w:pPr>
        <w:pStyle w:val="Bibliography"/>
        <w:rPr>
          <w:rFonts w:ascii="Calibri" w:hAnsi="Calibri" w:cs="Calibri"/>
        </w:rPr>
      </w:pPr>
      <w:r w:rsidRPr="0086381A">
        <w:rPr>
          <w:rFonts w:ascii="Calibri" w:hAnsi="Calibri" w:cs="Calibri"/>
        </w:rPr>
        <w:t xml:space="preserve">14. </w:t>
      </w:r>
      <w:r w:rsidRPr="0086381A">
        <w:rPr>
          <w:rFonts w:ascii="Calibri" w:hAnsi="Calibri" w:cs="Calibri"/>
        </w:rPr>
        <w:tab/>
        <w:t xml:space="preserve">Uzorka A, Namara S, Olaniyan AO. Modern technology adoption and professional development of lecturers. Educ Inf Technol (Dordr). 2023 Apr 17;1–27. </w:t>
      </w:r>
    </w:p>
    <w:p w14:paraId="01B0AB84" w14:textId="77777777" w:rsidR="0086381A" w:rsidRPr="0086381A" w:rsidRDefault="0086381A" w:rsidP="0086381A">
      <w:pPr>
        <w:pStyle w:val="Bibliography"/>
        <w:rPr>
          <w:rFonts w:ascii="Calibri" w:hAnsi="Calibri" w:cs="Calibri"/>
        </w:rPr>
      </w:pPr>
      <w:r w:rsidRPr="0086381A">
        <w:rPr>
          <w:rFonts w:ascii="Calibri" w:hAnsi="Calibri" w:cs="Calibri"/>
        </w:rPr>
        <w:t xml:space="preserve">15. </w:t>
      </w:r>
      <w:r w:rsidRPr="0086381A">
        <w:rPr>
          <w:rFonts w:ascii="Calibri" w:hAnsi="Calibri" w:cs="Calibri"/>
        </w:rPr>
        <w:tab/>
        <w:t xml:space="preserve">Herlinawati H, Marwa M, Ismail N, Junaidi, Liza LO, Situmorang DDB. The integration of 21st century skills in the curriculum of education. Heliyon. 2024 Aug 3;10(15):e35148. </w:t>
      </w:r>
    </w:p>
    <w:p w14:paraId="71B0A358" w14:textId="77777777" w:rsidR="0086381A" w:rsidRPr="0086381A" w:rsidRDefault="0086381A" w:rsidP="0086381A">
      <w:pPr>
        <w:pStyle w:val="Bibliography"/>
        <w:rPr>
          <w:rFonts w:ascii="Calibri" w:hAnsi="Calibri" w:cs="Calibri"/>
        </w:rPr>
      </w:pPr>
      <w:r w:rsidRPr="0086381A">
        <w:rPr>
          <w:rFonts w:ascii="Calibri" w:hAnsi="Calibri" w:cs="Calibri"/>
        </w:rPr>
        <w:t xml:space="preserve">16. </w:t>
      </w:r>
      <w:r w:rsidRPr="0086381A">
        <w:rPr>
          <w:rFonts w:ascii="Calibri" w:hAnsi="Calibri" w:cs="Calibri"/>
        </w:rPr>
        <w:tab/>
        <w:t xml:space="preserve">Mogere VB, Mbataru DP. Determinants of Competence-Based Curriculum Implementation in Selected Public Primary Schools in Nairobi County, Kenya. Journal of Public Policy and Governance. 2023 May 8;3(1):39–50. </w:t>
      </w:r>
    </w:p>
    <w:p w14:paraId="2077503F" w14:textId="77777777" w:rsidR="0086381A" w:rsidRPr="0086381A" w:rsidRDefault="0086381A" w:rsidP="0086381A">
      <w:pPr>
        <w:pStyle w:val="Bibliography"/>
        <w:rPr>
          <w:rFonts w:ascii="Calibri" w:hAnsi="Calibri" w:cs="Calibri"/>
        </w:rPr>
      </w:pPr>
      <w:r w:rsidRPr="0086381A">
        <w:rPr>
          <w:rFonts w:ascii="Calibri" w:hAnsi="Calibri" w:cs="Calibri"/>
        </w:rPr>
        <w:t xml:space="preserve">17. </w:t>
      </w:r>
      <w:r w:rsidRPr="0086381A">
        <w:rPr>
          <w:rFonts w:ascii="Calibri" w:hAnsi="Calibri" w:cs="Calibri"/>
        </w:rPr>
        <w:tab/>
        <w:t>Kulal A, N A, Dinesh S, Bhat DC, Girish A. Evaluating the Promise and Pitfalls of India’s National Education Policy 2020: Insights from the Perspectives of Students, Teachers, and Experts. SAGE Open [Internet]. 2024 Oct 21 [cited 2025 Aug 13]; Available from: https://journals.sagepub.com/doi/10.1177/21582440241279367</w:t>
      </w:r>
    </w:p>
    <w:p w14:paraId="1C4E533C" w14:textId="77777777" w:rsidR="0086381A" w:rsidRPr="0086381A" w:rsidRDefault="0086381A" w:rsidP="0086381A">
      <w:pPr>
        <w:pStyle w:val="Bibliography"/>
        <w:rPr>
          <w:rFonts w:ascii="Calibri" w:hAnsi="Calibri" w:cs="Calibri"/>
        </w:rPr>
      </w:pPr>
      <w:r w:rsidRPr="0086381A">
        <w:rPr>
          <w:rFonts w:ascii="Calibri" w:hAnsi="Calibri" w:cs="Calibri"/>
        </w:rPr>
        <w:t xml:space="preserve">18. </w:t>
      </w:r>
      <w:r w:rsidRPr="0086381A">
        <w:rPr>
          <w:rFonts w:ascii="Calibri" w:hAnsi="Calibri" w:cs="Calibri"/>
        </w:rPr>
        <w:tab/>
        <w:t>Schaffar B, Wolff LA. Phenomenon-based learning in Finland: a critical overview of its historical and philosophical roots. Cogent Education [Internet]. 2024 Dec 31 [cited 2025 Aug 13]; Available from: https://www.tandfonline.com/doi/abs/10.1080/2331186X.2024.2309733</w:t>
      </w:r>
    </w:p>
    <w:p w14:paraId="03DBF02E" w14:textId="77777777" w:rsidR="0086381A" w:rsidRPr="0086381A" w:rsidRDefault="0086381A" w:rsidP="0086381A">
      <w:pPr>
        <w:pStyle w:val="Bibliography"/>
        <w:rPr>
          <w:rFonts w:ascii="Calibri" w:hAnsi="Calibri" w:cs="Calibri"/>
        </w:rPr>
      </w:pPr>
      <w:r w:rsidRPr="0086381A">
        <w:rPr>
          <w:rFonts w:ascii="Calibri" w:hAnsi="Calibri" w:cs="Calibri"/>
        </w:rPr>
        <w:t xml:space="preserve">19. </w:t>
      </w:r>
      <w:r w:rsidRPr="0086381A">
        <w:rPr>
          <w:rFonts w:ascii="Calibri" w:hAnsi="Calibri" w:cs="Calibri"/>
        </w:rPr>
        <w:tab/>
        <w:t xml:space="preserve">Ajah IA, Chigozie-Okwum CC. ICT and administrative effectiveness of University in Nigeria: A connect between leadership and knowledge. AFRREV STECH: An International Journal of Science and Technology. 2019 Dec 9;8(2):64–85. </w:t>
      </w:r>
    </w:p>
    <w:p w14:paraId="2799BDD9" w14:textId="77777777" w:rsidR="0086381A" w:rsidRPr="0086381A" w:rsidRDefault="0086381A" w:rsidP="0086381A">
      <w:pPr>
        <w:pStyle w:val="Bibliography"/>
        <w:rPr>
          <w:rFonts w:ascii="Calibri" w:hAnsi="Calibri" w:cs="Calibri"/>
        </w:rPr>
      </w:pPr>
      <w:r w:rsidRPr="0086381A">
        <w:rPr>
          <w:rFonts w:ascii="Calibri" w:hAnsi="Calibri" w:cs="Calibri"/>
        </w:rPr>
        <w:t xml:space="preserve">20. </w:t>
      </w:r>
      <w:r w:rsidRPr="0086381A">
        <w:rPr>
          <w:rFonts w:ascii="Calibri" w:hAnsi="Calibri" w:cs="Calibri"/>
        </w:rPr>
        <w:tab/>
        <w:t xml:space="preserve">Wanyama BW. Competency based curriculum in Kenya: Taking stock of implementation process at early years education. Culture, Education, and Future. 2025 Jun 26;3(1):135–58. </w:t>
      </w:r>
    </w:p>
    <w:p w14:paraId="5014FCF5" w14:textId="77777777" w:rsidR="0086381A" w:rsidRPr="0086381A" w:rsidRDefault="0086381A" w:rsidP="0086381A">
      <w:pPr>
        <w:pStyle w:val="Bibliography"/>
        <w:rPr>
          <w:rFonts w:ascii="Calibri" w:hAnsi="Calibri" w:cs="Calibri"/>
        </w:rPr>
      </w:pPr>
      <w:r w:rsidRPr="0086381A">
        <w:rPr>
          <w:rFonts w:ascii="Calibri" w:hAnsi="Calibri" w:cs="Calibri"/>
        </w:rPr>
        <w:t xml:space="preserve">21. </w:t>
      </w:r>
      <w:r w:rsidRPr="0086381A">
        <w:rPr>
          <w:rFonts w:ascii="Calibri" w:hAnsi="Calibri" w:cs="Calibri"/>
        </w:rPr>
        <w:tab/>
        <w:t>New Education Policy 2024 [Internet]. Proctur Blog. 2025 [cited 2025 Aug 13]. Available from: https://proctur.com/blog/new-education-policy-2024/</w:t>
      </w:r>
    </w:p>
    <w:p w14:paraId="503915A6" w14:textId="77777777" w:rsidR="0086381A" w:rsidRPr="0086381A" w:rsidRDefault="0086381A" w:rsidP="0086381A">
      <w:pPr>
        <w:pStyle w:val="Bibliography"/>
        <w:rPr>
          <w:rFonts w:ascii="Calibri" w:hAnsi="Calibri" w:cs="Calibri"/>
        </w:rPr>
      </w:pPr>
      <w:r w:rsidRPr="0086381A">
        <w:rPr>
          <w:rFonts w:ascii="Calibri" w:hAnsi="Calibri" w:cs="Calibri"/>
        </w:rPr>
        <w:t xml:space="preserve">22. </w:t>
      </w:r>
      <w:r w:rsidRPr="0086381A">
        <w:rPr>
          <w:rFonts w:ascii="Calibri" w:hAnsi="Calibri" w:cs="Calibri"/>
        </w:rPr>
        <w:tab/>
        <w:t>(PDF) Implementing Classroom Assessment In Malaysia: An Investigation [Internet]. ResearchGate. 2025 [cited 2025 Aug 13]. Available from: https://www.researchgate.net/publication/348355621_Implementing_Classroom_Assessment_In_Malaysia_An_Investigation</w:t>
      </w:r>
    </w:p>
    <w:p w14:paraId="3900688E" w14:textId="77777777" w:rsidR="0086381A" w:rsidRPr="0086381A" w:rsidRDefault="0086381A" w:rsidP="0086381A">
      <w:pPr>
        <w:pStyle w:val="Bibliography"/>
        <w:rPr>
          <w:rFonts w:ascii="Calibri" w:hAnsi="Calibri" w:cs="Calibri"/>
        </w:rPr>
      </w:pPr>
      <w:r w:rsidRPr="0086381A">
        <w:rPr>
          <w:rFonts w:ascii="Calibri" w:hAnsi="Calibri" w:cs="Calibri"/>
        </w:rPr>
        <w:t xml:space="preserve">23. </w:t>
      </w:r>
      <w:r w:rsidRPr="0086381A">
        <w:rPr>
          <w:rFonts w:ascii="Calibri" w:hAnsi="Calibri" w:cs="Calibri"/>
        </w:rPr>
        <w:tab/>
        <w:t xml:space="preserve">Hietamäki U, Harju-Luukkainen H, Maunula M. Multidisciplinary learning assessment in Finland – a phenomenographic approach on teachers’ perceptions. Education 3-13. :1–14. </w:t>
      </w:r>
    </w:p>
    <w:p w14:paraId="5FB7F4F6" w14:textId="77777777" w:rsidR="0086381A" w:rsidRPr="0086381A" w:rsidRDefault="0086381A" w:rsidP="0086381A">
      <w:pPr>
        <w:pStyle w:val="Bibliography"/>
        <w:rPr>
          <w:rFonts w:ascii="Calibri" w:hAnsi="Calibri" w:cs="Calibri"/>
        </w:rPr>
      </w:pPr>
      <w:r w:rsidRPr="0086381A">
        <w:rPr>
          <w:rFonts w:ascii="Calibri" w:hAnsi="Calibri" w:cs="Calibri"/>
        </w:rPr>
        <w:t xml:space="preserve">24. </w:t>
      </w:r>
      <w:r w:rsidRPr="0086381A">
        <w:rPr>
          <w:rFonts w:ascii="Calibri" w:hAnsi="Calibri" w:cs="Calibri"/>
        </w:rPr>
        <w:tab/>
        <w:t xml:space="preserve">Shaber N, Shah SK, Imran M, Almusharraf N. Exploring the Relationship Between Critical Thinking and Creativity in University Students: Gender Differences and the Assessment of Skills. Education Sciences. 2025 Apr;15(4):464. </w:t>
      </w:r>
    </w:p>
    <w:p w14:paraId="2F3D785B" w14:textId="77777777" w:rsidR="0086381A" w:rsidRPr="0086381A" w:rsidRDefault="0086381A" w:rsidP="0086381A">
      <w:pPr>
        <w:pStyle w:val="Bibliography"/>
        <w:rPr>
          <w:rFonts w:ascii="Calibri" w:hAnsi="Calibri" w:cs="Calibri"/>
        </w:rPr>
      </w:pPr>
      <w:r w:rsidRPr="0086381A">
        <w:rPr>
          <w:rFonts w:ascii="Calibri" w:hAnsi="Calibri" w:cs="Calibri"/>
        </w:rPr>
        <w:lastRenderedPageBreak/>
        <w:t xml:space="preserve">25. </w:t>
      </w:r>
      <w:r w:rsidRPr="0086381A">
        <w:rPr>
          <w:rFonts w:ascii="Calibri" w:hAnsi="Calibri" w:cs="Calibri"/>
        </w:rPr>
        <w:tab/>
        <w:t>(PDF) EXPLORING CULTURAL INFLUENCES ON CURRICULUM AND EDUCATION REFORMS: LESSONS FOR NIGERIA’S FUTURE [Internet]. [cited 2025 Aug 13]. Available from: https://www.researchgate.net/publication/382039272_EXPLORING_CULTURAL_INFLUENCES_ON_CURRICULUM_AND_EDUCATION_REFORMS_LESSONS_FOR_NIGERIA'S_FUTURE</w:t>
      </w:r>
    </w:p>
    <w:p w14:paraId="643EFF9E" w14:textId="77777777" w:rsidR="0086381A" w:rsidRPr="0086381A" w:rsidRDefault="0086381A" w:rsidP="0086381A">
      <w:pPr>
        <w:pStyle w:val="Bibliography"/>
        <w:rPr>
          <w:rFonts w:ascii="Calibri" w:hAnsi="Calibri" w:cs="Calibri"/>
        </w:rPr>
      </w:pPr>
      <w:r w:rsidRPr="0086381A">
        <w:rPr>
          <w:rFonts w:ascii="Calibri" w:hAnsi="Calibri" w:cs="Calibri"/>
        </w:rPr>
        <w:t xml:space="preserve">26. </w:t>
      </w:r>
      <w:r w:rsidRPr="0086381A">
        <w:rPr>
          <w:rFonts w:ascii="Calibri" w:hAnsi="Calibri" w:cs="Calibri"/>
        </w:rPr>
        <w:tab/>
        <w:t xml:space="preserve">Lwamba E, Shisler S, Ridlehoover W, Kupfer M, Tshabalala N, Nduku P, et al. Strengthening women’s empowerment and gender equality in fragile contexts towards peaceful and inclusive societies: A systematic review and meta‐analysis. Campbell Syst Rev. 2022 Mar 8;18(1):e1214. </w:t>
      </w:r>
    </w:p>
    <w:p w14:paraId="5FE131F4" w14:textId="77777777" w:rsidR="0086381A" w:rsidRPr="0086381A" w:rsidRDefault="0086381A" w:rsidP="0086381A">
      <w:pPr>
        <w:pStyle w:val="Bibliography"/>
        <w:rPr>
          <w:rFonts w:ascii="Calibri" w:hAnsi="Calibri" w:cs="Calibri"/>
        </w:rPr>
      </w:pPr>
      <w:r w:rsidRPr="0086381A">
        <w:rPr>
          <w:rFonts w:ascii="Calibri" w:hAnsi="Calibri" w:cs="Calibri"/>
        </w:rPr>
        <w:t xml:space="preserve">27. </w:t>
      </w:r>
      <w:r w:rsidRPr="0086381A">
        <w:rPr>
          <w:rFonts w:ascii="Calibri" w:hAnsi="Calibri" w:cs="Calibri"/>
        </w:rPr>
        <w:tab/>
        <w:t>The Role of Civic Education [Internet]. [cited 2025 Aug 13]. Available from: https://civiced.org/papers/articles_role.html</w:t>
      </w:r>
    </w:p>
    <w:p w14:paraId="5D464A83" w14:textId="77777777" w:rsidR="0086381A" w:rsidRPr="0086381A" w:rsidRDefault="0086381A" w:rsidP="0086381A">
      <w:pPr>
        <w:pStyle w:val="Bibliography"/>
        <w:rPr>
          <w:rFonts w:ascii="Calibri" w:hAnsi="Calibri" w:cs="Calibri"/>
        </w:rPr>
      </w:pPr>
      <w:r w:rsidRPr="0086381A">
        <w:rPr>
          <w:rFonts w:ascii="Calibri" w:hAnsi="Calibri" w:cs="Calibri"/>
        </w:rPr>
        <w:t xml:space="preserve">28. </w:t>
      </w:r>
      <w:r w:rsidRPr="0086381A">
        <w:rPr>
          <w:rFonts w:ascii="Calibri" w:hAnsi="Calibri" w:cs="Calibri"/>
        </w:rPr>
        <w:tab/>
        <w:t xml:space="preserve">Janssens O, Embo M, Valcke M, Haerens L. When theory beats practice: the implementation of competency-based education at healthcare workplaces. BMC Med Educ. 2023 Jun 29;23:484. </w:t>
      </w:r>
    </w:p>
    <w:p w14:paraId="6CA55A81" w14:textId="77777777" w:rsidR="0086381A" w:rsidRPr="0086381A" w:rsidRDefault="0086381A" w:rsidP="0086381A">
      <w:pPr>
        <w:pStyle w:val="Bibliography"/>
        <w:rPr>
          <w:rFonts w:ascii="Calibri" w:hAnsi="Calibri" w:cs="Calibri"/>
        </w:rPr>
      </w:pPr>
      <w:r w:rsidRPr="0086381A">
        <w:rPr>
          <w:rFonts w:ascii="Calibri" w:hAnsi="Calibri" w:cs="Calibri"/>
        </w:rPr>
        <w:t xml:space="preserve">29. </w:t>
      </w:r>
      <w:r w:rsidRPr="0086381A">
        <w:rPr>
          <w:rFonts w:ascii="Calibri" w:hAnsi="Calibri" w:cs="Calibri"/>
        </w:rPr>
        <w:tab/>
        <w:t xml:space="preserve">Kormos E, Wisdom K. Digital divide and teaching modality: It’s role in technology and instructional strategies. Educ Inf Technol (Dordr). 2023 Jan 19;1–19. </w:t>
      </w:r>
    </w:p>
    <w:p w14:paraId="1E8DFBAE" w14:textId="77777777" w:rsidR="0086381A" w:rsidRPr="0086381A" w:rsidRDefault="0086381A" w:rsidP="0086381A">
      <w:pPr>
        <w:pStyle w:val="Bibliography"/>
        <w:rPr>
          <w:rFonts w:ascii="Calibri" w:hAnsi="Calibri" w:cs="Calibri"/>
        </w:rPr>
      </w:pPr>
      <w:r w:rsidRPr="0086381A">
        <w:rPr>
          <w:rFonts w:ascii="Calibri" w:hAnsi="Calibri" w:cs="Calibri"/>
        </w:rPr>
        <w:t xml:space="preserve">30. </w:t>
      </w:r>
      <w:r w:rsidRPr="0086381A">
        <w:rPr>
          <w:rFonts w:ascii="Calibri" w:hAnsi="Calibri" w:cs="Calibri"/>
        </w:rPr>
        <w:tab/>
        <w:t xml:space="preserve">Courtois SL, Ezeugwu CR, Fajardo-Tovar DD, Nowack SK, Okullo DO, Bayley S, et al. Learning through play in Global Majority countries: reflections from the PEDAL centre on understanding and adapting the concept in four different contexts. International Journal of Play. 2024 Jul 2;13(3):228–53. </w:t>
      </w:r>
    </w:p>
    <w:p w14:paraId="47FCFC94" w14:textId="77777777" w:rsidR="0086381A" w:rsidRPr="0086381A" w:rsidRDefault="0086381A" w:rsidP="0086381A">
      <w:pPr>
        <w:pStyle w:val="Bibliography"/>
        <w:rPr>
          <w:rFonts w:ascii="Calibri" w:hAnsi="Calibri" w:cs="Calibri"/>
        </w:rPr>
      </w:pPr>
      <w:r w:rsidRPr="0086381A">
        <w:rPr>
          <w:rFonts w:ascii="Calibri" w:hAnsi="Calibri" w:cs="Calibri"/>
        </w:rPr>
        <w:t xml:space="preserve">31. </w:t>
      </w:r>
      <w:r w:rsidRPr="0086381A">
        <w:rPr>
          <w:rFonts w:ascii="Calibri" w:hAnsi="Calibri" w:cs="Calibri"/>
        </w:rPr>
        <w:tab/>
        <w:t xml:space="preserve">Zamiri M, Esmaeili A. Strategies, Methods, and Supports for Developing Skills within Learning Communities: A Systematic Review of the Literature. Administrative Sciences. 2024 Sep;14(9):231. </w:t>
      </w:r>
    </w:p>
    <w:p w14:paraId="4F72A6B6" w14:textId="77777777" w:rsidR="0086381A" w:rsidRPr="0086381A" w:rsidRDefault="0086381A" w:rsidP="0086381A">
      <w:pPr>
        <w:pStyle w:val="Bibliography"/>
        <w:rPr>
          <w:rFonts w:ascii="Calibri" w:hAnsi="Calibri" w:cs="Calibri"/>
        </w:rPr>
      </w:pPr>
      <w:r w:rsidRPr="0086381A">
        <w:rPr>
          <w:rFonts w:ascii="Calibri" w:hAnsi="Calibri" w:cs="Calibri"/>
        </w:rPr>
        <w:t xml:space="preserve">32. </w:t>
      </w:r>
      <w:r w:rsidRPr="0086381A">
        <w:rPr>
          <w:rFonts w:ascii="Calibri" w:hAnsi="Calibri" w:cs="Calibri"/>
        </w:rPr>
        <w:tab/>
        <w:t>Zhang L, Ma Y. A study of the impact of project-based learning on student learning effects: a meta-analysis study. Front Psychol [Internet]. 2023 Jul 17 [cited 2025 Aug 13];14. Available from: https://www.frontiersin.org/journals/psychology/articles/10.3389/fpsyg.2023.1202728/full</w:t>
      </w:r>
    </w:p>
    <w:p w14:paraId="7C727200" w14:textId="77777777" w:rsidR="0086381A" w:rsidRPr="0086381A" w:rsidRDefault="0086381A" w:rsidP="0086381A">
      <w:pPr>
        <w:pStyle w:val="Bibliography"/>
        <w:rPr>
          <w:rFonts w:ascii="Calibri" w:hAnsi="Calibri" w:cs="Calibri"/>
        </w:rPr>
      </w:pPr>
      <w:r w:rsidRPr="0086381A">
        <w:rPr>
          <w:rFonts w:ascii="Calibri" w:hAnsi="Calibri" w:cs="Calibri"/>
        </w:rPr>
        <w:t xml:space="preserve">33. </w:t>
      </w:r>
      <w:r w:rsidRPr="0086381A">
        <w:rPr>
          <w:rFonts w:ascii="Calibri" w:hAnsi="Calibri" w:cs="Calibri"/>
        </w:rPr>
        <w:tab/>
        <w:t>Hardman F, Sandi AM. School Improvement in Rural Settings: A Review of International Research and Practice. In: Zhao Y, Liu J, editors. Rural School Improvement in Developing Countries [Internet]. Singapore: Springer Nature; 2024 [cited 2025 Aug 13]. p. 1–35. Available from: https://doi.org/10.1007/978-981-97-4917-1_1</w:t>
      </w:r>
    </w:p>
    <w:p w14:paraId="4D8C5AB1" w14:textId="77777777" w:rsidR="0086381A" w:rsidRPr="0086381A" w:rsidRDefault="0086381A" w:rsidP="0086381A">
      <w:pPr>
        <w:pStyle w:val="Bibliography"/>
        <w:rPr>
          <w:rFonts w:ascii="Calibri" w:hAnsi="Calibri" w:cs="Calibri"/>
        </w:rPr>
      </w:pPr>
      <w:r w:rsidRPr="0086381A">
        <w:rPr>
          <w:rFonts w:ascii="Calibri" w:hAnsi="Calibri" w:cs="Calibri"/>
        </w:rPr>
        <w:t xml:space="preserve">34. </w:t>
      </w:r>
      <w:r w:rsidRPr="0086381A">
        <w:rPr>
          <w:rFonts w:ascii="Calibri" w:hAnsi="Calibri" w:cs="Calibri"/>
        </w:rPr>
        <w:tab/>
        <w:t xml:space="preserve">Levy-Feldman I. The Role of Assessment in Improving Education and Promoting Educational Equity. Education Sciences. 2025 Feb;15(2):224. </w:t>
      </w:r>
    </w:p>
    <w:p w14:paraId="1C801956" w14:textId="77777777" w:rsidR="0086381A" w:rsidRPr="0086381A" w:rsidRDefault="0086381A" w:rsidP="0086381A">
      <w:pPr>
        <w:pStyle w:val="Bibliography"/>
        <w:rPr>
          <w:rFonts w:ascii="Calibri" w:hAnsi="Calibri" w:cs="Calibri"/>
        </w:rPr>
      </w:pPr>
      <w:r w:rsidRPr="0086381A">
        <w:rPr>
          <w:rFonts w:ascii="Calibri" w:hAnsi="Calibri" w:cs="Calibri"/>
        </w:rPr>
        <w:t xml:space="preserve">35. </w:t>
      </w:r>
      <w:r w:rsidRPr="0086381A">
        <w:rPr>
          <w:rFonts w:ascii="Calibri" w:hAnsi="Calibri" w:cs="Calibri"/>
        </w:rPr>
        <w:tab/>
        <w:t xml:space="preserve">González-Pérez LI, Ramírez-Montoya MS. Components of Education 4.0 in 21st Century Skills Frameworks: Systematic Review. Sustainability. 2022 Jan;14(3):1493. </w:t>
      </w:r>
    </w:p>
    <w:p w14:paraId="7958B455" w14:textId="77777777" w:rsidR="0086381A" w:rsidRPr="0086381A" w:rsidRDefault="0086381A" w:rsidP="0086381A">
      <w:pPr>
        <w:pStyle w:val="Bibliography"/>
        <w:rPr>
          <w:rFonts w:ascii="Calibri" w:hAnsi="Calibri" w:cs="Calibri"/>
        </w:rPr>
      </w:pPr>
      <w:r w:rsidRPr="0086381A">
        <w:rPr>
          <w:rFonts w:ascii="Calibri" w:hAnsi="Calibri" w:cs="Calibri"/>
        </w:rPr>
        <w:t xml:space="preserve">36. </w:t>
      </w:r>
      <w:r w:rsidRPr="0086381A">
        <w:rPr>
          <w:rFonts w:ascii="Calibri" w:hAnsi="Calibri" w:cs="Calibri"/>
        </w:rPr>
        <w:tab/>
        <w:t>Berisha F, Vula E. Developing Pre-service Teachers Conceptualization of STEM and STEM Pedagogical Practices. Front Educ [Internet]. 2021 May 31 [cited 2025 Aug 13];6. Available from: https://www.frontiersin.org/journals/education/articles/10.3389/feduc.2021.585075/full</w:t>
      </w:r>
    </w:p>
    <w:p w14:paraId="5B0B14A4" w14:textId="77777777" w:rsidR="0086381A" w:rsidRPr="0086381A" w:rsidRDefault="0086381A" w:rsidP="0086381A">
      <w:pPr>
        <w:pStyle w:val="Bibliography"/>
        <w:rPr>
          <w:rFonts w:ascii="Calibri" w:hAnsi="Calibri" w:cs="Calibri"/>
        </w:rPr>
      </w:pPr>
      <w:r w:rsidRPr="0086381A">
        <w:rPr>
          <w:rFonts w:ascii="Calibri" w:hAnsi="Calibri" w:cs="Calibri"/>
        </w:rPr>
        <w:t xml:space="preserve">37. </w:t>
      </w:r>
      <w:r w:rsidRPr="0086381A">
        <w:rPr>
          <w:rFonts w:ascii="Calibri" w:hAnsi="Calibri" w:cs="Calibri"/>
        </w:rPr>
        <w:tab/>
        <w:t xml:space="preserve">Rajabi M, Ebrahimi P, Aryankhesal A. Collaboration between the government and nongovernmental organizations in providing health-care services: A systematic review of challenges. J Educ Health Promot. 2021 Jun 30;10:242. </w:t>
      </w:r>
    </w:p>
    <w:p w14:paraId="5323C9D8" w14:textId="77777777" w:rsidR="0086381A" w:rsidRPr="0086381A" w:rsidRDefault="0086381A" w:rsidP="0086381A">
      <w:pPr>
        <w:pStyle w:val="Bibliography"/>
        <w:rPr>
          <w:rFonts w:ascii="Calibri" w:hAnsi="Calibri" w:cs="Calibri"/>
        </w:rPr>
      </w:pPr>
      <w:r w:rsidRPr="0086381A">
        <w:rPr>
          <w:rFonts w:ascii="Calibri" w:hAnsi="Calibri" w:cs="Calibri"/>
        </w:rPr>
        <w:lastRenderedPageBreak/>
        <w:t xml:space="preserve">38. </w:t>
      </w:r>
      <w:r w:rsidRPr="0086381A">
        <w:rPr>
          <w:rFonts w:ascii="Calibri" w:hAnsi="Calibri" w:cs="Calibri"/>
        </w:rPr>
        <w:tab/>
        <w:t xml:space="preserve">Folorunsho S, Ajayi V, Abdulrazaq O. Juvenile delinquency as a contemporary issue in Nigeria: understanding the impacts of parenting styles, single parenting and marital discord. African Journal of Social Issues. 2024 Mar 23;7(1):116–32. </w:t>
      </w:r>
    </w:p>
    <w:p w14:paraId="6BC858A4" w14:textId="0B174DD2" w:rsidR="0086381A" w:rsidRPr="0086381A" w:rsidRDefault="0086381A" w:rsidP="00BE4734">
      <w:pPr>
        <w:spacing w:after="0" w:line="240" w:lineRule="auto"/>
        <w:rPr>
          <w:b/>
          <w:bCs/>
        </w:rPr>
      </w:pPr>
      <w:r>
        <w:rPr>
          <w:b/>
          <w:bCs/>
        </w:rPr>
        <w:fldChar w:fldCharType="end"/>
      </w:r>
      <w:commentRangeEnd w:id="42"/>
      <w:commentRangeEnd w:id="43"/>
      <w:r w:rsidR="004827BA">
        <w:rPr>
          <w:rStyle w:val="CommentReference"/>
        </w:rPr>
        <w:commentReference w:id="43"/>
      </w:r>
      <w:r w:rsidR="004827BA">
        <w:rPr>
          <w:rStyle w:val="CommentReference"/>
        </w:rPr>
        <w:commentReference w:id="42"/>
      </w:r>
    </w:p>
    <w:sectPr w:rsidR="0086381A" w:rsidRPr="0086381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Microsoft account" w:date="2025-08-18T12:45:00Z" w:initials="Ma">
    <w:p w14:paraId="4D47E7D7" w14:textId="416516B2" w:rsidR="00217091" w:rsidRDefault="00217091">
      <w:pPr>
        <w:pStyle w:val="CommentText"/>
      </w:pPr>
      <w:r>
        <w:rPr>
          <w:rStyle w:val="CommentReference"/>
        </w:rPr>
        <w:annotationRef/>
      </w:r>
      <w:r>
        <w:t xml:space="preserve">Why not consider </w:t>
      </w:r>
    </w:p>
    <w:p w14:paraId="474F1F00" w14:textId="77777777" w:rsidR="00217091" w:rsidRDefault="00217091">
      <w:pPr>
        <w:pStyle w:val="CommentText"/>
      </w:pPr>
    </w:p>
    <w:p w14:paraId="6672132C" w14:textId="2E4021A6" w:rsidR="00217091" w:rsidRDefault="00217091">
      <w:pPr>
        <w:pStyle w:val="CommentText"/>
      </w:pPr>
      <w:r>
        <w:t>Rethinking Nigeria’s Basic Education Curriculum for the Future Amidst Global Competency Standard: Integrating 21</w:t>
      </w:r>
      <w:r w:rsidRPr="00217091">
        <w:rPr>
          <w:vertAlign w:val="superscript"/>
        </w:rPr>
        <w:t>st</w:t>
      </w:r>
      <w:r>
        <w:t xml:space="preserve">-Century Skills. </w:t>
      </w:r>
    </w:p>
    <w:p w14:paraId="5E248061" w14:textId="77777777" w:rsidR="00217091" w:rsidRDefault="00217091">
      <w:pPr>
        <w:pStyle w:val="CommentText"/>
      </w:pPr>
    </w:p>
    <w:p w14:paraId="395E01A6" w14:textId="77777777" w:rsidR="00217091" w:rsidRDefault="00217091">
      <w:pPr>
        <w:pStyle w:val="CommentText"/>
      </w:pPr>
    </w:p>
  </w:comment>
  <w:comment w:id="1" w:author="Microsoft account" w:date="2025-08-18T11:12:00Z" w:initials="Ma">
    <w:p w14:paraId="00D21597" w14:textId="71F494C0" w:rsidR="00C13F19" w:rsidRDefault="00C13F19">
      <w:pPr>
        <w:pStyle w:val="CommentText"/>
      </w:pPr>
      <w:r>
        <w:rPr>
          <w:rStyle w:val="CommentReference"/>
        </w:rPr>
        <w:annotationRef/>
      </w:r>
      <w:proofErr w:type="gramStart"/>
      <w:r>
        <w:t>remove</w:t>
      </w:r>
      <w:proofErr w:type="gramEnd"/>
    </w:p>
  </w:comment>
  <w:comment w:id="3" w:author="Microsoft account" w:date="2025-08-18T11:25:00Z" w:initials="Ma">
    <w:p w14:paraId="1D6E17A7" w14:textId="3AA576AE" w:rsidR="006A5B28" w:rsidRDefault="006A5B28">
      <w:pPr>
        <w:pStyle w:val="CommentText"/>
      </w:pPr>
      <w:r>
        <w:rPr>
          <w:rStyle w:val="CommentReference"/>
        </w:rPr>
        <w:annotationRef/>
      </w:r>
      <w:r>
        <w:t xml:space="preserve">Kindly recast, follow the thought provided below </w:t>
      </w:r>
    </w:p>
    <w:p w14:paraId="5D7DB569" w14:textId="77777777" w:rsidR="006A5B28" w:rsidRDefault="006A5B28">
      <w:pPr>
        <w:pStyle w:val="CommentText"/>
      </w:pPr>
    </w:p>
    <w:p w14:paraId="0B0402CD" w14:textId="6809DD5A" w:rsidR="006A5B28" w:rsidRDefault="006A5B28">
      <w:pPr>
        <w:pStyle w:val="CommentText"/>
      </w:pPr>
      <w:r>
        <w:t xml:space="preserve">The idea should be that, </w:t>
      </w:r>
      <w:r w:rsidRPr="006A5B28">
        <w:rPr>
          <w:b/>
        </w:rPr>
        <w:t>the level of advancement of technology seem to be affecting the economy and the society, based on the forgoing, there is a demand for equipping students with………………………</w:t>
      </w:r>
    </w:p>
  </w:comment>
  <w:comment w:id="4" w:author="Microsoft account" w:date="2025-08-18T11:23:00Z" w:initials="Ma">
    <w:p w14:paraId="42968641" w14:textId="3A00C3D6" w:rsidR="006A5B28" w:rsidRDefault="006A5B28">
      <w:pPr>
        <w:pStyle w:val="CommentText"/>
      </w:pPr>
      <w:r>
        <w:rPr>
          <w:rStyle w:val="CommentReference"/>
        </w:rPr>
        <w:annotationRef/>
      </w:r>
      <w:proofErr w:type="gramStart"/>
      <w:r>
        <w:t>equip</w:t>
      </w:r>
      <w:proofErr w:type="gramEnd"/>
      <w:r>
        <w:t xml:space="preserve"> students with 21st century skills such as……….</w:t>
      </w:r>
    </w:p>
  </w:comment>
  <w:comment w:id="5" w:author="Microsoft account" w:date="2025-08-18T11:24:00Z" w:initials="Ma">
    <w:p w14:paraId="4A65B611" w14:textId="76161963" w:rsidR="006A5B28" w:rsidRDefault="006A5B28">
      <w:pPr>
        <w:pStyle w:val="CommentText"/>
      </w:pPr>
      <w:r>
        <w:rPr>
          <w:rStyle w:val="CommentReference"/>
        </w:rPr>
        <w:annotationRef/>
      </w:r>
      <w:r>
        <w:t xml:space="preserve">Increasingly essential </w:t>
      </w:r>
    </w:p>
  </w:comment>
  <w:comment w:id="7" w:author="Microsoft account" w:date="2025-08-18T11:27:00Z" w:initials="Ma">
    <w:p w14:paraId="78C6BC83" w14:textId="1C29544B" w:rsidR="006A5B28" w:rsidRDefault="006A5B28">
      <w:pPr>
        <w:pStyle w:val="CommentText"/>
      </w:pPr>
      <w:r>
        <w:rPr>
          <w:rStyle w:val="CommentReference"/>
        </w:rPr>
        <w:annotationRef/>
      </w:r>
      <w:r>
        <w:t xml:space="preserve">Write in full for the first citation </w:t>
      </w:r>
    </w:p>
  </w:comment>
  <w:comment w:id="8" w:author="Microsoft account" w:date="2025-08-18T11:28:00Z" w:initials="Ma">
    <w:p w14:paraId="78939397" w14:textId="0584F9B6" w:rsidR="006A5B28" w:rsidRDefault="006A5B28">
      <w:pPr>
        <w:pStyle w:val="CommentText"/>
      </w:pPr>
      <w:r>
        <w:rPr>
          <w:rStyle w:val="CommentReference"/>
        </w:rPr>
        <w:annotationRef/>
      </w:r>
      <w:r>
        <w:t xml:space="preserve">Write in full </w:t>
      </w:r>
    </w:p>
  </w:comment>
  <w:comment w:id="9" w:author="Microsoft account" w:date="2025-08-18T11:29:00Z" w:initials="Ma">
    <w:p w14:paraId="596C6740" w14:textId="2FCF3450" w:rsidR="006A5B28" w:rsidRDefault="006A5B28">
      <w:pPr>
        <w:pStyle w:val="CommentText"/>
      </w:pPr>
      <w:r>
        <w:rPr>
          <w:rStyle w:val="CommentReference"/>
        </w:rPr>
        <w:annotationRef/>
      </w:r>
      <w:r w:rsidR="004132BD">
        <w:t>Change, replace with another word</w:t>
      </w:r>
    </w:p>
  </w:comment>
  <w:comment w:id="10" w:author="Microsoft account" w:date="2025-08-18T11:30:00Z" w:initials="Ma">
    <w:p w14:paraId="3B16B85B" w14:textId="52A8C6F6" w:rsidR="004132BD" w:rsidRDefault="004132BD">
      <w:pPr>
        <w:pStyle w:val="CommentText"/>
      </w:pPr>
      <w:r>
        <w:rPr>
          <w:rStyle w:val="CommentReference"/>
        </w:rPr>
        <w:annotationRef/>
      </w:r>
      <w:proofErr w:type="gramStart"/>
      <w:r>
        <w:t>s</w:t>
      </w:r>
      <w:proofErr w:type="gramEnd"/>
    </w:p>
  </w:comment>
  <w:comment w:id="11" w:author="Microsoft account" w:date="2025-08-18T11:46:00Z" w:initials="Ma">
    <w:p w14:paraId="78134FF0" w14:textId="37B2CB2E" w:rsidR="0037199B" w:rsidRDefault="0037199B">
      <w:pPr>
        <w:pStyle w:val="CommentText"/>
      </w:pPr>
      <w:r>
        <w:rPr>
          <w:rStyle w:val="CommentReference"/>
        </w:rPr>
        <w:annotationRef/>
      </w:r>
      <w:proofErr w:type="gramStart"/>
      <w:r>
        <w:t>s</w:t>
      </w:r>
      <w:proofErr w:type="gramEnd"/>
    </w:p>
  </w:comment>
  <w:comment w:id="12" w:author="Microsoft account" w:date="2025-08-18T11:46:00Z" w:initials="Ma">
    <w:p w14:paraId="612975FB" w14:textId="2C8472A0" w:rsidR="0037199B" w:rsidRDefault="0037199B">
      <w:pPr>
        <w:pStyle w:val="CommentText"/>
      </w:pPr>
      <w:r>
        <w:rPr>
          <w:rStyle w:val="CommentReference"/>
        </w:rPr>
        <w:annotationRef/>
      </w:r>
      <w:r>
        <w:t xml:space="preserve">National Policy </w:t>
      </w:r>
    </w:p>
  </w:comment>
  <w:comment w:id="2" w:author="Microsoft account" w:date="2025-08-18T11:15:00Z" w:initials="Ma">
    <w:p w14:paraId="569A2E62" w14:textId="13B85DF3" w:rsidR="00C13F19" w:rsidRDefault="00C13F19">
      <w:pPr>
        <w:pStyle w:val="CommentText"/>
      </w:pPr>
      <w:r>
        <w:rPr>
          <w:rStyle w:val="CommentReference"/>
        </w:rPr>
        <w:annotationRef/>
      </w:r>
      <w:r>
        <w:t xml:space="preserve">This should be in italics </w:t>
      </w:r>
      <w:r w:rsidR="00724A7A">
        <w:t>and kindly justify…</w:t>
      </w:r>
    </w:p>
    <w:p w14:paraId="22F8E508" w14:textId="77777777" w:rsidR="00724A7A" w:rsidRDefault="00724A7A">
      <w:pPr>
        <w:pStyle w:val="CommentText"/>
      </w:pPr>
    </w:p>
    <w:p w14:paraId="41772EC3" w14:textId="0A8CFFC8" w:rsidR="00724A7A" w:rsidRDefault="00724A7A">
      <w:pPr>
        <w:pStyle w:val="CommentText"/>
      </w:pPr>
      <w:r>
        <w:t xml:space="preserve">Please kindly justify the entire work </w:t>
      </w:r>
    </w:p>
  </w:comment>
  <w:comment w:id="13" w:author="Microsoft account" w:date="2025-08-18T11:21:00Z" w:initials="Ma">
    <w:p w14:paraId="3FF5E150" w14:textId="3F15CE42" w:rsidR="006A5B28" w:rsidRDefault="006A5B28">
      <w:pPr>
        <w:pStyle w:val="CommentText"/>
      </w:pPr>
      <w:r>
        <w:rPr>
          <w:rStyle w:val="CommentReference"/>
        </w:rPr>
        <w:annotationRef/>
      </w:r>
      <w:proofErr w:type="gramStart"/>
      <w:r>
        <w:t>s</w:t>
      </w:r>
      <w:proofErr w:type="gramEnd"/>
    </w:p>
  </w:comment>
  <w:comment w:id="14" w:author="Microsoft account" w:date="2025-08-18T11:48:00Z" w:initials="Ma">
    <w:p w14:paraId="702E32DF" w14:textId="65F9CB27" w:rsidR="0037199B" w:rsidRDefault="0037199B">
      <w:pPr>
        <w:pStyle w:val="CommentText"/>
      </w:pPr>
      <w:r>
        <w:rPr>
          <w:rStyle w:val="CommentReference"/>
        </w:rPr>
        <w:annotationRef/>
      </w:r>
      <w:proofErr w:type="gramStart"/>
      <w:r>
        <w:t>increasingly</w:t>
      </w:r>
      <w:proofErr w:type="gramEnd"/>
      <w:r>
        <w:t xml:space="preserve"> </w:t>
      </w:r>
    </w:p>
  </w:comment>
  <w:comment w:id="15" w:author="Microsoft account" w:date="2025-08-18T11:49:00Z" w:initials="Ma">
    <w:p w14:paraId="3AF39785" w14:textId="091708DD" w:rsidR="0037199B" w:rsidRDefault="0037199B">
      <w:pPr>
        <w:pStyle w:val="CommentText"/>
      </w:pPr>
      <w:r>
        <w:rPr>
          <w:rStyle w:val="CommentReference"/>
        </w:rPr>
        <w:annotationRef/>
      </w:r>
      <w:proofErr w:type="gramStart"/>
      <w:r>
        <w:t>replace</w:t>
      </w:r>
      <w:proofErr w:type="gramEnd"/>
      <w:r>
        <w:t xml:space="preserve"> with </w:t>
      </w:r>
    </w:p>
    <w:p w14:paraId="1D455D3F" w14:textId="77777777" w:rsidR="0037199B" w:rsidRDefault="0037199B">
      <w:pPr>
        <w:pStyle w:val="CommentText"/>
      </w:pPr>
    </w:p>
    <w:p w14:paraId="53BBCAFE" w14:textId="666761C4" w:rsidR="0037199B" w:rsidRDefault="0037199B">
      <w:pPr>
        <w:pStyle w:val="CommentText"/>
      </w:pPr>
      <w:proofErr w:type="gramStart"/>
      <w:r>
        <w:t>rapidly</w:t>
      </w:r>
      <w:proofErr w:type="gramEnd"/>
      <w:r>
        <w:t xml:space="preserve"> </w:t>
      </w:r>
    </w:p>
  </w:comment>
  <w:comment w:id="16" w:author="Microsoft account" w:date="2025-08-18T11:21:00Z" w:initials="Ma">
    <w:p w14:paraId="4568AF2A" w14:textId="20B0F6B9" w:rsidR="006A5B28" w:rsidRDefault="006A5B28">
      <w:pPr>
        <w:pStyle w:val="CommentText"/>
      </w:pPr>
      <w:r>
        <w:rPr>
          <w:rStyle w:val="CommentReference"/>
        </w:rPr>
        <w:annotationRef/>
      </w:r>
      <w:proofErr w:type="gramStart"/>
      <w:r>
        <w:t>s</w:t>
      </w:r>
      <w:proofErr w:type="gramEnd"/>
    </w:p>
  </w:comment>
  <w:comment w:id="17" w:author="Microsoft account" w:date="2025-08-18T11:49:00Z" w:initials="Ma">
    <w:p w14:paraId="45F06CF5" w14:textId="577F1013" w:rsidR="008B5092" w:rsidRDefault="008B5092">
      <w:pPr>
        <w:pStyle w:val="CommentText"/>
      </w:pPr>
      <w:r>
        <w:rPr>
          <w:rStyle w:val="CommentReference"/>
        </w:rPr>
        <w:annotationRef/>
      </w:r>
      <w:proofErr w:type="gramStart"/>
      <w:r>
        <w:t>s</w:t>
      </w:r>
      <w:proofErr w:type="gramEnd"/>
    </w:p>
  </w:comment>
  <w:comment w:id="18" w:author="Microsoft account" w:date="2025-08-18T11:51:00Z" w:initials="Ma">
    <w:p w14:paraId="40989CBE" w14:textId="3C356ADB" w:rsidR="008B5092" w:rsidRDefault="008B5092">
      <w:pPr>
        <w:pStyle w:val="CommentText"/>
      </w:pPr>
      <w:r>
        <w:rPr>
          <w:rStyle w:val="CommentReference"/>
        </w:rPr>
        <w:annotationRef/>
      </w:r>
      <w:r>
        <w:t xml:space="preserve">Kindly recast </w:t>
      </w:r>
    </w:p>
  </w:comment>
  <w:comment w:id="19" w:author="Microsoft account" w:date="2025-08-18T11:51:00Z" w:initials="Ma">
    <w:p w14:paraId="68513770" w14:textId="5BCF246A" w:rsidR="008B5092" w:rsidRDefault="008B5092">
      <w:pPr>
        <w:pStyle w:val="CommentText"/>
      </w:pPr>
      <w:r>
        <w:rPr>
          <w:rStyle w:val="CommentReference"/>
        </w:rPr>
        <w:annotationRef/>
      </w:r>
      <w:proofErr w:type="gramStart"/>
      <w:r>
        <w:t>s</w:t>
      </w:r>
      <w:proofErr w:type="gramEnd"/>
    </w:p>
  </w:comment>
  <w:comment w:id="20" w:author="Microsoft account" w:date="2025-08-18T11:52:00Z" w:initials="Ma">
    <w:p w14:paraId="6272127C" w14:textId="43128C67" w:rsidR="008B5092" w:rsidRDefault="008B5092">
      <w:pPr>
        <w:pStyle w:val="CommentText"/>
      </w:pPr>
      <w:r>
        <w:rPr>
          <w:rStyle w:val="CommentReference"/>
        </w:rPr>
        <w:annotationRef/>
      </w:r>
      <w:r>
        <w:t xml:space="preserve">Which developments? </w:t>
      </w:r>
    </w:p>
    <w:p w14:paraId="27CEC970" w14:textId="77777777" w:rsidR="008B5092" w:rsidRDefault="008B5092">
      <w:pPr>
        <w:pStyle w:val="CommentText"/>
      </w:pPr>
    </w:p>
    <w:p w14:paraId="39A12688" w14:textId="2FCF915C" w:rsidR="008B5092" w:rsidRDefault="008B5092">
      <w:pPr>
        <w:pStyle w:val="CommentText"/>
      </w:pPr>
      <w:r>
        <w:t xml:space="preserve">It is clear that the researcher is trying to create a flow from the first paragraph into this paragraph under review. Nevertheless, kindly use a phrase that precisely explains the developments. </w:t>
      </w:r>
    </w:p>
    <w:p w14:paraId="34B4E9E6" w14:textId="57A4A59B" w:rsidR="008B5092" w:rsidRDefault="008B5092">
      <w:pPr>
        <w:pStyle w:val="CommentText"/>
      </w:pPr>
    </w:p>
  </w:comment>
  <w:comment w:id="21" w:author="Microsoft account" w:date="2025-08-18T11:58:00Z" w:initials="Ma">
    <w:p w14:paraId="49084698" w14:textId="14E512EC" w:rsidR="008B5092" w:rsidRDefault="008B5092">
      <w:pPr>
        <w:pStyle w:val="CommentText"/>
      </w:pPr>
      <w:r>
        <w:rPr>
          <w:rStyle w:val="CommentReference"/>
        </w:rPr>
        <w:annotationRef/>
      </w:r>
      <w:proofErr w:type="gramStart"/>
      <w:r>
        <w:t>Contents  rather</w:t>
      </w:r>
      <w:proofErr w:type="gramEnd"/>
      <w:r>
        <w:t xml:space="preserve"> than </w:t>
      </w:r>
    </w:p>
  </w:comment>
  <w:comment w:id="22" w:author="Microsoft account" w:date="2025-08-18T11:59:00Z" w:initials="Ma">
    <w:p w14:paraId="7487A30F" w14:textId="33F6A9D2" w:rsidR="005D6D32" w:rsidRDefault="005D6D32">
      <w:pPr>
        <w:pStyle w:val="CommentText"/>
      </w:pPr>
      <w:r>
        <w:rPr>
          <w:rStyle w:val="CommentReference"/>
        </w:rPr>
        <w:annotationRef/>
      </w:r>
      <w:r>
        <w:t xml:space="preserve">Study </w:t>
      </w:r>
    </w:p>
  </w:comment>
  <w:comment w:id="23" w:author="Microsoft account" w:date="2025-08-18T12:00:00Z" w:initials="Ma">
    <w:p w14:paraId="18DDBAA7" w14:textId="7104217F" w:rsidR="005D6D32" w:rsidRDefault="005D6D32">
      <w:pPr>
        <w:pStyle w:val="CommentText"/>
      </w:pPr>
      <w:r>
        <w:rPr>
          <w:rStyle w:val="CommentReference"/>
        </w:rPr>
        <w:annotationRef/>
      </w:r>
      <w:r>
        <w:t xml:space="preserve">The study </w:t>
      </w:r>
      <w:proofErr w:type="spellStart"/>
      <w:r>
        <w:t>utilised</w:t>
      </w:r>
      <w:proofErr w:type="spellEnd"/>
      <w:r>
        <w:t xml:space="preserve"> </w:t>
      </w:r>
    </w:p>
  </w:comment>
  <w:comment w:id="24" w:author="Microsoft account" w:date="2025-08-18T12:00:00Z" w:initials="Ma">
    <w:p w14:paraId="4685F8AD" w14:textId="0972D168" w:rsidR="005D6D32" w:rsidRDefault="005D6D32">
      <w:pPr>
        <w:pStyle w:val="CommentText"/>
      </w:pPr>
      <w:r>
        <w:rPr>
          <w:rStyle w:val="CommentReference"/>
        </w:rPr>
        <w:annotationRef/>
      </w:r>
      <w:proofErr w:type="gramStart"/>
      <w:r>
        <w:t>s</w:t>
      </w:r>
      <w:proofErr w:type="gramEnd"/>
    </w:p>
  </w:comment>
  <w:comment w:id="25" w:author="Microsoft account" w:date="2025-08-18T12:02:00Z" w:initials="Ma">
    <w:p w14:paraId="14D82FD1" w14:textId="3E68074D" w:rsidR="005D6D32" w:rsidRDefault="005D6D32">
      <w:pPr>
        <w:pStyle w:val="CommentText"/>
      </w:pPr>
      <w:r>
        <w:rPr>
          <w:rStyle w:val="CommentReference"/>
        </w:rPr>
        <w:annotationRef/>
      </w:r>
      <w:proofErr w:type="gramStart"/>
      <w:r>
        <w:t>to</w:t>
      </w:r>
      <w:proofErr w:type="gramEnd"/>
      <w:r>
        <w:t xml:space="preserve"> possess in order to successfully </w:t>
      </w:r>
    </w:p>
  </w:comment>
  <w:comment w:id="26" w:author="Microsoft account" w:date="2025-08-18T12:06:00Z" w:initials="Ma">
    <w:p w14:paraId="6FC9E1D2" w14:textId="77777777" w:rsidR="005D6D32" w:rsidRDefault="005D6D32">
      <w:pPr>
        <w:pStyle w:val="CommentText"/>
      </w:pPr>
      <w:r>
        <w:rPr>
          <w:rStyle w:val="CommentReference"/>
        </w:rPr>
        <w:annotationRef/>
      </w:r>
      <w:proofErr w:type="gramStart"/>
      <w:r>
        <w:t>replace</w:t>
      </w:r>
      <w:proofErr w:type="gramEnd"/>
      <w:r>
        <w:t xml:space="preserve"> with </w:t>
      </w:r>
    </w:p>
    <w:p w14:paraId="4470CC0A" w14:textId="77777777" w:rsidR="005D6D32" w:rsidRDefault="005D6D32">
      <w:pPr>
        <w:pStyle w:val="CommentText"/>
      </w:pPr>
    </w:p>
    <w:p w14:paraId="6A80BC76" w14:textId="4A25FF92" w:rsidR="005D6D32" w:rsidRDefault="005D6D32">
      <w:pPr>
        <w:pStyle w:val="CommentText"/>
      </w:pPr>
      <w:proofErr w:type="gramStart"/>
      <w:r>
        <w:t>amidst</w:t>
      </w:r>
      <w:proofErr w:type="gramEnd"/>
      <w:r>
        <w:t xml:space="preserve"> the demands </w:t>
      </w:r>
    </w:p>
  </w:comment>
  <w:comment w:id="27" w:author="Microsoft account" w:date="2025-08-18T12:13:00Z" w:initials="Ma">
    <w:p w14:paraId="73CE4855" w14:textId="33A1FEE1" w:rsidR="00724A7A" w:rsidRDefault="00724A7A">
      <w:pPr>
        <w:pStyle w:val="CommentText"/>
      </w:pPr>
      <w:r>
        <w:rPr>
          <w:rStyle w:val="CommentReference"/>
        </w:rPr>
        <w:annotationRef/>
      </w:r>
      <w:proofErr w:type="gramStart"/>
      <w:r>
        <w:t>s</w:t>
      </w:r>
      <w:proofErr w:type="gramEnd"/>
    </w:p>
  </w:comment>
  <w:comment w:id="28" w:author="Microsoft account" w:date="2025-08-18T12:14:00Z" w:initials="Ma">
    <w:p w14:paraId="68BBD241" w14:textId="655DB5D7" w:rsidR="00724A7A" w:rsidRDefault="00724A7A">
      <w:pPr>
        <w:pStyle w:val="CommentText"/>
      </w:pPr>
      <w:r>
        <w:rPr>
          <w:rStyle w:val="CommentReference"/>
        </w:rPr>
        <w:annotationRef/>
      </w:r>
      <w:proofErr w:type="gramStart"/>
      <w:r>
        <w:t>s</w:t>
      </w:r>
      <w:proofErr w:type="gramEnd"/>
    </w:p>
  </w:comment>
  <w:comment w:id="29" w:author="Microsoft account" w:date="2025-08-18T12:16:00Z" w:initials="Ma">
    <w:p w14:paraId="5E3D4ED5" w14:textId="12A82102" w:rsidR="00724A7A" w:rsidRDefault="00724A7A">
      <w:pPr>
        <w:pStyle w:val="CommentText"/>
      </w:pPr>
      <w:r>
        <w:rPr>
          <w:rStyle w:val="CommentReference"/>
        </w:rPr>
        <w:annotationRef/>
      </w:r>
      <w:r>
        <w:t>They have</w:t>
      </w:r>
    </w:p>
  </w:comment>
  <w:comment w:id="30" w:author="Microsoft account" w:date="2025-08-18T12:18:00Z" w:initials="Ma">
    <w:p w14:paraId="57071687" w14:textId="7522E498" w:rsidR="00724A7A" w:rsidRDefault="00724A7A">
      <w:pPr>
        <w:pStyle w:val="CommentText"/>
      </w:pPr>
      <w:r>
        <w:rPr>
          <w:rStyle w:val="CommentReference"/>
        </w:rPr>
        <w:annotationRef/>
      </w:r>
      <w:r>
        <w:t>Do not</w:t>
      </w:r>
    </w:p>
  </w:comment>
  <w:comment w:id="31" w:author="Microsoft account" w:date="2025-08-18T12:20:00Z" w:initials="Ma">
    <w:p w14:paraId="60180BA1" w14:textId="075152C2" w:rsidR="001F57E6" w:rsidRDefault="001F57E6">
      <w:pPr>
        <w:pStyle w:val="CommentText"/>
      </w:pPr>
      <w:r>
        <w:rPr>
          <w:rStyle w:val="CommentReference"/>
        </w:rPr>
        <w:annotationRef/>
      </w:r>
      <w:proofErr w:type="gramStart"/>
      <w:r>
        <w:t>source</w:t>
      </w:r>
      <w:proofErr w:type="gramEnd"/>
    </w:p>
  </w:comment>
  <w:comment w:id="32" w:author="Microsoft account" w:date="2025-08-18T12:21:00Z" w:initials="Ma">
    <w:p w14:paraId="3276816F" w14:textId="3070D252" w:rsidR="001F57E6" w:rsidRDefault="001F57E6">
      <w:pPr>
        <w:pStyle w:val="CommentText"/>
      </w:pPr>
      <w:r>
        <w:rPr>
          <w:rStyle w:val="CommentReference"/>
        </w:rPr>
        <w:annotationRef/>
      </w:r>
      <w:r>
        <w:t xml:space="preserve">Students Assessment and Testing </w:t>
      </w:r>
    </w:p>
  </w:comment>
  <w:comment w:id="33" w:author="Microsoft account" w:date="2025-08-18T12:22:00Z" w:initials="Ma">
    <w:p w14:paraId="72F806C6" w14:textId="77777777" w:rsidR="001F57E6" w:rsidRDefault="001F57E6">
      <w:pPr>
        <w:pStyle w:val="CommentText"/>
      </w:pPr>
      <w:r>
        <w:rPr>
          <w:rStyle w:val="CommentReference"/>
        </w:rPr>
        <w:annotationRef/>
      </w:r>
      <w:r>
        <w:t xml:space="preserve">First letter capital </w:t>
      </w:r>
    </w:p>
    <w:p w14:paraId="2964E630" w14:textId="77777777" w:rsidR="001F57E6" w:rsidRDefault="001F57E6">
      <w:pPr>
        <w:pStyle w:val="CommentText"/>
      </w:pPr>
    </w:p>
    <w:p w14:paraId="1EDF87F8" w14:textId="77777777" w:rsidR="001F57E6" w:rsidRDefault="001F57E6">
      <w:pPr>
        <w:pStyle w:val="CommentText"/>
      </w:pPr>
    </w:p>
    <w:p w14:paraId="3811152C" w14:textId="77777777" w:rsidR="001F57E6" w:rsidRDefault="001F57E6">
      <w:pPr>
        <w:pStyle w:val="CommentText"/>
      </w:pPr>
      <w:r>
        <w:t xml:space="preserve">Teachers Upskilling and Infrastructural Upgrade </w:t>
      </w:r>
    </w:p>
    <w:p w14:paraId="02660890" w14:textId="77777777" w:rsidR="001F57E6" w:rsidRDefault="001F57E6">
      <w:pPr>
        <w:pStyle w:val="CommentText"/>
      </w:pPr>
    </w:p>
    <w:p w14:paraId="032A79F5" w14:textId="71B80410" w:rsidR="001F57E6" w:rsidRDefault="001F57E6">
      <w:pPr>
        <w:pStyle w:val="CommentText"/>
      </w:pPr>
      <w:r>
        <w:t>Or maybe Training and Retraining of Teachers and…………</w:t>
      </w:r>
    </w:p>
  </w:comment>
  <w:comment w:id="34" w:author="Microsoft account" w:date="2025-08-18T12:25:00Z" w:initials="Ma">
    <w:p w14:paraId="3B80CEA0" w14:textId="42FA27F5" w:rsidR="001F57E6" w:rsidRDefault="001F57E6">
      <w:pPr>
        <w:pStyle w:val="CommentText"/>
      </w:pPr>
      <w:r>
        <w:rPr>
          <w:rStyle w:val="CommentReference"/>
        </w:rPr>
        <w:annotationRef/>
      </w:r>
      <w:r>
        <w:t>Do not</w:t>
      </w:r>
    </w:p>
  </w:comment>
  <w:comment w:id="35" w:author="Microsoft account" w:date="2025-08-18T12:26:00Z" w:initials="Ma">
    <w:p w14:paraId="5CFDB4C0" w14:textId="77777777" w:rsidR="001F57E6" w:rsidRDefault="001F57E6">
      <w:pPr>
        <w:pStyle w:val="CommentText"/>
      </w:pPr>
      <w:r>
        <w:rPr>
          <w:rStyle w:val="CommentReference"/>
        </w:rPr>
        <w:annotationRef/>
      </w:r>
      <w:r>
        <w:t>Note this change and effect same for other table titles.</w:t>
      </w:r>
    </w:p>
    <w:p w14:paraId="48D4F145" w14:textId="77777777" w:rsidR="001F57E6" w:rsidRDefault="001F57E6">
      <w:pPr>
        <w:pStyle w:val="CommentText"/>
      </w:pPr>
    </w:p>
    <w:p w14:paraId="3A42362D" w14:textId="1F245899" w:rsidR="001F57E6" w:rsidRDefault="001F57E6">
      <w:pPr>
        <w:pStyle w:val="CommentText"/>
      </w:pPr>
      <w:r>
        <w:t>In addition, kindly align to the Times New Roman font</w:t>
      </w:r>
    </w:p>
  </w:comment>
  <w:comment w:id="36" w:author="Microsoft account" w:date="2025-08-18T12:28:00Z" w:initials="Ma">
    <w:p w14:paraId="6B9A8E4E" w14:textId="2569C02F" w:rsidR="001F57E6" w:rsidRDefault="001F57E6">
      <w:pPr>
        <w:pStyle w:val="CommentText"/>
      </w:pPr>
      <w:r>
        <w:rPr>
          <w:rStyle w:val="CommentReference"/>
        </w:rPr>
        <w:annotationRef/>
      </w:r>
      <w:r>
        <w:t xml:space="preserve">Do not start the paragraph this way. Thus, rework. </w:t>
      </w:r>
    </w:p>
    <w:p w14:paraId="06E14F5A" w14:textId="51F26FDB" w:rsidR="001F57E6" w:rsidRDefault="001F57E6">
      <w:pPr>
        <w:pStyle w:val="CommentText"/>
      </w:pPr>
      <w:r>
        <w:t xml:space="preserve">For example, </w:t>
      </w:r>
    </w:p>
    <w:p w14:paraId="5067A113" w14:textId="5F669C4E" w:rsidR="001F57E6" w:rsidRDefault="001F57E6">
      <w:pPr>
        <w:pStyle w:val="CommentText"/>
      </w:pPr>
      <w:r>
        <w:t>As much as it is clear that the Nigeria education system requires</w:t>
      </w:r>
      <w:proofErr w:type="gramStart"/>
      <w:r>
        <w:t>…………….,</w:t>
      </w:r>
      <w:proofErr w:type="gramEnd"/>
      <w:r>
        <w:t xml:space="preserve"> the country’s unique………….must be considered during the adaption process. </w:t>
      </w:r>
    </w:p>
  </w:comment>
  <w:comment w:id="37" w:author="Microsoft account" w:date="2025-08-18T12:30:00Z" w:initials="Ma">
    <w:p w14:paraId="5CBA0A89" w14:textId="6B1053BF" w:rsidR="001F57E6" w:rsidRDefault="001F57E6">
      <w:pPr>
        <w:pStyle w:val="CommentText"/>
      </w:pPr>
      <w:r>
        <w:rPr>
          <w:rStyle w:val="CommentReference"/>
        </w:rPr>
        <w:annotationRef/>
      </w:r>
      <w:r>
        <w:t xml:space="preserve">Font Size to 12 </w:t>
      </w:r>
    </w:p>
  </w:comment>
  <w:comment w:id="38" w:author="Microsoft account" w:date="2025-08-18T12:31:00Z" w:initials="Ma">
    <w:p w14:paraId="3E193899" w14:textId="71D0F9E0" w:rsidR="004827BA" w:rsidRDefault="004827BA">
      <w:pPr>
        <w:pStyle w:val="CommentText"/>
      </w:pPr>
      <w:r>
        <w:rPr>
          <w:rStyle w:val="CommentReference"/>
        </w:rPr>
        <w:annotationRef/>
      </w:r>
      <w:r>
        <w:t xml:space="preserve">This sub title does not appropriately reflect the underneath discussion. </w:t>
      </w:r>
    </w:p>
    <w:p w14:paraId="12F23B13" w14:textId="77777777" w:rsidR="004827BA" w:rsidRDefault="004827BA">
      <w:pPr>
        <w:pStyle w:val="CommentText"/>
      </w:pPr>
    </w:p>
    <w:p w14:paraId="790F0C7E" w14:textId="5C9C66E8" w:rsidR="004827BA" w:rsidRDefault="004827BA">
      <w:pPr>
        <w:pStyle w:val="CommentText"/>
      </w:pPr>
      <w:r>
        <w:t xml:space="preserve">Consider instead, Teachers’ lack of Upskilling barrier </w:t>
      </w:r>
    </w:p>
  </w:comment>
  <w:comment w:id="39" w:author="Microsoft account" w:date="2025-08-18T12:31:00Z" w:initials="Ma">
    <w:p w14:paraId="36302271" w14:textId="04E41C2A" w:rsidR="004827BA" w:rsidRDefault="004827BA">
      <w:pPr>
        <w:pStyle w:val="CommentText"/>
      </w:pPr>
      <w:r>
        <w:rPr>
          <w:rStyle w:val="CommentReference"/>
        </w:rPr>
        <w:annotationRef/>
      </w:r>
      <w:r>
        <w:t>Do not</w:t>
      </w:r>
    </w:p>
  </w:comment>
  <w:comment w:id="40" w:author="Microsoft account" w:date="2025-08-18T12:32:00Z" w:initials="Ma">
    <w:p w14:paraId="6D6F5D3A" w14:textId="3EA7968A" w:rsidR="004827BA" w:rsidRDefault="004827BA">
      <w:pPr>
        <w:pStyle w:val="CommentText"/>
      </w:pPr>
      <w:r>
        <w:rPr>
          <w:rStyle w:val="CommentReference"/>
        </w:rPr>
        <w:annotationRef/>
      </w:r>
      <w:r>
        <w:t xml:space="preserve">Factor </w:t>
      </w:r>
    </w:p>
  </w:comment>
  <w:comment w:id="41" w:author="Microsoft account" w:date="2025-08-18T12:34:00Z" w:initials="Ma">
    <w:p w14:paraId="3E46F8EF" w14:textId="1E04FBC8" w:rsidR="004827BA" w:rsidRDefault="004827BA">
      <w:pPr>
        <w:pStyle w:val="CommentText"/>
      </w:pPr>
      <w:r>
        <w:rPr>
          <w:rStyle w:val="CommentReference"/>
        </w:rPr>
        <w:annotationRef/>
      </w:r>
      <w:r>
        <w:t xml:space="preserve">Remove </w:t>
      </w:r>
    </w:p>
  </w:comment>
  <w:comment w:id="43" w:author="Microsoft account" w:date="2025-08-18T12:38:00Z" w:initials="Ma">
    <w:p w14:paraId="18112554" w14:textId="72388605" w:rsidR="004827BA" w:rsidRDefault="004827BA">
      <w:pPr>
        <w:pStyle w:val="CommentText"/>
      </w:pPr>
      <w:r>
        <w:rPr>
          <w:rStyle w:val="CommentReference"/>
        </w:rPr>
        <w:annotationRef/>
      </w:r>
      <w:r>
        <w:t>Remove, insert the year of publication in the bracket prepared ()</w:t>
      </w:r>
    </w:p>
  </w:comment>
  <w:comment w:id="42" w:author="Microsoft account" w:date="2025-08-18T12:38:00Z" w:initials="Ma">
    <w:p w14:paraId="60C18845" w14:textId="2C9585F7" w:rsidR="004827BA" w:rsidRDefault="004827BA">
      <w:pPr>
        <w:pStyle w:val="CommentText"/>
      </w:pPr>
      <w:r>
        <w:rPr>
          <w:rStyle w:val="CommentReference"/>
        </w:rPr>
        <w:annotationRef/>
      </w:r>
      <w:proofErr w:type="spellStart"/>
      <w:proofErr w:type="gramStart"/>
      <w:r>
        <w:t>remo</w:t>
      </w:r>
      <w:proofErr w:type="spellEnd"/>
      <w:proofErr w:type="gramEnd"/>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95E01A6" w15:done="0"/>
  <w15:commentEx w15:paraId="00D21597" w15:done="0"/>
  <w15:commentEx w15:paraId="0B0402CD" w15:done="0"/>
  <w15:commentEx w15:paraId="42968641" w15:done="0"/>
  <w15:commentEx w15:paraId="4A65B611" w15:done="0"/>
  <w15:commentEx w15:paraId="78C6BC83" w15:done="0"/>
  <w15:commentEx w15:paraId="78939397" w15:done="0"/>
  <w15:commentEx w15:paraId="596C6740" w15:done="0"/>
  <w15:commentEx w15:paraId="3B16B85B" w15:done="0"/>
  <w15:commentEx w15:paraId="78134FF0" w15:done="0"/>
  <w15:commentEx w15:paraId="612975FB" w15:done="0"/>
  <w15:commentEx w15:paraId="41772EC3" w15:done="0"/>
  <w15:commentEx w15:paraId="3FF5E150" w15:done="0"/>
  <w15:commentEx w15:paraId="702E32DF" w15:done="0"/>
  <w15:commentEx w15:paraId="53BBCAFE" w15:done="0"/>
  <w15:commentEx w15:paraId="4568AF2A" w15:done="0"/>
  <w15:commentEx w15:paraId="45F06CF5" w15:done="0"/>
  <w15:commentEx w15:paraId="40989CBE" w15:done="0"/>
  <w15:commentEx w15:paraId="68513770" w15:done="0"/>
  <w15:commentEx w15:paraId="34B4E9E6" w15:done="0"/>
  <w15:commentEx w15:paraId="49084698" w15:done="0"/>
  <w15:commentEx w15:paraId="7487A30F" w15:done="0"/>
  <w15:commentEx w15:paraId="18DDBAA7" w15:done="0"/>
  <w15:commentEx w15:paraId="4685F8AD" w15:done="0"/>
  <w15:commentEx w15:paraId="14D82FD1" w15:done="0"/>
  <w15:commentEx w15:paraId="6A80BC76" w15:done="0"/>
  <w15:commentEx w15:paraId="73CE4855" w15:done="0"/>
  <w15:commentEx w15:paraId="68BBD241" w15:done="0"/>
  <w15:commentEx w15:paraId="5E3D4ED5" w15:done="0"/>
  <w15:commentEx w15:paraId="57071687" w15:done="0"/>
  <w15:commentEx w15:paraId="60180BA1" w15:done="0"/>
  <w15:commentEx w15:paraId="3276816F" w15:done="0"/>
  <w15:commentEx w15:paraId="032A79F5" w15:done="0"/>
  <w15:commentEx w15:paraId="3B80CEA0" w15:done="0"/>
  <w15:commentEx w15:paraId="3A42362D" w15:done="0"/>
  <w15:commentEx w15:paraId="5067A113" w15:done="0"/>
  <w15:commentEx w15:paraId="5CBA0A89" w15:done="0"/>
  <w15:commentEx w15:paraId="790F0C7E" w15:done="0"/>
  <w15:commentEx w15:paraId="36302271" w15:done="0"/>
  <w15:commentEx w15:paraId="6D6F5D3A" w15:done="0"/>
  <w15:commentEx w15:paraId="3E46F8EF" w15:done="0"/>
  <w15:commentEx w15:paraId="18112554" w15:done="0"/>
  <w15:commentEx w15:paraId="60C1884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E7A46E" w14:textId="77777777" w:rsidR="004F3275" w:rsidRDefault="004F3275" w:rsidP="00EA6078">
      <w:pPr>
        <w:spacing w:after="0" w:line="240" w:lineRule="auto"/>
      </w:pPr>
      <w:r>
        <w:separator/>
      </w:r>
    </w:p>
  </w:endnote>
  <w:endnote w:type="continuationSeparator" w:id="0">
    <w:p w14:paraId="71093348" w14:textId="77777777" w:rsidR="004F3275" w:rsidRDefault="004F3275" w:rsidP="00EA6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57890E" w14:textId="77777777" w:rsidR="00EA6078" w:rsidRDefault="00EA60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5E356" w14:textId="77777777" w:rsidR="00EA6078" w:rsidRDefault="00EA60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5B16FF" w14:textId="77777777" w:rsidR="00EA6078" w:rsidRDefault="00EA60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B4A920" w14:textId="77777777" w:rsidR="004F3275" w:rsidRDefault="004F3275" w:rsidP="00EA6078">
      <w:pPr>
        <w:spacing w:after="0" w:line="240" w:lineRule="auto"/>
      </w:pPr>
      <w:r>
        <w:separator/>
      </w:r>
    </w:p>
  </w:footnote>
  <w:footnote w:type="continuationSeparator" w:id="0">
    <w:p w14:paraId="54CA2ED0" w14:textId="77777777" w:rsidR="004F3275" w:rsidRDefault="004F3275" w:rsidP="00EA60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71B22A" w14:textId="2D7A3C42" w:rsidR="00EA6078" w:rsidRDefault="004F3275">
    <w:pPr>
      <w:pStyle w:val="Header"/>
    </w:pPr>
    <w:r>
      <w:rPr>
        <w:noProof/>
      </w:rPr>
      <w:pict w14:anchorId="59BC72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431344" o:spid="_x0000_s2050" type="#_x0000_t136" style="position:absolute;margin-left:0;margin-top:0;width:555.6pt;height:104.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4930BF" w14:textId="5182B62E" w:rsidR="00EA6078" w:rsidRDefault="004F3275">
    <w:pPr>
      <w:pStyle w:val="Header"/>
    </w:pPr>
    <w:r>
      <w:rPr>
        <w:noProof/>
      </w:rPr>
      <w:pict w14:anchorId="13B2E83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431345" o:spid="_x0000_s2051" type="#_x0000_t136" style="position:absolute;margin-left:0;margin-top:0;width:555.6pt;height:104.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9F7BF3" w14:textId="56EFC2CC" w:rsidR="00EA6078" w:rsidRDefault="004F3275">
    <w:pPr>
      <w:pStyle w:val="Header"/>
    </w:pPr>
    <w:r>
      <w:rPr>
        <w:noProof/>
      </w:rPr>
      <w:pict w14:anchorId="77A6D9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431343" o:spid="_x0000_s2049" type="#_x0000_t136" style="position:absolute;margin-left:0;margin-top:0;width:555.6pt;height:104.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account">
    <w15:presenceInfo w15:providerId="Windows Live" w15:userId="085627b83c99403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940"/>
    <w:rsid w:val="0002334C"/>
    <w:rsid w:val="000320F3"/>
    <w:rsid w:val="00082A77"/>
    <w:rsid w:val="00137E6B"/>
    <w:rsid w:val="001C7DFC"/>
    <w:rsid w:val="001F57E6"/>
    <w:rsid w:val="00217091"/>
    <w:rsid w:val="0037199B"/>
    <w:rsid w:val="0040670A"/>
    <w:rsid w:val="004132BD"/>
    <w:rsid w:val="004827BA"/>
    <w:rsid w:val="004F3275"/>
    <w:rsid w:val="00592B4A"/>
    <w:rsid w:val="005D6D32"/>
    <w:rsid w:val="006A5B28"/>
    <w:rsid w:val="00724A7A"/>
    <w:rsid w:val="007A31C5"/>
    <w:rsid w:val="00805C09"/>
    <w:rsid w:val="0081530C"/>
    <w:rsid w:val="0086381A"/>
    <w:rsid w:val="008B5092"/>
    <w:rsid w:val="00935E55"/>
    <w:rsid w:val="009563DE"/>
    <w:rsid w:val="00A04F93"/>
    <w:rsid w:val="00A43336"/>
    <w:rsid w:val="00A51890"/>
    <w:rsid w:val="00AB55ED"/>
    <w:rsid w:val="00B50018"/>
    <w:rsid w:val="00BE4734"/>
    <w:rsid w:val="00C13F19"/>
    <w:rsid w:val="00C70214"/>
    <w:rsid w:val="00E85940"/>
    <w:rsid w:val="00EA6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7805C617"/>
  <w15:chartTrackingRefBased/>
  <w15:docId w15:val="{A4AC50BB-B03E-4818-8722-187046122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320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8594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E859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85940"/>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E8594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940"/>
    <w:rPr>
      <w:b/>
      <w:bCs/>
    </w:rPr>
  </w:style>
  <w:style w:type="character" w:styleId="Emphasis">
    <w:name w:val="Emphasis"/>
    <w:basedOn w:val="DefaultParagraphFont"/>
    <w:uiPriority w:val="20"/>
    <w:qFormat/>
    <w:rsid w:val="00E85940"/>
    <w:rPr>
      <w:i/>
      <w:iCs/>
    </w:rPr>
  </w:style>
  <w:style w:type="character" w:customStyle="1" w:styleId="Heading3Char">
    <w:name w:val="Heading 3 Char"/>
    <w:basedOn w:val="DefaultParagraphFont"/>
    <w:link w:val="Heading3"/>
    <w:uiPriority w:val="9"/>
    <w:semiHidden/>
    <w:rsid w:val="00E85940"/>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0320F3"/>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0320F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6381A"/>
    <w:pPr>
      <w:tabs>
        <w:tab w:val="left" w:pos="504"/>
      </w:tabs>
      <w:spacing w:after="240" w:line="240" w:lineRule="auto"/>
      <w:ind w:left="504" w:hanging="504"/>
    </w:pPr>
  </w:style>
  <w:style w:type="character" w:styleId="Hyperlink">
    <w:name w:val="Hyperlink"/>
    <w:basedOn w:val="DefaultParagraphFont"/>
    <w:uiPriority w:val="99"/>
    <w:unhideWhenUsed/>
    <w:rsid w:val="00AB55ED"/>
    <w:rPr>
      <w:color w:val="0563C1" w:themeColor="hyperlink"/>
      <w:u w:val="single"/>
    </w:rPr>
  </w:style>
  <w:style w:type="character" w:customStyle="1" w:styleId="UnresolvedMention">
    <w:name w:val="Unresolved Mention"/>
    <w:basedOn w:val="DefaultParagraphFont"/>
    <w:uiPriority w:val="99"/>
    <w:semiHidden/>
    <w:unhideWhenUsed/>
    <w:rsid w:val="00AB55ED"/>
    <w:rPr>
      <w:color w:val="605E5C"/>
      <w:shd w:val="clear" w:color="auto" w:fill="E1DFDD"/>
    </w:rPr>
  </w:style>
  <w:style w:type="paragraph" w:styleId="Header">
    <w:name w:val="header"/>
    <w:basedOn w:val="Normal"/>
    <w:link w:val="HeaderChar"/>
    <w:uiPriority w:val="99"/>
    <w:unhideWhenUsed/>
    <w:rsid w:val="00EA60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6078"/>
  </w:style>
  <w:style w:type="paragraph" w:styleId="Footer">
    <w:name w:val="footer"/>
    <w:basedOn w:val="Normal"/>
    <w:link w:val="FooterChar"/>
    <w:uiPriority w:val="99"/>
    <w:unhideWhenUsed/>
    <w:rsid w:val="00EA60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6078"/>
  </w:style>
  <w:style w:type="character" w:styleId="CommentReference">
    <w:name w:val="annotation reference"/>
    <w:basedOn w:val="DefaultParagraphFont"/>
    <w:uiPriority w:val="99"/>
    <w:semiHidden/>
    <w:unhideWhenUsed/>
    <w:rsid w:val="00C13F19"/>
    <w:rPr>
      <w:sz w:val="16"/>
      <w:szCs w:val="16"/>
    </w:rPr>
  </w:style>
  <w:style w:type="paragraph" w:styleId="CommentText">
    <w:name w:val="annotation text"/>
    <w:basedOn w:val="Normal"/>
    <w:link w:val="CommentTextChar"/>
    <w:uiPriority w:val="99"/>
    <w:semiHidden/>
    <w:unhideWhenUsed/>
    <w:rsid w:val="00C13F19"/>
    <w:pPr>
      <w:spacing w:line="240" w:lineRule="auto"/>
    </w:pPr>
    <w:rPr>
      <w:sz w:val="20"/>
      <w:szCs w:val="20"/>
    </w:rPr>
  </w:style>
  <w:style w:type="character" w:customStyle="1" w:styleId="CommentTextChar">
    <w:name w:val="Comment Text Char"/>
    <w:basedOn w:val="DefaultParagraphFont"/>
    <w:link w:val="CommentText"/>
    <w:uiPriority w:val="99"/>
    <w:semiHidden/>
    <w:rsid w:val="00C13F19"/>
    <w:rPr>
      <w:sz w:val="20"/>
      <w:szCs w:val="20"/>
    </w:rPr>
  </w:style>
  <w:style w:type="paragraph" w:styleId="CommentSubject">
    <w:name w:val="annotation subject"/>
    <w:basedOn w:val="CommentText"/>
    <w:next w:val="CommentText"/>
    <w:link w:val="CommentSubjectChar"/>
    <w:uiPriority w:val="99"/>
    <w:semiHidden/>
    <w:unhideWhenUsed/>
    <w:rsid w:val="00C13F19"/>
    <w:rPr>
      <w:b/>
      <w:bCs/>
    </w:rPr>
  </w:style>
  <w:style w:type="character" w:customStyle="1" w:styleId="CommentSubjectChar">
    <w:name w:val="Comment Subject Char"/>
    <w:basedOn w:val="CommentTextChar"/>
    <w:link w:val="CommentSubject"/>
    <w:uiPriority w:val="99"/>
    <w:semiHidden/>
    <w:rsid w:val="00C13F19"/>
    <w:rPr>
      <w:b/>
      <w:bCs/>
      <w:sz w:val="20"/>
      <w:szCs w:val="20"/>
    </w:rPr>
  </w:style>
  <w:style w:type="paragraph" w:styleId="BalloonText">
    <w:name w:val="Balloon Text"/>
    <w:basedOn w:val="Normal"/>
    <w:link w:val="BalloonTextChar"/>
    <w:uiPriority w:val="99"/>
    <w:semiHidden/>
    <w:unhideWhenUsed/>
    <w:rsid w:val="00C13F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3F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05146">
      <w:bodyDiv w:val="1"/>
      <w:marLeft w:val="0"/>
      <w:marRight w:val="0"/>
      <w:marTop w:val="0"/>
      <w:marBottom w:val="0"/>
      <w:divBdr>
        <w:top w:val="none" w:sz="0" w:space="0" w:color="auto"/>
        <w:left w:val="none" w:sz="0" w:space="0" w:color="auto"/>
        <w:bottom w:val="none" w:sz="0" w:space="0" w:color="auto"/>
        <w:right w:val="none" w:sz="0" w:space="0" w:color="auto"/>
      </w:divBdr>
    </w:div>
    <w:div w:id="16589046">
      <w:bodyDiv w:val="1"/>
      <w:marLeft w:val="0"/>
      <w:marRight w:val="0"/>
      <w:marTop w:val="0"/>
      <w:marBottom w:val="0"/>
      <w:divBdr>
        <w:top w:val="none" w:sz="0" w:space="0" w:color="auto"/>
        <w:left w:val="none" w:sz="0" w:space="0" w:color="auto"/>
        <w:bottom w:val="none" w:sz="0" w:space="0" w:color="auto"/>
        <w:right w:val="none" w:sz="0" w:space="0" w:color="auto"/>
      </w:divBdr>
    </w:div>
    <w:div w:id="84502665">
      <w:bodyDiv w:val="1"/>
      <w:marLeft w:val="0"/>
      <w:marRight w:val="0"/>
      <w:marTop w:val="0"/>
      <w:marBottom w:val="0"/>
      <w:divBdr>
        <w:top w:val="none" w:sz="0" w:space="0" w:color="auto"/>
        <w:left w:val="none" w:sz="0" w:space="0" w:color="auto"/>
        <w:bottom w:val="none" w:sz="0" w:space="0" w:color="auto"/>
        <w:right w:val="none" w:sz="0" w:space="0" w:color="auto"/>
      </w:divBdr>
    </w:div>
    <w:div w:id="113644494">
      <w:bodyDiv w:val="1"/>
      <w:marLeft w:val="0"/>
      <w:marRight w:val="0"/>
      <w:marTop w:val="0"/>
      <w:marBottom w:val="0"/>
      <w:divBdr>
        <w:top w:val="none" w:sz="0" w:space="0" w:color="auto"/>
        <w:left w:val="none" w:sz="0" w:space="0" w:color="auto"/>
        <w:bottom w:val="none" w:sz="0" w:space="0" w:color="auto"/>
        <w:right w:val="none" w:sz="0" w:space="0" w:color="auto"/>
      </w:divBdr>
    </w:div>
    <w:div w:id="158619307">
      <w:bodyDiv w:val="1"/>
      <w:marLeft w:val="0"/>
      <w:marRight w:val="0"/>
      <w:marTop w:val="0"/>
      <w:marBottom w:val="0"/>
      <w:divBdr>
        <w:top w:val="none" w:sz="0" w:space="0" w:color="auto"/>
        <w:left w:val="none" w:sz="0" w:space="0" w:color="auto"/>
        <w:bottom w:val="none" w:sz="0" w:space="0" w:color="auto"/>
        <w:right w:val="none" w:sz="0" w:space="0" w:color="auto"/>
      </w:divBdr>
    </w:div>
    <w:div w:id="198011687">
      <w:bodyDiv w:val="1"/>
      <w:marLeft w:val="0"/>
      <w:marRight w:val="0"/>
      <w:marTop w:val="0"/>
      <w:marBottom w:val="0"/>
      <w:divBdr>
        <w:top w:val="none" w:sz="0" w:space="0" w:color="auto"/>
        <w:left w:val="none" w:sz="0" w:space="0" w:color="auto"/>
        <w:bottom w:val="none" w:sz="0" w:space="0" w:color="auto"/>
        <w:right w:val="none" w:sz="0" w:space="0" w:color="auto"/>
      </w:divBdr>
    </w:div>
    <w:div w:id="200900066">
      <w:bodyDiv w:val="1"/>
      <w:marLeft w:val="0"/>
      <w:marRight w:val="0"/>
      <w:marTop w:val="0"/>
      <w:marBottom w:val="0"/>
      <w:divBdr>
        <w:top w:val="none" w:sz="0" w:space="0" w:color="auto"/>
        <w:left w:val="none" w:sz="0" w:space="0" w:color="auto"/>
        <w:bottom w:val="none" w:sz="0" w:space="0" w:color="auto"/>
        <w:right w:val="none" w:sz="0" w:space="0" w:color="auto"/>
      </w:divBdr>
    </w:div>
    <w:div w:id="201793461">
      <w:bodyDiv w:val="1"/>
      <w:marLeft w:val="0"/>
      <w:marRight w:val="0"/>
      <w:marTop w:val="0"/>
      <w:marBottom w:val="0"/>
      <w:divBdr>
        <w:top w:val="none" w:sz="0" w:space="0" w:color="auto"/>
        <w:left w:val="none" w:sz="0" w:space="0" w:color="auto"/>
        <w:bottom w:val="none" w:sz="0" w:space="0" w:color="auto"/>
        <w:right w:val="none" w:sz="0" w:space="0" w:color="auto"/>
      </w:divBdr>
    </w:div>
    <w:div w:id="225800270">
      <w:bodyDiv w:val="1"/>
      <w:marLeft w:val="0"/>
      <w:marRight w:val="0"/>
      <w:marTop w:val="0"/>
      <w:marBottom w:val="0"/>
      <w:divBdr>
        <w:top w:val="none" w:sz="0" w:space="0" w:color="auto"/>
        <w:left w:val="none" w:sz="0" w:space="0" w:color="auto"/>
        <w:bottom w:val="none" w:sz="0" w:space="0" w:color="auto"/>
        <w:right w:val="none" w:sz="0" w:space="0" w:color="auto"/>
      </w:divBdr>
    </w:div>
    <w:div w:id="302006319">
      <w:bodyDiv w:val="1"/>
      <w:marLeft w:val="0"/>
      <w:marRight w:val="0"/>
      <w:marTop w:val="0"/>
      <w:marBottom w:val="0"/>
      <w:divBdr>
        <w:top w:val="none" w:sz="0" w:space="0" w:color="auto"/>
        <w:left w:val="none" w:sz="0" w:space="0" w:color="auto"/>
        <w:bottom w:val="none" w:sz="0" w:space="0" w:color="auto"/>
        <w:right w:val="none" w:sz="0" w:space="0" w:color="auto"/>
      </w:divBdr>
    </w:div>
    <w:div w:id="320695188">
      <w:bodyDiv w:val="1"/>
      <w:marLeft w:val="0"/>
      <w:marRight w:val="0"/>
      <w:marTop w:val="0"/>
      <w:marBottom w:val="0"/>
      <w:divBdr>
        <w:top w:val="none" w:sz="0" w:space="0" w:color="auto"/>
        <w:left w:val="none" w:sz="0" w:space="0" w:color="auto"/>
        <w:bottom w:val="none" w:sz="0" w:space="0" w:color="auto"/>
        <w:right w:val="none" w:sz="0" w:space="0" w:color="auto"/>
      </w:divBdr>
    </w:div>
    <w:div w:id="482964807">
      <w:bodyDiv w:val="1"/>
      <w:marLeft w:val="0"/>
      <w:marRight w:val="0"/>
      <w:marTop w:val="0"/>
      <w:marBottom w:val="0"/>
      <w:divBdr>
        <w:top w:val="none" w:sz="0" w:space="0" w:color="auto"/>
        <w:left w:val="none" w:sz="0" w:space="0" w:color="auto"/>
        <w:bottom w:val="none" w:sz="0" w:space="0" w:color="auto"/>
        <w:right w:val="none" w:sz="0" w:space="0" w:color="auto"/>
      </w:divBdr>
    </w:div>
    <w:div w:id="509028511">
      <w:bodyDiv w:val="1"/>
      <w:marLeft w:val="0"/>
      <w:marRight w:val="0"/>
      <w:marTop w:val="0"/>
      <w:marBottom w:val="0"/>
      <w:divBdr>
        <w:top w:val="none" w:sz="0" w:space="0" w:color="auto"/>
        <w:left w:val="none" w:sz="0" w:space="0" w:color="auto"/>
        <w:bottom w:val="none" w:sz="0" w:space="0" w:color="auto"/>
        <w:right w:val="none" w:sz="0" w:space="0" w:color="auto"/>
      </w:divBdr>
    </w:div>
    <w:div w:id="658777950">
      <w:bodyDiv w:val="1"/>
      <w:marLeft w:val="0"/>
      <w:marRight w:val="0"/>
      <w:marTop w:val="0"/>
      <w:marBottom w:val="0"/>
      <w:divBdr>
        <w:top w:val="none" w:sz="0" w:space="0" w:color="auto"/>
        <w:left w:val="none" w:sz="0" w:space="0" w:color="auto"/>
        <w:bottom w:val="none" w:sz="0" w:space="0" w:color="auto"/>
        <w:right w:val="none" w:sz="0" w:space="0" w:color="auto"/>
      </w:divBdr>
    </w:div>
    <w:div w:id="722563430">
      <w:bodyDiv w:val="1"/>
      <w:marLeft w:val="0"/>
      <w:marRight w:val="0"/>
      <w:marTop w:val="0"/>
      <w:marBottom w:val="0"/>
      <w:divBdr>
        <w:top w:val="none" w:sz="0" w:space="0" w:color="auto"/>
        <w:left w:val="none" w:sz="0" w:space="0" w:color="auto"/>
        <w:bottom w:val="none" w:sz="0" w:space="0" w:color="auto"/>
        <w:right w:val="none" w:sz="0" w:space="0" w:color="auto"/>
      </w:divBdr>
    </w:div>
    <w:div w:id="760293371">
      <w:bodyDiv w:val="1"/>
      <w:marLeft w:val="0"/>
      <w:marRight w:val="0"/>
      <w:marTop w:val="0"/>
      <w:marBottom w:val="0"/>
      <w:divBdr>
        <w:top w:val="none" w:sz="0" w:space="0" w:color="auto"/>
        <w:left w:val="none" w:sz="0" w:space="0" w:color="auto"/>
        <w:bottom w:val="none" w:sz="0" w:space="0" w:color="auto"/>
        <w:right w:val="none" w:sz="0" w:space="0" w:color="auto"/>
      </w:divBdr>
    </w:div>
    <w:div w:id="880628829">
      <w:bodyDiv w:val="1"/>
      <w:marLeft w:val="0"/>
      <w:marRight w:val="0"/>
      <w:marTop w:val="0"/>
      <w:marBottom w:val="0"/>
      <w:divBdr>
        <w:top w:val="none" w:sz="0" w:space="0" w:color="auto"/>
        <w:left w:val="none" w:sz="0" w:space="0" w:color="auto"/>
        <w:bottom w:val="none" w:sz="0" w:space="0" w:color="auto"/>
        <w:right w:val="none" w:sz="0" w:space="0" w:color="auto"/>
      </w:divBdr>
    </w:div>
    <w:div w:id="967080970">
      <w:bodyDiv w:val="1"/>
      <w:marLeft w:val="0"/>
      <w:marRight w:val="0"/>
      <w:marTop w:val="0"/>
      <w:marBottom w:val="0"/>
      <w:divBdr>
        <w:top w:val="none" w:sz="0" w:space="0" w:color="auto"/>
        <w:left w:val="none" w:sz="0" w:space="0" w:color="auto"/>
        <w:bottom w:val="none" w:sz="0" w:space="0" w:color="auto"/>
        <w:right w:val="none" w:sz="0" w:space="0" w:color="auto"/>
      </w:divBdr>
    </w:div>
    <w:div w:id="1010832895">
      <w:bodyDiv w:val="1"/>
      <w:marLeft w:val="0"/>
      <w:marRight w:val="0"/>
      <w:marTop w:val="0"/>
      <w:marBottom w:val="0"/>
      <w:divBdr>
        <w:top w:val="none" w:sz="0" w:space="0" w:color="auto"/>
        <w:left w:val="none" w:sz="0" w:space="0" w:color="auto"/>
        <w:bottom w:val="none" w:sz="0" w:space="0" w:color="auto"/>
        <w:right w:val="none" w:sz="0" w:space="0" w:color="auto"/>
      </w:divBdr>
    </w:div>
    <w:div w:id="1044671453">
      <w:bodyDiv w:val="1"/>
      <w:marLeft w:val="0"/>
      <w:marRight w:val="0"/>
      <w:marTop w:val="0"/>
      <w:marBottom w:val="0"/>
      <w:divBdr>
        <w:top w:val="none" w:sz="0" w:space="0" w:color="auto"/>
        <w:left w:val="none" w:sz="0" w:space="0" w:color="auto"/>
        <w:bottom w:val="none" w:sz="0" w:space="0" w:color="auto"/>
        <w:right w:val="none" w:sz="0" w:space="0" w:color="auto"/>
      </w:divBdr>
    </w:div>
    <w:div w:id="1093941301">
      <w:bodyDiv w:val="1"/>
      <w:marLeft w:val="0"/>
      <w:marRight w:val="0"/>
      <w:marTop w:val="0"/>
      <w:marBottom w:val="0"/>
      <w:divBdr>
        <w:top w:val="none" w:sz="0" w:space="0" w:color="auto"/>
        <w:left w:val="none" w:sz="0" w:space="0" w:color="auto"/>
        <w:bottom w:val="none" w:sz="0" w:space="0" w:color="auto"/>
        <w:right w:val="none" w:sz="0" w:space="0" w:color="auto"/>
      </w:divBdr>
    </w:div>
    <w:div w:id="1115445490">
      <w:bodyDiv w:val="1"/>
      <w:marLeft w:val="0"/>
      <w:marRight w:val="0"/>
      <w:marTop w:val="0"/>
      <w:marBottom w:val="0"/>
      <w:divBdr>
        <w:top w:val="none" w:sz="0" w:space="0" w:color="auto"/>
        <w:left w:val="none" w:sz="0" w:space="0" w:color="auto"/>
        <w:bottom w:val="none" w:sz="0" w:space="0" w:color="auto"/>
        <w:right w:val="none" w:sz="0" w:space="0" w:color="auto"/>
      </w:divBdr>
    </w:div>
    <w:div w:id="1133333809">
      <w:bodyDiv w:val="1"/>
      <w:marLeft w:val="0"/>
      <w:marRight w:val="0"/>
      <w:marTop w:val="0"/>
      <w:marBottom w:val="0"/>
      <w:divBdr>
        <w:top w:val="none" w:sz="0" w:space="0" w:color="auto"/>
        <w:left w:val="none" w:sz="0" w:space="0" w:color="auto"/>
        <w:bottom w:val="none" w:sz="0" w:space="0" w:color="auto"/>
        <w:right w:val="none" w:sz="0" w:space="0" w:color="auto"/>
      </w:divBdr>
    </w:div>
    <w:div w:id="1302729170">
      <w:bodyDiv w:val="1"/>
      <w:marLeft w:val="0"/>
      <w:marRight w:val="0"/>
      <w:marTop w:val="0"/>
      <w:marBottom w:val="0"/>
      <w:divBdr>
        <w:top w:val="none" w:sz="0" w:space="0" w:color="auto"/>
        <w:left w:val="none" w:sz="0" w:space="0" w:color="auto"/>
        <w:bottom w:val="none" w:sz="0" w:space="0" w:color="auto"/>
        <w:right w:val="none" w:sz="0" w:space="0" w:color="auto"/>
      </w:divBdr>
    </w:div>
    <w:div w:id="1394549559">
      <w:bodyDiv w:val="1"/>
      <w:marLeft w:val="0"/>
      <w:marRight w:val="0"/>
      <w:marTop w:val="0"/>
      <w:marBottom w:val="0"/>
      <w:divBdr>
        <w:top w:val="none" w:sz="0" w:space="0" w:color="auto"/>
        <w:left w:val="none" w:sz="0" w:space="0" w:color="auto"/>
        <w:bottom w:val="none" w:sz="0" w:space="0" w:color="auto"/>
        <w:right w:val="none" w:sz="0" w:space="0" w:color="auto"/>
      </w:divBdr>
    </w:div>
    <w:div w:id="1437822977">
      <w:bodyDiv w:val="1"/>
      <w:marLeft w:val="0"/>
      <w:marRight w:val="0"/>
      <w:marTop w:val="0"/>
      <w:marBottom w:val="0"/>
      <w:divBdr>
        <w:top w:val="none" w:sz="0" w:space="0" w:color="auto"/>
        <w:left w:val="none" w:sz="0" w:space="0" w:color="auto"/>
        <w:bottom w:val="none" w:sz="0" w:space="0" w:color="auto"/>
        <w:right w:val="none" w:sz="0" w:space="0" w:color="auto"/>
      </w:divBdr>
    </w:div>
    <w:div w:id="1499929921">
      <w:bodyDiv w:val="1"/>
      <w:marLeft w:val="0"/>
      <w:marRight w:val="0"/>
      <w:marTop w:val="0"/>
      <w:marBottom w:val="0"/>
      <w:divBdr>
        <w:top w:val="none" w:sz="0" w:space="0" w:color="auto"/>
        <w:left w:val="none" w:sz="0" w:space="0" w:color="auto"/>
        <w:bottom w:val="none" w:sz="0" w:space="0" w:color="auto"/>
        <w:right w:val="none" w:sz="0" w:space="0" w:color="auto"/>
      </w:divBdr>
    </w:div>
    <w:div w:id="1520703799">
      <w:bodyDiv w:val="1"/>
      <w:marLeft w:val="0"/>
      <w:marRight w:val="0"/>
      <w:marTop w:val="0"/>
      <w:marBottom w:val="0"/>
      <w:divBdr>
        <w:top w:val="none" w:sz="0" w:space="0" w:color="auto"/>
        <w:left w:val="none" w:sz="0" w:space="0" w:color="auto"/>
        <w:bottom w:val="none" w:sz="0" w:space="0" w:color="auto"/>
        <w:right w:val="none" w:sz="0" w:space="0" w:color="auto"/>
      </w:divBdr>
    </w:div>
    <w:div w:id="1565752186">
      <w:bodyDiv w:val="1"/>
      <w:marLeft w:val="0"/>
      <w:marRight w:val="0"/>
      <w:marTop w:val="0"/>
      <w:marBottom w:val="0"/>
      <w:divBdr>
        <w:top w:val="none" w:sz="0" w:space="0" w:color="auto"/>
        <w:left w:val="none" w:sz="0" w:space="0" w:color="auto"/>
        <w:bottom w:val="none" w:sz="0" w:space="0" w:color="auto"/>
        <w:right w:val="none" w:sz="0" w:space="0" w:color="auto"/>
      </w:divBdr>
    </w:div>
    <w:div w:id="1581452155">
      <w:bodyDiv w:val="1"/>
      <w:marLeft w:val="0"/>
      <w:marRight w:val="0"/>
      <w:marTop w:val="0"/>
      <w:marBottom w:val="0"/>
      <w:divBdr>
        <w:top w:val="none" w:sz="0" w:space="0" w:color="auto"/>
        <w:left w:val="none" w:sz="0" w:space="0" w:color="auto"/>
        <w:bottom w:val="none" w:sz="0" w:space="0" w:color="auto"/>
        <w:right w:val="none" w:sz="0" w:space="0" w:color="auto"/>
      </w:divBdr>
      <w:divsChild>
        <w:div w:id="1090585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1163686">
      <w:bodyDiv w:val="1"/>
      <w:marLeft w:val="0"/>
      <w:marRight w:val="0"/>
      <w:marTop w:val="0"/>
      <w:marBottom w:val="0"/>
      <w:divBdr>
        <w:top w:val="none" w:sz="0" w:space="0" w:color="auto"/>
        <w:left w:val="none" w:sz="0" w:space="0" w:color="auto"/>
        <w:bottom w:val="none" w:sz="0" w:space="0" w:color="auto"/>
        <w:right w:val="none" w:sz="0" w:space="0" w:color="auto"/>
      </w:divBdr>
    </w:div>
    <w:div w:id="1632399339">
      <w:bodyDiv w:val="1"/>
      <w:marLeft w:val="0"/>
      <w:marRight w:val="0"/>
      <w:marTop w:val="0"/>
      <w:marBottom w:val="0"/>
      <w:divBdr>
        <w:top w:val="none" w:sz="0" w:space="0" w:color="auto"/>
        <w:left w:val="none" w:sz="0" w:space="0" w:color="auto"/>
        <w:bottom w:val="none" w:sz="0" w:space="0" w:color="auto"/>
        <w:right w:val="none" w:sz="0" w:space="0" w:color="auto"/>
      </w:divBdr>
    </w:div>
    <w:div w:id="1660579530">
      <w:bodyDiv w:val="1"/>
      <w:marLeft w:val="0"/>
      <w:marRight w:val="0"/>
      <w:marTop w:val="0"/>
      <w:marBottom w:val="0"/>
      <w:divBdr>
        <w:top w:val="none" w:sz="0" w:space="0" w:color="auto"/>
        <w:left w:val="none" w:sz="0" w:space="0" w:color="auto"/>
        <w:bottom w:val="none" w:sz="0" w:space="0" w:color="auto"/>
        <w:right w:val="none" w:sz="0" w:space="0" w:color="auto"/>
      </w:divBdr>
    </w:div>
    <w:div w:id="1686437949">
      <w:bodyDiv w:val="1"/>
      <w:marLeft w:val="0"/>
      <w:marRight w:val="0"/>
      <w:marTop w:val="0"/>
      <w:marBottom w:val="0"/>
      <w:divBdr>
        <w:top w:val="none" w:sz="0" w:space="0" w:color="auto"/>
        <w:left w:val="none" w:sz="0" w:space="0" w:color="auto"/>
        <w:bottom w:val="none" w:sz="0" w:space="0" w:color="auto"/>
        <w:right w:val="none" w:sz="0" w:space="0" w:color="auto"/>
      </w:divBdr>
    </w:div>
    <w:div w:id="1705860937">
      <w:bodyDiv w:val="1"/>
      <w:marLeft w:val="0"/>
      <w:marRight w:val="0"/>
      <w:marTop w:val="0"/>
      <w:marBottom w:val="0"/>
      <w:divBdr>
        <w:top w:val="none" w:sz="0" w:space="0" w:color="auto"/>
        <w:left w:val="none" w:sz="0" w:space="0" w:color="auto"/>
        <w:bottom w:val="none" w:sz="0" w:space="0" w:color="auto"/>
        <w:right w:val="none" w:sz="0" w:space="0" w:color="auto"/>
      </w:divBdr>
    </w:div>
    <w:div w:id="1760249374">
      <w:bodyDiv w:val="1"/>
      <w:marLeft w:val="0"/>
      <w:marRight w:val="0"/>
      <w:marTop w:val="0"/>
      <w:marBottom w:val="0"/>
      <w:divBdr>
        <w:top w:val="none" w:sz="0" w:space="0" w:color="auto"/>
        <w:left w:val="none" w:sz="0" w:space="0" w:color="auto"/>
        <w:bottom w:val="none" w:sz="0" w:space="0" w:color="auto"/>
        <w:right w:val="none" w:sz="0" w:space="0" w:color="auto"/>
      </w:divBdr>
    </w:div>
    <w:div w:id="1762988316">
      <w:bodyDiv w:val="1"/>
      <w:marLeft w:val="0"/>
      <w:marRight w:val="0"/>
      <w:marTop w:val="0"/>
      <w:marBottom w:val="0"/>
      <w:divBdr>
        <w:top w:val="none" w:sz="0" w:space="0" w:color="auto"/>
        <w:left w:val="none" w:sz="0" w:space="0" w:color="auto"/>
        <w:bottom w:val="none" w:sz="0" w:space="0" w:color="auto"/>
        <w:right w:val="none" w:sz="0" w:space="0" w:color="auto"/>
      </w:divBdr>
    </w:div>
    <w:div w:id="1782724217">
      <w:bodyDiv w:val="1"/>
      <w:marLeft w:val="0"/>
      <w:marRight w:val="0"/>
      <w:marTop w:val="0"/>
      <w:marBottom w:val="0"/>
      <w:divBdr>
        <w:top w:val="none" w:sz="0" w:space="0" w:color="auto"/>
        <w:left w:val="none" w:sz="0" w:space="0" w:color="auto"/>
        <w:bottom w:val="none" w:sz="0" w:space="0" w:color="auto"/>
        <w:right w:val="none" w:sz="0" w:space="0" w:color="auto"/>
      </w:divBdr>
    </w:div>
    <w:div w:id="1820609593">
      <w:bodyDiv w:val="1"/>
      <w:marLeft w:val="0"/>
      <w:marRight w:val="0"/>
      <w:marTop w:val="0"/>
      <w:marBottom w:val="0"/>
      <w:divBdr>
        <w:top w:val="none" w:sz="0" w:space="0" w:color="auto"/>
        <w:left w:val="none" w:sz="0" w:space="0" w:color="auto"/>
        <w:bottom w:val="none" w:sz="0" w:space="0" w:color="auto"/>
        <w:right w:val="none" w:sz="0" w:space="0" w:color="auto"/>
      </w:divBdr>
    </w:div>
    <w:div w:id="1854807839">
      <w:bodyDiv w:val="1"/>
      <w:marLeft w:val="0"/>
      <w:marRight w:val="0"/>
      <w:marTop w:val="0"/>
      <w:marBottom w:val="0"/>
      <w:divBdr>
        <w:top w:val="none" w:sz="0" w:space="0" w:color="auto"/>
        <w:left w:val="none" w:sz="0" w:space="0" w:color="auto"/>
        <w:bottom w:val="none" w:sz="0" w:space="0" w:color="auto"/>
        <w:right w:val="none" w:sz="0" w:space="0" w:color="auto"/>
      </w:divBdr>
    </w:div>
    <w:div w:id="1889610992">
      <w:bodyDiv w:val="1"/>
      <w:marLeft w:val="0"/>
      <w:marRight w:val="0"/>
      <w:marTop w:val="0"/>
      <w:marBottom w:val="0"/>
      <w:divBdr>
        <w:top w:val="none" w:sz="0" w:space="0" w:color="auto"/>
        <w:left w:val="none" w:sz="0" w:space="0" w:color="auto"/>
        <w:bottom w:val="none" w:sz="0" w:space="0" w:color="auto"/>
        <w:right w:val="none" w:sz="0" w:space="0" w:color="auto"/>
      </w:divBdr>
    </w:div>
    <w:div w:id="1946306932">
      <w:bodyDiv w:val="1"/>
      <w:marLeft w:val="0"/>
      <w:marRight w:val="0"/>
      <w:marTop w:val="0"/>
      <w:marBottom w:val="0"/>
      <w:divBdr>
        <w:top w:val="none" w:sz="0" w:space="0" w:color="auto"/>
        <w:left w:val="none" w:sz="0" w:space="0" w:color="auto"/>
        <w:bottom w:val="none" w:sz="0" w:space="0" w:color="auto"/>
        <w:right w:val="none" w:sz="0" w:space="0" w:color="auto"/>
      </w:divBdr>
    </w:div>
    <w:div w:id="1947301542">
      <w:bodyDiv w:val="1"/>
      <w:marLeft w:val="0"/>
      <w:marRight w:val="0"/>
      <w:marTop w:val="0"/>
      <w:marBottom w:val="0"/>
      <w:divBdr>
        <w:top w:val="none" w:sz="0" w:space="0" w:color="auto"/>
        <w:left w:val="none" w:sz="0" w:space="0" w:color="auto"/>
        <w:bottom w:val="none" w:sz="0" w:space="0" w:color="auto"/>
        <w:right w:val="none" w:sz="0" w:space="0" w:color="auto"/>
      </w:divBdr>
    </w:div>
    <w:div w:id="1950624652">
      <w:bodyDiv w:val="1"/>
      <w:marLeft w:val="0"/>
      <w:marRight w:val="0"/>
      <w:marTop w:val="0"/>
      <w:marBottom w:val="0"/>
      <w:divBdr>
        <w:top w:val="none" w:sz="0" w:space="0" w:color="auto"/>
        <w:left w:val="none" w:sz="0" w:space="0" w:color="auto"/>
        <w:bottom w:val="none" w:sz="0" w:space="0" w:color="auto"/>
        <w:right w:val="none" w:sz="0" w:space="0" w:color="auto"/>
      </w:divBdr>
    </w:div>
    <w:div w:id="1953853844">
      <w:bodyDiv w:val="1"/>
      <w:marLeft w:val="0"/>
      <w:marRight w:val="0"/>
      <w:marTop w:val="0"/>
      <w:marBottom w:val="0"/>
      <w:divBdr>
        <w:top w:val="none" w:sz="0" w:space="0" w:color="auto"/>
        <w:left w:val="none" w:sz="0" w:space="0" w:color="auto"/>
        <w:bottom w:val="none" w:sz="0" w:space="0" w:color="auto"/>
        <w:right w:val="none" w:sz="0" w:space="0" w:color="auto"/>
      </w:divBdr>
    </w:div>
    <w:div w:id="1991396791">
      <w:bodyDiv w:val="1"/>
      <w:marLeft w:val="0"/>
      <w:marRight w:val="0"/>
      <w:marTop w:val="0"/>
      <w:marBottom w:val="0"/>
      <w:divBdr>
        <w:top w:val="none" w:sz="0" w:space="0" w:color="auto"/>
        <w:left w:val="none" w:sz="0" w:space="0" w:color="auto"/>
        <w:bottom w:val="none" w:sz="0" w:space="0" w:color="auto"/>
        <w:right w:val="none" w:sz="0" w:space="0" w:color="auto"/>
      </w:divBdr>
    </w:div>
    <w:div w:id="2054957372">
      <w:bodyDiv w:val="1"/>
      <w:marLeft w:val="0"/>
      <w:marRight w:val="0"/>
      <w:marTop w:val="0"/>
      <w:marBottom w:val="0"/>
      <w:divBdr>
        <w:top w:val="none" w:sz="0" w:space="0" w:color="auto"/>
        <w:left w:val="none" w:sz="0" w:space="0" w:color="auto"/>
        <w:bottom w:val="none" w:sz="0" w:space="0" w:color="auto"/>
        <w:right w:val="none" w:sz="0" w:space="0" w:color="auto"/>
      </w:divBdr>
    </w:div>
    <w:div w:id="205908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14</Pages>
  <Words>15760</Words>
  <Characters>97874</Characters>
  <Application>Microsoft Office Word</Application>
  <DocSecurity>0</DocSecurity>
  <Lines>1658</Lines>
  <Paragraphs>427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Olabisi Lawal</dc:creator>
  <cp:keywords/>
  <dc:description/>
  <cp:lastModifiedBy>Microsoft account</cp:lastModifiedBy>
  <cp:revision>33</cp:revision>
  <dcterms:created xsi:type="dcterms:W3CDTF">2025-08-13T09:10:00Z</dcterms:created>
  <dcterms:modified xsi:type="dcterms:W3CDTF">2025-08-18T11:48:00Z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zotero-version="7.0.16"&gt;&lt;session id="k4mIixCd"/&gt;&lt;style id="http://www.zotero.org/styles/vancouver-brackets" locale="en-US" hasBibliography="1" bibliographyStyleHasBeenSet="1"/&gt;&lt;prefs&gt;&lt;pref name="fieldType" value="Field"/&gt;&lt;/prefs&gt;&lt;/d</vt:lpwstr>
  </property>
  <property fmtid="{D5CDD505-2E9C-101B-9397-08002B2CF9AE}" pid="3" name="ZOTERO_PREF_2">
    <vt:lpwstr>ata&gt;</vt:lpwstr>
  </property>
  <property fmtid="{D5CDD505-2E9C-101B-9397-08002B2CF9AE}" pid="4" name="GrammarlyDocumentId">
    <vt:lpwstr>b008530e-af49-4ade-b102-5b30f613d8e0</vt:lpwstr>
  </property>
</Properties>
</file>