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B9" w:rsidRPr="00306DFE" w:rsidRDefault="006907B9" w:rsidP="00437BB2">
      <w:pPr>
        <w:spacing w:after="160" w:line="360" w:lineRule="auto"/>
        <w:jc w:val="center"/>
        <w:rPr>
          <w:b/>
          <w:bCs/>
        </w:rPr>
      </w:pPr>
      <w:r w:rsidRPr="00306DFE">
        <w:rPr>
          <w:b/>
          <w:bCs/>
        </w:rPr>
        <w:t>Reproductive Traits and Haematological Profiles of Indigenous Chickens of Kerala, India</w:t>
      </w:r>
    </w:p>
    <w:p w:rsidR="004D66C7" w:rsidRPr="00306DFE" w:rsidRDefault="004D66C7" w:rsidP="00437BB2">
      <w:pPr>
        <w:spacing w:after="160" w:line="360" w:lineRule="auto"/>
      </w:pPr>
    </w:p>
    <w:p w:rsidR="00D73DB5" w:rsidRPr="00306DFE" w:rsidRDefault="001A6D1E" w:rsidP="00D73DB5">
      <w:pPr>
        <w:spacing w:before="100" w:beforeAutospacing="1" w:after="100" w:afterAutospacing="1"/>
        <w:outlineLvl w:val="2"/>
        <w:rPr>
          <w:b/>
          <w:bCs/>
          <w:sz w:val="27"/>
          <w:szCs w:val="27"/>
          <w:lang w:val="en-IN" w:eastAsia="en-IN" w:bidi="ta-IN"/>
        </w:rPr>
      </w:pPr>
      <w:r w:rsidRPr="00306DFE">
        <w:rPr>
          <w:b/>
          <w:bCs/>
          <w:sz w:val="27"/>
          <w:szCs w:val="27"/>
          <w:lang w:val="en-IN" w:eastAsia="en-IN" w:bidi="ta-IN"/>
        </w:rPr>
        <w:t>ABSTRACT</w:t>
      </w:r>
    </w:p>
    <w:p w:rsidR="00D73DB5" w:rsidRPr="00306DFE" w:rsidRDefault="00D73DB5" w:rsidP="00D73DB5">
      <w:pPr>
        <w:spacing w:before="100" w:beforeAutospacing="1" w:after="100" w:afterAutospacing="1" w:line="360" w:lineRule="auto"/>
        <w:ind w:firstLine="720"/>
        <w:jc w:val="both"/>
        <w:rPr>
          <w:lang w:eastAsia="en-IN" w:bidi="ta-IN"/>
        </w:rPr>
      </w:pPr>
      <w:r w:rsidRPr="00306DFE">
        <w:rPr>
          <w:lang w:val="en-IN" w:eastAsia="en-IN" w:bidi="ta-IN"/>
        </w:rPr>
        <w:t xml:space="preserve">A study </w:t>
      </w:r>
      <w:r w:rsidR="0065345F" w:rsidRPr="00306DFE">
        <w:rPr>
          <w:lang w:val="en-IN" w:eastAsia="en-IN" w:bidi="ta-IN"/>
        </w:rPr>
        <w:t xml:space="preserve">was conducted </w:t>
      </w:r>
      <w:r w:rsidR="0065345F" w:rsidRPr="004C5913">
        <w:rPr>
          <w:color w:val="FF0000"/>
          <w:lang w:val="en-IN" w:eastAsia="en-IN" w:bidi="ta-IN"/>
        </w:rPr>
        <w:t>to</w:t>
      </w:r>
      <w:r w:rsidRPr="004C5913">
        <w:rPr>
          <w:color w:val="FF0000"/>
          <w:lang w:val="en-IN" w:eastAsia="en-IN" w:bidi="ta-IN"/>
        </w:rPr>
        <w:t>evaluate</w:t>
      </w:r>
      <w:r w:rsidRPr="00306DFE">
        <w:rPr>
          <w:lang w:val="en-IN" w:eastAsia="en-IN" w:bidi="ta-IN"/>
        </w:rPr>
        <w:t xml:space="preserve"> the reproductive and haematological characteristics of indigenous chickens reared under backyard systems in Kannur and Kozhikode districts of Kerala, India. Data were collected from 64 households using recall-based surveys and direct blood sampling. Key reproductive traits such as age at sexual maturity, clutch size, </w:t>
      </w:r>
      <w:r w:rsidR="00FD1602" w:rsidRPr="00306DFE">
        <w:rPr>
          <w:lang w:val="en-IN" w:eastAsia="en-IN" w:bidi="ta-IN"/>
        </w:rPr>
        <w:t xml:space="preserve">number of clutches per cycle, </w:t>
      </w:r>
      <w:r w:rsidRPr="00306DFE">
        <w:rPr>
          <w:lang w:val="en-IN" w:eastAsia="en-IN" w:bidi="ta-IN"/>
        </w:rPr>
        <w:t xml:space="preserve">egg production per cycle, and </w:t>
      </w:r>
      <w:r w:rsidR="00FD1602" w:rsidRPr="00306DFE">
        <w:rPr>
          <w:lang w:val="en-IN" w:eastAsia="en-IN" w:bidi="ta-IN"/>
        </w:rPr>
        <w:t xml:space="preserve">length of </w:t>
      </w:r>
      <w:r w:rsidRPr="00306DFE">
        <w:rPr>
          <w:lang w:val="en-IN" w:eastAsia="en-IN" w:bidi="ta-IN"/>
        </w:rPr>
        <w:t>broodiness were documented. Most hens reached sexual maturity between 22 – 26 weeks, laid predominantly light brown eggs, and exhibited strong broodiness, with a typical broody phase lasting 15 – 28 days. Clutch size predominantly ranged between 5 – 8 eggs, and total egg production per cycle commonly fell within 11 – 15 eggs. Haematological analysis revealed significantly higher red blood cell count</w:t>
      </w:r>
      <w:r w:rsidR="00FD1602" w:rsidRPr="00306DFE">
        <w:rPr>
          <w:lang w:val="en-IN" w:eastAsia="en-IN" w:bidi="ta-IN"/>
        </w:rPr>
        <w:t xml:space="preserve"> (P&lt;0.01)</w:t>
      </w:r>
      <w:r w:rsidRPr="00306DFE">
        <w:rPr>
          <w:lang w:val="en-IN" w:eastAsia="en-IN" w:bidi="ta-IN"/>
        </w:rPr>
        <w:t>, haemoglobin concentration</w:t>
      </w:r>
      <w:r w:rsidR="00FD1602" w:rsidRPr="00306DFE">
        <w:rPr>
          <w:lang w:val="en-IN" w:eastAsia="en-IN" w:bidi="ta-IN"/>
        </w:rPr>
        <w:t xml:space="preserve"> (P&lt;0.05)</w:t>
      </w:r>
      <w:r w:rsidRPr="00306DFE">
        <w:rPr>
          <w:lang w:val="en-IN" w:eastAsia="en-IN" w:bidi="ta-IN"/>
        </w:rPr>
        <w:t>, and packed cell volume</w:t>
      </w:r>
      <w:r w:rsidR="00FD1602" w:rsidRPr="00306DFE">
        <w:rPr>
          <w:lang w:val="en-IN" w:eastAsia="en-IN" w:bidi="ta-IN"/>
        </w:rPr>
        <w:t xml:space="preserve"> (P&lt;0.01)</w:t>
      </w:r>
      <w:r w:rsidRPr="00306DFE">
        <w:rPr>
          <w:lang w:val="en-IN" w:eastAsia="en-IN" w:bidi="ta-IN"/>
        </w:rPr>
        <w:t xml:space="preserve"> in males compared to females. </w:t>
      </w:r>
      <w:r w:rsidRPr="004C5913">
        <w:rPr>
          <w:highlight w:val="yellow"/>
          <w:lang w:val="en-IN" w:eastAsia="en-IN" w:bidi="ta-IN"/>
        </w:rPr>
        <w:t xml:space="preserve">Males also had lower lymphocyte </w:t>
      </w:r>
      <w:r w:rsidR="00FD1602" w:rsidRPr="004C5913">
        <w:rPr>
          <w:highlight w:val="yellow"/>
          <w:lang w:val="en-IN" w:eastAsia="en-IN" w:bidi="ta-IN"/>
        </w:rPr>
        <w:t>(P&lt;0.0</w:t>
      </w:r>
      <w:r w:rsidR="00825610" w:rsidRPr="004C5913">
        <w:rPr>
          <w:highlight w:val="yellow"/>
          <w:lang w:val="en-IN" w:eastAsia="en-IN" w:bidi="ta-IN"/>
        </w:rPr>
        <w:t>0</w:t>
      </w:r>
      <w:r w:rsidR="00FD1602" w:rsidRPr="004C5913">
        <w:rPr>
          <w:highlight w:val="yellow"/>
          <w:lang w:val="en-IN" w:eastAsia="en-IN" w:bidi="ta-IN"/>
        </w:rPr>
        <w:t xml:space="preserve">1) </w:t>
      </w:r>
      <w:r w:rsidRPr="004C5913">
        <w:rPr>
          <w:highlight w:val="yellow"/>
          <w:lang w:val="en-IN" w:eastAsia="en-IN" w:bidi="ta-IN"/>
        </w:rPr>
        <w:t xml:space="preserve">and higher heterophil </w:t>
      </w:r>
      <w:r w:rsidR="00FD1602" w:rsidRPr="004C5913">
        <w:rPr>
          <w:highlight w:val="yellow"/>
          <w:lang w:val="en-IN" w:eastAsia="en-IN" w:bidi="ta-IN"/>
        </w:rPr>
        <w:t>(P&lt;0.</w:t>
      </w:r>
      <w:r w:rsidR="00825610" w:rsidRPr="004C5913">
        <w:rPr>
          <w:highlight w:val="yellow"/>
          <w:lang w:val="en-IN" w:eastAsia="en-IN" w:bidi="ta-IN"/>
        </w:rPr>
        <w:t>0</w:t>
      </w:r>
      <w:r w:rsidR="00FD1602" w:rsidRPr="004C5913">
        <w:rPr>
          <w:highlight w:val="yellow"/>
          <w:lang w:val="en-IN" w:eastAsia="en-IN" w:bidi="ta-IN"/>
        </w:rPr>
        <w:t xml:space="preserve">01) </w:t>
      </w:r>
      <w:r w:rsidRPr="004C5913">
        <w:rPr>
          <w:highlight w:val="yellow"/>
          <w:lang w:val="en-IN" w:eastAsia="en-IN" w:bidi="ta-IN"/>
        </w:rPr>
        <w:t>counts than females.</w:t>
      </w:r>
      <w:r w:rsidR="004C5913">
        <w:rPr>
          <w:lang w:val="en-IN" w:eastAsia="en-IN" w:bidi="ta-IN"/>
        </w:rPr>
        <w:t xml:space="preserve"> </w:t>
      </w:r>
      <w:r w:rsidR="004C5913" w:rsidRPr="004C5913">
        <w:rPr>
          <w:color w:val="FF0000"/>
          <w:lang w:val="en-IN" w:eastAsia="en-IN" w:bidi="ta-IN"/>
        </w:rPr>
        <w:t>(Males also included in study ?)</w:t>
      </w:r>
      <w:r w:rsidRPr="004C5913">
        <w:rPr>
          <w:color w:val="FF0000"/>
          <w:lang w:val="en-IN" w:eastAsia="en-IN" w:bidi="ta-IN"/>
        </w:rPr>
        <w:t xml:space="preserve"> </w:t>
      </w:r>
      <w:r w:rsidRPr="00306DFE">
        <w:rPr>
          <w:lang w:val="en-IN" w:eastAsia="en-IN" w:bidi="ta-IN"/>
        </w:rPr>
        <w:t xml:space="preserve">These findings provide baseline information on the productivity and physiological status of indigenous chicken </w:t>
      </w:r>
      <w:r w:rsidR="00FD1602" w:rsidRPr="00306DFE">
        <w:rPr>
          <w:lang w:val="en-IN" w:eastAsia="en-IN" w:bidi="ta-IN"/>
        </w:rPr>
        <w:t>of Kannur and Kozhikode districts of Kerala</w:t>
      </w:r>
      <w:r w:rsidRPr="00306DFE">
        <w:rPr>
          <w:lang w:val="en-IN" w:eastAsia="en-IN" w:bidi="ta-IN"/>
        </w:rPr>
        <w:t xml:space="preserve"> and can support targeted genetic improvement and conservation programs.</w:t>
      </w:r>
    </w:p>
    <w:p w:rsidR="00D73DB5" w:rsidRPr="00306DFE" w:rsidRDefault="00D73DB5" w:rsidP="00D73DB5">
      <w:pPr>
        <w:spacing w:before="100" w:beforeAutospacing="1" w:after="100" w:afterAutospacing="1" w:line="360" w:lineRule="auto"/>
        <w:jc w:val="both"/>
        <w:rPr>
          <w:lang w:val="en-IN" w:eastAsia="en-IN" w:bidi="ta-IN"/>
        </w:rPr>
      </w:pPr>
      <w:r w:rsidRPr="00306DFE">
        <w:rPr>
          <w:b/>
          <w:bCs/>
          <w:lang w:eastAsia="en-IN" w:bidi="ta-IN"/>
        </w:rPr>
        <w:t>Keywords</w:t>
      </w:r>
      <w:r w:rsidRPr="00306DFE">
        <w:rPr>
          <w:lang w:eastAsia="en-IN" w:bidi="ta-IN"/>
        </w:rPr>
        <w:t xml:space="preserve">: </w:t>
      </w:r>
      <w:r w:rsidRPr="00306DFE">
        <w:rPr>
          <w:lang w:val="en-IN" w:eastAsia="en-IN" w:bidi="ta-IN"/>
        </w:rPr>
        <w:t>Indigenous chicken, Reproductive traits, Broodiness, Egg laying cycle, Haematological parameters, Kerala</w:t>
      </w:r>
    </w:p>
    <w:p w:rsidR="00DC5A1D" w:rsidRPr="00306DFE" w:rsidRDefault="001A6D1E" w:rsidP="00437BB2">
      <w:pPr>
        <w:spacing w:after="160" w:line="360" w:lineRule="auto"/>
        <w:rPr>
          <w:b/>
          <w:bCs/>
        </w:rPr>
      </w:pPr>
      <w:r w:rsidRPr="00306DFE">
        <w:rPr>
          <w:b/>
          <w:bCs/>
        </w:rPr>
        <w:t>1. INTRODUCTION</w:t>
      </w:r>
    </w:p>
    <w:p w:rsidR="009907DF" w:rsidRPr="00306DFE" w:rsidRDefault="006F001F" w:rsidP="009907DF">
      <w:pPr>
        <w:spacing w:line="360" w:lineRule="auto"/>
        <w:ind w:firstLine="567"/>
        <w:jc w:val="both"/>
      </w:pPr>
      <w:r w:rsidRPr="00306DFE">
        <w:t xml:space="preserve">The traditional system of chicken farming plays a pivotal role in rural livelihoods, as it primarily relies on scavenged feed resources and leftover household kitchen. Indigenous chickens require minimal housing infrastructure; simple coops constructed from locally available materials such as mud, wire mesh, wood, </w:t>
      </w:r>
      <w:r w:rsidR="00255065" w:rsidRPr="00306DFE">
        <w:t xml:space="preserve">plastic sheets </w:t>
      </w:r>
      <w:r w:rsidRPr="00306DFE">
        <w:t>or tiles serve as night shelters (Kumar et al., 2013</w:t>
      </w:r>
      <w:r w:rsidR="00B24EEF" w:rsidRPr="00306DFE">
        <w:t>a</w:t>
      </w:r>
      <w:r w:rsidRPr="00306DFE">
        <w:t xml:space="preserve">). These birds do not depend on commercial balanced feed, as they fulfill their nutritional needs by foraging on grasses, insects, and worms. Moreover, indigenous chickens generally exhibit innate resistance to many common poultry diseases, often requiring only vaccination against Ranikhet (Newcastle) disease for effective disease </w:t>
      </w:r>
      <w:r w:rsidRPr="00306DFE">
        <w:lastRenderedPageBreak/>
        <w:t>control (Haunshi</w:t>
      </w:r>
      <w:r w:rsidR="00B24EEF" w:rsidRPr="00306DFE">
        <w:t>and</w:t>
      </w:r>
      <w:r w:rsidRPr="00306DFE">
        <w:t xml:space="preserve"> Rajkumar, 2020).</w:t>
      </w:r>
      <w:r w:rsidR="009907DF" w:rsidRPr="00306DFE">
        <w:t xml:space="preserve"> Previous studies by the authors have shown that most farmers rearing native chickens in this region are marginal and smallholders who integrate livestock and poultry with crop farming (Kumar and Churchil, 2025).</w:t>
      </w:r>
    </w:p>
    <w:p w:rsidR="006F001F" w:rsidRPr="00306DFE" w:rsidRDefault="006F001F" w:rsidP="00437BB2">
      <w:pPr>
        <w:spacing w:line="360" w:lineRule="auto"/>
        <w:ind w:firstLine="567"/>
        <w:jc w:val="both"/>
      </w:pPr>
    </w:p>
    <w:p w:rsidR="006F001F" w:rsidRPr="00306DFE" w:rsidRDefault="006F001F" w:rsidP="00437BB2">
      <w:pPr>
        <w:spacing w:line="360" w:lineRule="auto"/>
        <w:ind w:firstLine="567"/>
        <w:jc w:val="both"/>
      </w:pPr>
      <w:r w:rsidRPr="00306DFE">
        <w:t>Indigenous chickens are also highly adapted to evade predation, capable of running swiftly or flying short distances to escape from aerial and terrestrial predators (Kumar et al., 2016). This adaptability enhances their survivability, especially in hilly and predator-prone regions. Additionally, their hardiness and tolerance to tropical climatic conditions make them more suitable for rural poultry production systems compared to exotic breeds. A notable feature of indigenous chickens is their strong broodiness and maternal instincts</w:t>
      </w:r>
      <w:r w:rsidR="009907DF" w:rsidRPr="00306DFE">
        <w:t xml:space="preserve"> (Kumar et al., 2013b)</w:t>
      </w:r>
      <w:r w:rsidRPr="00306DFE">
        <w:t>, which enable them to incubate, hatch, and rear chicks without external intervention</w:t>
      </w:r>
      <w:r w:rsidR="00255065" w:rsidRPr="00306DFE">
        <w:t xml:space="preserve">, </w:t>
      </w:r>
      <w:r w:rsidRPr="00306DFE">
        <w:t>an essential trait for self-propagation in backyard systems.</w:t>
      </w:r>
    </w:p>
    <w:p w:rsidR="002D3A37" w:rsidRPr="00306DFE" w:rsidRDefault="006F001F" w:rsidP="00437BB2">
      <w:pPr>
        <w:spacing w:line="360" w:lineRule="auto"/>
        <w:ind w:firstLine="567"/>
        <w:jc w:val="both"/>
      </w:pPr>
      <w:r w:rsidRPr="00306DFE">
        <w:t xml:space="preserve">Indigenous chickens constitute approximately 39% of the total poultry population in India, with an estimated 317 million birds out of 850 million. Despite the numerical strength, their contribution to national egg production is relatively low at only 19% (Churchil, 2022). This disparity is primarily due to their low productivity, with several studies reporting an annual egg yield of only 60–90 eggs per hen (Iqbal </w:t>
      </w:r>
      <w:r w:rsidR="00233FD3" w:rsidRPr="00306DFE">
        <w:t>and</w:t>
      </w:r>
      <w:r w:rsidRPr="00306DFE">
        <w:t xml:space="preserve">Pampori, 2008; Kumar et al., 2016), which is approximately one-fourth that of </w:t>
      </w:r>
      <w:r w:rsidR="009907DF" w:rsidRPr="00306DFE">
        <w:t>layer breeds like White Leghorn</w:t>
      </w:r>
      <w:r w:rsidRPr="00306DFE">
        <w:t xml:space="preserve"> (</w:t>
      </w:r>
      <w:r w:rsidR="004A13B7" w:rsidRPr="00306DFE">
        <w:t xml:space="preserve">Veeramani et al., 2012; </w:t>
      </w:r>
      <w:r w:rsidRPr="00306DFE">
        <w:t xml:space="preserve">Churchil et al., 2019). A major factor contributing to this reduced output is the cyclic nature of egg production, characterized by alternating laying and broody phases. Broodiness is a reproductive behavior involving the hen’s instinct to incubate eggs and rear chicks, and is typically marked by increased body temperature, characteristic clucking, reduced feed and water intake, aggressive or defensive behavior, prolonged nest occupancy, and complete cessation of egg production (Romanov et al., 2002; Jiang et al., 2010). In indigenous breeds, the broody phase typically lasts 3 to 4 weeks, during which no eggs are laid (Chen </w:t>
      </w:r>
      <w:r w:rsidR="00233FD3" w:rsidRPr="00306DFE">
        <w:t>and</w:t>
      </w:r>
      <w:r w:rsidRPr="00306DFE">
        <w:t xml:space="preserve"> Li, 2007).</w:t>
      </w:r>
      <w:r w:rsidR="002D3A37" w:rsidRPr="00306DFE">
        <w:t>However, the laying performance and egg-laying patterns of indigenous chickens in Kerala have not been adequately documented</w:t>
      </w:r>
      <w:r w:rsidR="0001143F" w:rsidRPr="00306DFE">
        <w:t>.</w:t>
      </w:r>
    </w:p>
    <w:p w:rsidR="008503B3" w:rsidRPr="00306DFE" w:rsidRDefault="006F001F" w:rsidP="00437BB2">
      <w:pPr>
        <w:spacing w:line="360" w:lineRule="auto"/>
        <w:ind w:firstLine="567"/>
        <w:jc w:val="both"/>
      </w:pPr>
      <w:r w:rsidRPr="00306DFE">
        <w:t xml:space="preserve">Haematological parameters are valuable indicators of physiological and health status in chickens, often reflecting disease conditions (Latimer et al., 1988). Elagib and Ahmed (2011) observed that red blood cell (RBC) count, mean corpuscular volume (MCV), and mean corpuscular hemoglobin (MCH) levels varied significantly among the </w:t>
      </w:r>
      <w:r w:rsidR="00255065" w:rsidRPr="00306DFE">
        <w:t xml:space="preserve">indigenous chicken </w:t>
      </w:r>
      <w:r w:rsidRPr="00306DFE">
        <w:t>ecotypes, although haemoglobin (Hb), total leukocyte count (TLC), MCH, and packed cell volume (PCV) values remained relatively stable. They also reported sex-related differences, with males having higher RBC and PCV values, while females exhibited elevated TLC. Age-</w:t>
      </w:r>
      <w:r w:rsidRPr="00306DFE">
        <w:lastRenderedPageBreak/>
        <w:t xml:space="preserve">related variations in PCV, RBC, and white blood cell (WBC) counts have also been reported </w:t>
      </w:r>
      <w:r w:rsidR="00255065" w:rsidRPr="00306DFE">
        <w:t>across</w:t>
      </w:r>
      <w:r w:rsidRPr="00306DFE">
        <w:t xml:space="preserve"> 60, 90, 104, and 150 days of age. </w:t>
      </w:r>
      <w:r w:rsidR="008503B3" w:rsidRPr="00306DFE">
        <w:t xml:space="preserve">Breed- and physiological stage-specific variations in haematological parameters have been documented by Gandhimathi et al. (2025), who reported differences in Hb, RBC, PCV, and TLC among indigenous Siruvidai, Aseel, and White Leghorn chickens, with significant changes observed between the laying and broody phases in indigenous hens. </w:t>
      </w:r>
      <w:r w:rsidRPr="00306DFE">
        <w:t xml:space="preserve">In addition, nutritional factors such as aflatoxin contamination in feed have been shown to influence blood profiles in broiler chickens (Churchil et al., 2009). Overall, haematological values in chickens are affected by multiple factors including species, breed, sex, age, management practices, and feed quality.Although several studies have explored the haematological profiles of indigenous chickens in various regions, limited data are available for the indigenous chicken populations of Kerala, India. This lack of region-specific information limits our ability to detect and interpret pathological changes during disease outbreaks. </w:t>
      </w:r>
    </w:p>
    <w:p w:rsidR="006F001F" w:rsidRPr="00306DFE" w:rsidRDefault="006F001F" w:rsidP="00437BB2">
      <w:pPr>
        <w:spacing w:line="360" w:lineRule="auto"/>
        <w:ind w:firstLine="567"/>
        <w:jc w:val="both"/>
      </w:pPr>
      <w:r w:rsidRPr="00306DFE">
        <w:t xml:space="preserve">Therefore, the present study was undertaken to assess the egg production </w:t>
      </w:r>
      <w:r w:rsidR="00D47DDD" w:rsidRPr="00306DFE">
        <w:t xml:space="preserve">and laying pattern </w:t>
      </w:r>
      <w:r w:rsidRPr="00306DFE">
        <w:t>characteristics and haematological parameters of male and female indigenous chickens reared in the Kannur and Kozhikode districts of Kerala.</w:t>
      </w:r>
    </w:p>
    <w:p w:rsidR="006F001F" w:rsidRPr="00306DFE" w:rsidRDefault="001A6D1E" w:rsidP="00437BB2">
      <w:pPr>
        <w:spacing w:after="160" w:line="360" w:lineRule="auto"/>
        <w:rPr>
          <w:b/>
          <w:bCs/>
        </w:rPr>
      </w:pPr>
      <w:r w:rsidRPr="00306DFE">
        <w:rPr>
          <w:b/>
          <w:bCs/>
        </w:rPr>
        <w:t>2. MATERIALS AND METHODS</w:t>
      </w:r>
    </w:p>
    <w:p w:rsidR="004C5913" w:rsidRDefault="007F674B" w:rsidP="00437BB2">
      <w:pPr>
        <w:spacing w:line="360" w:lineRule="auto"/>
        <w:ind w:firstLine="567"/>
        <w:jc w:val="both"/>
      </w:pPr>
      <w:r w:rsidRPr="00306DFE">
        <w:t xml:space="preserve">A field study was undertaken among indigenous chicken-rearing households in Kannur and Kozhikode districts of Kerala. A total of 64 farming households were surveyed, comprising 21 from Kannur and 43 from Kozhikode. </w:t>
      </w:r>
    </w:p>
    <w:p w:rsidR="004C5913" w:rsidRDefault="004C5913" w:rsidP="00437BB2">
      <w:pPr>
        <w:spacing w:line="360" w:lineRule="auto"/>
        <w:ind w:firstLine="567"/>
        <w:jc w:val="both"/>
        <w:rPr>
          <w:highlight w:val="yellow"/>
        </w:rPr>
      </w:pPr>
    </w:p>
    <w:p w:rsidR="004C5913" w:rsidRPr="004C5913" w:rsidRDefault="004C5913" w:rsidP="00437BB2">
      <w:pPr>
        <w:spacing w:line="360" w:lineRule="auto"/>
        <w:ind w:firstLine="567"/>
        <w:jc w:val="both"/>
        <w:rPr>
          <w:color w:val="FF0000"/>
          <w:highlight w:val="yellow"/>
        </w:rPr>
      </w:pPr>
    </w:p>
    <w:p w:rsidR="004C5913" w:rsidRPr="004C5913" w:rsidRDefault="004C5913" w:rsidP="00437BB2">
      <w:pPr>
        <w:spacing w:line="360" w:lineRule="auto"/>
        <w:ind w:firstLine="567"/>
        <w:jc w:val="both"/>
        <w:rPr>
          <w:color w:val="FF0000"/>
          <w:highlight w:val="yellow"/>
        </w:rPr>
      </w:pPr>
      <w:r w:rsidRPr="004C5913">
        <w:rPr>
          <w:color w:val="FF0000"/>
          <w:highlight w:val="yellow"/>
        </w:rPr>
        <w:t xml:space="preserve">Note:- </w:t>
      </w:r>
    </w:p>
    <w:p w:rsidR="004C5913" w:rsidRPr="004C5913" w:rsidRDefault="004C5913" w:rsidP="00437BB2">
      <w:pPr>
        <w:spacing w:line="360" w:lineRule="auto"/>
        <w:ind w:firstLine="567"/>
        <w:jc w:val="both"/>
        <w:rPr>
          <w:color w:val="FF0000"/>
          <w:highlight w:val="yellow"/>
        </w:rPr>
      </w:pPr>
      <w:r w:rsidRPr="004C5913">
        <w:rPr>
          <w:color w:val="FF0000"/>
          <w:highlight w:val="yellow"/>
        </w:rPr>
        <w:t>1 How many Male and females birds in the study ?</w:t>
      </w:r>
    </w:p>
    <w:p w:rsidR="004C5913" w:rsidRDefault="004C5913" w:rsidP="00437BB2">
      <w:pPr>
        <w:spacing w:line="360" w:lineRule="auto"/>
        <w:ind w:firstLine="567"/>
        <w:jc w:val="both"/>
        <w:rPr>
          <w:color w:val="FF0000"/>
        </w:rPr>
      </w:pPr>
      <w:r w:rsidRPr="004C5913">
        <w:rPr>
          <w:color w:val="FF0000"/>
          <w:highlight w:val="yellow"/>
        </w:rPr>
        <w:t>2. You have not mentioned average birds reared by each family?</w:t>
      </w:r>
    </w:p>
    <w:p w:rsidR="004C5913" w:rsidRPr="004C5913" w:rsidRDefault="004C5913" w:rsidP="004C5913">
      <w:pPr>
        <w:spacing w:line="360" w:lineRule="auto"/>
        <w:jc w:val="both"/>
        <w:rPr>
          <w:color w:val="FF0000"/>
        </w:rPr>
      </w:pPr>
    </w:p>
    <w:p w:rsidR="007F674B" w:rsidRPr="00306DFE" w:rsidRDefault="007F674B" w:rsidP="00437BB2">
      <w:pPr>
        <w:spacing w:line="360" w:lineRule="auto"/>
        <w:ind w:firstLine="567"/>
        <w:jc w:val="both"/>
      </w:pPr>
      <w:r w:rsidRPr="00306DFE">
        <w:t>These districts fall within the Northern Midlands agroclimatic zone of Kerala and are characterized by hilly terrain</w:t>
      </w:r>
      <w:r w:rsidR="002470E1" w:rsidRPr="00306DFE">
        <w:t xml:space="preserve"> with </w:t>
      </w:r>
      <w:r w:rsidRPr="00306DFE">
        <w:t>significant forest cover</w:t>
      </w:r>
      <w:r w:rsidR="002470E1" w:rsidRPr="00306DFE">
        <w:t>.</w:t>
      </w:r>
      <w:r w:rsidR="00C36577" w:rsidRPr="00306DFE">
        <w:t>The study was conducted in Thrippangottur Panchayat (Kannur) and Chekkiad Panchayat (Kozhikode), where indigenous chickens are reared with no reported crossbreeding with improved or exotic breeds.</w:t>
      </w:r>
    </w:p>
    <w:p w:rsidR="007F674B" w:rsidRPr="00306DFE" w:rsidRDefault="007F674B" w:rsidP="00437BB2">
      <w:pPr>
        <w:spacing w:line="360" w:lineRule="auto"/>
        <w:ind w:firstLine="567"/>
        <w:jc w:val="both"/>
      </w:pPr>
      <w:r w:rsidRPr="00306DFE">
        <w:t xml:space="preserve">Information on reproductive traits such as age at first egg, length of the </w:t>
      </w:r>
      <w:r w:rsidR="006D06FD" w:rsidRPr="00306DFE">
        <w:t>broody</w:t>
      </w:r>
      <w:r w:rsidRPr="00306DFE">
        <w:t xml:space="preserve"> phase, </w:t>
      </w:r>
      <w:r w:rsidR="006D06FD" w:rsidRPr="00306DFE">
        <w:t xml:space="preserve">average </w:t>
      </w:r>
      <w:r w:rsidRPr="00306DFE">
        <w:t xml:space="preserve">clutch size, number of clutches per cycle, egg shell color, and egg production </w:t>
      </w:r>
      <w:r w:rsidR="006D06FD" w:rsidRPr="00306DFE">
        <w:t xml:space="preserve">per </w:t>
      </w:r>
      <w:r w:rsidR="006D06FD" w:rsidRPr="00306DFE">
        <w:lastRenderedPageBreak/>
        <w:t xml:space="preserve">cycle </w:t>
      </w:r>
      <w:r w:rsidRPr="00306DFE">
        <w:t xml:space="preserve">was obtained using the recall method. Farmers were asked to recall these parameters for birds they had reared in the recent past. </w:t>
      </w:r>
    </w:p>
    <w:p w:rsidR="00437BB2" w:rsidRPr="00306DFE" w:rsidRDefault="00437BB2" w:rsidP="00437BB2">
      <w:pPr>
        <w:spacing w:before="120" w:line="360" w:lineRule="auto"/>
        <w:ind w:firstLine="720"/>
        <w:jc w:val="both"/>
      </w:pPr>
      <w:r w:rsidRPr="00306DFE">
        <w:t>The data collected were categorized into relevant classes, and frequency distributions based on sex and district were examined using Z-tests to identify differences associated with sex and location, in accordance with the procedures outlined by Zar (2010).</w:t>
      </w:r>
    </w:p>
    <w:p w:rsidR="00437BB2" w:rsidRPr="00306DFE" w:rsidRDefault="00437BB2" w:rsidP="00437BB2">
      <w:pPr>
        <w:spacing w:before="120" w:line="360" w:lineRule="auto"/>
        <w:ind w:firstLine="720"/>
        <w:jc w:val="both"/>
        <w:rPr>
          <w:rStyle w:val="m5tqyf"/>
        </w:rPr>
      </w:pPr>
      <m:oMathPara>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m:t>
              </m:r>
              <m:acc>
                <m:accPr>
                  <m:ctrlPr>
                    <w:rPr>
                      <w:rFonts w:ascii="Cambria Math" w:hAnsi="Cambria Math"/>
                      <w:shd w:val="clear" w:color="auto" w:fill="FFFFFF"/>
                    </w:rPr>
                  </m:ctrlPr>
                </m:accPr>
                <m:e>
                  <m:r>
                    <m:rPr>
                      <m:sty m:val="p"/>
                    </m:rPr>
                    <w:rPr>
                      <w:rFonts w:ascii="Cambria Math" w:hAnsi="Cambria Math"/>
                      <w:shd w:val="clear" w:color="auto" w:fill="FFFFFF"/>
                    </w:rPr>
                    <m:t>p</m:t>
                  </m:r>
                  <m:ctrlPr>
                    <w:rPr>
                      <w:rFonts w:ascii="Cambria Math" w:hAnsi="Cambria Math"/>
                      <w:i/>
                    </w:rPr>
                  </m:ctrlPr>
                </m:e>
              </m:acc>
              <m:r>
                <m:rPr>
                  <m:sty m:val="p"/>
                </m:rPr>
                <w:rPr>
                  <w:rFonts w:ascii="Cambria Math" w:hAnsi="Cambria Math"/>
                  <w:shd w:val="clear" w:color="auto" w:fill="FFFFFF"/>
                </w:rPr>
                <m:t>₁-p̂₂)</m:t>
              </m:r>
            </m:num>
            <m:den>
              <m:rad>
                <m:radPr>
                  <m:degHide m:val="on"/>
                  <m:ctrlPr>
                    <w:rPr>
                      <w:rFonts w:ascii="Cambria Math" w:hAnsi="Cambria Math"/>
                      <w:shd w:val="clear" w:color="auto" w:fill="FFFFFF"/>
                    </w:rPr>
                  </m:ctrlPr>
                </m:radPr>
                <m:deg/>
                <m:e>
                  <m:acc>
                    <m:accPr>
                      <m:ctrlPr>
                        <w:rPr>
                          <w:rFonts w:ascii="Cambria Math" w:hAnsi="Cambria Math"/>
                          <w:shd w:val="clear" w:color="auto" w:fill="FFFFFF"/>
                        </w:rPr>
                      </m:ctrlPr>
                    </m:accPr>
                    <m:e>
                      <m:r>
                        <m:rPr>
                          <m:sty m:val="p"/>
                        </m:rPr>
                        <w:rPr>
                          <w:rFonts w:ascii="Cambria Math" w:hAnsi="Cambria Math"/>
                          <w:shd w:val="clear" w:color="auto" w:fill="FFFFFF"/>
                        </w:rPr>
                        <m:t>p</m:t>
                      </m:r>
                    </m:e>
                  </m:acc>
                  <m:d>
                    <m:dPr>
                      <m:ctrlPr>
                        <w:rPr>
                          <w:rFonts w:ascii="Cambria Math" w:hAnsi="Cambria Math"/>
                          <w:shd w:val="clear" w:color="auto" w:fill="FFFFFF"/>
                        </w:rPr>
                      </m:ctrlPr>
                    </m:dPr>
                    <m:e>
                      <m:r>
                        <m:rPr>
                          <m:sty m:val="p"/>
                        </m:rPr>
                        <w:rPr>
                          <w:rFonts w:ascii="Cambria Math" w:hAnsi="Cambria Math"/>
                          <w:shd w:val="clear" w:color="auto" w:fill="FFFFFF"/>
                        </w:rPr>
                        <m:t>1-</m:t>
                      </m:r>
                      <m:acc>
                        <m:accPr>
                          <m:ctrlPr>
                            <w:rPr>
                              <w:rFonts w:ascii="Cambria Math" w:hAnsi="Cambria Math"/>
                              <w:shd w:val="clear" w:color="auto" w:fill="FFFFFF"/>
                            </w:rPr>
                          </m:ctrlPr>
                        </m:accPr>
                        <m:e>
                          <m:r>
                            <m:rPr>
                              <m:sty m:val="p"/>
                            </m:rPr>
                            <w:rPr>
                              <w:rFonts w:ascii="Cambria Math" w:hAnsi="Cambria Math"/>
                              <w:shd w:val="clear" w:color="auto" w:fill="FFFFFF"/>
                            </w:rPr>
                            <m:t>p</m:t>
                          </m:r>
                        </m:e>
                      </m:acc>
                    </m:e>
                  </m:d>
                  <m:d>
                    <m:dPr>
                      <m:ctrlPr>
                        <w:rPr>
                          <w:rFonts w:ascii="Cambria Math" w:hAnsi="Cambria Math"/>
                          <w:i/>
                          <w:shd w:val="clear" w:color="auto" w:fill="FFFFFF"/>
                        </w:rPr>
                      </m:ctrlPr>
                    </m:dPr>
                    <m:e>
                      <m:f>
                        <m:fPr>
                          <m:ctrlPr>
                            <w:rPr>
                              <w:rFonts w:ascii="Cambria Math" w:hAnsi="Cambria Math"/>
                              <w:i/>
                              <w:shd w:val="clear" w:color="auto" w:fill="FFFFFF"/>
                            </w:rPr>
                          </m:ctrlPr>
                        </m:fPr>
                        <m:num>
                          <m:r>
                            <w:rPr>
                              <w:rFonts w:ascii="Cambria Math" w:hAnsi="Cambria Math"/>
                              <w:shd w:val="clear" w:color="auto" w:fill="FFFFFF"/>
                            </w:rPr>
                            <m:t>1</m:t>
                          </m:r>
                        </m:num>
                        <m:den>
                          <m:r>
                            <w:rPr>
                              <w:rFonts w:ascii="Cambria Math" w:hAnsi="Cambria Math"/>
                              <w:shd w:val="clear" w:color="auto" w:fill="FFFFFF"/>
                            </w:rPr>
                            <m:t>n</m:t>
                          </m:r>
                          <m:r>
                            <m:rPr>
                              <m:sty m:val="p"/>
                            </m:rPr>
                            <w:rPr>
                              <w:rFonts w:ascii="Cambria Math" w:hAnsi="Cambria Math"/>
                              <w:shd w:val="clear" w:color="auto" w:fill="FFFFFF"/>
                            </w:rPr>
                            <m:t>₁</m:t>
                          </m:r>
                        </m:den>
                      </m:f>
                      <m:r>
                        <w:rPr>
                          <w:rFonts w:ascii="Cambria Math" w:hAnsi="Cambria Math"/>
                          <w:shd w:val="clear" w:color="auto" w:fill="FFFFFF"/>
                        </w:rPr>
                        <m:t>+</m:t>
                      </m:r>
                      <m:f>
                        <m:fPr>
                          <m:ctrlPr>
                            <w:rPr>
                              <w:rFonts w:ascii="Cambria Math" w:hAnsi="Cambria Math"/>
                              <w:i/>
                              <w:shd w:val="clear" w:color="auto" w:fill="FFFFFF"/>
                            </w:rPr>
                          </m:ctrlPr>
                        </m:fPr>
                        <m:num>
                          <m:r>
                            <w:rPr>
                              <w:rFonts w:ascii="Cambria Math" w:hAnsi="Cambria Math"/>
                              <w:shd w:val="clear" w:color="auto" w:fill="FFFFFF"/>
                            </w:rPr>
                            <m:t>1</m:t>
                          </m:r>
                        </m:num>
                        <m:den>
                          <m:r>
                            <w:rPr>
                              <w:rFonts w:ascii="Cambria Math" w:hAnsi="Cambria Math"/>
                              <w:shd w:val="clear" w:color="auto" w:fill="FFFFFF"/>
                            </w:rPr>
                            <m:t>n</m:t>
                          </m:r>
                          <m:r>
                            <m:rPr>
                              <m:sty m:val="p"/>
                            </m:rPr>
                            <w:rPr>
                              <w:rFonts w:ascii="Cambria Math" w:hAnsi="Cambria Math"/>
                              <w:shd w:val="clear" w:color="auto" w:fill="FFFFFF"/>
                            </w:rPr>
                            <m:t>₂</m:t>
                          </m:r>
                        </m:den>
                      </m:f>
                    </m:e>
                  </m:d>
                </m:e>
              </m:rad>
            </m:den>
          </m:f>
        </m:oMath>
      </m:oMathPara>
    </w:p>
    <w:p w:rsidR="00437BB2" w:rsidRPr="00306DFE" w:rsidRDefault="00437BB2" w:rsidP="00437BB2">
      <w:pPr>
        <w:spacing w:after="160" w:line="360" w:lineRule="auto"/>
        <w:jc w:val="both"/>
        <w:rPr>
          <w:shd w:val="clear" w:color="auto" w:fill="FFFFFF"/>
        </w:rPr>
      </w:pPr>
      <w:r w:rsidRPr="00306DFE">
        <w:rPr>
          <w:rStyle w:val="m5tqyf"/>
        </w:rPr>
        <w:t xml:space="preserve">Where, </w:t>
      </w:r>
      <w:r w:rsidRPr="00306DFE">
        <w:rPr>
          <w:shd w:val="clear" w:color="auto" w:fill="FFFFFF"/>
        </w:rPr>
        <w:t>p̂</w:t>
      </w:r>
      <w:r w:rsidRPr="00306DFE">
        <w:rPr>
          <w:shd w:val="clear" w:color="auto" w:fill="FFFFFF"/>
          <w:vertAlign w:val="subscript"/>
        </w:rPr>
        <w:t>1</w:t>
      </w:r>
      <w:r w:rsidRPr="00306DFE">
        <w:t>: proportion of sample 1, with sample size n</w:t>
      </w:r>
      <w:r w:rsidRPr="00306DFE">
        <w:rPr>
          <w:vertAlign w:val="subscript"/>
        </w:rPr>
        <w:t>1</w:t>
      </w:r>
      <w:r w:rsidR="006D06FD" w:rsidRPr="00306DFE">
        <w:t>;</w:t>
      </w:r>
      <w:r w:rsidRPr="00306DFE">
        <w:rPr>
          <w:shd w:val="clear" w:color="auto" w:fill="FFFFFF"/>
        </w:rPr>
        <w:t>p̂</w:t>
      </w:r>
      <w:r w:rsidRPr="00306DFE">
        <w:rPr>
          <w:shd w:val="clear" w:color="auto" w:fill="FFFFFF"/>
          <w:vertAlign w:val="subscript"/>
        </w:rPr>
        <w:t>2</w:t>
      </w:r>
      <w:r w:rsidR="006D06FD" w:rsidRPr="00306DFE">
        <w:t>:</w:t>
      </w:r>
      <w:r w:rsidRPr="00306DFE">
        <w:t xml:space="preserve"> proportion of sample 2, with sample size n</w:t>
      </w:r>
      <w:r w:rsidRPr="00306DFE">
        <w:rPr>
          <w:vertAlign w:val="subscript"/>
        </w:rPr>
        <w:t>2</w:t>
      </w:r>
      <w:r w:rsidRPr="00306DFE">
        <w:t>;</w:t>
      </w:r>
      <w:r w:rsidRPr="00306DFE">
        <w:rPr>
          <w:shd w:val="clear" w:color="auto" w:fill="FFFFFF"/>
        </w:rPr>
        <w:t>p̂: pooled proportion calculated as (x</w:t>
      </w:r>
      <w:r w:rsidRPr="00306DFE">
        <w:rPr>
          <w:shd w:val="clear" w:color="auto" w:fill="FFFFFF"/>
          <w:vertAlign w:val="subscript"/>
        </w:rPr>
        <w:t>1</w:t>
      </w:r>
      <w:r w:rsidRPr="00306DFE">
        <w:rPr>
          <w:shd w:val="clear" w:color="auto" w:fill="FFFFFF"/>
        </w:rPr>
        <w:t>+x</w:t>
      </w:r>
      <w:r w:rsidRPr="00306DFE">
        <w:rPr>
          <w:vertAlign w:val="subscript"/>
        </w:rPr>
        <w:t>2</w:t>
      </w:r>
      <w:r w:rsidRPr="00306DFE">
        <w:t>)</w:t>
      </w:r>
      <w:r w:rsidRPr="00306DFE">
        <w:rPr>
          <w:shd w:val="clear" w:color="auto" w:fill="FFFFFF"/>
        </w:rPr>
        <w:t>/(n</w:t>
      </w:r>
      <w:r w:rsidRPr="00306DFE">
        <w:rPr>
          <w:shd w:val="clear" w:color="auto" w:fill="FFFFFF"/>
          <w:vertAlign w:val="subscript"/>
        </w:rPr>
        <w:t>1</w:t>
      </w:r>
      <w:r w:rsidRPr="00306DFE">
        <w:rPr>
          <w:shd w:val="clear" w:color="auto" w:fill="FFFFFF"/>
        </w:rPr>
        <w:t>+n</w:t>
      </w:r>
      <w:r w:rsidRPr="00306DFE">
        <w:rPr>
          <w:vertAlign w:val="subscript"/>
        </w:rPr>
        <w:t>2</w:t>
      </w:r>
      <w:r w:rsidRPr="00306DFE">
        <w:t xml:space="preserve">), </w:t>
      </w:r>
      <w:r w:rsidRPr="00306DFE">
        <w:rPr>
          <w:shd w:val="clear" w:color="auto" w:fill="FFFFFF"/>
        </w:rPr>
        <w:t>where x</w:t>
      </w:r>
      <w:r w:rsidRPr="00306DFE">
        <w:rPr>
          <w:shd w:val="clear" w:color="auto" w:fill="FFFFFF"/>
          <w:vertAlign w:val="subscript"/>
        </w:rPr>
        <w:t>1</w:t>
      </w:r>
      <w:r w:rsidRPr="00306DFE">
        <w:rPr>
          <w:shd w:val="clear" w:color="auto" w:fill="FFFFFF"/>
        </w:rPr>
        <w:t xml:space="preserve"> and x</w:t>
      </w:r>
      <w:r w:rsidRPr="00306DFE">
        <w:rPr>
          <w:shd w:val="clear" w:color="auto" w:fill="FFFFFF"/>
          <w:vertAlign w:val="subscript"/>
        </w:rPr>
        <w:t>2</w:t>
      </w:r>
      <w:r w:rsidRPr="00306DFE">
        <w:rPr>
          <w:shd w:val="clear" w:color="auto" w:fill="FFFFFF"/>
        </w:rPr>
        <w:t xml:space="preserve"> are the number of successes in each sample.</w:t>
      </w:r>
    </w:p>
    <w:p w:rsidR="007F674B" w:rsidRDefault="007F674B" w:rsidP="00437BB2">
      <w:pPr>
        <w:spacing w:line="360" w:lineRule="auto"/>
        <w:ind w:firstLine="567"/>
        <w:jc w:val="both"/>
      </w:pPr>
      <w:r w:rsidRPr="00306DFE">
        <w:t>Additionally, blood samples were collected from eight adult birds of each sex in both Kannur and Kozhikode districts to assess hematological parameters</w:t>
      </w:r>
      <w:r w:rsidR="006D06FD" w:rsidRPr="00306DFE">
        <w:t xml:space="preserve"> like</w:t>
      </w:r>
      <w:r w:rsidRPr="00306DFE">
        <w:t xml:space="preserve"> red blood cell (RBC) count, hemoglobin (Hb) concentration, packed cell volume (PCV), and differential leukocyte counts </w:t>
      </w:r>
      <w:r w:rsidR="002D3A37" w:rsidRPr="00306DFE">
        <w:t xml:space="preserve">of </w:t>
      </w:r>
      <w:r w:rsidRPr="00306DFE">
        <w:t xml:space="preserve">lymphocytes, heterophils, monocytes, eosinophils, and basophils. Sex- and region-based differences in these parameters were analyzed using the Student's t-test. </w:t>
      </w:r>
    </w:p>
    <w:p w:rsidR="004C5913" w:rsidRPr="004C5913" w:rsidRDefault="004C5913" w:rsidP="00437BB2">
      <w:pPr>
        <w:spacing w:line="360" w:lineRule="auto"/>
        <w:ind w:firstLine="567"/>
        <w:jc w:val="both"/>
        <w:rPr>
          <w:color w:val="FF0000"/>
        </w:rPr>
      </w:pPr>
      <w:r w:rsidRPr="004C5913">
        <w:rPr>
          <w:color w:val="FF0000"/>
          <w:highlight w:val="yellow"/>
        </w:rPr>
        <w:t>Note:- Which software used for analysis of data?</w:t>
      </w:r>
    </w:p>
    <w:p w:rsidR="004A2F76" w:rsidRPr="00306DFE" w:rsidRDefault="004D66C7" w:rsidP="00437BB2">
      <w:pPr>
        <w:spacing w:after="160" w:line="360" w:lineRule="auto"/>
        <w:rPr>
          <w:b/>
          <w:bCs/>
        </w:rPr>
      </w:pPr>
      <w:r w:rsidRPr="00306DFE">
        <w:rPr>
          <w:b/>
          <w:bCs/>
        </w:rPr>
        <w:t xml:space="preserve">3. </w:t>
      </w:r>
      <w:r w:rsidR="001A6D1E" w:rsidRPr="00306DFE">
        <w:rPr>
          <w:b/>
          <w:bCs/>
        </w:rPr>
        <w:t>RESULTS AND DISCUSSION</w:t>
      </w:r>
    </w:p>
    <w:p w:rsidR="00B31A44" w:rsidRPr="00306DFE" w:rsidRDefault="004D66C7" w:rsidP="00437BB2">
      <w:pPr>
        <w:spacing w:after="160" w:line="360" w:lineRule="auto"/>
        <w:rPr>
          <w:b/>
          <w:bCs/>
        </w:rPr>
      </w:pPr>
      <w:r w:rsidRPr="00306DFE">
        <w:rPr>
          <w:b/>
          <w:bCs/>
        </w:rPr>
        <w:t xml:space="preserve">3.1 </w:t>
      </w:r>
      <w:r w:rsidR="00B31A44" w:rsidRPr="00306DFE">
        <w:rPr>
          <w:b/>
          <w:bCs/>
        </w:rPr>
        <w:t>Age at sexual maturity</w:t>
      </w:r>
    </w:p>
    <w:p w:rsidR="000308E7" w:rsidRPr="00306DFE" w:rsidRDefault="004E0E7F" w:rsidP="000308E7">
      <w:pPr>
        <w:spacing w:before="100" w:beforeAutospacing="1" w:after="100" w:afterAutospacing="1" w:line="360" w:lineRule="auto"/>
        <w:ind w:firstLine="720"/>
        <w:jc w:val="both"/>
      </w:pPr>
      <w:r w:rsidRPr="00306DFE">
        <w:rPr>
          <w:lang w:val="en-IN" w:eastAsia="en-IN" w:bidi="ta-IN"/>
        </w:rPr>
        <w:t xml:space="preserve">In the present survey, farmers were able to accurately recall the </w:t>
      </w:r>
      <w:r w:rsidR="001B2BEF" w:rsidRPr="00306DFE">
        <w:rPr>
          <w:lang w:eastAsia="en-IN" w:bidi="ta-IN"/>
        </w:rPr>
        <w:t xml:space="preserve">exact </w:t>
      </w:r>
      <w:r w:rsidRPr="00306DFE">
        <w:rPr>
          <w:lang w:val="en-IN" w:eastAsia="en-IN" w:bidi="ta-IN"/>
        </w:rPr>
        <w:t xml:space="preserve">age at first egg </w:t>
      </w:r>
      <w:r w:rsidR="001B2BEF" w:rsidRPr="00306DFE">
        <w:rPr>
          <w:lang w:val="en-IN" w:eastAsia="en-IN" w:bidi="ta-IN"/>
        </w:rPr>
        <w:t xml:space="preserve">in days </w:t>
      </w:r>
      <w:r w:rsidRPr="00306DFE">
        <w:rPr>
          <w:lang w:val="en-IN" w:eastAsia="en-IN" w:bidi="ta-IN"/>
        </w:rPr>
        <w:t xml:space="preserve">for 42 indigenous hens they had previously reared. The reported age at first egg ranged from 20 to </w:t>
      </w:r>
      <w:r w:rsidR="001B2BEF" w:rsidRPr="00306DFE">
        <w:rPr>
          <w:lang w:val="en-IN" w:eastAsia="en-IN" w:bidi="ta-IN"/>
        </w:rPr>
        <w:t>32</w:t>
      </w:r>
      <w:r w:rsidRPr="00306DFE">
        <w:rPr>
          <w:lang w:val="en-IN" w:eastAsia="en-IN" w:bidi="ta-IN"/>
        </w:rPr>
        <w:t xml:space="preserve"> weeks, with over 50% of the birds attaining sexual maturity </w:t>
      </w:r>
      <w:r w:rsidR="001B2BEF" w:rsidRPr="00306DFE">
        <w:rPr>
          <w:lang w:val="en-IN" w:eastAsia="en-IN" w:bidi="ta-IN"/>
        </w:rPr>
        <w:t xml:space="preserve">from </w:t>
      </w:r>
      <w:r w:rsidRPr="00306DFE">
        <w:rPr>
          <w:lang w:val="en-IN" w:eastAsia="en-IN" w:bidi="ta-IN"/>
        </w:rPr>
        <w:t xml:space="preserve">22 </w:t>
      </w:r>
      <w:r w:rsidR="001B2BEF" w:rsidRPr="00306DFE">
        <w:rPr>
          <w:lang w:val="en-IN" w:eastAsia="en-IN" w:bidi="ta-IN"/>
        </w:rPr>
        <w:t>to</w:t>
      </w:r>
      <w:r w:rsidRPr="00306DFE">
        <w:rPr>
          <w:lang w:val="en-IN" w:eastAsia="en-IN" w:bidi="ta-IN"/>
        </w:rPr>
        <w:t xml:space="preserve"> 26 weeks</w:t>
      </w:r>
      <w:r w:rsidR="00D01376" w:rsidRPr="00306DFE">
        <w:rPr>
          <w:lang w:val="en-IN" w:eastAsia="en-IN" w:bidi="ta-IN"/>
        </w:rPr>
        <w:t xml:space="preserve"> (Table 1)</w:t>
      </w:r>
      <w:r w:rsidRPr="00306DFE">
        <w:rPr>
          <w:lang w:val="en-IN" w:eastAsia="en-IN" w:bidi="ta-IN"/>
        </w:rPr>
        <w:t xml:space="preserve">. When classified based on age at sexual maturity, no statistically significant differences were observed between districts, as per Z-test analysis.Kumar et al. (2016) reported comparable findings from the same study region, with the average age at sexual maturity recorded as 181 days in Kannur and 175.97 days in Kozhikode districts. </w:t>
      </w:r>
      <w:r w:rsidR="001B2BEF" w:rsidRPr="00306DFE">
        <w:rPr>
          <w:lang w:val="en-IN" w:eastAsia="en-IN" w:bidi="ta-IN"/>
        </w:rPr>
        <w:t xml:space="preserve">Using direct field egg recording, they also observed a mean age of 199.26 days. </w:t>
      </w:r>
      <w:r w:rsidR="00752665" w:rsidRPr="00306DFE">
        <w:rPr>
          <w:lang w:val="en-IN" w:eastAsia="en-IN" w:bidi="ta-IN"/>
        </w:rPr>
        <w:t xml:space="preserve">A close value of 175.22 days was recorded by Churchil et al. (2024) in indigenous Siruvidai chicken of Tamil Nadu, India. </w:t>
      </w:r>
      <w:r w:rsidR="00B80297" w:rsidRPr="00306DFE">
        <w:t xml:space="preserve">Similar results were reported by Desta and Wakeyo (2024), who observed an average age at sexual maturity of 5.55 months in indigenous chickens of the Wolaita Zone, southern Ethiopia, and by Hossain (1993), who reported a range of 190–200 days in Bangladesh. </w:t>
      </w:r>
      <w:r w:rsidRPr="00306DFE">
        <w:rPr>
          <w:lang w:val="en-IN" w:eastAsia="en-IN" w:bidi="ta-IN"/>
        </w:rPr>
        <w:t xml:space="preserve">Khan et al. (2023) reported the age at sexual maturity as 172 days in the Hilly </w:t>
      </w:r>
      <w:r w:rsidRPr="00306DFE">
        <w:rPr>
          <w:lang w:val="en-IN" w:eastAsia="en-IN" w:bidi="ta-IN"/>
        </w:rPr>
        <w:lastRenderedPageBreak/>
        <w:t xml:space="preserve">ecotype of the Chittagong hill tract and as low as 146 days in the Fayoumi breed.However, higher values of over 210 days have been reported in certain native breeds (Vij et al., 2005). </w:t>
      </w:r>
      <w:r w:rsidR="000308E7" w:rsidRPr="00306DFE">
        <w:t xml:space="preserve">The elevated age at first egg observed in indigenous chickens may be attributed to their genetic background, as indigenous birds generally exhibit later sexual maturity compared to egg-type breeds such as White Leghorn (Veeramani et al., 2008; </w:t>
      </w:r>
      <w:r w:rsidR="00485559" w:rsidRPr="00306DFE">
        <w:t xml:space="preserve">Narayanankutty et al., </w:t>
      </w:r>
      <w:r w:rsidR="004A13B7" w:rsidRPr="00306DFE">
        <w:t>2008)</w:t>
      </w:r>
      <w:r w:rsidR="000308E7" w:rsidRPr="00306DFE">
        <w:t>. Additionally, environmental factors, particularly the lower nutritional plane commonly associated with free-range and backyard rearing systems may also contribute to this delay.</w:t>
      </w:r>
    </w:p>
    <w:p w:rsidR="00B31A44" w:rsidRPr="00306DFE" w:rsidRDefault="004D66C7" w:rsidP="000308E7">
      <w:pPr>
        <w:spacing w:before="100" w:beforeAutospacing="1" w:after="100" w:afterAutospacing="1" w:line="360" w:lineRule="auto"/>
        <w:jc w:val="both"/>
        <w:rPr>
          <w:b/>
          <w:bCs/>
          <w:lang w:val="en-IN" w:eastAsia="en-IN" w:bidi="ta-IN"/>
        </w:rPr>
      </w:pPr>
      <w:r w:rsidRPr="00306DFE">
        <w:rPr>
          <w:b/>
          <w:bCs/>
          <w:lang w:val="en-IN" w:eastAsia="en-IN" w:bidi="ta-IN"/>
        </w:rPr>
        <w:t xml:space="preserve">3.2 </w:t>
      </w:r>
      <w:r w:rsidR="00B31A44" w:rsidRPr="00306DFE">
        <w:rPr>
          <w:b/>
          <w:bCs/>
          <w:lang w:val="en-IN" w:eastAsia="en-IN" w:bidi="ta-IN"/>
        </w:rPr>
        <w:t>Egg shell colour</w:t>
      </w:r>
    </w:p>
    <w:p w:rsidR="005C4C94" w:rsidRPr="00306DFE" w:rsidRDefault="00C61C23" w:rsidP="00B31A44">
      <w:pPr>
        <w:spacing w:line="360" w:lineRule="auto"/>
        <w:ind w:firstLine="720"/>
        <w:jc w:val="both"/>
      </w:pPr>
      <w:r w:rsidRPr="00306DFE">
        <w:t xml:space="preserve">Shell colour recorded during the field survey revealed a high predominance of light brown eggs, accounting for 73.47% of the </w:t>
      </w:r>
      <w:r w:rsidR="00A65538" w:rsidRPr="00306DFE">
        <w:t xml:space="preserve">overall </w:t>
      </w:r>
      <w:r w:rsidRPr="00306DFE">
        <w:t>total</w:t>
      </w:r>
      <w:r w:rsidR="00D01376" w:rsidRPr="00306DFE">
        <w:rPr>
          <w:lang w:val="en-IN" w:eastAsia="en-IN" w:bidi="ta-IN"/>
        </w:rPr>
        <w:t>(Table 1)</w:t>
      </w:r>
      <w:r w:rsidRPr="00306DFE">
        <w:t xml:space="preserve">. White and medium brown eggs were observed in smaller proportions, while dark brown-shelled eggs were rarely encountered. Previous studies have reported brown shells of varying intensity in indigenous chicken breeds across India. For example, over 75% of eggs from Kashmiri indigenous hens were brown (Iqbal and Pampori, 2008), while approximately 60–70% of Kadaknath eggs were dark brown (Parmar et al., 2006). Churchil et al. (2018) reported that in indigenous Siruvidai chickens, light brown eggs were predominant (58.33%), followed by dark brown (25%) and white eggs (16.67%). Similarly, in </w:t>
      </w:r>
      <w:r w:rsidR="00A65538" w:rsidRPr="00306DFE">
        <w:t xml:space="preserve">indigenous </w:t>
      </w:r>
      <w:r w:rsidRPr="00306DFE">
        <w:t>Peruvidai chickens, light brown shells were most common (41.18%), with medium and dark brown each comprising 29.41%. In a study on indigenous chickens in Kenya, cream-coloured shells were most prevalent (53%), followed by white (30%) and brown (17%) eggs (Gikunju et al., 2018). While eggshell colour has no direct impact on nutritional value, it significantly influences consumer preferences. Shell colour is a genetically inherited, multifactorial trait and may also be influenced by modifying genes (Washburn, 1990).</w:t>
      </w:r>
    </w:p>
    <w:p w:rsidR="00B31A44" w:rsidRPr="00306DFE" w:rsidRDefault="004D66C7" w:rsidP="00B31A44">
      <w:pPr>
        <w:spacing w:line="360" w:lineRule="auto"/>
        <w:jc w:val="both"/>
        <w:rPr>
          <w:b/>
          <w:bCs/>
        </w:rPr>
      </w:pPr>
      <w:r w:rsidRPr="00306DFE">
        <w:rPr>
          <w:b/>
          <w:bCs/>
        </w:rPr>
        <w:t xml:space="preserve">3.3 </w:t>
      </w:r>
      <w:r w:rsidR="005D78E6" w:rsidRPr="00306DFE">
        <w:rPr>
          <w:b/>
          <w:bCs/>
        </w:rPr>
        <w:t>Broodiness</w:t>
      </w:r>
    </w:p>
    <w:p w:rsidR="00EB7AA2" w:rsidRPr="00306DFE" w:rsidRDefault="00EB7AA2" w:rsidP="00FB01EA">
      <w:pPr>
        <w:spacing w:line="360" w:lineRule="auto"/>
        <w:ind w:firstLine="720"/>
        <w:jc w:val="both"/>
      </w:pPr>
      <w:r w:rsidRPr="00306DFE">
        <w:t>The present study, based on farmers’ observations, further confirms that the majority of indigenous hens exhibit frequent broodiness, with only a few reported as occasionally broody. Notably, all birds reported from the Kannur district were described as consistently broody</w:t>
      </w:r>
      <w:r w:rsidR="00D01376" w:rsidRPr="00306DFE">
        <w:rPr>
          <w:lang w:val="en-IN" w:eastAsia="en-IN" w:bidi="ta-IN"/>
        </w:rPr>
        <w:t>(Table 1)</w:t>
      </w:r>
      <w:r w:rsidRPr="00306DFE">
        <w:t xml:space="preserve">. Broodiness, a maternal trait driven by the instinct to incubate eggs, is widely observed in indigenous chicken populations across India (Kumar et al., 2016; Churchil et al., 2024; Gandhimathi et al., 2025) and </w:t>
      </w:r>
      <w:r w:rsidR="00A74151" w:rsidRPr="00306DFE">
        <w:t>other parts of the world</w:t>
      </w:r>
      <w:r w:rsidRPr="00306DFE">
        <w:t xml:space="preserve"> (Azharul et al., 2005; </w:t>
      </w:r>
      <w:r w:rsidR="00A74151" w:rsidRPr="00306DFE">
        <w:t>Jiang et al., 2010</w:t>
      </w:r>
      <w:r w:rsidRPr="00306DFE">
        <w:t>).</w:t>
      </w:r>
    </w:p>
    <w:p w:rsidR="00EB7AA2" w:rsidRPr="00306DFE" w:rsidRDefault="004D66C7" w:rsidP="00B31A44">
      <w:pPr>
        <w:spacing w:line="360" w:lineRule="auto"/>
        <w:jc w:val="both"/>
        <w:rPr>
          <w:b/>
          <w:bCs/>
        </w:rPr>
      </w:pPr>
      <w:r w:rsidRPr="00306DFE">
        <w:rPr>
          <w:b/>
          <w:bCs/>
        </w:rPr>
        <w:t xml:space="preserve">3.4 </w:t>
      </w:r>
      <w:r w:rsidR="00FB01EA" w:rsidRPr="00306DFE">
        <w:rPr>
          <w:b/>
          <w:bCs/>
        </w:rPr>
        <w:t xml:space="preserve">Laying pattern </w:t>
      </w:r>
    </w:p>
    <w:p w:rsidR="00C37E70" w:rsidRPr="00306DFE" w:rsidRDefault="00C37E70" w:rsidP="00FB01EA">
      <w:pPr>
        <w:spacing w:line="360" w:lineRule="auto"/>
        <w:ind w:firstLine="720"/>
        <w:jc w:val="both"/>
      </w:pPr>
      <w:r w:rsidRPr="00306DFE">
        <w:lastRenderedPageBreak/>
        <w:t>Egg production in indigenous chickens typically follows a cyclic pattern, alternating between laying and broody phases (Churchil</w:t>
      </w:r>
      <w:r w:rsidR="00B24EEF" w:rsidRPr="00306DFE">
        <w:t xml:space="preserve"> et al.</w:t>
      </w:r>
      <w:r w:rsidRPr="00306DFE">
        <w:t>, 2024). In the present study, classification of the broody phase duration revealed that a considerable proportion of birds exhibited broodiness lasting 15 to 21 days (23%), followed by those with durations of 22–28 days (18%) and those with periods shorter than 7 days (18%)</w:t>
      </w:r>
      <w:r w:rsidR="00D01376" w:rsidRPr="00306DFE">
        <w:rPr>
          <w:lang w:val="en-IN" w:eastAsia="en-IN" w:bidi="ta-IN"/>
        </w:rPr>
        <w:t>(Table 1)</w:t>
      </w:r>
      <w:r w:rsidRPr="00306DFE">
        <w:t>. A few birds exhibited prolonged broodiness extending beyond 42 days. Z-test analysis indicated no significant differences in the frequency distributions between the two districts, except for the 22–28 days category, which was significantly (P &lt; 0.05) more frequent in Kozhikode. Kumar et al. (2016), in a study on the laying pattern of indigenous chickens in the same region, reported an average broody period of 22.38 days, closely aligning with the present findings. Similarly, Churchil et al. (2024) observed that the duration of the broody phase ranged from 23.34 to 24.90 days in indigenous Siruvidai chickens of Tamil Nadu, India.</w:t>
      </w:r>
    </w:p>
    <w:p w:rsidR="00752665" w:rsidRPr="00306DFE" w:rsidRDefault="00752665" w:rsidP="00FB01EA">
      <w:pPr>
        <w:spacing w:line="360" w:lineRule="auto"/>
        <w:ind w:firstLine="720"/>
        <w:jc w:val="both"/>
      </w:pPr>
      <w:r w:rsidRPr="00306DFE">
        <w:t xml:space="preserve">The laying phase of indigenous chickens is </w:t>
      </w:r>
      <w:r w:rsidR="00A65538" w:rsidRPr="00306DFE">
        <w:t>composed</w:t>
      </w:r>
      <w:r w:rsidRPr="00306DFE">
        <w:t xml:space="preserve"> of clutches, separated by inter-clutch intervals (Churchil</w:t>
      </w:r>
      <w:r w:rsidR="00233FD3" w:rsidRPr="00306DFE">
        <w:t xml:space="preserve"> et al.</w:t>
      </w:r>
      <w:r w:rsidRPr="00306DFE">
        <w:t>, 2024). Data based on recall from 102 birds revealed that the majority (53.92%) laid between 5 to 8 eggs per clutch</w:t>
      </w:r>
      <w:r w:rsidR="00D01376" w:rsidRPr="00306DFE">
        <w:rPr>
          <w:lang w:val="en-IN" w:eastAsia="en-IN" w:bidi="ta-IN"/>
        </w:rPr>
        <w:t>(Table 1)</w:t>
      </w:r>
      <w:r w:rsidRPr="00306DFE">
        <w:t xml:space="preserve">. A significantly </w:t>
      </w:r>
      <w:r w:rsidR="00A65538" w:rsidRPr="00306DFE">
        <w:t xml:space="preserve">(P &lt; 0.05) </w:t>
      </w:r>
      <w:r w:rsidRPr="00306DFE">
        <w:t>higher proportion of birds from Kozhikode district fell into this category. Except for this group, the distribution of birds across other clutch size categories was comparable between the two districts. Kumar et al. (2016) reported an average clutch size of 7.27 eggs</w:t>
      </w:r>
      <w:r w:rsidR="00C37E70" w:rsidRPr="00306DFE">
        <w:t>; while,</w:t>
      </w:r>
      <w:r w:rsidRPr="00306DFE">
        <w:t xml:space="preserve"> slightly lower value of 4 to 6 eggs per clutch was reported by Vij et al. (2007) in the same Tellichery chicken population. Similarly, in Ghagus chickens</w:t>
      </w:r>
      <w:r w:rsidR="00C37E70" w:rsidRPr="00306DFE">
        <w:t xml:space="preserve"> also</w:t>
      </w:r>
      <w:r w:rsidRPr="00306DFE">
        <w:t>, a clutch size of 4 to 6 eggs has been reported (Tantia et al., 2005).</w:t>
      </w:r>
    </w:p>
    <w:p w:rsidR="00C37E70" w:rsidRPr="00306DFE" w:rsidRDefault="00C37E70" w:rsidP="00C37E70">
      <w:pPr>
        <w:spacing w:line="360" w:lineRule="auto"/>
        <w:ind w:firstLine="567"/>
        <w:jc w:val="both"/>
      </w:pPr>
      <w:r w:rsidRPr="00306DFE">
        <w:t>Based on recall data from 102 birds, the majority of indigenous chickens were reported to lay three clutches per laying cycle (34.32%), followed by single-clutch (28.43%) and double-clutch (18.63%)</w:t>
      </w:r>
      <w:r w:rsidR="00A65538" w:rsidRPr="00306DFE">
        <w:t xml:space="preserve">layers </w:t>
      </w:r>
      <w:r w:rsidR="00D01376" w:rsidRPr="00306DFE">
        <w:rPr>
          <w:lang w:val="en-IN" w:eastAsia="en-IN" w:bidi="ta-IN"/>
        </w:rPr>
        <w:t>(Table 1)</w:t>
      </w:r>
      <w:r w:rsidRPr="00306DFE">
        <w:t>. The distribution of birds among the different clutch number categories did not differ significantly between the Kannur and Kozhikode districts. From a field-based egg recording study, Kumar et al. (2016) reported an average of 2.13 clutches per laying cycle in the indigenous chicken population of the same study area. However, literature on this trait is limited, and therefore meaningful comparisons with other studies could not be made.</w:t>
      </w:r>
    </w:p>
    <w:p w:rsidR="00B80297" w:rsidRPr="00306DFE" w:rsidRDefault="00233E2C" w:rsidP="00216486">
      <w:pPr>
        <w:spacing w:line="360" w:lineRule="auto"/>
        <w:ind w:firstLine="567"/>
        <w:jc w:val="both"/>
      </w:pPr>
      <w:r w:rsidRPr="00306DFE">
        <w:t>Total egg production per cycle in the current study ranged from 11 to 15 eggs in most cases (50.98%), followed by 16–20 eggs (28.43%) and 6–10 eggs (13.73%)</w:t>
      </w:r>
      <w:r w:rsidR="00D01376" w:rsidRPr="00306DFE">
        <w:rPr>
          <w:lang w:val="en-IN" w:eastAsia="en-IN" w:bidi="ta-IN"/>
        </w:rPr>
        <w:t>(Table 1)</w:t>
      </w:r>
      <w:r w:rsidRPr="00306DFE">
        <w:t xml:space="preserve">. The distribution of birds across these production classes showed no significant variation between the districts. </w:t>
      </w:r>
      <w:r w:rsidR="00B80297" w:rsidRPr="00306DFE">
        <w:t xml:space="preserve">Kumar et al. (2016) reported mean </w:t>
      </w:r>
      <w:r w:rsidR="00A65538" w:rsidRPr="00306DFE">
        <w:t xml:space="preserve">egg production </w:t>
      </w:r>
      <w:r w:rsidR="00B80297" w:rsidRPr="00306DFE">
        <w:t xml:space="preserve">of 15.50 eggs </w:t>
      </w:r>
      <w:r w:rsidR="00A65538" w:rsidRPr="00306DFE">
        <w:t xml:space="preserve">per cycle </w:t>
      </w:r>
      <w:r w:rsidR="00B80297" w:rsidRPr="00306DFE">
        <w:t xml:space="preserve">based on a survey, and 14.32 eggs from a field egg recording study. A review of the literature </w:t>
      </w:r>
      <w:r w:rsidR="00B80297" w:rsidRPr="00306DFE">
        <w:lastRenderedPageBreak/>
        <w:t xml:space="preserve">revealed a higher </w:t>
      </w:r>
      <w:r w:rsidR="00A65538" w:rsidRPr="00306DFE">
        <w:t>egg number</w:t>
      </w:r>
      <w:r w:rsidR="00B80297" w:rsidRPr="00306DFE">
        <w:t xml:space="preserve"> of 20 to 25 eggs in the same Tellichery population (Vij et al., 2007). In Ghagus hens, a range of 15 to 20 eggs </w:t>
      </w:r>
      <w:r w:rsidR="00A65538" w:rsidRPr="00306DFE">
        <w:t xml:space="preserve">per cycle </w:t>
      </w:r>
      <w:r w:rsidR="00B80297" w:rsidRPr="00306DFE">
        <w:t xml:space="preserve">was recorded (Tantia et al., 2005), while a lower range of 8 to 12 eggs, with a mean of 10.6 eggs, was observed in Danki hens (Vij et al., 2005). Among indigenous chickens in Uganda, </w:t>
      </w:r>
      <w:r w:rsidR="00A65538" w:rsidRPr="00306DFE">
        <w:t>egg production per cycle</w:t>
      </w:r>
      <w:r w:rsidR="00B80297" w:rsidRPr="00306DFE">
        <w:t xml:space="preserve"> ranged from 4 to 19 eggs with a mean of 13 eggs (Kugonza et al., 2008). Indigenous chickens in Botswana produced an average of 15 eggs per </w:t>
      </w:r>
      <w:r w:rsidR="00A65538" w:rsidRPr="00306DFE">
        <w:t>cycle</w:t>
      </w:r>
      <w:r w:rsidR="00B80297" w:rsidRPr="00306DFE">
        <w:t xml:space="preserve"> (Moreki, 2010), while in Bangladesh, an average of 12.5 eggs per </w:t>
      </w:r>
      <w:r w:rsidR="00A65538" w:rsidRPr="00306DFE">
        <w:t>cycle</w:t>
      </w:r>
      <w:r w:rsidR="00B80297" w:rsidRPr="00306DFE">
        <w:t xml:space="preserve"> was reported (Hossain, 1993).</w:t>
      </w:r>
    </w:p>
    <w:p w:rsidR="00AD467E" w:rsidRPr="00DC04F9" w:rsidRDefault="004D66C7" w:rsidP="00DD240A">
      <w:pPr>
        <w:pStyle w:val="NormalWeb"/>
        <w:rPr>
          <w:b/>
          <w:bCs/>
          <w:color w:val="FF0000"/>
          <w:shd w:val="clear" w:color="auto" w:fill="FFFFFF"/>
        </w:rPr>
      </w:pPr>
      <w:r w:rsidRPr="00DC04F9">
        <w:rPr>
          <w:b/>
          <w:bCs/>
          <w:color w:val="FF0000"/>
          <w:shd w:val="clear" w:color="auto" w:fill="FFFFFF"/>
        </w:rPr>
        <w:t xml:space="preserve">3.5 </w:t>
      </w:r>
      <w:r w:rsidR="00F04FEB" w:rsidRPr="00DC04F9">
        <w:rPr>
          <w:b/>
          <w:bCs/>
          <w:color w:val="FF0000"/>
          <w:shd w:val="clear" w:color="auto" w:fill="FFFFFF"/>
        </w:rPr>
        <w:t>Haematology</w:t>
      </w:r>
    </w:p>
    <w:p w:rsidR="00DC04F9" w:rsidRPr="00DC04F9" w:rsidRDefault="00DC04F9" w:rsidP="00DD240A">
      <w:pPr>
        <w:pStyle w:val="NormalWeb"/>
        <w:rPr>
          <w:b/>
          <w:bCs/>
          <w:color w:val="FF0000"/>
          <w:shd w:val="clear" w:color="auto" w:fill="FFFFFF"/>
        </w:rPr>
      </w:pPr>
    </w:p>
    <w:p w:rsidR="00DC04F9" w:rsidRPr="00DC04F9" w:rsidRDefault="00DC04F9" w:rsidP="00DD240A">
      <w:pPr>
        <w:pStyle w:val="NormalWeb"/>
        <w:rPr>
          <w:b/>
          <w:bCs/>
          <w:color w:val="FF0000"/>
          <w:shd w:val="clear" w:color="auto" w:fill="FFFFFF"/>
          <w:lang w:val="en-US"/>
        </w:rPr>
      </w:pPr>
      <w:r w:rsidRPr="00DC04F9">
        <w:rPr>
          <w:b/>
          <w:bCs/>
          <w:color w:val="FF0000"/>
          <w:highlight w:val="yellow"/>
          <w:shd w:val="clear" w:color="auto" w:fill="FFFFFF"/>
        </w:rPr>
        <w:t>NOTE:- why not put any graph to show difference between male and female haematological value</w:t>
      </w:r>
    </w:p>
    <w:p w:rsidR="00A65538" w:rsidRPr="00306DFE" w:rsidRDefault="00A65538" w:rsidP="00D01376">
      <w:pPr>
        <w:spacing w:before="100" w:beforeAutospacing="1" w:after="100" w:afterAutospacing="1" w:line="360" w:lineRule="auto"/>
        <w:ind w:firstLine="567"/>
        <w:jc w:val="both"/>
        <w:rPr>
          <w:lang w:val="en-IN" w:eastAsia="en-IN" w:bidi="ta-IN"/>
        </w:rPr>
      </w:pPr>
      <w:r w:rsidRPr="00306DFE">
        <w:t>Region- and sex-wise haematological values indigenous chickens are presented in Table 2. The data revealed no significant regional differences between the districts.</w:t>
      </w:r>
    </w:p>
    <w:p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The present study revealed significant sex-based variations in the haematological parameters of indigenous chickens from northern Kerala. Among the erythrocytic indices, males exhibited a significantly </w:t>
      </w:r>
      <w:r w:rsidR="00A65538" w:rsidRPr="00306DFE">
        <w:rPr>
          <w:lang w:val="en-IN" w:eastAsia="en-IN" w:bidi="ta-IN"/>
        </w:rPr>
        <w:t xml:space="preserve">(P&lt;0.01) </w:t>
      </w:r>
      <w:r w:rsidRPr="00306DFE">
        <w:rPr>
          <w:lang w:val="en-IN" w:eastAsia="en-IN" w:bidi="ta-IN"/>
        </w:rPr>
        <w:t xml:space="preserve">higher mean red blood cell (RBC) count (3.43 × 10⁶/µL) compared to females (2.78 × 10⁶/µL), with an overall mean of 3.11 × 10⁶/µL. These findings are consistent with those of Lucas and Jamroz (1961), who reported RBC counts ranging from 3.26–3.80 × 10⁶/µL in adult males and 2.72–3.00 × 10⁶/µL in adult females. Similarly, Bora et al. (2017) observed significantly </w:t>
      </w:r>
      <w:r w:rsidR="00A65538" w:rsidRPr="00306DFE">
        <w:rPr>
          <w:lang w:val="en-IN" w:eastAsia="en-IN" w:bidi="ta-IN"/>
        </w:rPr>
        <w:t xml:space="preserve">(P&lt;0.05) </w:t>
      </w:r>
      <w:r w:rsidRPr="00306DFE">
        <w:rPr>
          <w:lang w:val="en-IN" w:eastAsia="en-IN" w:bidi="ta-IN"/>
        </w:rPr>
        <w:t xml:space="preserve">higher RBC counts in males than females in both Aseel (3.16 vs. 2.72 × 10⁶/µL) and Kadaknath (3.53 vs. 2.54 × 10⁶/µL) chickens. Kishore and Sharma (2024) also reported a significant sex-based difference (P&lt;0.05) in RBC count in Kadaknath chickens, with males recording 3.20 × 10⁶/µL and females 2.61 × 10⁶/µL. Gandhimathi et al. (2025) documented lower RBC counts in laying hens of indigenous Siruvidai (1.97 </w:t>
      </w:r>
      <w:r w:rsidR="00D01376" w:rsidRPr="00306DFE">
        <w:rPr>
          <w:lang w:val="en-IN" w:eastAsia="en-IN" w:bidi="ta-IN"/>
        </w:rPr>
        <w:t>× 10⁶/µL</w:t>
      </w:r>
      <w:r w:rsidRPr="00306DFE">
        <w:rPr>
          <w:lang w:val="en-IN" w:eastAsia="en-IN" w:bidi="ta-IN"/>
        </w:rPr>
        <w:t xml:space="preserve">), White Leghorn (1.83 </w:t>
      </w:r>
      <w:r w:rsidR="00D01376" w:rsidRPr="00306DFE">
        <w:rPr>
          <w:lang w:val="en-IN" w:eastAsia="en-IN" w:bidi="ta-IN"/>
        </w:rPr>
        <w:t>× 10⁶/µL</w:t>
      </w:r>
      <w:r w:rsidRPr="00306DFE">
        <w:rPr>
          <w:lang w:val="en-IN" w:eastAsia="en-IN" w:bidi="ta-IN"/>
        </w:rPr>
        <w:t xml:space="preserve">), and Aseel (2.00 </w:t>
      </w:r>
      <w:r w:rsidR="00DB112C" w:rsidRPr="00306DFE">
        <w:rPr>
          <w:lang w:val="en-IN" w:eastAsia="en-IN" w:bidi="ta-IN"/>
        </w:rPr>
        <w:t>× 10⁶/µL</w:t>
      </w:r>
      <w:r w:rsidRPr="00306DFE">
        <w:rPr>
          <w:lang w:val="en-IN" w:eastAsia="en-IN" w:bidi="ta-IN"/>
        </w:rPr>
        <w:t xml:space="preserve">) breeds, and 1.87 </w:t>
      </w:r>
      <w:r w:rsidR="00D01376" w:rsidRPr="00306DFE">
        <w:rPr>
          <w:lang w:val="en-IN" w:eastAsia="en-IN" w:bidi="ta-IN"/>
        </w:rPr>
        <w:t xml:space="preserve">× 10⁶/µL </w:t>
      </w:r>
      <w:r w:rsidRPr="00306DFE">
        <w:rPr>
          <w:lang w:val="en-IN" w:eastAsia="en-IN" w:bidi="ta-IN"/>
        </w:rPr>
        <w:t>in broody Siruvidai hens.</w:t>
      </w:r>
    </w:p>
    <w:p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Likewise, haemoglobin (Hb) concentration was significantly </w:t>
      </w:r>
      <w:r w:rsidR="00A65538" w:rsidRPr="00306DFE">
        <w:rPr>
          <w:lang w:val="en-IN" w:eastAsia="en-IN" w:bidi="ta-IN"/>
        </w:rPr>
        <w:t xml:space="preserve">(P&lt;0.05) </w:t>
      </w:r>
      <w:r w:rsidRPr="00306DFE">
        <w:rPr>
          <w:lang w:val="en-IN" w:eastAsia="en-IN" w:bidi="ta-IN"/>
        </w:rPr>
        <w:t xml:space="preserve">higher in males (12.70 g/dL) compared to females (9.91 g/dL), with an overall mean of 11.31 g/dL. Bora et al. (2017) reported similar trends, with significantly higher Hb levels in Aseel (13.58 g/dL) and Kadaknath (13.88 g/dL) males than in their respective female counterparts (11.50 and 9.75 g/dL). Kishore and Sharma (2024) also noted a sex-related difference (P&lt;0.01) in </w:t>
      </w:r>
      <w:r w:rsidRPr="00306DFE">
        <w:rPr>
          <w:lang w:val="en-IN" w:eastAsia="en-IN" w:bidi="ta-IN"/>
        </w:rPr>
        <w:lastRenderedPageBreak/>
        <w:t>Kadaknath chickens, with males and females showing Hb values of 12.47 and 10.46 g/dL, respectively. Gandhimathi et al. (2025) reported Hb levels of 8.60 g/dL during the broody phase and 9.60 g/dL during the laying phase in Siruvidai hens, and 9.86 vs. 9.30 g/dL in Aseel hens during the respective phases.</w:t>
      </w:r>
    </w:p>
    <w:p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Packed cell volume (PCV) also differed significantly </w:t>
      </w:r>
      <w:r w:rsidR="00A65538" w:rsidRPr="00306DFE">
        <w:rPr>
          <w:lang w:val="en-IN" w:eastAsia="en-IN" w:bidi="ta-IN"/>
        </w:rPr>
        <w:t xml:space="preserve">(P&lt;0.01) </w:t>
      </w:r>
      <w:r w:rsidRPr="00306DFE">
        <w:rPr>
          <w:lang w:val="en-IN" w:eastAsia="en-IN" w:bidi="ta-IN"/>
        </w:rPr>
        <w:t>between sexes, with males showing a higher mean PCV (42.95%) than females (34.81%), resulting in an overall mean of 38.88%. These results correspond with the findings of Lucas and Jamroz (1961), who reported PCV values of 40% in males and 31% in females. In contrast, Kishore and Sharma (2024) recorded a lower (P&lt;0.01) PCV in Kadaknath males (28.58%) than in females (37.22%).</w:t>
      </w:r>
    </w:p>
    <w:p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Regarding differential leukocyte counts, males had significantly lower </w:t>
      </w:r>
      <w:r w:rsidR="00B91984" w:rsidRPr="00306DFE">
        <w:rPr>
          <w:lang w:val="en-IN" w:eastAsia="en-IN" w:bidi="ta-IN"/>
        </w:rPr>
        <w:t xml:space="preserve">(P&lt;0.001) </w:t>
      </w:r>
      <w:r w:rsidRPr="00306DFE">
        <w:rPr>
          <w:lang w:val="en-IN" w:eastAsia="en-IN" w:bidi="ta-IN"/>
        </w:rPr>
        <w:t xml:space="preserve">lymphocyte percentages (59.50%) and higher </w:t>
      </w:r>
      <w:r w:rsidR="00B91984" w:rsidRPr="00306DFE">
        <w:rPr>
          <w:lang w:val="en-IN" w:eastAsia="en-IN" w:bidi="ta-IN"/>
        </w:rPr>
        <w:t xml:space="preserve">(P&lt;0.001) </w:t>
      </w:r>
      <w:r w:rsidRPr="00306DFE">
        <w:rPr>
          <w:lang w:val="en-IN" w:eastAsia="en-IN" w:bidi="ta-IN"/>
        </w:rPr>
        <w:t>heterophil percentages (29.25%) compared to females (73.88% and 16.38%, respectively)</w:t>
      </w:r>
      <w:r w:rsidR="00B91984" w:rsidRPr="00306DFE">
        <w:rPr>
          <w:lang w:val="en-IN" w:eastAsia="en-IN" w:bidi="ta-IN"/>
        </w:rPr>
        <w:t xml:space="preserve"> with overall values of 66.69 and 22.81% respectively</w:t>
      </w:r>
      <w:r w:rsidRPr="00306DFE">
        <w:rPr>
          <w:lang w:val="en-IN" w:eastAsia="en-IN" w:bidi="ta-IN"/>
        </w:rPr>
        <w:t>. No significant sex-related differences were observed in monocyte, eosinophil, or basophil counts. These trends broadly align with the findings of Olson (1937), who reported lymphocyte and heterophil values of 59.1% and 27.2% in males and 64.6% and 22.8% in females, respectively. A similar trend was reported by Bora et al. (2017) in Aseel chickens, with males exhibiting significantly lower lymphocyte (44.75%) and higher heterophil (48.00%) counts compared to females (59.25% and 35.50%, respectively). However, no significant sex-related differences were noted in Kadaknath or Rajasri chickens in their study.</w:t>
      </w:r>
    </w:p>
    <w:p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The observed sex-related differences in erythrocytic and leukocytic parameters likely reflect underlying physiological and hormonal distinctions between male and female birds. These findings provide valuable baseline data on the haematological profiles of indigenous chickens in the region and underscore the role of sex as an important determinant of these parameters.</w:t>
      </w:r>
    </w:p>
    <w:p w:rsidR="004D66C7" w:rsidRPr="00306DFE" w:rsidRDefault="004D66C7" w:rsidP="004D66C7">
      <w:pPr>
        <w:spacing w:before="100" w:beforeAutospacing="1" w:after="100" w:afterAutospacing="1" w:line="360" w:lineRule="auto"/>
        <w:jc w:val="both"/>
        <w:rPr>
          <w:b/>
          <w:bCs/>
          <w:lang w:val="en-IN" w:eastAsia="en-IN" w:bidi="ta-IN"/>
        </w:rPr>
      </w:pPr>
      <w:r w:rsidRPr="00306DFE">
        <w:rPr>
          <w:b/>
          <w:bCs/>
          <w:lang w:val="en-IN" w:eastAsia="en-IN" w:bidi="ta-IN"/>
        </w:rPr>
        <w:t xml:space="preserve">4. </w:t>
      </w:r>
      <w:r w:rsidR="001A6D1E" w:rsidRPr="00306DFE">
        <w:rPr>
          <w:b/>
          <w:bCs/>
          <w:lang w:val="en-IN" w:eastAsia="en-IN" w:bidi="ta-IN"/>
        </w:rPr>
        <w:t>CONCLUSION</w:t>
      </w:r>
      <w:bookmarkStart w:id="0" w:name="_GoBack"/>
      <w:bookmarkEnd w:id="0"/>
    </w:p>
    <w:p w:rsidR="008A4069" w:rsidRDefault="00D73DB5" w:rsidP="00D01376">
      <w:pPr>
        <w:spacing w:before="100" w:beforeAutospacing="1" w:after="100" w:afterAutospacing="1" w:line="360" w:lineRule="auto"/>
        <w:ind w:firstLine="567"/>
        <w:jc w:val="both"/>
        <w:rPr>
          <w:lang w:val="en-IN" w:eastAsia="en-IN" w:bidi="ta-IN"/>
        </w:rPr>
      </w:pPr>
      <w:r w:rsidRPr="00306DFE">
        <w:t xml:space="preserve">In conclusion, the indigenous chickens of Kannur and Kozhikode districts in Kerala exhibit typical reproductive traits of desi breeds, including broodiness, delayed sexual maturity compared to commercial layers, and egg laying in cycles interrupted by broody </w:t>
      </w:r>
      <w:r w:rsidRPr="00306DFE">
        <w:lastRenderedPageBreak/>
        <w:t xml:space="preserve">periods. </w:t>
      </w:r>
      <w:r w:rsidR="008A4069" w:rsidRPr="00306DFE">
        <w:rPr>
          <w:lang w:val="en-IN" w:eastAsia="en-IN" w:bidi="ta-IN"/>
        </w:rPr>
        <w:t>They typically lay 11–15 eggs per cycle</w:t>
      </w:r>
      <w:r w:rsidRPr="00306DFE">
        <w:rPr>
          <w:lang w:val="en-IN" w:eastAsia="en-IN" w:bidi="ta-IN"/>
        </w:rPr>
        <w:t xml:space="preserve"> in</w:t>
      </w:r>
      <w:r w:rsidR="008A4069" w:rsidRPr="00306DFE">
        <w:rPr>
          <w:lang w:val="en-IN" w:eastAsia="en-IN" w:bidi="ta-IN"/>
        </w:rPr>
        <w:t xml:space="preserve"> approximately three clutches. While these traits limit overall egg productivity, they are advantageous for natural chick rearing under village farming conditions. The haematological parameters revealed distinct sex-based physiological differences, consistent with previous findings in other indigenous chicken populations. Overall, the reproductive and haematological characteristics documented in this study provide valuable inputs for breed characterization, conservation, and the development of targeted management strategies to enhance productivity in backyard poultry systems.</w:t>
      </w:r>
    </w:p>
    <w:p w:rsidR="00665BC4" w:rsidRPr="00306DFE" w:rsidRDefault="00665BC4" w:rsidP="00665BC4">
      <w:pPr>
        <w:spacing w:line="360" w:lineRule="auto"/>
        <w:jc w:val="both"/>
        <w:rPr>
          <w:b/>
          <w:bCs/>
        </w:rPr>
      </w:pPr>
      <w:r w:rsidRPr="00306DFE">
        <w:rPr>
          <w:b/>
          <w:bCs/>
        </w:rPr>
        <w:t xml:space="preserve">DISCLAIMER (ARTIFICIAL INTELLIGENCE) </w:t>
      </w:r>
    </w:p>
    <w:p w:rsidR="00665BC4" w:rsidRPr="00306DFE" w:rsidRDefault="00665BC4" w:rsidP="00665BC4">
      <w:pPr>
        <w:spacing w:line="360" w:lineRule="auto"/>
        <w:ind w:firstLine="708"/>
        <w:jc w:val="both"/>
      </w:pPr>
      <w:r w:rsidRPr="00306DFE">
        <w:t>The authors used ChatGPT (OpenAI, 2025) for language editing and improvement of clarity. The authors confirm that the content and scientific interpretations are their own.</w:t>
      </w:r>
    </w:p>
    <w:p w:rsidR="006122C8" w:rsidRDefault="006122C8" w:rsidP="00665BC4">
      <w:pPr>
        <w:spacing w:line="360" w:lineRule="auto"/>
        <w:ind w:left="567" w:hanging="567"/>
        <w:jc w:val="both"/>
        <w:rPr>
          <w:b/>
          <w:bCs/>
        </w:rPr>
      </w:pPr>
    </w:p>
    <w:p w:rsidR="00665BC4" w:rsidRPr="00306DFE" w:rsidRDefault="00665BC4" w:rsidP="00665BC4">
      <w:pPr>
        <w:spacing w:line="360" w:lineRule="auto"/>
        <w:ind w:left="567" w:hanging="567"/>
        <w:jc w:val="both"/>
        <w:rPr>
          <w:b/>
          <w:bCs/>
        </w:rPr>
      </w:pPr>
      <w:r w:rsidRPr="00306DFE">
        <w:rPr>
          <w:b/>
          <w:bCs/>
        </w:rPr>
        <w:t xml:space="preserve">COMPETING INTERESTS </w:t>
      </w:r>
    </w:p>
    <w:p w:rsidR="00665BC4" w:rsidRPr="00306DFE" w:rsidRDefault="00665BC4" w:rsidP="00665BC4">
      <w:pPr>
        <w:spacing w:line="360" w:lineRule="auto"/>
        <w:ind w:left="567" w:hanging="567"/>
        <w:jc w:val="both"/>
      </w:pPr>
      <w:r w:rsidRPr="00306DFE">
        <w:t>Authors have declared that no competing interests exist.</w:t>
      </w:r>
    </w:p>
    <w:p w:rsidR="00665BC4" w:rsidRPr="00306DFE" w:rsidRDefault="00665BC4" w:rsidP="00D01376">
      <w:pPr>
        <w:spacing w:before="100" w:beforeAutospacing="1" w:after="100" w:afterAutospacing="1" w:line="360" w:lineRule="auto"/>
        <w:ind w:firstLine="567"/>
        <w:jc w:val="both"/>
        <w:rPr>
          <w:lang w:val="en-IN" w:eastAsia="en-IN" w:bidi="ta-IN"/>
        </w:rPr>
      </w:pPr>
    </w:p>
    <w:p w:rsidR="00F41D0C" w:rsidRPr="00306DFE" w:rsidRDefault="00F41D0C" w:rsidP="00F41D0C">
      <w:pPr>
        <w:ind w:left="567" w:hanging="567"/>
        <w:jc w:val="both"/>
        <w:rPr>
          <w:b/>
          <w:bCs/>
        </w:rPr>
      </w:pPr>
      <w:r w:rsidRPr="00306DFE">
        <w:rPr>
          <w:b/>
          <w:bCs/>
        </w:rPr>
        <w:t>References</w:t>
      </w:r>
    </w:p>
    <w:p w:rsidR="003E60FB" w:rsidRPr="00306DFE" w:rsidRDefault="003E60FB" w:rsidP="003E60FB">
      <w:pPr>
        <w:autoSpaceDE w:val="0"/>
        <w:autoSpaceDN w:val="0"/>
        <w:adjustRightInd w:val="0"/>
        <w:ind w:left="567" w:hanging="567"/>
        <w:jc w:val="both"/>
        <w:rPr>
          <w:bCs/>
        </w:rPr>
      </w:pPr>
    </w:p>
    <w:p w:rsidR="00F16C8D" w:rsidRPr="00306DFE" w:rsidRDefault="00F16C8D" w:rsidP="00532956">
      <w:pPr>
        <w:pStyle w:val="NormalWeb"/>
        <w:ind w:left="567" w:hanging="567"/>
        <w:jc w:val="both"/>
      </w:pPr>
      <w:r w:rsidRPr="00306DFE">
        <w:t xml:space="preserve">Azharul, I. M., Baqura, M. D., &amp; Hossain, M. M. (2005). Broodiness and egg production performance in indigenous hens of Bangladesh. </w:t>
      </w:r>
      <w:r w:rsidRPr="00306DFE">
        <w:rPr>
          <w:rStyle w:val="Emphasis"/>
        </w:rPr>
        <w:t>International Journal of Poultry Science, 4</w:t>
      </w:r>
      <w:r w:rsidRPr="00306DFE">
        <w:t xml:space="preserve">(7), 505–509. </w:t>
      </w:r>
      <w:hyperlink r:id="rId8" w:tgtFrame="_new" w:history="1">
        <w:r w:rsidRPr="00306DFE">
          <w:rPr>
            <w:rStyle w:val="Hyperlink"/>
          </w:rPr>
          <w:t>https://doi.org/10.3923/ijps.2005.505.509</w:t>
        </w:r>
      </w:hyperlink>
    </w:p>
    <w:p w:rsidR="00F16C8D" w:rsidRPr="00306DFE" w:rsidRDefault="00F16C8D" w:rsidP="00532956">
      <w:pPr>
        <w:pStyle w:val="NormalWeb"/>
        <w:ind w:left="567" w:hanging="567"/>
        <w:jc w:val="both"/>
      </w:pPr>
      <w:r w:rsidRPr="00306DFE">
        <w:t xml:space="preserve">Bora, S., Gurram, S., Sagi, R., Tungani, R., Kandula, S., &amp; Bobbili, R. (2017). Effect of sex on hematological and biochemical parameters in three indigenous chickens in Telangana region. </w:t>
      </w:r>
      <w:r w:rsidRPr="00306DFE">
        <w:rPr>
          <w:rStyle w:val="Emphasis"/>
        </w:rPr>
        <w:t>International Journal of Livestock Research, 7</w:t>
      </w:r>
      <w:r w:rsidRPr="00306DFE">
        <w:t>(10), 212–218.</w:t>
      </w:r>
    </w:p>
    <w:p w:rsidR="00F16C8D" w:rsidRPr="00306DFE" w:rsidRDefault="00F16C8D" w:rsidP="00532956">
      <w:pPr>
        <w:pStyle w:val="NormalWeb"/>
        <w:ind w:left="567" w:hanging="567"/>
        <w:jc w:val="both"/>
      </w:pPr>
      <w:r w:rsidRPr="00306DFE">
        <w:t xml:space="preserve">Chen, S. J., &amp; Li, W. B. (2007). Studies on the broodiness in Wumeng black-bone chicken. </w:t>
      </w:r>
      <w:r w:rsidRPr="00306DFE">
        <w:rPr>
          <w:rStyle w:val="Emphasis"/>
        </w:rPr>
        <w:t>Bulletin of Shanghai Husbandry and Veterinary, 5</w:t>
      </w:r>
      <w:r w:rsidRPr="00306DFE">
        <w:t>, 84.</w:t>
      </w:r>
    </w:p>
    <w:p w:rsidR="00F16C8D" w:rsidRPr="00306DFE" w:rsidRDefault="00F16C8D" w:rsidP="00532956">
      <w:pPr>
        <w:pStyle w:val="NormalWeb"/>
        <w:ind w:left="567" w:hanging="567"/>
        <w:jc w:val="both"/>
      </w:pPr>
      <w:r w:rsidRPr="00306DFE">
        <w:t xml:space="preserve">Churchil, R. R. (2022). Growth, structure and strength of Indian poultry industry: A review. </w:t>
      </w:r>
      <w:r w:rsidRPr="00306DFE">
        <w:rPr>
          <w:rStyle w:val="Emphasis"/>
        </w:rPr>
        <w:t>Indian Journal of Poultry Science, 57</w:t>
      </w:r>
      <w:r w:rsidRPr="00306DFE">
        <w:t xml:space="preserve">(1), 1–10. </w:t>
      </w:r>
      <w:hyperlink r:id="rId9" w:tgtFrame="_new" w:history="1">
        <w:r w:rsidRPr="00306DFE">
          <w:rPr>
            <w:rStyle w:val="Hyperlink"/>
          </w:rPr>
          <w:t>https://doi.org/10.5958/0974-8180.2022.00009.5</w:t>
        </w:r>
      </w:hyperlink>
    </w:p>
    <w:p w:rsidR="00F16C8D" w:rsidRPr="00306DFE" w:rsidRDefault="00F16C8D" w:rsidP="00532956">
      <w:pPr>
        <w:pStyle w:val="NormalWeb"/>
        <w:ind w:left="567" w:hanging="567"/>
        <w:jc w:val="both"/>
      </w:pPr>
      <w:r w:rsidRPr="00306DFE">
        <w:t xml:space="preserve">Churchil, R. R., Balan, V., Gandhimathi, D., &amp; Vasanthakumar, T. (2024). Indigenous chicken germplasm of Tamil Nadu: A treasure to explore and exploit. </w:t>
      </w:r>
      <w:r w:rsidRPr="00306DFE">
        <w:rPr>
          <w:rStyle w:val="Emphasis"/>
        </w:rPr>
        <w:t>TANUVAS Technical Reporter, 9</w:t>
      </w:r>
      <w:r w:rsidRPr="00306DFE">
        <w:t xml:space="preserve">(5), 1–7. </w:t>
      </w:r>
      <w:hyperlink r:id="rId10" w:tgtFrame="_new" w:history="1">
        <w:r w:rsidRPr="00306DFE">
          <w:rPr>
            <w:rStyle w:val="Hyperlink"/>
          </w:rPr>
          <w:t>https://doi.org/10.13140/RG.2.2.19067.63527</w:t>
        </w:r>
      </w:hyperlink>
    </w:p>
    <w:p w:rsidR="00F16C8D" w:rsidRPr="00306DFE" w:rsidRDefault="00F16C8D" w:rsidP="00532956">
      <w:pPr>
        <w:pStyle w:val="NormalWeb"/>
        <w:ind w:left="567" w:hanging="567"/>
        <w:jc w:val="both"/>
      </w:pPr>
      <w:r w:rsidRPr="00306DFE">
        <w:t xml:space="preserve">Churchil, R. R., John, L., Chacko, B., Praveena, P. E., &amp; Anitha, P. (2019). Genetic analysis of egg production and allied characters in two long-term selected strains of White Leghorn. </w:t>
      </w:r>
      <w:r w:rsidRPr="00306DFE">
        <w:rPr>
          <w:rStyle w:val="Emphasis"/>
        </w:rPr>
        <w:t>International Journal of Current Microbiology and Applied Sciences, 8</w:t>
      </w:r>
      <w:r w:rsidRPr="00306DFE">
        <w:t xml:space="preserve">(3), 1678–1684. </w:t>
      </w:r>
      <w:hyperlink r:id="rId11" w:tgtFrame="_new" w:history="1">
        <w:r w:rsidRPr="00306DFE">
          <w:rPr>
            <w:rStyle w:val="Hyperlink"/>
          </w:rPr>
          <w:t>https://doi.org/10.20546/ijcmas.2019.803.194</w:t>
        </w:r>
      </w:hyperlink>
    </w:p>
    <w:p w:rsidR="00F16C8D" w:rsidRPr="00306DFE" w:rsidRDefault="00F16C8D" w:rsidP="00532956">
      <w:pPr>
        <w:pStyle w:val="NormalWeb"/>
        <w:ind w:left="567" w:hanging="567"/>
        <w:jc w:val="both"/>
      </w:pPr>
      <w:r w:rsidRPr="00306DFE">
        <w:lastRenderedPageBreak/>
        <w:t xml:space="preserve">Churchil, R. R., Mohan, B., &amp; Viswanathan, K. (2009). Effect of </w:t>
      </w:r>
      <w:r w:rsidRPr="00306DFE">
        <w:rPr>
          <w:rStyle w:val="Emphasis"/>
        </w:rPr>
        <w:t>Saccharomyces cerevisiae</w:t>
      </w:r>
      <w:r w:rsidRPr="00306DFE">
        <w:t xml:space="preserve"> in counteracting aflatoxicosis in broilers. </w:t>
      </w:r>
      <w:r w:rsidRPr="00306DFE">
        <w:rPr>
          <w:rStyle w:val="Emphasis"/>
        </w:rPr>
        <w:t>Indian Journal of Poultry Science, 44</w:t>
      </w:r>
      <w:r w:rsidRPr="00306DFE">
        <w:t>(3), 366–370.</w:t>
      </w:r>
    </w:p>
    <w:p w:rsidR="00F16C8D" w:rsidRPr="00306DFE" w:rsidRDefault="00F16C8D" w:rsidP="00532956">
      <w:pPr>
        <w:pStyle w:val="NormalWeb"/>
        <w:ind w:left="567" w:hanging="567"/>
        <w:jc w:val="both"/>
      </w:pPr>
      <w:r w:rsidRPr="00306DFE">
        <w:t xml:space="preserve">Churchil, R. R., Ravivarman, N., Dhamotharan, S., Sumanth, S., &amp; Srinivasan, G. (2018, December 19–20). Quality parameters of eggs of indigenous Siruvidai and Peruvidai chickens of Tamil Nadu. In </w:t>
      </w:r>
      <w:r w:rsidRPr="00306DFE">
        <w:rPr>
          <w:rStyle w:val="Emphasis"/>
        </w:rPr>
        <w:t>Proceedings of the National Conference on Native Chicken Production: Opportunities for Conservation, Productivity Enhancement and Commercial Exploitation in View of Global Warming</w:t>
      </w:r>
      <w:r w:rsidRPr="00306DFE">
        <w:t xml:space="preserve"> (pp. xx–xx). Chennai, India.</w:t>
      </w:r>
    </w:p>
    <w:p w:rsidR="00F16C8D" w:rsidRPr="00306DFE" w:rsidRDefault="00F16C8D" w:rsidP="00532956">
      <w:pPr>
        <w:pStyle w:val="NormalWeb"/>
        <w:ind w:left="567" w:hanging="567"/>
        <w:jc w:val="both"/>
      </w:pPr>
      <w:r w:rsidRPr="00306DFE">
        <w:t xml:space="preserve">Desta, T. T., &amp;Wakeyo, O. (2024). Reproductive characteristics of indigenous village chickens. </w:t>
      </w:r>
      <w:r w:rsidRPr="00306DFE">
        <w:rPr>
          <w:rStyle w:val="Emphasis"/>
        </w:rPr>
        <w:t>Poultry Science and Management, 1</w:t>
      </w:r>
      <w:r w:rsidRPr="00306DFE">
        <w:t xml:space="preserve">(2). </w:t>
      </w:r>
      <w:hyperlink r:id="rId12" w:tgtFrame="_new" w:history="1">
        <w:r w:rsidRPr="00306DFE">
          <w:rPr>
            <w:rStyle w:val="Hyperlink"/>
          </w:rPr>
          <w:t>https://doi.org/10.1186/s44364-024-00002-x</w:t>
        </w:r>
      </w:hyperlink>
    </w:p>
    <w:p w:rsidR="00F16C8D" w:rsidRPr="00306DFE" w:rsidRDefault="00F16C8D" w:rsidP="00532956">
      <w:pPr>
        <w:pStyle w:val="NormalWeb"/>
        <w:ind w:left="567" w:hanging="567"/>
        <w:jc w:val="both"/>
      </w:pPr>
      <w:r w:rsidRPr="00306DFE">
        <w:t xml:space="preserve">Elagib, H. A. A., &amp; Ahmed, A. D. A. (2011). Comparative study on haematological values of blood of indigenous chickens in Sudan. </w:t>
      </w:r>
      <w:r w:rsidRPr="00306DFE">
        <w:rPr>
          <w:rStyle w:val="Emphasis"/>
        </w:rPr>
        <w:t>Asian Journal of Poultry Science, 5</w:t>
      </w:r>
      <w:r w:rsidRPr="00306DFE">
        <w:t>(1), 41–45. https://doi.org/10.3923/ajpsaj.2011.41.45</w:t>
      </w:r>
    </w:p>
    <w:p w:rsidR="00F16C8D" w:rsidRPr="00306DFE" w:rsidRDefault="00F16C8D" w:rsidP="00532956">
      <w:pPr>
        <w:pStyle w:val="NormalWeb"/>
        <w:ind w:left="567" w:hanging="567"/>
        <w:jc w:val="both"/>
      </w:pPr>
      <w:r w:rsidRPr="00306DFE">
        <w:t xml:space="preserve">Gandhimathi, D., Muthusamy, P., Churchil, R. R., &amp; Vairamuthu, S. (2025). Haematological and biochemical profiles of indigenous and exotic chickens during broody and laying phases. </w:t>
      </w:r>
      <w:r w:rsidRPr="00306DFE">
        <w:rPr>
          <w:rStyle w:val="Emphasis"/>
        </w:rPr>
        <w:t>Journal of Scientific Research and Reports, 31</w:t>
      </w:r>
      <w:r w:rsidRPr="00306DFE">
        <w:t xml:space="preserve">(7), 716–724. </w:t>
      </w:r>
      <w:hyperlink r:id="rId13" w:tgtFrame="_new" w:history="1">
        <w:r w:rsidRPr="00306DFE">
          <w:rPr>
            <w:rStyle w:val="Hyperlink"/>
          </w:rPr>
          <w:t>https://doi.org/10.9734/jsrr/2025/v31i73291</w:t>
        </w:r>
      </w:hyperlink>
    </w:p>
    <w:p w:rsidR="00F16C8D" w:rsidRPr="00306DFE" w:rsidRDefault="00F16C8D" w:rsidP="00532956">
      <w:pPr>
        <w:pStyle w:val="NormalWeb"/>
        <w:ind w:left="567" w:hanging="567"/>
        <w:jc w:val="both"/>
      </w:pPr>
      <w:r w:rsidRPr="00306DFE">
        <w:t xml:space="preserve">Gikunju, M. M., Kabuage, L. W., Wachira, A. M., Oliech, G. W., &amp;Gicheha, M. G. (2018). Evaluation of pure breeds, crossbreeds and indigenous chicken egg quality traits in Kenya. </w:t>
      </w:r>
      <w:r w:rsidRPr="00306DFE">
        <w:rPr>
          <w:rStyle w:val="Emphasis"/>
        </w:rPr>
        <w:t>Livestock Research for Rural Development, 30</w:t>
      </w:r>
      <w:r w:rsidRPr="00306DFE">
        <w:t xml:space="preserve">, Article #170. Retrieved August 3, 2025, from </w:t>
      </w:r>
      <w:hyperlink r:id="rId14" w:tgtFrame="_new" w:history="1">
        <w:r w:rsidRPr="00306DFE">
          <w:rPr>
            <w:rStyle w:val="Hyperlink"/>
          </w:rPr>
          <w:t>http://www.lrrd.org/lrrd30/10/giche30170.html</w:t>
        </w:r>
      </w:hyperlink>
    </w:p>
    <w:p w:rsidR="00F16C8D" w:rsidRPr="00306DFE" w:rsidRDefault="00F16C8D" w:rsidP="00532956">
      <w:pPr>
        <w:pStyle w:val="NormalWeb"/>
        <w:ind w:left="567" w:hanging="567"/>
        <w:jc w:val="both"/>
      </w:pPr>
      <w:r w:rsidRPr="00306DFE">
        <w:t xml:space="preserve">Haunshi, S., &amp; Rajkumar, U. (2020). Native chicken production in India: Present status and challenges. </w:t>
      </w:r>
      <w:r w:rsidRPr="00306DFE">
        <w:rPr>
          <w:rStyle w:val="Emphasis"/>
        </w:rPr>
        <w:t>Livestock Research for Rural Development, 32</w:t>
      </w:r>
      <w:r w:rsidRPr="00306DFE">
        <w:t xml:space="preserve">, Article #181. Retrieved July 26, 2025, from </w:t>
      </w:r>
      <w:hyperlink r:id="rId15" w:tgtFrame="_new" w:history="1">
        <w:r w:rsidRPr="00306DFE">
          <w:rPr>
            <w:rStyle w:val="Hyperlink"/>
          </w:rPr>
          <w:t>http://www.lrrd.org/lrrd32/11/ullen32181.html</w:t>
        </w:r>
      </w:hyperlink>
    </w:p>
    <w:p w:rsidR="00F16C8D" w:rsidRPr="00306DFE" w:rsidRDefault="00F16C8D" w:rsidP="00532956">
      <w:pPr>
        <w:pStyle w:val="NormalWeb"/>
        <w:ind w:left="567" w:hanging="567"/>
        <w:jc w:val="both"/>
      </w:pPr>
      <w:r w:rsidRPr="00306DFE">
        <w:t xml:space="preserve">Hossain, S. M. (1993). Manipulation of the broody period to increase egg production of indigenous hens under rural conditions in Bangladesh. </w:t>
      </w:r>
      <w:r w:rsidRPr="00306DFE">
        <w:rPr>
          <w:rStyle w:val="Emphasis"/>
        </w:rPr>
        <w:t>Livestock Research for Rural Development, 5</w:t>
      </w:r>
      <w:r w:rsidRPr="00306DFE">
        <w:t xml:space="preserve">(2), Article #13. Retrieved August 3, 2025, from </w:t>
      </w:r>
      <w:hyperlink r:id="rId16" w:tgtFrame="_new" w:history="1">
        <w:r w:rsidRPr="00306DFE">
          <w:rPr>
            <w:rStyle w:val="Hyperlink"/>
          </w:rPr>
          <w:t>http://www.lrrd.org/lrrd5/2/bangla2.htm</w:t>
        </w:r>
      </w:hyperlink>
    </w:p>
    <w:p w:rsidR="00F16C8D" w:rsidRPr="00306DFE" w:rsidRDefault="00F16C8D" w:rsidP="00532956">
      <w:pPr>
        <w:pStyle w:val="NormalWeb"/>
        <w:ind w:left="567" w:hanging="567"/>
        <w:jc w:val="both"/>
      </w:pPr>
      <w:r w:rsidRPr="00306DFE">
        <w:t xml:space="preserve">Iqbal, S., &amp;Pampori, Z. A. (2008). Production potential and qualitative traits of indigenous chicken of Kashmir. </w:t>
      </w:r>
      <w:r w:rsidRPr="00306DFE">
        <w:rPr>
          <w:rStyle w:val="Emphasis"/>
        </w:rPr>
        <w:t>Livestock Research for Rural Development, 20</w:t>
      </w:r>
      <w:r w:rsidRPr="00306DFE">
        <w:t xml:space="preserve">(11), Article 182. Retrieved August 3, 2025, from </w:t>
      </w:r>
      <w:hyperlink r:id="rId17" w:tgtFrame="_new" w:history="1">
        <w:r w:rsidRPr="00306DFE">
          <w:rPr>
            <w:rStyle w:val="Hyperlink"/>
          </w:rPr>
          <w:t>http://www.lrrd.org/lrrd20/11/iqba20182.htm</w:t>
        </w:r>
      </w:hyperlink>
    </w:p>
    <w:p w:rsidR="00F16C8D" w:rsidRPr="00306DFE" w:rsidRDefault="00F16C8D" w:rsidP="00532956">
      <w:pPr>
        <w:pStyle w:val="NormalWeb"/>
        <w:ind w:left="567" w:hanging="567"/>
        <w:jc w:val="both"/>
      </w:pPr>
      <w:r w:rsidRPr="00306DFE">
        <w:t xml:space="preserve">Jiang, R. S., Chen, X. Y., &amp; Geng, Z. Y. (2010). Broodiness, egg production, and correlations between broody traits in an indigenous chicken breed. </w:t>
      </w:r>
      <w:r w:rsidRPr="00306DFE">
        <w:rPr>
          <w:rStyle w:val="Emphasis"/>
        </w:rPr>
        <w:t>Poultry Science, 89</w:t>
      </w:r>
      <w:r w:rsidRPr="00306DFE">
        <w:t xml:space="preserve">(6), 1094–1096. </w:t>
      </w:r>
      <w:hyperlink r:id="rId18" w:tgtFrame="_new" w:history="1">
        <w:r w:rsidRPr="00306DFE">
          <w:rPr>
            <w:rStyle w:val="Hyperlink"/>
          </w:rPr>
          <w:t>https://doi.org/10.3382/ps.2009-00621</w:t>
        </w:r>
      </w:hyperlink>
    </w:p>
    <w:p w:rsidR="00F16C8D" w:rsidRPr="00306DFE" w:rsidRDefault="00F16C8D" w:rsidP="00532956">
      <w:pPr>
        <w:pStyle w:val="NormalWeb"/>
        <w:ind w:left="567" w:hanging="567"/>
        <w:jc w:val="both"/>
      </w:pPr>
      <w:r w:rsidRPr="00306DFE">
        <w:rPr>
          <w:rStyle w:val="Strong"/>
          <w:b w:val="0"/>
          <w:bCs w:val="0"/>
        </w:rPr>
        <w:t>Khan, M. K. I., Ferdous, J., Momin, M. M., &amp; Khatun, J.</w:t>
      </w:r>
      <w:r w:rsidRPr="00306DFE">
        <w:t xml:space="preserve"> (2023). Performances and genetic correlations between age at first egg and egg quality traits of reciprocal crossbreds of Hilly and Fayoumi chickens. </w:t>
      </w:r>
      <w:r w:rsidRPr="00306DFE">
        <w:rPr>
          <w:rStyle w:val="Emphasis"/>
        </w:rPr>
        <w:t>Universal Journal of Agricultural Research, 11</w:t>
      </w:r>
      <w:r w:rsidRPr="00306DFE">
        <w:t xml:space="preserve">(2), 499–506. </w:t>
      </w:r>
      <w:hyperlink r:id="rId19" w:tgtFrame="_new" w:history="1">
        <w:r w:rsidRPr="00306DFE">
          <w:rPr>
            <w:rStyle w:val="Hyperlink"/>
          </w:rPr>
          <w:t>https://doi.org/10.13189/ujar.2023.110226</w:t>
        </w:r>
      </w:hyperlink>
    </w:p>
    <w:p w:rsidR="00F16C8D" w:rsidRPr="00306DFE" w:rsidRDefault="00F16C8D" w:rsidP="00532956">
      <w:pPr>
        <w:pStyle w:val="NormalWeb"/>
        <w:ind w:left="567" w:hanging="567"/>
        <w:jc w:val="both"/>
      </w:pPr>
      <w:r w:rsidRPr="00306DFE">
        <w:rPr>
          <w:rStyle w:val="Strong"/>
          <w:b w:val="0"/>
          <w:bCs w:val="0"/>
        </w:rPr>
        <w:lastRenderedPageBreak/>
        <w:t>Kishore, A., &amp; Sharma, T.</w:t>
      </w:r>
      <w:r w:rsidRPr="00306DFE">
        <w:t xml:space="preserve"> (2024). Sex-related variations in hematological and sero-biochemical profiles of Kadaknath chicken. </w:t>
      </w:r>
      <w:r w:rsidRPr="00306DFE">
        <w:rPr>
          <w:rStyle w:val="Emphasis"/>
        </w:rPr>
        <w:t>Indian Journal of Poultry Science, 59</w:t>
      </w:r>
      <w:r w:rsidRPr="00306DFE">
        <w:t xml:space="preserve">(3), 299–303. </w:t>
      </w:r>
      <w:hyperlink r:id="rId20" w:tgtFrame="_new" w:history="1">
        <w:r w:rsidRPr="00306DFE">
          <w:rPr>
            <w:rStyle w:val="Hyperlink"/>
          </w:rPr>
          <w:t>https://doi.org/10.56093/ijps.v59i3.09</w:t>
        </w:r>
      </w:hyperlink>
    </w:p>
    <w:p w:rsidR="00F16C8D" w:rsidRPr="00306DFE" w:rsidRDefault="00F16C8D" w:rsidP="00532956">
      <w:pPr>
        <w:pStyle w:val="NormalWeb"/>
        <w:ind w:left="567" w:hanging="567"/>
        <w:jc w:val="both"/>
      </w:pPr>
      <w:r w:rsidRPr="00306DFE">
        <w:rPr>
          <w:rStyle w:val="Strong"/>
          <w:b w:val="0"/>
          <w:bCs w:val="0"/>
        </w:rPr>
        <w:t>Kugonza, D. R., Kyarisiima, C. C., &amp; Iisa, A.</w:t>
      </w:r>
      <w:r w:rsidRPr="00306DFE">
        <w:t xml:space="preserve"> (2008). Indigenous chicken flocks of Eastern Uganda: I. Productivity, management and strategies for better performance. </w:t>
      </w:r>
      <w:r w:rsidRPr="00306DFE">
        <w:rPr>
          <w:rStyle w:val="Emphasis"/>
        </w:rPr>
        <w:t>Livestock Research for Rural Development, 20</w:t>
      </w:r>
      <w:r w:rsidRPr="00306DFE">
        <w:t xml:space="preserve">(9), Article 137. </w:t>
      </w:r>
      <w:hyperlink r:id="rId21" w:tgtFrame="_new" w:history="1">
        <w:r w:rsidRPr="00306DFE">
          <w:rPr>
            <w:rStyle w:val="Hyperlink"/>
          </w:rPr>
          <w:t>http://www.lrrd.org/lrrd20/9/kugo20137.htm</w:t>
        </w:r>
      </w:hyperlink>
    </w:p>
    <w:p w:rsidR="00F16C8D" w:rsidRPr="00306DFE" w:rsidRDefault="00F16C8D" w:rsidP="00532956">
      <w:pPr>
        <w:pStyle w:val="NormalWeb"/>
        <w:ind w:left="567" w:hanging="567"/>
        <w:jc w:val="both"/>
      </w:pPr>
      <w:r w:rsidRPr="00306DFE">
        <w:rPr>
          <w:rStyle w:val="Strong"/>
          <w:b w:val="0"/>
          <w:bCs w:val="0"/>
        </w:rPr>
        <w:t>Kumar, P. G., &amp; Churchil, R. R.</w:t>
      </w:r>
      <w:r w:rsidRPr="00306DFE">
        <w:t xml:space="preserve"> (2025). Socio-economic aspects of farmers and rearing practices of village chicken in Kannur and Kozhikode districts of Kerala. </w:t>
      </w:r>
      <w:r w:rsidRPr="00306DFE">
        <w:rPr>
          <w:rStyle w:val="Emphasis"/>
        </w:rPr>
        <w:t>International Journal of Bio-resource and Stress Management, 16</w:t>
      </w:r>
      <w:r w:rsidRPr="00306DFE">
        <w:t xml:space="preserve">(4), 1–8. </w:t>
      </w:r>
      <w:hyperlink r:id="rId22" w:tgtFrame="_new" w:history="1">
        <w:r w:rsidRPr="00306DFE">
          <w:rPr>
            <w:rStyle w:val="Hyperlink"/>
          </w:rPr>
          <w:t>https://doi.org/10.23910/1.2025.6063</w:t>
        </w:r>
      </w:hyperlink>
    </w:p>
    <w:p w:rsidR="00F16C8D" w:rsidRPr="00306DFE" w:rsidRDefault="00F16C8D" w:rsidP="00532956">
      <w:pPr>
        <w:pStyle w:val="NormalWeb"/>
        <w:ind w:left="567" w:hanging="567"/>
        <w:jc w:val="both"/>
      </w:pPr>
      <w:r w:rsidRPr="00306DFE">
        <w:rPr>
          <w:rStyle w:val="Strong"/>
          <w:b w:val="0"/>
          <w:bCs w:val="0"/>
        </w:rPr>
        <w:t>Kumar, P. G., Churchil, R. R., Jalaludeen, A., Narayanankutty, K., Joseph, L., Kannan, A., &amp; Anitha, P.</w:t>
      </w:r>
      <w:r w:rsidRPr="00306DFE">
        <w:t xml:space="preserve"> (2013a). A survey on village chicken production in Kerala State of India. </w:t>
      </w:r>
      <w:r w:rsidRPr="00306DFE">
        <w:rPr>
          <w:rStyle w:val="Emphasis"/>
        </w:rPr>
        <w:t>World’s Poultry Science Journal, 69</w:t>
      </w:r>
      <w:r w:rsidRPr="00306DFE">
        <w:t xml:space="preserve">(4), 917–929. </w:t>
      </w:r>
      <w:hyperlink r:id="rId23" w:tgtFrame="_new" w:history="1">
        <w:r w:rsidRPr="00306DFE">
          <w:rPr>
            <w:rStyle w:val="Hyperlink"/>
          </w:rPr>
          <w:t>https://doi.org/10.1017/S004393391300092</w:t>
        </w:r>
      </w:hyperlink>
    </w:p>
    <w:p w:rsidR="00F16C8D" w:rsidRPr="00306DFE" w:rsidRDefault="00F16C8D" w:rsidP="00532956">
      <w:pPr>
        <w:pStyle w:val="NormalWeb"/>
        <w:ind w:left="567" w:hanging="567"/>
        <w:jc w:val="both"/>
      </w:pPr>
      <w:r w:rsidRPr="00306DFE">
        <w:rPr>
          <w:rStyle w:val="Strong"/>
          <w:b w:val="0"/>
          <w:bCs w:val="0"/>
        </w:rPr>
        <w:t>Kumar, P., Churchil, R., Jalaludeen, A., Narayanankutty, K., Peethambaran, P., Praveena, P., Chacko, B., &amp;Ajithbabu, B.</w:t>
      </w:r>
      <w:r w:rsidRPr="00306DFE">
        <w:t xml:space="preserve"> (2016). Egg production and certain behavioural characteristics and mortality pattern of indigenous chicken of India. </w:t>
      </w:r>
      <w:r w:rsidRPr="00306DFE">
        <w:rPr>
          <w:rStyle w:val="Emphasis"/>
        </w:rPr>
        <w:t>Animal Genetic Resources, 59</w:t>
      </w:r>
      <w:r w:rsidRPr="00306DFE">
        <w:t xml:space="preserve">, 27–36. </w:t>
      </w:r>
      <w:hyperlink r:id="rId24" w:tgtFrame="_new" w:history="1">
        <w:r w:rsidRPr="00306DFE">
          <w:rPr>
            <w:rStyle w:val="Hyperlink"/>
          </w:rPr>
          <w:t>https://doi.org/10.1017/S2078633616000242</w:t>
        </w:r>
      </w:hyperlink>
    </w:p>
    <w:p w:rsidR="00F16C8D" w:rsidRPr="00306DFE" w:rsidRDefault="00F16C8D" w:rsidP="00532956">
      <w:pPr>
        <w:pStyle w:val="NormalWeb"/>
        <w:ind w:left="567" w:hanging="567"/>
        <w:jc w:val="both"/>
      </w:pPr>
      <w:r w:rsidRPr="00306DFE">
        <w:rPr>
          <w:rStyle w:val="Strong"/>
          <w:b w:val="0"/>
          <w:bCs w:val="0"/>
        </w:rPr>
        <w:t>Kumar, P. G., Churchil, R. R., Jalaludeen, A., Narayanankutty, K., &amp; Kannan, A.</w:t>
      </w:r>
      <w:r w:rsidRPr="00306DFE">
        <w:t xml:space="preserve"> (2013b). Egg quality and hatchability characters of Tellicherry chicken reared under extensive system of management. </w:t>
      </w:r>
      <w:r w:rsidRPr="00306DFE">
        <w:rPr>
          <w:rStyle w:val="Emphasis"/>
        </w:rPr>
        <w:t>Indian Journal of Poultry Science, 48</w:t>
      </w:r>
      <w:r w:rsidRPr="00306DFE">
        <w:t>(2), 265–268.</w:t>
      </w:r>
    </w:p>
    <w:p w:rsidR="00F16C8D" w:rsidRPr="00306DFE" w:rsidRDefault="00F16C8D" w:rsidP="00532956">
      <w:pPr>
        <w:pStyle w:val="NormalWeb"/>
        <w:ind w:left="567" w:hanging="567"/>
        <w:jc w:val="both"/>
      </w:pPr>
      <w:r w:rsidRPr="00306DFE">
        <w:rPr>
          <w:rStyle w:val="Strong"/>
          <w:b w:val="0"/>
          <w:bCs w:val="0"/>
        </w:rPr>
        <w:t>Latimer, K. S., Tang, K. N., Goodwin, M. A., Steffens, W. L., &amp; Brown, J.</w:t>
      </w:r>
      <w:r w:rsidRPr="00306DFE">
        <w:t xml:space="preserve"> (1988). Leukocyte changes associated with acute inflammation in chickens. </w:t>
      </w:r>
      <w:r w:rsidRPr="00306DFE">
        <w:rPr>
          <w:rStyle w:val="Emphasis"/>
        </w:rPr>
        <w:t>Avian Diseases, 32</w:t>
      </w:r>
      <w:r w:rsidRPr="00306DFE">
        <w:t>(4), 760–772. https://doi.org/10.2307/1591054</w:t>
      </w:r>
    </w:p>
    <w:p w:rsidR="00F16C8D" w:rsidRPr="00306DFE" w:rsidRDefault="00F16C8D" w:rsidP="00532956">
      <w:pPr>
        <w:pStyle w:val="NormalWeb"/>
        <w:ind w:left="567" w:hanging="567"/>
        <w:jc w:val="both"/>
      </w:pPr>
      <w:r w:rsidRPr="00306DFE">
        <w:rPr>
          <w:rStyle w:val="Strong"/>
          <w:b w:val="0"/>
          <w:bCs w:val="0"/>
        </w:rPr>
        <w:t>Lucas, A. M., &amp; Jamroz, C.</w:t>
      </w:r>
      <w:r w:rsidRPr="00306DFE">
        <w:t xml:space="preserve"> (1961). </w:t>
      </w:r>
      <w:r w:rsidRPr="00306DFE">
        <w:rPr>
          <w:rStyle w:val="Emphasis"/>
        </w:rPr>
        <w:t>Atlas of avian haematology</w:t>
      </w:r>
      <w:r w:rsidRPr="00306DFE">
        <w:t xml:space="preserve"> (Monograph 25). U.S. Department of Agriculture.</w:t>
      </w:r>
    </w:p>
    <w:p w:rsidR="00F16C8D" w:rsidRPr="00306DFE" w:rsidRDefault="00F16C8D" w:rsidP="00532956">
      <w:pPr>
        <w:ind w:left="567" w:hanging="567"/>
        <w:jc w:val="both"/>
      </w:pPr>
      <w:r w:rsidRPr="00306DFE">
        <w:t>Moreki, J. C. (2010). Village poultry production in Serowe-Palapye sub-district of Botswana. Livestock Research for Rural Development, 22(3), Article #46. Retrieved August 3, 2025, from http://www.lrrd.org/lrrd22/3/more22046.htm</w:t>
      </w:r>
    </w:p>
    <w:p w:rsidR="00F16C8D" w:rsidRPr="00306DFE" w:rsidRDefault="00F16C8D" w:rsidP="00532956">
      <w:pPr>
        <w:ind w:left="567" w:hanging="567"/>
        <w:jc w:val="both"/>
      </w:pPr>
      <w:r w:rsidRPr="00306DFE">
        <w:t>Narayanankutty, K., Churchil, R. R., Anitha, P., &amp; Sharma, R. P. (2005). Genetic parameters for egg production and associated traits in two long-term selected strains of White Leghorn. Indian Journal of Animal Genetics and Breeding, 27(1–2), 44–48.</w:t>
      </w:r>
    </w:p>
    <w:p w:rsidR="00F16C8D" w:rsidRPr="00306DFE" w:rsidRDefault="00F16C8D" w:rsidP="00532956">
      <w:pPr>
        <w:ind w:left="567" w:hanging="567"/>
        <w:jc w:val="both"/>
      </w:pPr>
      <w:r w:rsidRPr="00306DFE">
        <w:t>Parmar, S. N. S., Thakur, M. S., Tomar, S. S., &amp; Pillai, P. V. A. (2006). Evaluation of egg quality traits in indigenous Kadaknath breed of poultry. Livestock Research for Rural Development, 18(9), Article 132. Retrieved August 3, 2025, from http://www.lrrd.org/lrrd18/9/parm18132.htm</w:t>
      </w:r>
    </w:p>
    <w:p w:rsidR="00F16C8D" w:rsidRPr="00306DFE" w:rsidRDefault="00F16C8D" w:rsidP="00532956">
      <w:pPr>
        <w:ind w:left="567" w:hanging="567"/>
        <w:jc w:val="both"/>
      </w:pPr>
      <w:r w:rsidRPr="00306DFE">
        <w:t>Romanov, M. N., Talbot, R. T., Wilson, P. W., &amp; Sharp, P. J. (2002). Genetic control of incubation behavior in the domestic hen. Poultry Science, 81(7), 928–931. https://doi.org/10.1093/ps/81.7.928</w:t>
      </w:r>
    </w:p>
    <w:p w:rsidR="00F16C8D" w:rsidRPr="00306DFE" w:rsidRDefault="00F16C8D" w:rsidP="00532956">
      <w:pPr>
        <w:ind w:left="567" w:hanging="567"/>
        <w:jc w:val="both"/>
      </w:pPr>
      <w:r w:rsidRPr="00306DFE">
        <w:lastRenderedPageBreak/>
        <w:t>Tantia, M. S., Ganai, N., Vij, P. K., Vijh, R. K., &amp; Ahlawat, S. P. S. (2005). Chicken Breeds of India-Kashmir Favorolla. Leaflet 1, National Bureau of Animal Genetic Resources, P.O. Box 129, Karnal, 132 001.</w:t>
      </w:r>
    </w:p>
    <w:p w:rsidR="00F16C8D" w:rsidRPr="00306DFE" w:rsidRDefault="00F16C8D" w:rsidP="00532956">
      <w:pPr>
        <w:ind w:left="567" w:hanging="567"/>
        <w:jc w:val="both"/>
      </w:pPr>
      <w:r w:rsidRPr="00306DFE">
        <w:t>Veeramani, P., Churchil, R. R., &amp; Kutty, K. N. (2012). Estimates of heritability and correlations of economic traits in two strains of White Leghorn. International Journal of Veterinary Science, 1(2), 45–48.</w:t>
      </w:r>
    </w:p>
    <w:p w:rsidR="00F16C8D" w:rsidRPr="00306DFE" w:rsidRDefault="00F16C8D" w:rsidP="00532956">
      <w:pPr>
        <w:ind w:left="567" w:hanging="567"/>
        <w:jc w:val="both"/>
      </w:pPr>
      <w:r w:rsidRPr="00306DFE">
        <w:t>Veeramani, P., Narayanankutty, K., &amp; Churchil, R. R. (2008). Estimation of heritability and correlation of economic traits in IWP strain of White Leghorn chicken. Indian Journal of Animal Research, 42(4), 257–260.</w:t>
      </w:r>
    </w:p>
    <w:p w:rsidR="00F16C8D" w:rsidRPr="00306DFE" w:rsidRDefault="00F16C8D" w:rsidP="00532956">
      <w:pPr>
        <w:ind w:left="567" w:hanging="567"/>
        <w:jc w:val="both"/>
      </w:pPr>
      <w:r w:rsidRPr="00306DFE">
        <w:t>Vij, P. K., Tantia, M. S., Kumar, K. A., Vijh, R. K., &amp; Ahlawat, S. P. S. (2007). Chicken Breeds of India-Tellichery. Leaflet 42, National Bureau of Animal Genetic Resources, P.O. Box 129, Karnal, 132 001.</w:t>
      </w:r>
    </w:p>
    <w:p w:rsidR="00F16C8D" w:rsidRPr="00306DFE" w:rsidRDefault="00F16C8D" w:rsidP="00532956">
      <w:pPr>
        <w:ind w:left="567" w:hanging="567"/>
        <w:jc w:val="both"/>
      </w:pPr>
      <w:r w:rsidRPr="00306DFE">
        <w:t>Vij, P. K., Tantia, M. S., Vijh, R. K., &amp; Ahlawat, S. P. S. (2005). Chicken Breeds of India-Danki. Leaflet 23, National Bureau of Animal Genetic Resources, P.O. Box 129, Karnal, 132 001.</w:t>
      </w:r>
    </w:p>
    <w:p w:rsidR="00F16C8D" w:rsidRPr="00306DFE" w:rsidRDefault="00F16C8D" w:rsidP="00532956">
      <w:pPr>
        <w:ind w:left="567" w:hanging="567"/>
        <w:jc w:val="both"/>
      </w:pPr>
      <w:r w:rsidRPr="00306DFE">
        <w:t>Washburn, K. W. (1990). Genetic variation in egg composition. In R. D. Crawford (Ed.), Poultry breeding and genetics (pp. 781–804). Elsevier.</w:t>
      </w:r>
    </w:p>
    <w:p w:rsidR="00F16C8D" w:rsidRPr="00306DFE" w:rsidRDefault="00F16C8D" w:rsidP="00532956">
      <w:pPr>
        <w:ind w:left="567" w:hanging="567"/>
        <w:jc w:val="both"/>
      </w:pPr>
      <w:r w:rsidRPr="00306DFE">
        <w:t>Zar, J. H. (2010). Biostatistical analysis (5th ed.). Pearson.</w:t>
      </w:r>
    </w:p>
    <w:p w:rsidR="004A13B7" w:rsidRPr="00306DFE" w:rsidRDefault="004A13B7" w:rsidP="00532956">
      <w:pPr>
        <w:spacing w:after="160" w:line="259" w:lineRule="auto"/>
        <w:ind w:left="567" w:hanging="567"/>
        <w:jc w:val="both"/>
        <w:rPr>
          <w:lang w:val="en-IN" w:eastAsia="en-IN" w:bidi="ta-IN"/>
        </w:rPr>
      </w:pPr>
      <w:r w:rsidRPr="00306DFE">
        <w:rPr>
          <w:lang w:val="en-IN" w:eastAsia="en-IN" w:bidi="ta-IN"/>
        </w:rPr>
        <w:br w:type="page"/>
      </w:r>
    </w:p>
    <w:p w:rsidR="00DC5A1D" w:rsidRPr="00306DFE" w:rsidRDefault="00DC5A1D" w:rsidP="00437BB2">
      <w:pPr>
        <w:spacing w:line="360" w:lineRule="auto"/>
        <w:sectPr w:rsidR="00DC5A1D" w:rsidRPr="00306DFE" w:rsidSect="00DC5A1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p>
    <w:p w:rsidR="00125EF0" w:rsidRPr="00306DFE" w:rsidRDefault="00125EF0" w:rsidP="00437BB2">
      <w:pPr>
        <w:spacing w:line="360" w:lineRule="auto"/>
      </w:pPr>
      <w:r w:rsidRPr="00306DFE">
        <w:lastRenderedPageBreak/>
        <w:t xml:space="preserve">Table </w:t>
      </w:r>
      <w:r w:rsidR="003A7CE7" w:rsidRPr="00306DFE">
        <w:t>1</w:t>
      </w:r>
      <w:r w:rsidRPr="00306DFE">
        <w:t xml:space="preserve">. Egg production and related characters in </w:t>
      </w:r>
      <w:r w:rsidR="00B91984" w:rsidRPr="00306DFE">
        <w:t>indigenous</w:t>
      </w:r>
      <w:r w:rsidRPr="00306DFE">
        <w:t xml:space="preserve"> chicke</w:t>
      </w:r>
      <w:r w:rsidR="00B91984" w:rsidRPr="00306DFE">
        <w:t>ns of Kerala</w:t>
      </w:r>
    </w:p>
    <w:tbl>
      <w:tblPr>
        <w:tblStyle w:val="TableGrid"/>
        <w:tblW w:w="9665" w:type="dxa"/>
        <w:tblInd w:w="-147" w:type="dxa"/>
        <w:tblLook w:val="04A0"/>
      </w:tblPr>
      <w:tblGrid>
        <w:gridCol w:w="570"/>
        <w:gridCol w:w="1638"/>
        <w:gridCol w:w="1860"/>
        <w:gridCol w:w="1456"/>
        <w:gridCol w:w="1456"/>
        <w:gridCol w:w="1109"/>
        <w:gridCol w:w="1576"/>
      </w:tblGrid>
      <w:tr w:rsidR="000756F9" w:rsidRPr="00306DFE" w:rsidTr="00356E87">
        <w:trPr>
          <w:trHeight w:val="158"/>
        </w:trPr>
        <w:tc>
          <w:tcPr>
            <w:tcW w:w="570" w:type="dxa"/>
            <w:vMerge w:val="restart"/>
            <w:noWrap/>
            <w:vAlign w:val="center"/>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 xml:space="preserve">Sl. </w:t>
            </w:r>
          </w:p>
          <w:p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No.</w:t>
            </w:r>
          </w:p>
        </w:tc>
        <w:tc>
          <w:tcPr>
            <w:tcW w:w="1638" w:type="dxa"/>
            <w:vMerge w:val="restart"/>
            <w:vAlign w:val="center"/>
          </w:tcPr>
          <w:p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Characters</w:t>
            </w:r>
          </w:p>
        </w:tc>
        <w:tc>
          <w:tcPr>
            <w:tcW w:w="1860" w:type="dxa"/>
            <w:vMerge w:val="restart"/>
            <w:vAlign w:val="center"/>
          </w:tcPr>
          <w:p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Classes</w:t>
            </w:r>
          </w:p>
        </w:tc>
        <w:tc>
          <w:tcPr>
            <w:tcW w:w="4021" w:type="dxa"/>
            <w:gridSpan w:val="3"/>
            <w:noWrap/>
            <w:vAlign w:val="center"/>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District-wise frequency</w:t>
            </w:r>
          </w:p>
          <w:p w:rsidR="000756F9" w:rsidRPr="00306DFE" w:rsidRDefault="00F41D0C" w:rsidP="00437BB2">
            <w:pPr>
              <w:spacing w:line="360" w:lineRule="auto"/>
              <w:jc w:val="center"/>
              <w:rPr>
                <w:b/>
                <w:bCs/>
                <w:color w:val="000000"/>
                <w:lang w:val="en-IN" w:eastAsia="en-IN" w:bidi="ta-IN"/>
              </w:rPr>
            </w:pPr>
            <w:r w:rsidRPr="00306DFE">
              <w:rPr>
                <w:b/>
                <w:bCs/>
                <w:color w:val="000000"/>
                <w:lang w:val="en-IN" w:eastAsia="en-IN" w:bidi="ta-IN"/>
              </w:rPr>
              <w:t>%</w:t>
            </w:r>
            <w:r w:rsidR="000756F9" w:rsidRPr="00306DFE">
              <w:rPr>
                <w:b/>
                <w:bCs/>
                <w:color w:val="000000"/>
                <w:lang w:val="en-IN" w:eastAsia="en-IN" w:bidi="ta-IN"/>
              </w:rPr>
              <w:t xml:space="preserve"> (</w:t>
            </w:r>
            <w:r w:rsidRPr="00306DFE">
              <w:rPr>
                <w:b/>
                <w:bCs/>
                <w:color w:val="000000"/>
                <w:lang w:val="en-IN" w:eastAsia="en-IN" w:bidi="ta-IN"/>
              </w:rPr>
              <w:t>No</w:t>
            </w:r>
            <w:r w:rsidR="000756F9" w:rsidRPr="00306DFE">
              <w:rPr>
                <w:b/>
                <w:bCs/>
                <w:color w:val="000000"/>
                <w:lang w:val="en-IN" w:eastAsia="en-IN" w:bidi="ta-IN"/>
              </w:rPr>
              <w:t>)</w:t>
            </w:r>
          </w:p>
        </w:tc>
        <w:tc>
          <w:tcPr>
            <w:tcW w:w="1576" w:type="dxa"/>
            <w:vMerge w:val="restart"/>
            <w:noWrap/>
            <w:vAlign w:val="center"/>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Overall</w:t>
            </w:r>
            <w:r w:rsidRPr="00306DFE">
              <w:rPr>
                <w:b/>
                <w:bCs/>
                <w:color w:val="000000"/>
                <w:lang w:val="en-IN" w:eastAsia="en-IN" w:bidi="ta-IN"/>
              </w:rPr>
              <w:br/>
            </w:r>
            <w:r w:rsidR="00F41D0C" w:rsidRPr="00306DFE">
              <w:rPr>
                <w:b/>
                <w:bCs/>
                <w:color w:val="000000"/>
                <w:lang w:val="en-IN" w:eastAsia="en-IN" w:bidi="ta-IN"/>
              </w:rPr>
              <w:t>% (No)</w:t>
            </w:r>
          </w:p>
        </w:tc>
      </w:tr>
      <w:tr w:rsidR="000756F9" w:rsidRPr="00306DFE" w:rsidTr="00356E87">
        <w:trPr>
          <w:trHeight w:val="158"/>
        </w:trPr>
        <w:tc>
          <w:tcPr>
            <w:tcW w:w="570" w:type="dxa"/>
            <w:vMerge/>
            <w:noWrap/>
            <w:vAlign w:val="center"/>
          </w:tcPr>
          <w:p w:rsidR="000756F9" w:rsidRPr="00306DFE" w:rsidRDefault="000756F9" w:rsidP="00437BB2">
            <w:pPr>
              <w:spacing w:line="360" w:lineRule="auto"/>
              <w:jc w:val="center"/>
              <w:rPr>
                <w:color w:val="000000"/>
                <w:lang w:val="en-IN" w:eastAsia="en-IN" w:bidi="ta-IN"/>
              </w:rPr>
            </w:pPr>
          </w:p>
        </w:tc>
        <w:tc>
          <w:tcPr>
            <w:tcW w:w="1638" w:type="dxa"/>
            <w:vMerge/>
            <w:vAlign w:val="center"/>
          </w:tcPr>
          <w:p w:rsidR="000756F9" w:rsidRPr="00306DFE" w:rsidRDefault="000756F9" w:rsidP="00437BB2">
            <w:pPr>
              <w:spacing w:line="360" w:lineRule="auto"/>
              <w:jc w:val="center"/>
              <w:rPr>
                <w:color w:val="000000"/>
                <w:lang w:val="en-IN" w:eastAsia="en-IN" w:bidi="ta-IN"/>
              </w:rPr>
            </w:pPr>
          </w:p>
        </w:tc>
        <w:tc>
          <w:tcPr>
            <w:tcW w:w="1860" w:type="dxa"/>
            <w:vMerge/>
            <w:vAlign w:val="center"/>
          </w:tcPr>
          <w:p w:rsidR="000756F9" w:rsidRPr="00306DFE" w:rsidRDefault="000756F9" w:rsidP="00437BB2">
            <w:pPr>
              <w:spacing w:line="360" w:lineRule="auto"/>
              <w:jc w:val="center"/>
              <w:rPr>
                <w:color w:val="000000"/>
                <w:lang w:val="en-IN" w:eastAsia="en-IN" w:bidi="ta-IN"/>
              </w:rPr>
            </w:pPr>
          </w:p>
        </w:tc>
        <w:tc>
          <w:tcPr>
            <w:tcW w:w="1456" w:type="dxa"/>
            <w:noWrap/>
            <w:vAlign w:val="center"/>
          </w:tcPr>
          <w:p w:rsidR="000756F9" w:rsidRPr="00306DFE" w:rsidRDefault="000756F9" w:rsidP="00437BB2">
            <w:pPr>
              <w:spacing w:line="360" w:lineRule="auto"/>
              <w:jc w:val="center"/>
              <w:rPr>
                <w:b/>
                <w:bCs/>
                <w:lang w:val="en-IN" w:eastAsia="en-IN" w:bidi="ta-IN"/>
              </w:rPr>
            </w:pPr>
            <w:r w:rsidRPr="00306DFE">
              <w:rPr>
                <w:b/>
                <w:bCs/>
                <w:lang w:val="en-IN" w:eastAsia="en-IN" w:bidi="ta-IN"/>
              </w:rPr>
              <w:t>Kannur</w:t>
            </w:r>
          </w:p>
        </w:tc>
        <w:tc>
          <w:tcPr>
            <w:tcW w:w="1456" w:type="dxa"/>
            <w:noWrap/>
            <w:vAlign w:val="center"/>
          </w:tcPr>
          <w:p w:rsidR="000756F9" w:rsidRPr="00306DFE" w:rsidRDefault="000756F9" w:rsidP="00437BB2">
            <w:pPr>
              <w:spacing w:line="360" w:lineRule="auto"/>
              <w:jc w:val="center"/>
              <w:rPr>
                <w:b/>
                <w:bCs/>
                <w:lang w:val="en-IN" w:eastAsia="en-IN" w:bidi="ta-IN"/>
              </w:rPr>
            </w:pPr>
            <w:r w:rsidRPr="00306DFE">
              <w:rPr>
                <w:b/>
                <w:bCs/>
                <w:lang w:val="en-IN" w:eastAsia="en-IN" w:bidi="ta-IN"/>
              </w:rPr>
              <w:t>Kozhikode</w:t>
            </w:r>
          </w:p>
        </w:tc>
        <w:tc>
          <w:tcPr>
            <w:tcW w:w="1109" w:type="dxa"/>
            <w:vAlign w:val="center"/>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Z-score</w:t>
            </w:r>
          </w:p>
        </w:tc>
        <w:tc>
          <w:tcPr>
            <w:tcW w:w="1576" w:type="dxa"/>
            <w:vMerge/>
            <w:noWrap/>
            <w:vAlign w:val="center"/>
          </w:tcPr>
          <w:p w:rsidR="000756F9" w:rsidRPr="00306DFE" w:rsidRDefault="000756F9" w:rsidP="00437BB2">
            <w:pPr>
              <w:spacing w:line="360" w:lineRule="auto"/>
              <w:jc w:val="center"/>
              <w:rPr>
                <w:b/>
                <w:bCs/>
                <w:color w:val="000000"/>
                <w:lang w:val="en-IN" w:eastAsia="en-IN" w:bidi="ta-IN"/>
              </w:rPr>
            </w:pPr>
          </w:p>
        </w:tc>
      </w:tr>
      <w:tr w:rsidR="008F447A" w:rsidRPr="00306DFE" w:rsidTr="001A03CC">
        <w:trPr>
          <w:trHeight w:val="148"/>
        </w:trPr>
        <w:tc>
          <w:tcPr>
            <w:tcW w:w="570" w:type="dxa"/>
            <w:vMerge w:val="restart"/>
            <w:noWrap/>
          </w:tcPr>
          <w:p w:rsidR="008F447A" w:rsidRPr="00306DFE" w:rsidRDefault="008F447A" w:rsidP="00437BB2">
            <w:pPr>
              <w:spacing w:line="360" w:lineRule="auto"/>
              <w:jc w:val="center"/>
              <w:rPr>
                <w:color w:val="000000"/>
                <w:lang w:val="en-IN" w:eastAsia="en-IN" w:bidi="ta-IN"/>
              </w:rPr>
            </w:pPr>
            <w:r w:rsidRPr="00306DFE">
              <w:rPr>
                <w:color w:val="000000"/>
                <w:lang w:val="en-IN" w:eastAsia="en-IN" w:bidi="ta-IN"/>
              </w:rPr>
              <w:t>1</w:t>
            </w:r>
          </w:p>
        </w:tc>
        <w:tc>
          <w:tcPr>
            <w:tcW w:w="1638" w:type="dxa"/>
            <w:vMerge w:val="restart"/>
          </w:tcPr>
          <w:p w:rsidR="008F447A" w:rsidRPr="00306DFE" w:rsidRDefault="008F447A" w:rsidP="00437BB2">
            <w:pPr>
              <w:spacing w:line="360" w:lineRule="auto"/>
              <w:rPr>
                <w:color w:val="000000"/>
                <w:lang w:val="en-IN" w:eastAsia="en-IN" w:bidi="ta-IN"/>
              </w:rPr>
            </w:pPr>
            <w:r w:rsidRPr="00306DFE">
              <w:rPr>
                <w:color w:val="000000"/>
                <w:lang w:val="en-IN" w:eastAsia="en-IN" w:bidi="ta-IN"/>
              </w:rPr>
              <w:t>A</w:t>
            </w:r>
            <w:r w:rsidR="005C4C94" w:rsidRPr="00306DFE">
              <w:rPr>
                <w:color w:val="000000"/>
                <w:lang w:val="en-IN" w:eastAsia="en-IN" w:bidi="ta-IN"/>
              </w:rPr>
              <w:t>verage a</w:t>
            </w:r>
            <w:r w:rsidRPr="00306DFE">
              <w:rPr>
                <w:color w:val="000000"/>
                <w:lang w:val="en-IN" w:eastAsia="en-IN" w:bidi="ta-IN"/>
              </w:rPr>
              <w:t>ge at first egg(days)</w:t>
            </w:r>
          </w:p>
          <w:p w:rsidR="008F447A" w:rsidRPr="00306DFE" w:rsidRDefault="008F447A" w:rsidP="00437BB2">
            <w:pPr>
              <w:spacing w:line="360" w:lineRule="auto"/>
              <w:rPr>
                <w:color w:val="000000"/>
                <w:lang w:val="en-IN" w:eastAsia="en-IN" w:bidi="ta-IN"/>
              </w:rPr>
            </w:pPr>
            <w:r w:rsidRPr="00306DFE">
              <w:rPr>
                <w:color w:val="000000"/>
                <w:lang w:val="en-IN" w:eastAsia="en-IN" w:bidi="ta-IN"/>
              </w:rPr>
              <w:t>(n=40)</w:t>
            </w:r>
          </w:p>
        </w:tc>
        <w:tc>
          <w:tcPr>
            <w:tcW w:w="1860" w:type="dxa"/>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 20</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7.14 (1)</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3.57 (1)</w:t>
            </w:r>
          </w:p>
        </w:tc>
        <w:tc>
          <w:tcPr>
            <w:tcW w:w="1109" w:type="dxa"/>
          </w:tcPr>
          <w:p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51</w:t>
            </w:r>
          </w:p>
        </w:tc>
        <w:tc>
          <w:tcPr>
            <w:tcW w:w="157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4.76 (2)</w:t>
            </w:r>
          </w:p>
        </w:tc>
      </w:tr>
      <w:tr w:rsidR="008F447A" w:rsidRPr="00306DFE" w:rsidTr="001A03CC">
        <w:trPr>
          <w:trHeight w:val="53"/>
        </w:trPr>
        <w:tc>
          <w:tcPr>
            <w:tcW w:w="570" w:type="dxa"/>
            <w:vMerge/>
            <w:noWrap/>
            <w:hideMark/>
          </w:tcPr>
          <w:p w:rsidR="008F447A" w:rsidRPr="00306DFE" w:rsidRDefault="008F447A" w:rsidP="00437BB2">
            <w:pPr>
              <w:spacing w:line="360" w:lineRule="auto"/>
              <w:jc w:val="center"/>
              <w:rPr>
                <w:color w:val="000000"/>
                <w:lang w:val="en-IN" w:eastAsia="en-IN" w:bidi="ta-IN"/>
              </w:rPr>
            </w:pPr>
          </w:p>
        </w:tc>
        <w:tc>
          <w:tcPr>
            <w:tcW w:w="1638" w:type="dxa"/>
            <w:vMerge/>
            <w:noWrap/>
            <w:hideMark/>
          </w:tcPr>
          <w:p w:rsidR="008F447A" w:rsidRPr="00306DFE" w:rsidRDefault="008F447A" w:rsidP="00437BB2">
            <w:pPr>
              <w:spacing w:line="360" w:lineRule="auto"/>
              <w:rPr>
                <w:lang w:val="en-IN" w:eastAsia="en-IN" w:bidi="ta-IN"/>
              </w:rPr>
            </w:pPr>
          </w:p>
        </w:tc>
        <w:tc>
          <w:tcPr>
            <w:tcW w:w="1860" w:type="dxa"/>
            <w:vAlign w:val="bottom"/>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21 - 22</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14.29 (2)</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10.71 (3)</w:t>
            </w:r>
          </w:p>
        </w:tc>
        <w:tc>
          <w:tcPr>
            <w:tcW w:w="1109" w:type="dxa"/>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34</w:t>
            </w:r>
          </w:p>
        </w:tc>
        <w:tc>
          <w:tcPr>
            <w:tcW w:w="1576" w:type="dxa"/>
            <w:noWrap/>
            <w:vAlign w:val="bottom"/>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11.9</w:t>
            </w:r>
            <w:r w:rsidR="00D105FE" w:rsidRPr="00306DFE">
              <w:rPr>
                <w:color w:val="000000"/>
                <w:lang w:eastAsia="en-IN" w:bidi="ta-IN"/>
              </w:rPr>
              <w:t>0</w:t>
            </w:r>
            <w:r w:rsidRPr="00306DFE">
              <w:rPr>
                <w:color w:val="000000"/>
                <w:lang w:eastAsia="en-IN" w:bidi="ta-IN"/>
              </w:rPr>
              <w:t xml:space="preserve"> (5)</w:t>
            </w:r>
          </w:p>
        </w:tc>
      </w:tr>
      <w:tr w:rsidR="008F447A" w:rsidRPr="00306DFE" w:rsidTr="001A03CC">
        <w:trPr>
          <w:trHeight w:val="53"/>
        </w:trPr>
        <w:tc>
          <w:tcPr>
            <w:tcW w:w="570" w:type="dxa"/>
            <w:vMerge/>
            <w:noWrap/>
            <w:hideMark/>
          </w:tcPr>
          <w:p w:rsidR="008F447A" w:rsidRPr="00306DFE" w:rsidRDefault="008F447A" w:rsidP="00437BB2">
            <w:pPr>
              <w:spacing w:line="360" w:lineRule="auto"/>
              <w:jc w:val="center"/>
              <w:rPr>
                <w:color w:val="000000"/>
                <w:lang w:val="en-IN" w:eastAsia="en-IN" w:bidi="ta-IN"/>
              </w:rPr>
            </w:pPr>
          </w:p>
        </w:tc>
        <w:tc>
          <w:tcPr>
            <w:tcW w:w="1638" w:type="dxa"/>
            <w:vMerge/>
            <w:noWrap/>
            <w:hideMark/>
          </w:tcPr>
          <w:p w:rsidR="008F447A" w:rsidRPr="00306DFE" w:rsidRDefault="008F447A" w:rsidP="00437BB2">
            <w:pPr>
              <w:spacing w:line="360" w:lineRule="auto"/>
              <w:rPr>
                <w:lang w:val="en-IN" w:eastAsia="en-IN" w:bidi="ta-IN"/>
              </w:rPr>
            </w:pPr>
          </w:p>
        </w:tc>
        <w:tc>
          <w:tcPr>
            <w:tcW w:w="1860" w:type="dxa"/>
            <w:vAlign w:val="bottom"/>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23 - 24</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28.57 (4)</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25</w:t>
            </w:r>
            <w:r w:rsidR="00306DFE">
              <w:rPr>
                <w:color w:val="000000"/>
                <w:lang w:eastAsia="en-IN" w:bidi="ta-IN"/>
              </w:rPr>
              <w:t>.00</w:t>
            </w:r>
            <w:r w:rsidRPr="00306DFE">
              <w:rPr>
                <w:color w:val="000000"/>
                <w:lang w:eastAsia="en-IN" w:bidi="ta-IN"/>
              </w:rPr>
              <w:t xml:space="preserve"> (7)</w:t>
            </w:r>
          </w:p>
        </w:tc>
        <w:tc>
          <w:tcPr>
            <w:tcW w:w="1109" w:type="dxa"/>
            <w:hideMark/>
          </w:tcPr>
          <w:p w:rsidR="008F447A" w:rsidRPr="00306DFE" w:rsidRDefault="00EC4177" w:rsidP="00437BB2">
            <w:pPr>
              <w:spacing w:line="360" w:lineRule="auto"/>
              <w:jc w:val="center"/>
              <w:rPr>
                <w:color w:val="000000"/>
                <w:lang w:eastAsia="en-IN" w:bidi="ta-IN"/>
              </w:rPr>
            </w:pPr>
            <w:r w:rsidRPr="00306DFE">
              <w:rPr>
                <w:color w:val="000000"/>
                <w:lang w:eastAsia="en-IN" w:bidi="ta-IN"/>
              </w:rPr>
              <w:t>0.25</w:t>
            </w:r>
          </w:p>
        </w:tc>
        <w:tc>
          <w:tcPr>
            <w:tcW w:w="1576" w:type="dxa"/>
            <w:noWrap/>
            <w:vAlign w:val="bottom"/>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26.19 (11)</w:t>
            </w:r>
          </w:p>
        </w:tc>
      </w:tr>
      <w:tr w:rsidR="008F447A" w:rsidRPr="00306DFE" w:rsidTr="001A03CC">
        <w:trPr>
          <w:trHeight w:val="53"/>
        </w:trPr>
        <w:tc>
          <w:tcPr>
            <w:tcW w:w="570" w:type="dxa"/>
            <w:vMerge/>
            <w:noWrap/>
            <w:hideMark/>
          </w:tcPr>
          <w:p w:rsidR="008F447A" w:rsidRPr="00306DFE" w:rsidRDefault="008F447A" w:rsidP="00437BB2">
            <w:pPr>
              <w:spacing w:line="360" w:lineRule="auto"/>
              <w:jc w:val="center"/>
              <w:rPr>
                <w:color w:val="000000"/>
                <w:lang w:val="en-IN" w:eastAsia="en-IN" w:bidi="ta-IN"/>
              </w:rPr>
            </w:pPr>
          </w:p>
        </w:tc>
        <w:tc>
          <w:tcPr>
            <w:tcW w:w="1638" w:type="dxa"/>
            <w:vMerge/>
            <w:noWrap/>
            <w:hideMark/>
          </w:tcPr>
          <w:p w:rsidR="008F447A" w:rsidRPr="00306DFE" w:rsidRDefault="008F447A" w:rsidP="00437BB2">
            <w:pPr>
              <w:spacing w:line="360" w:lineRule="auto"/>
              <w:rPr>
                <w:lang w:val="en-IN" w:eastAsia="en-IN" w:bidi="ta-IN"/>
              </w:rPr>
            </w:pPr>
          </w:p>
        </w:tc>
        <w:tc>
          <w:tcPr>
            <w:tcW w:w="1860" w:type="dxa"/>
            <w:vAlign w:val="bottom"/>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25 - 26</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28.57 (4)</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28.57 (8)</w:t>
            </w:r>
          </w:p>
        </w:tc>
        <w:tc>
          <w:tcPr>
            <w:tcW w:w="1109" w:type="dxa"/>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00</w:t>
            </w:r>
          </w:p>
        </w:tc>
        <w:tc>
          <w:tcPr>
            <w:tcW w:w="1576" w:type="dxa"/>
            <w:noWrap/>
            <w:vAlign w:val="bottom"/>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28.57 (12)</w:t>
            </w:r>
          </w:p>
        </w:tc>
      </w:tr>
      <w:tr w:rsidR="008F447A" w:rsidRPr="00306DFE" w:rsidTr="001A03CC">
        <w:trPr>
          <w:trHeight w:val="53"/>
        </w:trPr>
        <w:tc>
          <w:tcPr>
            <w:tcW w:w="570" w:type="dxa"/>
            <w:vMerge/>
            <w:noWrap/>
            <w:hideMark/>
          </w:tcPr>
          <w:p w:rsidR="008F447A" w:rsidRPr="00306DFE" w:rsidRDefault="008F447A" w:rsidP="00437BB2">
            <w:pPr>
              <w:spacing w:line="360" w:lineRule="auto"/>
              <w:jc w:val="center"/>
              <w:rPr>
                <w:color w:val="000000"/>
                <w:lang w:val="en-IN" w:eastAsia="en-IN" w:bidi="ta-IN"/>
              </w:rPr>
            </w:pPr>
          </w:p>
        </w:tc>
        <w:tc>
          <w:tcPr>
            <w:tcW w:w="1638" w:type="dxa"/>
            <w:vMerge/>
            <w:noWrap/>
            <w:hideMark/>
          </w:tcPr>
          <w:p w:rsidR="008F447A" w:rsidRPr="00306DFE" w:rsidRDefault="008F447A" w:rsidP="00437BB2">
            <w:pPr>
              <w:spacing w:line="360" w:lineRule="auto"/>
              <w:rPr>
                <w:lang w:val="en-IN" w:eastAsia="en-IN" w:bidi="ta-IN"/>
              </w:rPr>
            </w:pPr>
          </w:p>
        </w:tc>
        <w:tc>
          <w:tcPr>
            <w:tcW w:w="1860" w:type="dxa"/>
            <w:vAlign w:val="bottom"/>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27 - 28</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14.29 (2)</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25</w:t>
            </w:r>
            <w:r w:rsidR="00306DFE">
              <w:rPr>
                <w:color w:val="000000"/>
                <w:lang w:eastAsia="en-IN" w:bidi="ta-IN"/>
              </w:rPr>
              <w:t>.00</w:t>
            </w:r>
            <w:r w:rsidRPr="00306DFE">
              <w:rPr>
                <w:color w:val="000000"/>
                <w:lang w:eastAsia="en-IN" w:bidi="ta-IN"/>
              </w:rPr>
              <w:t>(7)</w:t>
            </w:r>
          </w:p>
        </w:tc>
        <w:tc>
          <w:tcPr>
            <w:tcW w:w="1109" w:type="dxa"/>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0.06</w:t>
            </w:r>
          </w:p>
        </w:tc>
        <w:tc>
          <w:tcPr>
            <w:tcW w:w="1576" w:type="dxa"/>
            <w:noWrap/>
            <w:vAlign w:val="bottom"/>
            <w:hideMark/>
          </w:tcPr>
          <w:p w:rsidR="008F447A" w:rsidRPr="00306DFE" w:rsidRDefault="008F447A" w:rsidP="00437BB2">
            <w:pPr>
              <w:spacing w:line="360" w:lineRule="auto"/>
              <w:jc w:val="center"/>
              <w:rPr>
                <w:color w:val="000000"/>
                <w:lang w:eastAsia="en-IN" w:bidi="ta-IN"/>
              </w:rPr>
            </w:pPr>
            <w:r w:rsidRPr="00306DFE">
              <w:rPr>
                <w:color w:val="000000"/>
                <w:lang w:eastAsia="en-IN" w:bidi="ta-IN"/>
              </w:rPr>
              <w:t>21.43 (9)</w:t>
            </w:r>
          </w:p>
        </w:tc>
      </w:tr>
      <w:tr w:rsidR="008F447A" w:rsidRPr="00306DFE" w:rsidTr="001A03CC">
        <w:trPr>
          <w:trHeight w:val="53"/>
        </w:trPr>
        <w:tc>
          <w:tcPr>
            <w:tcW w:w="570" w:type="dxa"/>
            <w:vMerge/>
            <w:noWrap/>
          </w:tcPr>
          <w:p w:rsidR="008F447A" w:rsidRPr="00306DFE" w:rsidRDefault="008F447A" w:rsidP="00437BB2">
            <w:pPr>
              <w:spacing w:line="360" w:lineRule="auto"/>
              <w:jc w:val="center"/>
              <w:rPr>
                <w:color w:val="000000"/>
                <w:lang w:val="en-IN" w:eastAsia="en-IN" w:bidi="ta-IN"/>
              </w:rPr>
            </w:pPr>
          </w:p>
        </w:tc>
        <w:tc>
          <w:tcPr>
            <w:tcW w:w="1638" w:type="dxa"/>
            <w:vMerge/>
            <w:noWrap/>
          </w:tcPr>
          <w:p w:rsidR="008F447A" w:rsidRPr="00306DFE" w:rsidRDefault="008F447A" w:rsidP="00437BB2">
            <w:pPr>
              <w:spacing w:line="360" w:lineRule="auto"/>
              <w:rPr>
                <w:lang w:val="en-IN" w:eastAsia="en-IN" w:bidi="ta-IN"/>
              </w:rPr>
            </w:pPr>
          </w:p>
        </w:tc>
        <w:tc>
          <w:tcPr>
            <w:tcW w:w="1860" w:type="dxa"/>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&gt; 28</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7.14 (1)</w:t>
            </w:r>
          </w:p>
        </w:tc>
        <w:tc>
          <w:tcPr>
            <w:tcW w:w="145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7.14 (2)</w:t>
            </w:r>
          </w:p>
        </w:tc>
        <w:tc>
          <w:tcPr>
            <w:tcW w:w="1109" w:type="dxa"/>
          </w:tcPr>
          <w:p w:rsidR="008F447A" w:rsidRPr="00306DFE" w:rsidRDefault="00EC4177" w:rsidP="00437BB2">
            <w:pPr>
              <w:spacing w:line="360" w:lineRule="auto"/>
              <w:jc w:val="center"/>
              <w:rPr>
                <w:color w:val="000000"/>
                <w:lang w:eastAsia="en-IN" w:bidi="ta-IN"/>
              </w:rPr>
            </w:pPr>
            <w:r w:rsidRPr="00306DFE">
              <w:rPr>
                <w:color w:val="000000"/>
                <w:lang w:eastAsia="en-IN" w:bidi="ta-IN"/>
              </w:rPr>
              <w:t>0.80</w:t>
            </w:r>
          </w:p>
        </w:tc>
        <w:tc>
          <w:tcPr>
            <w:tcW w:w="1576" w:type="dxa"/>
            <w:noWrap/>
            <w:vAlign w:val="bottom"/>
          </w:tcPr>
          <w:p w:rsidR="008F447A" w:rsidRPr="00306DFE" w:rsidRDefault="008F447A" w:rsidP="00437BB2">
            <w:pPr>
              <w:spacing w:line="360" w:lineRule="auto"/>
              <w:jc w:val="center"/>
              <w:rPr>
                <w:color w:val="000000"/>
                <w:lang w:eastAsia="en-IN" w:bidi="ta-IN"/>
              </w:rPr>
            </w:pPr>
            <w:r w:rsidRPr="00306DFE">
              <w:rPr>
                <w:color w:val="000000"/>
                <w:lang w:eastAsia="en-IN" w:bidi="ta-IN"/>
              </w:rPr>
              <w:t>7.14 (3)</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(14)</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(2</w:t>
            </w:r>
            <w:r w:rsidR="008F447A" w:rsidRPr="00306DFE">
              <w:rPr>
                <w:b/>
                <w:bCs/>
                <w:color w:val="000000"/>
                <w:lang w:val="en-IN" w:eastAsia="en-IN" w:bidi="ta-IN"/>
              </w:rPr>
              <w:t>8</w:t>
            </w:r>
            <w:r w:rsidRPr="00306DFE">
              <w:rPr>
                <w:b/>
                <w:bCs/>
                <w:color w:val="000000"/>
                <w:lang w:val="en-IN" w:eastAsia="en-IN" w:bidi="ta-IN"/>
              </w:rPr>
              <w:t>)</w:t>
            </w:r>
          </w:p>
        </w:tc>
        <w:tc>
          <w:tcPr>
            <w:tcW w:w="1109" w:type="dxa"/>
            <w:hideMark/>
          </w:tcPr>
          <w:p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w:t>
            </w:r>
            <w:r w:rsidR="00D105FE" w:rsidRPr="00306DFE">
              <w:rPr>
                <w:b/>
                <w:bCs/>
                <w:color w:val="000000"/>
                <w:lang w:val="en-IN" w:eastAsia="en-IN" w:bidi="ta-IN"/>
              </w:rPr>
              <w:t>2</w:t>
            </w:r>
            <w:r w:rsidRPr="00306DFE">
              <w:rPr>
                <w:b/>
                <w:bCs/>
                <w:color w:val="000000"/>
                <w:lang w:val="en-IN" w:eastAsia="en-IN" w:bidi="ta-IN"/>
              </w:rPr>
              <w:t>)</w:t>
            </w:r>
          </w:p>
        </w:tc>
      </w:tr>
      <w:tr w:rsidR="000756F9" w:rsidRPr="00306DFE" w:rsidTr="00356E87">
        <w:trPr>
          <w:trHeight w:val="53"/>
        </w:trPr>
        <w:tc>
          <w:tcPr>
            <w:tcW w:w="570" w:type="dxa"/>
            <w:vMerge w:val="restart"/>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w:t>
            </w:r>
          </w:p>
        </w:tc>
        <w:tc>
          <w:tcPr>
            <w:tcW w:w="1638" w:type="dxa"/>
            <w:vMerge w:val="restart"/>
            <w:hideMark/>
          </w:tcPr>
          <w:p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Egg shell colour </w:t>
            </w:r>
          </w:p>
          <w:p w:rsidR="000756F9" w:rsidRPr="00306DFE" w:rsidRDefault="000756F9" w:rsidP="00437BB2">
            <w:pPr>
              <w:spacing w:line="360" w:lineRule="auto"/>
              <w:rPr>
                <w:color w:val="000000"/>
                <w:lang w:val="en-IN" w:eastAsia="en-IN" w:bidi="ta-IN"/>
              </w:rPr>
            </w:pPr>
            <w:r w:rsidRPr="00306DFE">
              <w:rPr>
                <w:color w:val="000000"/>
                <w:lang w:val="en-IN" w:eastAsia="en-IN" w:bidi="ta-IN"/>
              </w:rPr>
              <w:t>(n=98)</w:t>
            </w: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Dark Brown</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4.55 (2)</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1.58</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2.04 (2)</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Medium Brown</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14.81 (8)</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9.09 (4)</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0.86</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12.24 (12)</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Light Brown</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70.37 (38)</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77.27 (34)</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0.77</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73.47 (72)</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White</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14.81 (8)</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9.09 (4)</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0.86</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12.24 (12)</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(54)</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(44)</w:t>
            </w:r>
          </w:p>
        </w:tc>
        <w:tc>
          <w:tcPr>
            <w:tcW w:w="1109" w:type="dxa"/>
            <w:hideMark/>
          </w:tcPr>
          <w:p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(98)</w:t>
            </w:r>
          </w:p>
        </w:tc>
      </w:tr>
      <w:tr w:rsidR="000756F9" w:rsidRPr="00306DFE" w:rsidTr="00356E87">
        <w:trPr>
          <w:trHeight w:val="307"/>
        </w:trPr>
        <w:tc>
          <w:tcPr>
            <w:tcW w:w="570" w:type="dxa"/>
            <w:vMerge w:val="restart"/>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w:t>
            </w:r>
          </w:p>
        </w:tc>
        <w:tc>
          <w:tcPr>
            <w:tcW w:w="1638" w:type="dxa"/>
            <w:vMerge w:val="restart"/>
            <w:hideMark/>
          </w:tcPr>
          <w:p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Broodiness </w:t>
            </w:r>
          </w:p>
          <w:p w:rsidR="000756F9" w:rsidRPr="00306DFE" w:rsidRDefault="000756F9" w:rsidP="00437BB2">
            <w:pPr>
              <w:spacing w:line="360" w:lineRule="auto"/>
              <w:rPr>
                <w:color w:val="000000"/>
                <w:lang w:val="en-IN" w:eastAsia="en-IN" w:bidi="ta-IN"/>
              </w:rPr>
            </w:pPr>
            <w:r w:rsidRPr="00306DFE">
              <w:rPr>
                <w:color w:val="000000"/>
                <w:lang w:val="en-IN" w:eastAsia="en-IN" w:bidi="ta-IN"/>
              </w:rPr>
              <w:t>(n=105)</w:t>
            </w: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Frequent</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100.00 (61)</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95.45 (42)</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1.68</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98.10 (103)</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Occasional</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4.55 (2)</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1.68</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1.90 (2)</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(44)</w:t>
            </w:r>
          </w:p>
        </w:tc>
        <w:tc>
          <w:tcPr>
            <w:tcW w:w="1109" w:type="dxa"/>
            <w:hideMark/>
          </w:tcPr>
          <w:p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(105)</w:t>
            </w:r>
          </w:p>
        </w:tc>
      </w:tr>
      <w:tr w:rsidR="002B5AE3" w:rsidRPr="00306DFE" w:rsidTr="001A03CC">
        <w:trPr>
          <w:trHeight w:val="235"/>
        </w:trPr>
        <w:tc>
          <w:tcPr>
            <w:tcW w:w="570" w:type="dxa"/>
            <w:vMerge w:val="restart"/>
            <w:noWrap/>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4</w:t>
            </w:r>
          </w:p>
        </w:tc>
        <w:tc>
          <w:tcPr>
            <w:tcW w:w="1638" w:type="dxa"/>
            <w:vMerge w:val="restart"/>
            <w:hideMark/>
          </w:tcPr>
          <w:p w:rsidR="002B5AE3" w:rsidRPr="00306DFE" w:rsidRDefault="002B5AE3" w:rsidP="00437BB2">
            <w:pPr>
              <w:spacing w:line="360" w:lineRule="auto"/>
              <w:rPr>
                <w:color w:val="000000"/>
                <w:lang w:val="en-IN" w:eastAsia="en-IN" w:bidi="ta-IN"/>
              </w:rPr>
            </w:pPr>
            <w:r w:rsidRPr="00306DFE">
              <w:rPr>
                <w:color w:val="000000"/>
                <w:lang w:val="en-IN" w:eastAsia="en-IN" w:bidi="ta-IN"/>
              </w:rPr>
              <w:t xml:space="preserve">Length of broodiness (days) </w:t>
            </w:r>
          </w:p>
          <w:p w:rsidR="002B5AE3" w:rsidRPr="00306DFE" w:rsidRDefault="002B5AE3" w:rsidP="00437BB2">
            <w:pPr>
              <w:spacing w:line="360" w:lineRule="auto"/>
              <w:rPr>
                <w:color w:val="000000"/>
                <w:lang w:val="en-IN" w:eastAsia="en-IN" w:bidi="ta-IN"/>
              </w:rPr>
            </w:pPr>
            <w:r w:rsidRPr="00306DFE">
              <w:rPr>
                <w:color w:val="000000"/>
                <w:lang w:val="en-IN" w:eastAsia="en-IN" w:bidi="ta-IN"/>
              </w:rPr>
              <w:t>(n=99)</w:t>
            </w:r>
          </w:p>
        </w:tc>
        <w:tc>
          <w:tcPr>
            <w:tcW w:w="1860" w:type="dxa"/>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 xml:space="preserve">≤ 7  </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22.81 (13)</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11.63 (5)</w:t>
            </w:r>
          </w:p>
        </w:tc>
        <w:tc>
          <w:tcPr>
            <w:tcW w:w="1109" w:type="dxa"/>
            <w:hideMark/>
          </w:tcPr>
          <w:p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1.44</w:t>
            </w:r>
          </w:p>
        </w:tc>
        <w:tc>
          <w:tcPr>
            <w:tcW w:w="157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w:t>
            </w:r>
            <w:r w:rsidR="00D105FE" w:rsidRPr="00306DFE">
              <w:rPr>
                <w:color w:val="000000"/>
                <w:lang w:val="en-IN" w:eastAsia="en-IN" w:bidi="ta-IN"/>
              </w:rPr>
              <w:t>.00</w:t>
            </w:r>
            <w:r w:rsidRPr="00306DFE">
              <w:rPr>
                <w:color w:val="000000"/>
                <w:lang w:val="en-IN" w:eastAsia="en-IN" w:bidi="ta-IN"/>
              </w:rPr>
              <w:t xml:space="preserve"> (18)</w:t>
            </w:r>
          </w:p>
        </w:tc>
      </w:tr>
      <w:tr w:rsidR="002B5AE3" w:rsidRPr="00306DFE" w:rsidTr="001A03CC">
        <w:trPr>
          <w:trHeight w:val="53"/>
        </w:trPr>
        <w:tc>
          <w:tcPr>
            <w:tcW w:w="570" w:type="dxa"/>
            <w:vMerge/>
            <w:noWrap/>
            <w:hideMark/>
          </w:tcPr>
          <w:p w:rsidR="002B5AE3" w:rsidRPr="00306DFE" w:rsidRDefault="002B5AE3" w:rsidP="00437BB2">
            <w:pPr>
              <w:spacing w:line="360" w:lineRule="auto"/>
              <w:jc w:val="center"/>
              <w:rPr>
                <w:color w:val="000000"/>
                <w:lang w:val="en-IN" w:eastAsia="en-IN" w:bidi="ta-IN"/>
              </w:rPr>
            </w:pPr>
          </w:p>
        </w:tc>
        <w:tc>
          <w:tcPr>
            <w:tcW w:w="1638" w:type="dxa"/>
            <w:vMerge/>
            <w:noWrap/>
            <w:hideMark/>
          </w:tcPr>
          <w:p w:rsidR="002B5AE3" w:rsidRPr="00306DFE" w:rsidRDefault="002B5AE3" w:rsidP="00437BB2">
            <w:pPr>
              <w:spacing w:line="360" w:lineRule="auto"/>
              <w:rPr>
                <w:lang w:val="en-IN" w:eastAsia="en-IN" w:bidi="ta-IN"/>
              </w:rPr>
            </w:pPr>
          </w:p>
        </w:tc>
        <w:tc>
          <w:tcPr>
            <w:tcW w:w="1860" w:type="dxa"/>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8 -14</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14.04 (8)</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13.95 (6)</w:t>
            </w:r>
          </w:p>
        </w:tc>
        <w:tc>
          <w:tcPr>
            <w:tcW w:w="1109" w:type="dxa"/>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0.</w:t>
            </w:r>
            <w:r w:rsidR="00EC4177" w:rsidRPr="00306DFE">
              <w:rPr>
                <w:color w:val="000000"/>
                <w:lang w:val="en-IN" w:eastAsia="en-IN" w:bidi="ta-IN"/>
              </w:rPr>
              <w:t>01</w:t>
            </w:r>
          </w:p>
        </w:tc>
        <w:tc>
          <w:tcPr>
            <w:tcW w:w="157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14</w:t>
            </w:r>
            <w:r w:rsidR="00D105FE" w:rsidRPr="00306DFE">
              <w:rPr>
                <w:color w:val="000000"/>
                <w:lang w:val="en-IN" w:eastAsia="en-IN" w:bidi="ta-IN"/>
              </w:rPr>
              <w:t>.00</w:t>
            </w:r>
            <w:r w:rsidRPr="00306DFE">
              <w:rPr>
                <w:color w:val="000000"/>
                <w:lang w:val="en-IN" w:eastAsia="en-IN" w:bidi="ta-IN"/>
              </w:rPr>
              <w:t xml:space="preserve"> (14)</w:t>
            </w:r>
          </w:p>
        </w:tc>
      </w:tr>
      <w:tr w:rsidR="002B5AE3" w:rsidRPr="00306DFE" w:rsidTr="001A03CC">
        <w:trPr>
          <w:trHeight w:val="53"/>
        </w:trPr>
        <w:tc>
          <w:tcPr>
            <w:tcW w:w="570" w:type="dxa"/>
            <w:vMerge/>
            <w:noWrap/>
            <w:hideMark/>
          </w:tcPr>
          <w:p w:rsidR="002B5AE3" w:rsidRPr="00306DFE" w:rsidRDefault="002B5AE3" w:rsidP="00437BB2">
            <w:pPr>
              <w:spacing w:line="360" w:lineRule="auto"/>
              <w:jc w:val="center"/>
              <w:rPr>
                <w:color w:val="000000"/>
                <w:lang w:val="en-IN" w:eastAsia="en-IN" w:bidi="ta-IN"/>
              </w:rPr>
            </w:pPr>
          </w:p>
        </w:tc>
        <w:tc>
          <w:tcPr>
            <w:tcW w:w="1638" w:type="dxa"/>
            <w:vMerge/>
            <w:noWrap/>
            <w:hideMark/>
          </w:tcPr>
          <w:p w:rsidR="002B5AE3" w:rsidRPr="00306DFE" w:rsidRDefault="002B5AE3" w:rsidP="00437BB2">
            <w:pPr>
              <w:spacing w:line="360" w:lineRule="auto"/>
              <w:rPr>
                <w:lang w:val="en-IN" w:eastAsia="en-IN" w:bidi="ta-IN"/>
              </w:rPr>
            </w:pPr>
          </w:p>
        </w:tc>
        <w:tc>
          <w:tcPr>
            <w:tcW w:w="1860" w:type="dxa"/>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15 - 21</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26.32 (15)</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18.6</w:t>
            </w:r>
            <w:r w:rsidR="00D105FE" w:rsidRPr="00306DFE">
              <w:rPr>
                <w:color w:val="000000"/>
                <w:lang w:val="en-IN" w:eastAsia="en-IN" w:bidi="ta-IN"/>
              </w:rPr>
              <w:t>0</w:t>
            </w:r>
            <w:r w:rsidRPr="00306DFE">
              <w:rPr>
                <w:color w:val="000000"/>
                <w:lang w:val="en-IN" w:eastAsia="en-IN" w:bidi="ta-IN"/>
              </w:rPr>
              <w:t xml:space="preserve"> (8)</w:t>
            </w:r>
          </w:p>
        </w:tc>
        <w:tc>
          <w:tcPr>
            <w:tcW w:w="1109" w:type="dxa"/>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0.</w:t>
            </w:r>
            <w:r w:rsidR="00EC4177" w:rsidRPr="00306DFE">
              <w:rPr>
                <w:color w:val="000000"/>
                <w:lang w:val="en-IN" w:eastAsia="en-IN" w:bidi="ta-IN"/>
              </w:rPr>
              <w:t>91</w:t>
            </w:r>
          </w:p>
        </w:tc>
        <w:tc>
          <w:tcPr>
            <w:tcW w:w="157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23</w:t>
            </w:r>
            <w:r w:rsidR="00D105FE" w:rsidRPr="00306DFE">
              <w:rPr>
                <w:color w:val="000000"/>
                <w:lang w:val="en-IN" w:eastAsia="en-IN" w:bidi="ta-IN"/>
              </w:rPr>
              <w:t>.00</w:t>
            </w:r>
            <w:r w:rsidRPr="00306DFE">
              <w:rPr>
                <w:color w:val="000000"/>
                <w:lang w:val="en-IN" w:eastAsia="en-IN" w:bidi="ta-IN"/>
              </w:rPr>
              <w:t xml:space="preserve"> (23)</w:t>
            </w:r>
          </w:p>
        </w:tc>
      </w:tr>
      <w:tr w:rsidR="002B5AE3" w:rsidRPr="00306DFE" w:rsidTr="001A03CC">
        <w:trPr>
          <w:trHeight w:val="53"/>
        </w:trPr>
        <w:tc>
          <w:tcPr>
            <w:tcW w:w="570" w:type="dxa"/>
            <w:vMerge/>
            <w:noWrap/>
            <w:hideMark/>
          </w:tcPr>
          <w:p w:rsidR="002B5AE3" w:rsidRPr="00306DFE" w:rsidRDefault="002B5AE3" w:rsidP="00437BB2">
            <w:pPr>
              <w:spacing w:line="360" w:lineRule="auto"/>
              <w:jc w:val="center"/>
              <w:rPr>
                <w:color w:val="000000"/>
                <w:lang w:val="en-IN" w:eastAsia="en-IN" w:bidi="ta-IN"/>
              </w:rPr>
            </w:pPr>
          </w:p>
        </w:tc>
        <w:tc>
          <w:tcPr>
            <w:tcW w:w="1638" w:type="dxa"/>
            <w:vMerge/>
            <w:noWrap/>
            <w:hideMark/>
          </w:tcPr>
          <w:p w:rsidR="002B5AE3" w:rsidRPr="00306DFE" w:rsidRDefault="002B5AE3" w:rsidP="00437BB2">
            <w:pPr>
              <w:spacing w:line="360" w:lineRule="auto"/>
              <w:rPr>
                <w:lang w:val="en-IN" w:eastAsia="en-IN" w:bidi="ta-IN"/>
              </w:rPr>
            </w:pPr>
          </w:p>
        </w:tc>
        <w:tc>
          <w:tcPr>
            <w:tcW w:w="1860" w:type="dxa"/>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22 - 28</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10.53 (6)</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27.91 (12)</w:t>
            </w:r>
          </w:p>
        </w:tc>
        <w:tc>
          <w:tcPr>
            <w:tcW w:w="1109" w:type="dxa"/>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w:t>
            </w:r>
            <w:r w:rsidR="00EC4177" w:rsidRPr="00306DFE">
              <w:rPr>
                <w:color w:val="000000"/>
                <w:lang w:val="en-IN" w:eastAsia="en-IN" w:bidi="ta-IN"/>
              </w:rPr>
              <w:t>24*</w:t>
            </w:r>
          </w:p>
        </w:tc>
        <w:tc>
          <w:tcPr>
            <w:tcW w:w="157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w:t>
            </w:r>
            <w:r w:rsidR="00D105FE" w:rsidRPr="00306DFE">
              <w:rPr>
                <w:color w:val="000000"/>
                <w:lang w:val="en-IN" w:eastAsia="en-IN" w:bidi="ta-IN"/>
              </w:rPr>
              <w:t>.00</w:t>
            </w:r>
            <w:r w:rsidRPr="00306DFE">
              <w:rPr>
                <w:color w:val="000000"/>
                <w:lang w:val="en-IN" w:eastAsia="en-IN" w:bidi="ta-IN"/>
              </w:rPr>
              <w:t xml:space="preserve"> (18)</w:t>
            </w:r>
          </w:p>
        </w:tc>
      </w:tr>
      <w:tr w:rsidR="002B5AE3" w:rsidRPr="00306DFE" w:rsidTr="001A03CC">
        <w:trPr>
          <w:trHeight w:val="53"/>
        </w:trPr>
        <w:tc>
          <w:tcPr>
            <w:tcW w:w="570" w:type="dxa"/>
            <w:vMerge/>
            <w:noWrap/>
            <w:hideMark/>
          </w:tcPr>
          <w:p w:rsidR="002B5AE3" w:rsidRPr="00306DFE" w:rsidRDefault="002B5AE3" w:rsidP="00437BB2">
            <w:pPr>
              <w:spacing w:line="360" w:lineRule="auto"/>
              <w:jc w:val="center"/>
              <w:rPr>
                <w:color w:val="000000"/>
                <w:lang w:val="en-IN" w:eastAsia="en-IN" w:bidi="ta-IN"/>
              </w:rPr>
            </w:pPr>
          </w:p>
        </w:tc>
        <w:tc>
          <w:tcPr>
            <w:tcW w:w="1638" w:type="dxa"/>
            <w:vMerge/>
            <w:noWrap/>
            <w:hideMark/>
          </w:tcPr>
          <w:p w:rsidR="002B5AE3" w:rsidRPr="00306DFE" w:rsidRDefault="002B5AE3" w:rsidP="00437BB2">
            <w:pPr>
              <w:spacing w:line="360" w:lineRule="auto"/>
              <w:rPr>
                <w:lang w:val="en-IN" w:eastAsia="en-IN" w:bidi="ta-IN"/>
              </w:rPr>
            </w:pPr>
          </w:p>
        </w:tc>
        <w:tc>
          <w:tcPr>
            <w:tcW w:w="1860" w:type="dxa"/>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23 - 35</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7.02 (4)</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9.3</w:t>
            </w:r>
            <w:r w:rsidR="00D105FE" w:rsidRPr="00306DFE">
              <w:rPr>
                <w:color w:val="000000"/>
                <w:lang w:val="en-IN" w:eastAsia="en-IN" w:bidi="ta-IN"/>
              </w:rPr>
              <w:t>0</w:t>
            </w:r>
            <w:r w:rsidRPr="00306DFE">
              <w:rPr>
                <w:color w:val="000000"/>
                <w:lang w:val="en-IN" w:eastAsia="en-IN" w:bidi="ta-IN"/>
              </w:rPr>
              <w:t xml:space="preserve"> (4)</w:t>
            </w:r>
          </w:p>
        </w:tc>
        <w:tc>
          <w:tcPr>
            <w:tcW w:w="1109" w:type="dxa"/>
            <w:hideMark/>
          </w:tcPr>
          <w:p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0.42</w:t>
            </w:r>
          </w:p>
        </w:tc>
        <w:tc>
          <w:tcPr>
            <w:tcW w:w="157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8</w:t>
            </w:r>
            <w:r w:rsidR="00D105FE" w:rsidRPr="00306DFE">
              <w:rPr>
                <w:color w:val="000000"/>
                <w:lang w:val="en-IN" w:eastAsia="en-IN" w:bidi="ta-IN"/>
              </w:rPr>
              <w:t>.00</w:t>
            </w:r>
            <w:r w:rsidRPr="00306DFE">
              <w:rPr>
                <w:color w:val="000000"/>
                <w:lang w:val="en-IN" w:eastAsia="en-IN" w:bidi="ta-IN"/>
              </w:rPr>
              <w:t xml:space="preserve"> (8)</w:t>
            </w:r>
          </w:p>
        </w:tc>
      </w:tr>
      <w:tr w:rsidR="002B5AE3" w:rsidRPr="00306DFE" w:rsidTr="001A03CC">
        <w:trPr>
          <w:trHeight w:val="53"/>
        </w:trPr>
        <w:tc>
          <w:tcPr>
            <w:tcW w:w="570" w:type="dxa"/>
            <w:vMerge/>
            <w:noWrap/>
            <w:hideMark/>
          </w:tcPr>
          <w:p w:rsidR="002B5AE3" w:rsidRPr="00306DFE" w:rsidRDefault="002B5AE3" w:rsidP="00437BB2">
            <w:pPr>
              <w:spacing w:line="360" w:lineRule="auto"/>
              <w:jc w:val="center"/>
              <w:rPr>
                <w:color w:val="000000"/>
                <w:lang w:val="en-IN" w:eastAsia="en-IN" w:bidi="ta-IN"/>
              </w:rPr>
            </w:pPr>
          </w:p>
        </w:tc>
        <w:tc>
          <w:tcPr>
            <w:tcW w:w="1638" w:type="dxa"/>
            <w:vMerge/>
            <w:noWrap/>
            <w:hideMark/>
          </w:tcPr>
          <w:p w:rsidR="002B5AE3" w:rsidRPr="00306DFE" w:rsidRDefault="002B5AE3" w:rsidP="00437BB2">
            <w:pPr>
              <w:spacing w:line="360" w:lineRule="auto"/>
              <w:rPr>
                <w:lang w:val="en-IN" w:eastAsia="en-IN" w:bidi="ta-IN"/>
              </w:rPr>
            </w:pPr>
          </w:p>
        </w:tc>
        <w:tc>
          <w:tcPr>
            <w:tcW w:w="1860" w:type="dxa"/>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36 - 42</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7.02 (</w:t>
            </w:r>
            <w:r w:rsidR="00EC4177" w:rsidRPr="00306DFE">
              <w:rPr>
                <w:color w:val="000000"/>
                <w:lang w:val="en-IN" w:eastAsia="en-IN" w:bidi="ta-IN"/>
              </w:rPr>
              <w:t>4</w:t>
            </w:r>
            <w:r w:rsidRPr="00306DFE">
              <w:rPr>
                <w:color w:val="000000"/>
                <w:lang w:val="en-IN" w:eastAsia="en-IN" w:bidi="ta-IN"/>
              </w:rPr>
              <w:t>)</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11.63 (5)</w:t>
            </w:r>
          </w:p>
        </w:tc>
        <w:tc>
          <w:tcPr>
            <w:tcW w:w="1109" w:type="dxa"/>
            <w:hideMark/>
          </w:tcPr>
          <w:p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0.80</w:t>
            </w:r>
          </w:p>
        </w:tc>
        <w:tc>
          <w:tcPr>
            <w:tcW w:w="157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9</w:t>
            </w:r>
            <w:r w:rsidR="00D105FE" w:rsidRPr="00306DFE">
              <w:rPr>
                <w:color w:val="000000"/>
                <w:lang w:val="en-IN" w:eastAsia="en-IN" w:bidi="ta-IN"/>
              </w:rPr>
              <w:t>.00</w:t>
            </w:r>
            <w:r w:rsidRPr="00306DFE">
              <w:rPr>
                <w:color w:val="000000"/>
                <w:lang w:val="en-IN" w:eastAsia="en-IN" w:bidi="ta-IN"/>
              </w:rPr>
              <w:t xml:space="preserve"> (9)</w:t>
            </w:r>
          </w:p>
        </w:tc>
      </w:tr>
      <w:tr w:rsidR="002B5AE3" w:rsidRPr="00306DFE" w:rsidTr="001A03CC">
        <w:trPr>
          <w:trHeight w:val="53"/>
        </w:trPr>
        <w:tc>
          <w:tcPr>
            <w:tcW w:w="570" w:type="dxa"/>
            <w:vMerge/>
            <w:noWrap/>
            <w:hideMark/>
          </w:tcPr>
          <w:p w:rsidR="002B5AE3" w:rsidRPr="00306DFE" w:rsidRDefault="002B5AE3" w:rsidP="00437BB2">
            <w:pPr>
              <w:spacing w:line="360" w:lineRule="auto"/>
              <w:jc w:val="center"/>
              <w:rPr>
                <w:color w:val="000000"/>
                <w:lang w:val="en-IN" w:eastAsia="en-IN" w:bidi="ta-IN"/>
              </w:rPr>
            </w:pPr>
          </w:p>
        </w:tc>
        <w:tc>
          <w:tcPr>
            <w:tcW w:w="1638" w:type="dxa"/>
            <w:vMerge/>
            <w:noWrap/>
            <w:hideMark/>
          </w:tcPr>
          <w:p w:rsidR="002B5AE3" w:rsidRPr="00306DFE" w:rsidRDefault="002B5AE3" w:rsidP="00437BB2">
            <w:pPr>
              <w:spacing w:line="360" w:lineRule="auto"/>
              <w:rPr>
                <w:lang w:val="en-IN" w:eastAsia="en-IN" w:bidi="ta-IN"/>
              </w:rPr>
            </w:pPr>
          </w:p>
        </w:tc>
        <w:tc>
          <w:tcPr>
            <w:tcW w:w="1860" w:type="dxa"/>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&gt; 42</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12.28 (</w:t>
            </w:r>
            <w:r w:rsidR="00EC4177" w:rsidRPr="00306DFE">
              <w:rPr>
                <w:color w:val="000000"/>
                <w:lang w:val="en-IN" w:eastAsia="en-IN" w:bidi="ta-IN"/>
              </w:rPr>
              <w:t>7</w:t>
            </w:r>
            <w:r w:rsidRPr="00306DFE">
              <w:rPr>
                <w:color w:val="000000"/>
                <w:lang w:val="en-IN" w:eastAsia="en-IN" w:bidi="ta-IN"/>
              </w:rPr>
              <w:t>)</w:t>
            </w:r>
          </w:p>
        </w:tc>
        <w:tc>
          <w:tcPr>
            <w:tcW w:w="145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6.98 (3)</w:t>
            </w:r>
          </w:p>
        </w:tc>
        <w:tc>
          <w:tcPr>
            <w:tcW w:w="1109" w:type="dxa"/>
            <w:hideMark/>
          </w:tcPr>
          <w:p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0.88</w:t>
            </w:r>
          </w:p>
        </w:tc>
        <w:tc>
          <w:tcPr>
            <w:tcW w:w="1576" w:type="dxa"/>
            <w:noWrap/>
            <w:vAlign w:val="bottom"/>
            <w:hideMark/>
          </w:tcPr>
          <w:p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10</w:t>
            </w:r>
            <w:r w:rsidR="00D105FE" w:rsidRPr="00306DFE">
              <w:rPr>
                <w:color w:val="000000"/>
                <w:lang w:val="en-IN" w:eastAsia="en-IN" w:bidi="ta-IN"/>
              </w:rPr>
              <w:t>.00</w:t>
            </w:r>
            <w:r w:rsidRPr="00306DFE">
              <w:rPr>
                <w:color w:val="000000"/>
                <w:lang w:val="en-IN" w:eastAsia="en-IN" w:bidi="ta-IN"/>
              </w:rPr>
              <w:t xml:space="preserve"> (10)</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(5</w:t>
            </w:r>
            <w:r w:rsidR="002B5AE3" w:rsidRPr="00306DFE">
              <w:rPr>
                <w:b/>
                <w:bCs/>
                <w:color w:val="000000"/>
                <w:lang w:val="en-IN" w:eastAsia="en-IN" w:bidi="ta-IN"/>
              </w:rPr>
              <w:t>7</w:t>
            </w:r>
            <w:r w:rsidRPr="00306DFE">
              <w:rPr>
                <w:b/>
                <w:bCs/>
                <w:color w:val="000000"/>
                <w:lang w:val="en-IN" w:eastAsia="en-IN" w:bidi="ta-IN"/>
              </w:rPr>
              <w:t>)</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w:t>
            </w:r>
            <w:r w:rsidR="002B5AE3" w:rsidRPr="00306DFE">
              <w:rPr>
                <w:b/>
                <w:bCs/>
                <w:color w:val="000000"/>
                <w:lang w:val="en-IN" w:eastAsia="en-IN" w:bidi="ta-IN"/>
              </w:rPr>
              <w:t>3</w:t>
            </w:r>
            <w:r w:rsidRPr="00306DFE">
              <w:rPr>
                <w:b/>
                <w:bCs/>
                <w:color w:val="000000"/>
                <w:lang w:val="en-IN" w:eastAsia="en-IN" w:bidi="ta-IN"/>
              </w:rPr>
              <w:t>)</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 </w:t>
            </w:r>
          </w:p>
        </w:tc>
        <w:tc>
          <w:tcPr>
            <w:tcW w:w="157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w:t>
            </w:r>
            <w:r w:rsidR="00D105FE" w:rsidRPr="00306DFE">
              <w:rPr>
                <w:b/>
                <w:bCs/>
                <w:color w:val="000000"/>
                <w:lang w:val="en-IN" w:eastAsia="en-IN" w:bidi="ta-IN"/>
              </w:rPr>
              <w:t>100</w:t>
            </w:r>
            <w:r w:rsidRPr="00306DFE">
              <w:rPr>
                <w:b/>
                <w:bCs/>
                <w:color w:val="000000"/>
                <w:lang w:val="en-IN" w:eastAsia="en-IN" w:bidi="ta-IN"/>
              </w:rPr>
              <w:t>)</w:t>
            </w:r>
          </w:p>
        </w:tc>
      </w:tr>
      <w:tr w:rsidR="000756F9" w:rsidRPr="00306DFE" w:rsidTr="00356E87">
        <w:trPr>
          <w:trHeight w:val="315"/>
        </w:trPr>
        <w:tc>
          <w:tcPr>
            <w:tcW w:w="570" w:type="dxa"/>
            <w:vMerge w:val="restart"/>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w:t>
            </w:r>
          </w:p>
        </w:tc>
        <w:tc>
          <w:tcPr>
            <w:tcW w:w="1638" w:type="dxa"/>
            <w:vMerge w:val="restart"/>
            <w:noWrap/>
            <w:hideMark/>
          </w:tcPr>
          <w:p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Clutch size (number of eggs) </w:t>
            </w:r>
          </w:p>
          <w:p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1</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1.15</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8.82 (9)</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2 to 4</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1.15</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8.82 (9)</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5 to 8</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44.26 (27)</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68.29 (28)</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2.39*</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53.92 (55)</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9 to 12</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16.39 (10)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9.76 (4)</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0.96</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13.73 (14)</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13 to 16</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12.20 (5)</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0.11</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11.76 (12)</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17 to 20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3.28 (2)</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1.17</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1.96 (2)</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815B80" w:rsidP="00437BB2">
            <w:pPr>
              <w:spacing w:line="360" w:lineRule="auto"/>
              <w:jc w:val="center"/>
              <w:rPr>
                <w:color w:val="000000"/>
                <w:lang w:val="en-IN" w:eastAsia="en-IN" w:bidi="ta-IN"/>
              </w:rPr>
            </w:pPr>
            <w:r w:rsidRPr="00306DFE">
              <w:rPr>
                <w:color w:val="000000"/>
                <w:lang w:eastAsia="en-IN" w:bidi="ta-IN"/>
              </w:rPr>
              <w:t>Above 20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0.83</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0.98 (1)</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r w:rsidR="000756F9" w:rsidRPr="00306DFE" w:rsidTr="00356E87">
        <w:trPr>
          <w:trHeight w:val="53"/>
        </w:trPr>
        <w:tc>
          <w:tcPr>
            <w:tcW w:w="570" w:type="dxa"/>
            <w:vMerge w:val="restart"/>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lastRenderedPageBreak/>
              <w:t>6</w:t>
            </w:r>
          </w:p>
        </w:tc>
        <w:tc>
          <w:tcPr>
            <w:tcW w:w="1638" w:type="dxa"/>
            <w:vMerge w:val="restart"/>
            <w:noWrap/>
            <w:hideMark/>
          </w:tcPr>
          <w:p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Number of clutches per cycle </w:t>
            </w:r>
          </w:p>
          <w:p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1</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32.79 (20)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21.95 (9)</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1.19</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28.43 (29)</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2</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16.39 (10)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21.95 (9)</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0.71</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18.63 (19)</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3</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36.07 (22)</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41.46 (17)</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0.55</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38.24 (39)</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4</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3.28 (2)</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7.32 (3)</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0.93</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4.90 (5)</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Above 4</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7.32 (3)</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0.69</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9.80 (10)</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r w:rsidR="000756F9" w:rsidRPr="00306DFE" w:rsidTr="00356E87">
        <w:trPr>
          <w:trHeight w:val="53"/>
        </w:trPr>
        <w:tc>
          <w:tcPr>
            <w:tcW w:w="570" w:type="dxa"/>
            <w:vMerge w:val="restart"/>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w:t>
            </w:r>
          </w:p>
        </w:tc>
        <w:tc>
          <w:tcPr>
            <w:tcW w:w="1638" w:type="dxa"/>
            <w:vMerge w:val="restart"/>
            <w:noWrap/>
            <w:hideMark/>
          </w:tcPr>
          <w:p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Egg production per cycle </w:t>
            </w:r>
          </w:p>
          <w:p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rsidR="000756F9" w:rsidRPr="00306DFE" w:rsidRDefault="00EF69E5" w:rsidP="00437BB2">
            <w:pPr>
              <w:spacing w:line="360" w:lineRule="auto"/>
              <w:jc w:val="center"/>
              <w:rPr>
                <w:color w:val="000000"/>
                <w:lang w:val="en-IN" w:eastAsia="en-IN" w:bidi="ta-IN"/>
              </w:rPr>
            </w:pPr>
            <w:r w:rsidRPr="00306DFE">
              <w:rPr>
                <w:color w:val="000000"/>
                <w:lang w:val="en-IN" w:eastAsia="en-IN" w:bidi="ta-IN"/>
              </w:rPr>
              <w:t xml:space="preserve">≤ </w:t>
            </w:r>
            <w:r w:rsidR="000756F9" w:rsidRPr="00306DFE">
              <w:rPr>
                <w:color w:val="000000"/>
                <w:lang w:eastAsia="en-IN" w:bidi="ta-IN"/>
              </w:rPr>
              <w:t>5</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0.82</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0.98 (1)</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F724B2" w:rsidP="00437BB2">
            <w:pPr>
              <w:spacing w:line="360" w:lineRule="auto"/>
              <w:jc w:val="center"/>
              <w:rPr>
                <w:color w:val="000000"/>
                <w:lang w:val="en-IN" w:eastAsia="en-IN" w:bidi="ta-IN"/>
              </w:rPr>
            </w:pPr>
            <w:r w:rsidRPr="00306DFE">
              <w:rPr>
                <w:color w:val="000000"/>
                <w:lang w:eastAsia="en-IN" w:bidi="ta-IN"/>
              </w:rPr>
              <w:t>6</w:t>
            </w:r>
            <w:r w:rsidR="000756F9" w:rsidRPr="00306DFE">
              <w:rPr>
                <w:color w:val="000000"/>
                <w:lang w:eastAsia="en-IN" w:bidi="ta-IN"/>
              </w:rPr>
              <w:t xml:space="preserve"> to 10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14.75 (9)</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12.20 (5)</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0.37</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13.73 (14)</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11 to 15</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50.82 (31)</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51.22 (21)</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0.04</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50.98 (52)</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16 to 20</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26.23 (16)</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31.71 (13)</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0.6</w:t>
            </w:r>
            <w:r w:rsidR="00306DFE">
              <w:rPr>
                <w:color w:val="000000"/>
                <w:lang w:val="en-IN" w:eastAsia="en-IN" w:bidi="ta-IN"/>
              </w:rPr>
              <w:t>0</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28.43 (29)</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color w:val="000000"/>
                <w:lang w:val="en-IN" w:eastAsia="en-IN" w:bidi="ta-IN"/>
              </w:rPr>
            </w:pPr>
            <w:r w:rsidRPr="00306DFE">
              <w:rPr>
                <w:color w:val="000000"/>
                <w:lang w:eastAsia="en-IN" w:bidi="ta-IN"/>
              </w:rPr>
              <w:t>21 to 25</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0.95</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2.94 (3)</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F724B2" w:rsidP="00437BB2">
            <w:pPr>
              <w:spacing w:line="360" w:lineRule="auto"/>
              <w:jc w:val="center"/>
              <w:rPr>
                <w:color w:val="000000"/>
                <w:lang w:val="en-IN" w:eastAsia="en-IN" w:bidi="ta-IN"/>
              </w:rPr>
            </w:pPr>
            <w:r w:rsidRPr="00306DFE">
              <w:rPr>
                <w:color w:val="000000"/>
                <w:lang w:eastAsia="en-IN" w:bidi="ta-IN"/>
              </w:rPr>
              <w:t>Above 25</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4.92 (3)</w:t>
            </w:r>
          </w:p>
        </w:tc>
        <w:tc>
          <w:tcPr>
            <w:tcW w:w="145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1.44</w:t>
            </w:r>
          </w:p>
        </w:tc>
        <w:tc>
          <w:tcPr>
            <w:tcW w:w="1576" w:type="dxa"/>
            <w:noWrap/>
            <w:hideMark/>
          </w:tcPr>
          <w:p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2.94 (3)</w:t>
            </w:r>
          </w:p>
        </w:tc>
      </w:tr>
      <w:tr w:rsidR="000756F9" w:rsidRPr="00306DFE" w:rsidTr="00356E87">
        <w:trPr>
          <w:trHeight w:val="53"/>
        </w:trPr>
        <w:tc>
          <w:tcPr>
            <w:tcW w:w="570" w:type="dxa"/>
            <w:vMerge/>
            <w:noWrap/>
            <w:hideMark/>
          </w:tcPr>
          <w:p w:rsidR="000756F9" w:rsidRPr="00306DFE" w:rsidRDefault="000756F9" w:rsidP="00437BB2">
            <w:pPr>
              <w:spacing w:line="360" w:lineRule="auto"/>
              <w:jc w:val="center"/>
              <w:rPr>
                <w:color w:val="000000"/>
                <w:lang w:val="en-IN" w:eastAsia="en-IN" w:bidi="ta-IN"/>
              </w:rPr>
            </w:pPr>
          </w:p>
        </w:tc>
        <w:tc>
          <w:tcPr>
            <w:tcW w:w="1638" w:type="dxa"/>
            <w:vMerge/>
            <w:noWrap/>
            <w:hideMark/>
          </w:tcPr>
          <w:p w:rsidR="000756F9" w:rsidRPr="00306DFE" w:rsidRDefault="000756F9" w:rsidP="00437BB2">
            <w:pPr>
              <w:spacing w:line="360" w:lineRule="auto"/>
              <w:rPr>
                <w:lang w:val="en-IN" w:eastAsia="en-IN" w:bidi="ta-IN"/>
              </w:rPr>
            </w:pPr>
          </w:p>
        </w:tc>
        <w:tc>
          <w:tcPr>
            <w:tcW w:w="1860" w:type="dxa"/>
            <w:hideMark/>
          </w:tcPr>
          <w:p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 </w:t>
            </w:r>
          </w:p>
        </w:tc>
        <w:tc>
          <w:tcPr>
            <w:tcW w:w="1576" w:type="dxa"/>
            <w:noWrap/>
            <w:hideMark/>
          </w:tcPr>
          <w:p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bl>
    <w:p w:rsidR="00356E87" w:rsidRPr="00306DFE" w:rsidRDefault="00356E87" w:rsidP="00437BB2">
      <w:pPr>
        <w:spacing w:line="360" w:lineRule="auto"/>
      </w:pPr>
      <w:r w:rsidRPr="00306DFE">
        <w:t>* Significant (P&lt;0.05)</w:t>
      </w:r>
    </w:p>
    <w:p w:rsidR="00356E87" w:rsidRPr="00306DFE" w:rsidRDefault="00356E87" w:rsidP="00437BB2">
      <w:pPr>
        <w:spacing w:after="160" w:line="360" w:lineRule="auto"/>
        <w:sectPr w:rsidR="00356E87" w:rsidRPr="00306DFE" w:rsidSect="00356E87">
          <w:pgSz w:w="11906" w:h="16838"/>
          <w:pgMar w:top="1440" w:right="1440" w:bottom="1440" w:left="1440" w:header="709" w:footer="709" w:gutter="0"/>
          <w:cols w:space="708"/>
          <w:docGrid w:linePitch="360"/>
        </w:sectPr>
      </w:pPr>
    </w:p>
    <w:p w:rsidR="003A7CE7" w:rsidRPr="00306DFE" w:rsidRDefault="003A7CE7" w:rsidP="00437BB2">
      <w:pPr>
        <w:spacing w:line="360" w:lineRule="auto"/>
      </w:pPr>
      <w:r w:rsidRPr="00306DFE">
        <w:lastRenderedPageBreak/>
        <w:t xml:space="preserve">Table 2. Haematological parameters of </w:t>
      </w:r>
      <w:r w:rsidR="00B91984" w:rsidRPr="00306DFE">
        <w:t>in indigenous chickens of Kerala</w:t>
      </w:r>
    </w:p>
    <w:tbl>
      <w:tblPr>
        <w:tblStyle w:val="TableGrid"/>
        <w:tblW w:w="12157" w:type="dxa"/>
        <w:tblInd w:w="279" w:type="dxa"/>
        <w:tblLook w:val="04A0"/>
      </w:tblPr>
      <w:tblGrid>
        <w:gridCol w:w="731"/>
        <w:gridCol w:w="2052"/>
        <w:gridCol w:w="1428"/>
        <w:gridCol w:w="1443"/>
        <w:gridCol w:w="1103"/>
        <w:gridCol w:w="1428"/>
        <w:gridCol w:w="1428"/>
        <w:gridCol w:w="1116"/>
        <w:gridCol w:w="1428"/>
      </w:tblGrid>
      <w:tr w:rsidR="00F06553" w:rsidRPr="00306DFE" w:rsidTr="00DC5A1D">
        <w:trPr>
          <w:trHeight w:val="300"/>
        </w:trPr>
        <w:tc>
          <w:tcPr>
            <w:tcW w:w="731" w:type="dxa"/>
            <w:vMerge w:val="restart"/>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Sl. No.</w:t>
            </w:r>
          </w:p>
        </w:tc>
        <w:tc>
          <w:tcPr>
            <w:tcW w:w="2052" w:type="dxa"/>
            <w:vMerge w:val="restart"/>
            <w:noWrap/>
            <w:vAlign w:val="center"/>
            <w:hideMark/>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Parameters</w:t>
            </w:r>
          </w:p>
        </w:tc>
        <w:tc>
          <w:tcPr>
            <w:tcW w:w="3974" w:type="dxa"/>
            <w:gridSpan w:val="3"/>
            <w:noWrap/>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District</w:t>
            </w:r>
          </w:p>
        </w:tc>
        <w:tc>
          <w:tcPr>
            <w:tcW w:w="3972" w:type="dxa"/>
            <w:gridSpan w:val="3"/>
            <w:noWrap/>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Sex</w:t>
            </w:r>
          </w:p>
        </w:tc>
        <w:tc>
          <w:tcPr>
            <w:tcW w:w="1428" w:type="dxa"/>
            <w:vMerge w:val="restart"/>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Overall</w:t>
            </w:r>
          </w:p>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(n=16)</w:t>
            </w:r>
          </w:p>
        </w:tc>
      </w:tr>
      <w:tr w:rsidR="00F06553" w:rsidRPr="00306DFE" w:rsidTr="00DC5A1D">
        <w:trPr>
          <w:trHeight w:val="300"/>
        </w:trPr>
        <w:tc>
          <w:tcPr>
            <w:tcW w:w="731" w:type="dxa"/>
            <w:vMerge/>
          </w:tcPr>
          <w:p w:rsidR="00F06553" w:rsidRPr="00306DFE" w:rsidRDefault="00F06553" w:rsidP="00437BB2">
            <w:pPr>
              <w:spacing w:line="360" w:lineRule="auto"/>
              <w:jc w:val="center"/>
              <w:rPr>
                <w:b/>
                <w:bCs/>
                <w:color w:val="000000"/>
                <w:lang w:val="en-IN" w:eastAsia="en-IN" w:bidi="ta-IN"/>
              </w:rPr>
            </w:pPr>
          </w:p>
        </w:tc>
        <w:tc>
          <w:tcPr>
            <w:tcW w:w="2052" w:type="dxa"/>
            <w:vMerge/>
            <w:noWrap/>
            <w:vAlign w:val="center"/>
          </w:tcPr>
          <w:p w:rsidR="00F06553" w:rsidRPr="00306DFE" w:rsidRDefault="00F06553" w:rsidP="00437BB2">
            <w:pPr>
              <w:spacing w:line="360" w:lineRule="auto"/>
              <w:jc w:val="center"/>
              <w:rPr>
                <w:b/>
                <w:bCs/>
                <w:color w:val="000000"/>
                <w:lang w:val="en-IN" w:eastAsia="en-IN" w:bidi="ta-IN"/>
              </w:rPr>
            </w:pPr>
          </w:p>
        </w:tc>
        <w:tc>
          <w:tcPr>
            <w:tcW w:w="1428" w:type="dxa"/>
            <w:noWrap/>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Kannur</w:t>
            </w:r>
          </w:p>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443" w:type="dxa"/>
            <w:noWrap/>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Kozhikode</w:t>
            </w:r>
          </w:p>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103" w:type="dxa"/>
            <w:noWrap/>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t- value</w:t>
            </w:r>
          </w:p>
        </w:tc>
        <w:tc>
          <w:tcPr>
            <w:tcW w:w="1428" w:type="dxa"/>
            <w:noWrap/>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Male</w:t>
            </w:r>
          </w:p>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428" w:type="dxa"/>
            <w:noWrap/>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Female</w:t>
            </w:r>
          </w:p>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116" w:type="dxa"/>
            <w:noWrap/>
            <w:vAlign w:val="center"/>
          </w:tcPr>
          <w:p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t- value</w:t>
            </w:r>
          </w:p>
        </w:tc>
        <w:tc>
          <w:tcPr>
            <w:tcW w:w="1428" w:type="dxa"/>
            <w:vMerge/>
            <w:vAlign w:val="center"/>
          </w:tcPr>
          <w:p w:rsidR="00F06553" w:rsidRPr="00306DFE" w:rsidRDefault="00F06553" w:rsidP="00437BB2">
            <w:pPr>
              <w:spacing w:line="360" w:lineRule="auto"/>
              <w:jc w:val="center"/>
              <w:rPr>
                <w:b/>
                <w:bCs/>
                <w:color w:val="000000"/>
                <w:lang w:val="en-IN" w:eastAsia="en-IN" w:bidi="ta-IN"/>
              </w:rPr>
            </w:pPr>
          </w:p>
        </w:tc>
      </w:tr>
      <w:tr w:rsidR="00DC5A1D" w:rsidRPr="00306DFE" w:rsidTr="00DC5A1D">
        <w:trPr>
          <w:trHeight w:val="300"/>
        </w:trPr>
        <w:tc>
          <w:tcPr>
            <w:tcW w:w="731" w:type="dxa"/>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w:t>
            </w:r>
          </w:p>
        </w:tc>
        <w:tc>
          <w:tcPr>
            <w:tcW w:w="2052" w:type="dxa"/>
            <w:noWrap/>
            <w:hideMark/>
          </w:tcPr>
          <w:p w:rsidR="00DC5A1D" w:rsidRPr="00306DFE" w:rsidRDefault="00DC5A1D" w:rsidP="00437BB2">
            <w:pPr>
              <w:spacing w:line="360" w:lineRule="auto"/>
              <w:rPr>
                <w:color w:val="000000"/>
                <w:lang w:val="en-IN" w:eastAsia="en-IN" w:bidi="ta-IN"/>
              </w:rPr>
            </w:pPr>
            <w:r w:rsidRPr="00306DFE">
              <w:rPr>
                <w:color w:val="000000"/>
                <w:lang w:val="en-IN" w:eastAsia="en-IN" w:bidi="ta-IN"/>
              </w:rPr>
              <w:t>RBC (x 10</w:t>
            </w:r>
            <w:r w:rsidRPr="00306DFE">
              <w:rPr>
                <w:color w:val="000000"/>
                <w:vertAlign w:val="superscript"/>
                <w:lang w:val="en-IN" w:eastAsia="en-IN" w:bidi="ta-IN"/>
              </w:rPr>
              <w:t>6</w:t>
            </w:r>
            <w:r w:rsidRPr="00306DFE">
              <w:rPr>
                <w:color w:val="000000"/>
                <w:lang w:val="en-IN" w:eastAsia="en-IN" w:bidi="ta-IN"/>
              </w:rPr>
              <w:t>)</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3.20±0.18</w:t>
            </w:r>
          </w:p>
        </w:tc>
        <w:tc>
          <w:tcPr>
            <w:tcW w:w="144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3.01±0.15</w:t>
            </w:r>
          </w:p>
        </w:tc>
        <w:tc>
          <w:tcPr>
            <w:tcW w:w="110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0.27</w:t>
            </w:r>
            <w:r w:rsidRPr="00306DFE">
              <w:rPr>
                <w:color w:val="000000"/>
                <w:vertAlign w:val="superscript"/>
                <w:lang w:val="en-IN" w:eastAsia="en-IN" w:bidi="ta-IN"/>
              </w:rPr>
              <w:t>NS</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3.43±0.15</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2.78±0.06</w:t>
            </w:r>
          </w:p>
        </w:tc>
        <w:tc>
          <w:tcPr>
            <w:tcW w:w="1116"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4.14**</w:t>
            </w:r>
          </w:p>
        </w:tc>
        <w:tc>
          <w:tcPr>
            <w:tcW w:w="1428" w:type="dxa"/>
            <w:vAlign w:val="bottom"/>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3.11±0.12</w:t>
            </w:r>
          </w:p>
        </w:tc>
      </w:tr>
      <w:tr w:rsidR="00DC5A1D" w:rsidRPr="00306DFE" w:rsidTr="00DC5A1D">
        <w:trPr>
          <w:trHeight w:val="300"/>
        </w:trPr>
        <w:tc>
          <w:tcPr>
            <w:tcW w:w="731" w:type="dxa"/>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w:t>
            </w:r>
          </w:p>
        </w:tc>
        <w:tc>
          <w:tcPr>
            <w:tcW w:w="2052" w:type="dxa"/>
            <w:noWrap/>
            <w:hideMark/>
          </w:tcPr>
          <w:p w:rsidR="00DC5A1D" w:rsidRPr="00306DFE" w:rsidRDefault="00DC5A1D" w:rsidP="00437BB2">
            <w:pPr>
              <w:spacing w:line="360" w:lineRule="auto"/>
              <w:rPr>
                <w:color w:val="000000"/>
                <w:lang w:val="en-IN" w:eastAsia="en-IN" w:bidi="ta-IN"/>
              </w:rPr>
            </w:pPr>
            <w:r w:rsidRPr="00306DFE">
              <w:rPr>
                <w:color w:val="000000"/>
                <w:lang w:val="en-IN" w:eastAsia="en-IN" w:bidi="ta-IN"/>
              </w:rPr>
              <w:t>Hb (g/dL)</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12.11±0.94</w:t>
            </w:r>
          </w:p>
        </w:tc>
        <w:tc>
          <w:tcPr>
            <w:tcW w:w="144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10.50±0.77</w:t>
            </w:r>
          </w:p>
        </w:tc>
        <w:tc>
          <w:tcPr>
            <w:tcW w:w="110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0.32</w:t>
            </w:r>
            <w:r w:rsidRPr="00306DFE">
              <w:rPr>
                <w:color w:val="000000"/>
                <w:vertAlign w:val="superscript"/>
                <w:lang w:val="en-IN" w:eastAsia="en-IN" w:bidi="ta-IN"/>
              </w:rPr>
              <w:t>NS</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12.70±0.99</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9.91±0.36</w:t>
            </w:r>
          </w:p>
        </w:tc>
        <w:tc>
          <w:tcPr>
            <w:tcW w:w="1116"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2.66*</w:t>
            </w:r>
          </w:p>
        </w:tc>
        <w:tc>
          <w:tcPr>
            <w:tcW w:w="1428" w:type="dxa"/>
            <w:vAlign w:val="bottom"/>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11.31±0.62</w:t>
            </w:r>
          </w:p>
        </w:tc>
      </w:tr>
      <w:tr w:rsidR="00DC5A1D" w:rsidRPr="00306DFE" w:rsidTr="00DC5A1D">
        <w:trPr>
          <w:trHeight w:val="300"/>
        </w:trPr>
        <w:tc>
          <w:tcPr>
            <w:tcW w:w="731" w:type="dxa"/>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w:t>
            </w:r>
          </w:p>
        </w:tc>
        <w:tc>
          <w:tcPr>
            <w:tcW w:w="2052" w:type="dxa"/>
            <w:noWrap/>
            <w:hideMark/>
          </w:tcPr>
          <w:p w:rsidR="00DC5A1D" w:rsidRPr="00306DFE" w:rsidRDefault="00DC5A1D" w:rsidP="00437BB2">
            <w:pPr>
              <w:spacing w:line="360" w:lineRule="auto"/>
              <w:rPr>
                <w:color w:val="000000"/>
                <w:lang w:val="en-IN" w:eastAsia="en-IN" w:bidi="ta-IN"/>
              </w:rPr>
            </w:pPr>
            <w:r w:rsidRPr="00306DFE">
              <w:rPr>
                <w:color w:val="000000"/>
                <w:lang w:val="en-IN" w:eastAsia="en-IN" w:bidi="ta-IN"/>
              </w:rPr>
              <w:t>PCV (%)</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40.20±2.22</w:t>
            </w:r>
          </w:p>
        </w:tc>
        <w:tc>
          <w:tcPr>
            <w:tcW w:w="144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37.56±2.20</w:t>
            </w:r>
          </w:p>
        </w:tc>
        <w:tc>
          <w:tcPr>
            <w:tcW w:w="110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0.87</w:t>
            </w:r>
            <w:r w:rsidRPr="00306DFE">
              <w:rPr>
                <w:color w:val="000000"/>
                <w:vertAlign w:val="superscript"/>
                <w:lang w:val="en-IN" w:eastAsia="en-IN" w:bidi="ta-IN"/>
              </w:rPr>
              <w:t>NS</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42.95±2.05</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34.81±1.16</w:t>
            </w:r>
          </w:p>
        </w:tc>
        <w:tc>
          <w:tcPr>
            <w:tcW w:w="1116"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3.46**</w:t>
            </w:r>
          </w:p>
        </w:tc>
        <w:tc>
          <w:tcPr>
            <w:tcW w:w="1428" w:type="dxa"/>
            <w:vAlign w:val="bottom"/>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38.88±1.55</w:t>
            </w:r>
          </w:p>
        </w:tc>
      </w:tr>
      <w:tr w:rsidR="00DC5A1D" w:rsidRPr="00306DFE" w:rsidTr="00DC5A1D">
        <w:trPr>
          <w:trHeight w:val="300"/>
        </w:trPr>
        <w:tc>
          <w:tcPr>
            <w:tcW w:w="731" w:type="dxa"/>
          </w:tcPr>
          <w:p w:rsidR="00DC5A1D" w:rsidRPr="00306DFE" w:rsidRDefault="00DC5A1D" w:rsidP="00437BB2">
            <w:pPr>
              <w:spacing w:line="360" w:lineRule="auto"/>
              <w:jc w:val="center"/>
            </w:pPr>
            <w:r w:rsidRPr="00306DFE">
              <w:t>4</w:t>
            </w:r>
          </w:p>
        </w:tc>
        <w:tc>
          <w:tcPr>
            <w:tcW w:w="2052" w:type="dxa"/>
            <w:noWrap/>
            <w:hideMark/>
          </w:tcPr>
          <w:p w:rsidR="00DC5A1D" w:rsidRPr="00306DFE" w:rsidRDefault="00DC5A1D" w:rsidP="00437BB2">
            <w:pPr>
              <w:spacing w:line="360" w:lineRule="auto"/>
              <w:rPr>
                <w:color w:val="000000"/>
                <w:lang w:val="en-IN" w:eastAsia="en-IN" w:bidi="ta-IN"/>
              </w:rPr>
            </w:pPr>
            <w:r w:rsidRPr="00306DFE">
              <w:t>Lymphocytes (%)</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65.38±3.06</w:t>
            </w:r>
          </w:p>
        </w:tc>
        <w:tc>
          <w:tcPr>
            <w:tcW w:w="144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68.00±3.32</w:t>
            </w:r>
          </w:p>
        </w:tc>
        <w:tc>
          <w:tcPr>
            <w:tcW w:w="110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0.70</w:t>
            </w:r>
            <w:r w:rsidRPr="00306DFE">
              <w:rPr>
                <w:color w:val="000000"/>
                <w:vertAlign w:val="superscript"/>
                <w:lang w:val="en-IN" w:eastAsia="en-IN" w:bidi="ta-IN"/>
              </w:rPr>
              <w:t>NS</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59.50±1.88</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73.88±1.61</w:t>
            </w:r>
          </w:p>
        </w:tc>
        <w:tc>
          <w:tcPr>
            <w:tcW w:w="1116"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5.81***</w:t>
            </w:r>
          </w:p>
        </w:tc>
        <w:tc>
          <w:tcPr>
            <w:tcW w:w="1428" w:type="dxa"/>
            <w:vAlign w:val="bottom"/>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66.69±2.21</w:t>
            </w:r>
          </w:p>
        </w:tc>
      </w:tr>
      <w:tr w:rsidR="00DC5A1D" w:rsidRPr="00306DFE" w:rsidTr="00DC5A1D">
        <w:trPr>
          <w:trHeight w:val="300"/>
        </w:trPr>
        <w:tc>
          <w:tcPr>
            <w:tcW w:w="731" w:type="dxa"/>
          </w:tcPr>
          <w:p w:rsidR="00DC5A1D" w:rsidRPr="00306DFE" w:rsidRDefault="00DC5A1D" w:rsidP="00437BB2">
            <w:pPr>
              <w:spacing w:line="360" w:lineRule="auto"/>
              <w:jc w:val="center"/>
            </w:pPr>
            <w:r w:rsidRPr="00306DFE">
              <w:t>5</w:t>
            </w:r>
          </w:p>
        </w:tc>
        <w:tc>
          <w:tcPr>
            <w:tcW w:w="2052" w:type="dxa"/>
            <w:noWrap/>
            <w:hideMark/>
          </w:tcPr>
          <w:p w:rsidR="00DC5A1D" w:rsidRPr="00306DFE" w:rsidRDefault="00DC5A1D" w:rsidP="00437BB2">
            <w:pPr>
              <w:spacing w:line="360" w:lineRule="auto"/>
              <w:rPr>
                <w:color w:val="000000"/>
                <w:lang w:val="en-IN" w:eastAsia="en-IN" w:bidi="ta-IN"/>
              </w:rPr>
            </w:pPr>
            <w:r w:rsidRPr="00306DFE">
              <w:t>Heterophils (%)</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23.25±2.28</w:t>
            </w:r>
          </w:p>
        </w:tc>
        <w:tc>
          <w:tcPr>
            <w:tcW w:w="144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22.38±3.49</w:t>
            </w:r>
          </w:p>
        </w:tc>
        <w:tc>
          <w:tcPr>
            <w:tcW w:w="110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0.05</w:t>
            </w:r>
            <w:r w:rsidRPr="00306DFE">
              <w:rPr>
                <w:color w:val="000000"/>
                <w:vertAlign w:val="superscript"/>
                <w:lang w:val="en-IN" w:eastAsia="en-IN" w:bidi="ta-IN"/>
              </w:rPr>
              <w:t>NS</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29.25±1.58</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16.38±1.76</w:t>
            </w:r>
          </w:p>
        </w:tc>
        <w:tc>
          <w:tcPr>
            <w:tcW w:w="1116"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5.44***</w:t>
            </w:r>
          </w:p>
        </w:tc>
        <w:tc>
          <w:tcPr>
            <w:tcW w:w="1428" w:type="dxa"/>
            <w:vAlign w:val="bottom"/>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22.81±2.02</w:t>
            </w:r>
          </w:p>
        </w:tc>
      </w:tr>
      <w:tr w:rsidR="00DC5A1D" w:rsidRPr="00306DFE" w:rsidTr="00DC5A1D">
        <w:trPr>
          <w:trHeight w:val="300"/>
        </w:trPr>
        <w:tc>
          <w:tcPr>
            <w:tcW w:w="731" w:type="dxa"/>
          </w:tcPr>
          <w:p w:rsidR="00DC5A1D" w:rsidRPr="00306DFE" w:rsidRDefault="00DC5A1D" w:rsidP="00437BB2">
            <w:pPr>
              <w:spacing w:line="360" w:lineRule="auto"/>
              <w:jc w:val="center"/>
            </w:pPr>
            <w:r w:rsidRPr="00306DFE">
              <w:t>6</w:t>
            </w:r>
          </w:p>
        </w:tc>
        <w:tc>
          <w:tcPr>
            <w:tcW w:w="2052" w:type="dxa"/>
            <w:noWrap/>
            <w:hideMark/>
          </w:tcPr>
          <w:p w:rsidR="00DC5A1D" w:rsidRPr="00306DFE" w:rsidRDefault="00DC5A1D" w:rsidP="00437BB2">
            <w:pPr>
              <w:spacing w:line="360" w:lineRule="auto"/>
              <w:rPr>
                <w:color w:val="000000"/>
                <w:lang w:val="en-IN" w:eastAsia="en-IN" w:bidi="ta-IN"/>
              </w:rPr>
            </w:pPr>
            <w:r w:rsidRPr="00306DFE">
              <w:t>Monocytes (%)</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5.13±0.52</w:t>
            </w:r>
          </w:p>
        </w:tc>
        <w:tc>
          <w:tcPr>
            <w:tcW w:w="144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5.00±0.6</w:t>
            </w:r>
          </w:p>
        </w:tc>
        <w:tc>
          <w:tcPr>
            <w:tcW w:w="110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0.84</w:t>
            </w:r>
            <w:r w:rsidRPr="00306DFE">
              <w:rPr>
                <w:color w:val="000000"/>
                <w:vertAlign w:val="superscript"/>
                <w:lang w:val="en-IN" w:eastAsia="en-IN" w:bidi="ta-IN"/>
              </w:rPr>
              <w:t>NS</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4.88±0.58</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5.25±0.53</w:t>
            </w:r>
          </w:p>
        </w:tc>
        <w:tc>
          <w:tcPr>
            <w:tcW w:w="1116"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0.48</w:t>
            </w:r>
            <w:r w:rsidRPr="00306DFE">
              <w:rPr>
                <w:color w:val="000000"/>
                <w:vertAlign w:val="superscript"/>
                <w:lang w:val="en-IN" w:eastAsia="en-IN" w:bidi="ta-IN"/>
              </w:rPr>
              <w:t>NS</w:t>
            </w:r>
          </w:p>
        </w:tc>
        <w:tc>
          <w:tcPr>
            <w:tcW w:w="1428" w:type="dxa"/>
            <w:vAlign w:val="bottom"/>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5.06±0.38</w:t>
            </w:r>
          </w:p>
        </w:tc>
      </w:tr>
      <w:tr w:rsidR="00DC5A1D" w:rsidRPr="00306DFE" w:rsidTr="00DC5A1D">
        <w:trPr>
          <w:trHeight w:val="300"/>
        </w:trPr>
        <w:tc>
          <w:tcPr>
            <w:tcW w:w="731" w:type="dxa"/>
          </w:tcPr>
          <w:p w:rsidR="00DC5A1D" w:rsidRPr="00306DFE" w:rsidRDefault="00DC5A1D" w:rsidP="00437BB2">
            <w:pPr>
              <w:spacing w:line="360" w:lineRule="auto"/>
              <w:jc w:val="center"/>
            </w:pPr>
            <w:r w:rsidRPr="00306DFE">
              <w:t>7</w:t>
            </w:r>
          </w:p>
        </w:tc>
        <w:tc>
          <w:tcPr>
            <w:tcW w:w="2052" w:type="dxa"/>
            <w:noWrap/>
            <w:hideMark/>
          </w:tcPr>
          <w:p w:rsidR="00DC5A1D" w:rsidRPr="00306DFE" w:rsidRDefault="00DC5A1D" w:rsidP="00437BB2">
            <w:pPr>
              <w:spacing w:line="360" w:lineRule="auto"/>
              <w:rPr>
                <w:color w:val="000000"/>
                <w:lang w:val="en-IN" w:eastAsia="en-IN" w:bidi="ta-IN"/>
              </w:rPr>
            </w:pPr>
            <w:r w:rsidRPr="00306DFE">
              <w:t>Eosinophils (%)</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3.00±0.27</w:t>
            </w:r>
          </w:p>
        </w:tc>
        <w:tc>
          <w:tcPr>
            <w:tcW w:w="144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2.88±0.55</w:t>
            </w:r>
          </w:p>
        </w:tc>
        <w:tc>
          <w:tcPr>
            <w:tcW w:w="110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0.00</w:t>
            </w:r>
            <w:r w:rsidRPr="00306DFE">
              <w:rPr>
                <w:color w:val="000000"/>
                <w:vertAlign w:val="superscript"/>
                <w:lang w:val="en-IN" w:eastAsia="en-IN" w:bidi="ta-IN"/>
              </w:rPr>
              <w:t>NS</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3.00±0.50</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2.88±0.35</w:t>
            </w:r>
          </w:p>
        </w:tc>
        <w:tc>
          <w:tcPr>
            <w:tcW w:w="1116"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0.20</w:t>
            </w:r>
            <w:r w:rsidRPr="00306DFE">
              <w:rPr>
                <w:color w:val="000000"/>
                <w:vertAlign w:val="superscript"/>
                <w:lang w:val="en-IN" w:eastAsia="en-IN" w:bidi="ta-IN"/>
              </w:rPr>
              <w:t>NS</w:t>
            </w:r>
          </w:p>
        </w:tc>
        <w:tc>
          <w:tcPr>
            <w:tcW w:w="1428" w:type="dxa"/>
            <w:vAlign w:val="bottom"/>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2.94±0.30</w:t>
            </w:r>
          </w:p>
        </w:tc>
      </w:tr>
      <w:tr w:rsidR="00DC5A1D" w:rsidRPr="00306DFE" w:rsidTr="00DC5A1D">
        <w:trPr>
          <w:trHeight w:val="300"/>
        </w:trPr>
        <w:tc>
          <w:tcPr>
            <w:tcW w:w="731" w:type="dxa"/>
          </w:tcPr>
          <w:p w:rsidR="00DC5A1D" w:rsidRPr="00306DFE" w:rsidRDefault="00DC5A1D" w:rsidP="00437BB2">
            <w:pPr>
              <w:spacing w:line="360" w:lineRule="auto"/>
              <w:jc w:val="center"/>
            </w:pPr>
            <w:r w:rsidRPr="00306DFE">
              <w:t>8</w:t>
            </w:r>
          </w:p>
        </w:tc>
        <w:tc>
          <w:tcPr>
            <w:tcW w:w="2052" w:type="dxa"/>
            <w:noWrap/>
            <w:hideMark/>
          </w:tcPr>
          <w:p w:rsidR="00DC5A1D" w:rsidRPr="00306DFE" w:rsidRDefault="00DC5A1D" w:rsidP="00437BB2">
            <w:pPr>
              <w:spacing w:line="360" w:lineRule="auto"/>
              <w:rPr>
                <w:color w:val="000000"/>
                <w:lang w:val="en-IN" w:eastAsia="en-IN" w:bidi="ta-IN"/>
              </w:rPr>
            </w:pPr>
            <w:r w:rsidRPr="00306DFE">
              <w:t>Basophils (%)</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2.13±0.35</w:t>
            </w:r>
          </w:p>
        </w:tc>
        <w:tc>
          <w:tcPr>
            <w:tcW w:w="144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1.75±0.31</w:t>
            </w:r>
          </w:p>
        </w:tc>
        <w:tc>
          <w:tcPr>
            <w:tcW w:w="1103"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0.82</w:t>
            </w:r>
            <w:r w:rsidRPr="00306DFE">
              <w:rPr>
                <w:color w:val="000000"/>
                <w:vertAlign w:val="superscript"/>
                <w:lang w:val="en-IN" w:eastAsia="en-IN" w:bidi="ta-IN"/>
              </w:rPr>
              <w:t>NS</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2.13±0.35</w:t>
            </w:r>
          </w:p>
        </w:tc>
        <w:tc>
          <w:tcPr>
            <w:tcW w:w="1428"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1.75±0.31</w:t>
            </w:r>
          </w:p>
        </w:tc>
        <w:tc>
          <w:tcPr>
            <w:tcW w:w="1116" w:type="dxa"/>
            <w:noWrap/>
            <w:hideMark/>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0.80</w:t>
            </w:r>
            <w:r w:rsidRPr="00306DFE">
              <w:rPr>
                <w:color w:val="000000"/>
                <w:vertAlign w:val="superscript"/>
                <w:lang w:val="en-IN" w:eastAsia="en-IN" w:bidi="ta-IN"/>
              </w:rPr>
              <w:t>NS</w:t>
            </w:r>
          </w:p>
        </w:tc>
        <w:tc>
          <w:tcPr>
            <w:tcW w:w="1428" w:type="dxa"/>
            <w:vAlign w:val="bottom"/>
          </w:tcPr>
          <w:p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1.94±0.23</w:t>
            </w:r>
          </w:p>
        </w:tc>
      </w:tr>
    </w:tbl>
    <w:p w:rsidR="00F36215" w:rsidRDefault="00F36215" w:rsidP="00437BB2">
      <w:pPr>
        <w:spacing w:line="360" w:lineRule="auto"/>
        <w:ind w:right="-347"/>
      </w:pPr>
      <w:r w:rsidRPr="00306DFE">
        <w:t>* Significant (P&lt;0.05); ** Significant (P&lt;0.01); *** Significant (P&lt;0.001)</w:t>
      </w:r>
    </w:p>
    <w:p w:rsidR="00F41D0C" w:rsidRDefault="00F41D0C" w:rsidP="00437BB2">
      <w:pPr>
        <w:spacing w:line="360" w:lineRule="auto"/>
        <w:ind w:right="-347"/>
      </w:pPr>
    </w:p>
    <w:p w:rsidR="00F41D0C" w:rsidRDefault="00F41D0C" w:rsidP="00437BB2">
      <w:pPr>
        <w:spacing w:line="360" w:lineRule="auto"/>
        <w:ind w:right="-347"/>
      </w:pPr>
    </w:p>
    <w:sectPr w:rsidR="00F41D0C" w:rsidSect="00F41D0C">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0E2" w:rsidRDefault="00A160E2" w:rsidP="000061C1">
      <w:r>
        <w:separator/>
      </w:r>
    </w:p>
  </w:endnote>
  <w:endnote w:type="continuationSeparator" w:id="1">
    <w:p w:rsidR="00A160E2" w:rsidRDefault="00A160E2" w:rsidP="000061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F9" w:rsidRDefault="00DC04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F9" w:rsidRDefault="00DC04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F9" w:rsidRDefault="00DC04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0E2" w:rsidRDefault="00A160E2" w:rsidP="000061C1">
      <w:r>
        <w:separator/>
      </w:r>
    </w:p>
  </w:footnote>
  <w:footnote w:type="continuationSeparator" w:id="1">
    <w:p w:rsidR="00A160E2" w:rsidRDefault="00A160E2" w:rsidP="00006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F9" w:rsidRDefault="00DC04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F9" w:rsidRDefault="00DC04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F9" w:rsidRDefault="00DC04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F312D"/>
    <w:multiLevelType w:val="multilevel"/>
    <w:tmpl w:val="8DD6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C16660"/>
    <w:multiLevelType w:val="multilevel"/>
    <w:tmpl w:val="7BB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F46FF"/>
    <w:multiLevelType w:val="multilevel"/>
    <w:tmpl w:val="F698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F04003"/>
    <w:multiLevelType w:val="multilevel"/>
    <w:tmpl w:val="E7A2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2B20CA"/>
    <w:multiLevelType w:val="hybridMultilevel"/>
    <w:tmpl w:val="4AD8D3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6AF920B4"/>
    <w:multiLevelType w:val="multilevel"/>
    <w:tmpl w:val="B75A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B72AF0"/>
    <w:multiLevelType w:val="multilevel"/>
    <w:tmpl w:val="D1CA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930CC9"/>
    <w:multiLevelType w:val="multilevel"/>
    <w:tmpl w:val="3EF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0FEC"/>
    <w:rsid w:val="000061C1"/>
    <w:rsid w:val="0001143F"/>
    <w:rsid w:val="00023CF4"/>
    <w:rsid w:val="000308E7"/>
    <w:rsid w:val="00032CED"/>
    <w:rsid w:val="000756F9"/>
    <w:rsid w:val="00081D0A"/>
    <w:rsid w:val="000A442D"/>
    <w:rsid w:val="000C3394"/>
    <w:rsid w:val="000E3388"/>
    <w:rsid w:val="001030A1"/>
    <w:rsid w:val="00104A2F"/>
    <w:rsid w:val="00122AEA"/>
    <w:rsid w:val="00125EF0"/>
    <w:rsid w:val="00137AF5"/>
    <w:rsid w:val="00144789"/>
    <w:rsid w:val="00180A30"/>
    <w:rsid w:val="00187A44"/>
    <w:rsid w:val="001A03CC"/>
    <w:rsid w:val="001A6D1E"/>
    <w:rsid w:val="001B2BEF"/>
    <w:rsid w:val="001D4427"/>
    <w:rsid w:val="001D770B"/>
    <w:rsid w:val="00216486"/>
    <w:rsid w:val="00216A99"/>
    <w:rsid w:val="00233E2C"/>
    <w:rsid w:val="00233FD3"/>
    <w:rsid w:val="00243508"/>
    <w:rsid w:val="002470E1"/>
    <w:rsid w:val="00255065"/>
    <w:rsid w:val="0025634B"/>
    <w:rsid w:val="00283CD8"/>
    <w:rsid w:val="00292860"/>
    <w:rsid w:val="002A2CBB"/>
    <w:rsid w:val="002B5AE3"/>
    <w:rsid w:val="002C725A"/>
    <w:rsid w:val="002D0A71"/>
    <w:rsid w:val="002D3A37"/>
    <w:rsid w:val="00306DFE"/>
    <w:rsid w:val="00345370"/>
    <w:rsid w:val="00356E87"/>
    <w:rsid w:val="00387F13"/>
    <w:rsid w:val="003A7CE7"/>
    <w:rsid w:val="003D1A0C"/>
    <w:rsid w:val="003D6207"/>
    <w:rsid w:val="003D74AF"/>
    <w:rsid w:val="003E60FB"/>
    <w:rsid w:val="003F3DF3"/>
    <w:rsid w:val="00403C3E"/>
    <w:rsid w:val="00420891"/>
    <w:rsid w:val="00437BB2"/>
    <w:rsid w:val="00460D70"/>
    <w:rsid w:val="00485559"/>
    <w:rsid w:val="00494D1C"/>
    <w:rsid w:val="00497ACB"/>
    <w:rsid w:val="004A13B7"/>
    <w:rsid w:val="004A2F76"/>
    <w:rsid w:val="004C5913"/>
    <w:rsid w:val="004D66C7"/>
    <w:rsid w:val="004E0E7F"/>
    <w:rsid w:val="00505280"/>
    <w:rsid w:val="00532956"/>
    <w:rsid w:val="00564E54"/>
    <w:rsid w:val="00566902"/>
    <w:rsid w:val="00577470"/>
    <w:rsid w:val="005B2962"/>
    <w:rsid w:val="005C4C94"/>
    <w:rsid w:val="005D1EDB"/>
    <w:rsid w:val="005D78E6"/>
    <w:rsid w:val="005F14AB"/>
    <w:rsid w:val="005F1BA0"/>
    <w:rsid w:val="005F1C8E"/>
    <w:rsid w:val="005F3337"/>
    <w:rsid w:val="006122C8"/>
    <w:rsid w:val="006258DF"/>
    <w:rsid w:val="00627868"/>
    <w:rsid w:val="0065345F"/>
    <w:rsid w:val="00665BC4"/>
    <w:rsid w:val="006661C9"/>
    <w:rsid w:val="00686427"/>
    <w:rsid w:val="006907B9"/>
    <w:rsid w:val="006C7EBB"/>
    <w:rsid w:val="006D06FD"/>
    <w:rsid w:val="006D66CD"/>
    <w:rsid w:val="006F001F"/>
    <w:rsid w:val="00712102"/>
    <w:rsid w:val="00713811"/>
    <w:rsid w:val="00752665"/>
    <w:rsid w:val="00760FEC"/>
    <w:rsid w:val="0076390C"/>
    <w:rsid w:val="00776AEB"/>
    <w:rsid w:val="007A3140"/>
    <w:rsid w:val="007C6C98"/>
    <w:rsid w:val="007D51C4"/>
    <w:rsid w:val="007F674B"/>
    <w:rsid w:val="00815B80"/>
    <w:rsid w:val="00825610"/>
    <w:rsid w:val="00833E09"/>
    <w:rsid w:val="008411D8"/>
    <w:rsid w:val="008503B3"/>
    <w:rsid w:val="008A4069"/>
    <w:rsid w:val="008D07D6"/>
    <w:rsid w:val="008E37F3"/>
    <w:rsid w:val="008E6B41"/>
    <w:rsid w:val="008F447A"/>
    <w:rsid w:val="00912B52"/>
    <w:rsid w:val="00922D9E"/>
    <w:rsid w:val="00926EFD"/>
    <w:rsid w:val="00966336"/>
    <w:rsid w:val="009875E3"/>
    <w:rsid w:val="009907DF"/>
    <w:rsid w:val="009A7039"/>
    <w:rsid w:val="009C40C9"/>
    <w:rsid w:val="009C7DD6"/>
    <w:rsid w:val="009D3950"/>
    <w:rsid w:val="00A072C3"/>
    <w:rsid w:val="00A160E2"/>
    <w:rsid w:val="00A3513A"/>
    <w:rsid w:val="00A56316"/>
    <w:rsid w:val="00A65538"/>
    <w:rsid w:val="00A70C24"/>
    <w:rsid w:val="00A74151"/>
    <w:rsid w:val="00A84CAD"/>
    <w:rsid w:val="00A92D21"/>
    <w:rsid w:val="00A93A9B"/>
    <w:rsid w:val="00AC0967"/>
    <w:rsid w:val="00AD2969"/>
    <w:rsid w:val="00AD467E"/>
    <w:rsid w:val="00AF0B1E"/>
    <w:rsid w:val="00AF5E26"/>
    <w:rsid w:val="00B13F80"/>
    <w:rsid w:val="00B24EEF"/>
    <w:rsid w:val="00B31A44"/>
    <w:rsid w:val="00B45331"/>
    <w:rsid w:val="00B660F8"/>
    <w:rsid w:val="00B7011C"/>
    <w:rsid w:val="00B80297"/>
    <w:rsid w:val="00B9130F"/>
    <w:rsid w:val="00B91984"/>
    <w:rsid w:val="00BC5254"/>
    <w:rsid w:val="00C36577"/>
    <w:rsid w:val="00C37E70"/>
    <w:rsid w:val="00C55820"/>
    <w:rsid w:val="00C61C23"/>
    <w:rsid w:val="00CA71DD"/>
    <w:rsid w:val="00CC6962"/>
    <w:rsid w:val="00CD6D8D"/>
    <w:rsid w:val="00D01376"/>
    <w:rsid w:val="00D105FE"/>
    <w:rsid w:val="00D164C4"/>
    <w:rsid w:val="00D47DDD"/>
    <w:rsid w:val="00D6683E"/>
    <w:rsid w:val="00D73DB5"/>
    <w:rsid w:val="00D8792D"/>
    <w:rsid w:val="00D901B3"/>
    <w:rsid w:val="00DB112C"/>
    <w:rsid w:val="00DC04F9"/>
    <w:rsid w:val="00DC5A1D"/>
    <w:rsid w:val="00DC5AA9"/>
    <w:rsid w:val="00DD240A"/>
    <w:rsid w:val="00DE20ED"/>
    <w:rsid w:val="00E0767F"/>
    <w:rsid w:val="00E34E08"/>
    <w:rsid w:val="00E51E6F"/>
    <w:rsid w:val="00E919E2"/>
    <w:rsid w:val="00EB11C6"/>
    <w:rsid w:val="00EB7AA2"/>
    <w:rsid w:val="00EC4177"/>
    <w:rsid w:val="00EC5504"/>
    <w:rsid w:val="00EE733B"/>
    <w:rsid w:val="00EF2F49"/>
    <w:rsid w:val="00EF3324"/>
    <w:rsid w:val="00EF69E5"/>
    <w:rsid w:val="00F04FEB"/>
    <w:rsid w:val="00F06553"/>
    <w:rsid w:val="00F16C8D"/>
    <w:rsid w:val="00F36215"/>
    <w:rsid w:val="00F41D0C"/>
    <w:rsid w:val="00F724B2"/>
    <w:rsid w:val="00F77C50"/>
    <w:rsid w:val="00F82D7E"/>
    <w:rsid w:val="00FB01EA"/>
    <w:rsid w:val="00FB66F7"/>
    <w:rsid w:val="00FC1389"/>
    <w:rsid w:val="00FC31AC"/>
    <w:rsid w:val="00FD160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EF0"/>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D73DB5"/>
    <w:pPr>
      <w:spacing w:before="100" w:beforeAutospacing="1" w:after="100" w:afterAutospacing="1"/>
      <w:outlineLvl w:val="2"/>
    </w:pPr>
    <w:rPr>
      <w:b/>
      <w:bCs/>
      <w:sz w:val="27"/>
      <w:szCs w:val="27"/>
      <w:lang w:val="en-IN"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FirstIndentChar">
    <w:name w:val="Body Text First Indent Char"/>
    <w:basedOn w:val="BodyTextChar"/>
    <w:link w:val="BodyTextFirstIndent"/>
    <w:locked/>
    <w:rsid w:val="00125EF0"/>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125EF0"/>
    <w:pPr>
      <w:spacing w:after="120"/>
    </w:pPr>
  </w:style>
  <w:style w:type="character" w:customStyle="1" w:styleId="BodyTextChar">
    <w:name w:val="Body Text Char"/>
    <w:basedOn w:val="DefaultParagraphFont"/>
    <w:link w:val="BodyText"/>
    <w:uiPriority w:val="99"/>
    <w:semiHidden/>
    <w:rsid w:val="00125EF0"/>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125EF0"/>
    <w:pPr>
      <w:spacing w:line="360" w:lineRule="auto"/>
      <w:ind w:firstLine="210"/>
      <w:jc w:val="both"/>
    </w:pPr>
    <w:rPr>
      <w:rFonts w:asciiTheme="minorHAnsi" w:eastAsiaTheme="minorHAnsi" w:hAnsiTheme="minorHAnsi" w:cstheme="minorBidi"/>
      <w:lang w:val="en-IN"/>
    </w:rPr>
  </w:style>
  <w:style w:type="character" w:customStyle="1" w:styleId="BodyTextFirstIndentChar1">
    <w:name w:val="Body Text First Indent Char1"/>
    <w:basedOn w:val="BodyTextChar"/>
    <w:uiPriority w:val="99"/>
    <w:semiHidden/>
    <w:rsid w:val="00125EF0"/>
    <w:rPr>
      <w:rFonts w:ascii="Times New Roman" w:eastAsia="Times New Roman" w:hAnsi="Times New Roman" w:cs="Times New Roman"/>
      <w:sz w:val="24"/>
      <w:szCs w:val="24"/>
      <w:lang w:val="en-US"/>
    </w:rPr>
  </w:style>
  <w:style w:type="character" w:styleId="CommentReference">
    <w:name w:val="annotation reference"/>
    <w:rsid w:val="00125EF0"/>
    <w:rPr>
      <w:sz w:val="16"/>
      <w:szCs w:val="16"/>
    </w:rPr>
  </w:style>
  <w:style w:type="paragraph" w:styleId="CommentText">
    <w:name w:val="annotation text"/>
    <w:basedOn w:val="Normal"/>
    <w:link w:val="CommentTextChar"/>
    <w:rsid w:val="00125EF0"/>
    <w:rPr>
      <w:sz w:val="20"/>
      <w:szCs w:val="20"/>
    </w:rPr>
  </w:style>
  <w:style w:type="character" w:customStyle="1" w:styleId="CommentTextChar">
    <w:name w:val="Comment Text Char"/>
    <w:basedOn w:val="DefaultParagraphFont"/>
    <w:link w:val="CommentText"/>
    <w:rsid w:val="00125EF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25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F0"/>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25EF0"/>
    <w:rPr>
      <w:b/>
      <w:bCs/>
    </w:rPr>
  </w:style>
  <w:style w:type="character" w:customStyle="1" w:styleId="CommentSubjectChar">
    <w:name w:val="Comment Subject Char"/>
    <w:basedOn w:val="CommentTextChar"/>
    <w:link w:val="CommentSubject"/>
    <w:uiPriority w:val="99"/>
    <w:semiHidden/>
    <w:rsid w:val="00125EF0"/>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5F1C8E"/>
    <w:rPr>
      <w:color w:val="0000FF"/>
      <w:u w:val="single"/>
    </w:rPr>
  </w:style>
  <w:style w:type="paragraph" w:styleId="NormalWeb">
    <w:name w:val="Normal (Web)"/>
    <w:basedOn w:val="Normal"/>
    <w:uiPriority w:val="99"/>
    <w:unhideWhenUsed/>
    <w:rsid w:val="005F1C8E"/>
    <w:pPr>
      <w:spacing w:before="100" w:beforeAutospacing="1" w:after="100" w:afterAutospacing="1"/>
    </w:pPr>
    <w:rPr>
      <w:lang w:val="en-IN" w:eastAsia="en-IN" w:bidi="ta-IN"/>
    </w:rPr>
  </w:style>
  <w:style w:type="paragraph" w:styleId="Header">
    <w:name w:val="header"/>
    <w:basedOn w:val="Normal"/>
    <w:link w:val="HeaderChar"/>
    <w:uiPriority w:val="99"/>
    <w:unhideWhenUsed/>
    <w:rsid w:val="000061C1"/>
    <w:pPr>
      <w:tabs>
        <w:tab w:val="center" w:pos="4513"/>
        <w:tab w:val="right" w:pos="9026"/>
      </w:tabs>
    </w:pPr>
  </w:style>
  <w:style w:type="character" w:customStyle="1" w:styleId="HeaderChar">
    <w:name w:val="Header Char"/>
    <w:basedOn w:val="DefaultParagraphFont"/>
    <w:link w:val="Header"/>
    <w:uiPriority w:val="99"/>
    <w:rsid w:val="000061C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061C1"/>
    <w:pPr>
      <w:tabs>
        <w:tab w:val="center" w:pos="4513"/>
        <w:tab w:val="right" w:pos="9026"/>
      </w:tabs>
    </w:pPr>
  </w:style>
  <w:style w:type="character" w:customStyle="1" w:styleId="FooterChar">
    <w:name w:val="Footer Char"/>
    <w:basedOn w:val="DefaultParagraphFont"/>
    <w:link w:val="Footer"/>
    <w:uiPriority w:val="99"/>
    <w:rsid w:val="000061C1"/>
    <w:rPr>
      <w:rFonts w:ascii="Times New Roman" w:eastAsia="Times New Roman" w:hAnsi="Times New Roman" w:cs="Times New Roman"/>
      <w:sz w:val="24"/>
      <w:szCs w:val="24"/>
      <w:lang w:val="en-US"/>
    </w:rPr>
  </w:style>
  <w:style w:type="table" w:styleId="TableGrid">
    <w:name w:val="Table Grid"/>
    <w:basedOn w:val="TableNormal"/>
    <w:uiPriority w:val="39"/>
    <w:rsid w:val="005F1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030A1"/>
    <w:rPr>
      <w:sz w:val="20"/>
      <w:szCs w:val="20"/>
    </w:rPr>
  </w:style>
  <w:style w:type="character" w:customStyle="1" w:styleId="FootnoteTextChar">
    <w:name w:val="Footnote Text Char"/>
    <w:basedOn w:val="DefaultParagraphFont"/>
    <w:link w:val="FootnoteText"/>
    <w:uiPriority w:val="99"/>
    <w:semiHidden/>
    <w:rsid w:val="001030A1"/>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345370"/>
    <w:rPr>
      <w:i/>
      <w:iCs/>
    </w:rPr>
  </w:style>
  <w:style w:type="character" w:customStyle="1" w:styleId="UnresolvedMention">
    <w:name w:val="Unresolved Mention"/>
    <w:basedOn w:val="DefaultParagraphFont"/>
    <w:uiPriority w:val="99"/>
    <w:semiHidden/>
    <w:unhideWhenUsed/>
    <w:rsid w:val="00A072C3"/>
    <w:rPr>
      <w:color w:val="605E5C"/>
      <w:shd w:val="clear" w:color="auto" w:fill="E1DFDD"/>
    </w:rPr>
  </w:style>
  <w:style w:type="character" w:styleId="Strong">
    <w:name w:val="Strong"/>
    <w:basedOn w:val="DefaultParagraphFont"/>
    <w:uiPriority w:val="22"/>
    <w:qFormat/>
    <w:rsid w:val="00922D9E"/>
    <w:rPr>
      <w:b/>
      <w:bCs/>
    </w:rPr>
  </w:style>
  <w:style w:type="paragraph" w:customStyle="1" w:styleId="text-wall">
    <w:name w:val="text-wall"/>
    <w:basedOn w:val="Normal"/>
    <w:rsid w:val="006D66CD"/>
    <w:pPr>
      <w:spacing w:before="100" w:beforeAutospacing="1" w:after="100" w:afterAutospacing="1"/>
    </w:pPr>
    <w:rPr>
      <w:lang w:val="en-IN" w:eastAsia="en-IN" w:bidi="ta-IN"/>
    </w:rPr>
  </w:style>
  <w:style w:type="character" w:customStyle="1" w:styleId="m5tqyf">
    <w:name w:val="m5tqyf"/>
    <w:basedOn w:val="DefaultParagraphFont"/>
    <w:rsid w:val="00437BB2"/>
  </w:style>
  <w:style w:type="paragraph" w:customStyle="1" w:styleId="nova-legacy-e-listitem">
    <w:name w:val="nova-legacy-e-list__item"/>
    <w:basedOn w:val="Normal"/>
    <w:rsid w:val="00C61C23"/>
    <w:pPr>
      <w:spacing w:before="100" w:beforeAutospacing="1" w:after="100" w:afterAutospacing="1"/>
    </w:pPr>
    <w:rPr>
      <w:lang w:val="en-IN" w:eastAsia="en-IN" w:bidi="ta-IN"/>
    </w:rPr>
  </w:style>
  <w:style w:type="character" w:customStyle="1" w:styleId="relative">
    <w:name w:val="relative"/>
    <w:basedOn w:val="DefaultParagraphFont"/>
    <w:rsid w:val="002A2CBB"/>
  </w:style>
  <w:style w:type="character" w:customStyle="1" w:styleId="ms-1">
    <w:name w:val="ms-1"/>
    <w:basedOn w:val="DefaultParagraphFont"/>
    <w:rsid w:val="002A2CBB"/>
  </w:style>
  <w:style w:type="character" w:customStyle="1" w:styleId="max-w-full">
    <w:name w:val="max-w-full"/>
    <w:basedOn w:val="DefaultParagraphFont"/>
    <w:rsid w:val="002A2CBB"/>
  </w:style>
  <w:style w:type="character" w:customStyle="1" w:styleId="-me-1">
    <w:name w:val="-me-1"/>
    <w:basedOn w:val="DefaultParagraphFont"/>
    <w:rsid w:val="002A2CBB"/>
  </w:style>
  <w:style w:type="character" w:customStyle="1" w:styleId="Heading3Char">
    <w:name w:val="Heading 3 Char"/>
    <w:basedOn w:val="DefaultParagraphFont"/>
    <w:link w:val="Heading3"/>
    <w:uiPriority w:val="9"/>
    <w:rsid w:val="00D73DB5"/>
    <w:rPr>
      <w:rFonts w:ascii="Times New Roman" w:eastAsia="Times New Roman" w:hAnsi="Times New Roman" w:cs="Times New Roman"/>
      <w:b/>
      <w:bCs/>
      <w:sz w:val="27"/>
      <w:szCs w:val="27"/>
      <w:lang w:eastAsia="en-IN" w:bidi="ta-IN"/>
    </w:rPr>
  </w:style>
</w:styles>
</file>

<file path=word/webSettings.xml><?xml version="1.0" encoding="utf-8"?>
<w:webSettings xmlns:r="http://schemas.openxmlformats.org/officeDocument/2006/relationships" xmlns:w="http://schemas.openxmlformats.org/wordprocessingml/2006/main">
  <w:divs>
    <w:div w:id="106583444">
      <w:bodyDiv w:val="1"/>
      <w:marLeft w:val="0"/>
      <w:marRight w:val="0"/>
      <w:marTop w:val="0"/>
      <w:marBottom w:val="0"/>
      <w:divBdr>
        <w:top w:val="none" w:sz="0" w:space="0" w:color="auto"/>
        <w:left w:val="none" w:sz="0" w:space="0" w:color="auto"/>
        <w:bottom w:val="none" w:sz="0" w:space="0" w:color="auto"/>
        <w:right w:val="none" w:sz="0" w:space="0" w:color="auto"/>
      </w:divBdr>
    </w:div>
    <w:div w:id="173153321">
      <w:bodyDiv w:val="1"/>
      <w:marLeft w:val="0"/>
      <w:marRight w:val="0"/>
      <w:marTop w:val="0"/>
      <w:marBottom w:val="0"/>
      <w:divBdr>
        <w:top w:val="none" w:sz="0" w:space="0" w:color="auto"/>
        <w:left w:val="none" w:sz="0" w:space="0" w:color="auto"/>
        <w:bottom w:val="none" w:sz="0" w:space="0" w:color="auto"/>
        <w:right w:val="none" w:sz="0" w:space="0" w:color="auto"/>
      </w:divBdr>
    </w:div>
    <w:div w:id="320041778">
      <w:bodyDiv w:val="1"/>
      <w:marLeft w:val="0"/>
      <w:marRight w:val="0"/>
      <w:marTop w:val="0"/>
      <w:marBottom w:val="0"/>
      <w:divBdr>
        <w:top w:val="none" w:sz="0" w:space="0" w:color="auto"/>
        <w:left w:val="none" w:sz="0" w:space="0" w:color="auto"/>
        <w:bottom w:val="none" w:sz="0" w:space="0" w:color="auto"/>
        <w:right w:val="none" w:sz="0" w:space="0" w:color="auto"/>
      </w:divBdr>
    </w:div>
    <w:div w:id="333804630">
      <w:bodyDiv w:val="1"/>
      <w:marLeft w:val="0"/>
      <w:marRight w:val="0"/>
      <w:marTop w:val="0"/>
      <w:marBottom w:val="0"/>
      <w:divBdr>
        <w:top w:val="none" w:sz="0" w:space="0" w:color="auto"/>
        <w:left w:val="none" w:sz="0" w:space="0" w:color="auto"/>
        <w:bottom w:val="none" w:sz="0" w:space="0" w:color="auto"/>
        <w:right w:val="none" w:sz="0" w:space="0" w:color="auto"/>
      </w:divBdr>
    </w:div>
    <w:div w:id="372386356">
      <w:bodyDiv w:val="1"/>
      <w:marLeft w:val="0"/>
      <w:marRight w:val="0"/>
      <w:marTop w:val="0"/>
      <w:marBottom w:val="0"/>
      <w:divBdr>
        <w:top w:val="none" w:sz="0" w:space="0" w:color="auto"/>
        <w:left w:val="none" w:sz="0" w:space="0" w:color="auto"/>
        <w:bottom w:val="none" w:sz="0" w:space="0" w:color="auto"/>
        <w:right w:val="none" w:sz="0" w:space="0" w:color="auto"/>
      </w:divBdr>
    </w:div>
    <w:div w:id="591352165">
      <w:bodyDiv w:val="1"/>
      <w:marLeft w:val="0"/>
      <w:marRight w:val="0"/>
      <w:marTop w:val="0"/>
      <w:marBottom w:val="0"/>
      <w:divBdr>
        <w:top w:val="none" w:sz="0" w:space="0" w:color="auto"/>
        <w:left w:val="none" w:sz="0" w:space="0" w:color="auto"/>
        <w:bottom w:val="none" w:sz="0" w:space="0" w:color="auto"/>
        <w:right w:val="none" w:sz="0" w:space="0" w:color="auto"/>
      </w:divBdr>
    </w:div>
    <w:div w:id="603419020">
      <w:bodyDiv w:val="1"/>
      <w:marLeft w:val="0"/>
      <w:marRight w:val="0"/>
      <w:marTop w:val="0"/>
      <w:marBottom w:val="0"/>
      <w:divBdr>
        <w:top w:val="none" w:sz="0" w:space="0" w:color="auto"/>
        <w:left w:val="none" w:sz="0" w:space="0" w:color="auto"/>
        <w:bottom w:val="none" w:sz="0" w:space="0" w:color="auto"/>
        <w:right w:val="none" w:sz="0" w:space="0" w:color="auto"/>
      </w:divBdr>
    </w:div>
    <w:div w:id="674114365">
      <w:bodyDiv w:val="1"/>
      <w:marLeft w:val="0"/>
      <w:marRight w:val="0"/>
      <w:marTop w:val="0"/>
      <w:marBottom w:val="0"/>
      <w:divBdr>
        <w:top w:val="none" w:sz="0" w:space="0" w:color="auto"/>
        <w:left w:val="none" w:sz="0" w:space="0" w:color="auto"/>
        <w:bottom w:val="none" w:sz="0" w:space="0" w:color="auto"/>
        <w:right w:val="none" w:sz="0" w:space="0" w:color="auto"/>
      </w:divBdr>
      <w:divsChild>
        <w:div w:id="203168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47537">
      <w:bodyDiv w:val="1"/>
      <w:marLeft w:val="0"/>
      <w:marRight w:val="0"/>
      <w:marTop w:val="0"/>
      <w:marBottom w:val="0"/>
      <w:divBdr>
        <w:top w:val="none" w:sz="0" w:space="0" w:color="auto"/>
        <w:left w:val="none" w:sz="0" w:space="0" w:color="auto"/>
        <w:bottom w:val="none" w:sz="0" w:space="0" w:color="auto"/>
        <w:right w:val="none" w:sz="0" w:space="0" w:color="auto"/>
      </w:divBdr>
    </w:div>
    <w:div w:id="756025484">
      <w:bodyDiv w:val="1"/>
      <w:marLeft w:val="0"/>
      <w:marRight w:val="0"/>
      <w:marTop w:val="0"/>
      <w:marBottom w:val="0"/>
      <w:divBdr>
        <w:top w:val="none" w:sz="0" w:space="0" w:color="auto"/>
        <w:left w:val="none" w:sz="0" w:space="0" w:color="auto"/>
        <w:bottom w:val="none" w:sz="0" w:space="0" w:color="auto"/>
        <w:right w:val="none" w:sz="0" w:space="0" w:color="auto"/>
      </w:divBdr>
    </w:div>
    <w:div w:id="792678720">
      <w:bodyDiv w:val="1"/>
      <w:marLeft w:val="0"/>
      <w:marRight w:val="0"/>
      <w:marTop w:val="0"/>
      <w:marBottom w:val="0"/>
      <w:divBdr>
        <w:top w:val="none" w:sz="0" w:space="0" w:color="auto"/>
        <w:left w:val="none" w:sz="0" w:space="0" w:color="auto"/>
        <w:bottom w:val="none" w:sz="0" w:space="0" w:color="auto"/>
        <w:right w:val="none" w:sz="0" w:space="0" w:color="auto"/>
      </w:divBdr>
    </w:div>
    <w:div w:id="809203675">
      <w:bodyDiv w:val="1"/>
      <w:marLeft w:val="0"/>
      <w:marRight w:val="0"/>
      <w:marTop w:val="0"/>
      <w:marBottom w:val="0"/>
      <w:divBdr>
        <w:top w:val="none" w:sz="0" w:space="0" w:color="auto"/>
        <w:left w:val="none" w:sz="0" w:space="0" w:color="auto"/>
        <w:bottom w:val="none" w:sz="0" w:space="0" w:color="auto"/>
        <w:right w:val="none" w:sz="0" w:space="0" w:color="auto"/>
      </w:divBdr>
    </w:div>
    <w:div w:id="829953078">
      <w:bodyDiv w:val="1"/>
      <w:marLeft w:val="0"/>
      <w:marRight w:val="0"/>
      <w:marTop w:val="0"/>
      <w:marBottom w:val="0"/>
      <w:divBdr>
        <w:top w:val="none" w:sz="0" w:space="0" w:color="auto"/>
        <w:left w:val="none" w:sz="0" w:space="0" w:color="auto"/>
        <w:bottom w:val="none" w:sz="0" w:space="0" w:color="auto"/>
        <w:right w:val="none" w:sz="0" w:space="0" w:color="auto"/>
      </w:divBdr>
    </w:div>
    <w:div w:id="962151756">
      <w:bodyDiv w:val="1"/>
      <w:marLeft w:val="0"/>
      <w:marRight w:val="0"/>
      <w:marTop w:val="0"/>
      <w:marBottom w:val="0"/>
      <w:divBdr>
        <w:top w:val="none" w:sz="0" w:space="0" w:color="auto"/>
        <w:left w:val="none" w:sz="0" w:space="0" w:color="auto"/>
        <w:bottom w:val="none" w:sz="0" w:space="0" w:color="auto"/>
        <w:right w:val="none" w:sz="0" w:space="0" w:color="auto"/>
      </w:divBdr>
    </w:div>
    <w:div w:id="968435709">
      <w:bodyDiv w:val="1"/>
      <w:marLeft w:val="0"/>
      <w:marRight w:val="0"/>
      <w:marTop w:val="0"/>
      <w:marBottom w:val="0"/>
      <w:divBdr>
        <w:top w:val="none" w:sz="0" w:space="0" w:color="auto"/>
        <w:left w:val="none" w:sz="0" w:space="0" w:color="auto"/>
        <w:bottom w:val="none" w:sz="0" w:space="0" w:color="auto"/>
        <w:right w:val="none" w:sz="0" w:space="0" w:color="auto"/>
      </w:divBdr>
    </w:div>
    <w:div w:id="1001737032">
      <w:bodyDiv w:val="1"/>
      <w:marLeft w:val="0"/>
      <w:marRight w:val="0"/>
      <w:marTop w:val="0"/>
      <w:marBottom w:val="0"/>
      <w:divBdr>
        <w:top w:val="none" w:sz="0" w:space="0" w:color="auto"/>
        <w:left w:val="none" w:sz="0" w:space="0" w:color="auto"/>
        <w:bottom w:val="none" w:sz="0" w:space="0" w:color="auto"/>
        <w:right w:val="none" w:sz="0" w:space="0" w:color="auto"/>
      </w:divBdr>
    </w:div>
    <w:div w:id="1132793316">
      <w:bodyDiv w:val="1"/>
      <w:marLeft w:val="0"/>
      <w:marRight w:val="0"/>
      <w:marTop w:val="0"/>
      <w:marBottom w:val="0"/>
      <w:divBdr>
        <w:top w:val="none" w:sz="0" w:space="0" w:color="auto"/>
        <w:left w:val="none" w:sz="0" w:space="0" w:color="auto"/>
        <w:bottom w:val="none" w:sz="0" w:space="0" w:color="auto"/>
        <w:right w:val="none" w:sz="0" w:space="0" w:color="auto"/>
      </w:divBdr>
    </w:div>
    <w:div w:id="1163280517">
      <w:bodyDiv w:val="1"/>
      <w:marLeft w:val="0"/>
      <w:marRight w:val="0"/>
      <w:marTop w:val="0"/>
      <w:marBottom w:val="0"/>
      <w:divBdr>
        <w:top w:val="none" w:sz="0" w:space="0" w:color="auto"/>
        <w:left w:val="none" w:sz="0" w:space="0" w:color="auto"/>
        <w:bottom w:val="none" w:sz="0" w:space="0" w:color="auto"/>
        <w:right w:val="none" w:sz="0" w:space="0" w:color="auto"/>
      </w:divBdr>
    </w:div>
    <w:div w:id="1338119420">
      <w:bodyDiv w:val="1"/>
      <w:marLeft w:val="0"/>
      <w:marRight w:val="0"/>
      <w:marTop w:val="0"/>
      <w:marBottom w:val="0"/>
      <w:divBdr>
        <w:top w:val="none" w:sz="0" w:space="0" w:color="auto"/>
        <w:left w:val="none" w:sz="0" w:space="0" w:color="auto"/>
        <w:bottom w:val="none" w:sz="0" w:space="0" w:color="auto"/>
        <w:right w:val="none" w:sz="0" w:space="0" w:color="auto"/>
      </w:divBdr>
    </w:div>
    <w:div w:id="1340500046">
      <w:bodyDiv w:val="1"/>
      <w:marLeft w:val="0"/>
      <w:marRight w:val="0"/>
      <w:marTop w:val="0"/>
      <w:marBottom w:val="0"/>
      <w:divBdr>
        <w:top w:val="none" w:sz="0" w:space="0" w:color="auto"/>
        <w:left w:val="none" w:sz="0" w:space="0" w:color="auto"/>
        <w:bottom w:val="none" w:sz="0" w:space="0" w:color="auto"/>
        <w:right w:val="none" w:sz="0" w:space="0" w:color="auto"/>
      </w:divBdr>
    </w:div>
    <w:div w:id="1355959866">
      <w:bodyDiv w:val="1"/>
      <w:marLeft w:val="0"/>
      <w:marRight w:val="0"/>
      <w:marTop w:val="0"/>
      <w:marBottom w:val="0"/>
      <w:divBdr>
        <w:top w:val="none" w:sz="0" w:space="0" w:color="auto"/>
        <w:left w:val="none" w:sz="0" w:space="0" w:color="auto"/>
        <w:bottom w:val="none" w:sz="0" w:space="0" w:color="auto"/>
        <w:right w:val="none" w:sz="0" w:space="0" w:color="auto"/>
      </w:divBdr>
    </w:div>
    <w:div w:id="1383482713">
      <w:bodyDiv w:val="1"/>
      <w:marLeft w:val="0"/>
      <w:marRight w:val="0"/>
      <w:marTop w:val="0"/>
      <w:marBottom w:val="0"/>
      <w:divBdr>
        <w:top w:val="none" w:sz="0" w:space="0" w:color="auto"/>
        <w:left w:val="none" w:sz="0" w:space="0" w:color="auto"/>
        <w:bottom w:val="none" w:sz="0" w:space="0" w:color="auto"/>
        <w:right w:val="none" w:sz="0" w:space="0" w:color="auto"/>
      </w:divBdr>
    </w:div>
    <w:div w:id="1488478051">
      <w:bodyDiv w:val="1"/>
      <w:marLeft w:val="0"/>
      <w:marRight w:val="0"/>
      <w:marTop w:val="0"/>
      <w:marBottom w:val="0"/>
      <w:divBdr>
        <w:top w:val="none" w:sz="0" w:space="0" w:color="auto"/>
        <w:left w:val="none" w:sz="0" w:space="0" w:color="auto"/>
        <w:bottom w:val="none" w:sz="0" w:space="0" w:color="auto"/>
        <w:right w:val="none" w:sz="0" w:space="0" w:color="auto"/>
      </w:divBdr>
    </w:div>
    <w:div w:id="1505362246">
      <w:bodyDiv w:val="1"/>
      <w:marLeft w:val="0"/>
      <w:marRight w:val="0"/>
      <w:marTop w:val="0"/>
      <w:marBottom w:val="0"/>
      <w:divBdr>
        <w:top w:val="none" w:sz="0" w:space="0" w:color="auto"/>
        <w:left w:val="none" w:sz="0" w:space="0" w:color="auto"/>
        <w:bottom w:val="none" w:sz="0" w:space="0" w:color="auto"/>
        <w:right w:val="none" w:sz="0" w:space="0" w:color="auto"/>
      </w:divBdr>
    </w:div>
    <w:div w:id="1520044825">
      <w:bodyDiv w:val="1"/>
      <w:marLeft w:val="0"/>
      <w:marRight w:val="0"/>
      <w:marTop w:val="0"/>
      <w:marBottom w:val="0"/>
      <w:divBdr>
        <w:top w:val="none" w:sz="0" w:space="0" w:color="auto"/>
        <w:left w:val="none" w:sz="0" w:space="0" w:color="auto"/>
        <w:bottom w:val="none" w:sz="0" w:space="0" w:color="auto"/>
        <w:right w:val="none" w:sz="0" w:space="0" w:color="auto"/>
      </w:divBdr>
    </w:div>
    <w:div w:id="1602563188">
      <w:bodyDiv w:val="1"/>
      <w:marLeft w:val="0"/>
      <w:marRight w:val="0"/>
      <w:marTop w:val="0"/>
      <w:marBottom w:val="0"/>
      <w:divBdr>
        <w:top w:val="none" w:sz="0" w:space="0" w:color="auto"/>
        <w:left w:val="none" w:sz="0" w:space="0" w:color="auto"/>
        <w:bottom w:val="none" w:sz="0" w:space="0" w:color="auto"/>
        <w:right w:val="none" w:sz="0" w:space="0" w:color="auto"/>
      </w:divBdr>
    </w:div>
    <w:div w:id="1841193524">
      <w:bodyDiv w:val="1"/>
      <w:marLeft w:val="0"/>
      <w:marRight w:val="0"/>
      <w:marTop w:val="0"/>
      <w:marBottom w:val="0"/>
      <w:divBdr>
        <w:top w:val="none" w:sz="0" w:space="0" w:color="auto"/>
        <w:left w:val="none" w:sz="0" w:space="0" w:color="auto"/>
        <w:bottom w:val="none" w:sz="0" w:space="0" w:color="auto"/>
        <w:right w:val="none" w:sz="0" w:space="0" w:color="auto"/>
      </w:divBdr>
    </w:div>
    <w:div w:id="1909458262">
      <w:bodyDiv w:val="1"/>
      <w:marLeft w:val="0"/>
      <w:marRight w:val="0"/>
      <w:marTop w:val="0"/>
      <w:marBottom w:val="0"/>
      <w:divBdr>
        <w:top w:val="none" w:sz="0" w:space="0" w:color="auto"/>
        <w:left w:val="none" w:sz="0" w:space="0" w:color="auto"/>
        <w:bottom w:val="none" w:sz="0" w:space="0" w:color="auto"/>
        <w:right w:val="none" w:sz="0" w:space="0" w:color="auto"/>
      </w:divBdr>
    </w:div>
    <w:div w:id="1928153004">
      <w:bodyDiv w:val="1"/>
      <w:marLeft w:val="0"/>
      <w:marRight w:val="0"/>
      <w:marTop w:val="0"/>
      <w:marBottom w:val="0"/>
      <w:divBdr>
        <w:top w:val="none" w:sz="0" w:space="0" w:color="auto"/>
        <w:left w:val="none" w:sz="0" w:space="0" w:color="auto"/>
        <w:bottom w:val="none" w:sz="0" w:space="0" w:color="auto"/>
        <w:right w:val="none" w:sz="0" w:space="0" w:color="auto"/>
      </w:divBdr>
    </w:div>
    <w:div w:id="1929538022">
      <w:bodyDiv w:val="1"/>
      <w:marLeft w:val="0"/>
      <w:marRight w:val="0"/>
      <w:marTop w:val="0"/>
      <w:marBottom w:val="0"/>
      <w:divBdr>
        <w:top w:val="none" w:sz="0" w:space="0" w:color="auto"/>
        <w:left w:val="none" w:sz="0" w:space="0" w:color="auto"/>
        <w:bottom w:val="none" w:sz="0" w:space="0" w:color="auto"/>
        <w:right w:val="none" w:sz="0" w:space="0" w:color="auto"/>
      </w:divBdr>
    </w:div>
    <w:div w:id="1943148208">
      <w:bodyDiv w:val="1"/>
      <w:marLeft w:val="0"/>
      <w:marRight w:val="0"/>
      <w:marTop w:val="0"/>
      <w:marBottom w:val="0"/>
      <w:divBdr>
        <w:top w:val="none" w:sz="0" w:space="0" w:color="auto"/>
        <w:left w:val="none" w:sz="0" w:space="0" w:color="auto"/>
        <w:bottom w:val="none" w:sz="0" w:space="0" w:color="auto"/>
        <w:right w:val="none" w:sz="0" w:space="0" w:color="auto"/>
      </w:divBdr>
    </w:div>
    <w:div w:id="1991517573">
      <w:bodyDiv w:val="1"/>
      <w:marLeft w:val="0"/>
      <w:marRight w:val="0"/>
      <w:marTop w:val="0"/>
      <w:marBottom w:val="0"/>
      <w:divBdr>
        <w:top w:val="none" w:sz="0" w:space="0" w:color="auto"/>
        <w:left w:val="none" w:sz="0" w:space="0" w:color="auto"/>
        <w:bottom w:val="none" w:sz="0" w:space="0" w:color="auto"/>
        <w:right w:val="none" w:sz="0" w:space="0" w:color="auto"/>
      </w:divBdr>
    </w:div>
    <w:div w:id="2132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3/ijps.2005.505.509" TargetMode="External"/><Relationship Id="rId13" Type="http://schemas.openxmlformats.org/officeDocument/2006/relationships/hyperlink" Target="https://doi.org/10.9734/jsrr/2025/v31i73291" TargetMode="External"/><Relationship Id="rId18" Type="http://schemas.openxmlformats.org/officeDocument/2006/relationships/hyperlink" Target="https://doi.org/10.3382/ps.2009-0062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lrrd.org/lrrd20/9/kugo20137.htm" TargetMode="External"/><Relationship Id="rId7" Type="http://schemas.openxmlformats.org/officeDocument/2006/relationships/endnotes" Target="endnotes.xml"/><Relationship Id="rId12" Type="http://schemas.openxmlformats.org/officeDocument/2006/relationships/hyperlink" Target="https://doi.org/10.1186/s44364-024-00002-x" TargetMode="External"/><Relationship Id="rId17" Type="http://schemas.openxmlformats.org/officeDocument/2006/relationships/hyperlink" Target="http://www.lrrd.org/lrrd20/11/iqba20182.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rrd.org/lrrd5/2/bangla2.htm" TargetMode="External"/><Relationship Id="rId20" Type="http://schemas.openxmlformats.org/officeDocument/2006/relationships/hyperlink" Target="https://doi.org/10.56093/ijps.v59i3.0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46/ijcmas.2019.803.194" TargetMode="External"/><Relationship Id="rId24" Type="http://schemas.openxmlformats.org/officeDocument/2006/relationships/hyperlink" Target="https://doi.org/10.1017/S207863361600024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rrd.org/lrrd32/11/ullen32181.html" TargetMode="External"/><Relationship Id="rId23" Type="http://schemas.openxmlformats.org/officeDocument/2006/relationships/hyperlink" Target="https://doi.org/10.1017/S004393391300092" TargetMode="External"/><Relationship Id="rId28" Type="http://schemas.openxmlformats.org/officeDocument/2006/relationships/footer" Target="footer2.xml"/><Relationship Id="rId10" Type="http://schemas.openxmlformats.org/officeDocument/2006/relationships/hyperlink" Target="https://doi.org/10.13140/RG.2.2.19067.63527" TargetMode="External"/><Relationship Id="rId19" Type="http://schemas.openxmlformats.org/officeDocument/2006/relationships/hyperlink" Target="https://doi.org/10.13189/ujar.2023.11022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958/0974-8180.2022.00009.5" TargetMode="External"/><Relationship Id="rId14" Type="http://schemas.openxmlformats.org/officeDocument/2006/relationships/hyperlink" Target="http://www.lrrd.org/lrrd30/10/giche30170.html" TargetMode="External"/><Relationship Id="rId22" Type="http://schemas.openxmlformats.org/officeDocument/2006/relationships/hyperlink" Target="https://doi.org/10.23910/1.2025.606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F669-14C4-4431-9D8D-D36801A1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15</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dc:creator>
  <cp:keywords/>
  <dc:description/>
  <cp:lastModifiedBy>DELL</cp:lastModifiedBy>
  <cp:revision>54</cp:revision>
  <cp:lastPrinted>2025-08-06T13:52:00Z</cp:lastPrinted>
  <dcterms:created xsi:type="dcterms:W3CDTF">2025-06-28T08:08:00Z</dcterms:created>
  <dcterms:modified xsi:type="dcterms:W3CDTF">2025-08-08T17:14:00Z</dcterms:modified>
</cp:coreProperties>
</file>