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894DBA" w14:textId="7FDEFB82" w:rsidR="00E85940" w:rsidRDefault="00E85940" w:rsidP="00E85940">
      <w:pPr>
        <w:spacing w:before="100" w:beforeAutospacing="1" w:after="100" w:afterAutospacing="1" w:line="240" w:lineRule="auto"/>
        <w:rPr>
          <w:rFonts w:ascii="Times New Roman" w:eastAsia="Times New Roman" w:hAnsi="Times New Roman" w:cs="Times New Roman"/>
          <w:b/>
          <w:bCs/>
          <w:sz w:val="24"/>
          <w:szCs w:val="24"/>
        </w:rPr>
      </w:pPr>
      <w:r w:rsidRPr="00DF3915">
        <w:rPr>
          <w:rFonts w:ascii="Times New Roman" w:eastAsia="Times New Roman" w:hAnsi="Times New Roman" w:cs="Times New Roman"/>
          <w:b/>
          <w:bCs/>
          <w:sz w:val="24"/>
          <w:szCs w:val="24"/>
        </w:rPr>
        <w:t>Rethinking Curriculum for the Future: Integrating 21st-Century Skills into Nigeria’s Basic Education to Meet Global Competency Standards</w:t>
      </w:r>
    </w:p>
    <w:p w14:paraId="756EE814" w14:textId="77777777" w:rsidR="00082A77" w:rsidRDefault="00082A77" w:rsidP="00082A77">
      <w:pPr>
        <w:spacing w:after="0" w:line="240" w:lineRule="auto"/>
        <w:rPr>
          <w:rFonts w:ascii="Times New Roman" w:eastAsia="Times New Roman" w:hAnsi="Times New Roman" w:cs="Times New Roman"/>
          <w:sz w:val="24"/>
          <w:szCs w:val="24"/>
        </w:rPr>
      </w:pPr>
    </w:p>
    <w:p w14:paraId="0C3CFD26" w14:textId="571255B5" w:rsidR="00E85940" w:rsidRPr="00082A77" w:rsidRDefault="00E85940" w:rsidP="00082A77">
      <w:pPr>
        <w:spacing w:after="0" w:line="240" w:lineRule="auto"/>
        <w:rPr>
          <w:rFonts w:ascii="Times New Roman" w:eastAsia="Times New Roman" w:hAnsi="Times New Roman" w:cs="Times New Roman"/>
          <w:b/>
          <w:bCs/>
          <w:sz w:val="24"/>
          <w:szCs w:val="24"/>
        </w:rPr>
      </w:pPr>
      <w:r w:rsidRPr="00082A77">
        <w:rPr>
          <w:rFonts w:ascii="Times New Roman" w:eastAsia="Times New Roman" w:hAnsi="Times New Roman" w:cs="Times New Roman"/>
          <w:b/>
          <w:bCs/>
          <w:sz w:val="24"/>
          <w:szCs w:val="24"/>
        </w:rPr>
        <w:t>Abstract</w:t>
      </w:r>
      <w:r w:rsidR="00805C09" w:rsidRPr="00082A77">
        <w:rPr>
          <w:rFonts w:ascii="Times New Roman" w:eastAsia="Times New Roman" w:hAnsi="Times New Roman" w:cs="Times New Roman"/>
          <w:b/>
          <w:bCs/>
          <w:sz w:val="24"/>
          <w:szCs w:val="24"/>
        </w:rPr>
        <w:t xml:space="preserve">. </w:t>
      </w:r>
    </w:p>
    <w:p w14:paraId="5AFEE1AB" w14:textId="77777777"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Because technology, the economy, and society are changing so quickly, there is more demand around the world for schools to teach children skills for the 21st century, like critical thinking, creativity, teamwork, communication, digital literacy, and global citizenship. These skills are becoming more and more important for both long-term growth and competition on a global scale. The Partnership for 21st Century Learning, UNESCO's Education 2030 Agenda, and the OECD Global Competence Framework all contain them. This evaluation examines the alignment of Nigeria's basic education curriculum with international competency standards and explores potential integration strategies. The research integrates internationa</w:t>
      </w:r>
      <w:bookmarkStart w:id="0" w:name="_GoBack"/>
      <w:bookmarkEnd w:id="0"/>
      <w:r w:rsidRPr="00BE4734">
        <w:rPr>
          <w:rFonts w:ascii="Times New Roman" w:eastAsia="Times New Roman" w:hAnsi="Times New Roman" w:cs="Times New Roman"/>
          <w:sz w:val="24"/>
          <w:szCs w:val="24"/>
        </w:rPr>
        <w:t>l best practices and evaluates their applicability to the Nigerian context through a systematic analysis of peer-reviewed literature, comparative case studies, and national and international policy documents. The findings indicate a significant disparity between global competency-based models and Nigeria's existing curriculum, characterized by content-heavy syllabi, examination-centric assessment, and minimal interdisciplinary integration. Lessons learnt from Kenya, India, Finland, and Singapore show how important it is to have flexible curricula, integrated skill development, continuing evaluation, and good professional development for teachers. The review proposes a context-sensitive approach grounded in transdisciplinary, project-based, and culturally responsive pedagogy, emphasizing competencies essential for Nigeria's developmental requirements. To make this happen, there has to be targeted teacher training, a persistent commitment to policy, fair access to ICT, and well-coordinated partnerships with foreign organizations, NGOs, and the government. This study offers a framework for incorporating 21st-century competencies into basic education, while simultaneously enhancing national policy discourse and comparative education scholarship by situating Nigeria's curriculum reform within the global context.</w:t>
      </w:r>
    </w:p>
    <w:p w14:paraId="0648EF87" w14:textId="77777777" w:rsidR="00E85940" w:rsidRPr="00E85940" w:rsidRDefault="00E85940" w:rsidP="00E85940">
      <w:pPr>
        <w:spacing w:before="100" w:beforeAutospacing="1" w:after="100" w:afterAutospacing="1" w:line="240" w:lineRule="auto"/>
        <w:rPr>
          <w:rFonts w:ascii="Times New Roman" w:eastAsia="Times New Roman" w:hAnsi="Times New Roman" w:cs="Times New Roman"/>
          <w:sz w:val="24"/>
          <w:szCs w:val="24"/>
        </w:rPr>
      </w:pPr>
      <w:r w:rsidRPr="00E85940">
        <w:rPr>
          <w:rFonts w:ascii="Times New Roman" w:eastAsia="Times New Roman" w:hAnsi="Times New Roman" w:cs="Times New Roman"/>
          <w:b/>
          <w:bCs/>
          <w:sz w:val="24"/>
          <w:szCs w:val="24"/>
        </w:rPr>
        <w:t>Keywords:</w:t>
      </w:r>
      <w:r w:rsidRPr="00E85940">
        <w:rPr>
          <w:rFonts w:ascii="Times New Roman" w:eastAsia="Times New Roman" w:hAnsi="Times New Roman" w:cs="Times New Roman"/>
          <w:sz w:val="24"/>
          <w:szCs w:val="24"/>
        </w:rPr>
        <w:t xml:space="preserve"> 21st-century skills, competency-based education, curriculum reform, Nigeria, global education standards, teacher training</w:t>
      </w:r>
    </w:p>
    <w:p w14:paraId="3AD88B65" w14:textId="77777777" w:rsidR="00E85940" w:rsidRPr="00E85940" w:rsidRDefault="00E85940" w:rsidP="00E85940">
      <w:pPr>
        <w:spacing w:before="100" w:beforeAutospacing="1" w:after="100" w:afterAutospacing="1" w:line="240" w:lineRule="auto"/>
        <w:outlineLvl w:val="1"/>
        <w:rPr>
          <w:rFonts w:ascii="Times New Roman" w:eastAsia="Times New Roman" w:hAnsi="Times New Roman" w:cs="Times New Roman"/>
          <w:b/>
          <w:bCs/>
          <w:sz w:val="36"/>
          <w:szCs w:val="36"/>
        </w:rPr>
      </w:pPr>
      <w:r w:rsidRPr="00E85940">
        <w:rPr>
          <w:rFonts w:ascii="Times New Roman" w:eastAsia="Times New Roman" w:hAnsi="Times New Roman" w:cs="Times New Roman"/>
          <w:b/>
          <w:bCs/>
          <w:sz w:val="36"/>
          <w:szCs w:val="36"/>
        </w:rPr>
        <w:t>1. Introduction</w:t>
      </w:r>
    </w:p>
    <w:p w14:paraId="60D70A41" w14:textId="1922749D"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Around the world, schools are moving away from rote memorization and content-heavy models and toward competency-based learning. This provides students the skills they need to do well in a world that is growing more connected and changing quickly. This transition is happening because people have realized that the problems of the 21st century, such as climate change and changes in the job market, need a workforce that can think critically, solve complex problems, cooperate with people from other cultures, and adapt to new environments</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{"citationID":"LyJVYqeK","properties":{"formattedCitation":"[1]","plainCitation":"[1]","noteIndex":0},"citationItems":[{"id":6230,"uris":["http://zotero.org/users/16652950/items/333XFEPS"],"itemData":{"id":6230,"type":"article-journal","container-title":"Applied Developmental Science","DOI":"10.1080/10888691.2018.1537791","ISSN":"1088-8691","issue":"2","note":"publisher: Routledge","page":"97-140","source":"tandfonline.com (Atypon)","title":"Implications for educational practice of the science of learning and development","volume":"24","author":[{"family":"Darling-Hammond","given":"Linda"},{"family":"Flook","given":"Lisa"},{"family":"Cook-Harvey","given":"Channa"},{"family":"Barron","given":"Brigid"},{"family":"Osher","given":"David"}],"issued":{"date-parts":[["2020",4,2]]}}}],"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[1]</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International groups like the OECD and UNESCO have stressed the need for educational systems that include digital literacy, socioemotional skills, and global competency as important parts of basic education</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{"citationID":"qeYh0h5U","properties":{"formattedCitation":"[2]","plainCitation":"[2]","noteIndex":0},"citationItems":[{"id":6232,"uris":["http://zotero.org/users/16652950/items/GJZPRZS6"],"itemData":{"id":6232,"type":"article-journal","abstract":"This article brings together literature and perspectives that have evolved during the last decade on issues of social and emotional aspects of learning in a digital age. This topic points to some core challenges and worries of contemporary social developments within digitalized societies, and ways of perceiving future developments of how we conceptualize learning and education within and beyond formal schooling to better provide for ways of engaging young learners. The aim is to address some emerging issues on the importance of digital social and emotional skills (D-SEL) relevant for our understanding of learning and education in contemporary and future societies. We use developments in selected countries (Norway, Czech Republic, USA and Japan) as examples to discuss how social and emotional skills have entered educational systems. The findings show that not only knowledge in a cognitive sense is important for human life, but also people’s approach to life and their ability to adapt to changes as digital social and emotional ways of learning.","container-title":"Technology, Knowledge and Learning","DOI":"10.1007/s10758-024-09775-w","ISSN":"2211-1670","issue":"4","journalAbbreviation":"Tech Know Learn","language":"en","page":"1751-1766","source":"Springer Link","title":"Social and Emotional Modes of Learning Within Digital Ecosystems: Emerging Research Agendas","title-short":"Social and Emotional Modes of Learning Within Digital Ecosystems","volume":"29","author":[{"family":"Erstad","given":"Ola"},{"family":"Černochová","given":"Miroslava"},{"family":"Knezek","given":"Gerald"},{"family":"Furuta","given":"Takahisa"},{"family":"Takami","given":"Kyosuke"},{"family":"Liang","given":"Changhao"}],"issued":{"date-parts":[["2024",12,1]]}}}],"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[2]</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t xml:space="preserve">Nigeria, which has the most people in Africa and is a developing economy, is under a lot of pressure to modernize its basic education curriculum to reflect these developments in the globe. The National Policy on Education and other policy papers say that it's important to get students ready for the digital economy, yet the current curriculum is still mostly focused on content and </w:t>
      </w:r>
      <w:r w:rsidRPr="00BE4734">
        <w:rPr>
          <w:rFonts w:ascii="Times New Roman" w:eastAsia="Times New Roman" w:hAnsi="Times New Roman" w:cs="Times New Roman"/>
          <w:sz w:val="24"/>
          <w:szCs w:val="24"/>
        </w:rPr>
        <w:lastRenderedPageBreak/>
        <w:t>tests. Teaching, learning, and testing do not do a good job of addressing core 21st-century abilities like creativity, problem-solving, digital literacy, and global citizenship</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{"citationID":"BAm2oS62","properties":{"formattedCitation":"[3]","plainCitation":"[3]","noteIndex":0},"citationItems":[{"id":6234,"uris":["http://zotero.org/users/16652950/items/IHD79RIW"],"itemData":{"id":6234,"type":"article-journal","abstract":"Nigeria is a country located in West Africa and is home to over 200 million people. It is the most populous country in Africa and has a diverse culture and a rich history. One of the most significant challenges that Nigeria has faced in recent years is the development of its education sector. However, there has been some progress in this area in recent years. In this article, we will discuss the educational development in Nigeria, including the challenges faced and the progress made.","container-title":"Educational Research","language":"en","note":"publisher: International Research Journals","page":"1-3","source":"www.interesjournals.org","title":"The Quality of Educational Development in Nigeria","author":[{"family":"Luise","given":"Obeza E."}],"issued":{"date-parts":[["2023",3,31]]}}}],"schema":"https://github.com/citation-style-language/schema/raw/master/csl-citation.json"}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[3]</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Due to this imbalance, Nigerian students may not be prepared to compete on the global stage or make significant contributions to their country's development.</w:t>
      </w:r>
      <w:r w:rsidRPr="00BE4734">
        <w:rPr>
          <w:rFonts w:ascii="Times New Roman" w:eastAsia="Times New Roman" w:hAnsi="Times New Roman" w:cs="Times New Roman"/>
          <w:sz w:val="24"/>
          <w:szCs w:val="24"/>
        </w:rPr>
        <w:br/>
        <w:t>The goal of this review is to gather the finest ways from across the world to teach 21st-century skills in basic education and see how they might be adapted to Nigeria's social, cultural, and policy setting. The project will utilize national policy analysis, comparative case studies, and international frameworks to identify the potential and systemic barriers affecting curricular change in Nigeria.</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m4djosAi","properties":{"formattedCitation":"[4]","plainCitation":"[4]","noteIndex":0},"citationItems":[{"id":6236,"uris":["http://zotero.org/users/16652950/items/BSJWNKGL"],"itemData":{"id":6236,"type":"article-journal","DOI":"10.5281/zenodo.14879702","source":"Zenodo","title":"Integrating 21st Century Skills into Secondary Education: Preparing Students for a Productive Society","title-short":"Integrating 21st Century Skills into Secondary Education","URL":"https://zenodo.org/records/14879702","author":[{"family":"Okonkwo","given":"Dr Iibi John &amp; Dr Cecilia Okwudinma"}],"accessed":{"date-parts":[["2025",8,13]]},"issued":{"date-parts":[["2025",2,16]]}}}],"schema":"https://github.com/citation-style-language/schema/raw/master/csl-citation.json"}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[4]</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t>The paper is organized like this: In the realm of global education discourse, Section 2 examines the concept and dimensions of 21st-century abilities. Section 3 looks at how Nigeria's basic education program is doing right now. Section 5 looks at the problems that make integration hard, whereas Section 4 looks at what we may learn from similar situations. Section 6 offers a conceptual framework for the integration of 21st-century skills in Nigeria, followed by policy and practice implications in Section 7, and concluding remarks in Section 8.</w:t>
      </w:r>
    </w:p>
    <w:p w14:paraId="1E3418D4" w14:textId="77777777" w:rsidR="00E85940" w:rsidRPr="00E85940" w:rsidRDefault="00E85940" w:rsidP="00E85940">
      <w:pPr>
        <w:spacing w:before="100" w:beforeAutospacing="1" w:after="100" w:afterAutospacing="1" w:line="240" w:lineRule="auto"/>
        <w:outlineLvl w:val="1"/>
        <w:rPr>
          <w:rFonts w:ascii="Times New Roman" w:eastAsia="Times New Roman" w:hAnsi="Times New Roman" w:cs="Times New Roman"/>
          <w:b/>
          <w:bCs/>
          <w:sz w:val="36"/>
          <w:szCs w:val="36"/>
        </w:rPr>
      </w:pPr>
      <w:r w:rsidRPr="00E85940">
        <w:rPr>
          <w:rFonts w:ascii="Times New Roman" w:eastAsia="Times New Roman" w:hAnsi="Times New Roman" w:cs="Times New Roman"/>
          <w:b/>
          <w:bCs/>
          <w:sz w:val="36"/>
          <w:szCs w:val="36"/>
        </w:rPr>
        <w:t>2. Understanding 21st-Century Skills in Global Education</w:t>
      </w:r>
    </w:p>
    <w:p w14:paraId="0FBD4416" w14:textId="77777777" w:rsidR="00592B4A"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The term "21st-century skills" refers to a set of abilities, attitudes, and character traits that are believed to be necessary for students to successfully navigate and make a substantial contribution to the demands of the modern workforce and society. A widely acknowledged framework encompasses six interrelated domains: critical thinking, creativity, collaboration, communication, digital literacy, and global citizenship; nevertheless, definitions vary across organizations and contexts</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{"citationID":"rzg34coL","properties":{"formattedCitation":"[5]","plainCitation":"[5]","noteIndex":0},"citationItems":[{"id":6237,"uris":["http://zotero.org/users/16652950/items/EYAZA3MX"],"itemData":{"id":6237,"type":"article-journal","abstract":"This article addresses educational challenges posed by the future of work, examining “21st century skills”, their conception, assessment, and valorization. It focuses in particular on key soft skill competencies known as the “4Cs”: creativity, critical thinking, collaboration, and communication. In a section on each C, we provide an overview of assessment at the level of individual performance, before focusing on the less common assessment of systemic support for the development of the 4Cs that can be measured at the institutional level (i.e., in schools, universities, professional training programs, etc.). We then present the process of official assessment and certification known as “labelization”, suggesting it as a solution both for establishing a publicly trusted assessment of the 4Cs and for promoting their cultural valorization. Next, two variations of the “International Institute for Competency Development’s 21st Century Skills Framework” are presented. The first of these comprehensive systems allows for the assessment and labelization of the extent to which development of the 4Cs is supported by a formal educational program or institution. The second assesses informal educational or training experiences, such as playing a game. We discuss the overlap between the 4Cs and the challenges of teaching and institutionalizing them, both of which may be assisted by adopting a dynamic interactionist model of the 4Cs—playfully entitled “Crea-Critical-Collab-ication”—for pedagogical and policy-promotion purposes. We conclude by briefly discussing opportunities presented by future research and new technologies such as artificial intelligence and virtual reality.","container-title":"Journal of Intelligence","DOI":"10.3390/jintelligence11030054","ISSN":"2079-3200","issue":"3","language":"en","license":"http://creativecommons.org/licenses/by/3.0/","note":"publisher: Multidisciplinary Digital Publishing Institute","page":"54","source":"www.mdpi.com","title":"Creativity, Critical Thinking, Communication, and Collaboration: Assessment, Certification, and Promotion of 21st Century Skills for the Future of Work and Education","title-short":"Creativity, Critical Thinking, Communication, and Collaboration","volume":"11","author":[{"family":"Thornhill-Miller","given":"Branden"},{"family":"Camarda","given":"Anaëlle"},{"family":"Mercier","given":"Maxence"},{"family":"Burkhardt","given":"Jean-Marie"},{"family":"Morisseau","given":"Tiffany"},{"family":"Bourgeois-Bougrine","given":"Samira"},{"family":"Vinchon","given":"Florent"},{"family":"El Hayek","given":"Stephanie"},{"family":"Augereau-Landais","given":"Myriam"},{"family":"Mourey","given":"Florence"},{"family":"Feybesse","given":"Cyrille"},{"family":"Sundquist","given":"Daniel"},{"family":"Lubart","given":"Todd"}],"issued":{"date-parts":[["2023",3]]}}}],"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[5]</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Students with critical thinking skills can look at different points of view, look at information objectively, and make good decisions. Creativity helps people come up with new ideas and be flexible when tackling problems. Collaboration and communication are the keys to working well together in companies that are becoming more multicultural and virtual. In a world where technology is everywhere, digital literacy helps students find, evaluate, and create content in the right way. Global citizenship promotes intercultural understanding, empathy, and engagement with global issues such as sustainability, equity, and peace</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{"citationID":"1G29mKIZ","properties":{"formattedCitation":"[6]","plainCitation":"[6]","noteIndex":0},"citationItems":[{"id":6239,"uris":["http://zotero.org/users/16652950/items/7QNXFQGL"],"itemData":{"id":6239,"type":"article-journal","abstract":"Critical thinking skills are one of the important elements in modern education to prepare students for the challenges of the 21st century. However, traditional approaches that are still dominant in the learning process often fail to encourage the development of these skills optimally. This study aims to explore the effectiveness of collaborative learning in improving students' critical thinking skills. The method used is a literature study with thematic analysis of various relevant academic articles and reports published in the last five years. The results of the study show that collaborative learning provides an interactive environment where students can discuss, share ideas, and provide feedback to each other. These collaborative activities not only improve students' analytical abilities but also strengthen communication and teamwork skills. In addition, the integration of technology in collaborative learning, such as the use of digital platforms for online discussions, further expands the potential for the development of critical thinking skills. Despite facing challenges, such as lack of teacher training and access to technology, the study concludes that collaborative learning is an effective approach in building students' critical skills in a variety of educational contexts.","container-title":"The Journal of Academic Science","DOI":"10.59613/2dx5zr09","ISSN":"2997-7258","issue":"8","language":"en","license":"Copyright (c) 2024 Ventje Jany Kalukar, Titi Riyanti, Marcus Frets. Pessireron, Suhendra  Suhendra, Satria  Yudistira (Author)","page":"1145-1153","source":"thejoas.com","title":"Enhancing Critical Thinking Skills Through Collaborative Learning in Modern Educational Practices","volume":"1","author":[{"family":"Kalukar","given":"Ventje Jany"},{"family":"Krobo","given":"Andrianus"},{"family":"Pessireron","given":"Marcus Frets"},{"family":"Suhendra","given":"Suhendra"},{"family":"Yudistira","given":"Satria"}],"issued":{"date-parts":[["2024",12,12]]}}}],"schema":"https://github.com/citation-style-language/schema/raw/master/csl-citation.json"}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[6]</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p>
    <w:p w14:paraId="55468760" w14:textId="77777777" w:rsidR="00592B4A"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International organizations have made these skills into standards that guide improvements to curricula all across the world. According to the OECD Global Competence Framework, global competence is the ability to think about local, global, and intercultural issues, understand and appreciate different points of view, and act responsibly for the good of everyone and the environment</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{"citationID":"V3WrImkS","properties":{"formattedCitation":"[7]","plainCitation":"[7]","noteIndex":0},"citationItems":[{"id":6241,"uris":["http://zotero.org/users/16652950/items/Y2LCWNXE"],"itemData":{"id":6241,"type":"article-journal","abstract":"Amid the rapid changes that adolescents experience in today's globalized society, global competence has become a core quality that enables them to cope with the demands of life, learning, and work. To understand the potential categorization of global competence and its influencing factors among secondary school students, this study used a questionnaire to survey students in 89 secondary schools in Shanghai, China. Latent profile analysis was used to examine the heterogeneity of the selected students' global competence. Analysis of variance was performed to explore how the latent categories of global competence are associated with gender and foreign language learning. Furthermore, logistic regression analysis was employed to identify their potential profiles' influencing factors. The results demonstrated that secondary school students' global competence can be categorized into one of four potential categories––limited awareness and engagement, emerging awareness and engagement, developed cognition and moderate engagement, and highly developed and globally engaged––with the highest number in the developed cognition and moderate engagement group and the lowest number in the limited awareness and engagement group. Furthermore, the variables of gender, years of foreign language learning, number of languages studied, and satisfaction with the school's foreign language curriculum may serve as potential indicators for categorizing global competence profiles. The study's results can be useful for subsequent theoretical and practical research in this field.","container-title":"Acta Psychologica","DOI":"10.1016/j.actpsy.2025.104850","ISSN":"0001-6918","journalAbbreviation":"Acta Psychologica","page":"104850","source":"ScienceDirect","title":"Foreign language learning's role in the development of global competence: A latent profile analysis","title-short":"Foreign language learning's role in the development of global competence","volume":"254","author":[{"family":"Zhou","given":"Maojie"},{"family":"Wang","given":"Xuemei"},{"family":"Wang","given":"Rongkai"}],"issued":{"date-parts":[["2025",4,1]]}}}],"schema":"https://github.com/citation-style-language/schema/raw/master/csl-citation.json"}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[7]</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The UNESCO Education 2030 Agenda is based on Sustainable Development Goal 4 and emphasizes the importance of digital literacy, civic involvement, and environmental awareness. It also focuses on providing high-quality, inclusive, and fair education and helping people build skills for lifelong learning. The Partnership for 21st Century Learning (P21) combines these four important skills into the "4Cs" model: critical thinking, communication, cooperation, and creativity. These are supported by skills in media, information, and life and work</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{"citationID":"7ojeG0tl","properties":{"formattedCitation":"[8]","plainCitation":"[8]","noteIndex":0},"citationItems":[{"id":6242,"uris":["http://zotero.org/users/16652950/items/YQRTGGE7"],"itemData":{"id":6242,"type":"article-journal","abstract":"Sustainable Development Goals (SDG) are at the forefront of government initiatives across the world. The SDGs are primarily concerned with promoting sustainable growth via ensuring wellbeing, economic growth, environmental legislation, and academic advancement. One of the most prominent goals of the SDG is to provide learners with high-quality education (SDG 4). This paper aims to look at the perspectives of the Sustainable Development Goals improvised to provide quality education. We also analyze the existing state of multiple initiatives implemented by the Indian government in the pathway to achieving objectives of quality education (SDG 4). Additionally, a case study is considered for understanding the association among the observed indicators of SDG4. For this purpose, exploratory data analysis, and numerical association rule mining in combination with QuantMiner genetic algorithm approaches have been applied. The outcomes reveal the presence of a significant degree of association among these parameters pointing out the fact that understanding the impact of one (or more) indicator on other related indicators is critical for achieving SDG 4 goals (or factors). These findings will assist governing bodies in taking preventive measures while modifying existing policies and ensuring the effective enactment of SDG 4 goals, which also will subsequently aid in the resolution of issues related to other SDGs.","container-title":"Education and Information Technologies","DOI":"10.1007/s10639-022-11265-4","ISSN":"1360-2357","issue":"2","journalAbbreviation":"Educ Inf Technol (Dordr)","note":"PMID: 35975216\nPMCID: PMC9371379","page":"2031-2069","source":"PubMed Central","title":"Sustainable Development Goal for Quality Education (SDG 4): A study on SDG 4 to extract the pattern of association among the indicators of SDG 4 employing a genetic algorithm","title-short":"Sustainable Development Goal for Quality Education (SDG 4)","volume":"28","author":[{"family":"Saini","given":"Munish"},{"family":"Sengupta","given":"Eshan"},{"family":"Singh","given":"Madanjit"},{"family":"Singh","given":"Harnoor"},{"family":"Singh","given":"Jaswinder"}],"issued":{"date-parts":[["2023"]]}}}],"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[8]</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4FC6EA86" w14:textId="10E2FAD0"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br/>
        <w:t xml:space="preserve">The addition of 21st-century skills to schools around the world shows a definite move away from </w:t>
      </w:r>
      <w:r w:rsidRPr="00BE4734">
        <w:rPr>
          <w:rFonts w:ascii="Times New Roman" w:eastAsia="Times New Roman" w:hAnsi="Times New Roman" w:cs="Times New Roman"/>
          <w:sz w:val="24"/>
          <w:szCs w:val="24"/>
        </w:rPr>
        <w:lastRenderedPageBreak/>
        <w:t>rote memorization and toward competency-based models. Countries like Finland, Singapore, and Canada have changed their curricula to focus on problem-solving across disciplines, project-based learning, and formative assessment methods that test how well students can use what they've learned instead of how well they can remember it. Emerging economies like Kenya and Malaysia have used competency-based curricula to be culturally relevant while adjusting to changes in the global economy. As this pattern shows, being able to learn, unlearn, and relearn is just as crucial in a knowledge-driven economy as being an expert in a certain field</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{"citationID":"mfqxbYNX","properties":{"formattedCitation":"[9]","plainCitation":"[9]","noteIndex":0},"citationItems":[{"id":6244,"uris":["http://zotero.org/users/16652950/items/MUEQ7F2B"],"itemData":{"id":6244,"type":"article-journal","abstract":"Integrated or interdisciplinary curriculum (IC) is an effective and relevant way to teach the 21st century competencies and to apply the transdisciplinary skills necessary for solving complex global problems. We review the underpinnings of both traditional and progressive education and past periods of implementation of IC in order to understand its history. Multiple definitions of IC are identified on a continuum. Reasons to dismiss the continuum are also offered. Two periods when IC was implemented in a consistent way in the United States are explored: the progressive era from 1919 to 1955, and the late 1980s and early 1990s. Similarities in each era are identified such as progressive principles of teaching and learning. Differences are also considered in basic assumptions held by curriculum developers of the day with the 1980s and 1990s lacking the 1930s deep social purpose of teaching for a democratic society. The socio-political context is visited to understand the beginnings and endings of these eras. The current educational context is then viewed from a global context. We see a landscape in which accountability and disciplines are counterbalanced by a global redefinition of what’s worth knowing and a shift toward interdisciplinary competencies/skills/capabilities, well-being and teaching the whole child. Indeed, this is happening in places around the planet such as Finland. The ideas are reminiscent of the 1930s progressive movement—a time of experimentation when student interests and needs more than disciplinary content shaped an IC. We propose that the current global conversation can offer conceptual cohesion to encourage and support the implementation of IC and can act as a proxy for the Progressive Education Association that guided practitioners from 1919 to 1955.","container-title":"Frontiers in Education","DOI":"10.3389/feduc.2020.00122","ISSN":"2504-284X","journalAbbreviation":"Front. Educ.","language":"English","note":"publisher: Frontiers","source":"Frontiers","title":"21st Century Competencies in Light of the History of Integrated Curriculum","URL":"https://www.frontiersin.org/journals/education/articles/10.3389/feduc.2020.00122/full","volume":"5","author":[{"family":"Drake","given":"Susan M."},{"family":"Reid","given":"Joanne L."}],"accessed":{"date-parts":[["2025",8,13]]},"issued":{"date-parts":[["2020",7,14]]}}}],"schema":"https://github.com/citation-style-language/schema/raw/master/csl-citation.json"}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[9]</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t>These global standards and trends are both a model and a warning for Nigeria. To make sure that the adoption of 21st-century skills is both important and long-lasting, successful integration needs not only a new curriculum but also a change in the way teachers teach, grade, and prepare for teaching</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{"citationID":"qOHga8Ft","properties":{"formattedCitation":"[10]","plainCitation":"[10]","noteIndex":0},"citationItems":[{"id":6246,"uris":["http://zotero.org/users/16652950/items/Z729XZD4"],"itemData":{"id":6246,"type":"article-journal","container-title":"Frontiers in Education","DOI":"10.3389/feduc.2025.1562391","ISSN":"2504-284X","journalAbbreviation":"Front. Educ.","language":"English","note":"publisher: Frontiers","page":"1562391","source":"www.frontiersin.org","title":"Digital learning in the 21st century: trends, challenges, and innovations in technology integration","title-short":"Digital learning in the 21st century","volume":"10","author":[{"family":"Zou","given":"Yumei"},{"family":"Kuek","given":"Florence"},{"family":"Feng","given":"Wenqin"},{"family":"Cheng","given":"Xiaoli"}],"issued":{"date-parts":[["2025",3,28]]}}}],"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[10]</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07B9C2BC" w14:textId="77777777" w:rsidR="00A04F93" w:rsidRDefault="00E85940" w:rsidP="00A04F93">
      <w:pPr>
        <w:pStyle w:val="Heading2"/>
        <w:rPr>
          <w:rStyle w:val="Strong"/>
          <w:b/>
          <w:bCs/>
        </w:rPr>
      </w:pPr>
      <w:r>
        <w:rPr>
          <w:rStyle w:val="Strong"/>
          <w:b/>
          <w:bCs/>
        </w:rPr>
        <w:t>3. Nigeria’s Basic Education Curriculum: Current State</w:t>
      </w:r>
    </w:p>
    <w:p w14:paraId="1767CB47" w14:textId="37711184" w:rsidR="00E85940" w:rsidRPr="00A04F93" w:rsidRDefault="00E85940" w:rsidP="00A04F93">
      <w:pPr>
        <w:pStyle w:val="Heading2"/>
        <w:rPr>
          <w:b w:val="0"/>
          <w:bCs w:val="0"/>
        </w:rPr>
      </w:pPr>
      <w:r w:rsidRPr="00A04F93">
        <w:rPr>
          <w:rStyle w:val="Strong"/>
          <w:b/>
          <w:bCs/>
        </w:rPr>
        <w:t>Policy Background</w:t>
      </w:r>
    </w:p>
    <w:p w14:paraId="2A0B5D2B" w14:textId="4E09026C"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The Universal Basic Education (UBE) program, which started in 1999, is the basis for Nigeria's basic education system. It provides nine years of free, required schooling, including three years of junior high school and six years of primary school. The Nigerian Educational Research and Development Council (NERDC) has made many changes to the curriculum to make it better and more useful. These changes are based on the National Policy on Education. The 2012 Basic Education Curriculum employed a thematic and cross-disciplinary approach in the lower years to teach entrepreneurial skills and reduce the amount of work students had to do. Even after these changes, there are still gaps in how well the curriculum aligns with 21st century goals and global competency frameworks</w:t>
      </w:r>
      <w:r w:rsidR="00A04F93">
        <w:rPr>
          <w:rFonts w:ascii="Times New Roman" w:eastAsia="Times New Roman" w:hAnsi="Times New Roman" w:cs="Times New Roman"/>
          <w:sz w:val="24"/>
          <w:szCs w:val="24"/>
        </w:rPr>
        <w:fldChar w:fldCharType="begin"/>
      </w:r>
      <w:r w:rsidR="00A04F93">
        <w:rPr>
          <w:rFonts w:ascii="Times New Roman" w:eastAsia="Times New Roman" w:hAnsi="Times New Roman" w:cs="Times New Roman"/>
          <w:sz w:val="24"/>
          <w:szCs w:val="24"/>
        </w:rPr>
        <w:instrText xml:space="preserve"> ADDIN ZOTERO_ITEM CSL_CITATION {"citationID":"NlHGiVTe","properties":{"formattedCitation":"[11]","plainCitation":"[11]","noteIndex":0},"citationItems":[{"id":6248,"uris":["http://zotero.org/users/16652950/items/2P9FSFID"],"itemData":{"id":6248,"type":"article-journal","abstract":"The formation of educational policies is complex by nature. The complexity owes not only to the fact that education is asector where it is difficult to identify the underpinnings and their effects to be foreseen, but also to the diversity of interests thateducation represents for the different actors in society. In the dynamics of educational management, within the large context of aglobal quest for Education for All (EFA), the Nigerian UBE and the Swedish Grundskola programmes have a fundamentalprinciple in common. Compared to other socio-economic sectors, educational development involves more difficult andmultidimensional problems. Faced with financial constraints, governments in many countries are not able to meet the broadsocial demands without adopting restrictive measures within the education sector, while rationalising the use of allocatedresources. Because there are too many actors, variables and the interrelations between these, the result of Education for All(EFA) with the Grundskola was successful perhaps, based on some of the issues discussed while that of the Nigerian UniversalBasic Education (UBE) programme proved abortive.","container-title":"Mediterranean Journal of Social Sciences","ISSN":"2039-2117","issue":"7","language":"en","page":"79","source":"www.richtmann.org","title":"A Comparative Analysis of Universal Basic Education Programme in Nigeria (UBE) and the “Grundskola” Education Programme of Sweden","volume":"2","author":[{"family":"Opara","given":"Jacinta A."}],"issued":{"date-parts":[["2011",12,1]]}}}],"schema":"https://github.com/citation-style-language/schema/raw/master/csl-citation.json"} </w:instrText>
      </w:r>
      <w:r w:rsidR="00A04F93">
        <w:rPr>
          <w:rFonts w:ascii="Times New Roman" w:eastAsia="Times New Roman" w:hAnsi="Times New Roman" w:cs="Times New Roman"/>
          <w:sz w:val="24"/>
          <w:szCs w:val="24"/>
        </w:rPr>
        <w:fldChar w:fldCharType="separate"/>
      </w:r>
      <w:r w:rsidR="00A04F93" w:rsidRPr="00A04F93">
        <w:rPr>
          <w:rFonts w:ascii="Times New Roman" w:hAnsi="Times New Roman" w:cs="Times New Roman"/>
          <w:sz w:val="24"/>
        </w:rPr>
        <w:t>[11]</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The Structure of the Current Curriculum</w:t>
      </w:r>
      <w:r w:rsidRPr="00BE4734">
        <w:rPr>
          <w:rFonts w:ascii="Times New Roman" w:eastAsia="Times New Roman" w:hAnsi="Times New Roman" w:cs="Times New Roman"/>
          <w:b/>
          <w:bCs/>
          <w:sz w:val="24"/>
          <w:szCs w:val="24"/>
        </w:rPr>
        <w:br/>
      </w:r>
    </w:p>
    <w:p w14:paraId="761BFBCF" w14:textId="298BEDA7"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Reading, math, science, social studies, and vocational education are the primary areas of the curriculum, which keeps its discipline-based framework. One of its best features is that it includes business, ICT as a subject, and civic education that teaches people about national values. Learning goals and evaluation criteria don't clearly cover skills like creativity, critical thinking, teamwork, and global awareness. Digital literacy is not very useful for solving problems because it is often taught on its own instead of as part of other subjects. Curricula's content-heavy design also makes it hard to do project-based, hands-on learning that builds higher-order skills</w:t>
      </w:r>
      <w:r w:rsidR="00A04F93">
        <w:rPr>
          <w:rFonts w:ascii="Times New Roman" w:eastAsia="Times New Roman" w:hAnsi="Times New Roman" w:cs="Times New Roman"/>
          <w:sz w:val="24"/>
          <w:szCs w:val="24"/>
        </w:rPr>
        <w:fldChar w:fldCharType="begin"/>
      </w:r>
      <w:r w:rsidR="00A04F93">
        <w:rPr>
          <w:rFonts w:ascii="Times New Roman" w:eastAsia="Times New Roman" w:hAnsi="Times New Roman" w:cs="Times New Roman"/>
          <w:sz w:val="24"/>
          <w:szCs w:val="24"/>
        </w:rPr>
        <w:instrText xml:space="preserve"> ADDIN ZOTERO_ITEM CSL_CITATION {"citationID":"ktdviTnQ","properties":{"formattedCitation":"[12]","plainCitation":"[12]","noteIndex":0},"citationItems":[{"id":6250,"uris":["http://zotero.org/users/16652950/items/ATPJNYV4"],"itemData":{"id":6250,"type":"article-journal","abstract":"One of the fundamental components of the United Nations’ sustainable development 2030 agenda is quality education. It aims to ensure inclusive and equitable quality education for all. Digital technologies have emerged as an essential tool to achieve this goal. These technologies are simple to detect emissions sources, prevent additional damage through improved energy efficiency and lower-carbon alternatives to fossil fuels, and even remove surplus greenhouse gases from the environment. Digital technologies strive to decrease or eliminate pollution and waste while increasing production and efficiency. These technologies have shown a powerful impact on the education system. The recent COVID-19 Pandemic has further institutionalised the applications of digital technologies in education. These digital technologies have made a paradigm shift in the entire education system. It is not only a knowledge provider but also a co-creator of information, a mentor, and an assessor. Technological improvements in education have made life easier for students. Instead of using pen and paper, students nowadays use various software and tools to create presentations and projects. When compared to a stack of notebooks, an iPad is relatively light. When opposed to a weighty book, surfing an E-book is easier. These methods aid in increasing interest in research. This paper is brief about the need for digital technologies in education and discusses major applications and challenges in education.","container-title":"Sustainable Operations and Computers","DOI":"10.1016/j.susoc.2022.05.004","ISSN":"2666-4127","journalAbbreviation":"Sustainable Operations and Computers","page":"275-285","source":"ScienceDirect","title":"Understanding the role of digital technologies in education: A review","title-short":"Understanding the role of digital technologies in education","volume":"3","author":[{"family":"Haleem","given":"Abid"},{"family":"Javaid","given":"Mohd"},{"family":"Qadri","given":"Mohd Asim"},{"family":"Suman","given":"Rajiv"}],"issued":{"date-parts":[["2022",1,1]]}}}],"schema":"https://github.com/citation-style-language/schema/raw/master/csl-citation.json"} </w:instrText>
      </w:r>
      <w:r w:rsidR="00A04F93">
        <w:rPr>
          <w:rFonts w:ascii="Times New Roman" w:eastAsia="Times New Roman" w:hAnsi="Times New Roman" w:cs="Times New Roman"/>
          <w:sz w:val="24"/>
          <w:szCs w:val="24"/>
        </w:rPr>
        <w:fldChar w:fldCharType="separate"/>
      </w:r>
      <w:r w:rsidR="00A04F93" w:rsidRPr="00A04F93">
        <w:rPr>
          <w:rFonts w:ascii="Times New Roman" w:hAnsi="Times New Roman" w:cs="Times New Roman"/>
          <w:sz w:val="24"/>
        </w:rPr>
        <w:t>[12]</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Figure 2 demonstrates how the basic education curriculum in Nigeria focuses on the most important 21st-century skills based on the results of curriculum analysis and policy documents.</w:t>
      </w:r>
    </w:p>
    <w:p w14:paraId="0688205D" w14:textId="4F3958CF" w:rsidR="00E85940" w:rsidRDefault="000320F3" w:rsidP="00E85940">
      <w:pPr>
        <w:pStyle w:val="NormalWeb"/>
      </w:pPr>
      <w:r>
        <w:rPr>
          <w:noProof/>
        </w:rPr>
        <w:lastRenderedPageBreak/>
        <w:drawing>
          <wp:inline distT="0" distB="0" distL="0" distR="0" wp14:anchorId="31E41623" wp14:editId="17060063">
            <wp:extent cx="5486411" cy="54864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2_updated_competency.png"/>
                    <pic:cNvPicPr/>
                  </pic:nvPicPr>
                  <pic:blipFill>
                    <a:blip r:embed="rId6">
                      <a:extLst>
                        <a:ext uri="{28A0092B-C50C-407E-A947-70E740481C1C}">
                          <a14:useLocalDpi xmlns:a14="http://schemas.microsoft.com/office/drawing/2010/main" val="0"/>
                        </a:ext>
                      </a:extLst>
                    </a:blip>
                    <a:stretch>
                      <a:fillRect/>
                    </a:stretch>
                  </pic:blipFill>
                  <pic:spPr>
                    <a:xfrm>
                      <a:off x="0" y="0"/>
                      <a:ext cx="5486411" cy="5486411"/>
                    </a:xfrm>
                    <a:prstGeom prst="rect">
                      <a:avLst/>
                    </a:prstGeom>
                  </pic:spPr>
                </pic:pic>
              </a:graphicData>
            </a:graphic>
          </wp:inline>
        </w:drawing>
      </w:r>
    </w:p>
    <w:p w14:paraId="452CA0EA" w14:textId="383652A1" w:rsidR="0040670A"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Figure 1: The current focus of Nigerian Basic Education on skills needed in the 21st century</w:t>
      </w:r>
      <w:r w:rsidR="0040670A">
        <w:rPr>
          <w:rFonts w:ascii="Times New Roman" w:eastAsia="Times New Roman" w:hAnsi="Times New Roman" w:cs="Times New Roman"/>
          <w:sz w:val="24"/>
          <w:szCs w:val="24"/>
        </w:rPr>
        <w:t>.</w:t>
      </w:r>
    </w:p>
    <w:p w14:paraId="20B554BC" w14:textId="7691746E" w:rsidR="00A04F93"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The projected percentage of emphasis placed on six essential qualities in Nigeria's basic education curriculum—critical thinking, creativity, teamwork, communication, digital literacy, and global citizenship—is shown in this chart. The information is made up of reviews of policies and evaluations of curricular content that are relevant. The distribution focuses on digital literacy as a separate subject, with less emphasis on integrating abilities like creativity, teamwork, and global citizenship.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How to Test</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t xml:space="preserve">In Nigeria, examinations are still the main way to judge students. The Basic Education Certificate Examination (BECE) and other high-stakes standardized tests are the most important ones. These assessments put more emphasis on remembering facts and knowing how to do things than on showing off talents. There are certain parts of continuous assessment, but they are not always used in the same way, and they often don't have the rigor needed to test abilities like </w:t>
      </w:r>
      <w:r w:rsidRPr="00BE4734">
        <w:rPr>
          <w:rFonts w:ascii="Times New Roman" w:eastAsia="Times New Roman" w:hAnsi="Times New Roman" w:cs="Times New Roman"/>
          <w:sz w:val="24"/>
          <w:szCs w:val="24"/>
        </w:rPr>
        <w:lastRenderedPageBreak/>
        <w:t>creativity, critical thinking, and teamwork. This focus on summative evaluation makes it hard to use competency-based teaching methods, and it also encourages students to memorize things</w:t>
      </w:r>
      <w:r w:rsidR="00A04F93">
        <w:rPr>
          <w:rFonts w:ascii="Times New Roman" w:eastAsia="Times New Roman" w:hAnsi="Times New Roman" w:cs="Times New Roman"/>
          <w:sz w:val="24"/>
          <w:szCs w:val="24"/>
        </w:rPr>
        <w:fldChar w:fldCharType="begin"/>
      </w:r>
      <w:r w:rsidR="00A04F93">
        <w:rPr>
          <w:rFonts w:ascii="Times New Roman" w:eastAsia="Times New Roman" w:hAnsi="Times New Roman" w:cs="Times New Roman"/>
          <w:sz w:val="24"/>
          <w:szCs w:val="24"/>
        </w:rPr>
        <w:instrText xml:space="preserve"> ADDIN ZOTERO_ITEM CSL_CITATION {"citationID":"VTR4SbXa","properties":{"formattedCitation":"[13]","plainCitation":"[13]","noteIndex":0},"citationItems":[{"id":6252,"uris":["http://zotero.org/users/16652950/items/XRXUUHV7"],"itemData":{"id":6252,"type":"article-journal","abstract":"The study sought to investigate perceived effect of BECE, as a high-stakes test on curriculum implementation in Ghana. Twenty (20) Junior High Schools were selected from the total of fifty (50) Junior High Schools within Kwahu South District, Eastern Region of Ghana, for the study. A descriptive cross-sectional survey design was used. Proportionate stratified sampling procedure was used to select one hundred and twenty (120) teachers. However, the response rate was 91% representing 109 teachers. Data were collected using an adapted Teacher’s High-Stakes Testing Survey (THTS) questionnaire. Statistical procedures used in data analysis were mainly means and standard deviations. The study discovered that BECE as a high-stakes test that drives curriculum implementation in Ghana, places our “national curriculum” and “teaching practices” at stake. It is recommended that GES as a matter of policy provides appropriate in-service training to JHS teachers on the unintended effect of BECE and the need for teachers to engage in broad curriculum implementation to minimise the effect that accompanies it.","container-title":"International Journal of Social Sciences &amp; Educational Studies","DOI":"10.23918/ijsses.v5i3p72","issue":"3","language":"en","license":"Copyright (c) 2024 International Journal of Social Sciences &amp; Educational Studies","page":"72-82","source":"ijsses.tiu.edu.iq","title":"What’s at Stake in High-Stakes Testing in Ghana: Implication for Curriculum Implementation in Basic Schools","title-short":"What’s at Stake in High-Stakes Testing in Ghana","volume":"5","author":[{"family":"Amoako","given":"Isaac"}],"issued":{"date-parts":[["2019",3,1]]}}}],"schema":"https://github.com/citation-style-language/schema/raw/master/csl-citation.json"} </w:instrText>
      </w:r>
      <w:r w:rsidR="00A04F93">
        <w:rPr>
          <w:rFonts w:ascii="Times New Roman" w:eastAsia="Times New Roman" w:hAnsi="Times New Roman" w:cs="Times New Roman"/>
          <w:sz w:val="24"/>
          <w:szCs w:val="24"/>
        </w:rPr>
        <w:fldChar w:fldCharType="separate"/>
      </w:r>
      <w:r w:rsidR="00A04F93" w:rsidRPr="00A04F93">
        <w:rPr>
          <w:rFonts w:ascii="Times New Roman" w:hAnsi="Times New Roman" w:cs="Times New Roman"/>
          <w:sz w:val="24"/>
        </w:rPr>
        <w:t>[13]</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 xml:space="preserve">Preparing teachers and building infrastructure </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t>To teach modern skills well, teachers need to be well-trained and skilled in active, learner-centered methods. However, professional development for teachers who are already working is not regular, and many Nigerian instructors don't learn about competency-based education until they start working. Infrastructure problems including crowded classrooms, bad ICT equipment, and inconsistent energy make it much harder to use technology and participatory methods. Differences between rural and urban places make these problems worse by keeping a lot of students from getting to learning environments that help them improve their skills</w:t>
      </w:r>
      <w:r w:rsidR="00A04F93">
        <w:rPr>
          <w:rFonts w:ascii="Times New Roman" w:eastAsia="Times New Roman" w:hAnsi="Times New Roman" w:cs="Times New Roman"/>
          <w:sz w:val="24"/>
          <w:szCs w:val="24"/>
        </w:rPr>
        <w:fldChar w:fldCharType="begin"/>
      </w:r>
      <w:r w:rsidR="00A04F93">
        <w:rPr>
          <w:rFonts w:ascii="Times New Roman" w:eastAsia="Times New Roman" w:hAnsi="Times New Roman" w:cs="Times New Roman"/>
          <w:sz w:val="24"/>
          <w:szCs w:val="24"/>
        </w:rPr>
        <w:instrText xml:space="preserve"> ADDIN ZOTERO_ITEM CSL_CITATION {"citationID":"U1qm7vdy","properties":{"formattedCitation":"[14]","plainCitation":"[14]","noteIndex":0},"citationItems":[{"id":6254,"uris":["http://zotero.org/users/16652950/items/VAGFHFY3"],"itemData":{"id":6254,"type":"article-journal","abstract":"This qualitative study investigated the professional development needs of lecturers who are transiting to a technology-mediated environment following advancements in technology. This research work was conducted to address the increasing use of digital tools and platforms in education, shed light on the challenges that lecturers face when adopting modern technology in their teaching, and provide insights on how to design compelling professional development opportunities that address their needs. A convenience sample of faculty and administrators in the faculty of education at a university in Uganda was selected, and 89 participants were interviewed using an interview guide. The study found that most lecturers view time as a significant barrier to their professional development, and therefore, they require professional development opportunities that are tailored to their needs, relevant to their application of technology, and delivered by trainers who use principles of adult education and constructivism. The study shows a need for those involved in planning and implementing professional development opportunities to consider the needs of administrators and lecturers, and the principles of adult education and constructivism when designing and implementing professional development opportunities.","container-title":"Education and Information Technologies","DOI":"10.1007/s10639-023-11790-w","ISSN":"1360-2357","journalAbbreviation":"Educ Inf Technol (Dordr)","note":"PMID: 37361776\nPMCID: PMC10106886","page":"1-27","source":"PubMed Central","title":"Modern technology adoption and professional development of lecturers","author":[{"family":"Uzorka","given":"Afam"},{"family":"Namara","given":"Shiellah"},{"family":"Olaniyan","given":"Ademola Olatide"}],"issued":{"date-parts":[["2023",4,17]]}}}],"schema":"https://github.com/citation-style-language/schema/raw/master/csl-citation.json"} </w:instrText>
      </w:r>
      <w:r w:rsidR="00A04F93">
        <w:rPr>
          <w:rFonts w:ascii="Times New Roman" w:eastAsia="Times New Roman" w:hAnsi="Times New Roman" w:cs="Times New Roman"/>
          <w:sz w:val="24"/>
          <w:szCs w:val="24"/>
        </w:rPr>
        <w:fldChar w:fldCharType="separate"/>
      </w:r>
      <w:r w:rsidR="00A04F93" w:rsidRPr="00A04F93">
        <w:rPr>
          <w:rFonts w:ascii="Times New Roman" w:hAnsi="Times New Roman" w:cs="Times New Roman"/>
          <w:sz w:val="24"/>
        </w:rPr>
        <w:t>[14]</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3766FEC7" w14:textId="146713AD"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t>In conclusion, structural constraints in curriculum design, evaluation, teacher preparation, and infrastructure continue to impede the comprehensive integration of 21st-century skills, notwithstanding modest advancements in the modernization of Nigeria's basic education curriculum. These deficiencies must be corrected so that Nigerian students can meet national and international standards for competence</w:t>
      </w:r>
      <w:r w:rsidR="00A04F93">
        <w:rPr>
          <w:rFonts w:ascii="Times New Roman" w:eastAsia="Times New Roman" w:hAnsi="Times New Roman" w:cs="Times New Roman"/>
          <w:sz w:val="24"/>
          <w:szCs w:val="24"/>
        </w:rPr>
        <w:fldChar w:fldCharType="begin"/>
      </w:r>
      <w:r w:rsidR="00A04F93">
        <w:rPr>
          <w:rFonts w:ascii="Times New Roman" w:eastAsia="Times New Roman" w:hAnsi="Times New Roman" w:cs="Times New Roman"/>
          <w:sz w:val="24"/>
          <w:szCs w:val="24"/>
        </w:rPr>
        <w:instrText xml:space="preserve"> ADDIN ZOTERO_ITEM CSL_CITATION {"citationID":"9LxGw7xh","properties":{"formattedCitation":"[15]","plainCitation":"[15]","noteIndex":0},"citationItems":[{"id":6257,"uris":["http://zotero.org/users/16652950/items/UJQYUC9I"],"itemData":{"id":6257,"type":"article-journal","abstract":"The premise of this study, utilizing content analysis and descriptive qualitative designs, posited that teachers' comprehension of 21st-century/4Cs skills' could define the caliber of educational materials in higher education institutions. The study aimed to ascertain how 21st-century skills were incorporated in teachers' term evaluations and instructional plans, and to explore teachers' understanding of these skills. From 2022 to 2023, this research was carried out at the Faculty of Education in one university in Indonesia. There were 54 documents collected, which included 27 teachers' term evaluations and 27 instructional plans. Four teachers were interviewed to collect information related to their 4Cs competencies’ familiarity, opinions, and the challenges of the 4Cs competencies integration. To evaluate the collected documents, this study utilized the Career Technical Education (CTE) Career Ready Practices checklist, a 21st-Century Skills/4Cs rubric encompassing “Communication,” “Creativity,” “Critical Thinking,” and “Collaboration.” The research indicated that teachers' term evaluations and instructional plans have incorporated 4C skills in the categories of “Not yet reached competency” and “Approaching competency.” The research suggests that teachers' understanding of 4Cs competencies can be initially assessed through their instructional materials, 4Cs competencies, familiarity, positive opinions, and challenges. Teachers must have familiarity with 4Cs competencies in order to provide these skills in their instructional materials/plans and develop teaching with the 4Cs competencies. A multifaceted strategy is needed for the next research, including focused professional development, collaboration among educators, institutional leaders' support, and alignment with larger educational priorities and goals.","container-title":"Heliyon","DOI":"10.1016/j.heliyon.2024.e35148","ISSN":"2405-8440","issue":"15","journalAbbreviation":"Heliyon","note":"PMID: 39170322\nPMCID: PMC11336407","page":"e35148","source":"PubMed Central","title":"The integration of 21st century skills in the curriculum of education","volume":"10","author":[{"family":"Herlinawati","given":"Herlinawati"},{"family":"Marwa","given":"Marwa"},{"family":"Ismail","given":"Noriah"},{"family":"Junaidi","given":""},{"family":"Liza","given":"Ledya Oktavia"},{"family":"Situmorang","given":"Dominikus David Biondi"}],"issued":{"date-parts":[["2024",8,3]]}}}],"schema":"https://github.com/citation-style-language/schema/raw/master/csl-citation.json"} </w:instrText>
      </w:r>
      <w:r w:rsidR="00A04F93">
        <w:rPr>
          <w:rFonts w:ascii="Times New Roman" w:eastAsia="Times New Roman" w:hAnsi="Times New Roman" w:cs="Times New Roman"/>
          <w:sz w:val="24"/>
          <w:szCs w:val="24"/>
        </w:rPr>
        <w:fldChar w:fldCharType="separate"/>
      </w:r>
      <w:r w:rsidR="00A04F93" w:rsidRPr="00A04F93">
        <w:rPr>
          <w:rFonts w:ascii="Times New Roman" w:hAnsi="Times New Roman" w:cs="Times New Roman"/>
          <w:sz w:val="24"/>
        </w:rPr>
        <w:t>[15]</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53011D5A" w14:textId="77777777" w:rsidR="00A04F93" w:rsidRDefault="00E85940" w:rsidP="00A04F93">
      <w:pPr>
        <w:pStyle w:val="Heading2"/>
        <w:rPr>
          <w:rStyle w:val="Strong"/>
          <w:b/>
          <w:bCs/>
        </w:rPr>
      </w:pPr>
      <w:r>
        <w:rPr>
          <w:rStyle w:val="Strong"/>
          <w:b/>
          <w:bCs/>
        </w:rPr>
        <w:t>4. Lessons from Comparative Contexts</w:t>
      </w:r>
    </w:p>
    <w:p w14:paraId="1D7F83FB" w14:textId="7EB3CE5F" w:rsidR="00E85940" w:rsidRPr="00A04F93" w:rsidRDefault="00E85940" w:rsidP="00A04F93">
      <w:pPr>
        <w:pStyle w:val="Heading2"/>
        <w:rPr>
          <w:b w:val="0"/>
          <w:bCs w:val="0"/>
        </w:rPr>
      </w:pPr>
      <w:r w:rsidRPr="00A04F93">
        <w:rPr>
          <w:rStyle w:val="Strong"/>
          <w:b/>
          <w:bCs/>
        </w:rPr>
        <w:t>Case Studies</w:t>
      </w:r>
    </w:p>
    <w:p w14:paraId="58F44334" w14:textId="77777777" w:rsidR="00A04F93"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Nigeria may learn a lot from the big changes to the curriculum that many countries have made to include skills for the 21st century. Kenya's Competency-Based Curriculum (CBC), which was put into effect in 2017, focuses more on building basic abilities like critical thinking, problem-solving, communication, and citizenship than on learning about specific subjects. It puts flexible learning paths, constant assessment, and instruction that is oriented on the learner first. Kenya's experience illustrates that competency-based reform is possible in Africa, even though there are still problems with implementation, especially when it comes to getting teachers ready and having enough resources</w:t>
      </w:r>
      <w:r w:rsidR="00A04F93">
        <w:rPr>
          <w:rFonts w:ascii="Times New Roman" w:eastAsia="Times New Roman" w:hAnsi="Times New Roman" w:cs="Times New Roman"/>
          <w:sz w:val="24"/>
          <w:szCs w:val="24"/>
        </w:rPr>
        <w:fldChar w:fldCharType="begin"/>
      </w:r>
      <w:r w:rsidR="00A04F93">
        <w:rPr>
          <w:rFonts w:ascii="Times New Roman" w:eastAsia="Times New Roman" w:hAnsi="Times New Roman" w:cs="Times New Roman"/>
          <w:sz w:val="24"/>
          <w:szCs w:val="24"/>
        </w:rPr>
        <w:instrText xml:space="preserve"> ADDIN ZOTERO_ITEM CSL_CITATION {"citationID":"fTjuLJE5","properties":{"formattedCitation":"[16]","plainCitation":"[16]","noteIndex":0},"citationItems":[{"id":6260,"uris":["http://zotero.org/users/16652950/items/E5QFL4JA"],"itemData":{"id":6260,"type":"article-journal","abstract":"The new Competence Based Curriculum in the Kenyan education system received support and criticism in equal measures. Being a new system, all aspects of CBC implementation must be interrogated. This study intended to evaluate the determinants of CBC adoption in public primary schools in Starehe District, Nairobi County, Kenya. The specific objectives were to determine the effect of teacher education, learning materials, parental involvement, and school leadership on the implementation of CBC. This research is based on constructivism theory. A descriptive research design was used and the target group included 35 public primary schools in Starehe District. Descriptive and inferential statistics were used to assess quantitative data. Major themes were generated and presented in narratives as a result of the thematic analysis of qualitative data. The study found that the implementation of CBC in public primary schools in Nairobi County was positively impacted by teachers' training in CBC, learning materials, parental involvement, and school leadership style. The positive impact was reflected in increased participation of learners in extra co-curricular activities such as sports, better communication, and collaboration among learners, improvement in learners’ ability to read with comprehension, and learners’ participation in community service activities such as street cleaning. The findings suggested that teachers should receive CBC training more frequently. The teachers would have ample time to comprehend the idea of CBC pedagogy thanks to this. The report also suggests that the government, through the Ministry of Education, set aside sufficient funds to buy all the necessary instructional materials for the students in all public elementary schools.","container-title":"Journal of Public Policy and Governance","DOI":"10.70619/vol3iss1pp39-50","ISSN":"2788-8509","issue":"1","language":"en","license":"Copyright (c) 2023 Venicah Bochere  Mogere, Dr. Patrick  Mbataru","page":"39-50","source":"edinburgjournals.org","title":"Determinants of Competence-Based Curriculum Implementation in Selected Public Primary Schools in Nairobi County, Kenya","volume":"3","author":[{"family":"Mogere","given":"Venicah Bochere"},{"family":"Mbataru","given":"Dr Patrick"}],"issued":{"date-parts":[["2023",5,8]]}}}],"schema":"https://github.com/citation-style-language/schema/raw/master/csl-citation.json"} </w:instrText>
      </w:r>
      <w:r w:rsidR="00A04F93">
        <w:rPr>
          <w:rFonts w:ascii="Times New Roman" w:eastAsia="Times New Roman" w:hAnsi="Times New Roman" w:cs="Times New Roman"/>
          <w:sz w:val="24"/>
          <w:szCs w:val="24"/>
        </w:rPr>
        <w:fldChar w:fldCharType="separate"/>
      </w:r>
      <w:r w:rsidR="00A04F93" w:rsidRPr="00A04F93">
        <w:rPr>
          <w:rFonts w:ascii="Times New Roman" w:hAnsi="Times New Roman" w:cs="Times New Roman"/>
          <w:sz w:val="24"/>
        </w:rPr>
        <w:t>[16]</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7F04428B" w14:textId="77777777" w:rsidR="00A04F93"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t>India, one of Asia's growing economies, has put into effect the National Education Policy (NEP) 2020. This policy encourages flexible, all-encompassing curricula that teach skills like environmental awareness, multilingual communication, and coding from the very first grades. In the same way, Malaysia's Education Blueprint (2013–2025) includes six important student traits, such ethics, leadership, and bilingualism, in every topic instead of considering them as separate subjects. These examples show how national vision documents can change the curriculum over time</w:t>
      </w:r>
      <w:r w:rsidR="00A04F93">
        <w:rPr>
          <w:rFonts w:ascii="Times New Roman" w:eastAsia="Times New Roman" w:hAnsi="Times New Roman" w:cs="Times New Roman"/>
          <w:sz w:val="24"/>
          <w:szCs w:val="24"/>
        </w:rPr>
        <w:fldChar w:fldCharType="begin"/>
      </w:r>
      <w:r w:rsidR="00A04F93">
        <w:rPr>
          <w:rFonts w:ascii="Times New Roman" w:eastAsia="Times New Roman" w:hAnsi="Times New Roman" w:cs="Times New Roman"/>
          <w:sz w:val="24"/>
          <w:szCs w:val="24"/>
        </w:rPr>
        <w:instrText xml:space="preserve"> ADDIN ZOTERO_ITEM CSL_CITATION {"citationID":"80q13dPT","properties":{"formattedCitation":"[17]","plainCitation":"[17]","noteIndex":0},"citationItems":[{"id":6262,"uris":["http://zotero.org/users/16652950/items/HVVWQMJB"],"itemData":{"id":6262,"type":"article-journal","abstract":"The National Education Policy 2020 (NEP 2020) is a comprehensive and ambitious plan to transform India’s education system. However, its implementation has spark...","archive_location":"Sage CA: Los Angeles, CA","container-title":"SAGE Open","DOI":"10.1177/21582440241279367","language":"EN","license":"© The Author(s) 2024","note":"publisher: SAGE PublicationsSage CA: Los Angeles, CA","source":"journals.sagepub.com","title":"Evaluating the Promise and Pitfalls of India’s National Education Policy 2020: Insights from the Perspectives of Students, Teachers, and Experts","title-short":"Evaluating the Promise and Pitfalls of India’s National Education Policy 2020","URL":"https://journals.sagepub.com/doi/10.1177/21582440241279367","author":[{"family":"Kulal","given":"Abhinandan"},{"family":"N","given":"Abhishek"},{"family":"Dinesh","given":"Sahana"},{"family":"Bhat","given":"Deepa C."},{"family":"Girish","given":"Amrutha"}],"accessed":{"date-parts":[["2025",8,13]]},"issued":{"date-parts":[["2024",10,21]]}}}],"schema":"https://github.com/citation-style-language/schema/raw/master/csl-citation.json"} </w:instrText>
      </w:r>
      <w:r w:rsidR="00A04F93">
        <w:rPr>
          <w:rFonts w:ascii="Times New Roman" w:eastAsia="Times New Roman" w:hAnsi="Times New Roman" w:cs="Times New Roman"/>
          <w:sz w:val="24"/>
          <w:szCs w:val="24"/>
        </w:rPr>
        <w:fldChar w:fldCharType="separate"/>
      </w:r>
      <w:r w:rsidR="00A04F93" w:rsidRPr="00A04F93">
        <w:rPr>
          <w:rFonts w:ascii="Times New Roman" w:hAnsi="Times New Roman" w:cs="Times New Roman"/>
          <w:sz w:val="24"/>
        </w:rPr>
        <w:t>[17]</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3421D09D" w14:textId="77777777" w:rsidR="00A04F93" w:rsidRDefault="00BE4734" w:rsidP="00A04F93">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br/>
        <w:t xml:space="preserve">Finland has garnered international reputation in OECD contexts for its high-trust teacher profession that supports innovation in the classroom and its phenomenon-based learning method, which dissolves topic boundaries to address real-world concerns. Singapore, on the other hand, strikes a balance between high academic standards and programs like "Thinking Schools, </w:t>
      </w:r>
      <w:r w:rsidRPr="00BE4734">
        <w:rPr>
          <w:rFonts w:ascii="Times New Roman" w:eastAsia="Times New Roman" w:hAnsi="Times New Roman" w:cs="Times New Roman"/>
          <w:sz w:val="24"/>
          <w:szCs w:val="24"/>
        </w:rPr>
        <w:lastRenderedPageBreak/>
        <w:t>Learning Nation," which teach critical and creative thinking skills across the curriculum and spend a lot of money on teachers' ongoing professional development. Table 1 provides a concise comparative overview of the curricular models, skill integration strategies, and assessment methodologies discussed above, illustrating how select nations have integrated 21st-century abilities into their foundational education systems</w:t>
      </w:r>
      <w:r w:rsidR="00A04F93">
        <w:rPr>
          <w:rFonts w:ascii="Times New Roman" w:eastAsia="Times New Roman" w:hAnsi="Times New Roman" w:cs="Times New Roman"/>
          <w:sz w:val="24"/>
          <w:szCs w:val="24"/>
        </w:rPr>
        <w:fldChar w:fldCharType="begin"/>
      </w:r>
      <w:r w:rsidR="00A04F93">
        <w:rPr>
          <w:rFonts w:ascii="Times New Roman" w:eastAsia="Times New Roman" w:hAnsi="Times New Roman" w:cs="Times New Roman"/>
          <w:sz w:val="24"/>
          <w:szCs w:val="24"/>
        </w:rPr>
        <w:instrText xml:space="preserve"> ADDIN ZOTERO_ITEM CSL_CITATION {"citationID":"skevQ28Z","properties":{"formattedCitation":"[18]","plainCitation":"[18]","noteIndex":0},"citationItems":[{"id":6264,"uris":["http://zotero.org/users/16652950/items/KIBS2GPK"],"itemData":{"id":6264,"type":"article-journal","abstract":"The idea of phenomenon-based learning (PhBL) was introduced into the Finnish core curriculum for basic education in 2014. The Finnish approach has raised interest in many other countries. In Finlan...","archive_location":"world","container-title":"Cogent Education","ISSN":"2331-186X","language":"EN","license":"© 2024 The Author(s). Published by Informa UK Limited, trading as Taylor &amp; Francis Group.","note":"publisher: Cogent","source":"www.tandfonline.com","title":"Phenomenon-based learning in Finland: a critical overview of its historical and philosophical roots","title-short":"Phenomenon-based learning in Finland","URL":"https://www.tandfonline.com/doi/abs/10.1080/2331186X.2024.2309733","author":[{"family":"Schaffar","given":"Birgit"},{"family":"Wolff","given":"Lili-Ann"}],"accessed":{"date-parts":[["2025",8,13]]},"issued":{"date-parts":[["2024",12,31]]}}}],"schema":"https://github.com/citation-style-language/schema/raw/master/csl-citation.json"} </w:instrText>
      </w:r>
      <w:r w:rsidR="00A04F93">
        <w:rPr>
          <w:rFonts w:ascii="Times New Roman" w:eastAsia="Times New Roman" w:hAnsi="Times New Roman" w:cs="Times New Roman"/>
          <w:sz w:val="24"/>
          <w:szCs w:val="24"/>
        </w:rPr>
        <w:fldChar w:fldCharType="separate"/>
      </w:r>
      <w:r w:rsidR="00A04F93" w:rsidRPr="00A04F93">
        <w:rPr>
          <w:rFonts w:ascii="Times New Roman" w:hAnsi="Times New Roman" w:cs="Times New Roman"/>
          <w:sz w:val="24"/>
        </w:rPr>
        <w:t>[18]</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73B3082E" w14:textId="77777777" w:rsidR="00A04F93" w:rsidRDefault="00A04F93" w:rsidP="00A04F93">
      <w:pPr>
        <w:spacing w:after="0" w:line="240" w:lineRule="auto"/>
      </w:pPr>
    </w:p>
    <w:p w14:paraId="008A88DB" w14:textId="5E08B0E1" w:rsidR="000320F3" w:rsidRPr="00A04F93" w:rsidRDefault="000320F3" w:rsidP="00A04F93">
      <w:pPr>
        <w:spacing w:after="0" w:line="240" w:lineRule="auto"/>
        <w:rPr>
          <w:rFonts w:ascii="Times New Roman" w:eastAsia="Times New Roman" w:hAnsi="Times New Roman" w:cs="Times New Roman"/>
          <w:sz w:val="24"/>
          <w:szCs w:val="24"/>
        </w:rPr>
      </w:pPr>
      <w:r>
        <w:t>Table</w:t>
      </w:r>
      <w:r w:rsidR="0040670A">
        <w:t xml:space="preserve"> 1</w:t>
      </w:r>
      <w:r>
        <w:t>: Comparative Overview of 21st-Century Skills Integration Across Selected Countries</w:t>
      </w:r>
    </w:p>
    <w:tbl>
      <w:tblPr>
        <w:tblStyle w:val="TableGrid"/>
        <w:tblW w:w="0" w:type="auto"/>
        <w:tblLook w:val="04A0" w:firstRow="1" w:lastRow="0" w:firstColumn="1" w:lastColumn="0" w:noHBand="0" w:noVBand="1"/>
      </w:tblPr>
      <w:tblGrid>
        <w:gridCol w:w="2160"/>
        <w:gridCol w:w="2160"/>
        <w:gridCol w:w="2160"/>
        <w:gridCol w:w="2160"/>
      </w:tblGrid>
      <w:tr w:rsidR="000320F3" w14:paraId="756EFB63" w14:textId="77777777" w:rsidTr="00BF3507">
        <w:tc>
          <w:tcPr>
            <w:tcW w:w="2160" w:type="dxa"/>
          </w:tcPr>
          <w:p w14:paraId="5DB0DAFA" w14:textId="77777777" w:rsidR="000320F3" w:rsidRDefault="000320F3" w:rsidP="00BF3507">
            <w:r>
              <w:t>Country</w:t>
            </w:r>
          </w:p>
        </w:tc>
        <w:tc>
          <w:tcPr>
            <w:tcW w:w="2160" w:type="dxa"/>
          </w:tcPr>
          <w:p w14:paraId="64CD831C" w14:textId="77777777" w:rsidR="000320F3" w:rsidRDefault="000320F3" w:rsidP="00BF3507">
            <w:r>
              <w:t>Curriculum Model</w:t>
            </w:r>
          </w:p>
        </w:tc>
        <w:tc>
          <w:tcPr>
            <w:tcW w:w="2160" w:type="dxa"/>
          </w:tcPr>
          <w:p w14:paraId="3B2BA9C1" w14:textId="77777777" w:rsidR="000320F3" w:rsidRDefault="000320F3" w:rsidP="00BF3507">
            <w:r>
              <w:t>21st-Century Skills Integration</w:t>
            </w:r>
          </w:p>
        </w:tc>
        <w:tc>
          <w:tcPr>
            <w:tcW w:w="2160" w:type="dxa"/>
          </w:tcPr>
          <w:p w14:paraId="151C3020" w14:textId="77777777" w:rsidR="000320F3" w:rsidRDefault="000320F3" w:rsidP="00BF3507">
            <w:r>
              <w:t>Assessment Approach</w:t>
            </w:r>
          </w:p>
        </w:tc>
      </w:tr>
      <w:tr w:rsidR="000320F3" w14:paraId="1273A4E2" w14:textId="77777777" w:rsidTr="00BF3507">
        <w:tc>
          <w:tcPr>
            <w:tcW w:w="2160" w:type="dxa"/>
          </w:tcPr>
          <w:p w14:paraId="3DAEF4E8" w14:textId="77777777" w:rsidR="000320F3" w:rsidRDefault="000320F3" w:rsidP="00BF3507">
            <w:r>
              <w:t>Nigeria</w:t>
            </w:r>
          </w:p>
        </w:tc>
        <w:tc>
          <w:tcPr>
            <w:tcW w:w="2160" w:type="dxa"/>
          </w:tcPr>
          <w:p w14:paraId="7BF65081" w14:textId="77777777" w:rsidR="000320F3" w:rsidRDefault="000320F3" w:rsidP="00BF3507">
            <w:r>
              <w:t>Content-heavy, exam-oriented</w:t>
            </w:r>
          </w:p>
        </w:tc>
        <w:tc>
          <w:tcPr>
            <w:tcW w:w="2160" w:type="dxa"/>
          </w:tcPr>
          <w:p w14:paraId="337B581B" w14:textId="77777777" w:rsidR="000320F3" w:rsidRDefault="000320F3" w:rsidP="00BF3507">
            <w:r>
              <w:t>Partial, ICT as standalone subject</w:t>
            </w:r>
          </w:p>
        </w:tc>
        <w:tc>
          <w:tcPr>
            <w:tcW w:w="2160" w:type="dxa"/>
          </w:tcPr>
          <w:p w14:paraId="1DEFC560" w14:textId="128218E6" w:rsidR="000320F3" w:rsidRDefault="000320F3" w:rsidP="00BF3507">
            <w:r>
              <w:t>Standardized exams, limited continuous assessment</w:t>
            </w:r>
            <w:r w:rsidR="00A04F93">
              <w:fldChar w:fldCharType="begin"/>
            </w:r>
            <w:r w:rsidR="00A04F93">
              <w:instrText xml:space="preserve"> ADDIN ZOTERO_ITEM CSL_CITATION {"citationID":"VBCKJ6n9","properties":{"formattedCitation":"[19]","plainCitation":"[19]","noteIndex":0},"citationItems":[{"id":6266,"uris":["http://zotero.org/users/16652950/items/P9NZXE2U"],"itemData":{"id":6266,"type":"article-journal","abstract":"The increasing demand for University education and continuous creation of new faculties to meet admission demand without corresponding increase in infrastructural and human resources to manage University affair bring complexity to the system. In addition, various dimensions of academic corruption are common in tertiary institutions especially in developing countries where Information and Communication Technology (ICT) is not sufficiently and effectively deployed to check mate behavioral excesses of staff and students. This paper therefore presented how ICT connects University leadership and academics (knowledge) for administrative effectiveness of Nigerian University based on secondary data material collected online from related articles, educational forum and data directly gathered from education administrators in Tertiary institution and students’ experiences about education administration. It presents various Education ICT tools used in Information administration and learning. Some common corrupt practises that undermine University administration are highlighted and the combat strategy using a simple Digital Nervous System (DNS) was proposed to showcase a simple but innovative ICT- enabled interaction among the management, the students and the staff for the efficiency, effectiveness and productivity of administration in Nigerian Tertiary Education. This work will serve as an excellent guide to stakeholders, and University administrators towards improved administrative performance. It will foster the foundation for establishing a viable and sustainable ICT inspired learning.Key Words: Administration, Corruption, Digital Nervous System (DNS), Information and Communication Technology (ICT), University","container-title":"AFRREV STECH: An International Journal of Science and Technology","DOI":"10.4314/stech.v8i2.5","ISSN":"2227-5444","issue":"2","language":"en","license":"Copyright (c)","page":"64-85","source":"www.ajol.info","title":"ICT and administrative effectiveness of University in Nigeria: A connect between leadership and knowledge","title-short":"ICT and administrative effectiveness of University in Nigeria","volume":"8","author":[{"family":"Ajah","given":"Ifeyinwa A."},{"family":"Chigozie-Okwum","given":"Chioma C."}],"issued":{"date-parts":[["2019",12,9]]}}}],"schema":"https://github.com/citation-style-language/schema/raw/master/csl-citation.json"} </w:instrText>
            </w:r>
            <w:r w:rsidR="00A04F93">
              <w:fldChar w:fldCharType="separate"/>
            </w:r>
            <w:r w:rsidR="00A04F93" w:rsidRPr="00A04F93">
              <w:rPr>
                <w:rFonts w:ascii="Calibri" w:hAnsi="Calibri" w:cs="Calibri"/>
              </w:rPr>
              <w:t>[19]</w:t>
            </w:r>
            <w:r w:rsidR="00A04F93">
              <w:fldChar w:fldCharType="end"/>
            </w:r>
          </w:p>
        </w:tc>
      </w:tr>
      <w:tr w:rsidR="000320F3" w14:paraId="25515B6A" w14:textId="77777777" w:rsidTr="00BF3507">
        <w:tc>
          <w:tcPr>
            <w:tcW w:w="2160" w:type="dxa"/>
          </w:tcPr>
          <w:p w14:paraId="79891DA2" w14:textId="77777777" w:rsidR="000320F3" w:rsidRDefault="000320F3" w:rsidP="00BF3507">
            <w:r>
              <w:t>Kenya</w:t>
            </w:r>
          </w:p>
        </w:tc>
        <w:tc>
          <w:tcPr>
            <w:tcW w:w="2160" w:type="dxa"/>
          </w:tcPr>
          <w:p w14:paraId="1C42BE26" w14:textId="77777777" w:rsidR="000320F3" w:rsidRDefault="000320F3" w:rsidP="00BF3507">
            <w:r>
              <w:t>Competency-Based Curriculum (CBC)</w:t>
            </w:r>
          </w:p>
        </w:tc>
        <w:tc>
          <w:tcPr>
            <w:tcW w:w="2160" w:type="dxa"/>
          </w:tcPr>
          <w:p w14:paraId="478579AB" w14:textId="77777777" w:rsidR="000320F3" w:rsidRDefault="000320F3" w:rsidP="00BF3507">
            <w:r>
              <w:t>Core competencies across subjects</w:t>
            </w:r>
          </w:p>
        </w:tc>
        <w:tc>
          <w:tcPr>
            <w:tcW w:w="2160" w:type="dxa"/>
          </w:tcPr>
          <w:p w14:paraId="669961FF" w14:textId="0E801C8D" w:rsidR="000320F3" w:rsidRDefault="000320F3" w:rsidP="00BF3507">
            <w:r>
              <w:t>Continuous &amp; formative assessment</w:t>
            </w:r>
            <w:r w:rsidR="00A04F93">
              <w:fldChar w:fldCharType="begin"/>
            </w:r>
            <w:r w:rsidR="00A04F93">
              <w:instrText xml:space="preserve"> ADDIN ZOTERO_ITEM CSL_CITATION {"citationID":"QAcvn8pk","properties":{"formattedCitation":"[20]","plainCitation":"[20]","noteIndex":0},"citationItems":[{"id":6270,"uris":["http://zotero.org/users/16652950/items/8KPZTHGF"],"itemData":{"id":6270,"type":"article-journal","container-title":"Culture, Education, and Future","DOI":"10.70116/2980274199","ISSN":"2980-2741","issue":"1","language":"en","page":"135-158","source":"journals.symphonypub.com","title":"Competency based curriculum in Kenya: Taking stock of implementation process at early years education","title-short":"Competency based curriculum in Kenya","volume":"3","author":[{"family":"Wanyama","given":"Bernard Wasilwa"}],"issued":{"date-parts":[["2025",6,26]]}}}],"schema":"https://github.com/citation-style-language/schema/raw/master/csl-citation.json"} </w:instrText>
            </w:r>
            <w:r w:rsidR="00A04F93">
              <w:fldChar w:fldCharType="separate"/>
            </w:r>
            <w:r w:rsidR="00A04F93" w:rsidRPr="00A04F93">
              <w:rPr>
                <w:rFonts w:ascii="Calibri" w:hAnsi="Calibri" w:cs="Calibri"/>
              </w:rPr>
              <w:t>[20]</w:t>
            </w:r>
            <w:r w:rsidR="00A04F93">
              <w:fldChar w:fldCharType="end"/>
            </w:r>
          </w:p>
        </w:tc>
      </w:tr>
      <w:tr w:rsidR="000320F3" w14:paraId="5BC4A34A" w14:textId="77777777" w:rsidTr="00BF3507">
        <w:tc>
          <w:tcPr>
            <w:tcW w:w="2160" w:type="dxa"/>
          </w:tcPr>
          <w:p w14:paraId="3D2CBAF0" w14:textId="77777777" w:rsidR="000320F3" w:rsidRDefault="000320F3" w:rsidP="00BF3507">
            <w:r>
              <w:t>India</w:t>
            </w:r>
          </w:p>
        </w:tc>
        <w:tc>
          <w:tcPr>
            <w:tcW w:w="2160" w:type="dxa"/>
          </w:tcPr>
          <w:p w14:paraId="780C6353" w14:textId="77777777" w:rsidR="000320F3" w:rsidRDefault="000320F3" w:rsidP="00BF3507">
            <w:r>
              <w:t>Holistic &amp; flexible (NEP 2020)</w:t>
            </w:r>
          </w:p>
        </w:tc>
        <w:tc>
          <w:tcPr>
            <w:tcW w:w="2160" w:type="dxa"/>
          </w:tcPr>
          <w:p w14:paraId="0E4B54B3" w14:textId="77777777" w:rsidR="000320F3" w:rsidRDefault="000320F3" w:rsidP="00BF3507">
            <w:r>
              <w:t>Coding, environmental awareness, multilingualism</w:t>
            </w:r>
          </w:p>
        </w:tc>
        <w:tc>
          <w:tcPr>
            <w:tcW w:w="2160" w:type="dxa"/>
          </w:tcPr>
          <w:p w14:paraId="7AFD2014" w14:textId="6D82129F" w:rsidR="000320F3" w:rsidRDefault="000320F3" w:rsidP="00BF3507">
            <w:r>
              <w:t>Formative + high-stakes exams</w:t>
            </w:r>
            <w:r w:rsidR="00A04F93">
              <w:fldChar w:fldCharType="begin"/>
            </w:r>
            <w:r w:rsidR="00A04F93">
              <w:instrText xml:space="preserve"> ADDIN ZOTERO_ITEM CSL_CITATION {"citationID":"EVB4e1of","properties":{"formattedCitation":"[21]","plainCitation":"[21]","noteIndex":0},"citationItems":[{"id":6271,"uris":["http://zotero.org/users/16652950/items/Z28BUXB4"],"itemData":{"id":6271,"type":"post-weblog","abstract":"India’s education system is at a pivotal moment. With the introduction of the New Education Policy 2024 (NEP 2024), a renewed vision for quality, inclusivity,","container-title":"Proctur Blog","language":"en-US","note":"section: Educational ERP system","title":"New Education Policy 2024","URL":"https://proctur.com/blog/new-education-policy-2024/","accessed":{"date-parts":[["2025",8,13]]},"issued":{"date-parts":[["2025",7,30]]}}}],"schema":"https://github.com/citation-style-language/schema/raw/master/csl-citation.json"} </w:instrText>
            </w:r>
            <w:r w:rsidR="00A04F93">
              <w:fldChar w:fldCharType="separate"/>
            </w:r>
            <w:r w:rsidR="00A04F93" w:rsidRPr="00A04F93">
              <w:rPr>
                <w:rFonts w:ascii="Calibri" w:hAnsi="Calibri" w:cs="Calibri"/>
              </w:rPr>
              <w:t>[21]</w:t>
            </w:r>
            <w:r w:rsidR="00A04F93">
              <w:fldChar w:fldCharType="end"/>
            </w:r>
          </w:p>
        </w:tc>
      </w:tr>
      <w:tr w:rsidR="000320F3" w14:paraId="0CB0BA11" w14:textId="77777777" w:rsidTr="00BF3507">
        <w:tc>
          <w:tcPr>
            <w:tcW w:w="2160" w:type="dxa"/>
          </w:tcPr>
          <w:p w14:paraId="21B929D2" w14:textId="77777777" w:rsidR="000320F3" w:rsidRDefault="000320F3" w:rsidP="00BF3507">
            <w:r>
              <w:t>Malaysia</w:t>
            </w:r>
          </w:p>
        </w:tc>
        <w:tc>
          <w:tcPr>
            <w:tcW w:w="2160" w:type="dxa"/>
          </w:tcPr>
          <w:p w14:paraId="57863242" w14:textId="77777777" w:rsidR="000320F3" w:rsidRDefault="000320F3" w:rsidP="00BF3507">
            <w:r>
              <w:t>Skills-embedded across subjects</w:t>
            </w:r>
          </w:p>
        </w:tc>
        <w:tc>
          <w:tcPr>
            <w:tcW w:w="2160" w:type="dxa"/>
          </w:tcPr>
          <w:p w14:paraId="5242E711" w14:textId="77777777" w:rsidR="000320F3" w:rsidRDefault="000320F3" w:rsidP="00BF3507">
            <w:r>
              <w:t>Leadership, bilingualism, ethics</w:t>
            </w:r>
          </w:p>
        </w:tc>
        <w:tc>
          <w:tcPr>
            <w:tcW w:w="2160" w:type="dxa"/>
          </w:tcPr>
          <w:p w14:paraId="6BA74FE3" w14:textId="2D90527A" w:rsidR="000320F3" w:rsidRDefault="000320F3" w:rsidP="00BF3507">
            <w:r>
              <w:t>Balanced formative &amp; summative</w:t>
            </w:r>
            <w:r w:rsidR="00A43336">
              <w:fldChar w:fldCharType="begin"/>
            </w:r>
            <w:r w:rsidR="00A43336">
              <w:instrText xml:space="preserve"> ADDIN ZOTERO_ITEM CSL_CITATION {"citationID":"iPxCKB84","properties":{"formattedCitation":"[22]","plainCitation":"[22]","noteIndex":0},"citationItems":[{"id":6273,"uris":["http://zotero.org/users/16652950/items/QSBCA5TF"],"itemData":{"id":6273,"type":"webpage","abstract":"PDF | This article discusses the importance of classroom assessment that informs students' learning. Classroom assessment generally practices three... | Find, read and cite all the research you need on ResearchGate","container-title":"ResearchGate","language":"en","title":"(PDF) Implementing Classroom Assessment In Malaysia: An Investigation","title-short":"(PDF) Implementing Classroom Assessment In Malaysia","URL":"https://www.researchgate.net/publication/348355621_Implementing_Classroom_Assessment_In_Malaysia_An_Investigation","accessed":{"date-parts":[["2025",8,13]]},"issued":{"date-parts":[["2025",2,26]]}}}],"schema":"https://github.com/citation-style-language/schema/raw/master/csl-citation.json"} </w:instrText>
            </w:r>
            <w:r w:rsidR="00A43336">
              <w:fldChar w:fldCharType="separate"/>
            </w:r>
            <w:r w:rsidR="00A43336" w:rsidRPr="00A43336">
              <w:rPr>
                <w:rFonts w:ascii="Calibri" w:hAnsi="Calibri" w:cs="Calibri"/>
              </w:rPr>
              <w:t>[22]</w:t>
            </w:r>
            <w:r w:rsidR="00A43336">
              <w:fldChar w:fldCharType="end"/>
            </w:r>
          </w:p>
        </w:tc>
      </w:tr>
      <w:tr w:rsidR="000320F3" w14:paraId="150A7A58" w14:textId="77777777" w:rsidTr="00BF3507">
        <w:tc>
          <w:tcPr>
            <w:tcW w:w="2160" w:type="dxa"/>
          </w:tcPr>
          <w:p w14:paraId="72DEE8BA" w14:textId="77777777" w:rsidR="000320F3" w:rsidRDefault="000320F3" w:rsidP="00BF3507">
            <w:r>
              <w:t>Finland</w:t>
            </w:r>
          </w:p>
        </w:tc>
        <w:tc>
          <w:tcPr>
            <w:tcW w:w="2160" w:type="dxa"/>
          </w:tcPr>
          <w:p w14:paraId="6C931D81" w14:textId="77777777" w:rsidR="000320F3" w:rsidRDefault="000320F3" w:rsidP="00BF3507">
            <w:r>
              <w:t>Phenomenon-based learning</w:t>
            </w:r>
          </w:p>
        </w:tc>
        <w:tc>
          <w:tcPr>
            <w:tcW w:w="2160" w:type="dxa"/>
          </w:tcPr>
          <w:p w14:paraId="62DFDA78" w14:textId="77777777" w:rsidR="000320F3" w:rsidRDefault="000320F3" w:rsidP="00BF3507">
            <w:r>
              <w:t>Interdisciplinary, real-world problems</w:t>
            </w:r>
          </w:p>
        </w:tc>
        <w:tc>
          <w:tcPr>
            <w:tcW w:w="2160" w:type="dxa"/>
          </w:tcPr>
          <w:p w14:paraId="40CD0A21" w14:textId="68264419" w:rsidR="000320F3" w:rsidRDefault="000320F3" w:rsidP="00BF3507">
            <w:r>
              <w:t>Formative, project-based evaluation</w:t>
            </w:r>
            <w:r w:rsidR="00A43336">
              <w:fldChar w:fldCharType="begin"/>
            </w:r>
            <w:r w:rsidR="00A43336">
              <w:instrText xml:space="preserve"> ADDIN ZOTERO_ITEM CSL_CITATION {"citationID":"aDHWm2ht","properties":{"formattedCitation":"[23]","plainCitation":"[23]","noteIndex":0},"citationItems":[{"id":6275,"uris":["http://zotero.org/users/16652950/items/HJY3VGJS"],"itemData":{"id":6275,"type":"article-journal","container-title":"Education 3-13","DOI":"10.1080/03004279.2024.2409246","ISSN":"0300-4279","note":"publisher: Routledge","page":"1-14","source":"tandfonline.com (Atypon)","title":"Multidisciplinary learning assessment in Finland – a phenomenographic approach on teachers’ perceptions","author":[{"family":"Hietamäki","given":"Ulla"},{"family":"Harju-Luukkainen","given":"Heidi"},{"family":"Maunula","given":"Minna"}]}}],"schema":"https://github.com/citation-style-language/schema/raw/master/csl-citation.json"} </w:instrText>
            </w:r>
            <w:r w:rsidR="00A43336">
              <w:fldChar w:fldCharType="separate"/>
            </w:r>
            <w:r w:rsidR="00A43336" w:rsidRPr="00A43336">
              <w:rPr>
                <w:rFonts w:ascii="Calibri" w:hAnsi="Calibri" w:cs="Calibri"/>
              </w:rPr>
              <w:t>[23]</w:t>
            </w:r>
            <w:r w:rsidR="00A43336">
              <w:fldChar w:fldCharType="end"/>
            </w:r>
          </w:p>
        </w:tc>
      </w:tr>
      <w:tr w:rsidR="000320F3" w14:paraId="3578F7A6" w14:textId="77777777" w:rsidTr="00BF3507">
        <w:tc>
          <w:tcPr>
            <w:tcW w:w="2160" w:type="dxa"/>
          </w:tcPr>
          <w:p w14:paraId="4E043A17" w14:textId="77777777" w:rsidR="000320F3" w:rsidRDefault="000320F3" w:rsidP="00BF3507">
            <w:r>
              <w:t>Singapore</w:t>
            </w:r>
          </w:p>
        </w:tc>
        <w:tc>
          <w:tcPr>
            <w:tcW w:w="2160" w:type="dxa"/>
          </w:tcPr>
          <w:p w14:paraId="13356012" w14:textId="77777777" w:rsidR="000320F3" w:rsidRDefault="000320F3" w:rsidP="00BF3507">
            <w:r>
              <w:t>Integrated critical &amp; creative thinking</w:t>
            </w:r>
          </w:p>
        </w:tc>
        <w:tc>
          <w:tcPr>
            <w:tcW w:w="2160" w:type="dxa"/>
          </w:tcPr>
          <w:p w14:paraId="01B3529B" w14:textId="77777777" w:rsidR="000320F3" w:rsidRDefault="000320F3" w:rsidP="00BF3507">
            <w:r>
              <w:t>Critical thinking across curriculum</w:t>
            </w:r>
          </w:p>
        </w:tc>
        <w:tc>
          <w:tcPr>
            <w:tcW w:w="2160" w:type="dxa"/>
          </w:tcPr>
          <w:p w14:paraId="5774C366" w14:textId="73D92014" w:rsidR="000320F3" w:rsidRDefault="000320F3" w:rsidP="00BF3507">
            <w:r>
              <w:t>Performance-based and formative</w:t>
            </w:r>
            <w:r w:rsidR="00A43336">
              <w:fldChar w:fldCharType="begin"/>
            </w:r>
            <w:r w:rsidR="00A43336">
              <w:instrText xml:space="preserve"> ADDIN ZOTERO_ITEM CSL_CITATION {"citationID":"rIfMkfcS","properties":{"formattedCitation":"[24]","plainCitation":"[24]","noteIndex":0},"citationItems":[{"id":6277,"uris":["http://zotero.org/users/16652950/items/C5Z6MN6V"],"itemData":{"id":6277,"type":"article-journal","abstract":"This study aimed to explore the relationship between the critical thinking and creativity skills of university students. The objectives were to explore the level of critical thinking skills, the degree of creativity in students’ written exam papers, the nature of the relationship between these constructs, and gender differences in the manifestation of these skills in writing. A sample of 167 students, including 100 females and 67 males, from a co-educational university participated in the study. Data were collected using self-report measures for critical thinking and creativity from student mid-term exam papers. The assessment tool to assess critical thinking skills, and an adapted version of the TTCT Verbal-A was used to measure the creativity level in the written products. Descriptive statistics, correlation analysis, and comparative analysis were conducted using SPSS (version 29). The findings revealed that both the variables’ scores were moderate in the data. They also indicated that students fall within the moderate level of both the skills. A significant positive correlation was found between critical thinking and creativity, suggesting a meaningful relationship between these constructs. Gender differences were also observed, with females scoring higher in both the constructs compared to males. Furthermore, these insights highlight the need for educational strategies that foster both skills, ensuring a balanced development among students. This study is useful for educators, policymakers, and researchers interested in critical thinking and creativity and also underscores the need for future research and curricula to enhance student learning outcomes.","container-title":"Education Sciences","DOI":"10.3390/educsci15040464","ISSN":"2227-7102","issue":"4","language":"en","license":"http://creativecommons.org/licenses/by/3.0/","note":"publisher: Multidisciplinary Digital Publishing Institute","page":"464","source":"www.mdpi.com","title":"Exploring the Relationship Between Critical Thinking and Creativity in University Students: Gender Differences and the Assessment of Skills","title-short":"Exploring the Relationship Between Critical Thinking and Creativity in University Students","volume":"15","author":[{"family":"Shaber","given":"Nelofir"},{"family":"Shah","given":"Syed Kazim"},{"family":"Imran","given":"Muhammad"},{"family":"Almusharraf","given":"Norah"}],"issued":{"date-parts":[["2025",4]]}}}],"schema":"https://github.com/citation-style-language/schema/raw/master/csl-citation.json"} </w:instrText>
            </w:r>
            <w:r w:rsidR="00A43336">
              <w:fldChar w:fldCharType="separate"/>
            </w:r>
            <w:r w:rsidR="00A43336" w:rsidRPr="00A43336">
              <w:rPr>
                <w:rFonts w:ascii="Calibri" w:hAnsi="Calibri" w:cs="Calibri"/>
              </w:rPr>
              <w:t>[24]</w:t>
            </w:r>
            <w:r w:rsidR="00A43336">
              <w:fldChar w:fldCharType="end"/>
            </w:r>
          </w:p>
        </w:tc>
      </w:tr>
    </w:tbl>
    <w:p w14:paraId="6A1356B2" w14:textId="15BD6881"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Table 1 compares how well a few selected countries have integrated 21st-century capabilities. This table shows how Nigeria, Kenya, India, Malaysia, Finland, and Singapore are integrating 21st-century skills into their schools, including the curriculum frameworks, evaluation techniques, and the level and type of integration. It highlights important differences in how national education systems teach skills like creativity, critical thinking, cooperation, and digital literacy, as well as how well formative and summative evaluation methods function together.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Practices that can be used in different situations</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t>Several behaviors emerge as relevant to Nigeria from these diverse contexts. Curriculum flexibility allows for local adaptation while maintaining national coherence, which makes relevance and responsiveness possible. Integrated skills development teaches 21st-century skills in real-life scenarios by include them in subject education instead of treating them as extras. Ongoing evaluation that focuses on formative feedback and real-world use helps students learn more and gain skills</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{"citationID":"S7eQOh9m","properties":{"formattedCitation":"[25]","plainCitation":"[25]","noteIndex":0},"citationItems":[{"id":6279,"uris":["http://zotero.org/users/16652950/items/LBXZ8AT8"],"itemData":{"id":6279,"type":"webpage","title":"(PDF) EXPLORING CULTURAL INFLUENCES ON CURRICULUM AND EDUCATION REFORMS: LESSONS FOR NIGERIA'S FUTURE","URL":"https://www.researchgate.net/publication/382039272_EXPLORING_CULTURAL_INFLUENCES_ON_CURRICULUM_AND_EDUCATION_REFORMS_LESSONS_FOR_NIGERIA'S_FUTURE","accessed":{"date-parts":[["2025",8,13]]}}}],"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[25]</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 xml:space="preserve">Challenges of Contextual Adaptation </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t xml:space="preserve">But Nigeria's unique social, cultural, and infrastructure conditions must be considered during the adaptation process. Some strategies may not be adopted right away because of traditions that stress on exams, unequal access to ICT, and high student-teacher ratios. In Kenya, India, and Finland, policy changes have often been followed by ongoing investment, good teacher training programs, and strong support from stakeholders. These are conditions that Nigeria may need to </w:t>
      </w:r>
      <w:r w:rsidRPr="00BE4734">
        <w:rPr>
          <w:rFonts w:ascii="Times New Roman" w:eastAsia="Times New Roman" w:hAnsi="Times New Roman" w:cs="Times New Roman"/>
          <w:sz w:val="24"/>
          <w:szCs w:val="24"/>
        </w:rPr>
        <w:lastRenderedPageBreak/>
        <w:t>purposefully create. So, the lesson is to choose and change parts that fit with national goals, available resources, and cultural values, rather than copying them exactly</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{"citationID":"9h2u92oI","properties":{"formattedCitation":"[26]","plainCitation":"[26]","noteIndex":0},"citationItems":[{"id":6281,"uris":["http://zotero.org/users/16652950/items/DUQI3KHU"],"itemData":{"id":6281,"type":"article-journal","abstract":"Background\nAcross the globe, gender disparities still exist with regard to equitable access to resources, participation in decision‐making processes, and gender and sexual‐based violence. This is particularly true in fragile and conflict‐affected settings, where women and girls are affected by both fragility and conflict in unique ways. While women have been acknowledged as key actors in peace processes and post‐conflict reconstruction (e.g., through the United Nations Security Council Resolution 1325 and the Women, Peace and Security Agenda) evidence on the effectiveness of gender‐specific and gender‐transformative interventions to improve women's empowerment in fragile and conflict‐affected states and situations (FCAS) remains understudied.\n\nObjectives\nThe purpose of this review was to synthesize the body of evidence around gender‐specific and gender‐transformative interventions aimed at improving women's empowerment in fragile and conflict‐affected settings with high levels of gender inequality. We also aimed to identify barriers and facilitators that could affect the effectiveness of these interventions and to provide implications for policy, practice and research designs within the field of transitional aid.\n\nMethods\nWe searched for and screened over 100,000 experimental and quasi‐experimental studies focused on FCAS at the individual and community levels. We used standard methodological procedures outlined by the Campbell Collaboration for the data collection and analysis, including quantitative and qualitative analyses, and completed the Grading of Recommendations, Assessment, Development and Evaluations (GRADE) methodology to assess the certainty around each body of evidence.\n\nResults\nWe identified 104 impact evaluations (75% randomised controlled trials) assessing the effects of 14 different types of interventions in FCAS. About 28% of included studies were assessed as having a high risk of bias (45% among quasi‐experimental designs). Interventions supporting women's empowerment and gender equality in FCAS produced positive effects on the outcomes related to the primary focus of the intervention. There are no significant negative effects of any included interventions. However, we observe smaller effects on behavioural outcomes further along the causal chain of empowerment. Qualitative syntheses indicated that gender norms and practices are potential barriers to intervention effectiveness, while working with local powers and institutions can facilitate the uptake and legitimacy of interventions.\n\nConclusions\nWe observe gaps of rigorous evidence in certain regions (notably MENA and Latin America) and in interventions specifically targeting women as actors of peacebuilding. Gender norms and practices are important elements to consider in programme design and implementation to maximise potential benefits: focusing on empowerment only might not be enough in the absence of targeting the restrictive gender norms and practices that may undermine intervention effectiveness. Lastly, programme designers and implementation should consider explicitly targeting specific empowerment outcomes, promoting social capital and exchange, and tailoring the intervention components to the desired empowerment‐related outcomes.","container-title":"Campbell Systematic Reviews","DOI":"10.1002/cl2.1214","ISSN":"1891-1803","issue":"1","journalAbbreviation":"Campbell Syst Rev","note":"PMID: 36913184\nPMCID: PMC8904729","page":"e1214","source":"PubMed Central","title":"Strengthening women's empowerment and gender equality in fragile contexts towards peaceful and inclusive societies: A systematic review and meta‐analysis","title-short":"Strengthening women's empowerment and gender equality in fragile contexts towards peaceful and inclusive societies","volume":"18","author":[{"family":"Lwamba","given":"Etienne"},{"family":"Shisler","given":"Shannon"},{"family":"Ridlehoover","given":"Will"},{"family":"Kupfer","given":"Meital"},{"family":"Tshabalala","given":"Nkululeko"},{"family":"Nduku","given":"Promise"},{"family":"Langer","given":"Laurenz"},{"family":"Grant","given":"Sean"},{"family":"Sonnenfeld","given":"Ada"},{"family":"Anda","given":"Daniela"},{"family":"Eyers","given":"John"},{"family":"Snilstveit","given":"Birte"}],"issued":{"date-parts":[["2022",3,8]]}}}],"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[26]</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4E31940E" w14:textId="77777777" w:rsidR="00A43336" w:rsidRDefault="00E85940" w:rsidP="00A43336">
      <w:pPr>
        <w:pStyle w:val="Heading2"/>
        <w:rPr>
          <w:rStyle w:val="Strong"/>
          <w:b/>
          <w:bCs/>
        </w:rPr>
      </w:pPr>
      <w:r>
        <w:rPr>
          <w:rStyle w:val="Strong"/>
          <w:b/>
          <w:bCs/>
        </w:rPr>
        <w:t>5. Barriers to Integration in Nigeria</w:t>
      </w:r>
    </w:p>
    <w:p w14:paraId="45BD5345" w14:textId="359C7497" w:rsidR="00E85940" w:rsidRPr="00A43336" w:rsidRDefault="00E85940" w:rsidP="00A43336">
      <w:pPr>
        <w:pStyle w:val="Heading2"/>
        <w:rPr>
          <w:b w:val="0"/>
          <w:bCs w:val="0"/>
        </w:rPr>
      </w:pPr>
      <w:r w:rsidRPr="00A43336">
        <w:rPr>
          <w:rStyle w:val="Strong"/>
          <w:b/>
          <w:bCs/>
        </w:rPr>
        <w:t>Systemic and Policy Barriers</w:t>
      </w:r>
    </w:p>
    <w:p w14:paraId="30FAF1D7" w14:textId="770451C1"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Even while the government's rhetoric recognizes the need of 21st-century skills, Nigerian curriculum reform is hindered by a persistent gap between policy and reality. Policies like the National Policy on Education spell out what skills should be developed first, but there are still no ways to put these plans into action. UNESCO says that the education sector should get 15–20% of the national budget, but it doesn't, which makes it hard to buy teaching materials, build schools, and educate teachers. Frequent changes to policies that are based more on political changes than on planning based on evidence can hurt stakeholder trust and the continuity of change</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{"citationID":"r6pGwXD7","properties":{"formattedCitation":"[27]","plainCitation":"[27]","noteIndex":0},"citationItems":[{"id":6284,"uris":["http://zotero.org/users/16652950/items/G65DU4VA"],"itemData":{"id":6284,"type":"webpage","title":"The Role of Civic Education","URL":"https://civiced.org/papers/articles_role.html","accessed":{"date-parts":[["2025",8,13]]}}}],"schema":"https://github.com/citation-style-language/schema/raw/master/csl-citation.json"}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[27]</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Barriers to Learning</w:t>
      </w:r>
      <w:r w:rsidRPr="00BE4734">
        <w:rPr>
          <w:rFonts w:ascii="Times New Roman" w:eastAsia="Times New Roman" w:hAnsi="Times New Roman" w:cs="Times New Roman"/>
          <w:b/>
          <w:bCs/>
          <w:sz w:val="24"/>
          <w:szCs w:val="24"/>
        </w:rPr>
        <w:br/>
      </w:r>
    </w:p>
    <w:p w14:paraId="31BD0A97" w14:textId="1EE638F8"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Even though many teachers don't have formal training in competency-based education (CBE) principles, they are very important for the successful integration of modern capabilities. In pre-service teacher education, the transmission of subject knowledge often takes precedence over active learning, problem-solving, and collaborative pedagogy. In-service professional development rarely focuses on integrating 21st-century skills. As a result, teaching methods that center on lectures and tests are still the most common in the classroom, even if the curriculum encourages creativity and critical thinking</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{"citationID":"8Nbdm8lC","properties":{"formattedCitation":"[28]","plainCitation":"[28]","noteIndex":0},"citationItems":[{"id":6286,"uris":["http://zotero.org/users/16652950/items/LZBRLEDE"],"itemData":{"id":6286,"type":"article-journal","abstract":"Background \nWork-integrated learning constitutes a large part of current healthcare education. During the last decades, a competency-based educational (CBE) approach has been introduced to reduce the theory-practice gap and to promote continuous competency development. Different frameworks and models have been developed to support CBE implementation in practice. Although CBE is now well-established, implementation at healthcare workplaces remains complex and controversial. This study aims to explore how students, mentors, and educators from different healthcare disciplines perceive the implementation of CBE at the workplace. The six-step model of Embo et al. (2015) was used as a base: (1) competency selection, (2) formulating learning goals, (3) self-monitoring performance, (4) self-assessing competency development, (5) summative assessment of individual competencies, and (6) summative assessment of global professional competence.\n\nMethods \nThree semi-structured focus group interviews were conducted with (1) five students, (2) five mentors, and (3) five educators. We recruited participants from six different educational programs: audiology, midwifery, nursing (associate degree and bachelor), occupational therapy, or speech therapy. We used thematic analysis combining an inductive and deductive approach.\n\nResults \nAn overview of the predefined competencies was hard to find which complicated CBE implementation and resulted in a lack of consistency between the steps; e.g., the link between the selection of relevant competencies (step 1) and the formulation of learning goals based on these selected competencies (step 2) was absent. Furthermore, the analysis of the data helped identifying seven barriers for CBE implementation: (1) a gap between the educational program and the workplace, (2) a lacking overview of predefined competencies, (3) a major focus on technical competencies at the expense of generic competencies, (4) weak formulation of the learning goals, (5) obstacles related to reflection, (6) low feedback quality, and (7) perceived subjectivity of the assessment approach.\n\nConclusion \nThe present barriers to CBE implementation lead to a fragmentation of current work-integrated learning. In this way, theory beats practice when it comes to CBE implementation as the theory of CBE is not effectively implemented. However, the identification of these barriers might help to find solutions to optimize CBE implementation. Future research seems critical to optimize CBE so that theory can meet practice and the opportunities of CBE optimize healthcare education.\n\nSupplementary Information\nThe online version contains supplementary material available at 10.1186/s12909-023-04446-3.","container-title":"BMC Medical Education","DOI":"10.1186/s12909-023-04446-3","ISSN":"1472-6920","journalAbbreviation":"BMC Med Educ","note":"PMID: 37386406\nPMCID: PMC10308607","page":"484","source":"PubMed Central","title":"When theory beats practice: the implementation of competency-based education at healthcare workplaces","title-short":"When theory beats practice","volume":"23","author":[{"family":"Janssens","given":"Oona"},{"family":"Embo","given":"Mieke"},{"family":"Valcke","given":"Martin"},{"family":"Haerens","given":"Leen"}],"issued":{"date-parts":[["2023",6,29]]}}}],"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[28]</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 xml:space="preserve">Technological Obstacles </w:t>
      </w:r>
      <w:r w:rsidRPr="00BE4734">
        <w:rPr>
          <w:rFonts w:ascii="Times New Roman" w:eastAsia="Times New Roman" w:hAnsi="Times New Roman" w:cs="Times New Roman"/>
          <w:b/>
          <w:bCs/>
          <w:sz w:val="24"/>
          <w:szCs w:val="24"/>
        </w:rPr>
        <w:br/>
      </w:r>
    </w:p>
    <w:p w14:paraId="4BCB0ECE" w14:textId="19348A45"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The digital divide makes it even harder to learn new skills. Many schools, especially those in distant areas, don't have adequate computers, internet access, or reliable electricity. Teachers may not know how to use technology in interesting lessons or feel comfortable doing so when it is available. This technology gap limits students' chances to learn digital literacy, online collaboration, and media production abilities, which are becoming more and more important for global competitiveness</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{"citationID":"kx5weAXc","properties":{"formattedCitation":"[29]","plainCitation":"[29]","noteIndex":0},"citationItems":[{"id":6289,"uris":["http://zotero.org/users/16652950/items/KU6UJLSA"],"itemData":{"id":6289,"type":"article-journal","abstract":"This quantitative study aimed to better understand how teachers implement technology in a variety of teaching modalities to enhance content delivery and student engagement. More specifically, it aimed to investigate the digital divide of technology usage based upon school setting and usage frequency. Responses were collected using a random sampling method of full-time K-12 public school teachers in a Mid-Atlantic state. The instrument was developed from prior research and examined educator usage frequency of instructional technology in urban, rural, and suburban schools dependent upon teaching modality. A total of 423 participants responded to the researcher-created questionnaire and yielded practical implementations for further study. The findings uncovered significant differences in usage frequency of rural, urban, and suburban teachers utilizing technology dependent upon modality (ex. cooperative learning, small group instruction, student-led research, problem-solving). Results of this investigation contribute to the field through an attempt to foster a discussion of disparities between the integration of technology and school setting. The purpose of this discussion is to identify gaps in the digital divide, apply frameworks geared toward equity, and create professional development opportunities for all educators to differentiate technology usage across multiple teaching modalities.","container-title":"Education and Information Technologies","DOI":"10.1007/s10639-022-11488-5","ISSN":"1360-2357","journalAbbreviation":"Educ Inf Technol (Dordr)","note":"PMID: 36714442\nPMCID: PMC9867994","page":"1-19","source":"PubMed Central","title":"Digital divide and teaching modality: It’s role in technology and instructional strategies","title-short":"Digital divide and teaching modality","author":[{"family":"Kormos","given":"Erik"},{"family":"Wisdom","given":"Kendra"}],"issued":{"date-parts":[["2023",1,19]]}}}],"schema":"https://github.com/citation-style-language/schema/raw/master/csl-citation.json"}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[29]</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 xml:space="preserve">Social and Cultural Factors </w:t>
      </w:r>
      <w:r w:rsidRPr="00BE4734">
        <w:rPr>
          <w:rFonts w:ascii="Times New Roman" w:eastAsia="Times New Roman" w:hAnsi="Times New Roman" w:cs="Times New Roman"/>
          <w:b/>
          <w:bCs/>
          <w:sz w:val="24"/>
          <w:szCs w:val="24"/>
        </w:rPr>
        <w:br/>
      </w:r>
    </w:p>
    <w:p w14:paraId="61E5014A" w14:textId="557CB6A8"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When changing the curriculum, it's also important to think about Nigeria's many languages and cultures. New teaching methods may not work as effectively in some places because of the language, the community's goals, and the local beliefs. Parents and teachers may sometimes appreciate less concrete skills like creativity or teamwork more than more traditional measures of academic success, like high exam scores. Social inequities, like differences in educational chances for boys and girls, make skill development even less fair. Girls in rural areas are often the most affected</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{"citationID":"eWpotIm5","properties":{"formattedCitation":"[30]","plainCitation":"[30]","noteIndex":0},"citationItems":[{"id":6297,"uris":["http://zotero.org/users/16652950/items/8IL6VQYZ"],"itemData":{"id":6297,"type":"article-journal","abstract":"Research on play tends to consider its relevance as universal: all children play. Whilst research is increasingly pointing to the benefits of play to children’s development and learning, there is also increasing recognition that this research is predominantly carried out in Western contexts, and that its conclusions may not carry over to other contexts. In this paper, we explore the implications of investigating the concept of learning through play to Global Majority contexts, where both play and the contribution of play to learning may be understood differently, and in some cases may not be appropriate. Play is not equally valued in all cultures and around the world children have varying amounts of time dedicated to free play and schooling, as well as very different educational experiences. Globally, there have been increasing efforts to recognise and deal with some of these tensions. Drawing on research carried out at PEDAL, we highlight examples of how learning through play may be understood and enacted in four Global Majority contexts (Nigeria, Mexico, South Africa and Kenya) and some of the questions that have arisen through our work. We use these examples to reflect on our role as play researchers.","container-title":"International Journal of Play","DOI":"10.1080/21594937.2024.2388952","ISSN":"2159-4937","issue":"3","note":"publisher: Routledge\n_eprint: https://doi.org/10.1080/21594937.2024.2388952","page":"228-253","source":"Taylor and Francis+NEJM","title":"Learning through play in Global Majority countries: reflections from the PEDAL centre on understanding and adapting the concept in four different contexts","title-short":"Learning through play in Global Majority countries","volume":"13","author":[{"family":"Courtois","given":"Soizic Le"},{"family":"Ezeugwu","given":"Chika R."},{"family":"Fajardo-Tovar","given":"Dina D."},{"family":"Nowack","given":"Stephanie K."},{"family":"Okullo","given":"Domnick O."},{"family":"Bayley","given":"Stephen"},{"family":"Baker","given":"Sara"},{"family":"Ramchandani","given":"Paul"}],"issued":{"date-parts":[["2024",7,2]]}}}],"schema":"https://github.com/citation-style-language/schema/raw/master/csl-citation.json"}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[30]</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lastRenderedPageBreak/>
        <w:t>Figure 1 displays a readiness profile encompassing five essential indicators derived from literature and policy study, illustrating the comparative strengths and shortcomings of Nigeria's preparedness for the integration of 21st-century capabilities. All things considered, these problems reveal that sociocultural, pedagogical, technological, and structural factors all work together in a multifaceted way. To create a conducive environment for the integration of 21st-century skills, we need constant financing, stakeholder involvement, and policy alignment in addition to curriculum creation.</w:t>
      </w:r>
    </w:p>
    <w:p w14:paraId="3DF8980A" w14:textId="5982F97C" w:rsidR="000320F3" w:rsidRDefault="000320F3" w:rsidP="00E85940">
      <w:pPr>
        <w:pStyle w:val="NormalWeb"/>
      </w:pPr>
      <w:r>
        <w:rPr>
          <w:noProof/>
        </w:rPr>
        <w:drawing>
          <wp:inline distT="0" distB="0" distL="0" distR="0" wp14:anchorId="3C2EC3C8" wp14:editId="36B504B9">
            <wp:extent cx="5943600" cy="42456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1_readiness.png"/>
                    <pic:cNvPicPr/>
                  </pic:nvPicPr>
                  <pic:blipFill>
                    <a:blip r:embed="rId7">
                      <a:extLst>
                        <a:ext uri="{28A0092B-C50C-407E-A947-70E740481C1C}">
                          <a14:useLocalDpi xmlns:a14="http://schemas.microsoft.com/office/drawing/2010/main" val="0"/>
                        </a:ext>
                      </a:extLst>
                    </a:blip>
                    <a:stretch>
                      <a:fillRect/>
                    </a:stretch>
                  </pic:blipFill>
                  <pic:spPr>
                    <a:xfrm>
                      <a:off x="0" y="0"/>
                      <a:ext cx="5943600" cy="4245610"/>
                    </a:xfrm>
                    <a:prstGeom prst="rect">
                      <a:avLst/>
                    </a:prstGeom>
                  </pic:spPr>
                </pic:pic>
              </a:graphicData>
            </a:graphic>
          </wp:inline>
        </w:drawing>
      </w:r>
    </w:p>
    <w:p w14:paraId="745890CC" w14:textId="77777777" w:rsidR="0040670A" w:rsidRDefault="000320F3" w:rsidP="000320F3">
      <w:pPr>
        <w:pStyle w:val="NormalWeb"/>
      </w:pPr>
      <w:r>
        <w:rPr>
          <w:rStyle w:val="Strong"/>
        </w:rPr>
        <w:t>Figure 2: Readiness for 21st-Century Skills Integration in Nigeria</w:t>
      </w:r>
      <w:r>
        <w:t xml:space="preserve">. </w:t>
      </w:r>
    </w:p>
    <w:p w14:paraId="7B26043C" w14:textId="0E768853" w:rsidR="000320F3" w:rsidRDefault="000320F3" w:rsidP="000320F3">
      <w:pPr>
        <w:pStyle w:val="NormalWeb"/>
      </w:pPr>
      <w:r>
        <w:rPr>
          <w:rStyle w:val="Emphasis"/>
          <w:rFonts w:eastAsiaTheme="majorEastAsia"/>
        </w:rPr>
        <w:t>This figure presents a comparative rating (on a 0–10 scale) of Nigeria’s readiness across five dimensions: policy commitment, teacher training, ICT infrastructure, curriculum flexibility, and assessment reform. The scores are based on synthesized findings from national policy documents, comparative education reports, and relevant scholarly studies. Higher scores indicate stronger readiness, while lower scores highlight priority areas for intervention.</w:t>
      </w:r>
    </w:p>
    <w:p w14:paraId="10A9E071" w14:textId="77777777" w:rsidR="000320F3" w:rsidRDefault="000320F3" w:rsidP="00E85940">
      <w:pPr>
        <w:pStyle w:val="NormalWeb"/>
      </w:pPr>
    </w:p>
    <w:p w14:paraId="1B308DE6" w14:textId="77777777" w:rsidR="00A43336" w:rsidRDefault="00A43336" w:rsidP="00E85940">
      <w:pPr>
        <w:pStyle w:val="Heading2"/>
        <w:rPr>
          <w:rStyle w:val="Strong"/>
          <w:b/>
          <w:bCs/>
        </w:rPr>
      </w:pPr>
    </w:p>
    <w:p w14:paraId="60517280" w14:textId="77777777" w:rsidR="00A43336" w:rsidRDefault="00A43336" w:rsidP="00E85940">
      <w:pPr>
        <w:pStyle w:val="Heading2"/>
        <w:rPr>
          <w:rStyle w:val="Strong"/>
          <w:b/>
          <w:bCs/>
        </w:rPr>
      </w:pPr>
    </w:p>
    <w:p w14:paraId="522CBB92" w14:textId="77777777" w:rsidR="00A43336" w:rsidRDefault="00E85940" w:rsidP="00A43336">
      <w:pPr>
        <w:pStyle w:val="Heading2"/>
        <w:rPr>
          <w:rStyle w:val="Strong"/>
          <w:b/>
          <w:bCs/>
        </w:rPr>
      </w:pPr>
      <w:r>
        <w:rPr>
          <w:rStyle w:val="Strong"/>
          <w:b/>
          <w:bCs/>
        </w:rPr>
        <w:t>6. Proposed Framework for Integration</w:t>
      </w:r>
    </w:p>
    <w:p w14:paraId="5B19805F" w14:textId="05B0294A" w:rsidR="00E85940" w:rsidRDefault="00E85940" w:rsidP="00A43336">
      <w:pPr>
        <w:pStyle w:val="Heading2"/>
      </w:pPr>
      <w:r>
        <w:rPr>
          <w:rStyle w:val="Strong"/>
        </w:rPr>
        <w:t>Core Competencies for Nigeria</w:t>
      </w:r>
    </w:p>
    <w:p w14:paraId="1309AF0E" w14:textId="1A0C1479" w:rsidR="00BE4734" w:rsidRDefault="00BE4734" w:rsidP="00BE4734">
      <w:pPr>
        <w:spacing w:after="0" w:line="240" w:lineRule="auto"/>
        <w:rPr>
          <w:rFonts w:ascii="Times New Roman" w:eastAsia="Times New Roman" w:hAnsi="Times New Roman" w:cs="Times New Roman"/>
          <w:b/>
          <w:bCs/>
          <w:sz w:val="24"/>
          <w:szCs w:val="24"/>
        </w:rPr>
      </w:pPr>
      <w:r w:rsidRPr="00BE4734">
        <w:rPr>
          <w:rFonts w:ascii="Times New Roman" w:eastAsia="Times New Roman" w:hAnsi="Times New Roman" w:cs="Times New Roman"/>
          <w:sz w:val="24"/>
          <w:szCs w:val="24"/>
        </w:rPr>
        <w:t>Nigeria's incorporation of 21st-century skills should prioritize competencies that directly advance national development objectives, considering both domestic priorities and global standards. These include the following: critical thinking for efficient problem-solving in entrepreneurship and governance; creativity and innovation to promote economic diversification; digital literacy to improve participation in the global knowledge economy; cooperation and communication to fortify social cohesion in a multiethnic setting; and global citizenship to promote responsible engagement with transnational issues like public health and climate change</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{"citationID":"tOdSNccP","properties":{"formattedCitation":"[31]","plainCitation":"[31]","noteIndex":0},"citationItems":[{"id":6299,"uris":["http://zotero.org/users/16652950/items/2VSLT4AN"],"itemData":{"id":6299,"type":"article-journal","abstract":"This systematic review underscores the significance of learning communities as fertile grounds for skill development across diverse contexts. Furthermore, it reviews and theoretically evaluates several commonly used strategies, methods, and supports for developing skills within learning communities by synthesizing the existing literature. We followed the procedure outlined by the Preferred Reporting Items for Systematic Review and Meta-Analyses (PRISMA) to ensure a transparent, comprehensive, and standardized approach to conducting and reporting our systematic review, thereby enhancing the review’s credibility and reproducibility. Through an extensive analysis of the literature, we identified eleven strategies, methods, and supports (application of collaborative projects, mentorship programs, workshops and training sessions, online learning platforms, peer learning and feedback, problem-based learning, cross-collaboration initiatives, leadership development programs, inclusive learning environments, gamification and simulations, and social media and networking) that play pivotal roles in nurturing different types of skills. We describe each identified solution, its advantages and challenges, the types of skills targeted for development, and their overall contribution to skill enhancement. The findings emphasize the importance of fostering collaborative and interactive environments within learning communities to facilitate collective skill development and personal growth. Our systematic review faced some challenges (e.g., heterogeneity of studies and lack of longitudinal data) due to the overwhelming diversity of the literature on skill development across various disciplines and contexts. Overall, by synthesizing existing knowledge and identifying gaps in the literature, this review serves as a foundation for advancing theory, informing practice, and promoting continual improvement in skill development within learning communities.","container-title":"Administrative Sciences","DOI":"10.3390/admsci14090231","ISSN":"2076-3387","issue":"9","language":"en","license":"http://creativecommons.org/licenses/by/3.0/","note":"publisher: Multidisciplinary Digital Publishing Institute","page":"231","source":"www.mdpi.com","title":"Strategies, Methods, and Supports for Developing Skills within Learning Communities: A Systematic Review of the Literature","title-short":"Strategies, Methods, and Supports for Developing Skills within Learning Communities","volume":"14","author":[{"family":"Zamiri","given":"Majid"},{"family":"Esmaeili","given":"Ali"}],"issued":{"date-parts":[["2024",9]]}}}],"schema":"https://github.com/citation-style-language/schema/raw/master/csl-citation.json"}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[31]</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p>
    <w:p w14:paraId="735B1A6F" w14:textId="482754A5"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b/>
          <w:bCs/>
          <w:sz w:val="24"/>
          <w:szCs w:val="24"/>
        </w:rPr>
        <w:t>Principles for Redesigning the Curriculum</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t>The curriculum should be changed to include more than one subject so that students can use what they learn in real life circumstances. The major thing to focus on should be project-based learning (PBL), which lets students come up with, carry out, and present ideas that blend what they know with how things work in the real world. It is important that the curriculum is culturally relevant. This means that it should include global perspectives while also showing Nigeria's history, values, and current events. This two-pronged strategy guarantees that students will keep their cultural identity while also learning the skills they need to be involved in the world</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{"citationID":"FIbQGrzE","properties":{"formattedCitation":"[32]","plainCitation":"[32]","noteIndex":0},"citationItems":[{"id":6303,"uris":["http://zotero.org/users/16652950/items/NPKM6XT2"],"itemData":{"id":6303,"type":"article-journal","abstract":"With the educational reform for skills in the 21st century, a large number of scholars have explored project-based learning. However, whether project-based learning can effectively improve the learning effect of students has not yet reached a unified conclusion. This study uses a meta-analysis method to conduct an in-depth quantitative analysis of 66 experimental or quasi-experimental research papers based on project-based learning over the past 20 years. The results of the study showed that compared with the traditional teaching model, project-based learning significantly improved students' learning outcomes and positively contributed to academic achievement, affective attitudes, and thinking skills, especially academic achievement. The results of the moderating effects test indicated that the effectiveness of project-based learning and teaching was influenced by different moderating variables, including country region, subject area, type of course, academic period, group size, class size, and experimental period.: (1) from the perspective of country geography, the effects of project-based learning in Asia, especially in Southeast Asia, were significantly better than those in Western Europe and North America; (2) in terms of curriculum, project-based learning promotes student learning effects more significantly in engineering and technology subjects, and is better applied in laboratory classes than in theory classes; (3) from a pedagogical point of view, project-based learning is more suitable for small group teaching, in which the group size is 4-5 people teaching the best results; (4) in view of the experimental period, 9-18 weeks is more appropriate and has more obvious advantages for application at the high school level.","container-title":"Frontiers in Psychology","DOI":"10.3389/fpsyg.2023.1202728","ISSN":"1664-1078","journalAbbreviation":"Front. Psychol.","language":"English","note":"publisher: Frontiers","source":"Frontiers","title":"A study of the impact of project-based learning on student learning effects: a meta-analysis study","title-short":"A study of the impact of project-based learning on student learning effects","URL":"https://www.frontiersin.org/journals/psychology/articles/10.3389/fpsyg.2023.1202728/full","volume":"14","author":[{"family":"Zhang","given":"Lu"},{"family":"Ma","given":"Yan"}],"accessed":{"date-parts":[["2025",8,13]]},"issued":{"date-parts":[["2023",7,17]]}}}],"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[32]</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Plan for putting it into action</w:t>
      </w:r>
    </w:p>
    <w:p w14:paraId="57E360AF" w14:textId="26B4E227"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t>The first stage in reform should be to run pilot initiatives in a few urban and rural schools. This would help test ideas, gather local evidence, and build trust among stakeholders. It is important to make teacher professional development a priority. In-service programs should teach teachers how to use active pedagogy and technology in the classroom, and pre-service courses should be modified to include CBE ideas. A staggered deployment that starts in lower primary and goes up makes it possible to make iterative improvements based on feedback, mobilize resources, and adapt progressively. Working with foreign organizations, NGOs, and businesses can help you get money and technical help</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{"citationID":"dtLou9Kl","properties":{"formattedCitation":"[33]","plainCitation":"[33]","noteIndex":0},"citationItems":[{"id":6305,"uris":["http://zotero.org/users/16652950/items/XRMPCZSV"],"itemData":{"id":6305,"type":"chapter","abstract":"Education systems in all countries are currently confronted by many challenges. Policymakers and educationalists have been attempting to solve problems through changes aimed at increasing access, quality, efficiency and relevance, and making systems more equitable.","container-title":"Rural School Improvement in Developing Countries","event-place":"Singapore","ISBN":"978-981-97-4917-1","language":"en","note":"DOI: 10.1007/978-981-97-4917-1_1","page":"1-35","publisher":"Springer Nature","publisher-place":"Singapore","source":"Springer Link","title":"School Improvement in Rural Settings: A Review of International Research and Practice","title-short":"School Improvement in Rural Settings","URL":"https://doi.org/10.1007/978-981-97-4917-1_1","author":[{"family":"Hardman","given":"Frank"},{"family":"Sandi","given":"Ana Maria"}],"editor":[{"family":"Zhao","given":"Yuchi"},{"family":"Liu","given":"Jing"}],"accessed":{"date-parts":[["2025",8,13]]},"issued":{"date-parts":[["2024"]]}}}],"schema":"https://github.com/citation-style-language/schema/raw/master/csl-citation.json"}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[33]</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 xml:space="preserve">Checking and Evaluating </w:t>
      </w:r>
      <w:r w:rsidRPr="00BE4734">
        <w:rPr>
          <w:rFonts w:ascii="Times New Roman" w:eastAsia="Times New Roman" w:hAnsi="Times New Roman" w:cs="Times New Roman"/>
          <w:b/>
          <w:bCs/>
          <w:sz w:val="24"/>
          <w:szCs w:val="24"/>
        </w:rPr>
        <w:br/>
      </w:r>
    </w:p>
    <w:p w14:paraId="42996C1E" w14:textId="604A876D" w:rsidR="00A43336"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In addition to keeping track of how well students are doing, good monitoring and evaluation (M&amp;E) systems should also look at how well students are learning, how well teachers are accepting new teaching methods, and how ready the infrastructure is. Mixed-method evaluation, which uses performance tasks, portfolios, observational data, and standardized tests, can provide you a whole picture of development. Regular reporting to stakeholders will keep accountability and political will strong</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{"citationID":"xGX34A9G","properties":{"formattedCitation":"[34]","plainCitation":"[34]","noteIndex":0},"citationItems":[{"id":6307,"uris":["http://zotero.org/users/16652950/items/H4D5RFXA"],"itemData":{"id":6307,"type":"article-journal","abstract":"Assessment is an integral core component of the educational process (learning–teaching–assessment), influencing learning and teaching. Its impact extends beyond these core elements, shaping decisions that affect students, teachers, administrators, policymakers, and the wider community. Recognizing the critical role and broad impact of assessment on educational practices, we must leverage its power to foster better education that caters to diverse multicultural learners and promotes a more equitable society. In this theoretical paper, we comprehensively explore the transformative potential of assessment focusing on culturally responsive assessment, on both teaching and learning practices, emphasizing the needs of diverse learners. We discuss possible solutions to enhance educational outcomes through assessment redesign, critically examine the barriers to implementing these solutions, and propose viable strategies to mitigate these challenges, ensuring all learners reach their full potential.","container-title":"Education Sciences","DOI":"10.3390/educsci15020224","ISSN":"2227-7102","issue":"2","language":"en","license":"http://creativecommons.org/licenses/by/3.0/","note":"publisher: Multidisciplinary Digital Publishing Institute","page":"224","source":"www.mdpi.com","title":"The Role of Assessment in Improving Education and Promoting Educational Equity","volume":"15","author":[{"family":"Levy-Feldman","given":"Irit"}],"issued":{"date-parts":[["2025",2]]}}}],"schema":"https://github.com/citation-style-language/schema/raw/master/csl-citation.json"}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[34]</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p>
    <w:p w14:paraId="0F2F1851" w14:textId="0454C1BF"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lastRenderedPageBreak/>
        <w:t>Nigeria may build a generation of students ready for the challenges of the twenty-first century by putting these parts together in a way that makes sense and fits its basic education system with both local needs for growth and worldwide standards for skills.</w:t>
      </w:r>
    </w:p>
    <w:p w14:paraId="7E63CD46" w14:textId="77777777" w:rsidR="00E85940" w:rsidRPr="00E85940" w:rsidRDefault="00E85940" w:rsidP="00E85940">
      <w:pPr>
        <w:spacing w:before="100" w:beforeAutospacing="1" w:after="100" w:afterAutospacing="1" w:line="240" w:lineRule="auto"/>
        <w:outlineLvl w:val="1"/>
        <w:rPr>
          <w:rFonts w:ascii="Times New Roman" w:eastAsia="Times New Roman" w:hAnsi="Times New Roman" w:cs="Times New Roman"/>
          <w:b/>
          <w:bCs/>
          <w:sz w:val="36"/>
          <w:szCs w:val="36"/>
        </w:rPr>
      </w:pPr>
      <w:r w:rsidRPr="00E85940">
        <w:rPr>
          <w:rFonts w:ascii="Times New Roman" w:eastAsia="Times New Roman" w:hAnsi="Times New Roman" w:cs="Times New Roman"/>
          <w:b/>
          <w:bCs/>
          <w:sz w:val="36"/>
          <w:szCs w:val="36"/>
        </w:rPr>
        <w:t>7. Implications for Policy and Practice</w:t>
      </w:r>
    </w:p>
    <w:p w14:paraId="22458AB1" w14:textId="5A791190"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b/>
          <w:bCs/>
          <w:sz w:val="24"/>
          <w:szCs w:val="24"/>
        </w:rPr>
        <w:t xml:space="preserve">Suggestions for Changing Policies </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t>To bring Nigeria's basic education up to worldwide competency levels, policy changes must put the integration of 21st-century skills into curricular objectives, learning outcomes, and assessment frameworks at the top of their list of things to do. This necessitates unwavering budgetary commitments, continuity throughout political cycles, and explicit national objectives for competency acquisition. Policies should also promote curriculum flexibility to make it easier for states and cities to adjust to different situations</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{"citationID":"NgcAGXax","properties":{"formattedCitation":"[35]","plainCitation":"[35]","noteIndex":0},"citationItems":[{"id":6309,"uris":["http://zotero.org/users/16652950/items/XJVNUZIR"],"itemData":{"id":6309,"type":"article-journal","abstract":"Responsive educational proposals to develop skills to meet the demands of Industry 4.0 have become imperative to guarantee inclusive, equitable, and quality education and promote lifelong learning opportunities for all, also reducing the negative impact of COVID-19 and the major post-pandemic social issues. This article analyzes which components of Education 4.0 have been considered in 21st century skills frameworks and identifies the teaching and learning methods and key stakeholders impacted. We conducted a systematic literature review (SLR) with research questions to highlight studies that address 21st century frameworks worldwide, identifying which teaching-–earning strategies contain 4.0 components, their learning dimensions, and the targeted stakeholders. The findings allowed us to identify opportunities to create or improve 21st century skills frameworks with the required Education 4.0 components to develop future skills. Our study revealed the absence of these frameworks for teachers and schools. Most are oriented toward students, developing competencies through the dimensions of character, meta-learning, and linking active learning teaching strategies. This work presents studies incorporating innovative educational practices and the core Education 4.0 components. It concludes with a reflection on creating educational models to develop complex-reasoning competencies and auto-systemic thinking to support problem-solving and address social needs.","container-title":"Sustainability","DOI":"10.3390/su14031493","ISSN":"2071-1050","issue":"3","language":"en","license":"http://creativecommons.org/licenses/by/3.0/","note":"publisher: Multidisciplinary Digital Publishing Institute","page":"1493","source":"www.mdpi.com","title":"Components of Education 4.0 in 21st Century Skills Frameworks: Systematic Review","title-short":"Components of Education 4.0 in 21st Century Skills Frameworks","volume":"14","author":[{"family":"González-Pérez","given":"Laura Icela"},{"family":"Ramírez-Montoya","given":"María Soledad"}],"issued":{"date-parts":[["2022",1]]}}}],"schema":"https://github.com/citation-style-language/schema/raw/master/csl-citation.json"}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[35]</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r w:rsidRPr="00BE4734">
        <w:rPr>
          <w:rFonts w:ascii="Times New Roman" w:eastAsia="Times New Roman" w:hAnsi="Times New Roman" w:cs="Times New Roman"/>
          <w:sz w:val="24"/>
          <w:szCs w:val="24"/>
        </w:rPr>
        <w:br/>
      </w:r>
    </w:p>
    <w:p w14:paraId="6CB916E3" w14:textId="77777777" w:rsidR="0081530C"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b/>
          <w:bCs/>
          <w:sz w:val="24"/>
          <w:szCs w:val="24"/>
        </w:rPr>
        <w:t xml:space="preserve">Top Priorities for Teacher Training </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br/>
        <w:t xml:space="preserve">Teachers need to be ready for reform to work. Pre-service programs should include active pedagogy, technology integration, and competency-based education as required modules. In order to give </w:t>
      </w:r>
      <w:proofErr w:type="gramStart"/>
      <w:r w:rsidRPr="00BE4734">
        <w:rPr>
          <w:rFonts w:ascii="Times New Roman" w:eastAsia="Times New Roman" w:hAnsi="Times New Roman" w:cs="Times New Roman"/>
          <w:sz w:val="24"/>
          <w:szCs w:val="24"/>
        </w:rPr>
        <w:t>teachers</w:t>
      </w:r>
      <w:proofErr w:type="gramEnd"/>
      <w:r w:rsidRPr="00BE4734">
        <w:rPr>
          <w:rFonts w:ascii="Times New Roman" w:eastAsia="Times New Roman" w:hAnsi="Times New Roman" w:cs="Times New Roman"/>
          <w:sz w:val="24"/>
          <w:szCs w:val="24"/>
        </w:rPr>
        <w:t xml:space="preserve"> the skills they need to help students learn together, ask tough questions, and come up with new ways to solve problems, in-service professional development must be planned, ongoing, and focused on practice. Teacher incentive programs including career development, performance-based incentives, and recognition should stimulate the use of new ideas</w:t>
      </w:r>
      <w:r w:rsidR="0081530C">
        <w:rPr>
          <w:rFonts w:ascii="Times New Roman" w:eastAsia="Times New Roman" w:hAnsi="Times New Roman" w:cs="Times New Roman"/>
          <w:sz w:val="24"/>
          <w:szCs w:val="24"/>
        </w:rPr>
        <w:fldChar w:fldCharType="begin"/>
      </w:r>
      <w:r w:rsidR="0081530C">
        <w:rPr>
          <w:rFonts w:ascii="Times New Roman" w:eastAsia="Times New Roman" w:hAnsi="Times New Roman" w:cs="Times New Roman"/>
          <w:sz w:val="24"/>
          <w:szCs w:val="24"/>
        </w:rPr>
        <w:instrText xml:space="preserve"> ADDIN ZOTERO_ITEM CSL_CITATION {"citationID":"k8ZgMUll","properties":{"formattedCitation":"[36]","plainCitation":"[36]","noteIndex":0},"citationItems":[{"id":6311,"uris":["http://zotero.org/users/16652950/items/5SJFPVWF"],"itemData":{"id":6311,"type":"article-journal","abstract":"Science, Technology, Engineering, and Mathematics (STEM) integrated curricular approach has become the leading type of education reform worldwide. This paper presents a STEM integrated collaborative activity to enhance STEM knowledge among pre-service mathematics and chemistry teachers. Well-structured and planned on-site workshops on STEM activities were delivered to pre-service teachers while growing mathematics and science content knowledge and pedagogical practices. The qualitative content analysis research methodology was used to identify relevant topics related to post reflective questions regarding pre-service teacher perspectives on the experience gained through the collaborative practices at the STEM workshop. The results show that the workshop had a positive effect on pre-service teachers’ conceptualization of STEM—through collaborative, participatory practices, an effective learning environment while bringing attention to teacher professional development and education policymakers. Key elements of this study approach included: (1) collaboration between university professors to teach and incorporate STEM in higher education; (2) unique partnership among mathematical and chemistry pre-service teachers; and (3) professional development, which is devoted and adopted into a study course.","container-title":"Frontiers in Education","DOI":"10.3389/feduc.2021.585075","ISSN":"2504-284X","journalAbbreviation":"Front. Educ.","language":"English","note":"publisher: Frontiers","source":"Frontiers","title":"Developing Pre-service Teachers Conceptualization of STEM and STEM Pedagogical Practices","URL":"https://www.frontiersin.org/journals/education/articles/10.3389/feduc.2021.585075/full","volume":"6","author":[{"family":"Berisha","given":"Fatlume"},{"family":"Vula","given":"Eda"}],"accessed":{"date-parts":[["2025",8,13]]},"issued":{"date-parts":[["2021",5,31]]}}}],"schema":"https://github.com/citation-style-language/schema/raw/master/csl-citation.json"} </w:instrText>
      </w:r>
      <w:r w:rsidR="0081530C">
        <w:rPr>
          <w:rFonts w:ascii="Times New Roman" w:eastAsia="Times New Roman" w:hAnsi="Times New Roman" w:cs="Times New Roman"/>
          <w:sz w:val="24"/>
          <w:szCs w:val="24"/>
        </w:rPr>
        <w:fldChar w:fldCharType="separate"/>
      </w:r>
      <w:r w:rsidR="0081530C" w:rsidRPr="0081530C">
        <w:rPr>
          <w:rFonts w:ascii="Times New Roman" w:hAnsi="Times New Roman" w:cs="Times New Roman"/>
          <w:sz w:val="24"/>
        </w:rPr>
        <w:t>[36]</w:t>
      </w:r>
      <w:r w:rsidR="0081530C">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p>
    <w:p w14:paraId="153B4D12" w14:textId="26E42845"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 xml:space="preserve">The function of partnerships </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t>Strategic relationships can help fill in gaps in expertise and resources. For trial initiatives and establishing capacity, the government can work with NGOs, businesses, and international organizations like UNESCO and UNICEF to get money, digital infrastructure, and technical know-how. Community involvement is just as crucial as cultural tolerance and endurance. Local leaders and parent-teacher associations can help push for changes and help schools put them into action</w:t>
      </w:r>
      <w:r w:rsidR="0081530C">
        <w:rPr>
          <w:rFonts w:ascii="Times New Roman" w:eastAsia="Times New Roman" w:hAnsi="Times New Roman" w:cs="Times New Roman"/>
          <w:sz w:val="24"/>
          <w:szCs w:val="24"/>
        </w:rPr>
        <w:fldChar w:fldCharType="begin"/>
      </w:r>
      <w:r w:rsidR="0081530C">
        <w:rPr>
          <w:rFonts w:ascii="Times New Roman" w:eastAsia="Times New Roman" w:hAnsi="Times New Roman" w:cs="Times New Roman"/>
          <w:sz w:val="24"/>
          <w:szCs w:val="24"/>
        </w:rPr>
        <w:instrText xml:space="preserve"> ADDIN ZOTERO_ITEM CSL_CITATION {"citationID":"A6B3BEfr","properties":{"formattedCitation":"[37]","plainCitation":"[37]","noteIndex":0},"citationItems":[{"id":6313,"uris":["http://zotero.org/users/16652950/items/R2LDNQG6"],"itemData":{"id":6313,"type":"article-journal","abstract":"BACKGROUND:\nGiven the expanding range of health influencing factors, increasing expectations from the health systems, and general challenges such as insufficient resources, the health services needed by people cannot be provided completely by the governments alone. Therefore, nongovernmental organizations (NGOs)-government collaboration is considered a common approach in health-care provision for different communities. Since the NGO-government collaboration is complicated and usually influenced by many challenges and issues, the present study was conducted to identify collaboration challenges between the government and NGOs in providing health-care services.\n\nMATERIALS AND METHODS:\nUsing a systematic review method and searching in ISI Web of Science, Scopus, PubMed, and Embase databases, using related keyword/terms, between March 2020 and June 2020, studies on NGO-government collaboration in the health area were collected without time limitation. After completing the article selection process, those articles that consistent with the research purpose were chosen for the final analysis.\n\nRESULTS:\nFrom 4236 initially collected studies, 16 studies were chosen for the final analysis. Based on the content analysis of the selected articles, 70 challenges were identified in the NGO-government collaboration to provide health-care services. These challenges were divided into five main themes: structural issues, process issues, issues related to roles and responsibilities, trust and communications issues, and control and power relation issues and 11 subthemes.\n\nCONCLUSION:\nThe present study provides significant challenges by NGO-government collaboration in providing health-care services. Awareness of these challenges plays an important role in promoting such collaborations and enables these organizations to highly exploit the strengths of each other, resulting in a collaboration with win–win situation.","container-title":"Journal of Education and Health Promotion","DOI":"10.4103/jehp.jehp_1312_20","ISSN":"2277-9531","journalAbbreviation":"J Educ Health Promot","note":"PMID: 34395679\nPMCID: PMC8318181","page":"242","source":"PubMed Central","title":"Collaboration between the government and nongovernmental organizations in providing health-care services: A systematic review of challenges","title-short":"Collaboration between the government and nongovernmental organizations in providing health-care services","volume":"10","author":[{"family":"Rajabi","given":"Mohanna"},{"family":"Ebrahimi","given":"Parvin"},{"family":"Aryankhesal","given":"Aidin"}],"issued":{"date-parts":[["2021",6,30]]}}}],"schema":"https://github.com/citation-style-language/schema/raw/master/csl-citation.json"} </w:instrText>
      </w:r>
      <w:r w:rsidR="0081530C">
        <w:rPr>
          <w:rFonts w:ascii="Times New Roman" w:eastAsia="Times New Roman" w:hAnsi="Times New Roman" w:cs="Times New Roman"/>
          <w:sz w:val="24"/>
          <w:szCs w:val="24"/>
        </w:rPr>
        <w:fldChar w:fldCharType="separate"/>
      </w:r>
      <w:r w:rsidR="0081530C" w:rsidRPr="0081530C">
        <w:rPr>
          <w:rFonts w:ascii="Times New Roman" w:hAnsi="Times New Roman" w:cs="Times New Roman"/>
          <w:sz w:val="24"/>
        </w:rPr>
        <w:t>[37]</w:t>
      </w:r>
      <w:r w:rsidR="0081530C">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t>Nigeria can create a supportive environment for incorporating 21st-century skills into its basic education system, fostering local growth and enhancing international competitiveness, through robust policy guidance, empowered educators, and well-coordinated collaborations.</w:t>
      </w:r>
    </w:p>
    <w:p w14:paraId="3BB72CC4" w14:textId="63DB6526" w:rsidR="00E85940" w:rsidRPr="00E85940" w:rsidRDefault="00E85940" w:rsidP="00C70214">
      <w:pPr>
        <w:spacing w:before="100" w:beforeAutospacing="1" w:after="100" w:afterAutospacing="1" w:line="240" w:lineRule="auto"/>
        <w:rPr>
          <w:rFonts w:ascii="Times New Roman" w:eastAsia="Times New Roman" w:hAnsi="Times New Roman" w:cs="Times New Roman"/>
          <w:b/>
          <w:bCs/>
          <w:sz w:val="36"/>
          <w:szCs w:val="36"/>
        </w:rPr>
      </w:pPr>
      <w:r w:rsidRPr="00E85940">
        <w:rPr>
          <w:rFonts w:ascii="Times New Roman" w:eastAsia="Times New Roman" w:hAnsi="Times New Roman" w:cs="Times New Roman"/>
          <w:b/>
          <w:bCs/>
          <w:sz w:val="36"/>
          <w:szCs w:val="36"/>
        </w:rPr>
        <w:t>8. Conclusion</w:t>
      </w:r>
    </w:p>
    <w:p w14:paraId="4CC2A0EE" w14:textId="519FBAC5"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Nigeria's basic education curriculum must be revised to include 21st-century skills. In a time when technology is changing quickly, job markets are changing, and global problems are getting more complicated, it's important for Nigerian students to be able to think critically, be creative, and act ethically. This is important for both the country's growth and its ability to compete globally. </w:t>
      </w:r>
      <w:r w:rsidRPr="00BE4734">
        <w:rPr>
          <w:rFonts w:ascii="Times New Roman" w:eastAsia="Times New Roman" w:hAnsi="Times New Roman" w:cs="Times New Roman"/>
          <w:sz w:val="24"/>
          <w:szCs w:val="24"/>
        </w:rPr>
        <w:br/>
        <w:t xml:space="preserve">This assessment has put Nigeria's needs for curriculum reform into the bigger picture of global competency-based education by taking ideas from many other countries and giving them a framework that may be used in Nigeria. By doing this, it adds to the growing body of study on </w:t>
      </w:r>
      <w:r w:rsidRPr="00BE4734">
        <w:rPr>
          <w:rFonts w:ascii="Times New Roman" w:eastAsia="Times New Roman" w:hAnsi="Times New Roman" w:cs="Times New Roman"/>
          <w:sz w:val="24"/>
          <w:szCs w:val="24"/>
        </w:rPr>
        <w:lastRenderedPageBreak/>
        <w:t>how developing countries might bridge the gap between traditional, content-heavy schools and newer, skill-rich, learner-centered schools.</w:t>
      </w:r>
      <w:r w:rsidRPr="00BE4734">
        <w:rPr>
          <w:rFonts w:ascii="Times New Roman" w:eastAsia="Times New Roman" w:hAnsi="Times New Roman" w:cs="Times New Roman"/>
          <w:sz w:val="24"/>
          <w:szCs w:val="24"/>
        </w:rPr>
        <w:br/>
        <w:t>To move forward, we need to act quickly: develop strong coalitions between different groups, improve teachers' skills, make sure everyone has equitable access to technology, and keep making policies that work. Reform is not merely a necessary step for education; it is a planned investment in Nigeria's future human capital. If Nigeria takes advantage of this chance, it may build an education system that helps all kids do well in the 21st century and make important contributions to society, not just pass tests. It's time to do something now</w:t>
      </w:r>
      <w:r w:rsidR="0081530C">
        <w:rPr>
          <w:rFonts w:ascii="Times New Roman" w:eastAsia="Times New Roman" w:hAnsi="Times New Roman" w:cs="Times New Roman"/>
          <w:sz w:val="24"/>
          <w:szCs w:val="24"/>
        </w:rPr>
        <w:fldChar w:fldCharType="begin"/>
      </w:r>
      <w:r w:rsidR="0081530C">
        <w:rPr>
          <w:rFonts w:ascii="Times New Roman" w:eastAsia="Times New Roman" w:hAnsi="Times New Roman" w:cs="Times New Roman"/>
          <w:sz w:val="24"/>
          <w:szCs w:val="24"/>
        </w:rPr>
        <w:instrText xml:space="preserve"> ADDIN ZOTERO_ITEM CSL_CITATION {"citationID":"eMRGt5e4","properties":{"formattedCitation":"[38]","plainCitation":"[38]","noteIndex":0},"citationItems":[{"id":4375,"uris":["http://zotero.org/users/16652950/items/FK4LEPHE"],"itemData":{"id":4375,"type":"article-journal","abstract":"When addressing juvenile delinquencies in Nigeria, it is important to consider the roles and effects of parenting styles and family structures. Although, there are no universally accepted parenting styles, evidence and studies have pointed to some parenting styles that expose children to delinquent behaviours. We examined different parenting styles comprehensively in this article and how these styles can influence juvenile delinquencies. We also discussed the association between single-parenting and behavioural outcomes; accounting how single-parenting may increase risks of delinquencies. Furthermore, marital discord was discussed and social learning theory by Albert Bandura was adopted to buttress our positions. We concluded that parenting styles have roles in delinquencies and that while children raised by single parents may be vulnerable to delinquencies, the assumption may not always be true. This study posits that government and appropriate agencies should establish a functional child support systems across Nigeria and family institution should be paid more attention to.","container-title":"African Journal of Social Issues","DOI":"10.4314/ajosi.v7i1.8","ISSN":"2734-3324","issue":"1","language":"en","license":"Copyright (c) 2024","note":"number: 1","page":"116-132","source":"www.ajol.info","title":"Juvenile delinquency as a contemporary issue in Nigeria: understanding the impacts of parenting styles, single parenting and marital discord.","title-short":"Juvenile delinquency as a contemporary issue in Nigeria","volume":"7","author":[{"family":"Folorunsho","given":"Sunkanmi"},{"family":"Ajayi","given":"Victor"},{"family":"Abdulrazaq","given":"Oluwakemi"}],"issued":{"date-parts":[["2024",3,23]]}}}],"schema":"https://github.com/citation-style-language/schema/raw/master/csl-citation.json"} </w:instrText>
      </w:r>
      <w:r w:rsidR="0081530C">
        <w:rPr>
          <w:rFonts w:ascii="Times New Roman" w:eastAsia="Times New Roman" w:hAnsi="Times New Roman" w:cs="Times New Roman"/>
          <w:sz w:val="24"/>
          <w:szCs w:val="24"/>
        </w:rPr>
        <w:fldChar w:fldCharType="separate"/>
      </w:r>
      <w:r w:rsidR="0081530C" w:rsidRPr="0081530C">
        <w:rPr>
          <w:rFonts w:ascii="Times New Roman" w:hAnsi="Times New Roman" w:cs="Times New Roman"/>
          <w:sz w:val="24"/>
        </w:rPr>
        <w:t>[38]</w:t>
      </w:r>
      <w:r w:rsidR="0081530C">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55F94F44" w14:textId="4B0F4EFE" w:rsidR="00E85940" w:rsidRDefault="00E85940" w:rsidP="00BE4734">
      <w:pPr>
        <w:spacing w:after="0" w:line="240" w:lineRule="auto"/>
      </w:pPr>
    </w:p>
    <w:p w14:paraId="25563A58" w14:textId="78091429" w:rsidR="0086381A" w:rsidRPr="0086381A" w:rsidRDefault="0086381A" w:rsidP="00BE4734">
      <w:pPr>
        <w:spacing w:after="0" w:line="240" w:lineRule="auto"/>
        <w:rPr>
          <w:b/>
          <w:bCs/>
        </w:rPr>
      </w:pPr>
    </w:p>
    <w:p w14:paraId="0F577311" w14:textId="421CF3F8" w:rsidR="0086381A" w:rsidRDefault="0086381A" w:rsidP="00BE4734">
      <w:pPr>
        <w:spacing w:after="0" w:line="240" w:lineRule="auto"/>
        <w:rPr>
          <w:b/>
          <w:bCs/>
        </w:rPr>
      </w:pPr>
      <w:r w:rsidRPr="0086381A">
        <w:rPr>
          <w:b/>
          <w:bCs/>
        </w:rPr>
        <w:t>REFE</w:t>
      </w:r>
      <w:r>
        <w:rPr>
          <w:b/>
          <w:bCs/>
        </w:rPr>
        <w:t>RENCES</w:t>
      </w:r>
    </w:p>
    <w:p w14:paraId="6CDFC1C2" w14:textId="77777777" w:rsidR="0086381A" w:rsidRPr="0086381A" w:rsidRDefault="0086381A" w:rsidP="0086381A">
      <w:pPr>
        <w:pStyle w:val="Bibliography"/>
        <w:rPr>
          <w:rFonts w:ascii="Calibri" w:hAnsi="Calibri" w:cs="Calibri"/>
        </w:rPr>
      </w:pPr>
      <w:r>
        <w:rPr>
          <w:b/>
          <w:bCs/>
        </w:rPr>
        <w:fldChar w:fldCharType="begin"/>
      </w:r>
      <w:r>
        <w:rPr>
          <w:b/>
          <w:bCs/>
        </w:rPr>
        <w:instrText xml:space="preserve"> ADDIN ZOTERO_BIBL {"uncited":[],"omitted":[],"custom":[]} CSL_BIBLIOGRAPHY </w:instrText>
      </w:r>
      <w:r>
        <w:rPr>
          <w:b/>
          <w:bCs/>
        </w:rPr>
        <w:fldChar w:fldCharType="separate"/>
      </w:r>
      <w:r w:rsidRPr="0086381A">
        <w:rPr>
          <w:rFonts w:ascii="Calibri" w:hAnsi="Calibri" w:cs="Calibri"/>
        </w:rPr>
        <w:t xml:space="preserve">1. </w:t>
      </w:r>
      <w:r w:rsidRPr="0086381A">
        <w:rPr>
          <w:rFonts w:ascii="Calibri" w:hAnsi="Calibri" w:cs="Calibri"/>
        </w:rPr>
        <w:tab/>
        <w:t xml:space="preserve">Darling-Hammond L, Flook L, Cook-Harvey C, Barron B, Osher D. Implications for educational practice of the science of learning and development. Applied Developmental Science. 2020 Apr 2;24(2):97–140. </w:t>
      </w:r>
    </w:p>
    <w:p w14:paraId="5F19166D" w14:textId="77777777" w:rsidR="0086381A" w:rsidRPr="0086381A" w:rsidRDefault="0086381A" w:rsidP="0086381A">
      <w:pPr>
        <w:pStyle w:val="Bibliography"/>
        <w:rPr>
          <w:rFonts w:ascii="Calibri" w:hAnsi="Calibri" w:cs="Calibri"/>
        </w:rPr>
      </w:pPr>
      <w:r w:rsidRPr="0086381A">
        <w:rPr>
          <w:rFonts w:ascii="Calibri" w:hAnsi="Calibri" w:cs="Calibri"/>
        </w:rPr>
        <w:t xml:space="preserve">2. </w:t>
      </w:r>
      <w:r w:rsidRPr="0086381A">
        <w:rPr>
          <w:rFonts w:ascii="Calibri" w:hAnsi="Calibri" w:cs="Calibri"/>
        </w:rPr>
        <w:tab/>
        <w:t xml:space="preserve">Erstad O, Černochová M, Knezek G, Furuta T, Takami K, Liang C. Social and Emotional Modes of Learning Within Digital Ecosystems: Emerging Research Agendas. Tech Know Learn. 2024 Dec 1;29(4):1751–66. </w:t>
      </w:r>
    </w:p>
    <w:p w14:paraId="607E439D" w14:textId="77777777" w:rsidR="0086381A" w:rsidRPr="0086381A" w:rsidRDefault="0086381A" w:rsidP="0086381A">
      <w:pPr>
        <w:pStyle w:val="Bibliography"/>
        <w:rPr>
          <w:rFonts w:ascii="Calibri" w:hAnsi="Calibri" w:cs="Calibri"/>
        </w:rPr>
      </w:pPr>
      <w:r w:rsidRPr="0086381A">
        <w:rPr>
          <w:rFonts w:ascii="Calibri" w:hAnsi="Calibri" w:cs="Calibri"/>
        </w:rPr>
        <w:t xml:space="preserve">3. </w:t>
      </w:r>
      <w:r w:rsidRPr="0086381A">
        <w:rPr>
          <w:rFonts w:ascii="Calibri" w:hAnsi="Calibri" w:cs="Calibri"/>
        </w:rPr>
        <w:tab/>
        <w:t xml:space="preserve">Luise OE. The Quality of Educational Development in Nigeria. Educational Research. 2023 Mar 31;1–3. </w:t>
      </w:r>
    </w:p>
    <w:p w14:paraId="66F4CD14" w14:textId="77777777" w:rsidR="0086381A" w:rsidRPr="0086381A" w:rsidRDefault="0086381A" w:rsidP="0086381A">
      <w:pPr>
        <w:pStyle w:val="Bibliography"/>
        <w:rPr>
          <w:rFonts w:ascii="Calibri" w:hAnsi="Calibri" w:cs="Calibri"/>
        </w:rPr>
      </w:pPr>
      <w:r w:rsidRPr="0086381A">
        <w:rPr>
          <w:rFonts w:ascii="Calibri" w:hAnsi="Calibri" w:cs="Calibri"/>
        </w:rPr>
        <w:t xml:space="preserve">4. </w:t>
      </w:r>
      <w:r w:rsidRPr="0086381A">
        <w:rPr>
          <w:rFonts w:ascii="Calibri" w:hAnsi="Calibri" w:cs="Calibri"/>
        </w:rPr>
        <w:tab/>
        <w:t>Okonkwo DIJ&amp; DCO. Integrating 21st Century Skills into Secondary Education: Preparing Students for a Productive Society. 2025 Feb 16 [cited 2025 Aug 13]; Available from: https://zenodo.org/records/14879702</w:t>
      </w:r>
    </w:p>
    <w:p w14:paraId="586C5972" w14:textId="77777777" w:rsidR="0086381A" w:rsidRPr="0086381A" w:rsidRDefault="0086381A" w:rsidP="0086381A">
      <w:pPr>
        <w:pStyle w:val="Bibliography"/>
        <w:rPr>
          <w:rFonts w:ascii="Calibri" w:hAnsi="Calibri" w:cs="Calibri"/>
        </w:rPr>
      </w:pPr>
      <w:r w:rsidRPr="0086381A">
        <w:rPr>
          <w:rFonts w:ascii="Calibri" w:hAnsi="Calibri" w:cs="Calibri"/>
        </w:rPr>
        <w:t xml:space="preserve">5. </w:t>
      </w:r>
      <w:r w:rsidRPr="0086381A">
        <w:rPr>
          <w:rFonts w:ascii="Calibri" w:hAnsi="Calibri" w:cs="Calibri"/>
        </w:rPr>
        <w:tab/>
        <w:t xml:space="preserve">Thornhill-Miller B, Camarda A, Mercier M, Burkhardt JM, Morisseau T, Bourgeois-Bougrine S, et al. Creativity, Critical Thinking, Communication, and Collaboration: Assessment, Certification, and Promotion of 21st Century Skills for the Future of Work and Education. Journal of Intelligence. 2023 Mar;11(3):54. </w:t>
      </w:r>
    </w:p>
    <w:p w14:paraId="4FB05ACE" w14:textId="77777777" w:rsidR="0086381A" w:rsidRPr="0086381A" w:rsidRDefault="0086381A" w:rsidP="0086381A">
      <w:pPr>
        <w:pStyle w:val="Bibliography"/>
        <w:rPr>
          <w:rFonts w:ascii="Calibri" w:hAnsi="Calibri" w:cs="Calibri"/>
        </w:rPr>
      </w:pPr>
      <w:r w:rsidRPr="0086381A">
        <w:rPr>
          <w:rFonts w:ascii="Calibri" w:hAnsi="Calibri" w:cs="Calibri"/>
        </w:rPr>
        <w:t xml:space="preserve">6. </w:t>
      </w:r>
      <w:r w:rsidRPr="0086381A">
        <w:rPr>
          <w:rFonts w:ascii="Calibri" w:hAnsi="Calibri" w:cs="Calibri"/>
        </w:rPr>
        <w:tab/>
        <w:t xml:space="preserve">Kalukar VJ, Krobo A, Pessireron MF, Suhendra S, Yudistira S. Enhancing Critical Thinking Skills Through Collaborative Learning in Modern Educational Practices. The Journal of Academic Science. 2024 Dec 12;1(8):1145–53. </w:t>
      </w:r>
    </w:p>
    <w:p w14:paraId="3B987C5C" w14:textId="77777777" w:rsidR="0086381A" w:rsidRPr="0086381A" w:rsidRDefault="0086381A" w:rsidP="0086381A">
      <w:pPr>
        <w:pStyle w:val="Bibliography"/>
        <w:rPr>
          <w:rFonts w:ascii="Calibri" w:hAnsi="Calibri" w:cs="Calibri"/>
        </w:rPr>
      </w:pPr>
      <w:r w:rsidRPr="0086381A">
        <w:rPr>
          <w:rFonts w:ascii="Calibri" w:hAnsi="Calibri" w:cs="Calibri"/>
        </w:rPr>
        <w:t xml:space="preserve">7. </w:t>
      </w:r>
      <w:r w:rsidRPr="0086381A">
        <w:rPr>
          <w:rFonts w:ascii="Calibri" w:hAnsi="Calibri" w:cs="Calibri"/>
        </w:rPr>
        <w:tab/>
        <w:t xml:space="preserve">Zhou M, Wang X, Wang R. Foreign language learning’s role in the development of global competence: A latent profile analysis. Acta Psychologica. 2025 Apr 1;254:104850. </w:t>
      </w:r>
    </w:p>
    <w:p w14:paraId="63E7A1FF" w14:textId="77777777" w:rsidR="0086381A" w:rsidRPr="0086381A" w:rsidRDefault="0086381A" w:rsidP="0086381A">
      <w:pPr>
        <w:pStyle w:val="Bibliography"/>
        <w:rPr>
          <w:rFonts w:ascii="Calibri" w:hAnsi="Calibri" w:cs="Calibri"/>
        </w:rPr>
      </w:pPr>
      <w:r w:rsidRPr="0086381A">
        <w:rPr>
          <w:rFonts w:ascii="Calibri" w:hAnsi="Calibri" w:cs="Calibri"/>
        </w:rPr>
        <w:t xml:space="preserve">8. </w:t>
      </w:r>
      <w:r w:rsidRPr="0086381A">
        <w:rPr>
          <w:rFonts w:ascii="Calibri" w:hAnsi="Calibri" w:cs="Calibri"/>
        </w:rPr>
        <w:tab/>
        <w:t xml:space="preserve">Saini M, Sengupta E, Singh M, Singh H, Singh J. Sustainable Development Goal for Quality Education (SDG 4): A study on SDG 4 to extract the pattern of association among the indicators of SDG 4 employing a genetic algorithm. Educ Inf Technol (Dordr). 2023;28(2):2031–69. </w:t>
      </w:r>
    </w:p>
    <w:p w14:paraId="483EA5E7" w14:textId="77777777" w:rsidR="0086381A" w:rsidRPr="0086381A" w:rsidRDefault="0086381A" w:rsidP="0086381A">
      <w:pPr>
        <w:pStyle w:val="Bibliography"/>
        <w:rPr>
          <w:rFonts w:ascii="Calibri" w:hAnsi="Calibri" w:cs="Calibri"/>
        </w:rPr>
      </w:pPr>
      <w:r w:rsidRPr="0086381A">
        <w:rPr>
          <w:rFonts w:ascii="Calibri" w:hAnsi="Calibri" w:cs="Calibri"/>
        </w:rPr>
        <w:t xml:space="preserve">9. </w:t>
      </w:r>
      <w:r w:rsidRPr="0086381A">
        <w:rPr>
          <w:rFonts w:ascii="Calibri" w:hAnsi="Calibri" w:cs="Calibri"/>
        </w:rPr>
        <w:tab/>
        <w:t>Drake SM, Reid JL. 21st Century Competencies in Light of the History of Integrated Curriculum. Front Educ [Internet]. 2020 Jul 14 [cited 2025 Aug 13];5. Available from: https://www.frontiersin.org/journals/education/articles/10.3389/feduc.2020.00122/full</w:t>
      </w:r>
    </w:p>
    <w:p w14:paraId="266F68D5" w14:textId="77777777" w:rsidR="0086381A" w:rsidRPr="0086381A" w:rsidRDefault="0086381A" w:rsidP="0086381A">
      <w:pPr>
        <w:pStyle w:val="Bibliography"/>
        <w:rPr>
          <w:rFonts w:ascii="Calibri" w:hAnsi="Calibri" w:cs="Calibri"/>
        </w:rPr>
      </w:pPr>
      <w:r w:rsidRPr="0086381A">
        <w:rPr>
          <w:rFonts w:ascii="Calibri" w:hAnsi="Calibri" w:cs="Calibri"/>
        </w:rPr>
        <w:t xml:space="preserve">10. </w:t>
      </w:r>
      <w:r w:rsidRPr="0086381A">
        <w:rPr>
          <w:rFonts w:ascii="Calibri" w:hAnsi="Calibri" w:cs="Calibri"/>
        </w:rPr>
        <w:tab/>
        <w:t xml:space="preserve">Zou Y, Kuek F, Feng W, Cheng X. Digital learning in the 21st century: trends, challenges, and innovations in technology integration. Front Educ. 2025 Mar 28;10:1562391. </w:t>
      </w:r>
    </w:p>
    <w:p w14:paraId="1B158C06" w14:textId="77777777" w:rsidR="0086381A" w:rsidRPr="0086381A" w:rsidRDefault="0086381A" w:rsidP="0086381A">
      <w:pPr>
        <w:pStyle w:val="Bibliography"/>
        <w:rPr>
          <w:rFonts w:ascii="Calibri" w:hAnsi="Calibri" w:cs="Calibri"/>
        </w:rPr>
      </w:pPr>
      <w:r w:rsidRPr="0086381A">
        <w:rPr>
          <w:rFonts w:ascii="Calibri" w:hAnsi="Calibri" w:cs="Calibri"/>
        </w:rPr>
        <w:lastRenderedPageBreak/>
        <w:t xml:space="preserve">11. </w:t>
      </w:r>
      <w:r w:rsidRPr="0086381A">
        <w:rPr>
          <w:rFonts w:ascii="Calibri" w:hAnsi="Calibri" w:cs="Calibri"/>
        </w:rPr>
        <w:tab/>
        <w:t xml:space="preserve">Opara JA. A Comparative Analysis of Universal Basic Education Programme in Nigeria (UBE) and the “Grundskola” Education Programme of Sweden. Mediterranean Journal of Social Sciences. 2011 Dec 1;2(7):79. </w:t>
      </w:r>
    </w:p>
    <w:p w14:paraId="24A97116" w14:textId="77777777" w:rsidR="0086381A" w:rsidRPr="0086381A" w:rsidRDefault="0086381A" w:rsidP="0086381A">
      <w:pPr>
        <w:pStyle w:val="Bibliography"/>
        <w:rPr>
          <w:rFonts w:ascii="Calibri" w:hAnsi="Calibri" w:cs="Calibri"/>
        </w:rPr>
      </w:pPr>
      <w:r w:rsidRPr="0086381A">
        <w:rPr>
          <w:rFonts w:ascii="Calibri" w:hAnsi="Calibri" w:cs="Calibri"/>
        </w:rPr>
        <w:t xml:space="preserve">12. </w:t>
      </w:r>
      <w:r w:rsidRPr="0086381A">
        <w:rPr>
          <w:rFonts w:ascii="Calibri" w:hAnsi="Calibri" w:cs="Calibri"/>
        </w:rPr>
        <w:tab/>
        <w:t xml:space="preserve">Haleem A, Javaid M, Qadri MA, Suman R. Understanding the role of digital technologies in education: A review. Sustainable Operations and Computers. 2022 Jan 1;3:275–85. </w:t>
      </w:r>
    </w:p>
    <w:p w14:paraId="13642798" w14:textId="77777777" w:rsidR="0086381A" w:rsidRPr="0086381A" w:rsidRDefault="0086381A" w:rsidP="0086381A">
      <w:pPr>
        <w:pStyle w:val="Bibliography"/>
        <w:rPr>
          <w:rFonts w:ascii="Calibri" w:hAnsi="Calibri" w:cs="Calibri"/>
        </w:rPr>
      </w:pPr>
      <w:r w:rsidRPr="0086381A">
        <w:rPr>
          <w:rFonts w:ascii="Calibri" w:hAnsi="Calibri" w:cs="Calibri"/>
        </w:rPr>
        <w:t xml:space="preserve">13. </w:t>
      </w:r>
      <w:r w:rsidRPr="0086381A">
        <w:rPr>
          <w:rFonts w:ascii="Calibri" w:hAnsi="Calibri" w:cs="Calibri"/>
        </w:rPr>
        <w:tab/>
        <w:t xml:space="preserve">Amoako I. What’s at Stake in High-Stakes Testing in Ghana: Implication for Curriculum Implementation in Basic Schools. International Journal of Social Sciences &amp; Educational Studies. 2019 Mar 1;5(3):72–82. </w:t>
      </w:r>
    </w:p>
    <w:p w14:paraId="044FBA74" w14:textId="77777777" w:rsidR="0086381A" w:rsidRPr="0086381A" w:rsidRDefault="0086381A" w:rsidP="0086381A">
      <w:pPr>
        <w:pStyle w:val="Bibliography"/>
        <w:rPr>
          <w:rFonts w:ascii="Calibri" w:hAnsi="Calibri" w:cs="Calibri"/>
        </w:rPr>
      </w:pPr>
      <w:r w:rsidRPr="0086381A">
        <w:rPr>
          <w:rFonts w:ascii="Calibri" w:hAnsi="Calibri" w:cs="Calibri"/>
        </w:rPr>
        <w:t xml:space="preserve">14. </w:t>
      </w:r>
      <w:r w:rsidRPr="0086381A">
        <w:rPr>
          <w:rFonts w:ascii="Calibri" w:hAnsi="Calibri" w:cs="Calibri"/>
        </w:rPr>
        <w:tab/>
        <w:t xml:space="preserve">Uzorka A, Namara S, Olaniyan AO. Modern technology adoption and professional development of lecturers. Educ Inf Technol (Dordr). 2023 Apr 17;1–27. </w:t>
      </w:r>
    </w:p>
    <w:p w14:paraId="01B0AB84" w14:textId="77777777" w:rsidR="0086381A" w:rsidRPr="0086381A" w:rsidRDefault="0086381A" w:rsidP="0086381A">
      <w:pPr>
        <w:pStyle w:val="Bibliography"/>
        <w:rPr>
          <w:rFonts w:ascii="Calibri" w:hAnsi="Calibri" w:cs="Calibri"/>
        </w:rPr>
      </w:pPr>
      <w:r w:rsidRPr="0086381A">
        <w:rPr>
          <w:rFonts w:ascii="Calibri" w:hAnsi="Calibri" w:cs="Calibri"/>
        </w:rPr>
        <w:t xml:space="preserve">15. </w:t>
      </w:r>
      <w:r w:rsidRPr="0086381A">
        <w:rPr>
          <w:rFonts w:ascii="Calibri" w:hAnsi="Calibri" w:cs="Calibri"/>
        </w:rPr>
        <w:tab/>
        <w:t xml:space="preserve">Herlinawati H, Marwa M, Ismail N, Junaidi, Liza LO, Situmorang DDB. The integration of 21st century skills in the curriculum of education. Heliyon. 2024 Aug 3;10(15):e35148. </w:t>
      </w:r>
    </w:p>
    <w:p w14:paraId="71B0A358" w14:textId="77777777" w:rsidR="0086381A" w:rsidRPr="0086381A" w:rsidRDefault="0086381A" w:rsidP="0086381A">
      <w:pPr>
        <w:pStyle w:val="Bibliography"/>
        <w:rPr>
          <w:rFonts w:ascii="Calibri" w:hAnsi="Calibri" w:cs="Calibri"/>
        </w:rPr>
      </w:pPr>
      <w:r w:rsidRPr="0086381A">
        <w:rPr>
          <w:rFonts w:ascii="Calibri" w:hAnsi="Calibri" w:cs="Calibri"/>
        </w:rPr>
        <w:t xml:space="preserve">16. </w:t>
      </w:r>
      <w:r w:rsidRPr="0086381A">
        <w:rPr>
          <w:rFonts w:ascii="Calibri" w:hAnsi="Calibri" w:cs="Calibri"/>
        </w:rPr>
        <w:tab/>
        <w:t xml:space="preserve">Mogere VB, Mbataru DP. Determinants of Competence-Based Curriculum Implementation in Selected Public Primary Schools in Nairobi County, Kenya. Journal of Public Policy and Governance. 2023 May 8;3(1):39–50. </w:t>
      </w:r>
    </w:p>
    <w:p w14:paraId="2077503F" w14:textId="77777777" w:rsidR="0086381A" w:rsidRPr="0086381A" w:rsidRDefault="0086381A" w:rsidP="0086381A">
      <w:pPr>
        <w:pStyle w:val="Bibliography"/>
        <w:rPr>
          <w:rFonts w:ascii="Calibri" w:hAnsi="Calibri" w:cs="Calibri"/>
        </w:rPr>
      </w:pPr>
      <w:r w:rsidRPr="0086381A">
        <w:rPr>
          <w:rFonts w:ascii="Calibri" w:hAnsi="Calibri" w:cs="Calibri"/>
        </w:rPr>
        <w:t xml:space="preserve">17. </w:t>
      </w:r>
      <w:r w:rsidRPr="0086381A">
        <w:rPr>
          <w:rFonts w:ascii="Calibri" w:hAnsi="Calibri" w:cs="Calibri"/>
        </w:rPr>
        <w:tab/>
        <w:t>Kulal A, N A, Dinesh S, Bhat DC, Girish A. Evaluating the Promise and Pitfalls of India’s National Education Policy 2020: Insights from the Perspectives of Students, Teachers, and Experts. SAGE Open [Internet]. 2024 Oct 21 [cited 2025 Aug 13]; Available from: https://journals.sagepub.com/doi/10.1177/21582440241279367</w:t>
      </w:r>
    </w:p>
    <w:p w14:paraId="1C4E533C" w14:textId="77777777" w:rsidR="0086381A" w:rsidRPr="0086381A" w:rsidRDefault="0086381A" w:rsidP="0086381A">
      <w:pPr>
        <w:pStyle w:val="Bibliography"/>
        <w:rPr>
          <w:rFonts w:ascii="Calibri" w:hAnsi="Calibri" w:cs="Calibri"/>
        </w:rPr>
      </w:pPr>
      <w:r w:rsidRPr="0086381A">
        <w:rPr>
          <w:rFonts w:ascii="Calibri" w:hAnsi="Calibri" w:cs="Calibri"/>
        </w:rPr>
        <w:t xml:space="preserve">18. </w:t>
      </w:r>
      <w:r w:rsidRPr="0086381A">
        <w:rPr>
          <w:rFonts w:ascii="Calibri" w:hAnsi="Calibri" w:cs="Calibri"/>
        </w:rPr>
        <w:tab/>
        <w:t>Schaffar B, Wolff LA. Phenomenon-based learning in Finland: a critical overview of its historical and philosophical roots. Cogent Education [Internet]. 2024 Dec 31 [cited 2025 Aug 13]; Available from: https://www.tandfonline.com/doi/abs/10.1080/2331186X.2024.2309733</w:t>
      </w:r>
    </w:p>
    <w:p w14:paraId="03DBF02E" w14:textId="77777777" w:rsidR="0086381A" w:rsidRPr="0086381A" w:rsidRDefault="0086381A" w:rsidP="0086381A">
      <w:pPr>
        <w:pStyle w:val="Bibliography"/>
        <w:rPr>
          <w:rFonts w:ascii="Calibri" w:hAnsi="Calibri" w:cs="Calibri"/>
        </w:rPr>
      </w:pPr>
      <w:r w:rsidRPr="0086381A">
        <w:rPr>
          <w:rFonts w:ascii="Calibri" w:hAnsi="Calibri" w:cs="Calibri"/>
        </w:rPr>
        <w:t xml:space="preserve">19. </w:t>
      </w:r>
      <w:r w:rsidRPr="0086381A">
        <w:rPr>
          <w:rFonts w:ascii="Calibri" w:hAnsi="Calibri" w:cs="Calibri"/>
        </w:rPr>
        <w:tab/>
        <w:t xml:space="preserve">Ajah IA, Chigozie-Okwum CC. ICT and administrative effectiveness of University in Nigeria: A connect between leadership and knowledge. AFRREV STECH: An International Journal of Science and Technology. 2019 Dec 9;8(2):64–85. </w:t>
      </w:r>
    </w:p>
    <w:p w14:paraId="2799BDD9" w14:textId="77777777" w:rsidR="0086381A" w:rsidRPr="0086381A" w:rsidRDefault="0086381A" w:rsidP="0086381A">
      <w:pPr>
        <w:pStyle w:val="Bibliography"/>
        <w:rPr>
          <w:rFonts w:ascii="Calibri" w:hAnsi="Calibri" w:cs="Calibri"/>
        </w:rPr>
      </w:pPr>
      <w:r w:rsidRPr="0086381A">
        <w:rPr>
          <w:rFonts w:ascii="Calibri" w:hAnsi="Calibri" w:cs="Calibri"/>
        </w:rPr>
        <w:t xml:space="preserve">20. </w:t>
      </w:r>
      <w:r w:rsidRPr="0086381A">
        <w:rPr>
          <w:rFonts w:ascii="Calibri" w:hAnsi="Calibri" w:cs="Calibri"/>
        </w:rPr>
        <w:tab/>
        <w:t xml:space="preserve">Wanyama BW. Competency based curriculum in Kenya: Taking stock of implementation process at early years education. Culture, Education, and Future. 2025 Jun 26;3(1):135–58. </w:t>
      </w:r>
    </w:p>
    <w:p w14:paraId="5014FCF5" w14:textId="77777777" w:rsidR="0086381A" w:rsidRPr="0086381A" w:rsidRDefault="0086381A" w:rsidP="0086381A">
      <w:pPr>
        <w:pStyle w:val="Bibliography"/>
        <w:rPr>
          <w:rFonts w:ascii="Calibri" w:hAnsi="Calibri" w:cs="Calibri"/>
        </w:rPr>
      </w:pPr>
      <w:r w:rsidRPr="0086381A">
        <w:rPr>
          <w:rFonts w:ascii="Calibri" w:hAnsi="Calibri" w:cs="Calibri"/>
        </w:rPr>
        <w:t xml:space="preserve">21. </w:t>
      </w:r>
      <w:r w:rsidRPr="0086381A">
        <w:rPr>
          <w:rFonts w:ascii="Calibri" w:hAnsi="Calibri" w:cs="Calibri"/>
        </w:rPr>
        <w:tab/>
        <w:t>New Education Policy 2024 [Internet]. Proctur Blog. 2025 [cited 2025 Aug 13]. Available from: https://proctur.com/blog/new-education-policy-2024/</w:t>
      </w:r>
    </w:p>
    <w:p w14:paraId="503915A6" w14:textId="77777777" w:rsidR="0086381A" w:rsidRPr="0086381A" w:rsidRDefault="0086381A" w:rsidP="0086381A">
      <w:pPr>
        <w:pStyle w:val="Bibliography"/>
        <w:rPr>
          <w:rFonts w:ascii="Calibri" w:hAnsi="Calibri" w:cs="Calibri"/>
        </w:rPr>
      </w:pPr>
      <w:r w:rsidRPr="0086381A">
        <w:rPr>
          <w:rFonts w:ascii="Calibri" w:hAnsi="Calibri" w:cs="Calibri"/>
        </w:rPr>
        <w:t xml:space="preserve">22. </w:t>
      </w:r>
      <w:r w:rsidRPr="0086381A">
        <w:rPr>
          <w:rFonts w:ascii="Calibri" w:hAnsi="Calibri" w:cs="Calibri"/>
        </w:rPr>
        <w:tab/>
        <w:t>(PDF) Implementing Classroom Assessment In Malaysia: An Investigation [Internet]. ResearchGate. 2025 [cited 2025 Aug 13]. Available from: https://www.researchgate.net/publication/348355621_Implementing_Classroom_Assessment_In_Malaysia_An_Investigation</w:t>
      </w:r>
    </w:p>
    <w:p w14:paraId="3900688E" w14:textId="77777777" w:rsidR="0086381A" w:rsidRPr="0086381A" w:rsidRDefault="0086381A" w:rsidP="0086381A">
      <w:pPr>
        <w:pStyle w:val="Bibliography"/>
        <w:rPr>
          <w:rFonts w:ascii="Calibri" w:hAnsi="Calibri" w:cs="Calibri"/>
        </w:rPr>
      </w:pPr>
      <w:r w:rsidRPr="0086381A">
        <w:rPr>
          <w:rFonts w:ascii="Calibri" w:hAnsi="Calibri" w:cs="Calibri"/>
        </w:rPr>
        <w:t xml:space="preserve">23. </w:t>
      </w:r>
      <w:r w:rsidRPr="0086381A">
        <w:rPr>
          <w:rFonts w:ascii="Calibri" w:hAnsi="Calibri" w:cs="Calibri"/>
        </w:rPr>
        <w:tab/>
        <w:t xml:space="preserve">Hietamäki U, Harju-Luukkainen H, Maunula M. Multidisciplinary learning assessment in Finland – a phenomenographic approach on teachers’ perceptions. Education 3-13. :1–14. </w:t>
      </w:r>
    </w:p>
    <w:p w14:paraId="5FB7F4F6" w14:textId="77777777" w:rsidR="0086381A" w:rsidRPr="0086381A" w:rsidRDefault="0086381A" w:rsidP="0086381A">
      <w:pPr>
        <w:pStyle w:val="Bibliography"/>
        <w:rPr>
          <w:rFonts w:ascii="Calibri" w:hAnsi="Calibri" w:cs="Calibri"/>
        </w:rPr>
      </w:pPr>
      <w:r w:rsidRPr="0086381A">
        <w:rPr>
          <w:rFonts w:ascii="Calibri" w:hAnsi="Calibri" w:cs="Calibri"/>
        </w:rPr>
        <w:lastRenderedPageBreak/>
        <w:t xml:space="preserve">24. </w:t>
      </w:r>
      <w:r w:rsidRPr="0086381A">
        <w:rPr>
          <w:rFonts w:ascii="Calibri" w:hAnsi="Calibri" w:cs="Calibri"/>
        </w:rPr>
        <w:tab/>
        <w:t xml:space="preserve">Shaber N, Shah SK, Imran M, Almusharraf N. Exploring the Relationship Between Critical Thinking and Creativity in University Students: Gender Differences and the Assessment of Skills. Education Sciences. 2025 Apr;15(4):464. </w:t>
      </w:r>
    </w:p>
    <w:p w14:paraId="2F3D785B" w14:textId="77777777" w:rsidR="0086381A" w:rsidRPr="0086381A" w:rsidRDefault="0086381A" w:rsidP="0086381A">
      <w:pPr>
        <w:pStyle w:val="Bibliography"/>
        <w:rPr>
          <w:rFonts w:ascii="Calibri" w:hAnsi="Calibri" w:cs="Calibri"/>
        </w:rPr>
      </w:pPr>
      <w:r w:rsidRPr="0086381A">
        <w:rPr>
          <w:rFonts w:ascii="Calibri" w:hAnsi="Calibri" w:cs="Calibri"/>
        </w:rPr>
        <w:t xml:space="preserve">25. </w:t>
      </w:r>
      <w:r w:rsidRPr="0086381A">
        <w:rPr>
          <w:rFonts w:ascii="Calibri" w:hAnsi="Calibri" w:cs="Calibri"/>
        </w:rPr>
        <w:tab/>
        <w:t>(PDF) EXPLORING CULTURAL INFLUENCES ON CURRICULUM AND EDUCATION REFORMS: LESSONS FOR NIGERIA’S FUTURE [Internet]. [cited 2025 Aug 13]. Available from: https://www.researchgate.net/publication/382039272_EXPLORING_CULTURAL_INFLUENCES_ON_CURRICULUM_AND_EDUCATION_REFORMS_LESSONS_FOR_NIGERIA'S_FUTURE</w:t>
      </w:r>
    </w:p>
    <w:p w14:paraId="643EFF9E" w14:textId="77777777" w:rsidR="0086381A" w:rsidRPr="0086381A" w:rsidRDefault="0086381A" w:rsidP="0086381A">
      <w:pPr>
        <w:pStyle w:val="Bibliography"/>
        <w:rPr>
          <w:rFonts w:ascii="Calibri" w:hAnsi="Calibri" w:cs="Calibri"/>
        </w:rPr>
      </w:pPr>
      <w:r w:rsidRPr="0086381A">
        <w:rPr>
          <w:rFonts w:ascii="Calibri" w:hAnsi="Calibri" w:cs="Calibri"/>
        </w:rPr>
        <w:t xml:space="preserve">26. </w:t>
      </w:r>
      <w:r w:rsidRPr="0086381A">
        <w:rPr>
          <w:rFonts w:ascii="Calibri" w:hAnsi="Calibri" w:cs="Calibri"/>
        </w:rPr>
        <w:tab/>
        <w:t xml:space="preserve">Lwamba E, Shisler S, Ridlehoover W, Kupfer M, Tshabalala N, Nduku P, et al. Strengthening women’s empowerment and gender equality in fragile contexts towards peaceful and inclusive societies: A systematic review and meta‐analysis. Campbell Syst Rev. 2022 Mar 8;18(1):e1214. </w:t>
      </w:r>
    </w:p>
    <w:p w14:paraId="5FE131F4" w14:textId="77777777" w:rsidR="0086381A" w:rsidRPr="0086381A" w:rsidRDefault="0086381A" w:rsidP="0086381A">
      <w:pPr>
        <w:pStyle w:val="Bibliography"/>
        <w:rPr>
          <w:rFonts w:ascii="Calibri" w:hAnsi="Calibri" w:cs="Calibri"/>
        </w:rPr>
      </w:pPr>
      <w:r w:rsidRPr="0086381A">
        <w:rPr>
          <w:rFonts w:ascii="Calibri" w:hAnsi="Calibri" w:cs="Calibri"/>
        </w:rPr>
        <w:t xml:space="preserve">27. </w:t>
      </w:r>
      <w:r w:rsidRPr="0086381A">
        <w:rPr>
          <w:rFonts w:ascii="Calibri" w:hAnsi="Calibri" w:cs="Calibri"/>
        </w:rPr>
        <w:tab/>
        <w:t>The Role of Civic Education [Internet]. [cited 2025 Aug 13]. Available from: https://civiced.org/papers/articles_role.html</w:t>
      </w:r>
    </w:p>
    <w:p w14:paraId="5D464A83" w14:textId="77777777" w:rsidR="0086381A" w:rsidRPr="0086381A" w:rsidRDefault="0086381A" w:rsidP="0086381A">
      <w:pPr>
        <w:pStyle w:val="Bibliography"/>
        <w:rPr>
          <w:rFonts w:ascii="Calibri" w:hAnsi="Calibri" w:cs="Calibri"/>
        </w:rPr>
      </w:pPr>
      <w:r w:rsidRPr="0086381A">
        <w:rPr>
          <w:rFonts w:ascii="Calibri" w:hAnsi="Calibri" w:cs="Calibri"/>
        </w:rPr>
        <w:t xml:space="preserve">28. </w:t>
      </w:r>
      <w:r w:rsidRPr="0086381A">
        <w:rPr>
          <w:rFonts w:ascii="Calibri" w:hAnsi="Calibri" w:cs="Calibri"/>
        </w:rPr>
        <w:tab/>
        <w:t xml:space="preserve">Janssens O, Embo M, Valcke M, Haerens L. When theory beats practice: the implementation of competency-based education at healthcare workplaces. BMC Med Educ. 2023 Jun 29;23:484. </w:t>
      </w:r>
    </w:p>
    <w:p w14:paraId="6CA55A81" w14:textId="77777777" w:rsidR="0086381A" w:rsidRPr="0086381A" w:rsidRDefault="0086381A" w:rsidP="0086381A">
      <w:pPr>
        <w:pStyle w:val="Bibliography"/>
        <w:rPr>
          <w:rFonts w:ascii="Calibri" w:hAnsi="Calibri" w:cs="Calibri"/>
        </w:rPr>
      </w:pPr>
      <w:r w:rsidRPr="0086381A">
        <w:rPr>
          <w:rFonts w:ascii="Calibri" w:hAnsi="Calibri" w:cs="Calibri"/>
        </w:rPr>
        <w:t xml:space="preserve">29. </w:t>
      </w:r>
      <w:r w:rsidRPr="0086381A">
        <w:rPr>
          <w:rFonts w:ascii="Calibri" w:hAnsi="Calibri" w:cs="Calibri"/>
        </w:rPr>
        <w:tab/>
        <w:t xml:space="preserve">Kormos E, Wisdom K. Digital divide and teaching modality: It’s role in technology and instructional strategies. Educ Inf Technol (Dordr). 2023 Jan 19;1–19. </w:t>
      </w:r>
    </w:p>
    <w:p w14:paraId="1E8DFBAE" w14:textId="77777777" w:rsidR="0086381A" w:rsidRPr="0086381A" w:rsidRDefault="0086381A" w:rsidP="0086381A">
      <w:pPr>
        <w:pStyle w:val="Bibliography"/>
        <w:rPr>
          <w:rFonts w:ascii="Calibri" w:hAnsi="Calibri" w:cs="Calibri"/>
        </w:rPr>
      </w:pPr>
      <w:r w:rsidRPr="0086381A">
        <w:rPr>
          <w:rFonts w:ascii="Calibri" w:hAnsi="Calibri" w:cs="Calibri"/>
        </w:rPr>
        <w:t xml:space="preserve">30. </w:t>
      </w:r>
      <w:r w:rsidRPr="0086381A">
        <w:rPr>
          <w:rFonts w:ascii="Calibri" w:hAnsi="Calibri" w:cs="Calibri"/>
        </w:rPr>
        <w:tab/>
        <w:t xml:space="preserve">Courtois SL, Ezeugwu CR, Fajardo-Tovar DD, Nowack SK, Okullo DO, Bayley S, et al. Learning through play in Global Majority countries: reflections from the PEDAL centre on understanding and adapting the concept in four different contexts. International Journal of Play. 2024 Jul 2;13(3):228–53. </w:t>
      </w:r>
    </w:p>
    <w:p w14:paraId="47FCFC94" w14:textId="77777777" w:rsidR="0086381A" w:rsidRPr="0086381A" w:rsidRDefault="0086381A" w:rsidP="0086381A">
      <w:pPr>
        <w:pStyle w:val="Bibliography"/>
        <w:rPr>
          <w:rFonts w:ascii="Calibri" w:hAnsi="Calibri" w:cs="Calibri"/>
        </w:rPr>
      </w:pPr>
      <w:r w:rsidRPr="0086381A">
        <w:rPr>
          <w:rFonts w:ascii="Calibri" w:hAnsi="Calibri" w:cs="Calibri"/>
        </w:rPr>
        <w:t xml:space="preserve">31. </w:t>
      </w:r>
      <w:r w:rsidRPr="0086381A">
        <w:rPr>
          <w:rFonts w:ascii="Calibri" w:hAnsi="Calibri" w:cs="Calibri"/>
        </w:rPr>
        <w:tab/>
        <w:t xml:space="preserve">Zamiri M, Esmaeili A. Strategies, Methods, and Supports for Developing Skills within Learning Communities: A Systematic Review of the Literature. Administrative Sciences. 2024 Sep;14(9):231. </w:t>
      </w:r>
    </w:p>
    <w:p w14:paraId="4F72A6B6" w14:textId="77777777" w:rsidR="0086381A" w:rsidRPr="0086381A" w:rsidRDefault="0086381A" w:rsidP="0086381A">
      <w:pPr>
        <w:pStyle w:val="Bibliography"/>
        <w:rPr>
          <w:rFonts w:ascii="Calibri" w:hAnsi="Calibri" w:cs="Calibri"/>
        </w:rPr>
      </w:pPr>
      <w:r w:rsidRPr="0086381A">
        <w:rPr>
          <w:rFonts w:ascii="Calibri" w:hAnsi="Calibri" w:cs="Calibri"/>
        </w:rPr>
        <w:t xml:space="preserve">32. </w:t>
      </w:r>
      <w:r w:rsidRPr="0086381A">
        <w:rPr>
          <w:rFonts w:ascii="Calibri" w:hAnsi="Calibri" w:cs="Calibri"/>
        </w:rPr>
        <w:tab/>
        <w:t>Zhang L, Ma Y. A study of the impact of project-based learning on student learning effects: a meta-analysis study. Front Psychol [Internet]. 2023 Jul 17 [cited 2025 Aug 13];14. Available from: https://www.frontiersin.org/journals/psychology/articles/10.3389/fpsyg.2023.1202728/full</w:t>
      </w:r>
    </w:p>
    <w:p w14:paraId="7C727200" w14:textId="77777777" w:rsidR="0086381A" w:rsidRPr="0086381A" w:rsidRDefault="0086381A" w:rsidP="0086381A">
      <w:pPr>
        <w:pStyle w:val="Bibliography"/>
        <w:rPr>
          <w:rFonts w:ascii="Calibri" w:hAnsi="Calibri" w:cs="Calibri"/>
        </w:rPr>
      </w:pPr>
      <w:r w:rsidRPr="0086381A">
        <w:rPr>
          <w:rFonts w:ascii="Calibri" w:hAnsi="Calibri" w:cs="Calibri"/>
        </w:rPr>
        <w:t xml:space="preserve">33. </w:t>
      </w:r>
      <w:r w:rsidRPr="0086381A">
        <w:rPr>
          <w:rFonts w:ascii="Calibri" w:hAnsi="Calibri" w:cs="Calibri"/>
        </w:rPr>
        <w:tab/>
        <w:t>Hardman F, Sandi AM. School Improvement in Rural Settings: A Review of International Research and Practice. In: Zhao Y, Liu J, editors. Rural School Improvement in Developing Countries [Internet]. Singapore: Springer Nature; 2024 [cited 2025 Aug 13]. p. 1–35. Available from: https://doi.org/10.1007/978-981-97-4917-1_1</w:t>
      </w:r>
    </w:p>
    <w:p w14:paraId="4D8C5AB1" w14:textId="77777777" w:rsidR="0086381A" w:rsidRPr="0086381A" w:rsidRDefault="0086381A" w:rsidP="0086381A">
      <w:pPr>
        <w:pStyle w:val="Bibliography"/>
        <w:rPr>
          <w:rFonts w:ascii="Calibri" w:hAnsi="Calibri" w:cs="Calibri"/>
        </w:rPr>
      </w:pPr>
      <w:r w:rsidRPr="0086381A">
        <w:rPr>
          <w:rFonts w:ascii="Calibri" w:hAnsi="Calibri" w:cs="Calibri"/>
        </w:rPr>
        <w:t xml:space="preserve">34. </w:t>
      </w:r>
      <w:r w:rsidRPr="0086381A">
        <w:rPr>
          <w:rFonts w:ascii="Calibri" w:hAnsi="Calibri" w:cs="Calibri"/>
        </w:rPr>
        <w:tab/>
        <w:t xml:space="preserve">Levy-Feldman I. The Role of Assessment in Improving Education and Promoting Educational Equity. Education Sciences. 2025 Feb;15(2):224. </w:t>
      </w:r>
    </w:p>
    <w:p w14:paraId="1C801956" w14:textId="77777777" w:rsidR="0086381A" w:rsidRPr="0086381A" w:rsidRDefault="0086381A" w:rsidP="0086381A">
      <w:pPr>
        <w:pStyle w:val="Bibliography"/>
        <w:rPr>
          <w:rFonts w:ascii="Calibri" w:hAnsi="Calibri" w:cs="Calibri"/>
        </w:rPr>
      </w:pPr>
      <w:r w:rsidRPr="0086381A">
        <w:rPr>
          <w:rFonts w:ascii="Calibri" w:hAnsi="Calibri" w:cs="Calibri"/>
        </w:rPr>
        <w:t xml:space="preserve">35. </w:t>
      </w:r>
      <w:r w:rsidRPr="0086381A">
        <w:rPr>
          <w:rFonts w:ascii="Calibri" w:hAnsi="Calibri" w:cs="Calibri"/>
        </w:rPr>
        <w:tab/>
        <w:t xml:space="preserve">González-Pérez LI, Ramírez-Montoya MS. Components of Education 4.0 in 21st Century Skills Frameworks: Systematic Review. Sustainability. 2022 Jan;14(3):1493. </w:t>
      </w:r>
    </w:p>
    <w:p w14:paraId="7958B455" w14:textId="77777777" w:rsidR="0086381A" w:rsidRPr="0086381A" w:rsidRDefault="0086381A" w:rsidP="0086381A">
      <w:pPr>
        <w:pStyle w:val="Bibliography"/>
        <w:rPr>
          <w:rFonts w:ascii="Calibri" w:hAnsi="Calibri" w:cs="Calibri"/>
        </w:rPr>
      </w:pPr>
      <w:r w:rsidRPr="0086381A">
        <w:rPr>
          <w:rFonts w:ascii="Calibri" w:hAnsi="Calibri" w:cs="Calibri"/>
        </w:rPr>
        <w:t xml:space="preserve">36. </w:t>
      </w:r>
      <w:r w:rsidRPr="0086381A">
        <w:rPr>
          <w:rFonts w:ascii="Calibri" w:hAnsi="Calibri" w:cs="Calibri"/>
        </w:rPr>
        <w:tab/>
        <w:t>Berisha F, Vula E. Developing Pre-service Teachers Conceptualization of STEM and STEM Pedagogical Practices. Front Educ [Internet]. 2021 May 31 [cited 2025 Aug 13];6. Available from: https://www.frontiersin.org/journals/education/articles/10.3389/feduc.2021.585075/full</w:t>
      </w:r>
    </w:p>
    <w:p w14:paraId="5B0B14A4" w14:textId="77777777" w:rsidR="0086381A" w:rsidRPr="0086381A" w:rsidRDefault="0086381A" w:rsidP="0086381A">
      <w:pPr>
        <w:pStyle w:val="Bibliography"/>
        <w:rPr>
          <w:rFonts w:ascii="Calibri" w:hAnsi="Calibri" w:cs="Calibri"/>
        </w:rPr>
      </w:pPr>
      <w:r w:rsidRPr="0086381A">
        <w:rPr>
          <w:rFonts w:ascii="Calibri" w:hAnsi="Calibri" w:cs="Calibri"/>
        </w:rPr>
        <w:lastRenderedPageBreak/>
        <w:t xml:space="preserve">37. </w:t>
      </w:r>
      <w:r w:rsidRPr="0086381A">
        <w:rPr>
          <w:rFonts w:ascii="Calibri" w:hAnsi="Calibri" w:cs="Calibri"/>
        </w:rPr>
        <w:tab/>
        <w:t xml:space="preserve">Rajabi M, Ebrahimi P, Aryankhesal A. Collaboration between the government and nongovernmental organizations in providing health-care services: A systematic review of challenges. J Educ Health Promot. 2021 Jun 30;10:242. </w:t>
      </w:r>
    </w:p>
    <w:p w14:paraId="5323C9D8" w14:textId="77777777" w:rsidR="0086381A" w:rsidRPr="0086381A" w:rsidRDefault="0086381A" w:rsidP="0086381A">
      <w:pPr>
        <w:pStyle w:val="Bibliography"/>
        <w:rPr>
          <w:rFonts w:ascii="Calibri" w:hAnsi="Calibri" w:cs="Calibri"/>
        </w:rPr>
      </w:pPr>
      <w:r w:rsidRPr="0086381A">
        <w:rPr>
          <w:rFonts w:ascii="Calibri" w:hAnsi="Calibri" w:cs="Calibri"/>
        </w:rPr>
        <w:t xml:space="preserve">38. </w:t>
      </w:r>
      <w:r w:rsidRPr="0086381A">
        <w:rPr>
          <w:rFonts w:ascii="Calibri" w:hAnsi="Calibri" w:cs="Calibri"/>
        </w:rPr>
        <w:tab/>
        <w:t xml:space="preserve">Folorunsho S, Ajayi V, Abdulrazaq O. Juvenile delinquency as a contemporary issue in Nigeria: understanding the impacts of parenting styles, single parenting and marital discord. African Journal of Social Issues. 2024 Mar 23;7(1):116–32. </w:t>
      </w:r>
    </w:p>
    <w:p w14:paraId="6BC858A4" w14:textId="5A56B13E" w:rsidR="0086381A" w:rsidRPr="0086381A" w:rsidRDefault="0086381A" w:rsidP="00BE4734">
      <w:pPr>
        <w:spacing w:after="0" w:line="240" w:lineRule="auto"/>
        <w:rPr>
          <w:b/>
          <w:bCs/>
        </w:rPr>
      </w:pPr>
      <w:r>
        <w:rPr>
          <w:b/>
          <w:bCs/>
        </w:rPr>
        <w:fldChar w:fldCharType="end"/>
      </w:r>
    </w:p>
    <w:sectPr w:rsidR="0086381A" w:rsidRPr="0086381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9AA1B0" w14:textId="77777777" w:rsidR="00B50018" w:rsidRDefault="00B50018" w:rsidP="00EA6078">
      <w:pPr>
        <w:spacing w:after="0" w:line="240" w:lineRule="auto"/>
      </w:pPr>
      <w:r>
        <w:separator/>
      </w:r>
    </w:p>
  </w:endnote>
  <w:endnote w:type="continuationSeparator" w:id="0">
    <w:p w14:paraId="39AC84DE" w14:textId="77777777" w:rsidR="00B50018" w:rsidRDefault="00B50018" w:rsidP="00EA6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7890E" w14:textId="77777777" w:rsidR="00EA6078" w:rsidRDefault="00EA6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5E356" w14:textId="77777777" w:rsidR="00EA6078" w:rsidRDefault="00EA60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B16FF" w14:textId="77777777" w:rsidR="00EA6078" w:rsidRDefault="00EA6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AD4D8B" w14:textId="77777777" w:rsidR="00B50018" w:rsidRDefault="00B50018" w:rsidP="00EA6078">
      <w:pPr>
        <w:spacing w:after="0" w:line="240" w:lineRule="auto"/>
      </w:pPr>
      <w:r>
        <w:separator/>
      </w:r>
    </w:p>
  </w:footnote>
  <w:footnote w:type="continuationSeparator" w:id="0">
    <w:p w14:paraId="0EB591D2" w14:textId="77777777" w:rsidR="00B50018" w:rsidRDefault="00B50018" w:rsidP="00EA60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1B22A" w14:textId="2D7A3C42" w:rsidR="00EA6078" w:rsidRDefault="00EA6078">
    <w:pPr>
      <w:pStyle w:val="Header"/>
    </w:pPr>
    <w:r>
      <w:rPr>
        <w:noProof/>
      </w:rPr>
      <w:pict w14:anchorId="59BC72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431344" o:spid="_x0000_s2050"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930BF" w14:textId="5182B62E" w:rsidR="00EA6078" w:rsidRDefault="00EA6078">
    <w:pPr>
      <w:pStyle w:val="Header"/>
    </w:pPr>
    <w:r>
      <w:rPr>
        <w:noProof/>
      </w:rPr>
      <w:pict w14:anchorId="13B2E83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431345" o:spid="_x0000_s2051"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F7BF3" w14:textId="56EFC2CC" w:rsidR="00EA6078" w:rsidRDefault="00EA6078">
    <w:pPr>
      <w:pStyle w:val="Header"/>
    </w:pPr>
    <w:r>
      <w:rPr>
        <w:noProof/>
      </w:rPr>
      <w:pict w14:anchorId="77A6D9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431343" o:spid="_x0000_s2049"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940"/>
    <w:rsid w:val="0002334C"/>
    <w:rsid w:val="000320F3"/>
    <w:rsid w:val="00082A77"/>
    <w:rsid w:val="00137E6B"/>
    <w:rsid w:val="001C7DFC"/>
    <w:rsid w:val="0040670A"/>
    <w:rsid w:val="00592B4A"/>
    <w:rsid w:val="007A31C5"/>
    <w:rsid w:val="00805C09"/>
    <w:rsid w:val="0081530C"/>
    <w:rsid w:val="0086381A"/>
    <w:rsid w:val="00935E55"/>
    <w:rsid w:val="009563DE"/>
    <w:rsid w:val="00A04F93"/>
    <w:rsid w:val="00A43336"/>
    <w:rsid w:val="00A51890"/>
    <w:rsid w:val="00AB55ED"/>
    <w:rsid w:val="00B50018"/>
    <w:rsid w:val="00BE4734"/>
    <w:rsid w:val="00C70214"/>
    <w:rsid w:val="00E85940"/>
    <w:rsid w:val="00EA6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805C617"/>
  <w15:chartTrackingRefBased/>
  <w15:docId w15:val="{A4AC50BB-B03E-4818-8722-187046122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20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8594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E859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85940"/>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E8594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940"/>
    <w:rPr>
      <w:b/>
      <w:bCs/>
    </w:rPr>
  </w:style>
  <w:style w:type="character" w:styleId="Emphasis">
    <w:name w:val="Emphasis"/>
    <w:basedOn w:val="DefaultParagraphFont"/>
    <w:uiPriority w:val="20"/>
    <w:qFormat/>
    <w:rsid w:val="00E85940"/>
    <w:rPr>
      <w:i/>
      <w:iCs/>
    </w:rPr>
  </w:style>
  <w:style w:type="character" w:customStyle="1" w:styleId="Heading3Char">
    <w:name w:val="Heading 3 Char"/>
    <w:basedOn w:val="DefaultParagraphFont"/>
    <w:link w:val="Heading3"/>
    <w:uiPriority w:val="9"/>
    <w:semiHidden/>
    <w:rsid w:val="00E85940"/>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0320F3"/>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0320F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6381A"/>
    <w:pPr>
      <w:tabs>
        <w:tab w:val="left" w:pos="504"/>
      </w:tabs>
      <w:spacing w:after="240" w:line="240" w:lineRule="auto"/>
      <w:ind w:left="504" w:hanging="504"/>
    </w:pPr>
  </w:style>
  <w:style w:type="character" w:styleId="Hyperlink">
    <w:name w:val="Hyperlink"/>
    <w:basedOn w:val="DefaultParagraphFont"/>
    <w:uiPriority w:val="99"/>
    <w:unhideWhenUsed/>
    <w:rsid w:val="00AB55ED"/>
    <w:rPr>
      <w:color w:val="0563C1" w:themeColor="hyperlink"/>
      <w:u w:val="single"/>
    </w:rPr>
  </w:style>
  <w:style w:type="character" w:styleId="UnresolvedMention">
    <w:name w:val="Unresolved Mention"/>
    <w:basedOn w:val="DefaultParagraphFont"/>
    <w:uiPriority w:val="99"/>
    <w:semiHidden/>
    <w:unhideWhenUsed/>
    <w:rsid w:val="00AB55ED"/>
    <w:rPr>
      <w:color w:val="605E5C"/>
      <w:shd w:val="clear" w:color="auto" w:fill="E1DFDD"/>
    </w:rPr>
  </w:style>
  <w:style w:type="paragraph" w:styleId="Header">
    <w:name w:val="header"/>
    <w:basedOn w:val="Normal"/>
    <w:link w:val="HeaderChar"/>
    <w:uiPriority w:val="99"/>
    <w:unhideWhenUsed/>
    <w:rsid w:val="00EA60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6078"/>
  </w:style>
  <w:style w:type="paragraph" w:styleId="Footer">
    <w:name w:val="footer"/>
    <w:basedOn w:val="Normal"/>
    <w:link w:val="FooterChar"/>
    <w:uiPriority w:val="99"/>
    <w:unhideWhenUsed/>
    <w:rsid w:val="00EA60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60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05146">
      <w:bodyDiv w:val="1"/>
      <w:marLeft w:val="0"/>
      <w:marRight w:val="0"/>
      <w:marTop w:val="0"/>
      <w:marBottom w:val="0"/>
      <w:divBdr>
        <w:top w:val="none" w:sz="0" w:space="0" w:color="auto"/>
        <w:left w:val="none" w:sz="0" w:space="0" w:color="auto"/>
        <w:bottom w:val="none" w:sz="0" w:space="0" w:color="auto"/>
        <w:right w:val="none" w:sz="0" w:space="0" w:color="auto"/>
      </w:divBdr>
    </w:div>
    <w:div w:id="16589046">
      <w:bodyDiv w:val="1"/>
      <w:marLeft w:val="0"/>
      <w:marRight w:val="0"/>
      <w:marTop w:val="0"/>
      <w:marBottom w:val="0"/>
      <w:divBdr>
        <w:top w:val="none" w:sz="0" w:space="0" w:color="auto"/>
        <w:left w:val="none" w:sz="0" w:space="0" w:color="auto"/>
        <w:bottom w:val="none" w:sz="0" w:space="0" w:color="auto"/>
        <w:right w:val="none" w:sz="0" w:space="0" w:color="auto"/>
      </w:divBdr>
    </w:div>
    <w:div w:id="84502665">
      <w:bodyDiv w:val="1"/>
      <w:marLeft w:val="0"/>
      <w:marRight w:val="0"/>
      <w:marTop w:val="0"/>
      <w:marBottom w:val="0"/>
      <w:divBdr>
        <w:top w:val="none" w:sz="0" w:space="0" w:color="auto"/>
        <w:left w:val="none" w:sz="0" w:space="0" w:color="auto"/>
        <w:bottom w:val="none" w:sz="0" w:space="0" w:color="auto"/>
        <w:right w:val="none" w:sz="0" w:space="0" w:color="auto"/>
      </w:divBdr>
    </w:div>
    <w:div w:id="113644494">
      <w:bodyDiv w:val="1"/>
      <w:marLeft w:val="0"/>
      <w:marRight w:val="0"/>
      <w:marTop w:val="0"/>
      <w:marBottom w:val="0"/>
      <w:divBdr>
        <w:top w:val="none" w:sz="0" w:space="0" w:color="auto"/>
        <w:left w:val="none" w:sz="0" w:space="0" w:color="auto"/>
        <w:bottom w:val="none" w:sz="0" w:space="0" w:color="auto"/>
        <w:right w:val="none" w:sz="0" w:space="0" w:color="auto"/>
      </w:divBdr>
    </w:div>
    <w:div w:id="158619307">
      <w:bodyDiv w:val="1"/>
      <w:marLeft w:val="0"/>
      <w:marRight w:val="0"/>
      <w:marTop w:val="0"/>
      <w:marBottom w:val="0"/>
      <w:divBdr>
        <w:top w:val="none" w:sz="0" w:space="0" w:color="auto"/>
        <w:left w:val="none" w:sz="0" w:space="0" w:color="auto"/>
        <w:bottom w:val="none" w:sz="0" w:space="0" w:color="auto"/>
        <w:right w:val="none" w:sz="0" w:space="0" w:color="auto"/>
      </w:divBdr>
    </w:div>
    <w:div w:id="198011687">
      <w:bodyDiv w:val="1"/>
      <w:marLeft w:val="0"/>
      <w:marRight w:val="0"/>
      <w:marTop w:val="0"/>
      <w:marBottom w:val="0"/>
      <w:divBdr>
        <w:top w:val="none" w:sz="0" w:space="0" w:color="auto"/>
        <w:left w:val="none" w:sz="0" w:space="0" w:color="auto"/>
        <w:bottom w:val="none" w:sz="0" w:space="0" w:color="auto"/>
        <w:right w:val="none" w:sz="0" w:space="0" w:color="auto"/>
      </w:divBdr>
    </w:div>
    <w:div w:id="200900066">
      <w:bodyDiv w:val="1"/>
      <w:marLeft w:val="0"/>
      <w:marRight w:val="0"/>
      <w:marTop w:val="0"/>
      <w:marBottom w:val="0"/>
      <w:divBdr>
        <w:top w:val="none" w:sz="0" w:space="0" w:color="auto"/>
        <w:left w:val="none" w:sz="0" w:space="0" w:color="auto"/>
        <w:bottom w:val="none" w:sz="0" w:space="0" w:color="auto"/>
        <w:right w:val="none" w:sz="0" w:space="0" w:color="auto"/>
      </w:divBdr>
    </w:div>
    <w:div w:id="201793461">
      <w:bodyDiv w:val="1"/>
      <w:marLeft w:val="0"/>
      <w:marRight w:val="0"/>
      <w:marTop w:val="0"/>
      <w:marBottom w:val="0"/>
      <w:divBdr>
        <w:top w:val="none" w:sz="0" w:space="0" w:color="auto"/>
        <w:left w:val="none" w:sz="0" w:space="0" w:color="auto"/>
        <w:bottom w:val="none" w:sz="0" w:space="0" w:color="auto"/>
        <w:right w:val="none" w:sz="0" w:space="0" w:color="auto"/>
      </w:divBdr>
    </w:div>
    <w:div w:id="225800270">
      <w:bodyDiv w:val="1"/>
      <w:marLeft w:val="0"/>
      <w:marRight w:val="0"/>
      <w:marTop w:val="0"/>
      <w:marBottom w:val="0"/>
      <w:divBdr>
        <w:top w:val="none" w:sz="0" w:space="0" w:color="auto"/>
        <w:left w:val="none" w:sz="0" w:space="0" w:color="auto"/>
        <w:bottom w:val="none" w:sz="0" w:space="0" w:color="auto"/>
        <w:right w:val="none" w:sz="0" w:space="0" w:color="auto"/>
      </w:divBdr>
    </w:div>
    <w:div w:id="302006319">
      <w:bodyDiv w:val="1"/>
      <w:marLeft w:val="0"/>
      <w:marRight w:val="0"/>
      <w:marTop w:val="0"/>
      <w:marBottom w:val="0"/>
      <w:divBdr>
        <w:top w:val="none" w:sz="0" w:space="0" w:color="auto"/>
        <w:left w:val="none" w:sz="0" w:space="0" w:color="auto"/>
        <w:bottom w:val="none" w:sz="0" w:space="0" w:color="auto"/>
        <w:right w:val="none" w:sz="0" w:space="0" w:color="auto"/>
      </w:divBdr>
    </w:div>
    <w:div w:id="320695188">
      <w:bodyDiv w:val="1"/>
      <w:marLeft w:val="0"/>
      <w:marRight w:val="0"/>
      <w:marTop w:val="0"/>
      <w:marBottom w:val="0"/>
      <w:divBdr>
        <w:top w:val="none" w:sz="0" w:space="0" w:color="auto"/>
        <w:left w:val="none" w:sz="0" w:space="0" w:color="auto"/>
        <w:bottom w:val="none" w:sz="0" w:space="0" w:color="auto"/>
        <w:right w:val="none" w:sz="0" w:space="0" w:color="auto"/>
      </w:divBdr>
    </w:div>
    <w:div w:id="482964807">
      <w:bodyDiv w:val="1"/>
      <w:marLeft w:val="0"/>
      <w:marRight w:val="0"/>
      <w:marTop w:val="0"/>
      <w:marBottom w:val="0"/>
      <w:divBdr>
        <w:top w:val="none" w:sz="0" w:space="0" w:color="auto"/>
        <w:left w:val="none" w:sz="0" w:space="0" w:color="auto"/>
        <w:bottom w:val="none" w:sz="0" w:space="0" w:color="auto"/>
        <w:right w:val="none" w:sz="0" w:space="0" w:color="auto"/>
      </w:divBdr>
    </w:div>
    <w:div w:id="509028511">
      <w:bodyDiv w:val="1"/>
      <w:marLeft w:val="0"/>
      <w:marRight w:val="0"/>
      <w:marTop w:val="0"/>
      <w:marBottom w:val="0"/>
      <w:divBdr>
        <w:top w:val="none" w:sz="0" w:space="0" w:color="auto"/>
        <w:left w:val="none" w:sz="0" w:space="0" w:color="auto"/>
        <w:bottom w:val="none" w:sz="0" w:space="0" w:color="auto"/>
        <w:right w:val="none" w:sz="0" w:space="0" w:color="auto"/>
      </w:divBdr>
    </w:div>
    <w:div w:id="658777950">
      <w:bodyDiv w:val="1"/>
      <w:marLeft w:val="0"/>
      <w:marRight w:val="0"/>
      <w:marTop w:val="0"/>
      <w:marBottom w:val="0"/>
      <w:divBdr>
        <w:top w:val="none" w:sz="0" w:space="0" w:color="auto"/>
        <w:left w:val="none" w:sz="0" w:space="0" w:color="auto"/>
        <w:bottom w:val="none" w:sz="0" w:space="0" w:color="auto"/>
        <w:right w:val="none" w:sz="0" w:space="0" w:color="auto"/>
      </w:divBdr>
    </w:div>
    <w:div w:id="722563430">
      <w:bodyDiv w:val="1"/>
      <w:marLeft w:val="0"/>
      <w:marRight w:val="0"/>
      <w:marTop w:val="0"/>
      <w:marBottom w:val="0"/>
      <w:divBdr>
        <w:top w:val="none" w:sz="0" w:space="0" w:color="auto"/>
        <w:left w:val="none" w:sz="0" w:space="0" w:color="auto"/>
        <w:bottom w:val="none" w:sz="0" w:space="0" w:color="auto"/>
        <w:right w:val="none" w:sz="0" w:space="0" w:color="auto"/>
      </w:divBdr>
    </w:div>
    <w:div w:id="760293371">
      <w:bodyDiv w:val="1"/>
      <w:marLeft w:val="0"/>
      <w:marRight w:val="0"/>
      <w:marTop w:val="0"/>
      <w:marBottom w:val="0"/>
      <w:divBdr>
        <w:top w:val="none" w:sz="0" w:space="0" w:color="auto"/>
        <w:left w:val="none" w:sz="0" w:space="0" w:color="auto"/>
        <w:bottom w:val="none" w:sz="0" w:space="0" w:color="auto"/>
        <w:right w:val="none" w:sz="0" w:space="0" w:color="auto"/>
      </w:divBdr>
    </w:div>
    <w:div w:id="880628829">
      <w:bodyDiv w:val="1"/>
      <w:marLeft w:val="0"/>
      <w:marRight w:val="0"/>
      <w:marTop w:val="0"/>
      <w:marBottom w:val="0"/>
      <w:divBdr>
        <w:top w:val="none" w:sz="0" w:space="0" w:color="auto"/>
        <w:left w:val="none" w:sz="0" w:space="0" w:color="auto"/>
        <w:bottom w:val="none" w:sz="0" w:space="0" w:color="auto"/>
        <w:right w:val="none" w:sz="0" w:space="0" w:color="auto"/>
      </w:divBdr>
    </w:div>
    <w:div w:id="967080970">
      <w:bodyDiv w:val="1"/>
      <w:marLeft w:val="0"/>
      <w:marRight w:val="0"/>
      <w:marTop w:val="0"/>
      <w:marBottom w:val="0"/>
      <w:divBdr>
        <w:top w:val="none" w:sz="0" w:space="0" w:color="auto"/>
        <w:left w:val="none" w:sz="0" w:space="0" w:color="auto"/>
        <w:bottom w:val="none" w:sz="0" w:space="0" w:color="auto"/>
        <w:right w:val="none" w:sz="0" w:space="0" w:color="auto"/>
      </w:divBdr>
    </w:div>
    <w:div w:id="1010832895">
      <w:bodyDiv w:val="1"/>
      <w:marLeft w:val="0"/>
      <w:marRight w:val="0"/>
      <w:marTop w:val="0"/>
      <w:marBottom w:val="0"/>
      <w:divBdr>
        <w:top w:val="none" w:sz="0" w:space="0" w:color="auto"/>
        <w:left w:val="none" w:sz="0" w:space="0" w:color="auto"/>
        <w:bottom w:val="none" w:sz="0" w:space="0" w:color="auto"/>
        <w:right w:val="none" w:sz="0" w:space="0" w:color="auto"/>
      </w:divBdr>
    </w:div>
    <w:div w:id="1044671453">
      <w:bodyDiv w:val="1"/>
      <w:marLeft w:val="0"/>
      <w:marRight w:val="0"/>
      <w:marTop w:val="0"/>
      <w:marBottom w:val="0"/>
      <w:divBdr>
        <w:top w:val="none" w:sz="0" w:space="0" w:color="auto"/>
        <w:left w:val="none" w:sz="0" w:space="0" w:color="auto"/>
        <w:bottom w:val="none" w:sz="0" w:space="0" w:color="auto"/>
        <w:right w:val="none" w:sz="0" w:space="0" w:color="auto"/>
      </w:divBdr>
    </w:div>
    <w:div w:id="1093941301">
      <w:bodyDiv w:val="1"/>
      <w:marLeft w:val="0"/>
      <w:marRight w:val="0"/>
      <w:marTop w:val="0"/>
      <w:marBottom w:val="0"/>
      <w:divBdr>
        <w:top w:val="none" w:sz="0" w:space="0" w:color="auto"/>
        <w:left w:val="none" w:sz="0" w:space="0" w:color="auto"/>
        <w:bottom w:val="none" w:sz="0" w:space="0" w:color="auto"/>
        <w:right w:val="none" w:sz="0" w:space="0" w:color="auto"/>
      </w:divBdr>
    </w:div>
    <w:div w:id="1115445490">
      <w:bodyDiv w:val="1"/>
      <w:marLeft w:val="0"/>
      <w:marRight w:val="0"/>
      <w:marTop w:val="0"/>
      <w:marBottom w:val="0"/>
      <w:divBdr>
        <w:top w:val="none" w:sz="0" w:space="0" w:color="auto"/>
        <w:left w:val="none" w:sz="0" w:space="0" w:color="auto"/>
        <w:bottom w:val="none" w:sz="0" w:space="0" w:color="auto"/>
        <w:right w:val="none" w:sz="0" w:space="0" w:color="auto"/>
      </w:divBdr>
    </w:div>
    <w:div w:id="1133333809">
      <w:bodyDiv w:val="1"/>
      <w:marLeft w:val="0"/>
      <w:marRight w:val="0"/>
      <w:marTop w:val="0"/>
      <w:marBottom w:val="0"/>
      <w:divBdr>
        <w:top w:val="none" w:sz="0" w:space="0" w:color="auto"/>
        <w:left w:val="none" w:sz="0" w:space="0" w:color="auto"/>
        <w:bottom w:val="none" w:sz="0" w:space="0" w:color="auto"/>
        <w:right w:val="none" w:sz="0" w:space="0" w:color="auto"/>
      </w:divBdr>
    </w:div>
    <w:div w:id="1302729170">
      <w:bodyDiv w:val="1"/>
      <w:marLeft w:val="0"/>
      <w:marRight w:val="0"/>
      <w:marTop w:val="0"/>
      <w:marBottom w:val="0"/>
      <w:divBdr>
        <w:top w:val="none" w:sz="0" w:space="0" w:color="auto"/>
        <w:left w:val="none" w:sz="0" w:space="0" w:color="auto"/>
        <w:bottom w:val="none" w:sz="0" w:space="0" w:color="auto"/>
        <w:right w:val="none" w:sz="0" w:space="0" w:color="auto"/>
      </w:divBdr>
    </w:div>
    <w:div w:id="1394549559">
      <w:bodyDiv w:val="1"/>
      <w:marLeft w:val="0"/>
      <w:marRight w:val="0"/>
      <w:marTop w:val="0"/>
      <w:marBottom w:val="0"/>
      <w:divBdr>
        <w:top w:val="none" w:sz="0" w:space="0" w:color="auto"/>
        <w:left w:val="none" w:sz="0" w:space="0" w:color="auto"/>
        <w:bottom w:val="none" w:sz="0" w:space="0" w:color="auto"/>
        <w:right w:val="none" w:sz="0" w:space="0" w:color="auto"/>
      </w:divBdr>
    </w:div>
    <w:div w:id="1437822977">
      <w:bodyDiv w:val="1"/>
      <w:marLeft w:val="0"/>
      <w:marRight w:val="0"/>
      <w:marTop w:val="0"/>
      <w:marBottom w:val="0"/>
      <w:divBdr>
        <w:top w:val="none" w:sz="0" w:space="0" w:color="auto"/>
        <w:left w:val="none" w:sz="0" w:space="0" w:color="auto"/>
        <w:bottom w:val="none" w:sz="0" w:space="0" w:color="auto"/>
        <w:right w:val="none" w:sz="0" w:space="0" w:color="auto"/>
      </w:divBdr>
    </w:div>
    <w:div w:id="1499929921">
      <w:bodyDiv w:val="1"/>
      <w:marLeft w:val="0"/>
      <w:marRight w:val="0"/>
      <w:marTop w:val="0"/>
      <w:marBottom w:val="0"/>
      <w:divBdr>
        <w:top w:val="none" w:sz="0" w:space="0" w:color="auto"/>
        <w:left w:val="none" w:sz="0" w:space="0" w:color="auto"/>
        <w:bottom w:val="none" w:sz="0" w:space="0" w:color="auto"/>
        <w:right w:val="none" w:sz="0" w:space="0" w:color="auto"/>
      </w:divBdr>
    </w:div>
    <w:div w:id="1520703799">
      <w:bodyDiv w:val="1"/>
      <w:marLeft w:val="0"/>
      <w:marRight w:val="0"/>
      <w:marTop w:val="0"/>
      <w:marBottom w:val="0"/>
      <w:divBdr>
        <w:top w:val="none" w:sz="0" w:space="0" w:color="auto"/>
        <w:left w:val="none" w:sz="0" w:space="0" w:color="auto"/>
        <w:bottom w:val="none" w:sz="0" w:space="0" w:color="auto"/>
        <w:right w:val="none" w:sz="0" w:space="0" w:color="auto"/>
      </w:divBdr>
    </w:div>
    <w:div w:id="1565752186">
      <w:bodyDiv w:val="1"/>
      <w:marLeft w:val="0"/>
      <w:marRight w:val="0"/>
      <w:marTop w:val="0"/>
      <w:marBottom w:val="0"/>
      <w:divBdr>
        <w:top w:val="none" w:sz="0" w:space="0" w:color="auto"/>
        <w:left w:val="none" w:sz="0" w:space="0" w:color="auto"/>
        <w:bottom w:val="none" w:sz="0" w:space="0" w:color="auto"/>
        <w:right w:val="none" w:sz="0" w:space="0" w:color="auto"/>
      </w:divBdr>
    </w:div>
    <w:div w:id="1581452155">
      <w:bodyDiv w:val="1"/>
      <w:marLeft w:val="0"/>
      <w:marRight w:val="0"/>
      <w:marTop w:val="0"/>
      <w:marBottom w:val="0"/>
      <w:divBdr>
        <w:top w:val="none" w:sz="0" w:space="0" w:color="auto"/>
        <w:left w:val="none" w:sz="0" w:space="0" w:color="auto"/>
        <w:bottom w:val="none" w:sz="0" w:space="0" w:color="auto"/>
        <w:right w:val="none" w:sz="0" w:space="0" w:color="auto"/>
      </w:divBdr>
      <w:divsChild>
        <w:div w:id="1090585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1163686">
      <w:bodyDiv w:val="1"/>
      <w:marLeft w:val="0"/>
      <w:marRight w:val="0"/>
      <w:marTop w:val="0"/>
      <w:marBottom w:val="0"/>
      <w:divBdr>
        <w:top w:val="none" w:sz="0" w:space="0" w:color="auto"/>
        <w:left w:val="none" w:sz="0" w:space="0" w:color="auto"/>
        <w:bottom w:val="none" w:sz="0" w:space="0" w:color="auto"/>
        <w:right w:val="none" w:sz="0" w:space="0" w:color="auto"/>
      </w:divBdr>
    </w:div>
    <w:div w:id="1632399339">
      <w:bodyDiv w:val="1"/>
      <w:marLeft w:val="0"/>
      <w:marRight w:val="0"/>
      <w:marTop w:val="0"/>
      <w:marBottom w:val="0"/>
      <w:divBdr>
        <w:top w:val="none" w:sz="0" w:space="0" w:color="auto"/>
        <w:left w:val="none" w:sz="0" w:space="0" w:color="auto"/>
        <w:bottom w:val="none" w:sz="0" w:space="0" w:color="auto"/>
        <w:right w:val="none" w:sz="0" w:space="0" w:color="auto"/>
      </w:divBdr>
    </w:div>
    <w:div w:id="1660579530">
      <w:bodyDiv w:val="1"/>
      <w:marLeft w:val="0"/>
      <w:marRight w:val="0"/>
      <w:marTop w:val="0"/>
      <w:marBottom w:val="0"/>
      <w:divBdr>
        <w:top w:val="none" w:sz="0" w:space="0" w:color="auto"/>
        <w:left w:val="none" w:sz="0" w:space="0" w:color="auto"/>
        <w:bottom w:val="none" w:sz="0" w:space="0" w:color="auto"/>
        <w:right w:val="none" w:sz="0" w:space="0" w:color="auto"/>
      </w:divBdr>
    </w:div>
    <w:div w:id="1686437949">
      <w:bodyDiv w:val="1"/>
      <w:marLeft w:val="0"/>
      <w:marRight w:val="0"/>
      <w:marTop w:val="0"/>
      <w:marBottom w:val="0"/>
      <w:divBdr>
        <w:top w:val="none" w:sz="0" w:space="0" w:color="auto"/>
        <w:left w:val="none" w:sz="0" w:space="0" w:color="auto"/>
        <w:bottom w:val="none" w:sz="0" w:space="0" w:color="auto"/>
        <w:right w:val="none" w:sz="0" w:space="0" w:color="auto"/>
      </w:divBdr>
    </w:div>
    <w:div w:id="1705860937">
      <w:bodyDiv w:val="1"/>
      <w:marLeft w:val="0"/>
      <w:marRight w:val="0"/>
      <w:marTop w:val="0"/>
      <w:marBottom w:val="0"/>
      <w:divBdr>
        <w:top w:val="none" w:sz="0" w:space="0" w:color="auto"/>
        <w:left w:val="none" w:sz="0" w:space="0" w:color="auto"/>
        <w:bottom w:val="none" w:sz="0" w:space="0" w:color="auto"/>
        <w:right w:val="none" w:sz="0" w:space="0" w:color="auto"/>
      </w:divBdr>
    </w:div>
    <w:div w:id="1760249374">
      <w:bodyDiv w:val="1"/>
      <w:marLeft w:val="0"/>
      <w:marRight w:val="0"/>
      <w:marTop w:val="0"/>
      <w:marBottom w:val="0"/>
      <w:divBdr>
        <w:top w:val="none" w:sz="0" w:space="0" w:color="auto"/>
        <w:left w:val="none" w:sz="0" w:space="0" w:color="auto"/>
        <w:bottom w:val="none" w:sz="0" w:space="0" w:color="auto"/>
        <w:right w:val="none" w:sz="0" w:space="0" w:color="auto"/>
      </w:divBdr>
    </w:div>
    <w:div w:id="1762988316">
      <w:bodyDiv w:val="1"/>
      <w:marLeft w:val="0"/>
      <w:marRight w:val="0"/>
      <w:marTop w:val="0"/>
      <w:marBottom w:val="0"/>
      <w:divBdr>
        <w:top w:val="none" w:sz="0" w:space="0" w:color="auto"/>
        <w:left w:val="none" w:sz="0" w:space="0" w:color="auto"/>
        <w:bottom w:val="none" w:sz="0" w:space="0" w:color="auto"/>
        <w:right w:val="none" w:sz="0" w:space="0" w:color="auto"/>
      </w:divBdr>
    </w:div>
    <w:div w:id="1782724217">
      <w:bodyDiv w:val="1"/>
      <w:marLeft w:val="0"/>
      <w:marRight w:val="0"/>
      <w:marTop w:val="0"/>
      <w:marBottom w:val="0"/>
      <w:divBdr>
        <w:top w:val="none" w:sz="0" w:space="0" w:color="auto"/>
        <w:left w:val="none" w:sz="0" w:space="0" w:color="auto"/>
        <w:bottom w:val="none" w:sz="0" w:space="0" w:color="auto"/>
        <w:right w:val="none" w:sz="0" w:space="0" w:color="auto"/>
      </w:divBdr>
    </w:div>
    <w:div w:id="1820609593">
      <w:bodyDiv w:val="1"/>
      <w:marLeft w:val="0"/>
      <w:marRight w:val="0"/>
      <w:marTop w:val="0"/>
      <w:marBottom w:val="0"/>
      <w:divBdr>
        <w:top w:val="none" w:sz="0" w:space="0" w:color="auto"/>
        <w:left w:val="none" w:sz="0" w:space="0" w:color="auto"/>
        <w:bottom w:val="none" w:sz="0" w:space="0" w:color="auto"/>
        <w:right w:val="none" w:sz="0" w:space="0" w:color="auto"/>
      </w:divBdr>
    </w:div>
    <w:div w:id="1854807839">
      <w:bodyDiv w:val="1"/>
      <w:marLeft w:val="0"/>
      <w:marRight w:val="0"/>
      <w:marTop w:val="0"/>
      <w:marBottom w:val="0"/>
      <w:divBdr>
        <w:top w:val="none" w:sz="0" w:space="0" w:color="auto"/>
        <w:left w:val="none" w:sz="0" w:space="0" w:color="auto"/>
        <w:bottom w:val="none" w:sz="0" w:space="0" w:color="auto"/>
        <w:right w:val="none" w:sz="0" w:space="0" w:color="auto"/>
      </w:divBdr>
    </w:div>
    <w:div w:id="1889610992">
      <w:bodyDiv w:val="1"/>
      <w:marLeft w:val="0"/>
      <w:marRight w:val="0"/>
      <w:marTop w:val="0"/>
      <w:marBottom w:val="0"/>
      <w:divBdr>
        <w:top w:val="none" w:sz="0" w:space="0" w:color="auto"/>
        <w:left w:val="none" w:sz="0" w:space="0" w:color="auto"/>
        <w:bottom w:val="none" w:sz="0" w:space="0" w:color="auto"/>
        <w:right w:val="none" w:sz="0" w:space="0" w:color="auto"/>
      </w:divBdr>
    </w:div>
    <w:div w:id="1946306932">
      <w:bodyDiv w:val="1"/>
      <w:marLeft w:val="0"/>
      <w:marRight w:val="0"/>
      <w:marTop w:val="0"/>
      <w:marBottom w:val="0"/>
      <w:divBdr>
        <w:top w:val="none" w:sz="0" w:space="0" w:color="auto"/>
        <w:left w:val="none" w:sz="0" w:space="0" w:color="auto"/>
        <w:bottom w:val="none" w:sz="0" w:space="0" w:color="auto"/>
        <w:right w:val="none" w:sz="0" w:space="0" w:color="auto"/>
      </w:divBdr>
    </w:div>
    <w:div w:id="1947301542">
      <w:bodyDiv w:val="1"/>
      <w:marLeft w:val="0"/>
      <w:marRight w:val="0"/>
      <w:marTop w:val="0"/>
      <w:marBottom w:val="0"/>
      <w:divBdr>
        <w:top w:val="none" w:sz="0" w:space="0" w:color="auto"/>
        <w:left w:val="none" w:sz="0" w:space="0" w:color="auto"/>
        <w:bottom w:val="none" w:sz="0" w:space="0" w:color="auto"/>
        <w:right w:val="none" w:sz="0" w:space="0" w:color="auto"/>
      </w:divBdr>
    </w:div>
    <w:div w:id="1950624652">
      <w:bodyDiv w:val="1"/>
      <w:marLeft w:val="0"/>
      <w:marRight w:val="0"/>
      <w:marTop w:val="0"/>
      <w:marBottom w:val="0"/>
      <w:divBdr>
        <w:top w:val="none" w:sz="0" w:space="0" w:color="auto"/>
        <w:left w:val="none" w:sz="0" w:space="0" w:color="auto"/>
        <w:bottom w:val="none" w:sz="0" w:space="0" w:color="auto"/>
        <w:right w:val="none" w:sz="0" w:space="0" w:color="auto"/>
      </w:divBdr>
    </w:div>
    <w:div w:id="1953853844">
      <w:bodyDiv w:val="1"/>
      <w:marLeft w:val="0"/>
      <w:marRight w:val="0"/>
      <w:marTop w:val="0"/>
      <w:marBottom w:val="0"/>
      <w:divBdr>
        <w:top w:val="none" w:sz="0" w:space="0" w:color="auto"/>
        <w:left w:val="none" w:sz="0" w:space="0" w:color="auto"/>
        <w:bottom w:val="none" w:sz="0" w:space="0" w:color="auto"/>
        <w:right w:val="none" w:sz="0" w:space="0" w:color="auto"/>
      </w:divBdr>
    </w:div>
    <w:div w:id="1991396791">
      <w:bodyDiv w:val="1"/>
      <w:marLeft w:val="0"/>
      <w:marRight w:val="0"/>
      <w:marTop w:val="0"/>
      <w:marBottom w:val="0"/>
      <w:divBdr>
        <w:top w:val="none" w:sz="0" w:space="0" w:color="auto"/>
        <w:left w:val="none" w:sz="0" w:space="0" w:color="auto"/>
        <w:bottom w:val="none" w:sz="0" w:space="0" w:color="auto"/>
        <w:right w:val="none" w:sz="0" w:space="0" w:color="auto"/>
      </w:divBdr>
    </w:div>
    <w:div w:id="2054957372">
      <w:bodyDiv w:val="1"/>
      <w:marLeft w:val="0"/>
      <w:marRight w:val="0"/>
      <w:marTop w:val="0"/>
      <w:marBottom w:val="0"/>
      <w:divBdr>
        <w:top w:val="none" w:sz="0" w:space="0" w:color="auto"/>
        <w:left w:val="none" w:sz="0" w:space="0" w:color="auto"/>
        <w:bottom w:val="none" w:sz="0" w:space="0" w:color="auto"/>
        <w:right w:val="none" w:sz="0" w:space="0" w:color="auto"/>
      </w:divBdr>
    </w:div>
    <w:div w:id="205908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14</Pages>
  <Words>16950</Words>
  <Characters>96618</Characters>
  <Application>Microsoft Office Word</Application>
  <DocSecurity>0</DocSecurity>
  <Lines>805</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Olabisi Lawal</dc:creator>
  <cp:keywords/>
  <dc:description/>
  <cp:lastModifiedBy>SDI 1180</cp:lastModifiedBy>
  <cp:revision>31</cp:revision>
  <dcterms:created xsi:type="dcterms:W3CDTF">2025-08-13T09:10:00Z</dcterms:created>
  <dcterms:modified xsi:type="dcterms:W3CDTF">2025-08-16T12:04:00Z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zotero-version="7.0.16"&gt;&lt;session id="k4mIixCd"/&gt;&lt;style id="http://www.zotero.org/styles/vancouver-brackets" locale="en-US" hasBibliography="1" bibliographyStyleHasBeenSet="1"/&gt;&lt;prefs&gt;&lt;pref name="fieldType" value="Field"/&gt;&lt;/prefs&gt;&lt;/d</vt:lpwstr>
  </property>
  <property fmtid="{D5CDD505-2E9C-101B-9397-08002B2CF9AE}" pid="3" name="ZOTERO_PREF_2">
    <vt:lpwstr>ata&gt;</vt:lpwstr>
  </property>
</Properties>
</file>