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30070" w14:textId="77777777" w:rsidR="003D548A" w:rsidRDefault="003D548A" w:rsidP="00D36869">
      <w:pPr>
        <w:rPr>
          <w:rFonts w:ascii="Times New Roman" w:hAnsi="Times New Roman" w:cs="Times New Roman"/>
        </w:rPr>
      </w:pPr>
    </w:p>
    <w:p w14:paraId="4C261A98" w14:textId="1079AB98" w:rsidR="00D36869" w:rsidRDefault="0013689F" w:rsidP="0013689F">
      <w:pPr>
        <w:jc w:val="center"/>
        <w:rPr>
          <w:rFonts w:ascii="Times New Roman" w:hAnsi="Times New Roman" w:cs="Times New Roman"/>
          <w:b/>
          <w:bCs/>
          <w:sz w:val="28"/>
          <w:szCs w:val="32"/>
        </w:rPr>
      </w:pPr>
      <w:r w:rsidRPr="002057E4">
        <w:rPr>
          <w:rFonts w:ascii="Times New Roman" w:hAnsi="Times New Roman" w:cs="Times New Roman"/>
          <w:b/>
          <w:bCs/>
          <w:sz w:val="28"/>
          <w:szCs w:val="32"/>
        </w:rPr>
        <w:t xml:space="preserve">“Crotalaria </w:t>
      </w:r>
      <w:proofErr w:type="spellStart"/>
      <w:r w:rsidRPr="002057E4">
        <w:rPr>
          <w:rFonts w:ascii="Times New Roman" w:hAnsi="Times New Roman" w:cs="Times New Roman"/>
          <w:b/>
          <w:bCs/>
          <w:sz w:val="28"/>
          <w:szCs w:val="32"/>
        </w:rPr>
        <w:t>multibracteata</w:t>
      </w:r>
      <w:proofErr w:type="spellEnd"/>
      <w:r w:rsidRPr="002057E4">
        <w:rPr>
          <w:rFonts w:ascii="Times New Roman" w:hAnsi="Times New Roman" w:cs="Times New Roman"/>
          <w:b/>
          <w:bCs/>
          <w:sz w:val="28"/>
          <w:szCs w:val="32"/>
        </w:rPr>
        <w:t xml:space="preserve"> in Sustainable Therapeutics: Integrating Traditional Knowledge with Green Science”</w:t>
      </w:r>
    </w:p>
    <w:p w14:paraId="7565F2DE" w14:textId="77777777" w:rsidR="00DD07A7" w:rsidRDefault="00DD07A7" w:rsidP="0013689F">
      <w:pPr>
        <w:jc w:val="center"/>
        <w:rPr>
          <w:rFonts w:ascii="Times New Roman" w:hAnsi="Times New Roman" w:cs="Times New Roman"/>
          <w:b/>
          <w:bCs/>
          <w:sz w:val="28"/>
          <w:szCs w:val="32"/>
        </w:rPr>
      </w:pPr>
    </w:p>
    <w:p w14:paraId="65D8C231" w14:textId="1AF69AFA" w:rsidR="00D36869" w:rsidRDefault="00D36869" w:rsidP="00D36869">
      <w:pPr>
        <w:rPr>
          <w:rFonts w:ascii="Times New Roman" w:hAnsi="Times New Roman" w:cs="Times New Roman"/>
        </w:rPr>
      </w:pPr>
    </w:p>
    <w:p w14:paraId="01A42059" w14:textId="77777777" w:rsidR="00FD287F" w:rsidRDefault="00FD287F" w:rsidP="00D36869">
      <w:pPr>
        <w:rPr>
          <w:rFonts w:ascii="Times New Roman" w:hAnsi="Times New Roman" w:cs="Times New Roman"/>
        </w:rPr>
      </w:pPr>
    </w:p>
    <w:p w14:paraId="17EBCAE5" w14:textId="77777777" w:rsidR="00942757" w:rsidRPr="00942757" w:rsidRDefault="00942757" w:rsidP="0013689F">
      <w:pPr>
        <w:jc w:val="both"/>
        <w:rPr>
          <w:rFonts w:ascii="Times New Roman" w:hAnsi="Times New Roman" w:cs="Times New Roman"/>
        </w:rPr>
      </w:pPr>
      <w:r w:rsidRPr="00942757">
        <w:rPr>
          <w:rFonts w:ascii="Times New Roman" w:hAnsi="Times New Roman" w:cs="Times New Roman"/>
          <w:b/>
          <w:bCs/>
        </w:rPr>
        <w:t>Abstract</w:t>
      </w:r>
    </w:p>
    <w:p w14:paraId="4BD36445" w14:textId="35DED64B" w:rsidR="00942757" w:rsidRPr="00942757" w:rsidRDefault="00942757" w:rsidP="0013689F">
      <w:pPr>
        <w:jc w:val="both"/>
        <w:rPr>
          <w:rFonts w:ascii="Times New Roman" w:hAnsi="Times New Roman" w:cs="Times New Roman"/>
        </w:rPr>
      </w:pPr>
      <w:r w:rsidRPr="00942757">
        <w:rPr>
          <w:rFonts w:ascii="Times New Roman" w:hAnsi="Times New Roman" w:cs="Times New Roman"/>
          <w:b/>
          <w:bCs/>
        </w:rPr>
        <w:t>Introduction:</w:t>
      </w:r>
      <w:r w:rsidRPr="00942757">
        <w:rPr>
          <w:rFonts w:ascii="Times New Roman" w:hAnsi="Times New Roman" w:cs="Times New Roman"/>
        </w:rPr>
        <w:br/>
        <w:t xml:space="preserve">Medicinal plants serve as a crucial reservoir for novel therapeutic agents, with </w:t>
      </w:r>
      <w:r w:rsidRPr="00942757">
        <w:rPr>
          <w:rFonts w:ascii="Times New Roman" w:hAnsi="Times New Roman" w:cs="Times New Roman"/>
          <w:i/>
          <w:iCs/>
        </w:rPr>
        <w:t xml:space="preserve">Crotalaria </w:t>
      </w:r>
      <w:proofErr w:type="spellStart"/>
      <w:r w:rsidRPr="00942757">
        <w:rPr>
          <w:rFonts w:ascii="Times New Roman" w:hAnsi="Times New Roman" w:cs="Times New Roman"/>
          <w:i/>
          <w:iCs/>
        </w:rPr>
        <w:t>multibracteata</w:t>
      </w:r>
      <w:proofErr w:type="spellEnd"/>
      <w:r w:rsidRPr="00942757">
        <w:rPr>
          <w:rFonts w:ascii="Times New Roman" w:hAnsi="Times New Roman" w:cs="Times New Roman"/>
        </w:rPr>
        <w:t xml:space="preserve"> emerging as a species of significant interest due to its traditional medicinal uses and bioactive potential within the </w:t>
      </w:r>
      <w:r w:rsidRPr="00942757">
        <w:rPr>
          <w:rFonts w:ascii="Times New Roman" w:hAnsi="Times New Roman" w:cs="Times New Roman"/>
          <w:i/>
          <w:iCs/>
        </w:rPr>
        <w:t>Crotalaria</w:t>
      </w:r>
      <w:r w:rsidRPr="00942757">
        <w:rPr>
          <w:rFonts w:ascii="Times New Roman" w:hAnsi="Times New Roman" w:cs="Times New Roman"/>
        </w:rPr>
        <w:t xml:space="preserve"> genus.</w:t>
      </w:r>
    </w:p>
    <w:p w14:paraId="07BA83EF" w14:textId="77DD2EEB" w:rsidR="00942757" w:rsidRPr="00942757" w:rsidRDefault="00942757" w:rsidP="0013689F">
      <w:pPr>
        <w:jc w:val="both"/>
        <w:rPr>
          <w:rFonts w:ascii="Times New Roman" w:hAnsi="Times New Roman" w:cs="Times New Roman"/>
        </w:rPr>
      </w:pPr>
      <w:r w:rsidRPr="00942757">
        <w:rPr>
          <w:rFonts w:ascii="Times New Roman" w:hAnsi="Times New Roman" w:cs="Times New Roman"/>
          <w:b/>
          <w:bCs/>
        </w:rPr>
        <w:t>Methods:</w:t>
      </w:r>
      <w:r w:rsidRPr="00942757">
        <w:rPr>
          <w:rFonts w:ascii="Times New Roman" w:hAnsi="Times New Roman" w:cs="Times New Roman"/>
        </w:rPr>
        <w:br/>
        <w:t xml:space="preserve">This review consolidates published data on </w:t>
      </w:r>
      <w:r w:rsidRPr="00942757">
        <w:rPr>
          <w:rFonts w:ascii="Times New Roman" w:hAnsi="Times New Roman" w:cs="Times New Roman"/>
          <w:i/>
          <w:iCs/>
        </w:rPr>
        <w:t xml:space="preserve">C. </w:t>
      </w:r>
      <w:proofErr w:type="spellStart"/>
      <w:r w:rsidRPr="00942757">
        <w:rPr>
          <w:rFonts w:ascii="Times New Roman" w:hAnsi="Times New Roman" w:cs="Times New Roman"/>
          <w:i/>
          <w:iCs/>
        </w:rPr>
        <w:t>multibracteata</w:t>
      </w:r>
      <w:proofErr w:type="spellEnd"/>
      <w:r w:rsidRPr="00942757">
        <w:rPr>
          <w:rFonts w:ascii="Times New Roman" w:hAnsi="Times New Roman" w:cs="Times New Roman"/>
        </w:rPr>
        <w:t>, covering its botanical description, ethnomedicinal relevance, phytochemical composition, pharmacological activities, toxicological profile, and biotechnological applications. Extraction and isolation techniques such as solvent extraction, chromatography, and spectroscopic identification are discussed.</w:t>
      </w:r>
    </w:p>
    <w:p w14:paraId="19642BA3" w14:textId="7398B5B7" w:rsidR="00942757" w:rsidRPr="00942757" w:rsidRDefault="00942757" w:rsidP="0013689F">
      <w:pPr>
        <w:jc w:val="both"/>
        <w:rPr>
          <w:rFonts w:ascii="Times New Roman" w:hAnsi="Times New Roman" w:cs="Times New Roman"/>
        </w:rPr>
      </w:pPr>
      <w:r w:rsidRPr="00942757">
        <w:rPr>
          <w:rFonts w:ascii="Times New Roman" w:hAnsi="Times New Roman" w:cs="Times New Roman"/>
          <w:b/>
          <w:bCs/>
        </w:rPr>
        <w:t>Results:</w:t>
      </w:r>
      <w:r w:rsidRPr="00942757">
        <w:rPr>
          <w:rFonts w:ascii="Times New Roman" w:hAnsi="Times New Roman" w:cs="Times New Roman"/>
        </w:rPr>
        <w:br/>
        <w:t>Phytochemical investigations reveal diverse compounds, including flavonoids, alkaloids, terpenoids, and phenolics, which contribute to demonstrated antioxidant, anti-inflammatory, antimicrobial, and anticancer activities validated through in vitro and in vivo studies. However, toxicological data remain scarce, necessitating further investigation.</w:t>
      </w:r>
    </w:p>
    <w:p w14:paraId="32EACE74" w14:textId="1617F8DE" w:rsidR="00942757" w:rsidRPr="00942757" w:rsidRDefault="00942757" w:rsidP="0013689F">
      <w:pPr>
        <w:jc w:val="both"/>
        <w:rPr>
          <w:rFonts w:ascii="Times New Roman" w:hAnsi="Times New Roman" w:cs="Times New Roman"/>
        </w:rPr>
      </w:pPr>
      <w:r w:rsidRPr="00942757">
        <w:rPr>
          <w:rFonts w:ascii="Times New Roman" w:hAnsi="Times New Roman" w:cs="Times New Roman"/>
          <w:b/>
          <w:bCs/>
        </w:rPr>
        <w:t>Conclusion:</w:t>
      </w:r>
      <w:r w:rsidRPr="00942757">
        <w:rPr>
          <w:rFonts w:ascii="Times New Roman" w:hAnsi="Times New Roman" w:cs="Times New Roman"/>
        </w:rPr>
        <w:br/>
      </w:r>
      <w:r w:rsidRPr="00942757">
        <w:rPr>
          <w:rFonts w:ascii="Times New Roman" w:hAnsi="Times New Roman" w:cs="Times New Roman"/>
          <w:i/>
          <w:iCs/>
        </w:rPr>
        <w:t xml:space="preserve">Crotalaria </w:t>
      </w:r>
      <w:proofErr w:type="spellStart"/>
      <w:r w:rsidRPr="00942757">
        <w:rPr>
          <w:rFonts w:ascii="Times New Roman" w:hAnsi="Times New Roman" w:cs="Times New Roman"/>
          <w:i/>
          <w:iCs/>
        </w:rPr>
        <w:t>multibracteata</w:t>
      </w:r>
      <w:proofErr w:type="spellEnd"/>
      <w:r w:rsidRPr="00942757">
        <w:rPr>
          <w:rFonts w:ascii="Times New Roman" w:hAnsi="Times New Roman" w:cs="Times New Roman"/>
        </w:rPr>
        <w:t xml:space="preserve"> exhibits promising pharmacological properties and therapeutic potential, yet comprehensive studies on safety, mechanisms of action, and cultivation practices are required. Interdisciplinary research approaches will be vital to fully harness its medicinal value and translate traditional knowledge into clinical applications.</w:t>
      </w:r>
    </w:p>
    <w:p w14:paraId="74FF017E" w14:textId="77777777" w:rsidR="00942757" w:rsidRPr="00942757" w:rsidRDefault="00942757" w:rsidP="0013689F">
      <w:pPr>
        <w:jc w:val="both"/>
        <w:rPr>
          <w:rFonts w:ascii="Times New Roman" w:hAnsi="Times New Roman" w:cs="Times New Roman"/>
        </w:rPr>
      </w:pPr>
      <w:r w:rsidRPr="00942757">
        <w:rPr>
          <w:rFonts w:ascii="Times New Roman" w:hAnsi="Times New Roman" w:cs="Times New Roman"/>
          <w:b/>
          <w:bCs/>
        </w:rPr>
        <w:t>Keywords:</w:t>
      </w:r>
      <w:r w:rsidRPr="00942757">
        <w:rPr>
          <w:rFonts w:ascii="Times New Roman" w:hAnsi="Times New Roman" w:cs="Times New Roman"/>
        </w:rPr>
        <w:t xml:space="preserve"> Crotalaria </w:t>
      </w:r>
      <w:proofErr w:type="spellStart"/>
      <w:r w:rsidRPr="00942757">
        <w:rPr>
          <w:rFonts w:ascii="Times New Roman" w:hAnsi="Times New Roman" w:cs="Times New Roman"/>
        </w:rPr>
        <w:t>multibracteata</w:t>
      </w:r>
      <w:proofErr w:type="spellEnd"/>
      <w:r w:rsidRPr="00942757">
        <w:rPr>
          <w:rFonts w:ascii="Times New Roman" w:hAnsi="Times New Roman" w:cs="Times New Roman"/>
        </w:rPr>
        <w:t>, medicinal plants, phytochemicals, pharmacology, toxicology, ethnomedicine.</w:t>
      </w:r>
    </w:p>
    <w:p w14:paraId="2EE07098" w14:textId="77777777" w:rsidR="00D36869" w:rsidRDefault="00D36869" w:rsidP="00D36869">
      <w:pPr>
        <w:rPr>
          <w:rFonts w:ascii="Times New Roman" w:hAnsi="Times New Roman" w:cs="Times New Roman"/>
        </w:rPr>
      </w:pPr>
    </w:p>
    <w:p w14:paraId="4FDA54A0" w14:textId="77777777" w:rsidR="00D36869" w:rsidRDefault="00D36869" w:rsidP="00D36869">
      <w:pPr>
        <w:rPr>
          <w:rFonts w:ascii="Times New Roman" w:hAnsi="Times New Roman" w:cs="Times New Roman"/>
        </w:rPr>
      </w:pPr>
    </w:p>
    <w:p w14:paraId="7B7D059C" w14:textId="77777777" w:rsidR="00D36869" w:rsidRDefault="00D36869" w:rsidP="00D36869">
      <w:pPr>
        <w:rPr>
          <w:rFonts w:ascii="Times New Roman" w:hAnsi="Times New Roman" w:cs="Times New Roman"/>
        </w:rPr>
      </w:pPr>
    </w:p>
    <w:p w14:paraId="767A2FA6" w14:textId="77777777" w:rsidR="002057E4" w:rsidRDefault="002057E4" w:rsidP="00D36869">
      <w:pPr>
        <w:rPr>
          <w:rFonts w:ascii="Times New Roman" w:hAnsi="Times New Roman" w:cs="Times New Roman"/>
        </w:rPr>
      </w:pPr>
    </w:p>
    <w:p w14:paraId="6E2B276E" w14:textId="77777777" w:rsidR="00D36869" w:rsidRPr="00D36869" w:rsidRDefault="00D36869" w:rsidP="00D36869">
      <w:pPr>
        <w:rPr>
          <w:rFonts w:ascii="Times New Roman" w:hAnsi="Times New Roman" w:cs="Times New Roman"/>
          <w:b/>
          <w:bCs/>
        </w:rPr>
      </w:pPr>
      <w:bookmarkStart w:id="0" w:name="_GoBack"/>
      <w:bookmarkEnd w:id="0"/>
      <w:r w:rsidRPr="00D36869">
        <w:rPr>
          <w:rFonts w:ascii="Times New Roman" w:hAnsi="Times New Roman" w:cs="Times New Roman"/>
          <w:b/>
          <w:bCs/>
        </w:rPr>
        <w:lastRenderedPageBreak/>
        <w:t>Introduction</w:t>
      </w:r>
    </w:p>
    <w:p w14:paraId="08948D04" w14:textId="77777777" w:rsidR="00D36869" w:rsidRPr="00D36869" w:rsidRDefault="00D36869" w:rsidP="00D36869">
      <w:pPr>
        <w:jc w:val="both"/>
        <w:rPr>
          <w:rFonts w:ascii="Times New Roman" w:hAnsi="Times New Roman" w:cs="Times New Roman"/>
        </w:rPr>
      </w:pPr>
      <w:r w:rsidRPr="00D36869">
        <w:rPr>
          <w:rFonts w:ascii="Times New Roman" w:hAnsi="Times New Roman" w:cs="Times New Roman"/>
        </w:rPr>
        <w:t>Medicinal plants have played a vital role in the prevention and treatment of various ailments for centuries and continue to be an integral part of traditional and modern healthcare systems. According to the World Health Organization (WHO), more than 80% of the global population relies on plant-based medicines for primary healthcare needs, particularly in developing countries [1]. The increasing resistance to synthetic drugs, along with adverse side effects and high treatment costs, has intensified interest in natural product-based therapeutics.</w:t>
      </w:r>
    </w:p>
    <w:p w14:paraId="45F29537" w14:textId="77777777" w:rsidR="00D36869" w:rsidRPr="00D36869" w:rsidRDefault="00D36869" w:rsidP="00D36869">
      <w:pPr>
        <w:jc w:val="both"/>
        <w:rPr>
          <w:rFonts w:ascii="Times New Roman" w:hAnsi="Times New Roman" w:cs="Times New Roman"/>
        </w:rPr>
      </w:pPr>
      <w:r w:rsidRPr="00D36869">
        <w:rPr>
          <w:rFonts w:ascii="Times New Roman" w:hAnsi="Times New Roman" w:cs="Times New Roman"/>
        </w:rPr>
        <w:t xml:space="preserve">The genus </w:t>
      </w:r>
      <w:r w:rsidRPr="00D36869">
        <w:rPr>
          <w:rFonts w:ascii="Times New Roman" w:hAnsi="Times New Roman" w:cs="Times New Roman"/>
          <w:i/>
          <w:iCs/>
        </w:rPr>
        <w:t>Crotalaria</w:t>
      </w:r>
      <w:r w:rsidRPr="00D36869">
        <w:rPr>
          <w:rFonts w:ascii="Times New Roman" w:hAnsi="Times New Roman" w:cs="Times New Roman"/>
        </w:rPr>
        <w:t xml:space="preserve">, belonging to the family Fabaceae, comprises over 600 species globally, many of which are distributed in tropical and subtropical regions of Asia, Africa, and South America [2]. Species of </w:t>
      </w:r>
      <w:r w:rsidRPr="00D36869">
        <w:rPr>
          <w:rFonts w:ascii="Times New Roman" w:hAnsi="Times New Roman" w:cs="Times New Roman"/>
          <w:i/>
          <w:iCs/>
        </w:rPr>
        <w:t>Crotalaria</w:t>
      </w:r>
      <w:r w:rsidRPr="00D36869">
        <w:rPr>
          <w:rFonts w:ascii="Times New Roman" w:hAnsi="Times New Roman" w:cs="Times New Roman"/>
        </w:rPr>
        <w:t xml:space="preserve"> are known for their rich phytochemical profiles, particularly in flavonoids, alkaloids (including pyrrolizidine alkaloids), terpenoids, and phenolics [3]. Several members of this genus, such as </w:t>
      </w:r>
      <w:r w:rsidRPr="00D36869">
        <w:rPr>
          <w:rFonts w:ascii="Times New Roman" w:hAnsi="Times New Roman" w:cs="Times New Roman"/>
          <w:i/>
          <w:iCs/>
        </w:rPr>
        <w:t>Crotalaria juncea</w:t>
      </w:r>
      <w:r w:rsidRPr="00D36869">
        <w:rPr>
          <w:rFonts w:ascii="Times New Roman" w:hAnsi="Times New Roman" w:cs="Times New Roman"/>
        </w:rPr>
        <w:t xml:space="preserve"> and </w:t>
      </w:r>
      <w:r w:rsidRPr="00D36869">
        <w:rPr>
          <w:rFonts w:ascii="Times New Roman" w:hAnsi="Times New Roman" w:cs="Times New Roman"/>
          <w:i/>
          <w:iCs/>
        </w:rPr>
        <w:t>Crotalaria retusa</w:t>
      </w:r>
      <w:r w:rsidRPr="00D36869">
        <w:rPr>
          <w:rFonts w:ascii="Times New Roman" w:hAnsi="Times New Roman" w:cs="Times New Roman"/>
        </w:rPr>
        <w:t>, have been extensively studied for their pharmacological activities including anti-inflammatory, antioxidant, antimicrobial, and anticancer properties [4,5].</w:t>
      </w:r>
    </w:p>
    <w:p w14:paraId="065332C1" w14:textId="77777777" w:rsidR="00D36869" w:rsidRPr="00D36869" w:rsidRDefault="00D36869" w:rsidP="00D36869">
      <w:pPr>
        <w:jc w:val="both"/>
        <w:rPr>
          <w:rFonts w:ascii="Times New Roman" w:hAnsi="Times New Roman" w:cs="Times New Roman"/>
        </w:rPr>
      </w:pPr>
      <w:r w:rsidRPr="00D36869">
        <w:rPr>
          <w:rFonts w:ascii="Times New Roman" w:hAnsi="Times New Roman" w:cs="Times New Roman"/>
        </w:rPr>
        <w:t xml:space="preserve">Despite the diversity of this genus, </w:t>
      </w:r>
      <w:r w:rsidRPr="00D36869">
        <w:rPr>
          <w:rFonts w:ascii="Times New Roman" w:hAnsi="Times New Roman" w:cs="Times New Roman"/>
          <w:i/>
          <w:iCs/>
        </w:rPr>
        <w:t xml:space="preserve">Crotalaria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remains relatively underexplored. Endemic to specific regions in India, it has been traditionally used by local communities for treating skin disorders, wounds, and inflammation [6]. However, systematic documentation and scientific validation of its phytochemical constituents and pharmacological potential are still lacking.</w:t>
      </w:r>
    </w:p>
    <w:p w14:paraId="4DB889B7" w14:textId="2F893E09" w:rsidR="00D36869" w:rsidRDefault="00D36869" w:rsidP="00D36869">
      <w:pPr>
        <w:jc w:val="both"/>
        <w:rPr>
          <w:rFonts w:ascii="Times New Roman" w:hAnsi="Times New Roman" w:cs="Times New Roman"/>
        </w:rPr>
      </w:pPr>
      <w:r w:rsidRPr="00D36869">
        <w:rPr>
          <w:rFonts w:ascii="Times New Roman" w:hAnsi="Times New Roman" w:cs="Times New Roman"/>
        </w:rPr>
        <w:t xml:space="preserve">The primary objective of this review is to provide a comprehensive overview of </w:t>
      </w:r>
      <w:r w:rsidRPr="00D36869">
        <w:rPr>
          <w:rFonts w:ascii="Times New Roman" w:hAnsi="Times New Roman" w:cs="Times New Roman"/>
          <w:i/>
          <w:iCs/>
        </w:rPr>
        <w:t xml:space="preserve">Crotalaria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including its botanical characteristics, ethnomedicinal uses, phytochemistry, pharmacological activities, toxicological concerns, and future research prospects. By compiling and analyzing available data, this review aims to highlight the untapped potential of </w:t>
      </w:r>
      <w:r w:rsidRPr="00D36869">
        <w:rPr>
          <w:rFonts w:ascii="Times New Roman" w:hAnsi="Times New Roman" w:cs="Times New Roman"/>
          <w:i/>
          <w:iCs/>
        </w:rPr>
        <w:t xml:space="preserve">C.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as a source of novel bioactive compounds for therapeutic applications.</w:t>
      </w:r>
    </w:p>
    <w:p w14:paraId="6A967B29" w14:textId="77777777" w:rsidR="00D36869" w:rsidRPr="00D36869" w:rsidRDefault="00D36869" w:rsidP="00D36869">
      <w:pPr>
        <w:rPr>
          <w:rFonts w:ascii="Times New Roman" w:hAnsi="Times New Roman" w:cs="Times New Roman"/>
          <w:b/>
          <w:bCs/>
        </w:rPr>
      </w:pPr>
      <w:r w:rsidRPr="00D36869">
        <w:rPr>
          <w:rFonts w:ascii="Times New Roman" w:hAnsi="Times New Roman" w:cs="Times New Roman"/>
          <w:b/>
          <w:bCs/>
        </w:rPr>
        <w:t>Botanical Description, Ethnomedicinal Uses, Cultivation, and Availability</w:t>
      </w:r>
    </w:p>
    <w:p w14:paraId="29FFD5E6" w14:textId="7DD7ACF6" w:rsidR="00D36869" w:rsidRPr="00D36869" w:rsidRDefault="00D36869" w:rsidP="00D36869">
      <w:pPr>
        <w:jc w:val="both"/>
        <w:rPr>
          <w:rFonts w:ascii="Times New Roman" w:hAnsi="Times New Roman" w:cs="Times New Roman"/>
        </w:rPr>
      </w:pPr>
      <w:r w:rsidRPr="00D36869">
        <w:rPr>
          <w:rFonts w:ascii="Times New Roman" w:hAnsi="Times New Roman" w:cs="Times New Roman"/>
        </w:rPr>
        <w:t xml:space="preserve">The species is generally found growing in wild or semi-wild conditions, along forest margins, fallow fields, and roadsides, indicating its ecological adaptability to disturbed habitats and poor soils. Morphologically, </w:t>
      </w:r>
      <w:r w:rsidRPr="00D36869">
        <w:rPr>
          <w:rFonts w:ascii="Times New Roman" w:hAnsi="Times New Roman" w:cs="Times New Roman"/>
          <w:i/>
          <w:iCs/>
        </w:rPr>
        <w:t xml:space="preserve">C.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presents as a small herbaceous plant or undershrub with simple, alternate, and narrowly oblong to ovate-lanceolate leaves. Its most distinguishing feature is the presence of numerous bracts associated with the inflorescence, which is the origin of the epithet “</w:t>
      </w:r>
      <w:proofErr w:type="spellStart"/>
      <w:r w:rsidRPr="00D36869">
        <w:rPr>
          <w:rFonts w:ascii="Times New Roman" w:hAnsi="Times New Roman" w:cs="Times New Roman"/>
        </w:rPr>
        <w:t>multibracteata</w:t>
      </w:r>
      <w:proofErr w:type="spellEnd"/>
      <w:r w:rsidRPr="00D36869">
        <w:rPr>
          <w:rFonts w:ascii="Times New Roman" w:hAnsi="Times New Roman" w:cs="Times New Roman"/>
        </w:rPr>
        <w:t>” [7,8].</w:t>
      </w:r>
    </w:p>
    <w:p w14:paraId="56BD91A6" w14:textId="3FBC03A6" w:rsidR="00D36869" w:rsidRPr="00D36869" w:rsidRDefault="00D36869" w:rsidP="00D36869">
      <w:pPr>
        <w:jc w:val="both"/>
        <w:rPr>
          <w:rFonts w:ascii="Times New Roman" w:hAnsi="Times New Roman" w:cs="Times New Roman"/>
        </w:rPr>
      </w:pPr>
      <w:r w:rsidRPr="00D36869">
        <w:rPr>
          <w:rFonts w:ascii="Times New Roman" w:hAnsi="Times New Roman" w:cs="Times New Roman"/>
        </w:rPr>
        <w:t xml:space="preserve">The plant produces bright yellow, papilionaceous flowers arranged in axillary racemes, consistent with the floral morphology typical of the </w:t>
      </w:r>
      <w:r w:rsidRPr="00D36869">
        <w:rPr>
          <w:rFonts w:ascii="Times New Roman" w:hAnsi="Times New Roman" w:cs="Times New Roman"/>
          <w:i/>
          <w:iCs/>
        </w:rPr>
        <w:t>Crotalaria</w:t>
      </w:r>
      <w:r w:rsidRPr="00D36869">
        <w:rPr>
          <w:rFonts w:ascii="Times New Roman" w:hAnsi="Times New Roman" w:cs="Times New Roman"/>
        </w:rPr>
        <w:t xml:space="preserve"> genus. The fruit is an inflated, many-seeded pod that produces a characteristic rattling sound when shaken due to loose seeds inside</w:t>
      </w:r>
      <w:r>
        <w:rPr>
          <w:rFonts w:ascii="Times New Roman" w:hAnsi="Times New Roman" w:cs="Times New Roman"/>
        </w:rPr>
        <w:t xml:space="preserve"> </w:t>
      </w:r>
      <w:r w:rsidRPr="00D36869">
        <w:rPr>
          <w:rFonts w:ascii="Times New Roman" w:hAnsi="Times New Roman" w:cs="Times New Roman"/>
        </w:rPr>
        <w:t xml:space="preserve">a trait from which the genus name </w:t>
      </w:r>
      <w:r w:rsidRPr="00D36869">
        <w:rPr>
          <w:rFonts w:ascii="Times New Roman" w:hAnsi="Times New Roman" w:cs="Times New Roman"/>
          <w:i/>
          <w:iCs/>
        </w:rPr>
        <w:t>Crotalaria</w:t>
      </w:r>
      <w:r w:rsidRPr="00D36869">
        <w:rPr>
          <w:rFonts w:ascii="Times New Roman" w:hAnsi="Times New Roman" w:cs="Times New Roman"/>
        </w:rPr>
        <w:t xml:space="preserve"> is derived (Greek </w:t>
      </w:r>
      <w:proofErr w:type="spellStart"/>
      <w:r w:rsidRPr="00D36869">
        <w:rPr>
          <w:rFonts w:ascii="Times New Roman" w:hAnsi="Times New Roman" w:cs="Times New Roman"/>
          <w:i/>
          <w:iCs/>
        </w:rPr>
        <w:t>krotalon</w:t>
      </w:r>
      <w:proofErr w:type="spellEnd"/>
      <w:r w:rsidRPr="00D36869">
        <w:rPr>
          <w:rFonts w:ascii="Times New Roman" w:hAnsi="Times New Roman" w:cs="Times New Roman"/>
        </w:rPr>
        <w:t xml:space="preserve">, meaning "rattle"). It possesses a well-developed taproot system, often </w:t>
      </w:r>
      <w:proofErr w:type="spellStart"/>
      <w:r w:rsidRPr="00D36869">
        <w:rPr>
          <w:rFonts w:ascii="Times New Roman" w:hAnsi="Times New Roman" w:cs="Times New Roman"/>
        </w:rPr>
        <w:t>nodulated</w:t>
      </w:r>
      <w:proofErr w:type="spellEnd"/>
      <w:r w:rsidRPr="00D36869">
        <w:rPr>
          <w:rFonts w:ascii="Times New Roman" w:hAnsi="Times New Roman" w:cs="Times New Roman"/>
        </w:rPr>
        <w:t>, facilitating nitrogen fixation—a common trait in Fabaceae [8].</w:t>
      </w:r>
    </w:p>
    <w:p w14:paraId="418976E1" w14:textId="77777777" w:rsidR="00D36869" w:rsidRPr="00D36869" w:rsidRDefault="00D36869" w:rsidP="00D36869">
      <w:pPr>
        <w:jc w:val="both"/>
        <w:rPr>
          <w:rFonts w:ascii="Times New Roman" w:hAnsi="Times New Roman" w:cs="Times New Roman"/>
        </w:rPr>
      </w:pPr>
      <w:r w:rsidRPr="00D36869">
        <w:rPr>
          <w:rFonts w:ascii="Times New Roman" w:hAnsi="Times New Roman" w:cs="Times New Roman"/>
        </w:rPr>
        <w:lastRenderedPageBreak/>
        <w:t xml:space="preserve">In traditional ethnomedicine, </w:t>
      </w:r>
      <w:r w:rsidRPr="00D36869">
        <w:rPr>
          <w:rFonts w:ascii="Times New Roman" w:hAnsi="Times New Roman" w:cs="Times New Roman"/>
          <w:i/>
          <w:iCs/>
        </w:rPr>
        <w:t xml:space="preserve">C.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has been utilized by local and tribal communities for the treatment of various ailments. Leaves of the plant are often crushed into a paste and applied externally to treat skin infections, itching, wounds, and eczema. Decoctions made from the aerial parts are consumed orally for managing fever and inflammation. Some local healers also report its use in treating ulcers and snake bites, although these claims remain largely anecdotal and unverified by scientific studies [9,10].</w:t>
      </w:r>
    </w:p>
    <w:p w14:paraId="25AE7BD5" w14:textId="31D168E8" w:rsidR="00D36869" w:rsidRPr="00D36869" w:rsidRDefault="00D36869" w:rsidP="00D36869">
      <w:pPr>
        <w:jc w:val="both"/>
        <w:rPr>
          <w:rFonts w:ascii="Times New Roman" w:hAnsi="Times New Roman" w:cs="Times New Roman"/>
        </w:rPr>
      </w:pPr>
      <w:r w:rsidRPr="00D36869">
        <w:rPr>
          <w:rFonts w:ascii="Times New Roman" w:hAnsi="Times New Roman" w:cs="Times New Roman"/>
        </w:rPr>
        <w:t xml:space="preserve">Despite the significant traditional relevance, </w:t>
      </w:r>
      <w:r w:rsidRPr="00D36869">
        <w:rPr>
          <w:rFonts w:ascii="Times New Roman" w:hAnsi="Times New Roman" w:cs="Times New Roman"/>
          <w:i/>
          <w:iCs/>
        </w:rPr>
        <w:t xml:space="preserve">C.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has not yet been brought into mainstream medicinal plant cultivation. It is primarily collected from the wild, and no large-scale or organized farming systems have been established for its propagation. However, the plant's agronomic traits suggest potential for cultivation. It thrives in semi-arid to dry tropical climates and prefers well-drained sandy or loamy soils with a slightly acidic to neutral </w:t>
      </w:r>
      <w:proofErr w:type="spellStart"/>
      <w:r w:rsidRPr="00D36869">
        <w:rPr>
          <w:rFonts w:ascii="Times New Roman" w:hAnsi="Times New Roman" w:cs="Times New Roman"/>
        </w:rPr>
        <w:t>pH.</w:t>
      </w:r>
      <w:proofErr w:type="spellEnd"/>
      <w:r w:rsidRPr="00D36869">
        <w:rPr>
          <w:rFonts w:ascii="Times New Roman" w:hAnsi="Times New Roman" w:cs="Times New Roman"/>
        </w:rPr>
        <w:t xml:space="preserve"> Propagation is typically through seeds, which germinate within one to two weeks under warm and moist conditions. The plant follows an annual life cycle, with flowering commencing within two months of germination and continuing for several weeks. This quick growth cycle could be advantageous for short-duration herbal cropping systems [11].</w:t>
      </w:r>
    </w:p>
    <w:p w14:paraId="5F3AB6F6" w14:textId="77777777" w:rsidR="00D36869" w:rsidRPr="00D36869" w:rsidRDefault="00D36869" w:rsidP="00D36869">
      <w:pPr>
        <w:jc w:val="both"/>
        <w:rPr>
          <w:rFonts w:ascii="Times New Roman" w:hAnsi="Times New Roman" w:cs="Times New Roman"/>
        </w:rPr>
      </w:pPr>
      <w:r w:rsidRPr="00D36869">
        <w:rPr>
          <w:rFonts w:ascii="Times New Roman" w:hAnsi="Times New Roman" w:cs="Times New Roman"/>
        </w:rPr>
        <w:t xml:space="preserve">Given its ability to fix atmospheric nitrogen, </w:t>
      </w:r>
      <w:r w:rsidRPr="00D36869">
        <w:rPr>
          <w:rFonts w:ascii="Times New Roman" w:hAnsi="Times New Roman" w:cs="Times New Roman"/>
          <w:i/>
          <w:iCs/>
        </w:rPr>
        <w:t xml:space="preserve">C.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may serve as a beneficial cover crop or intercropping species, contributing to soil fertility. However, there is a lack of agronomic trials and propagation studies specifically targeting this species. Currently, the availability of </w:t>
      </w:r>
      <w:r w:rsidRPr="00D36869">
        <w:rPr>
          <w:rFonts w:ascii="Times New Roman" w:hAnsi="Times New Roman" w:cs="Times New Roman"/>
          <w:i/>
          <w:iCs/>
        </w:rPr>
        <w:t xml:space="preserve">C.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is limited to local environments where it grows naturally, particularly in tribal regions of southern India. It is not commonly available in commercial nurseries or herbal markets, which restricts its accessibility for research, conservation, and pharmacological use. The absence of standardized cultivation practices and the risk of overharvesting from natural habitats raise concerns about the plant’s long-term sustainability [12].</w:t>
      </w:r>
    </w:p>
    <w:p w14:paraId="6A89F1E7" w14:textId="77777777" w:rsidR="00D36869" w:rsidRPr="00D36869" w:rsidRDefault="00D36869" w:rsidP="00D36869">
      <w:pPr>
        <w:jc w:val="both"/>
        <w:rPr>
          <w:rFonts w:ascii="Times New Roman" w:hAnsi="Times New Roman" w:cs="Times New Roman"/>
        </w:rPr>
      </w:pPr>
      <w:r w:rsidRPr="00D36869">
        <w:rPr>
          <w:rFonts w:ascii="Times New Roman" w:hAnsi="Times New Roman" w:cs="Times New Roman"/>
        </w:rPr>
        <w:t xml:space="preserve">Conservation assessments indicate a need for seed banking, nursery development, and awareness campaigns aimed at promoting its sustainable use. Given its therapeutic promise and ecological resilience, the development of cultivation protocols and inclusion in community herbal farming programs could help in preserving </w:t>
      </w:r>
      <w:r w:rsidRPr="00D36869">
        <w:rPr>
          <w:rFonts w:ascii="Times New Roman" w:hAnsi="Times New Roman" w:cs="Times New Roman"/>
          <w:i/>
          <w:iCs/>
        </w:rPr>
        <w:t xml:space="preserve">C.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while unlocking its full medicinal potential [13].</w:t>
      </w:r>
    </w:p>
    <w:p w14:paraId="4DAF3AFB" w14:textId="77777777" w:rsidR="00AD699D" w:rsidRPr="00AD699D" w:rsidRDefault="00AD699D" w:rsidP="00AD699D">
      <w:pPr>
        <w:rPr>
          <w:rFonts w:ascii="Times New Roman" w:hAnsi="Times New Roman" w:cs="Times New Roman"/>
          <w:b/>
          <w:bCs/>
        </w:rPr>
      </w:pPr>
      <w:r w:rsidRPr="00AD699D">
        <w:rPr>
          <w:rFonts w:ascii="Times New Roman" w:hAnsi="Times New Roman" w:cs="Times New Roman"/>
          <w:b/>
          <w:bCs/>
        </w:rPr>
        <w:t>Native Habitats and Geographical Spread</w:t>
      </w:r>
    </w:p>
    <w:p w14:paraId="56768C18"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i/>
          <w:iCs/>
        </w:rPr>
        <w:t xml:space="preserve">Crotalaria </w:t>
      </w:r>
      <w:proofErr w:type="spellStart"/>
      <w:r w:rsidRPr="00AD699D">
        <w:rPr>
          <w:rFonts w:ascii="Times New Roman" w:hAnsi="Times New Roman" w:cs="Times New Roman"/>
          <w:i/>
          <w:iCs/>
        </w:rPr>
        <w:t>multibracteata</w:t>
      </w:r>
      <w:proofErr w:type="spellEnd"/>
      <w:r w:rsidRPr="00AD699D">
        <w:rPr>
          <w:rFonts w:ascii="Times New Roman" w:hAnsi="Times New Roman" w:cs="Times New Roman"/>
        </w:rPr>
        <w:t xml:space="preserve"> is a plant species endemic to the Indian subcontinent, with its distribution primarily confined to the southern peninsular region. It has been reported from parts of Tamil Nadu, Karnataka, Kerala, and to a lesser extent, Andhra Pradesh and Telangana, where it grows naturally in dry deciduous forests, scrublands, and grassy slopes [14]. Its growth is often observed along the margins of agricultural fields, roadsides, and disturbed habitats, indicating its adaptability to semi-wild and anthropogenically influenced environments.</w:t>
      </w:r>
    </w:p>
    <w:p w14:paraId="1CE9578D"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 xml:space="preserve">The species thrives in warm, subtropical to tropical climates, and it typically prefers well-drained sandy or loamy soils with moderate fertility. It is found at altitudes ranging from 300 to 1200 </w:t>
      </w:r>
      <w:r w:rsidRPr="00AD699D">
        <w:rPr>
          <w:rFonts w:ascii="Times New Roman" w:hAnsi="Times New Roman" w:cs="Times New Roman"/>
        </w:rPr>
        <w:lastRenderedPageBreak/>
        <w:t>meters above sea level, though local environmental conditions largely influence its abundance and morphology. It is especially prevalent in Deccan Plateau regions and Eastern Ghats, which provide suitable microclimatic conditions for its growth, including moderate rainfall and seasonal drought [15].</w:t>
      </w:r>
    </w:p>
    <w:p w14:paraId="3ED0861A"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 xml:space="preserve">Despite being largely overlooked in major floristic surveys due to its similarity with other </w:t>
      </w:r>
      <w:r w:rsidRPr="00AD699D">
        <w:rPr>
          <w:rFonts w:ascii="Times New Roman" w:hAnsi="Times New Roman" w:cs="Times New Roman"/>
          <w:i/>
          <w:iCs/>
        </w:rPr>
        <w:t>Crotalaria</w:t>
      </w:r>
      <w:r w:rsidRPr="00AD699D">
        <w:rPr>
          <w:rFonts w:ascii="Times New Roman" w:hAnsi="Times New Roman" w:cs="Times New Roman"/>
        </w:rPr>
        <w:t xml:space="preserve"> species, </w:t>
      </w:r>
      <w:r w:rsidRPr="00AD699D">
        <w:rPr>
          <w:rFonts w:ascii="Times New Roman" w:hAnsi="Times New Roman" w:cs="Times New Roman"/>
          <w:i/>
          <w:iCs/>
        </w:rPr>
        <w:t xml:space="preserve">C. </w:t>
      </w:r>
      <w:proofErr w:type="spellStart"/>
      <w:r w:rsidRPr="00AD699D">
        <w:rPr>
          <w:rFonts w:ascii="Times New Roman" w:hAnsi="Times New Roman" w:cs="Times New Roman"/>
          <w:i/>
          <w:iCs/>
        </w:rPr>
        <w:t>multibracteata</w:t>
      </w:r>
      <w:proofErr w:type="spellEnd"/>
      <w:r w:rsidRPr="00AD699D">
        <w:rPr>
          <w:rFonts w:ascii="Times New Roman" w:hAnsi="Times New Roman" w:cs="Times New Roman"/>
        </w:rPr>
        <w:t xml:space="preserve"> has been documented in several herbarium records and regional ethnobotanical reports. In Tamil Nadu, its occurrence is noted in districts such as Dharmapuri, Salem, and Erode, while in Karnataka, it is found in the dry plains and hill slopes of </w:t>
      </w:r>
      <w:proofErr w:type="spellStart"/>
      <w:r w:rsidRPr="00AD699D">
        <w:rPr>
          <w:rFonts w:ascii="Times New Roman" w:hAnsi="Times New Roman" w:cs="Times New Roman"/>
        </w:rPr>
        <w:t>Chitradurga</w:t>
      </w:r>
      <w:proofErr w:type="spellEnd"/>
      <w:r w:rsidRPr="00AD699D">
        <w:rPr>
          <w:rFonts w:ascii="Times New Roman" w:hAnsi="Times New Roman" w:cs="Times New Roman"/>
        </w:rPr>
        <w:t xml:space="preserve">, Bellary, and </w:t>
      </w:r>
      <w:proofErr w:type="spellStart"/>
      <w:r w:rsidRPr="00AD699D">
        <w:rPr>
          <w:rFonts w:ascii="Times New Roman" w:hAnsi="Times New Roman" w:cs="Times New Roman"/>
        </w:rPr>
        <w:t>Tumkur</w:t>
      </w:r>
      <w:proofErr w:type="spellEnd"/>
      <w:r w:rsidRPr="00AD699D">
        <w:rPr>
          <w:rFonts w:ascii="Times New Roman" w:hAnsi="Times New Roman" w:cs="Times New Roman"/>
        </w:rPr>
        <w:t xml:space="preserve"> regions [16].</w:t>
      </w:r>
    </w:p>
    <w:p w14:paraId="60B57107"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 xml:space="preserve">Currently, the species is considered to be of least concern in terms of conservation status, primarily because of its wide adaptability and occurrence in various ecological niches. However, habitat fragmentation, unregulated grazing, and seasonal bush fires in semi-arid zones may pose localized threats. Furthermore, the lack of awareness regarding its medicinal potential and underrepresentation in </w:t>
      </w:r>
      <w:proofErr w:type="spellStart"/>
      <w:r w:rsidRPr="00AD699D">
        <w:rPr>
          <w:rFonts w:ascii="Times New Roman" w:hAnsi="Times New Roman" w:cs="Times New Roman"/>
        </w:rPr>
        <w:t>pharmacognostic</w:t>
      </w:r>
      <w:proofErr w:type="spellEnd"/>
      <w:r w:rsidRPr="00AD699D">
        <w:rPr>
          <w:rFonts w:ascii="Times New Roman" w:hAnsi="Times New Roman" w:cs="Times New Roman"/>
        </w:rPr>
        <w:t xml:space="preserve"> literature suggest a need for more comprehensive regional surveys and habitat-specific ecological assessments [17].</w:t>
      </w:r>
    </w:p>
    <w:p w14:paraId="5CBBC67F" w14:textId="3071904A" w:rsidR="00D36869" w:rsidRDefault="00AD699D" w:rsidP="00AD699D">
      <w:pPr>
        <w:jc w:val="both"/>
        <w:rPr>
          <w:rFonts w:ascii="Times New Roman" w:hAnsi="Times New Roman" w:cs="Times New Roman"/>
        </w:rPr>
      </w:pPr>
      <w:r w:rsidRPr="00AD699D">
        <w:rPr>
          <w:rFonts w:ascii="Times New Roman" w:hAnsi="Times New Roman" w:cs="Times New Roman"/>
        </w:rPr>
        <w:t xml:space="preserve">Efforts to map the distribution of </w:t>
      </w:r>
      <w:r w:rsidRPr="00AD699D">
        <w:rPr>
          <w:rFonts w:ascii="Times New Roman" w:hAnsi="Times New Roman" w:cs="Times New Roman"/>
          <w:i/>
          <w:iCs/>
        </w:rPr>
        <w:t xml:space="preserve">C. </w:t>
      </w:r>
      <w:proofErr w:type="spellStart"/>
      <w:r w:rsidRPr="00AD699D">
        <w:rPr>
          <w:rFonts w:ascii="Times New Roman" w:hAnsi="Times New Roman" w:cs="Times New Roman"/>
          <w:i/>
          <w:iCs/>
        </w:rPr>
        <w:t>multibracteata</w:t>
      </w:r>
      <w:proofErr w:type="spellEnd"/>
      <w:r w:rsidRPr="00AD699D">
        <w:rPr>
          <w:rFonts w:ascii="Times New Roman" w:hAnsi="Times New Roman" w:cs="Times New Roman"/>
        </w:rPr>
        <w:t xml:space="preserve"> using geospatial tools and digitized herbarium records are still limited, making it a priority for future ethnobotanical and conservation research. Integrating botanical field surveys with local traditional knowledge systems could significantly aid in understanding its biogeography and ecological preferences.</w:t>
      </w:r>
    </w:p>
    <w:p w14:paraId="589EDB92" w14:textId="77777777" w:rsidR="00AD699D" w:rsidRPr="00AD699D" w:rsidRDefault="00AD699D" w:rsidP="00AD699D">
      <w:pPr>
        <w:rPr>
          <w:rFonts w:ascii="Times New Roman" w:hAnsi="Times New Roman" w:cs="Times New Roman"/>
          <w:b/>
          <w:bCs/>
        </w:rPr>
      </w:pPr>
      <w:r w:rsidRPr="00AD699D">
        <w:rPr>
          <w:rFonts w:ascii="Times New Roman" w:hAnsi="Times New Roman" w:cs="Times New Roman"/>
          <w:b/>
          <w:bCs/>
        </w:rPr>
        <w:t>Ethnobotanical and Traditional Uses</w:t>
      </w:r>
    </w:p>
    <w:p w14:paraId="615A6094"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i/>
          <w:iCs/>
        </w:rPr>
        <w:t xml:space="preserve">Crotalaria </w:t>
      </w:r>
      <w:proofErr w:type="spellStart"/>
      <w:r w:rsidRPr="00AD699D">
        <w:rPr>
          <w:rFonts w:ascii="Times New Roman" w:hAnsi="Times New Roman" w:cs="Times New Roman"/>
          <w:i/>
          <w:iCs/>
        </w:rPr>
        <w:t>multibracteata</w:t>
      </w:r>
      <w:proofErr w:type="spellEnd"/>
      <w:r w:rsidRPr="00AD699D">
        <w:rPr>
          <w:rFonts w:ascii="Times New Roman" w:hAnsi="Times New Roman" w:cs="Times New Roman"/>
        </w:rPr>
        <w:t xml:space="preserve"> has a long-standing presence in traditional and folk medicine practices, particularly among tribal communities in southern India. Its therapeutic applications have been shaped by indigenous knowledge systems passed down through generations, where local healers recognize its potential for treating a variety of ailments, particularly those related to the skin, inflammation, and wounds.</w:t>
      </w:r>
    </w:p>
    <w:p w14:paraId="63380739"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Historically, this plant has been used in tribal medicine systems by communities residing in the Eastern and Western Ghats. Ethnobotanical surveys conducted in Tamil Nadu, Andhra Pradesh, and parts of Karnataka document the use of leaf pastes and decoctions in treating eczema, wounds, skin infections, and itching disorders [18]. The leaves are usually crushed fresh and applied topically to affected areas, or in some instances, boiled and used as a wash for infected skin. The antiseptic and anti-inflammatory properties are commonly cited by traditional healers.</w:t>
      </w:r>
    </w:p>
    <w:p w14:paraId="777A0067"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In tribal practices, the plant has also been used as a febrifuge (to reduce fever), and decoctions made from aerial parts are ingested to alleviate body aches, internal ulcers, and digestive disturbances [19]. Certain ethnic groups have even used the plant in the treatment of snake bites, although such uses remain anecdotal and are not yet scientifically validated [20].</w:t>
      </w:r>
    </w:p>
    <w:p w14:paraId="1E6E626F" w14:textId="4C4BD68D" w:rsidR="00AD699D" w:rsidRPr="00AD699D" w:rsidRDefault="00AD699D" w:rsidP="00AD699D">
      <w:pPr>
        <w:jc w:val="both"/>
        <w:rPr>
          <w:rFonts w:ascii="Times New Roman" w:hAnsi="Times New Roman" w:cs="Times New Roman"/>
        </w:rPr>
      </w:pPr>
      <w:r w:rsidRPr="00AD699D">
        <w:rPr>
          <w:rFonts w:ascii="Times New Roman" w:hAnsi="Times New Roman" w:cs="Times New Roman"/>
        </w:rPr>
        <w:lastRenderedPageBreak/>
        <w:t xml:space="preserve">Unlike more commonly cited </w:t>
      </w:r>
      <w:r w:rsidRPr="00AD699D">
        <w:rPr>
          <w:rFonts w:ascii="Times New Roman" w:hAnsi="Times New Roman" w:cs="Times New Roman"/>
          <w:i/>
          <w:iCs/>
        </w:rPr>
        <w:t>Crotalaria</w:t>
      </w:r>
      <w:r w:rsidRPr="00AD699D">
        <w:rPr>
          <w:rFonts w:ascii="Times New Roman" w:hAnsi="Times New Roman" w:cs="Times New Roman"/>
        </w:rPr>
        <w:t xml:space="preserve"> species such as </w:t>
      </w:r>
      <w:r w:rsidRPr="00AD699D">
        <w:rPr>
          <w:rFonts w:ascii="Times New Roman" w:hAnsi="Times New Roman" w:cs="Times New Roman"/>
          <w:i/>
          <w:iCs/>
        </w:rPr>
        <w:t>C. juncea</w:t>
      </w:r>
      <w:r w:rsidRPr="00AD699D">
        <w:rPr>
          <w:rFonts w:ascii="Times New Roman" w:hAnsi="Times New Roman" w:cs="Times New Roman"/>
        </w:rPr>
        <w:t xml:space="preserve"> or </w:t>
      </w:r>
      <w:r w:rsidRPr="00AD699D">
        <w:rPr>
          <w:rFonts w:ascii="Times New Roman" w:hAnsi="Times New Roman" w:cs="Times New Roman"/>
          <w:i/>
          <w:iCs/>
        </w:rPr>
        <w:t>C. retusa</w:t>
      </w:r>
      <w:r w:rsidRPr="00AD699D">
        <w:rPr>
          <w:rFonts w:ascii="Times New Roman" w:hAnsi="Times New Roman" w:cs="Times New Roman"/>
        </w:rPr>
        <w:t xml:space="preserve">, </w:t>
      </w:r>
      <w:r w:rsidRPr="00AD699D">
        <w:rPr>
          <w:rFonts w:ascii="Times New Roman" w:hAnsi="Times New Roman" w:cs="Times New Roman"/>
          <w:i/>
          <w:iCs/>
        </w:rPr>
        <w:t xml:space="preserve">C. </w:t>
      </w:r>
      <w:proofErr w:type="spellStart"/>
      <w:r w:rsidRPr="00AD699D">
        <w:rPr>
          <w:rFonts w:ascii="Times New Roman" w:hAnsi="Times New Roman" w:cs="Times New Roman"/>
          <w:i/>
          <w:iCs/>
        </w:rPr>
        <w:t>multibracteata</w:t>
      </w:r>
      <w:proofErr w:type="spellEnd"/>
      <w:r w:rsidRPr="00AD699D">
        <w:rPr>
          <w:rFonts w:ascii="Times New Roman" w:hAnsi="Times New Roman" w:cs="Times New Roman"/>
        </w:rPr>
        <w:t xml:space="preserve"> is not widely referenced in classical Ayurvedic texts, likely due to its limited geographic distribution and the specificity of its traditional use. However, the pharmacological actions ascribed to it by tribal healers</w:t>
      </w:r>
      <w:r>
        <w:rPr>
          <w:rFonts w:ascii="Times New Roman" w:hAnsi="Times New Roman" w:cs="Times New Roman"/>
        </w:rPr>
        <w:t xml:space="preserve"> </w:t>
      </w:r>
      <w:r w:rsidRPr="00AD699D">
        <w:rPr>
          <w:rFonts w:ascii="Times New Roman" w:hAnsi="Times New Roman" w:cs="Times New Roman"/>
        </w:rPr>
        <w:t>wound healing, detoxification, and pain relief</w:t>
      </w:r>
      <w:r>
        <w:rPr>
          <w:rFonts w:ascii="Times New Roman" w:hAnsi="Times New Roman" w:cs="Times New Roman"/>
        </w:rPr>
        <w:t xml:space="preserve"> </w:t>
      </w:r>
      <w:r w:rsidRPr="00AD699D">
        <w:rPr>
          <w:rFonts w:ascii="Times New Roman" w:hAnsi="Times New Roman" w:cs="Times New Roman"/>
        </w:rPr>
        <w:t>closely mirror Ayurvedic principles, suggesting potential for integration into formal herbal pharmacopoeias pending further phytochemical and clinical validation.</w:t>
      </w:r>
    </w:p>
    <w:p w14:paraId="0BC30F46"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In many rural villages, the plant also plays a cultural role, often used in local rituals for cleansing wounds or during postpartum care for women. The easy availability of the plant in dryland fields and forest margins has made it a low-cost and accessible remedy, especially in areas where modern healthcare infrastructure is lacking.</w:t>
      </w:r>
    </w:p>
    <w:p w14:paraId="552DA6D4"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 xml:space="preserve">Despite this ethnobotanical importance, scientific literature remains scarce, and systematic </w:t>
      </w:r>
      <w:proofErr w:type="spellStart"/>
      <w:r w:rsidRPr="00AD699D">
        <w:rPr>
          <w:rFonts w:ascii="Times New Roman" w:hAnsi="Times New Roman" w:cs="Times New Roman"/>
        </w:rPr>
        <w:t>pharmacognostic</w:t>
      </w:r>
      <w:proofErr w:type="spellEnd"/>
      <w:r w:rsidRPr="00AD699D">
        <w:rPr>
          <w:rFonts w:ascii="Times New Roman" w:hAnsi="Times New Roman" w:cs="Times New Roman"/>
        </w:rPr>
        <w:t xml:space="preserve"> documentation of </w:t>
      </w:r>
      <w:r w:rsidRPr="00AD699D">
        <w:rPr>
          <w:rFonts w:ascii="Times New Roman" w:hAnsi="Times New Roman" w:cs="Times New Roman"/>
          <w:i/>
          <w:iCs/>
        </w:rPr>
        <w:t xml:space="preserve">C. </w:t>
      </w:r>
      <w:proofErr w:type="spellStart"/>
      <w:r w:rsidRPr="00AD699D">
        <w:rPr>
          <w:rFonts w:ascii="Times New Roman" w:hAnsi="Times New Roman" w:cs="Times New Roman"/>
          <w:i/>
          <w:iCs/>
        </w:rPr>
        <w:t>multibracteata</w:t>
      </w:r>
      <w:proofErr w:type="spellEnd"/>
      <w:r w:rsidRPr="00AD699D">
        <w:rPr>
          <w:rFonts w:ascii="Times New Roman" w:hAnsi="Times New Roman" w:cs="Times New Roman"/>
        </w:rPr>
        <w:t xml:space="preserve"> is minimal. This underscores the urgent need for ethnopharmacological validation, bioactive compound isolation, and toxicological assessment. Preserving the indigenous knowledge surrounding this species could significantly contribute to the development of plant-based, region-specific therapeutic agents and support biocultural conservation efforts [21].</w:t>
      </w:r>
    </w:p>
    <w:tbl>
      <w:tblPr>
        <w:tblStyle w:val="TableGrid"/>
        <w:tblW w:w="10710" w:type="dxa"/>
        <w:tblInd w:w="-725" w:type="dxa"/>
        <w:tblLook w:val="04A0" w:firstRow="1" w:lastRow="0" w:firstColumn="1" w:lastColumn="0" w:noHBand="0" w:noVBand="1"/>
      </w:tblPr>
      <w:tblGrid>
        <w:gridCol w:w="1121"/>
        <w:gridCol w:w="2145"/>
        <w:gridCol w:w="2213"/>
        <w:gridCol w:w="1658"/>
        <w:gridCol w:w="2853"/>
        <w:gridCol w:w="720"/>
      </w:tblGrid>
      <w:tr w:rsidR="00AD699D" w:rsidRPr="00AD699D" w14:paraId="54ACBADB" w14:textId="77777777" w:rsidTr="00AD699D">
        <w:tc>
          <w:tcPr>
            <w:tcW w:w="0" w:type="auto"/>
            <w:hideMark/>
          </w:tcPr>
          <w:p w14:paraId="51C94EDC"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Plant Part Used</w:t>
            </w:r>
          </w:p>
        </w:tc>
        <w:tc>
          <w:tcPr>
            <w:tcW w:w="0" w:type="auto"/>
            <w:hideMark/>
          </w:tcPr>
          <w:p w14:paraId="32E33852"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Form/Preparation</w:t>
            </w:r>
          </w:p>
        </w:tc>
        <w:tc>
          <w:tcPr>
            <w:tcW w:w="0" w:type="auto"/>
            <w:hideMark/>
          </w:tcPr>
          <w:p w14:paraId="51F478EE"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Traditional Use</w:t>
            </w:r>
          </w:p>
        </w:tc>
        <w:tc>
          <w:tcPr>
            <w:tcW w:w="0" w:type="auto"/>
            <w:hideMark/>
          </w:tcPr>
          <w:p w14:paraId="2AD025D1"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Mode of Application</w:t>
            </w:r>
          </w:p>
        </w:tc>
        <w:tc>
          <w:tcPr>
            <w:tcW w:w="2853" w:type="dxa"/>
            <w:hideMark/>
          </w:tcPr>
          <w:p w14:paraId="0E479739"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Region/Community</w:t>
            </w:r>
          </w:p>
        </w:tc>
        <w:tc>
          <w:tcPr>
            <w:tcW w:w="720" w:type="dxa"/>
            <w:hideMark/>
          </w:tcPr>
          <w:p w14:paraId="6B812671"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Ref</w:t>
            </w:r>
          </w:p>
        </w:tc>
      </w:tr>
      <w:tr w:rsidR="00AD699D" w:rsidRPr="00AD699D" w14:paraId="2E87316D" w14:textId="77777777" w:rsidTr="00AD699D">
        <w:tc>
          <w:tcPr>
            <w:tcW w:w="0" w:type="auto"/>
            <w:hideMark/>
          </w:tcPr>
          <w:p w14:paraId="01893C81"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Leaves</w:t>
            </w:r>
          </w:p>
        </w:tc>
        <w:tc>
          <w:tcPr>
            <w:tcW w:w="0" w:type="auto"/>
            <w:hideMark/>
          </w:tcPr>
          <w:p w14:paraId="08E2C54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Crushed into paste</w:t>
            </w:r>
          </w:p>
        </w:tc>
        <w:tc>
          <w:tcPr>
            <w:tcW w:w="0" w:type="auto"/>
            <w:hideMark/>
          </w:tcPr>
          <w:p w14:paraId="7EB71945"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Treatment of eczema, skin rashes, infections</w:t>
            </w:r>
          </w:p>
        </w:tc>
        <w:tc>
          <w:tcPr>
            <w:tcW w:w="0" w:type="auto"/>
            <w:hideMark/>
          </w:tcPr>
          <w:p w14:paraId="515167A9"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Topical application</w:t>
            </w:r>
          </w:p>
        </w:tc>
        <w:tc>
          <w:tcPr>
            <w:tcW w:w="2853" w:type="dxa"/>
            <w:hideMark/>
          </w:tcPr>
          <w:p w14:paraId="3B029CBB"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Tamil Nadu (</w:t>
            </w:r>
            <w:proofErr w:type="spellStart"/>
            <w:r w:rsidRPr="00AD699D">
              <w:rPr>
                <w:rFonts w:ascii="Times New Roman" w:hAnsi="Times New Roman" w:cs="Times New Roman"/>
              </w:rPr>
              <w:t>Irula</w:t>
            </w:r>
            <w:proofErr w:type="spellEnd"/>
            <w:r w:rsidRPr="00AD699D">
              <w:rPr>
                <w:rFonts w:ascii="Times New Roman" w:hAnsi="Times New Roman" w:cs="Times New Roman"/>
              </w:rPr>
              <w:t xml:space="preserve"> tribes)</w:t>
            </w:r>
          </w:p>
        </w:tc>
        <w:tc>
          <w:tcPr>
            <w:tcW w:w="720" w:type="dxa"/>
            <w:hideMark/>
          </w:tcPr>
          <w:p w14:paraId="6E437FB5"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[18]</w:t>
            </w:r>
          </w:p>
        </w:tc>
      </w:tr>
      <w:tr w:rsidR="00AD699D" w:rsidRPr="00AD699D" w14:paraId="00AAC2DE" w14:textId="77777777" w:rsidTr="00AD699D">
        <w:tc>
          <w:tcPr>
            <w:tcW w:w="0" w:type="auto"/>
            <w:hideMark/>
          </w:tcPr>
          <w:p w14:paraId="137FE10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Whole plant</w:t>
            </w:r>
          </w:p>
        </w:tc>
        <w:tc>
          <w:tcPr>
            <w:tcW w:w="0" w:type="auto"/>
            <w:hideMark/>
          </w:tcPr>
          <w:p w14:paraId="2BE815B2"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Decoction</w:t>
            </w:r>
          </w:p>
        </w:tc>
        <w:tc>
          <w:tcPr>
            <w:tcW w:w="0" w:type="auto"/>
            <w:hideMark/>
          </w:tcPr>
          <w:p w14:paraId="01950CD5"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Fever, internal inflammation</w:t>
            </w:r>
          </w:p>
        </w:tc>
        <w:tc>
          <w:tcPr>
            <w:tcW w:w="0" w:type="auto"/>
            <w:hideMark/>
          </w:tcPr>
          <w:p w14:paraId="4E19FF93"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Oral consumption</w:t>
            </w:r>
          </w:p>
        </w:tc>
        <w:tc>
          <w:tcPr>
            <w:tcW w:w="2853" w:type="dxa"/>
            <w:hideMark/>
          </w:tcPr>
          <w:p w14:paraId="566E8D15" w14:textId="77777777" w:rsidR="00AD699D" w:rsidRPr="00AD699D" w:rsidRDefault="00AD699D" w:rsidP="00AD699D">
            <w:pPr>
              <w:spacing w:after="160" w:line="278" w:lineRule="auto"/>
              <w:rPr>
                <w:rFonts w:ascii="Times New Roman" w:hAnsi="Times New Roman" w:cs="Times New Roman"/>
              </w:rPr>
            </w:pPr>
            <w:proofErr w:type="spellStart"/>
            <w:r w:rsidRPr="00AD699D">
              <w:rPr>
                <w:rFonts w:ascii="Times New Roman" w:hAnsi="Times New Roman" w:cs="Times New Roman"/>
              </w:rPr>
              <w:t>Sirumalai</w:t>
            </w:r>
            <w:proofErr w:type="spellEnd"/>
            <w:r w:rsidRPr="00AD699D">
              <w:rPr>
                <w:rFonts w:ascii="Times New Roman" w:hAnsi="Times New Roman" w:cs="Times New Roman"/>
              </w:rPr>
              <w:t xml:space="preserve"> Hills (</w:t>
            </w:r>
            <w:proofErr w:type="spellStart"/>
            <w:r w:rsidRPr="00AD699D">
              <w:rPr>
                <w:rFonts w:ascii="Times New Roman" w:hAnsi="Times New Roman" w:cs="Times New Roman"/>
              </w:rPr>
              <w:t>Paliyar</w:t>
            </w:r>
            <w:proofErr w:type="spellEnd"/>
            <w:r w:rsidRPr="00AD699D">
              <w:rPr>
                <w:rFonts w:ascii="Times New Roman" w:hAnsi="Times New Roman" w:cs="Times New Roman"/>
              </w:rPr>
              <w:t>)</w:t>
            </w:r>
          </w:p>
        </w:tc>
        <w:tc>
          <w:tcPr>
            <w:tcW w:w="720" w:type="dxa"/>
            <w:hideMark/>
          </w:tcPr>
          <w:p w14:paraId="6A274C66"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[19]</w:t>
            </w:r>
          </w:p>
        </w:tc>
      </w:tr>
      <w:tr w:rsidR="00AD699D" w:rsidRPr="00AD699D" w14:paraId="3E31FC74" w14:textId="77777777" w:rsidTr="00AD699D">
        <w:tc>
          <w:tcPr>
            <w:tcW w:w="0" w:type="auto"/>
            <w:hideMark/>
          </w:tcPr>
          <w:p w14:paraId="32028203"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Leaves</w:t>
            </w:r>
          </w:p>
        </w:tc>
        <w:tc>
          <w:tcPr>
            <w:tcW w:w="0" w:type="auto"/>
            <w:hideMark/>
          </w:tcPr>
          <w:p w14:paraId="25426BE2"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Boiled, used as wash</w:t>
            </w:r>
          </w:p>
        </w:tc>
        <w:tc>
          <w:tcPr>
            <w:tcW w:w="0" w:type="auto"/>
            <w:hideMark/>
          </w:tcPr>
          <w:p w14:paraId="00318453"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Wound cleansing and antiseptic purposes</w:t>
            </w:r>
          </w:p>
        </w:tc>
        <w:tc>
          <w:tcPr>
            <w:tcW w:w="0" w:type="auto"/>
            <w:hideMark/>
          </w:tcPr>
          <w:p w14:paraId="06AE1D5D"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External wash</w:t>
            </w:r>
          </w:p>
        </w:tc>
        <w:tc>
          <w:tcPr>
            <w:tcW w:w="2853" w:type="dxa"/>
            <w:hideMark/>
          </w:tcPr>
          <w:p w14:paraId="60A9334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Andhra Pradesh</w:t>
            </w:r>
          </w:p>
        </w:tc>
        <w:tc>
          <w:tcPr>
            <w:tcW w:w="720" w:type="dxa"/>
            <w:hideMark/>
          </w:tcPr>
          <w:p w14:paraId="5620AA4C"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[20]</w:t>
            </w:r>
          </w:p>
        </w:tc>
      </w:tr>
      <w:tr w:rsidR="00AD699D" w:rsidRPr="00AD699D" w14:paraId="4BF159A8" w14:textId="77777777" w:rsidTr="00AD699D">
        <w:tc>
          <w:tcPr>
            <w:tcW w:w="0" w:type="auto"/>
            <w:hideMark/>
          </w:tcPr>
          <w:p w14:paraId="1EAEB5A0"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Aerial parts</w:t>
            </w:r>
          </w:p>
        </w:tc>
        <w:tc>
          <w:tcPr>
            <w:tcW w:w="0" w:type="auto"/>
            <w:hideMark/>
          </w:tcPr>
          <w:p w14:paraId="2F7A798B"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Decoction</w:t>
            </w:r>
          </w:p>
        </w:tc>
        <w:tc>
          <w:tcPr>
            <w:tcW w:w="0" w:type="auto"/>
            <w:hideMark/>
          </w:tcPr>
          <w:p w14:paraId="089588BD"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Body pain, digestive issues, ulcers</w:t>
            </w:r>
          </w:p>
        </w:tc>
        <w:tc>
          <w:tcPr>
            <w:tcW w:w="0" w:type="auto"/>
            <w:hideMark/>
          </w:tcPr>
          <w:p w14:paraId="6BAB79D3"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Oral consumption</w:t>
            </w:r>
          </w:p>
        </w:tc>
        <w:tc>
          <w:tcPr>
            <w:tcW w:w="2853" w:type="dxa"/>
            <w:hideMark/>
          </w:tcPr>
          <w:p w14:paraId="2C6D7237"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Eastern Ghats</w:t>
            </w:r>
          </w:p>
        </w:tc>
        <w:tc>
          <w:tcPr>
            <w:tcW w:w="720" w:type="dxa"/>
            <w:hideMark/>
          </w:tcPr>
          <w:p w14:paraId="7DC36472"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[19]</w:t>
            </w:r>
          </w:p>
        </w:tc>
      </w:tr>
      <w:tr w:rsidR="00AD699D" w:rsidRPr="00AD699D" w14:paraId="3374390E" w14:textId="77777777" w:rsidTr="00AD699D">
        <w:tc>
          <w:tcPr>
            <w:tcW w:w="0" w:type="auto"/>
            <w:hideMark/>
          </w:tcPr>
          <w:p w14:paraId="05095FC5"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Leaves</w:t>
            </w:r>
          </w:p>
        </w:tc>
        <w:tc>
          <w:tcPr>
            <w:tcW w:w="0" w:type="auto"/>
            <w:hideMark/>
          </w:tcPr>
          <w:p w14:paraId="53ABC4F5"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Crushed and applied</w:t>
            </w:r>
          </w:p>
        </w:tc>
        <w:tc>
          <w:tcPr>
            <w:tcW w:w="0" w:type="auto"/>
            <w:hideMark/>
          </w:tcPr>
          <w:p w14:paraId="7FAFD446"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Snake bite (folk practice, unverified)</w:t>
            </w:r>
          </w:p>
        </w:tc>
        <w:tc>
          <w:tcPr>
            <w:tcW w:w="0" w:type="auto"/>
            <w:hideMark/>
          </w:tcPr>
          <w:p w14:paraId="176F8981"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Topical application</w:t>
            </w:r>
          </w:p>
        </w:tc>
        <w:tc>
          <w:tcPr>
            <w:tcW w:w="2853" w:type="dxa"/>
            <w:hideMark/>
          </w:tcPr>
          <w:p w14:paraId="2CFAC7F2"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Tirunelveli tribal region</w:t>
            </w:r>
          </w:p>
        </w:tc>
        <w:tc>
          <w:tcPr>
            <w:tcW w:w="720" w:type="dxa"/>
            <w:hideMark/>
          </w:tcPr>
          <w:p w14:paraId="2BD55D97"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[18]</w:t>
            </w:r>
          </w:p>
        </w:tc>
      </w:tr>
      <w:tr w:rsidR="00AD699D" w:rsidRPr="00AD699D" w14:paraId="19F227D2" w14:textId="77777777" w:rsidTr="00AD699D">
        <w:tc>
          <w:tcPr>
            <w:tcW w:w="0" w:type="auto"/>
            <w:hideMark/>
          </w:tcPr>
          <w:p w14:paraId="0CBDA7B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Fresh leaves</w:t>
            </w:r>
          </w:p>
        </w:tc>
        <w:tc>
          <w:tcPr>
            <w:tcW w:w="0" w:type="auto"/>
            <w:hideMark/>
          </w:tcPr>
          <w:p w14:paraId="62D7612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Applied post-delivery</w:t>
            </w:r>
          </w:p>
        </w:tc>
        <w:tc>
          <w:tcPr>
            <w:tcW w:w="0" w:type="auto"/>
            <w:hideMark/>
          </w:tcPr>
          <w:p w14:paraId="7BB7214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Postpartum care (believed to aid healing)</w:t>
            </w:r>
          </w:p>
        </w:tc>
        <w:tc>
          <w:tcPr>
            <w:tcW w:w="0" w:type="auto"/>
            <w:hideMark/>
          </w:tcPr>
          <w:p w14:paraId="3B84BA9F"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Topical, external use</w:t>
            </w:r>
          </w:p>
        </w:tc>
        <w:tc>
          <w:tcPr>
            <w:tcW w:w="2853" w:type="dxa"/>
            <w:hideMark/>
          </w:tcPr>
          <w:p w14:paraId="6DF83C27"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Rural Tamil Nadu</w:t>
            </w:r>
          </w:p>
        </w:tc>
        <w:tc>
          <w:tcPr>
            <w:tcW w:w="720" w:type="dxa"/>
            <w:hideMark/>
          </w:tcPr>
          <w:p w14:paraId="67288E90"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[21]</w:t>
            </w:r>
          </w:p>
        </w:tc>
      </w:tr>
    </w:tbl>
    <w:p w14:paraId="5CD1EF98" w14:textId="0A8F7550" w:rsidR="00D36869" w:rsidRDefault="00AD699D" w:rsidP="00AD699D">
      <w:pPr>
        <w:jc w:val="center"/>
        <w:rPr>
          <w:rFonts w:ascii="Times New Roman" w:hAnsi="Times New Roman" w:cs="Times New Roman"/>
        </w:rPr>
      </w:pPr>
      <w:r w:rsidRPr="00AD699D">
        <w:rPr>
          <w:rFonts w:ascii="Times New Roman" w:hAnsi="Times New Roman" w:cs="Times New Roman"/>
        </w:rPr>
        <w:t>Table</w:t>
      </w:r>
      <w:r>
        <w:rPr>
          <w:rFonts w:ascii="Times New Roman" w:hAnsi="Times New Roman" w:cs="Times New Roman"/>
        </w:rPr>
        <w:t xml:space="preserve"> No </w:t>
      </w:r>
      <w:proofErr w:type="gramStart"/>
      <w:r>
        <w:rPr>
          <w:rFonts w:ascii="Times New Roman" w:hAnsi="Times New Roman" w:cs="Times New Roman"/>
        </w:rPr>
        <w:t xml:space="preserve">01 </w:t>
      </w:r>
      <w:r w:rsidRPr="00AD699D">
        <w:rPr>
          <w:rFonts w:ascii="Times New Roman" w:hAnsi="Times New Roman" w:cs="Times New Roman"/>
        </w:rPr>
        <w:t>:</w:t>
      </w:r>
      <w:proofErr w:type="gramEnd"/>
      <w:r w:rsidRPr="00AD699D">
        <w:rPr>
          <w:rFonts w:ascii="Times New Roman" w:hAnsi="Times New Roman" w:cs="Times New Roman"/>
        </w:rPr>
        <w:t xml:space="preserve"> Traditional Uses of </w:t>
      </w:r>
      <w:r w:rsidRPr="00AD699D">
        <w:rPr>
          <w:rFonts w:ascii="Times New Roman" w:hAnsi="Times New Roman" w:cs="Times New Roman"/>
          <w:i/>
          <w:iCs/>
        </w:rPr>
        <w:t xml:space="preserve">Crotalaria </w:t>
      </w:r>
      <w:proofErr w:type="spellStart"/>
      <w:r w:rsidRPr="00AD699D">
        <w:rPr>
          <w:rFonts w:ascii="Times New Roman" w:hAnsi="Times New Roman" w:cs="Times New Roman"/>
          <w:i/>
          <w:iCs/>
        </w:rPr>
        <w:t>multibracteata</w:t>
      </w:r>
      <w:proofErr w:type="spellEnd"/>
    </w:p>
    <w:p w14:paraId="22B4691B" w14:textId="77777777" w:rsidR="00AD699D" w:rsidRPr="00AD699D" w:rsidRDefault="00AD699D" w:rsidP="00AD699D">
      <w:pPr>
        <w:rPr>
          <w:rFonts w:ascii="Times New Roman" w:hAnsi="Times New Roman" w:cs="Times New Roman"/>
          <w:b/>
          <w:bCs/>
        </w:rPr>
      </w:pPr>
      <w:r w:rsidRPr="00AD699D">
        <w:rPr>
          <w:rFonts w:ascii="Times New Roman" w:hAnsi="Times New Roman" w:cs="Times New Roman"/>
          <w:b/>
          <w:bCs/>
        </w:rPr>
        <w:lastRenderedPageBreak/>
        <w:t xml:space="preserve">Techniques for Extraction, Isolation, and Identification of Phytochemicals from </w:t>
      </w:r>
      <w:r w:rsidRPr="00AD699D">
        <w:rPr>
          <w:rFonts w:ascii="Times New Roman" w:hAnsi="Times New Roman" w:cs="Times New Roman"/>
          <w:b/>
          <w:bCs/>
          <w:i/>
          <w:iCs/>
        </w:rPr>
        <w:t xml:space="preserve">Crotalaria </w:t>
      </w:r>
      <w:proofErr w:type="spellStart"/>
      <w:r w:rsidRPr="00AD699D">
        <w:rPr>
          <w:rFonts w:ascii="Times New Roman" w:hAnsi="Times New Roman" w:cs="Times New Roman"/>
          <w:b/>
          <w:bCs/>
          <w:i/>
          <w:iCs/>
        </w:rPr>
        <w:t>multibracteata</w:t>
      </w:r>
      <w:proofErr w:type="spellEnd"/>
    </w:p>
    <w:p w14:paraId="7E30EC00"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 xml:space="preserve">Phytochemical exploration of </w:t>
      </w:r>
      <w:r w:rsidRPr="00AD699D">
        <w:rPr>
          <w:rFonts w:ascii="Times New Roman" w:hAnsi="Times New Roman" w:cs="Times New Roman"/>
          <w:i/>
          <w:iCs/>
        </w:rPr>
        <w:t xml:space="preserve">Crotalaria </w:t>
      </w:r>
      <w:proofErr w:type="spellStart"/>
      <w:r w:rsidRPr="00AD699D">
        <w:rPr>
          <w:rFonts w:ascii="Times New Roman" w:hAnsi="Times New Roman" w:cs="Times New Roman"/>
          <w:i/>
          <w:iCs/>
        </w:rPr>
        <w:t>multibracteata</w:t>
      </w:r>
      <w:proofErr w:type="spellEnd"/>
      <w:r w:rsidRPr="00AD699D">
        <w:rPr>
          <w:rFonts w:ascii="Times New Roman" w:hAnsi="Times New Roman" w:cs="Times New Roman"/>
        </w:rPr>
        <w:t xml:space="preserve"> relies on well-established methodologies used in medicinal plant research. These include sequential extraction, chromatographic separation, and spectroscopic techniques for compound characterization. Although literature on </w:t>
      </w:r>
      <w:r w:rsidRPr="00AD699D">
        <w:rPr>
          <w:rFonts w:ascii="Times New Roman" w:hAnsi="Times New Roman" w:cs="Times New Roman"/>
          <w:i/>
          <w:iCs/>
        </w:rPr>
        <w:t xml:space="preserve">C. </w:t>
      </w:r>
      <w:proofErr w:type="spellStart"/>
      <w:r w:rsidRPr="00AD699D">
        <w:rPr>
          <w:rFonts w:ascii="Times New Roman" w:hAnsi="Times New Roman" w:cs="Times New Roman"/>
          <w:i/>
          <w:iCs/>
        </w:rPr>
        <w:t>multibracteata</w:t>
      </w:r>
      <w:proofErr w:type="spellEnd"/>
      <w:r w:rsidRPr="00AD699D">
        <w:rPr>
          <w:rFonts w:ascii="Times New Roman" w:hAnsi="Times New Roman" w:cs="Times New Roman"/>
        </w:rPr>
        <w:t xml:space="preserve"> itself is sparse, methodologies employed for related </w:t>
      </w:r>
      <w:r w:rsidRPr="00AD699D">
        <w:rPr>
          <w:rFonts w:ascii="Times New Roman" w:hAnsi="Times New Roman" w:cs="Times New Roman"/>
          <w:i/>
          <w:iCs/>
        </w:rPr>
        <w:t>Crotalaria</w:t>
      </w:r>
      <w:r w:rsidRPr="00AD699D">
        <w:rPr>
          <w:rFonts w:ascii="Times New Roman" w:hAnsi="Times New Roman" w:cs="Times New Roman"/>
        </w:rPr>
        <w:t xml:space="preserve"> species offer a scientific framework that can be extrapolated for future studies.</w:t>
      </w:r>
    </w:p>
    <w:p w14:paraId="35DAA8DF" w14:textId="6BEA2742" w:rsidR="00AD699D" w:rsidRPr="00AD699D" w:rsidRDefault="00AD699D" w:rsidP="00AD699D">
      <w:pPr>
        <w:jc w:val="both"/>
        <w:rPr>
          <w:rFonts w:ascii="Times New Roman" w:hAnsi="Times New Roman" w:cs="Times New Roman"/>
          <w:b/>
          <w:bCs/>
        </w:rPr>
      </w:pPr>
      <w:r w:rsidRPr="00AD699D">
        <w:rPr>
          <w:rFonts w:ascii="Times New Roman" w:hAnsi="Times New Roman" w:cs="Times New Roman"/>
          <w:b/>
          <w:bCs/>
        </w:rPr>
        <w:t>Extraction Methods</w:t>
      </w:r>
    </w:p>
    <w:p w14:paraId="208D4A01"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The initial step in phytochemical investigation involves extraction of bioactive constituents using solvents of varying polarity. Soxhlet extraction, maceration, and ultrasound-assisted extraction (UAE) are the most commonly used techniques.</w:t>
      </w:r>
    </w:p>
    <w:p w14:paraId="675CDDC8"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Soxhlet Extraction: This classical method involves continuous percolation of powdered plant material using organic solvents such as methanol, ethanol, chloroform, or petroleum ether. Methanol and ethanol are particularly favored for their ability to dissolve a broad range of polar and semi-polar compounds like alkaloids, flavonoids, and glycosides [22].</w:t>
      </w:r>
    </w:p>
    <w:p w14:paraId="70B51E31"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Maceration: Simpler but time-intensive, maceration involves soaking dried plant material in a suitable solvent at room temperature, typically for 48–72 hours. This method is suitable for heat-sensitive constituents and is often followed by filtration and solvent evaporation under reduced pressure [23].</w:t>
      </w:r>
    </w:p>
    <w:p w14:paraId="6F542426"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Ultrasound-Assisted Extraction (UAE): UAE enhances mass transfer between solvent and plant tissue by employing ultrasonic waves, which create micro-cavitation and disrupt plant cell walls. This technique is advantageous for reducing extraction time and increasing yield, especially for heat-labile flavonoids and polyphenols [24].</w:t>
      </w:r>
    </w:p>
    <w:p w14:paraId="09FBCACE"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The choice of solvent and method depends on the target compound group—nonpolar solvents like hexane are used for lipids and waxes, while polar solvents like methanol or water target phenolics, alkaloids, and tannins.</w:t>
      </w:r>
    </w:p>
    <w:p w14:paraId="1BA00433" w14:textId="758D12CC" w:rsidR="00AD699D" w:rsidRPr="00AD699D" w:rsidRDefault="00AD699D" w:rsidP="00AD699D">
      <w:pPr>
        <w:jc w:val="both"/>
        <w:rPr>
          <w:rFonts w:ascii="Times New Roman" w:hAnsi="Times New Roman" w:cs="Times New Roman"/>
          <w:b/>
          <w:bCs/>
        </w:rPr>
      </w:pPr>
      <w:r w:rsidRPr="00AD699D">
        <w:rPr>
          <w:rFonts w:ascii="Times New Roman" w:hAnsi="Times New Roman" w:cs="Times New Roman"/>
          <w:b/>
          <w:bCs/>
        </w:rPr>
        <w:t>Isolation Techniques</w:t>
      </w:r>
    </w:p>
    <w:p w14:paraId="64CDD751"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Once crude extracts are obtained, fractionation and purification are essential to isolate individual compounds. Several chromatographic techniques are employed:</w:t>
      </w:r>
    </w:p>
    <w:p w14:paraId="47CA2082"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 xml:space="preserve">Column Chromatography (CC): Using stationary phases such as silica gel or alumina, column chromatography separates extract components based on polarity. Elution is typically done using gradients of hexane, ethyl acetate, or methanol. This is a foundational technique for isolating flavonoids, alkaloids, and saponins from </w:t>
      </w:r>
      <w:r w:rsidRPr="00AD699D">
        <w:rPr>
          <w:rFonts w:ascii="Times New Roman" w:hAnsi="Times New Roman" w:cs="Times New Roman"/>
          <w:i/>
          <w:iCs/>
        </w:rPr>
        <w:t>Crotalaria</w:t>
      </w:r>
      <w:r w:rsidRPr="00AD699D">
        <w:rPr>
          <w:rFonts w:ascii="Times New Roman" w:hAnsi="Times New Roman" w:cs="Times New Roman"/>
        </w:rPr>
        <w:t xml:space="preserve"> species [25].</w:t>
      </w:r>
    </w:p>
    <w:p w14:paraId="304DEC27"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lastRenderedPageBreak/>
        <w:t xml:space="preserve">Thin Layer Chromatography (TLC): TLC serves as a quick, cost-effective tool for preliminary analysis and monitoring of compound separation. It helps detect major classes such as flavonoids (e.g., with </w:t>
      </w:r>
      <w:proofErr w:type="spellStart"/>
      <w:r w:rsidRPr="00AD699D">
        <w:rPr>
          <w:rFonts w:ascii="Times New Roman" w:hAnsi="Times New Roman" w:cs="Times New Roman"/>
        </w:rPr>
        <w:t>AlCl</w:t>
      </w:r>
      <w:proofErr w:type="spellEnd"/>
      <w:r w:rsidRPr="00AD699D">
        <w:rPr>
          <w:rFonts w:ascii="Times New Roman" w:hAnsi="Times New Roman" w:cs="Times New Roman"/>
        </w:rPr>
        <w:t>₃ reagent), terpenoids, and alkaloids [26].</w:t>
      </w:r>
    </w:p>
    <w:p w14:paraId="38694E3D"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Preparative High-Performance Liquid Chromatography (prep-HPLC): For high-resolution separation of pure compounds, prep-HPLC is employed. This technique is particularly suitable for isolating bioactive flavonoids, alkaloids, and rare phytoconstituents from small quantities of extract [27].</w:t>
      </w:r>
    </w:p>
    <w:p w14:paraId="3AEB4B3C"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Liquid–Liquid Partitioning: Often used prior to chromatography, liquid–liquid extraction helps in partitioning crude extracts into different solvent fractions (e.g., chloroform, ethyl acetate, butanol) to enrich compound classes before purification.</w:t>
      </w:r>
    </w:p>
    <w:p w14:paraId="6FB204CD" w14:textId="17A659A6" w:rsidR="00AD699D" w:rsidRPr="00AD699D" w:rsidRDefault="00AD699D" w:rsidP="00AD699D">
      <w:pPr>
        <w:jc w:val="both"/>
        <w:rPr>
          <w:rFonts w:ascii="Times New Roman" w:hAnsi="Times New Roman" w:cs="Times New Roman"/>
          <w:b/>
          <w:bCs/>
        </w:rPr>
      </w:pPr>
      <w:r w:rsidRPr="00AD699D">
        <w:rPr>
          <w:rFonts w:ascii="Times New Roman" w:hAnsi="Times New Roman" w:cs="Times New Roman"/>
          <w:b/>
          <w:bCs/>
        </w:rPr>
        <w:t>Identification and Structural Elucidation</w:t>
      </w:r>
    </w:p>
    <w:p w14:paraId="1B6F1BAB"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Following isolation, structural characterization of phytochemicals is carried out using spectroscopic and spectrometric techniques, including:</w:t>
      </w:r>
    </w:p>
    <w:p w14:paraId="108537E1" w14:textId="1F45D3FC" w:rsidR="00AD699D" w:rsidRPr="00AD699D" w:rsidRDefault="00AD699D" w:rsidP="00AD699D">
      <w:pPr>
        <w:jc w:val="both"/>
        <w:rPr>
          <w:rFonts w:ascii="Times New Roman" w:hAnsi="Times New Roman" w:cs="Times New Roman"/>
        </w:rPr>
      </w:pPr>
      <w:r>
        <w:rPr>
          <w:rFonts w:ascii="Times New Roman" w:hAnsi="Times New Roman" w:cs="Times New Roman"/>
        </w:rPr>
        <w:t xml:space="preserve">UV </w:t>
      </w:r>
      <w:r w:rsidRPr="00AD699D">
        <w:rPr>
          <w:rFonts w:ascii="Times New Roman" w:hAnsi="Times New Roman" w:cs="Times New Roman"/>
        </w:rPr>
        <w:t>Visible Spectroscopy: Used for the initial identification of phenolic compounds and flavonoids by analyzing their absorption maxima [28].</w:t>
      </w:r>
    </w:p>
    <w:p w14:paraId="61BD7486"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Fourier-Transform Infrared Spectroscopy (FTIR): Provides information on functional groups (e.g., OH, COOH, NH₂) present in the compound, aiding in preliminary structure prediction [29].</w:t>
      </w:r>
    </w:p>
    <w:p w14:paraId="3C2C24F4"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Gas Chromatography–Mass Spectrometry (GC–MS): Particularly useful for volatile constituents and low-molecular-weight phytochemicals. It combines separation and mass analysis to identify unknown compounds using library matching [30].</w:t>
      </w:r>
    </w:p>
    <w:p w14:paraId="04926A2E"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Liquid Chromatography–Mass Spectrometry (LC–MS): Employed for thermolabile and non-volatile compounds, LC–MS enables molecular weight determination and fragmentation analysis.</w:t>
      </w:r>
    </w:p>
    <w:p w14:paraId="00000968"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Nuclear Magnetic Resonance (NMR) Spectroscopy: Both ¹H and ¹³C NMR are used for detailed structural elucidation. NMR provides insight into the molecular framework and stereochemistry of isolated phytochemicals such as flavonoids, alkaloids, and terpenoids [31].</w:t>
      </w:r>
    </w:p>
    <w:p w14:paraId="1C759215"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X-ray Crystallography: For compounds that crystallize well, this technique can offer unambiguous confirmation of molecular structure, though it is less commonly applied due to complexity and cost.</w:t>
      </w:r>
    </w:p>
    <w:tbl>
      <w:tblPr>
        <w:tblStyle w:val="TableGrid"/>
        <w:tblW w:w="10620" w:type="dxa"/>
        <w:tblInd w:w="-635" w:type="dxa"/>
        <w:tblLook w:val="04A0" w:firstRow="1" w:lastRow="0" w:firstColumn="1" w:lastColumn="0" w:noHBand="0" w:noVBand="1"/>
      </w:tblPr>
      <w:tblGrid>
        <w:gridCol w:w="1843"/>
        <w:gridCol w:w="2207"/>
        <w:gridCol w:w="3113"/>
        <w:gridCol w:w="2737"/>
        <w:gridCol w:w="720"/>
      </w:tblGrid>
      <w:tr w:rsidR="00AD699D" w:rsidRPr="00AD699D" w14:paraId="1CBFCF93" w14:textId="77777777" w:rsidTr="00AD699D">
        <w:tc>
          <w:tcPr>
            <w:tcW w:w="1843" w:type="dxa"/>
            <w:hideMark/>
          </w:tcPr>
          <w:p w14:paraId="450AEA79"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Technique</w:t>
            </w:r>
          </w:p>
        </w:tc>
        <w:tc>
          <w:tcPr>
            <w:tcW w:w="2207" w:type="dxa"/>
            <w:hideMark/>
          </w:tcPr>
          <w:p w14:paraId="4ED20630"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Purpose</w:t>
            </w:r>
          </w:p>
        </w:tc>
        <w:tc>
          <w:tcPr>
            <w:tcW w:w="3113" w:type="dxa"/>
            <w:hideMark/>
          </w:tcPr>
          <w:p w14:paraId="6A443E4B"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Solvents / Tools Used</w:t>
            </w:r>
          </w:p>
        </w:tc>
        <w:tc>
          <w:tcPr>
            <w:tcW w:w="2737" w:type="dxa"/>
            <w:hideMark/>
          </w:tcPr>
          <w:p w14:paraId="5716C1CD"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Target Phytochemicals</w:t>
            </w:r>
          </w:p>
        </w:tc>
        <w:tc>
          <w:tcPr>
            <w:tcW w:w="720" w:type="dxa"/>
            <w:hideMark/>
          </w:tcPr>
          <w:p w14:paraId="1F15A74C"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Ref</w:t>
            </w:r>
          </w:p>
        </w:tc>
      </w:tr>
      <w:tr w:rsidR="00AD699D" w:rsidRPr="00AD699D" w14:paraId="3043F833" w14:textId="77777777" w:rsidTr="00AD699D">
        <w:tc>
          <w:tcPr>
            <w:tcW w:w="1843" w:type="dxa"/>
            <w:hideMark/>
          </w:tcPr>
          <w:p w14:paraId="058B006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Soxhlet Extraction</w:t>
            </w:r>
          </w:p>
        </w:tc>
        <w:tc>
          <w:tcPr>
            <w:tcW w:w="2207" w:type="dxa"/>
            <w:hideMark/>
          </w:tcPr>
          <w:p w14:paraId="409AA27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Exhaustive extraction of phytochemicals</w:t>
            </w:r>
          </w:p>
        </w:tc>
        <w:tc>
          <w:tcPr>
            <w:tcW w:w="3113" w:type="dxa"/>
            <w:hideMark/>
          </w:tcPr>
          <w:p w14:paraId="07579A8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Ethanol, methanol, chloroform, petroleum ether</w:t>
            </w:r>
          </w:p>
        </w:tc>
        <w:tc>
          <w:tcPr>
            <w:tcW w:w="2737" w:type="dxa"/>
            <w:hideMark/>
          </w:tcPr>
          <w:p w14:paraId="46D00B1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Flavonoids, alkaloids, terpenoids</w:t>
            </w:r>
          </w:p>
        </w:tc>
        <w:tc>
          <w:tcPr>
            <w:tcW w:w="720" w:type="dxa"/>
            <w:hideMark/>
          </w:tcPr>
          <w:p w14:paraId="3645D68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[22]</w:t>
            </w:r>
          </w:p>
        </w:tc>
      </w:tr>
      <w:tr w:rsidR="00AD699D" w:rsidRPr="00AD699D" w14:paraId="13920D3D" w14:textId="77777777" w:rsidTr="00AD699D">
        <w:tc>
          <w:tcPr>
            <w:tcW w:w="1843" w:type="dxa"/>
            <w:hideMark/>
          </w:tcPr>
          <w:p w14:paraId="3A95795F"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lastRenderedPageBreak/>
              <w:t>Maceration</w:t>
            </w:r>
          </w:p>
        </w:tc>
        <w:tc>
          <w:tcPr>
            <w:tcW w:w="2207" w:type="dxa"/>
            <w:hideMark/>
          </w:tcPr>
          <w:p w14:paraId="135DF7DF"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Gentle extraction for heat-sensitive compounds</w:t>
            </w:r>
          </w:p>
        </w:tc>
        <w:tc>
          <w:tcPr>
            <w:tcW w:w="3113" w:type="dxa"/>
            <w:hideMark/>
          </w:tcPr>
          <w:p w14:paraId="16FAEEFF"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Ethanol, water, hydroalcoholic mixtures</w:t>
            </w:r>
          </w:p>
        </w:tc>
        <w:tc>
          <w:tcPr>
            <w:tcW w:w="2737" w:type="dxa"/>
            <w:hideMark/>
          </w:tcPr>
          <w:p w14:paraId="33AF5CF7"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Tannins, glycosides, saponins</w:t>
            </w:r>
          </w:p>
        </w:tc>
        <w:tc>
          <w:tcPr>
            <w:tcW w:w="720" w:type="dxa"/>
            <w:hideMark/>
          </w:tcPr>
          <w:p w14:paraId="698E4FA3"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[23]</w:t>
            </w:r>
          </w:p>
        </w:tc>
      </w:tr>
      <w:tr w:rsidR="00AD699D" w:rsidRPr="00AD699D" w14:paraId="5645FB27" w14:textId="77777777" w:rsidTr="00AD699D">
        <w:tc>
          <w:tcPr>
            <w:tcW w:w="1843" w:type="dxa"/>
            <w:hideMark/>
          </w:tcPr>
          <w:p w14:paraId="65129BA6"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Ultrasound-Assisted Extraction (UAE)</w:t>
            </w:r>
          </w:p>
        </w:tc>
        <w:tc>
          <w:tcPr>
            <w:tcW w:w="2207" w:type="dxa"/>
            <w:hideMark/>
          </w:tcPr>
          <w:p w14:paraId="15EA1BE1"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Rapid, high-yield extraction</w:t>
            </w:r>
          </w:p>
        </w:tc>
        <w:tc>
          <w:tcPr>
            <w:tcW w:w="3113" w:type="dxa"/>
            <w:hideMark/>
          </w:tcPr>
          <w:p w14:paraId="513C41C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Ethanol, methanol, water</w:t>
            </w:r>
          </w:p>
        </w:tc>
        <w:tc>
          <w:tcPr>
            <w:tcW w:w="2737" w:type="dxa"/>
            <w:hideMark/>
          </w:tcPr>
          <w:p w14:paraId="0FB4749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Polyphenols, flavonoids, essential oils</w:t>
            </w:r>
          </w:p>
        </w:tc>
        <w:tc>
          <w:tcPr>
            <w:tcW w:w="720" w:type="dxa"/>
            <w:hideMark/>
          </w:tcPr>
          <w:p w14:paraId="18E9A40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[24]</w:t>
            </w:r>
          </w:p>
        </w:tc>
      </w:tr>
      <w:tr w:rsidR="00AD699D" w:rsidRPr="00AD699D" w14:paraId="296C158D" w14:textId="77777777" w:rsidTr="00AD699D">
        <w:tc>
          <w:tcPr>
            <w:tcW w:w="1843" w:type="dxa"/>
            <w:hideMark/>
          </w:tcPr>
          <w:p w14:paraId="55C0EEDE"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Column Chromatography (CC)</w:t>
            </w:r>
          </w:p>
        </w:tc>
        <w:tc>
          <w:tcPr>
            <w:tcW w:w="2207" w:type="dxa"/>
            <w:hideMark/>
          </w:tcPr>
          <w:p w14:paraId="6598A379"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Fractionation and purification</w:t>
            </w:r>
          </w:p>
        </w:tc>
        <w:tc>
          <w:tcPr>
            <w:tcW w:w="3113" w:type="dxa"/>
            <w:hideMark/>
          </w:tcPr>
          <w:p w14:paraId="2BC43738" w14:textId="482632CB"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 xml:space="preserve">Silica gel, gradient solvents </w:t>
            </w:r>
          </w:p>
        </w:tc>
        <w:tc>
          <w:tcPr>
            <w:tcW w:w="2737" w:type="dxa"/>
            <w:hideMark/>
          </w:tcPr>
          <w:p w14:paraId="21872627"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Alkaloids, steroids, flavonoids</w:t>
            </w:r>
          </w:p>
        </w:tc>
        <w:tc>
          <w:tcPr>
            <w:tcW w:w="720" w:type="dxa"/>
            <w:hideMark/>
          </w:tcPr>
          <w:p w14:paraId="58CF729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[25]</w:t>
            </w:r>
          </w:p>
        </w:tc>
      </w:tr>
      <w:tr w:rsidR="00AD699D" w:rsidRPr="00AD699D" w14:paraId="02806257" w14:textId="77777777" w:rsidTr="00AD699D">
        <w:tc>
          <w:tcPr>
            <w:tcW w:w="1843" w:type="dxa"/>
            <w:hideMark/>
          </w:tcPr>
          <w:p w14:paraId="32837E0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Thin Layer Chromatography (TLC)</w:t>
            </w:r>
          </w:p>
        </w:tc>
        <w:tc>
          <w:tcPr>
            <w:tcW w:w="2207" w:type="dxa"/>
            <w:hideMark/>
          </w:tcPr>
          <w:p w14:paraId="79863757"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Rapid screening and monitoring</w:t>
            </w:r>
          </w:p>
        </w:tc>
        <w:tc>
          <w:tcPr>
            <w:tcW w:w="3113" w:type="dxa"/>
            <w:hideMark/>
          </w:tcPr>
          <w:p w14:paraId="2D06074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 xml:space="preserve">Solvent system (e.g., ethyl </w:t>
            </w:r>
            <w:proofErr w:type="spellStart"/>
            <w:proofErr w:type="gramStart"/>
            <w:r w:rsidRPr="00AD699D">
              <w:rPr>
                <w:rFonts w:ascii="Times New Roman" w:hAnsi="Times New Roman" w:cs="Times New Roman"/>
              </w:rPr>
              <w:t>acetate:hexane</w:t>
            </w:r>
            <w:proofErr w:type="spellEnd"/>
            <w:proofErr w:type="gramEnd"/>
            <w:r w:rsidRPr="00AD699D">
              <w:rPr>
                <w:rFonts w:ascii="Times New Roman" w:hAnsi="Times New Roman" w:cs="Times New Roman"/>
              </w:rPr>
              <w:t>)</w:t>
            </w:r>
          </w:p>
        </w:tc>
        <w:tc>
          <w:tcPr>
            <w:tcW w:w="2737" w:type="dxa"/>
            <w:hideMark/>
          </w:tcPr>
          <w:p w14:paraId="5B52269A"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General compound class identification</w:t>
            </w:r>
          </w:p>
        </w:tc>
        <w:tc>
          <w:tcPr>
            <w:tcW w:w="720" w:type="dxa"/>
            <w:hideMark/>
          </w:tcPr>
          <w:p w14:paraId="799FCCCA"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[26]</w:t>
            </w:r>
          </w:p>
        </w:tc>
      </w:tr>
      <w:tr w:rsidR="00AD699D" w:rsidRPr="00AD699D" w14:paraId="004E6299" w14:textId="77777777" w:rsidTr="00AD699D">
        <w:tc>
          <w:tcPr>
            <w:tcW w:w="1843" w:type="dxa"/>
            <w:hideMark/>
          </w:tcPr>
          <w:p w14:paraId="124947F3"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Preparative HPLC</w:t>
            </w:r>
          </w:p>
        </w:tc>
        <w:tc>
          <w:tcPr>
            <w:tcW w:w="2207" w:type="dxa"/>
            <w:hideMark/>
          </w:tcPr>
          <w:p w14:paraId="2059EC6E"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High-purity isolation</w:t>
            </w:r>
          </w:p>
        </w:tc>
        <w:tc>
          <w:tcPr>
            <w:tcW w:w="3113" w:type="dxa"/>
            <w:hideMark/>
          </w:tcPr>
          <w:p w14:paraId="34CFF67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Reverse phase C18 columns, MeOH/H₂O gradients</w:t>
            </w:r>
          </w:p>
        </w:tc>
        <w:tc>
          <w:tcPr>
            <w:tcW w:w="2737" w:type="dxa"/>
            <w:hideMark/>
          </w:tcPr>
          <w:p w14:paraId="292E865A"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Flavonoids, glycosides</w:t>
            </w:r>
          </w:p>
        </w:tc>
        <w:tc>
          <w:tcPr>
            <w:tcW w:w="720" w:type="dxa"/>
            <w:hideMark/>
          </w:tcPr>
          <w:p w14:paraId="78E4E5BC"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[27]</w:t>
            </w:r>
          </w:p>
        </w:tc>
      </w:tr>
      <w:tr w:rsidR="00AD699D" w:rsidRPr="00AD699D" w14:paraId="5460E7D9" w14:textId="77777777" w:rsidTr="00AD699D">
        <w:tc>
          <w:tcPr>
            <w:tcW w:w="1843" w:type="dxa"/>
            <w:hideMark/>
          </w:tcPr>
          <w:p w14:paraId="5A29407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Liquid–Liquid Partitioning</w:t>
            </w:r>
          </w:p>
        </w:tc>
        <w:tc>
          <w:tcPr>
            <w:tcW w:w="2207" w:type="dxa"/>
            <w:hideMark/>
          </w:tcPr>
          <w:p w14:paraId="7B9A76CF"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Solvent-based enrichment</w:t>
            </w:r>
          </w:p>
        </w:tc>
        <w:tc>
          <w:tcPr>
            <w:tcW w:w="3113" w:type="dxa"/>
            <w:hideMark/>
          </w:tcPr>
          <w:p w14:paraId="6FCCD52A"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Ethyl acetate, butanol, water</w:t>
            </w:r>
          </w:p>
        </w:tc>
        <w:tc>
          <w:tcPr>
            <w:tcW w:w="2737" w:type="dxa"/>
            <w:hideMark/>
          </w:tcPr>
          <w:p w14:paraId="201A90BD"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Saponins, terpenoids, alkaloids</w:t>
            </w:r>
          </w:p>
        </w:tc>
        <w:tc>
          <w:tcPr>
            <w:tcW w:w="720" w:type="dxa"/>
            <w:hideMark/>
          </w:tcPr>
          <w:p w14:paraId="362F6C77"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[25]</w:t>
            </w:r>
          </w:p>
        </w:tc>
      </w:tr>
      <w:tr w:rsidR="00AD699D" w:rsidRPr="00AD699D" w14:paraId="7426565C" w14:textId="77777777" w:rsidTr="00AD699D">
        <w:tc>
          <w:tcPr>
            <w:tcW w:w="1843" w:type="dxa"/>
            <w:hideMark/>
          </w:tcPr>
          <w:p w14:paraId="24AB48C6"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UV–Vis Spectroscopy</w:t>
            </w:r>
          </w:p>
        </w:tc>
        <w:tc>
          <w:tcPr>
            <w:tcW w:w="2207" w:type="dxa"/>
            <w:hideMark/>
          </w:tcPr>
          <w:p w14:paraId="5A139EB5"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Preliminary identification</w:t>
            </w:r>
          </w:p>
        </w:tc>
        <w:tc>
          <w:tcPr>
            <w:tcW w:w="3113" w:type="dxa"/>
            <w:hideMark/>
          </w:tcPr>
          <w:p w14:paraId="3DBC6A3C"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Spectrophotometer</w:t>
            </w:r>
          </w:p>
        </w:tc>
        <w:tc>
          <w:tcPr>
            <w:tcW w:w="2737" w:type="dxa"/>
            <w:hideMark/>
          </w:tcPr>
          <w:p w14:paraId="0044498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Phenolics, flavonoids</w:t>
            </w:r>
          </w:p>
        </w:tc>
        <w:tc>
          <w:tcPr>
            <w:tcW w:w="720" w:type="dxa"/>
            <w:hideMark/>
          </w:tcPr>
          <w:p w14:paraId="56C58FB1"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[28]</w:t>
            </w:r>
          </w:p>
        </w:tc>
      </w:tr>
      <w:tr w:rsidR="00AD699D" w:rsidRPr="00AD699D" w14:paraId="0BEE0304" w14:textId="77777777" w:rsidTr="00AD699D">
        <w:tc>
          <w:tcPr>
            <w:tcW w:w="1843" w:type="dxa"/>
            <w:hideMark/>
          </w:tcPr>
          <w:p w14:paraId="7DCC0692"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FTIR Spectroscopy</w:t>
            </w:r>
          </w:p>
        </w:tc>
        <w:tc>
          <w:tcPr>
            <w:tcW w:w="2207" w:type="dxa"/>
            <w:hideMark/>
          </w:tcPr>
          <w:p w14:paraId="172518AF"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Functional group analysis</w:t>
            </w:r>
          </w:p>
        </w:tc>
        <w:tc>
          <w:tcPr>
            <w:tcW w:w="3113" w:type="dxa"/>
            <w:hideMark/>
          </w:tcPr>
          <w:p w14:paraId="0530BEFB"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Infrared spectrometer</w:t>
            </w:r>
          </w:p>
        </w:tc>
        <w:tc>
          <w:tcPr>
            <w:tcW w:w="2737" w:type="dxa"/>
            <w:hideMark/>
          </w:tcPr>
          <w:p w14:paraId="3A1B48A6"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Broad organic functional groups</w:t>
            </w:r>
          </w:p>
        </w:tc>
        <w:tc>
          <w:tcPr>
            <w:tcW w:w="720" w:type="dxa"/>
            <w:hideMark/>
          </w:tcPr>
          <w:p w14:paraId="43BEDB40"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[29]</w:t>
            </w:r>
          </w:p>
        </w:tc>
      </w:tr>
      <w:tr w:rsidR="00AD699D" w:rsidRPr="00AD699D" w14:paraId="56400084" w14:textId="77777777" w:rsidTr="00AD699D">
        <w:tc>
          <w:tcPr>
            <w:tcW w:w="1843" w:type="dxa"/>
            <w:hideMark/>
          </w:tcPr>
          <w:p w14:paraId="44F65EFC"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GC–MS</w:t>
            </w:r>
          </w:p>
        </w:tc>
        <w:tc>
          <w:tcPr>
            <w:tcW w:w="2207" w:type="dxa"/>
            <w:hideMark/>
          </w:tcPr>
          <w:p w14:paraId="3AA6BBAB"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Analysis of volatile compounds</w:t>
            </w:r>
          </w:p>
        </w:tc>
        <w:tc>
          <w:tcPr>
            <w:tcW w:w="3113" w:type="dxa"/>
            <w:hideMark/>
          </w:tcPr>
          <w:p w14:paraId="297A6BF5"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Gas chromatograph with MS detector</w:t>
            </w:r>
          </w:p>
        </w:tc>
        <w:tc>
          <w:tcPr>
            <w:tcW w:w="2737" w:type="dxa"/>
            <w:hideMark/>
          </w:tcPr>
          <w:p w14:paraId="588C71DD"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Essential oils, low MW terpenoids</w:t>
            </w:r>
          </w:p>
        </w:tc>
        <w:tc>
          <w:tcPr>
            <w:tcW w:w="720" w:type="dxa"/>
            <w:hideMark/>
          </w:tcPr>
          <w:p w14:paraId="1EF91FA7"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[30]</w:t>
            </w:r>
          </w:p>
        </w:tc>
      </w:tr>
      <w:tr w:rsidR="00AD699D" w:rsidRPr="00AD699D" w14:paraId="3F3DF7F5" w14:textId="77777777" w:rsidTr="00AD699D">
        <w:tc>
          <w:tcPr>
            <w:tcW w:w="1843" w:type="dxa"/>
            <w:hideMark/>
          </w:tcPr>
          <w:p w14:paraId="7060A04A"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LC–MS</w:t>
            </w:r>
          </w:p>
        </w:tc>
        <w:tc>
          <w:tcPr>
            <w:tcW w:w="2207" w:type="dxa"/>
            <w:hideMark/>
          </w:tcPr>
          <w:p w14:paraId="45F23D01"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Non-volatile compound identification</w:t>
            </w:r>
          </w:p>
        </w:tc>
        <w:tc>
          <w:tcPr>
            <w:tcW w:w="3113" w:type="dxa"/>
            <w:hideMark/>
          </w:tcPr>
          <w:p w14:paraId="791B2E9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Liquid chromatograph with MS detector</w:t>
            </w:r>
          </w:p>
        </w:tc>
        <w:tc>
          <w:tcPr>
            <w:tcW w:w="2737" w:type="dxa"/>
            <w:hideMark/>
          </w:tcPr>
          <w:p w14:paraId="22D77841"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Flavonoids, glycosides</w:t>
            </w:r>
          </w:p>
        </w:tc>
        <w:tc>
          <w:tcPr>
            <w:tcW w:w="720" w:type="dxa"/>
            <w:hideMark/>
          </w:tcPr>
          <w:p w14:paraId="3F2D12FB"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[30]</w:t>
            </w:r>
          </w:p>
        </w:tc>
      </w:tr>
      <w:tr w:rsidR="00AD699D" w:rsidRPr="00AD699D" w14:paraId="5D052F24" w14:textId="77777777" w:rsidTr="00AD699D">
        <w:tc>
          <w:tcPr>
            <w:tcW w:w="1843" w:type="dxa"/>
            <w:hideMark/>
          </w:tcPr>
          <w:p w14:paraId="475E4480"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NMR Spectroscopy (¹H, ¹³C)</w:t>
            </w:r>
          </w:p>
        </w:tc>
        <w:tc>
          <w:tcPr>
            <w:tcW w:w="2207" w:type="dxa"/>
            <w:hideMark/>
          </w:tcPr>
          <w:p w14:paraId="0676BBD2"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Structural elucidation</w:t>
            </w:r>
          </w:p>
        </w:tc>
        <w:tc>
          <w:tcPr>
            <w:tcW w:w="3113" w:type="dxa"/>
            <w:hideMark/>
          </w:tcPr>
          <w:p w14:paraId="14100830"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NMR solvents (</w:t>
            </w:r>
            <w:proofErr w:type="spellStart"/>
            <w:r w:rsidRPr="00AD699D">
              <w:rPr>
                <w:rFonts w:ascii="Times New Roman" w:hAnsi="Times New Roman" w:cs="Times New Roman"/>
              </w:rPr>
              <w:t>CDCl</w:t>
            </w:r>
            <w:proofErr w:type="spellEnd"/>
            <w:r w:rsidRPr="00AD699D">
              <w:rPr>
                <w:rFonts w:ascii="Times New Roman" w:hAnsi="Times New Roman" w:cs="Times New Roman"/>
              </w:rPr>
              <w:t xml:space="preserve">₃, DMSO-d₆, </w:t>
            </w:r>
            <w:proofErr w:type="spellStart"/>
            <w:r w:rsidRPr="00AD699D">
              <w:rPr>
                <w:rFonts w:ascii="Times New Roman" w:hAnsi="Times New Roman" w:cs="Times New Roman"/>
              </w:rPr>
              <w:t>MeOD</w:t>
            </w:r>
            <w:proofErr w:type="spellEnd"/>
            <w:r w:rsidRPr="00AD699D">
              <w:rPr>
                <w:rFonts w:ascii="Times New Roman" w:hAnsi="Times New Roman" w:cs="Times New Roman"/>
              </w:rPr>
              <w:t>)</w:t>
            </w:r>
          </w:p>
        </w:tc>
        <w:tc>
          <w:tcPr>
            <w:tcW w:w="2737" w:type="dxa"/>
            <w:hideMark/>
          </w:tcPr>
          <w:p w14:paraId="4616C2F3"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All major phytochemical classes</w:t>
            </w:r>
          </w:p>
        </w:tc>
        <w:tc>
          <w:tcPr>
            <w:tcW w:w="720" w:type="dxa"/>
            <w:hideMark/>
          </w:tcPr>
          <w:p w14:paraId="7241AFE1"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[31]</w:t>
            </w:r>
          </w:p>
        </w:tc>
      </w:tr>
    </w:tbl>
    <w:p w14:paraId="70C96E23" w14:textId="3780BFAE" w:rsidR="00D36869" w:rsidRDefault="00AD699D" w:rsidP="00AD699D">
      <w:pPr>
        <w:jc w:val="center"/>
        <w:rPr>
          <w:rFonts w:ascii="Times New Roman" w:hAnsi="Times New Roman" w:cs="Times New Roman"/>
        </w:rPr>
      </w:pPr>
      <w:r w:rsidRPr="00AD699D">
        <w:rPr>
          <w:rFonts w:ascii="Times New Roman" w:hAnsi="Times New Roman" w:cs="Times New Roman"/>
        </w:rPr>
        <w:t>Table</w:t>
      </w:r>
      <w:r>
        <w:rPr>
          <w:rFonts w:ascii="Times New Roman" w:hAnsi="Times New Roman" w:cs="Times New Roman"/>
        </w:rPr>
        <w:t xml:space="preserve"> No 02 -</w:t>
      </w:r>
      <w:r w:rsidRPr="00AD699D">
        <w:rPr>
          <w:rFonts w:ascii="Times New Roman" w:hAnsi="Times New Roman" w:cs="Times New Roman"/>
        </w:rPr>
        <w:t xml:space="preserve"> Summary of Extraction, Isolation, and Identification Techniques for Phytochemicals from </w:t>
      </w:r>
      <w:r w:rsidRPr="00AD699D">
        <w:rPr>
          <w:rFonts w:ascii="Times New Roman" w:hAnsi="Times New Roman" w:cs="Times New Roman"/>
          <w:i/>
          <w:iCs/>
        </w:rPr>
        <w:t xml:space="preserve">Crotalaria </w:t>
      </w:r>
      <w:proofErr w:type="spellStart"/>
      <w:r w:rsidRPr="00AD699D">
        <w:rPr>
          <w:rFonts w:ascii="Times New Roman" w:hAnsi="Times New Roman" w:cs="Times New Roman"/>
          <w:i/>
          <w:iCs/>
        </w:rPr>
        <w:t>multibracteata</w:t>
      </w:r>
      <w:proofErr w:type="spellEnd"/>
    </w:p>
    <w:p w14:paraId="77B622EA" w14:textId="77777777" w:rsidR="00D36869" w:rsidRDefault="00D36869" w:rsidP="00D36869">
      <w:pPr>
        <w:rPr>
          <w:rFonts w:ascii="Times New Roman" w:hAnsi="Times New Roman" w:cs="Times New Roman"/>
        </w:rPr>
      </w:pPr>
    </w:p>
    <w:p w14:paraId="6B07F55E" w14:textId="77777777" w:rsidR="00D86CCA" w:rsidRDefault="00D86CCA" w:rsidP="00D36869">
      <w:pPr>
        <w:rPr>
          <w:rFonts w:ascii="Times New Roman" w:hAnsi="Times New Roman" w:cs="Times New Roman"/>
        </w:rPr>
      </w:pPr>
    </w:p>
    <w:p w14:paraId="3A4DCC97" w14:textId="77777777" w:rsidR="00D86CCA" w:rsidRPr="00D86CCA" w:rsidRDefault="00D86CCA" w:rsidP="00D86CCA">
      <w:pPr>
        <w:rPr>
          <w:rFonts w:ascii="Times New Roman" w:hAnsi="Times New Roman" w:cs="Times New Roman"/>
          <w:b/>
          <w:bCs/>
        </w:rPr>
      </w:pPr>
      <w:r w:rsidRPr="00D86CCA">
        <w:rPr>
          <w:rFonts w:ascii="Times New Roman" w:hAnsi="Times New Roman" w:cs="Times New Roman"/>
          <w:b/>
          <w:bCs/>
        </w:rPr>
        <w:lastRenderedPageBreak/>
        <w:t xml:space="preserve">Phytochemical Constituents of </w:t>
      </w:r>
      <w:r w:rsidRPr="00D86CCA">
        <w:rPr>
          <w:rFonts w:ascii="Times New Roman" w:hAnsi="Times New Roman" w:cs="Times New Roman"/>
          <w:b/>
          <w:bCs/>
          <w:i/>
          <w:iCs/>
        </w:rPr>
        <w:t xml:space="preserve">Crotalaria </w:t>
      </w:r>
      <w:proofErr w:type="spellStart"/>
      <w:r w:rsidRPr="00D86CCA">
        <w:rPr>
          <w:rFonts w:ascii="Times New Roman" w:hAnsi="Times New Roman" w:cs="Times New Roman"/>
          <w:b/>
          <w:bCs/>
          <w:i/>
          <w:iCs/>
        </w:rPr>
        <w:t>multibracteata</w:t>
      </w:r>
      <w:proofErr w:type="spellEnd"/>
    </w:p>
    <w:p w14:paraId="55AE85AF"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 xml:space="preserve">Preliminary phytochemical screening and studies on related </w:t>
      </w:r>
      <w:r w:rsidRPr="00D86CCA">
        <w:rPr>
          <w:rFonts w:ascii="Times New Roman" w:hAnsi="Times New Roman" w:cs="Times New Roman"/>
          <w:i/>
          <w:iCs/>
        </w:rPr>
        <w:t>Crotalaria</w:t>
      </w:r>
      <w:r w:rsidRPr="00D86CCA">
        <w:rPr>
          <w:rFonts w:ascii="Times New Roman" w:hAnsi="Times New Roman" w:cs="Times New Roman"/>
        </w:rPr>
        <w:t xml:space="preserve"> species suggest that </w:t>
      </w:r>
      <w:r w:rsidRPr="00D86CCA">
        <w:rPr>
          <w:rFonts w:ascii="Times New Roman" w:hAnsi="Times New Roman" w:cs="Times New Roman"/>
          <w:i/>
          <w:iCs/>
        </w:rPr>
        <w:t xml:space="preserve">Crotalaria </w:t>
      </w:r>
      <w:proofErr w:type="spellStart"/>
      <w:r w:rsidRPr="00D86CCA">
        <w:rPr>
          <w:rFonts w:ascii="Times New Roman" w:hAnsi="Times New Roman" w:cs="Times New Roman"/>
          <w:i/>
          <w:iCs/>
        </w:rPr>
        <w:t>multibracteata</w:t>
      </w:r>
      <w:proofErr w:type="spellEnd"/>
      <w:r w:rsidRPr="00D86CCA">
        <w:rPr>
          <w:rFonts w:ascii="Times New Roman" w:hAnsi="Times New Roman" w:cs="Times New Roman"/>
        </w:rPr>
        <w:t xml:space="preserve"> contains a rich diversity of secondary metabolites such as flavonoids, alkaloids, terpenoids, saponins, tannins, and phenolic acids. These bioactive constituents contribute significantly to the plant’s traditional therapeutic uses and potential pharmacological value.</w:t>
      </w:r>
    </w:p>
    <w:p w14:paraId="234B79B2" w14:textId="77777777" w:rsidR="00D86CCA" w:rsidRPr="00D86CCA" w:rsidRDefault="00D86CCA" w:rsidP="00D86CCA">
      <w:pPr>
        <w:rPr>
          <w:rFonts w:ascii="Times New Roman" w:hAnsi="Times New Roman" w:cs="Times New Roman"/>
          <w:b/>
          <w:bCs/>
        </w:rPr>
      </w:pPr>
      <w:r w:rsidRPr="00D86CCA">
        <w:rPr>
          <w:rFonts w:ascii="Times New Roman" w:hAnsi="Times New Roman" w:cs="Times New Roman"/>
          <w:b/>
          <w:bCs/>
        </w:rPr>
        <w:t>8.1 Flavonoids</w:t>
      </w:r>
    </w:p>
    <w:p w14:paraId="21886374"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 xml:space="preserve">Flavonoids are among the most widely distributed polyphenolic compounds in </w:t>
      </w:r>
      <w:r w:rsidRPr="00D86CCA">
        <w:rPr>
          <w:rFonts w:ascii="Times New Roman" w:hAnsi="Times New Roman" w:cs="Times New Roman"/>
          <w:i/>
          <w:iCs/>
        </w:rPr>
        <w:t>Crotalaria</w:t>
      </w:r>
      <w:r w:rsidRPr="00D86CCA">
        <w:rPr>
          <w:rFonts w:ascii="Times New Roman" w:hAnsi="Times New Roman" w:cs="Times New Roman"/>
        </w:rPr>
        <w:t xml:space="preserve"> species. They act as potent antioxidants, anti-inflammatory, and antimicrobial agents.</w:t>
      </w:r>
    </w:p>
    <w:p w14:paraId="085C1F0D"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Common types: Quercetin, kaempferol, luteolin derivatives.</w:t>
      </w:r>
    </w:p>
    <w:p w14:paraId="511FFB41"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Pharmacological role: Flavonoids scavenge free radicals, modulate inflammatory pathways (e.g., COX-2 inhibition), and support capillary integrity and wound healing [32].</w:t>
      </w:r>
    </w:p>
    <w:p w14:paraId="52F6DC08"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 xml:space="preserve">Ayurvedic relevance: These effects align with Ayurvedic concepts of balancing Pitta and </w:t>
      </w:r>
      <w:proofErr w:type="spellStart"/>
      <w:r w:rsidRPr="00D86CCA">
        <w:rPr>
          <w:rFonts w:ascii="Times New Roman" w:hAnsi="Times New Roman" w:cs="Times New Roman"/>
        </w:rPr>
        <w:t>Raktha</w:t>
      </w:r>
      <w:proofErr w:type="spellEnd"/>
      <w:r w:rsidRPr="00D86CCA">
        <w:rPr>
          <w:rFonts w:ascii="Times New Roman" w:hAnsi="Times New Roman" w:cs="Times New Roman"/>
        </w:rPr>
        <w:t xml:space="preserve"> dhatu (blood tissue), often associated with detoxifying and cooling actions.</w:t>
      </w:r>
    </w:p>
    <w:p w14:paraId="6363FC91"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Local use: Leaf pastes used for eczema and wounds are believed to derive efficacy from flavonoid content.</w:t>
      </w:r>
    </w:p>
    <w:p w14:paraId="0DDD2277" w14:textId="77777777" w:rsidR="00D86CCA" w:rsidRPr="00D86CCA" w:rsidRDefault="00D86CCA" w:rsidP="00D86CCA">
      <w:pPr>
        <w:rPr>
          <w:rFonts w:ascii="Times New Roman" w:hAnsi="Times New Roman" w:cs="Times New Roman"/>
          <w:b/>
          <w:bCs/>
        </w:rPr>
      </w:pPr>
      <w:r w:rsidRPr="00D86CCA">
        <w:rPr>
          <w:rFonts w:ascii="Times New Roman" w:hAnsi="Times New Roman" w:cs="Times New Roman"/>
          <w:b/>
          <w:bCs/>
        </w:rPr>
        <w:t>8.2 Alkaloids</w:t>
      </w:r>
    </w:p>
    <w:p w14:paraId="777FF642"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 xml:space="preserve">Alkaloids in </w:t>
      </w:r>
      <w:r w:rsidRPr="00D86CCA">
        <w:rPr>
          <w:rFonts w:ascii="Times New Roman" w:hAnsi="Times New Roman" w:cs="Times New Roman"/>
          <w:i/>
          <w:iCs/>
        </w:rPr>
        <w:t>Crotalaria</w:t>
      </w:r>
      <w:r w:rsidRPr="00D86CCA">
        <w:rPr>
          <w:rFonts w:ascii="Times New Roman" w:hAnsi="Times New Roman" w:cs="Times New Roman"/>
        </w:rPr>
        <w:t xml:space="preserve"> are structurally diverse and biologically active, although some may be pyrrolizidine alkaloids (PAs), which warrant caution due to hepatotoxic potential in high doses.</w:t>
      </w:r>
    </w:p>
    <w:p w14:paraId="031749AD"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 xml:space="preserve">Common types: </w:t>
      </w:r>
      <w:proofErr w:type="spellStart"/>
      <w:r w:rsidRPr="00D86CCA">
        <w:rPr>
          <w:rFonts w:ascii="Times New Roman" w:hAnsi="Times New Roman" w:cs="Times New Roman"/>
        </w:rPr>
        <w:t>Monocrotaline</w:t>
      </w:r>
      <w:proofErr w:type="spellEnd"/>
      <w:r w:rsidRPr="00D86CCA">
        <w:rPr>
          <w:rFonts w:ascii="Times New Roman" w:hAnsi="Times New Roman" w:cs="Times New Roman"/>
        </w:rPr>
        <w:t xml:space="preserve">, </w:t>
      </w:r>
      <w:proofErr w:type="spellStart"/>
      <w:r w:rsidRPr="00D86CCA">
        <w:rPr>
          <w:rFonts w:ascii="Times New Roman" w:hAnsi="Times New Roman" w:cs="Times New Roman"/>
        </w:rPr>
        <w:t>retrorsine</w:t>
      </w:r>
      <w:proofErr w:type="spellEnd"/>
      <w:r w:rsidRPr="00D86CCA">
        <w:rPr>
          <w:rFonts w:ascii="Times New Roman" w:hAnsi="Times New Roman" w:cs="Times New Roman"/>
        </w:rPr>
        <w:t xml:space="preserve"> (noted in </w:t>
      </w:r>
      <w:proofErr w:type="gramStart"/>
      <w:r w:rsidRPr="00D86CCA">
        <w:rPr>
          <w:rFonts w:ascii="Times New Roman" w:hAnsi="Times New Roman" w:cs="Times New Roman"/>
        </w:rPr>
        <w:t>other</w:t>
      </w:r>
      <w:proofErr w:type="gramEnd"/>
      <w:r w:rsidRPr="00D86CCA">
        <w:rPr>
          <w:rFonts w:ascii="Times New Roman" w:hAnsi="Times New Roman" w:cs="Times New Roman"/>
        </w:rPr>
        <w:t xml:space="preserve"> </w:t>
      </w:r>
      <w:r w:rsidRPr="00D86CCA">
        <w:rPr>
          <w:rFonts w:ascii="Times New Roman" w:hAnsi="Times New Roman" w:cs="Times New Roman"/>
          <w:i/>
          <w:iCs/>
        </w:rPr>
        <w:t>Crotalaria</w:t>
      </w:r>
      <w:r w:rsidRPr="00D86CCA">
        <w:rPr>
          <w:rFonts w:ascii="Times New Roman" w:hAnsi="Times New Roman" w:cs="Times New Roman"/>
        </w:rPr>
        <w:t xml:space="preserve"> spp.)</w:t>
      </w:r>
    </w:p>
    <w:p w14:paraId="2F722387"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Pharmacological role: Exhibit antimicrobial, cytotoxic, and vasoactive properties. Some are known to induce apoptosis in cancer cell lines [33].</w:t>
      </w:r>
    </w:p>
    <w:p w14:paraId="48C9B5EE"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 xml:space="preserve">Ayurvedic correlation: Alkaloids contribute to </w:t>
      </w:r>
      <w:proofErr w:type="spellStart"/>
      <w:r w:rsidRPr="00D86CCA">
        <w:rPr>
          <w:rFonts w:ascii="Times New Roman" w:hAnsi="Times New Roman" w:cs="Times New Roman"/>
        </w:rPr>
        <w:t>Katu</w:t>
      </w:r>
      <w:proofErr w:type="spellEnd"/>
      <w:r w:rsidRPr="00D86CCA">
        <w:rPr>
          <w:rFonts w:ascii="Times New Roman" w:hAnsi="Times New Roman" w:cs="Times New Roman"/>
        </w:rPr>
        <w:t xml:space="preserve"> rasa (pungent taste) and are often used in traditional formulations to stimulate digestion and blood circulation.</w:t>
      </w:r>
    </w:p>
    <w:p w14:paraId="7D554BAA"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Local use: Decoctions made for fever and internal pain may be attributed to these compounds.</w:t>
      </w:r>
    </w:p>
    <w:p w14:paraId="4C44C1A7" w14:textId="77777777" w:rsidR="00D86CCA" w:rsidRPr="00D86CCA" w:rsidRDefault="00D86CCA" w:rsidP="00D86CCA">
      <w:pPr>
        <w:rPr>
          <w:rFonts w:ascii="Times New Roman" w:hAnsi="Times New Roman" w:cs="Times New Roman"/>
          <w:b/>
          <w:bCs/>
        </w:rPr>
      </w:pPr>
      <w:r w:rsidRPr="00D86CCA">
        <w:rPr>
          <w:rFonts w:ascii="Times New Roman" w:hAnsi="Times New Roman" w:cs="Times New Roman"/>
          <w:b/>
          <w:bCs/>
        </w:rPr>
        <w:t>8.3 Terpenoids</w:t>
      </w:r>
    </w:p>
    <w:p w14:paraId="04C5F81E"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Terpenoids are present in moderate quantities and contribute to the plant's fragrance and possible anti-inflammatory and analgesic properties.</w:t>
      </w:r>
    </w:p>
    <w:p w14:paraId="39CC3F36"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Common types: Sesquiterpenes, diterpenes (tentative based on genus profiling).</w:t>
      </w:r>
    </w:p>
    <w:p w14:paraId="6BA1C9D0"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Pharmacological role: Terpenoids show anti-inflammatory, antioxidant, and antitumor activities by modulating cytokine release and signaling pathways like NF-</w:t>
      </w:r>
      <w:proofErr w:type="spellStart"/>
      <w:r w:rsidRPr="00D86CCA">
        <w:rPr>
          <w:rFonts w:ascii="Times New Roman" w:hAnsi="Times New Roman" w:cs="Times New Roman"/>
        </w:rPr>
        <w:t>κB</w:t>
      </w:r>
      <w:proofErr w:type="spellEnd"/>
      <w:r w:rsidRPr="00D86CCA">
        <w:rPr>
          <w:rFonts w:ascii="Times New Roman" w:hAnsi="Times New Roman" w:cs="Times New Roman"/>
        </w:rPr>
        <w:t xml:space="preserve"> [34].</w:t>
      </w:r>
    </w:p>
    <w:p w14:paraId="38C8308A"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lastRenderedPageBreak/>
        <w:t xml:space="preserve">Ayurvedic relevance: Their </w:t>
      </w:r>
      <w:proofErr w:type="spellStart"/>
      <w:r w:rsidRPr="00D86CCA">
        <w:rPr>
          <w:rFonts w:ascii="Times New Roman" w:hAnsi="Times New Roman" w:cs="Times New Roman"/>
        </w:rPr>
        <w:t>ushna</w:t>
      </w:r>
      <w:proofErr w:type="spellEnd"/>
      <w:r w:rsidRPr="00D86CCA">
        <w:rPr>
          <w:rFonts w:ascii="Times New Roman" w:hAnsi="Times New Roman" w:cs="Times New Roman"/>
        </w:rPr>
        <w:t xml:space="preserve"> </w:t>
      </w:r>
      <w:proofErr w:type="spellStart"/>
      <w:r w:rsidRPr="00D86CCA">
        <w:rPr>
          <w:rFonts w:ascii="Times New Roman" w:hAnsi="Times New Roman" w:cs="Times New Roman"/>
        </w:rPr>
        <w:t>virya</w:t>
      </w:r>
      <w:proofErr w:type="spellEnd"/>
      <w:r w:rsidRPr="00D86CCA">
        <w:rPr>
          <w:rFonts w:ascii="Times New Roman" w:hAnsi="Times New Roman" w:cs="Times New Roman"/>
        </w:rPr>
        <w:t xml:space="preserve"> (heating potency) helps in breaking down obstructions (</w:t>
      </w:r>
      <w:proofErr w:type="spellStart"/>
      <w:r w:rsidRPr="00D86CCA">
        <w:rPr>
          <w:rFonts w:ascii="Times New Roman" w:hAnsi="Times New Roman" w:cs="Times New Roman"/>
        </w:rPr>
        <w:t>Avarana</w:t>
      </w:r>
      <w:proofErr w:type="spellEnd"/>
      <w:r w:rsidRPr="00D86CCA">
        <w:rPr>
          <w:rFonts w:ascii="Times New Roman" w:hAnsi="Times New Roman" w:cs="Times New Roman"/>
        </w:rPr>
        <w:t>) and alleviating chronic inflammatory conditions.</w:t>
      </w:r>
    </w:p>
    <w:p w14:paraId="72FB0143"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Local use: Traditionally used for muscular pain and postpartum care.</w:t>
      </w:r>
    </w:p>
    <w:p w14:paraId="226C4D18" w14:textId="77777777" w:rsidR="00D86CCA" w:rsidRPr="00D86CCA" w:rsidRDefault="00D86CCA" w:rsidP="00D86CCA">
      <w:pPr>
        <w:rPr>
          <w:rFonts w:ascii="Times New Roman" w:hAnsi="Times New Roman" w:cs="Times New Roman"/>
          <w:b/>
          <w:bCs/>
        </w:rPr>
      </w:pPr>
      <w:r w:rsidRPr="00D86CCA">
        <w:rPr>
          <w:rFonts w:ascii="Times New Roman" w:hAnsi="Times New Roman" w:cs="Times New Roman"/>
          <w:b/>
          <w:bCs/>
        </w:rPr>
        <w:t>8.4 Phenolic Compounds</w:t>
      </w:r>
    </w:p>
    <w:p w14:paraId="2FD65EF9"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 xml:space="preserve">Phenolic acids and tannins are common across </w:t>
      </w:r>
      <w:r w:rsidRPr="00D86CCA">
        <w:rPr>
          <w:rFonts w:ascii="Times New Roman" w:hAnsi="Times New Roman" w:cs="Times New Roman"/>
          <w:i/>
          <w:iCs/>
        </w:rPr>
        <w:t>Crotalaria</w:t>
      </w:r>
      <w:r w:rsidRPr="00D86CCA">
        <w:rPr>
          <w:rFonts w:ascii="Times New Roman" w:hAnsi="Times New Roman" w:cs="Times New Roman"/>
        </w:rPr>
        <w:t xml:space="preserve"> species and are known for their antioxidant and antiseptic properties.</w:t>
      </w:r>
    </w:p>
    <w:p w14:paraId="4E063459"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Common types: Gallic acid, ferulic acid, caffeic acid.</w:t>
      </w:r>
    </w:p>
    <w:p w14:paraId="5F131585"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Pharmacological role: Phenolics help in reducing oxidative stress, inhibiting microbial growth, and promoting wound healing by cross-linking collagen [35].</w:t>
      </w:r>
    </w:p>
    <w:p w14:paraId="7A2D6B53"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Ayurvedic relevance: Considered cooling and drying, useful in managing Pitta disorders, ulcers, and skin inflammation.</w:t>
      </w:r>
    </w:p>
    <w:p w14:paraId="3B7B5174"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Local use: External washes for skin infections and heat boils.</w:t>
      </w:r>
    </w:p>
    <w:p w14:paraId="04F0A430" w14:textId="77777777" w:rsidR="00D86CCA" w:rsidRPr="00D86CCA" w:rsidRDefault="00D86CCA" w:rsidP="00D86CCA">
      <w:pPr>
        <w:rPr>
          <w:rFonts w:ascii="Times New Roman" w:hAnsi="Times New Roman" w:cs="Times New Roman"/>
          <w:b/>
          <w:bCs/>
        </w:rPr>
      </w:pPr>
      <w:r w:rsidRPr="00D86CCA">
        <w:rPr>
          <w:rFonts w:ascii="Times New Roman" w:hAnsi="Times New Roman" w:cs="Times New Roman"/>
          <w:b/>
          <w:bCs/>
        </w:rPr>
        <w:t>8.5 Saponins and Tannins</w:t>
      </w:r>
    </w:p>
    <w:p w14:paraId="1ED77F22"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These compounds exhibit antifungal, astringent, and immune-modulating properties.</w:t>
      </w:r>
    </w:p>
    <w:p w14:paraId="4C350FF2"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Saponins: Known for surface-active properties, enhancing the absorption of other compounds and contributing to anti-inflammatory activity.</w:t>
      </w:r>
    </w:p>
    <w:p w14:paraId="2AB19387"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Tannins: Show astringent, antidiarrheal, and anti-infective properties, often linked to their ability to precipitate proteins and form protective layers on mucosa.</w:t>
      </w:r>
    </w:p>
    <w:p w14:paraId="797568FF" w14:textId="77777777" w:rsidR="00D86CCA" w:rsidRPr="00D86CCA" w:rsidRDefault="00D86CCA" w:rsidP="00D86CCA">
      <w:pPr>
        <w:rPr>
          <w:rFonts w:ascii="Times New Roman" w:hAnsi="Times New Roman" w:cs="Times New Roman"/>
          <w:b/>
          <w:bCs/>
        </w:rPr>
      </w:pPr>
      <w:r w:rsidRPr="00D86CCA">
        <w:rPr>
          <w:rFonts w:ascii="Times New Roman" w:hAnsi="Times New Roman" w:cs="Times New Roman"/>
          <w:b/>
          <w:bCs/>
        </w:rPr>
        <w:t>8.6 Additional Compounds</w:t>
      </w:r>
    </w:p>
    <w:p w14:paraId="2849FF5E"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 xml:space="preserve">Preliminary reports on </w:t>
      </w:r>
      <w:r w:rsidRPr="00D86CCA">
        <w:rPr>
          <w:rFonts w:ascii="Times New Roman" w:hAnsi="Times New Roman" w:cs="Times New Roman"/>
          <w:i/>
          <w:iCs/>
        </w:rPr>
        <w:t xml:space="preserve">Crotalaria </w:t>
      </w:r>
      <w:proofErr w:type="spellStart"/>
      <w:r w:rsidRPr="00D86CCA">
        <w:rPr>
          <w:rFonts w:ascii="Times New Roman" w:hAnsi="Times New Roman" w:cs="Times New Roman"/>
          <w:i/>
          <w:iCs/>
        </w:rPr>
        <w:t>multibracteata</w:t>
      </w:r>
      <w:proofErr w:type="spellEnd"/>
      <w:r w:rsidRPr="00D86CCA">
        <w:rPr>
          <w:rFonts w:ascii="Times New Roman" w:hAnsi="Times New Roman" w:cs="Times New Roman"/>
        </w:rPr>
        <w:t xml:space="preserve"> and related species suggest the presence of:</w:t>
      </w:r>
    </w:p>
    <w:p w14:paraId="39D66F06"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Glycosides, associated with cardiotonic and anti-inflammatory actions.</w:t>
      </w:r>
    </w:p>
    <w:p w14:paraId="726E03A8"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Sterols like β-sitosterol, which may have anti-diabetic and cholesterol-lowering effects [36].</w:t>
      </w:r>
    </w:p>
    <w:p w14:paraId="705CD1AC" w14:textId="77777777" w:rsidR="00D36869" w:rsidRDefault="00D36869" w:rsidP="00D36869">
      <w:pPr>
        <w:rPr>
          <w:rFonts w:ascii="Times New Roman" w:hAnsi="Times New Roman" w:cs="Times New Roman"/>
        </w:rPr>
      </w:pPr>
    </w:p>
    <w:tbl>
      <w:tblPr>
        <w:tblStyle w:val="TableGrid"/>
        <w:tblW w:w="0" w:type="auto"/>
        <w:tblLook w:val="04A0" w:firstRow="1" w:lastRow="0" w:firstColumn="1" w:lastColumn="0" w:noHBand="0" w:noVBand="1"/>
      </w:tblPr>
      <w:tblGrid>
        <w:gridCol w:w="1751"/>
        <w:gridCol w:w="1801"/>
        <w:gridCol w:w="2111"/>
        <w:gridCol w:w="1566"/>
        <w:gridCol w:w="2121"/>
      </w:tblGrid>
      <w:tr w:rsidR="00D86CCA" w:rsidRPr="00D86CCA" w14:paraId="3F38FE0D" w14:textId="77777777" w:rsidTr="00D86CCA">
        <w:tc>
          <w:tcPr>
            <w:tcW w:w="0" w:type="auto"/>
            <w:vAlign w:val="center"/>
            <w:hideMark/>
          </w:tcPr>
          <w:p w14:paraId="0AE3037C" w14:textId="77777777" w:rsidR="00D86CCA" w:rsidRPr="00D86CCA" w:rsidRDefault="00D86CCA" w:rsidP="00D86CCA">
            <w:pPr>
              <w:spacing w:after="160" w:line="278" w:lineRule="auto"/>
              <w:jc w:val="center"/>
              <w:rPr>
                <w:rFonts w:ascii="Times New Roman" w:hAnsi="Times New Roman" w:cs="Times New Roman"/>
                <w:b/>
                <w:bCs/>
              </w:rPr>
            </w:pPr>
            <w:r w:rsidRPr="00D86CCA">
              <w:rPr>
                <w:rFonts w:ascii="Times New Roman" w:hAnsi="Times New Roman" w:cs="Times New Roman"/>
                <w:b/>
                <w:bCs/>
              </w:rPr>
              <w:t>Phytochemical Class</w:t>
            </w:r>
          </w:p>
        </w:tc>
        <w:tc>
          <w:tcPr>
            <w:tcW w:w="0" w:type="auto"/>
            <w:vAlign w:val="center"/>
            <w:hideMark/>
          </w:tcPr>
          <w:p w14:paraId="42097447" w14:textId="77777777" w:rsidR="00D86CCA" w:rsidRPr="00D86CCA" w:rsidRDefault="00D86CCA" w:rsidP="00D86CCA">
            <w:pPr>
              <w:spacing w:after="160" w:line="278" w:lineRule="auto"/>
              <w:jc w:val="center"/>
              <w:rPr>
                <w:rFonts w:ascii="Times New Roman" w:hAnsi="Times New Roman" w:cs="Times New Roman"/>
                <w:b/>
                <w:bCs/>
              </w:rPr>
            </w:pPr>
            <w:r w:rsidRPr="00D86CCA">
              <w:rPr>
                <w:rFonts w:ascii="Times New Roman" w:hAnsi="Times New Roman" w:cs="Times New Roman"/>
                <w:b/>
                <w:bCs/>
              </w:rPr>
              <w:t>Key Compounds</w:t>
            </w:r>
          </w:p>
        </w:tc>
        <w:tc>
          <w:tcPr>
            <w:tcW w:w="0" w:type="auto"/>
            <w:vAlign w:val="center"/>
            <w:hideMark/>
          </w:tcPr>
          <w:p w14:paraId="7FBEA586" w14:textId="77777777" w:rsidR="00D86CCA" w:rsidRPr="00D86CCA" w:rsidRDefault="00D86CCA" w:rsidP="00D86CCA">
            <w:pPr>
              <w:spacing w:after="160" w:line="278" w:lineRule="auto"/>
              <w:jc w:val="center"/>
              <w:rPr>
                <w:rFonts w:ascii="Times New Roman" w:hAnsi="Times New Roman" w:cs="Times New Roman"/>
                <w:b/>
                <w:bCs/>
              </w:rPr>
            </w:pPr>
            <w:r w:rsidRPr="00D86CCA">
              <w:rPr>
                <w:rFonts w:ascii="Times New Roman" w:hAnsi="Times New Roman" w:cs="Times New Roman"/>
                <w:b/>
                <w:bCs/>
              </w:rPr>
              <w:t>Pharmacological Activities</w:t>
            </w:r>
          </w:p>
        </w:tc>
        <w:tc>
          <w:tcPr>
            <w:tcW w:w="0" w:type="auto"/>
            <w:vAlign w:val="center"/>
            <w:hideMark/>
          </w:tcPr>
          <w:p w14:paraId="4FE10ECC" w14:textId="77777777" w:rsidR="00D86CCA" w:rsidRPr="00D86CCA" w:rsidRDefault="00D86CCA" w:rsidP="00D86CCA">
            <w:pPr>
              <w:spacing w:after="160" w:line="278" w:lineRule="auto"/>
              <w:jc w:val="center"/>
              <w:rPr>
                <w:rFonts w:ascii="Times New Roman" w:hAnsi="Times New Roman" w:cs="Times New Roman"/>
                <w:b/>
                <w:bCs/>
              </w:rPr>
            </w:pPr>
            <w:r w:rsidRPr="00D86CCA">
              <w:rPr>
                <w:rFonts w:ascii="Times New Roman" w:hAnsi="Times New Roman" w:cs="Times New Roman"/>
                <w:b/>
                <w:bCs/>
              </w:rPr>
              <w:t>Ayurvedic Role</w:t>
            </w:r>
          </w:p>
        </w:tc>
        <w:tc>
          <w:tcPr>
            <w:tcW w:w="0" w:type="auto"/>
            <w:vAlign w:val="center"/>
            <w:hideMark/>
          </w:tcPr>
          <w:p w14:paraId="0801918A" w14:textId="77777777" w:rsidR="00D86CCA" w:rsidRPr="00D86CCA" w:rsidRDefault="00D86CCA" w:rsidP="00D86CCA">
            <w:pPr>
              <w:spacing w:after="160" w:line="278" w:lineRule="auto"/>
              <w:jc w:val="center"/>
              <w:rPr>
                <w:rFonts w:ascii="Times New Roman" w:hAnsi="Times New Roman" w:cs="Times New Roman"/>
                <w:b/>
                <w:bCs/>
              </w:rPr>
            </w:pPr>
            <w:r w:rsidRPr="00D86CCA">
              <w:rPr>
                <w:rFonts w:ascii="Times New Roman" w:hAnsi="Times New Roman" w:cs="Times New Roman"/>
                <w:b/>
                <w:bCs/>
              </w:rPr>
              <w:t>Traditional/Local Uses</w:t>
            </w:r>
          </w:p>
        </w:tc>
      </w:tr>
      <w:tr w:rsidR="00D86CCA" w:rsidRPr="00D86CCA" w14:paraId="5A665358" w14:textId="77777777" w:rsidTr="00D86CCA">
        <w:tc>
          <w:tcPr>
            <w:tcW w:w="0" w:type="auto"/>
            <w:vAlign w:val="center"/>
            <w:hideMark/>
          </w:tcPr>
          <w:p w14:paraId="087704EE"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b/>
                <w:bCs/>
              </w:rPr>
              <w:t>Flavonoids</w:t>
            </w:r>
          </w:p>
        </w:tc>
        <w:tc>
          <w:tcPr>
            <w:tcW w:w="0" w:type="auto"/>
            <w:vAlign w:val="center"/>
            <w:hideMark/>
          </w:tcPr>
          <w:p w14:paraId="5904C785"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Quercetin, Kaempferol, Luteolin</w:t>
            </w:r>
          </w:p>
        </w:tc>
        <w:tc>
          <w:tcPr>
            <w:tcW w:w="0" w:type="auto"/>
            <w:vAlign w:val="center"/>
            <w:hideMark/>
          </w:tcPr>
          <w:p w14:paraId="276727D6"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Antioxidant, anti-inflammatory, antimicrobial</w:t>
            </w:r>
          </w:p>
        </w:tc>
        <w:tc>
          <w:tcPr>
            <w:tcW w:w="0" w:type="auto"/>
            <w:vAlign w:val="center"/>
            <w:hideMark/>
          </w:tcPr>
          <w:p w14:paraId="3B701382"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 xml:space="preserve">Balances Pitta and </w:t>
            </w:r>
            <w:proofErr w:type="spellStart"/>
            <w:r w:rsidRPr="00D86CCA">
              <w:rPr>
                <w:rFonts w:ascii="Times New Roman" w:hAnsi="Times New Roman" w:cs="Times New Roman"/>
              </w:rPr>
              <w:t>Raktha</w:t>
            </w:r>
            <w:proofErr w:type="spellEnd"/>
            <w:r w:rsidRPr="00D86CCA">
              <w:rPr>
                <w:rFonts w:ascii="Times New Roman" w:hAnsi="Times New Roman" w:cs="Times New Roman"/>
              </w:rPr>
              <w:t xml:space="preserve"> dhatu; detoxifying</w:t>
            </w:r>
          </w:p>
        </w:tc>
        <w:tc>
          <w:tcPr>
            <w:tcW w:w="0" w:type="auto"/>
            <w:vAlign w:val="center"/>
            <w:hideMark/>
          </w:tcPr>
          <w:p w14:paraId="55A9491A"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Used in wound healing, skin disorders</w:t>
            </w:r>
          </w:p>
        </w:tc>
      </w:tr>
      <w:tr w:rsidR="00D86CCA" w:rsidRPr="00D86CCA" w14:paraId="6082E26B" w14:textId="77777777" w:rsidTr="00D86CCA">
        <w:tc>
          <w:tcPr>
            <w:tcW w:w="0" w:type="auto"/>
            <w:vAlign w:val="center"/>
            <w:hideMark/>
          </w:tcPr>
          <w:p w14:paraId="22983C33"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b/>
                <w:bCs/>
              </w:rPr>
              <w:lastRenderedPageBreak/>
              <w:t>Alkaloids</w:t>
            </w:r>
          </w:p>
        </w:tc>
        <w:tc>
          <w:tcPr>
            <w:tcW w:w="0" w:type="auto"/>
            <w:vAlign w:val="center"/>
            <w:hideMark/>
          </w:tcPr>
          <w:p w14:paraId="454A3337" w14:textId="77777777" w:rsidR="00D86CCA" w:rsidRPr="00D86CCA" w:rsidRDefault="00D86CCA" w:rsidP="00D86CCA">
            <w:pPr>
              <w:spacing w:after="160" w:line="278" w:lineRule="auto"/>
              <w:jc w:val="center"/>
              <w:rPr>
                <w:rFonts w:ascii="Times New Roman" w:hAnsi="Times New Roman" w:cs="Times New Roman"/>
              </w:rPr>
            </w:pPr>
            <w:proofErr w:type="spellStart"/>
            <w:r w:rsidRPr="00D86CCA">
              <w:rPr>
                <w:rFonts w:ascii="Times New Roman" w:hAnsi="Times New Roman" w:cs="Times New Roman"/>
              </w:rPr>
              <w:t>Monocrotaline</w:t>
            </w:r>
            <w:proofErr w:type="spellEnd"/>
            <w:r w:rsidRPr="00D86CCA">
              <w:rPr>
                <w:rFonts w:ascii="Times New Roman" w:hAnsi="Times New Roman" w:cs="Times New Roman"/>
              </w:rPr>
              <w:t xml:space="preserve">, </w:t>
            </w:r>
            <w:proofErr w:type="spellStart"/>
            <w:r w:rsidRPr="00D86CCA">
              <w:rPr>
                <w:rFonts w:ascii="Times New Roman" w:hAnsi="Times New Roman" w:cs="Times New Roman"/>
              </w:rPr>
              <w:t>Retrorsine</w:t>
            </w:r>
            <w:proofErr w:type="spellEnd"/>
          </w:p>
        </w:tc>
        <w:tc>
          <w:tcPr>
            <w:tcW w:w="0" w:type="auto"/>
            <w:vAlign w:val="center"/>
            <w:hideMark/>
          </w:tcPr>
          <w:p w14:paraId="4A9B91C8"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Antimicrobial, cytotoxic, vasoactive</w:t>
            </w:r>
          </w:p>
        </w:tc>
        <w:tc>
          <w:tcPr>
            <w:tcW w:w="0" w:type="auto"/>
            <w:vAlign w:val="center"/>
            <w:hideMark/>
          </w:tcPr>
          <w:p w14:paraId="4D348677" w14:textId="77777777" w:rsidR="00D86CCA" w:rsidRPr="00D86CCA" w:rsidRDefault="00D86CCA" w:rsidP="00D86CCA">
            <w:pPr>
              <w:spacing w:after="160" w:line="278" w:lineRule="auto"/>
              <w:jc w:val="center"/>
              <w:rPr>
                <w:rFonts w:ascii="Times New Roman" w:hAnsi="Times New Roman" w:cs="Times New Roman"/>
              </w:rPr>
            </w:pPr>
            <w:proofErr w:type="spellStart"/>
            <w:r w:rsidRPr="00D86CCA">
              <w:rPr>
                <w:rFonts w:ascii="Times New Roman" w:hAnsi="Times New Roman" w:cs="Times New Roman"/>
              </w:rPr>
              <w:t>Katu</w:t>
            </w:r>
            <w:proofErr w:type="spellEnd"/>
            <w:r w:rsidRPr="00D86CCA">
              <w:rPr>
                <w:rFonts w:ascii="Times New Roman" w:hAnsi="Times New Roman" w:cs="Times New Roman"/>
              </w:rPr>
              <w:t xml:space="preserve"> rasa; digestive stimulant, improves circulation</w:t>
            </w:r>
          </w:p>
        </w:tc>
        <w:tc>
          <w:tcPr>
            <w:tcW w:w="0" w:type="auto"/>
            <w:vAlign w:val="center"/>
            <w:hideMark/>
          </w:tcPr>
          <w:p w14:paraId="731750C7"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Used for fever, internal pain relief</w:t>
            </w:r>
          </w:p>
        </w:tc>
      </w:tr>
      <w:tr w:rsidR="00D86CCA" w:rsidRPr="00D86CCA" w14:paraId="66551C4E" w14:textId="77777777" w:rsidTr="00D86CCA">
        <w:tc>
          <w:tcPr>
            <w:tcW w:w="0" w:type="auto"/>
            <w:vAlign w:val="center"/>
            <w:hideMark/>
          </w:tcPr>
          <w:p w14:paraId="18351417"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b/>
                <w:bCs/>
              </w:rPr>
              <w:t>Terpenoids</w:t>
            </w:r>
          </w:p>
        </w:tc>
        <w:tc>
          <w:tcPr>
            <w:tcW w:w="0" w:type="auto"/>
            <w:vAlign w:val="center"/>
            <w:hideMark/>
          </w:tcPr>
          <w:p w14:paraId="47507B70"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Sesquiterpenes, Diterpenes</w:t>
            </w:r>
          </w:p>
        </w:tc>
        <w:tc>
          <w:tcPr>
            <w:tcW w:w="0" w:type="auto"/>
            <w:vAlign w:val="center"/>
            <w:hideMark/>
          </w:tcPr>
          <w:p w14:paraId="759C63A8"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Anti-inflammatory, analgesic, antioxidant</w:t>
            </w:r>
          </w:p>
        </w:tc>
        <w:tc>
          <w:tcPr>
            <w:tcW w:w="0" w:type="auto"/>
            <w:vAlign w:val="center"/>
            <w:hideMark/>
          </w:tcPr>
          <w:p w14:paraId="0BA81A6C" w14:textId="77777777" w:rsidR="00D86CCA" w:rsidRPr="00D86CCA" w:rsidRDefault="00D86CCA" w:rsidP="00D86CCA">
            <w:pPr>
              <w:spacing w:after="160" w:line="278" w:lineRule="auto"/>
              <w:jc w:val="center"/>
              <w:rPr>
                <w:rFonts w:ascii="Times New Roman" w:hAnsi="Times New Roman" w:cs="Times New Roman"/>
              </w:rPr>
            </w:pPr>
            <w:proofErr w:type="spellStart"/>
            <w:r w:rsidRPr="00D86CCA">
              <w:rPr>
                <w:rFonts w:ascii="Times New Roman" w:hAnsi="Times New Roman" w:cs="Times New Roman"/>
              </w:rPr>
              <w:t>Ushna</w:t>
            </w:r>
            <w:proofErr w:type="spellEnd"/>
            <w:r w:rsidRPr="00D86CCA">
              <w:rPr>
                <w:rFonts w:ascii="Times New Roman" w:hAnsi="Times New Roman" w:cs="Times New Roman"/>
              </w:rPr>
              <w:t xml:space="preserve"> </w:t>
            </w:r>
            <w:proofErr w:type="spellStart"/>
            <w:r w:rsidRPr="00D86CCA">
              <w:rPr>
                <w:rFonts w:ascii="Times New Roman" w:hAnsi="Times New Roman" w:cs="Times New Roman"/>
              </w:rPr>
              <w:t>virya</w:t>
            </w:r>
            <w:proofErr w:type="spellEnd"/>
            <w:r w:rsidRPr="00D86CCA">
              <w:rPr>
                <w:rFonts w:ascii="Times New Roman" w:hAnsi="Times New Roman" w:cs="Times New Roman"/>
              </w:rPr>
              <w:t xml:space="preserve"> (heating potency); reduces obstructions</w:t>
            </w:r>
          </w:p>
        </w:tc>
        <w:tc>
          <w:tcPr>
            <w:tcW w:w="0" w:type="auto"/>
            <w:vAlign w:val="center"/>
            <w:hideMark/>
          </w:tcPr>
          <w:p w14:paraId="4B0A5469"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Used in muscle pain, postpartum care</w:t>
            </w:r>
          </w:p>
        </w:tc>
      </w:tr>
      <w:tr w:rsidR="00D86CCA" w:rsidRPr="00D86CCA" w14:paraId="06B45663" w14:textId="77777777" w:rsidTr="00D86CCA">
        <w:tc>
          <w:tcPr>
            <w:tcW w:w="0" w:type="auto"/>
            <w:vAlign w:val="center"/>
            <w:hideMark/>
          </w:tcPr>
          <w:p w14:paraId="6A2BC635"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b/>
                <w:bCs/>
              </w:rPr>
              <w:t>Phenolic Compounds</w:t>
            </w:r>
          </w:p>
        </w:tc>
        <w:tc>
          <w:tcPr>
            <w:tcW w:w="0" w:type="auto"/>
            <w:vAlign w:val="center"/>
            <w:hideMark/>
          </w:tcPr>
          <w:p w14:paraId="2C5FD258"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Gallic acid, Ferulic acid, Caffeic acid</w:t>
            </w:r>
          </w:p>
        </w:tc>
        <w:tc>
          <w:tcPr>
            <w:tcW w:w="0" w:type="auto"/>
            <w:vAlign w:val="center"/>
            <w:hideMark/>
          </w:tcPr>
          <w:p w14:paraId="731553CE"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Antioxidant, antiseptic, wound healing</w:t>
            </w:r>
          </w:p>
        </w:tc>
        <w:tc>
          <w:tcPr>
            <w:tcW w:w="0" w:type="auto"/>
            <w:vAlign w:val="center"/>
            <w:hideMark/>
          </w:tcPr>
          <w:p w14:paraId="143CFDE0"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Cooling, drying; manages Pitta disorders, ulcers</w:t>
            </w:r>
          </w:p>
        </w:tc>
        <w:tc>
          <w:tcPr>
            <w:tcW w:w="0" w:type="auto"/>
            <w:vAlign w:val="center"/>
            <w:hideMark/>
          </w:tcPr>
          <w:p w14:paraId="02E42D8E"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External washes for skin infections</w:t>
            </w:r>
          </w:p>
        </w:tc>
      </w:tr>
      <w:tr w:rsidR="00D86CCA" w:rsidRPr="00D86CCA" w14:paraId="4C610FE1" w14:textId="77777777" w:rsidTr="00D86CCA">
        <w:tc>
          <w:tcPr>
            <w:tcW w:w="0" w:type="auto"/>
            <w:vAlign w:val="center"/>
            <w:hideMark/>
          </w:tcPr>
          <w:p w14:paraId="4F62D77A"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b/>
                <w:bCs/>
              </w:rPr>
              <w:t>Saponins &amp; Tannins</w:t>
            </w:r>
          </w:p>
        </w:tc>
        <w:tc>
          <w:tcPr>
            <w:tcW w:w="0" w:type="auto"/>
            <w:vAlign w:val="center"/>
            <w:hideMark/>
          </w:tcPr>
          <w:p w14:paraId="1DF1470B"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Various saponins and tannins</w:t>
            </w:r>
          </w:p>
        </w:tc>
        <w:tc>
          <w:tcPr>
            <w:tcW w:w="0" w:type="auto"/>
            <w:vAlign w:val="center"/>
            <w:hideMark/>
          </w:tcPr>
          <w:p w14:paraId="4C3F327C"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Anti-inflammatory, antifungal, astringent, immune modulation</w:t>
            </w:r>
          </w:p>
        </w:tc>
        <w:tc>
          <w:tcPr>
            <w:tcW w:w="0" w:type="auto"/>
            <w:vAlign w:val="center"/>
            <w:hideMark/>
          </w:tcPr>
          <w:p w14:paraId="2F808F72"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Astringent; supports tissue healing and immune response</w:t>
            </w:r>
          </w:p>
        </w:tc>
        <w:tc>
          <w:tcPr>
            <w:tcW w:w="0" w:type="auto"/>
            <w:vAlign w:val="center"/>
            <w:hideMark/>
          </w:tcPr>
          <w:p w14:paraId="720BDE6E"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Used in diarrhea, infections, and inflammation</w:t>
            </w:r>
          </w:p>
        </w:tc>
      </w:tr>
      <w:tr w:rsidR="00D86CCA" w:rsidRPr="00D86CCA" w14:paraId="3D829B91" w14:textId="77777777" w:rsidTr="00D86CCA">
        <w:tc>
          <w:tcPr>
            <w:tcW w:w="0" w:type="auto"/>
            <w:vAlign w:val="center"/>
            <w:hideMark/>
          </w:tcPr>
          <w:p w14:paraId="42AB168F"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b/>
                <w:bCs/>
              </w:rPr>
              <w:t>Other Constituents</w:t>
            </w:r>
          </w:p>
        </w:tc>
        <w:tc>
          <w:tcPr>
            <w:tcW w:w="0" w:type="auto"/>
            <w:vAlign w:val="center"/>
            <w:hideMark/>
          </w:tcPr>
          <w:p w14:paraId="388D5466"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Glycosides, Sterols (β-sitosterol)</w:t>
            </w:r>
          </w:p>
        </w:tc>
        <w:tc>
          <w:tcPr>
            <w:tcW w:w="0" w:type="auto"/>
            <w:vAlign w:val="center"/>
            <w:hideMark/>
          </w:tcPr>
          <w:p w14:paraId="20EBAED7"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Cardiotonic, anti-inflammatory, cholesterol-lowering</w:t>
            </w:r>
          </w:p>
        </w:tc>
        <w:tc>
          <w:tcPr>
            <w:tcW w:w="0" w:type="auto"/>
            <w:vAlign w:val="center"/>
            <w:hideMark/>
          </w:tcPr>
          <w:p w14:paraId="0C9F2328"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Supports heart health and metabolic balance</w:t>
            </w:r>
          </w:p>
        </w:tc>
        <w:tc>
          <w:tcPr>
            <w:tcW w:w="0" w:type="auto"/>
            <w:vAlign w:val="center"/>
            <w:hideMark/>
          </w:tcPr>
          <w:p w14:paraId="50148016"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Used for diabetes and cardiovascular support</w:t>
            </w:r>
          </w:p>
        </w:tc>
      </w:tr>
    </w:tbl>
    <w:p w14:paraId="67415F18" w14:textId="77777777" w:rsidR="00D36869" w:rsidRDefault="00D36869" w:rsidP="00D36869">
      <w:pPr>
        <w:rPr>
          <w:rFonts w:ascii="Times New Roman" w:hAnsi="Times New Roman" w:cs="Times New Roman"/>
        </w:rPr>
      </w:pPr>
    </w:p>
    <w:p w14:paraId="1B07B7E3" w14:textId="45DEF602" w:rsidR="00D36869" w:rsidRDefault="00D86CCA" w:rsidP="00D86CCA">
      <w:pPr>
        <w:jc w:val="center"/>
        <w:rPr>
          <w:rFonts w:ascii="Times New Roman" w:hAnsi="Times New Roman" w:cs="Times New Roman"/>
        </w:rPr>
      </w:pPr>
      <w:r>
        <w:rPr>
          <w:rFonts w:ascii="Times New Roman" w:hAnsi="Times New Roman" w:cs="Times New Roman"/>
        </w:rPr>
        <w:t xml:space="preserve">Table No – 03 </w:t>
      </w:r>
      <w:r w:rsidRPr="00D86CCA">
        <w:rPr>
          <w:rFonts w:ascii="Times New Roman" w:hAnsi="Times New Roman" w:cs="Times New Roman"/>
        </w:rPr>
        <w:t xml:space="preserve">Overview of Major Phytochemicals in </w:t>
      </w:r>
      <w:r w:rsidRPr="00D86CCA">
        <w:rPr>
          <w:rFonts w:ascii="Times New Roman" w:hAnsi="Times New Roman" w:cs="Times New Roman"/>
          <w:i/>
          <w:iCs/>
        </w:rPr>
        <w:t xml:space="preserve">Crotalaria </w:t>
      </w:r>
      <w:proofErr w:type="spellStart"/>
      <w:r w:rsidRPr="00D86CCA">
        <w:rPr>
          <w:rFonts w:ascii="Times New Roman" w:hAnsi="Times New Roman" w:cs="Times New Roman"/>
          <w:i/>
          <w:iCs/>
        </w:rPr>
        <w:t>multibracteata</w:t>
      </w:r>
      <w:proofErr w:type="spellEnd"/>
      <w:r w:rsidRPr="00D86CCA">
        <w:rPr>
          <w:rFonts w:ascii="Times New Roman" w:hAnsi="Times New Roman" w:cs="Times New Roman"/>
        </w:rPr>
        <w:t xml:space="preserve"> and Their Therapeutic Relevance</w:t>
      </w:r>
    </w:p>
    <w:p w14:paraId="03240C21" w14:textId="77777777" w:rsidR="00F34F33" w:rsidRPr="00F34F33" w:rsidRDefault="00F34F33" w:rsidP="00F34F33">
      <w:pPr>
        <w:jc w:val="both"/>
        <w:rPr>
          <w:rFonts w:ascii="Times New Roman" w:hAnsi="Times New Roman" w:cs="Times New Roman"/>
          <w:b/>
          <w:bCs/>
        </w:rPr>
      </w:pPr>
      <w:r w:rsidRPr="00F34F33">
        <w:rPr>
          <w:rFonts w:ascii="Times New Roman" w:hAnsi="Times New Roman" w:cs="Times New Roman"/>
          <w:b/>
          <w:bCs/>
        </w:rPr>
        <w:t xml:space="preserve">Pharmacological Activities of </w:t>
      </w:r>
      <w:r w:rsidRPr="00F34F33">
        <w:rPr>
          <w:rFonts w:ascii="Times New Roman" w:hAnsi="Times New Roman" w:cs="Times New Roman"/>
          <w:b/>
          <w:bCs/>
          <w:i/>
          <w:iCs/>
        </w:rPr>
        <w:t xml:space="preserve">Crotalaria </w:t>
      </w:r>
      <w:proofErr w:type="spellStart"/>
      <w:r w:rsidRPr="00F34F33">
        <w:rPr>
          <w:rFonts w:ascii="Times New Roman" w:hAnsi="Times New Roman" w:cs="Times New Roman"/>
          <w:b/>
          <w:bCs/>
          <w:i/>
          <w:iCs/>
        </w:rPr>
        <w:t>multibracteata</w:t>
      </w:r>
      <w:proofErr w:type="spellEnd"/>
    </w:p>
    <w:p w14:paraId="18F1FB2C" w14:textId="728C2D85" w:rsidR="00F34F33" w:rsidRPr="00F34F33" w:rsidRDefault="00F34F33" w:rsidP="00F34F33">
      <w:pPr>
        <w:jc w:val="both"/>
        <w:rPr>
          <w:rFonts w:ascii="Times New Roman" w:hAnsi="Times New Roman" w:cs="Times New Roman"/>
          <w:b/>
          <w:bCs/>
        </w:rPr>
      </w:pPr>
      <w:r w:rsidRPr="00F34F33">
        <w:rPr>
          <w:rFonts w:ascii="Times New Roman" w:hAnsi="Times New Roman" w:cs="Times New Roman"/>
          <w:b/>
          <w:bCs/>
        </w:rPr>
        <w:t>Anti-inflammatory Activity</w:t>
      </w:r>
    </w:p>
    <w:p w14:paraId="163D8EC5" w14:textId="77777777" w:rsidR="00F34F33" w:rsidRPr="00F34F33" w:rsidRDefault="00F34F33" w:rsidP="00F34F33">
      <w:pPr>
        <w:jc w:val="both"/>
        <w:rPr>
          <w:rFonts w:ascii="Times New Roman" w:hAnsi="Times New Roman" w:cs="Times New Roman"/>
        </w:rPr>
      </w:pPr>
      <w:r w:rsidRPr="00F34F33">
        <w:rPr>
          <w:rFonts w:ascii="Times New Roman" w:hAnsi="Times New Roman" w:cs="Times New Roman"/>
          <w:i/>
          <w:iCs/>
        </w:rPr>
        <w:t xml:space="preserve">Crotalaria </w:t>
      </w:r>
      <w:proofErr w:type="spellStart"/>
      <w:r w:rsidRPr="00F34F33">
        <w:rPr>
          <w:rFonts w:ascii="Times New Roman" w:hAnsi="Times New Roman" w:cs="Times New Roman"/>
          <w:i/>
          <w:iCs/>
        </w:rPr>
        <w:t>multibracteata</w:t>
      </w:r>
      <w:proofErr w:type="spellEnd"/>
      <w:r w:rsidRPr="00F34F33">
        <w:rPr>
          <w:rFonts w:ascii="Times New Roman" w:hAnsi="Times New Roman" w:cs="Times New Roman"/>
        </w:rPr>
        <w:t xml:space="preserve"> exhibits significant anti-inflammatory effects attributed primarily to its flavonoids and terpenoid content. In vitro assays have demonstrated inhibition of pro-inflammatory enzymes such as cyclooxygenase (COX) and lipoxygenase (LOX), reducing the synthesis of inflammatory mediators [37]. In vivo studies on rodent models have shown that </w:t>
      </w:r>
      <w:r w:rsidRPr="00F34F33">
        <w:rPr>
          <w:rFonts w:ascii="Times New Roman" w:hAnsi="Times New Roman" w:cs="Times New Roman"/>
        </w:rPr>
        <w:lastRenderedPageBreak/>
        <w:t>extracts of the plant reduce paw edema and inflammation markers, supporting its traditional use in managing inflammatory conditions [38].</w:t>
      </w:r>
    </w:p>
    <w:p w14:paraId="529AE67E" w14:textId="37AA9559" w:rsidR="00F34F33" w:rsidRPr="00F34F33" w:rsidRDefault="00F34F33" w:rsidP="00F34F33">
      <w:pPr>
        <w:jc w:val="both"/>
        <w:rPr>
          <w:rFonts w:ascii="Times New Roman" w:hAnsi="Times New Roman" w:cs="Times New Roman"/>
          <w:b/>
          <w:bCs/>
        </w:rPr>
      </w:pPr>
      <w:r w:rsidRPr="00F34F33">
        <w:rPr>
          <w:rFonts w:ascii="Times New Roman" w:hAnsi="Times New Roman" w:cs="Times New Roman"/>
          <w:b/>
          <w:bCs/>
        </w:rPr>
        <w:t>Antioxidant Activity</w:t>
      </w:r>
    </w:p>
    <w:p w14:paraId="1B896231" w14:textId="77777777" w:rsidR="00F34F33" w:rsidRPr="00F34F33" w:rsidRDefault="00F34F33" w:rsidP="00F34F33">
      <w:pPr>
        <w:jc w:val="both"/>
        <w:rPr>
          <w:rFonts w:ascii="Times New Roman" w:hAnsi="Times New Roman" w:cs="Times New Roman"/>
        </w:rPr>
      </w:pPr>
      <w:r w:rsidRPr="00F34F33">
        <w:rPr>
          <w:rFonts w:ascii="Times New Roman" w:hAnsi="Times New Roman" w:cs="Times New Roman"/>
        </w:rPr>
        <w:t xml:space="preserve">The high content of flavonoids and phenolic compounds imparts potent antioxidant properties to </w:t>
      </w:r>
      <w:r w:rsidRPr="00F34F33">
        <w:rPr>
          <w:rFonts w:ascii="Times New Roman" w:hAnsi="Times New Roman" w:cs="Times New Roman"/>
          <w:i/>
          <w:iCs/>
        </w:rPr>
        <w:t xml:space="preserve">C. </w:t>
      </w:r>
      <w:proofErr w:type="spellStart"/>
      <w:r w:rsidRPr="00F34F33">
        <w:rPr>
          <w:rFonts w:ascii="Times New Roman" w:hAnsi="Times New Roman" w:cs="Times New Roman"/>
          <w:i/>
          <w:iCs/>
        </w:rPr>
        <w:t>multibracteata</w:t>
      </w:r>
      <w:proofErr w:type="spellEnd"/>
      <w:r w:rsidRPr="00F34F33">
        <w:rPr>
          <w:rFonts w:ascii="Times New Roman" w:hAnsi="Times New Roman" w:cs="Times New Roman"/>
        </w:rPr>
        <w:t>. In vitro assays such as DPPH radical scavenging and FRAP (ferric reducing antioxidant power) have confirmed its ability to neutralize free radicals and reduce oxidative stress [39]. Animal studies further show protection against oxidative damage in liver and kidney tissues, highlighting its potential in preventing oxidative stress-related diseases [40].</w:t>
      </w:r>
    </w:p>
    <w:p w14:paraId="0088B34B" w14:textId="26303945" w:rsidR="00F34F33" w:rsidRPr="00F34F33" w:rsidRDefault="00F34F33" w:rsidP="00F34F33">
      <w:pPr>
        <w:jc w:val="both"/>
        <w:rPr>
          <w:rFonts w:ascii="Times New Roman" w:hAnsi="Times New Roman" w:cs="Times New Roman"/>
          <w:b/>
          <w:bCs/>
        </w:rPr>
      </w:pPr>
      <w:r w:rsidRPr="00F34F33">
        <w:rPr>
          <w:rFonts w:ascii="Times New Roman" w:hAnsi="Times New Roman" w:cs="Times New Roman"/>
          <w:b/>
          <w:bCs/>
        </w:rPr>
        <w:t>Antimicrobial Activity</w:t>
      </w:r>
    </w:p>
    <w:p w14:paraId="1752EE49" w14:textId="77777777" w:rsidR="00F34F33" w:rsidRPr="00F34F33" w:rsidRDefault="00F34F33" w:rsidP="00F34F33">
      <w:pPr>
        <w:jc w:val="both"/>
        <w:rPr>
          <w:rFonts w:ascii="Times New Roman" w:hAnsi="Times New Roman" w:cs="Times New Roman"/>
        </w:rPr>
      </w:pPr>
      <w:r w:rsidRPr="00F34F33">
        <w:rPr>
          <w:rFonts w:ascii="Times New Roman" w:hAnsi="Times New Roman" w:cs="Times New Roman"/>
        </w:rPr>
        <w:t xml:space="preserve">Multiple in vitro studies have reported that </w:t>
      </w:r>
      <w:r w:rsidRPr="00F34F33">
        <w:rPr>
          <w:rFonts w:ascii="Times New Roman" w:hAnsi="Times New Roman" w:cs="Times New Roman"/>
          <w:i/>
          <w:iCs/>
        </w:rPr>
        <w:t xml:space="preserve">C. </w:t>
      </w:r>
      <w:proofErr w:type="spellStart"/>
      <w:r w:rsidRPr="00F34F33">
        <w:rPr>
          <w:rFonts w:ascii="Times New Roman" w:hAnsi="Times New Roman" w:cs="Times New Roman"/>
          <w:i/>
          <w:iCs/>
        </w:rPr>
        <w:t>multibracteata</w:t>
      </w:r>
      <w:proofErr w:type="spellEnd"/>
      <w:r w:rsidRPr="00F34F33">
        <w:rPr>
          <w:rFonts w:ascii="Times New Roman" w:hAnsi="Times New Roman" w:cs="Times New Roman"/>
        </w:rPr>
        <w:t xml:space="preserve"> extracts inhibit the growth of various Gram-positive and Gram-negative bacteria, including </w:t>
      </w:r>
      <w:r w:rsidRPr="00F34F33">
        <w:rPr>
          <w:rFonts w:ascii="Times New Roman" w:hAnsi="Times New Roman" w:cs="Times New Roman"/>
          <w:i/>
          <w:iCs/>
        </w:rPr>
        <w:t>Staphylococcus aureus</w:t>
      </w:r>
      <w:r w:rsidRPr="00F34F33">
        <w:rPr>
          <w:rFonts w:ascii="Times New Roman" w:hAnsi="Times New Roman" w:cs="Times New Roman"/>
        </w:rPr>
        <w:t xml:space="preserve"> and </w:t>
      </w:r>
      <w:r w:rsidRPr="00F34F33">
        <w:rPr>
          <w:rFonts w:ascii="Times New Roman" w:hAnsi="Times New Roman" w:cs="Times New Roman"/>
          <w:i/>
          <w:iCs/>
        </w:rPr>
        <w:t>Escherichia coli</w:t>
      </w:r>
      <w:r w:rsidRPr="00F34F33">
        <w:rPr>
          <w:rFonts w:ascii="Times New Roman" w:hAnsi="Times New Roman" w:cs="Times New Roman"/>
        </w:rPr>
        <w:t xml:space="preserve"> [41]. Its antifungal activity against species such as </w:t>
      </w:r>
      <w:r w:rsidRPr="00F34F33">
        <w:rPr>
          <w:rFonts w:ascii="Times New Roman" w:hAnsi="Times New Roman" w:cs="Times New Roman"/>
          <w:i/>
          <w:iCs/>
        </w:rPr>
        <w:t>Candida albicans</w:t>
      </w:r>
      <w:r w:rsidRPr="00F34F33">
        <w:rPr>
          <w:rFonts w:ascii="Times New Roman" w:hAnsi="Times New Roman" w:cs="Times New Roman"/>
        </w:rPr>
        <w:t xml:space="preserve"> has also been demonstrated. The antimicrobial effects are believed to arise from alkaloids and phenolic compounds that disrupt microbial cell walls and interfere with metabolism.</w:t>
      </w:r>
    </w:p>
    <w:p w14:paraId="638C162C" w14:textId="2311DFEA" w:rsidR="00F34F33" w:rsidRPr="00F34F33" w:rsidRDefault="00F34F33" w:rsidP="00F34F33">
      <w:pPr>
        <w:jc w:val="both"/>
        <w:rPr>
          <w:rFonts w:ascii="Times New Roman" w:hAnsi="Times New Roman" w:cs="Times New Roman"/>
          <w:b/>
          <w:bCs/>
        </w:rPr>
      </w:pPr>
      <w:r w:rsidRPr="00F34F33">
        <w:rPr>
          <w:rFonts w:ascii="Times New Roman" w:hAnsi="Times New Roman" w:cs="Times New Roman"/>
          <w:b/>
          <w:bCs/>
        </w:rPr>
        <w:t>Cytotoxic and Anticancer Effects</w:t>
      </w:r>
    </w:p>
    <w:p w14:paraId="103B8F69" w14:textId="77777777" w:rsidR="00F34F33" w:rsidRPr="00F34F33" w:rsidRDefault="00F34F33" w:rsidP="00F34F33">
      <w:pPr>
        <w:jc w:val="both"/>
        <w:rPr>
          <w:rFonts w:ascii="Times New Roman" w:hAnsi="Times New Roman" w:cs="Times New Roman"/>
        </w:rPr>
      </w:pPr>
      <w:r w:rsidRPr="00F34F33">
        <w:rPr>
          <w:rFonts w:ascii="Times New Roman" w:hAnsi="Times New Roman" w:cs="Times New Roman"/>
        </w:rPr>
        <w:t xml:space="preserve">Preliminary cytotoxicity screening indicates that certain alkaloids and flavonoids in </w:t>
      </w:r>
      <w:r w:rsidRPr="00F34F33">
        <w:rPr>
          <w:rFonts w:ascii="Times New Roman" w:hAnsi="Times New Roman" w:cs="Times New Roman"/>
          <w:i/>
          <w:iCs/>
        </w:rPr>
        <w:t xml:space="preserve">C. </w:t>
      </w:r>
      <w:proofErr w:type="spellStart"/>
      <w:r w:rsidRPr="00F34F33">
        <w:rPr>
          <w:rFonts w:ascii="Times New Roman" w:hAnsi="Times New Roman" w:cs="Times New Roman"/>
          <w:i/>
          <w:iCs/>
        </w:rPr>
        <w:t>multibracteata</w:t>
      </w:r>
      <w:proofErr w:type="spellEnd"/>
      <w:r w:rsidRPr="00F34F33">
        <w:rPr>
          <w:rFonts w:ascii="Times New Roman" w:hAnsi="Times New Roman" w:cs="Times New Roman"/>
        </w:rPr>
        <w:t xml:space="preserve"> exhibit selective cytotoxicity against cancer cell lines, including breast and lung carcinoma cells [42]. Both in vitro assays (MTT, apoptosis induction) and in vivo tumor inhibition studies have shown promising anticancer potential, although further mechanistic studies are required.</w:t>
      </w:r>
    </w:p>
    <w:p w14:paraId="57F95CDA" w14:textId="7FC7D14C" w:rsidR="00F34F33" w:rsidRPr="00F34F33" w:rsidRDefault="00F34F33" w:rsidP="00F34F33">
      <w:pPr>
        <w:jc w:val="both"/>
        <w:rPr>
          <w:rFonts w:ascii="Times New Roman" w:hAnsi="Times New Roman" w:cs="Times New Roman"/>
          <w:b/>
          <w:bCs/>
        </w:rPr>
      </w:pPr>
      <w:r w:rsidRPr="00F34F33">
        <w:rPr>
          <w:rFonts w:ascii="Times New Roman" w:hAnsi="Times New Roman" w:cs="Times New Roman"/>
          <w:b/>
          <w:bCs/>
        </w:rPr>
        <w:t>Antidiabetic and Hepatoprotective Activities</w:t>
      </w:r>
    </w:p>
    <w:p w14:paraId="146BE965" w14:textId="77777777" w:rsidR="00F34F33" w:rsidRPr="00F34F33" w:rsidRDefault="00F34F33" w:rsidP="00F34F33">
      <w:pPr>
        <w:jc w:val="both"/>
        <w:rPr>
          <w:rFonts w:ascii="Times New Roman" w:hAnsi="Times New Roman" w:cs="Times New Roman"/>
        </w:rPr>
      </w:pPr>
      <w:r w:rsidRPr="00F34F33">
        <w:rPr>
          <w:rFonts w:ascii="Times New Roman" w:hAnsi="Times New Roman" w:cs="Times New Roman"/>
        </w:rPr>
        <w:t xml:space="preserve">Though limited, some studies suggest </w:t>
      </w:r>
      <w:r w:rsidRPr="00F34F33">
        <w:rPr>
          <w:rFonts w:ascii="Times New Roman" w:hAnsi="Times New Roman" w:cs="Times New Roman"/>
          <w:i/>
          <w:iCs/>
        </w:rPr>
        <w:t>Crotalaria</w:t>
      </w:r>
      <w:r w:rsidRPr="00F34F33">
        <w:rPr>
          <w:rFonts w:ascii="Times New Roman" w:hAnsi="Times New Roman" w:cs="Times New Roman"/>
        </w:rPr>
        <w:t xml:space="preserve"> species possess antidiabetic properties by enhancing insulin secretion and improving glucose uptake [43]. Hepatoprotective effects have been observed in animal models where plant extracts reduce elevated liver enzymes and oxidative damage induced by toxins [44]. These effects are attributed to antioxidant flavonoids and sterols.</w:t>
      </w:r>
    </w:p>
    <w:p w14:paraId="5F5A6F43" w14:textId="77777777" w:rsidR="00D36869" w:rsidRDefault="00D36869" w:rsidP="00D36869">
      <w:pPr>
        <w:rPr>
          <w:rFonts w:ascii="Times New Roman" w:hAnsi="Times New Roman" w:cs="Times New Roman"/>
        </w:rPr>
      </w:pPr>
    </w:p>
    <w:tbl>
      <w:tblPr>
        <w:tblStyle w:val="TableGrid"/>
        <w:tblW w:w="0" w:type="auto"/>
        <w:tblLook w:val="04A0" w:firstRow="1" w:lastRow="0" w:firstColumn="1" w:lastColumn="0" w:noHBand="0" w:noVBand="1"/>
      </w:tblPr>
      <w:tblGrid>
        <w:gridCol w:w="2130"/>
        <w:gridCol w:w="3444"/>
        <w:gridCol w:w="2445"/>
        <w:gridCol w:w="1331"/>
      </w:tblGrid>
      <w:tr w:rsidR="00F34F33" w:rsidRPr="00F34F33" w14:paraId="4C49AD1C" w14:textId="77777777" w:rsidTr="00F34F33">
        <w:tc>
          <w:tcPr>
            <w:tcW w:w="0" w:type="auto"/>
            <w:vAlign w:val="center"/>
            <w:hideMark/>
          </w:tcPr>
          <w:p w14:paraId="2D38E26E" w14:textId="77777777" w:rsidR="00F34F33" w:rsidRPr="00F34F33" w:rsidRDefault="00F34F33" w:rsidP="00F34F33">
            <w:pPr>
              <w:spacing w:after="160" w:line="278" w:lineRule="auto"/>
              <w:jc w:val="center"/>
              <w:rPr>
                <w:rFonts w:ascii="Times New Roman" w:hAnsi="Times New Roman" w:cs="Times New Roman"/>
                <w:b/>
                <w:bCs/>
              </w:rPr>
            </w:pPr>
            <w:r w:rsidRPr="00F34F33">
              <w:rPr>
                <w:rFonts w:ascii="Times New Roman" w:hAnsi="Times New Roman" w:cs="Times New Roman"/>
                <w:b/>
                <w:bCs/>
              </w:rPr>
              <w:t>Pharmacological Activity</w:t>
            </w:r>
          </w:p>
        </w:tc>
        <w:tc>
          <w:tcPr>
            <w:tcW w:w="0" w:type="auto"/>
            <w:vAlign w:val="center"/>
            <w:hideMark/>
          </w:tcPr>
          <w:p w14:paraId="7A536203" w14:textId="77777777" w:rsidR="00F34F33" w:rsidRPr="00F34F33" w:rsidRDefault="00F34F33" w:rsidP="00F34F33">
            <w:pPr>
              <w:spacing w:after="160" w:line="278" w:lineRule="auto"/>
              <w:jc w:val="center"/>
              <w:rPr>
                <w:rFonts w:ascii="Times New Roman" w:hAnsi="Times New Roman" w:cs="Times New Roman"/>
                <w:b/>
                <w:bCs/>
              </w:rPr>
            </w:pPr>
            <w:r w:rsidRPr="00F34F33">
              <w:rPr>
                <w:rFonts w:ascii="Times New Roman" w:hAnsi="Times New Roman" w:cs="Times New Roman"/>
                <w:b/>
                <w:bCs/>
              </w:rPr>
              <w:t>Key Findings</w:t>
            </w:r>
          </w:p>
        </w:tc>
        <w:tc>
          <w:tcPr>
            <w:tcW w:w="0" w:type="auto"/>
            <w:vAlign w:val="center"/>
            <w:hideMark/>
          </w:tcPr>
          <w:p w14:paraId="6BE3F4F0" w14:textId="77777777" w:rsidR="00F34F33" w:rsidRPr="00F34F33" w:rsidRDefault="00F34F33" w:rsidP="00F34F33">
            <w:pPr>
              <w:spacing w:after="160" w:line="278" w:lineRule="auto"/>
              <w:jc w:val="center"/>
              <w:rPr>
                <w:rFonts w:ascii="Times New Roman" w:hAnsi="Times New Roman" w:cs="Times New Roman"/>
                <w:b/>
                <w:bCs/>
              </w:rPr>
            </w:pPr>
            <w:r w:rsidRPr="00F34F33">
              <w:rPr>
                <w:rFonts w:ascii="Times New Roman" w:hAnsi="Times New Roman" w:cs="Times New Roman"/>
                <w:b/>
                <w:bCs/>
              </w:rPr>
              <w:t>Model/Method</w:t>
            </w:r>
          </w:p>
        </w:tc>
        <w:tc>
          <w:tcPr>
            <w:tcW w:w="0" w:type="auto"/>
            <w:vAlign w:val="center"/>
            <w:hideMark/>
          </w:tcPr>
          <w:p w14:paraId="2338921A" w14:textId="77777777" w:rsidR="00F34F33" w:rsidRPr="00F34F33" w:rsidRDefault="00F34F33" w:rsidP="00F34F33">
            <w:pPr>
              <w:spacing w:after="160" w:line="278" w:lineRule="auto"/>
              <w:jc w:val="center"/>
              <w:rPr>
                <w:rFonts w:ascii="Times New Roman" w:hAnsi="Times New Roman" w:cs="Times New Roman"/>
                <w:b/>
                <w:bCs/>
              </w:rPr>
            </w:pPr>
            <w:r w:rsidRPr="00F34F33">
              <w:rPr>
                <w:rFonts w:ascii="Times New Roman" w:hAnsi="Times New Roman" w:cs="Times New Roman"/>
                <w:b/>
                <w:bCs/>
              </w:rPr>
              <w:t>References</w:t>
            </w:r>
          </w:p>
        </w:tc>
      </w:tr>
      <w:tr w:rsidR="00F34F33" w:rsidRPr="00F34F33" w14:paraId="2FE8A4D7" w14:textId="77777777" w:rsidTr="00F34F33">
        <w:tc>
          <w:tcPr>
            <w:tcW w:w="0" w:type="auto"/>
            <w:vAlign w:val="center"/>
            <w:hideMark/>
          </w:tcPr>
          <w:p w14:paraId="4182F7D1"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b/>
                <w:bCs/>
              </w:rPr>
              <w:t>Anti-inflammatory</w:t>
            </w:r>
          </w:p>
        </w:tc>
        <w:tc>
          <w:tcPr>
            <w:tcW w:w="0" w:type="auto"/>
            <w:vAlign w:val="center"/>
            <w:hideMark/>
          </w:tcPr>
          <w:p w14:paraId="5869F54D"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Inhibits COX and LOX enzymes; reduces paw edema and inflammatory markers</w:t>
            </w:r>
          </w:p>
        </w:tc>
        <w:tc>
          <w:tcPr>
            <w:tcW w:w="0" w:type="auto"/>
            <w:vAlign w:val="center"/>
            <w:hideMark/>
          </w:tcPr>
          <w:p w14:paraId="73F465C8"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In vitro enzyme assays; in vivo rodent paw edema model</w:t>
            </w:r>
          </w:p>
        </w:tc>
        <w:tc>
          <w:tcPr>
            <w:tcW w:w="0" w:type="auto"/>
            <w:vAlign w:val="center"/>
            <w:hideMark/>
          </w:tcPr>
          <w:p w14:paraId="01F1AF8F"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[37,38]</w:t>
            </w:r>
          </w:p>
        </w:tc>
      </w:tr>
      <w:tr w:rsidR="00F34F33" w:rsidRPr="00F34F33" w14:paraId="0CCEDBA1" w14:textId="77777777" w:rsidTr="00F34F33">
        <w:tc>
          <w:tcPr>
            <w:tcW w:w="0" w:type="auto"/>
            <w:vAlign w:val="center"/>
            <w:hideMark/>
          </w:tcPr>
          <w:p w14:paraId="0B08A62D"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b/>
                <w:bCs/>
              </w:rPr>
              <w:lastRenderedPageBreak/>
              <w:t>Antioxidant</w:t>
            </w:r>
          </w:p>
        </w:tc>
        <w:tc>
          <w:tcPr>
            <w:tcW w:w="0" w:type="auto"/>
            <w:vAlign w:val="center"/>
            <w:hideMark/>
          </w:tcPr>
          <w:p w14:paraId="65DBBD33"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Strong free radical scavenging activity; protects liver and kidney from oxidative damage</w:t>
            </w:r>
          </w:p>
        </w:tc>
        <w:tc>
          <w:tcPr>
            <w:tcW w:w="0" w:type="auto"/>
            <w:vAlign w:val="center"/>
            <w:hideMark/>
          </w:tcPr>
          <w:p w14:paraId="39F637DA"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DPPH, FRAP assays; animal oxidative stress models</w:t>
            </w:r>
          </w:p>
        </w:tc>
        <w:tc>
          <w:tcPr>
            <w:tcW w:w="0" w:type="auto"/>
            <w:vAlign w:val="center"/>
            <w:hideMark/>
          </w:tcPr>
          <w:p w14:paraId="35C9765F"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[39,40]</w:t>
            </w:r>
          </w:p>
        </w:tc>
      </w:tr>
      <w:tr w:rsidR="00F34F33" w:rsidRPr="00F34F33" w14:paraId="3E066F17" w14:textId="77777777" w:rsidTr="00F34F33">
        <w:tc>
          <w:tcPr>
            <w:tcW w:w="0" w:type="auto"/>
            <w:vAlign w:val="center"/>
            <w:hideMark/>
          </w:tcPr>
          <w:p w14:paraId="76CC5D0B"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b/>
                <w:bCs/>
              </w:rPr>
              <w:t>Antimicrobial</w:t>
            </w:r>
          </w:p>
        </w:tc>
        <w:tc>
          <w:tcPr>
            <w:tcW w:w="0" w:type="auto"/>
            <w:vAlign w:val="center"/>
            <w:hideMark/>
          </w:tcPr>
          <w:p w14:paraId="191A599F"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Effective against Gram-positive and Gram-negative bacteria (</w:t>
            </w:r>
            <w:r w:rsidRPr="00F34F33">
              <w:rPr>
                <w:rFonts w:ascii="Times New Roman" w:hAnsi="Times New Roman" w:cs="Times New Roman"/>
                <w:i/>
                <w:iCs/>
              </w:rPr>
              <w:t>S. aureus</w:t>
            </w:r>
            <w:r w:rsidRPr="00F34F33">
              <w:rPr>
                <w:rFonts w:ascii="Times New Roman" w:hAnsi="Times New Roman" w:cs="Times New Roman"/>
              </w:rPr>
              <w:t xml:space="preserve">, </w:t>
            </w:r>
            <w:r w:rsidRPr="00F34F33">
              <w:rPr>
                <w:rFonts w:ascii="Times New Roman" w:hAnsi="Times New Roman" w:cs="Times New Roman"/>
                <w:i/>
                <w:iCs/>
              </w:rPr>
              <w:t>E. coli</w:t>
            </w:r>
            <w:r w:rsidRPr="00F34F33">
              <w:rPr>
                <w:rFonts w:ascii="Times New Roman" w:hAnsi="Times New Roman" w:cs="Times New Roman"/>
              </w:rPr>
              <w:t xml:space="preserve">); antifungal activity against </w:t>
            </w:r>
            <w:r w:rsidRPr="00F34F33">
              <w:rPr>
                <w:rFonts w:ascii="Times New Roman" w:hAnsi="Times New Roman" w:cs="Times New Roman"/>
                <w:i/>
                <w:iCs/>
              </w:rPr>
              <w:t>Candida albicans</w:t>
            </w:r>
          </w:p>
        </w:tc>
        <w:tc>
          <w:tcPr>
            <w:tcW w:w="0" w:type="auto"/>
            <w:vAlign w:val="center"/>
            <w:hideMark/>
          </w:tcPr>
          <w:p w14:paraId="22ECEE86"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In vitro microbial inhibition assays</w:t>
            </w:r>
          </w:p>
        </w:tc>
        <w:tc>
          <w:tcPr>
            <w:tcW w:w="0" w:type="auto"/>
            <w:vAlign w:val="center"/>
            <w:hideMark/>
          </w:tcPr>
          <w:p w14:paraId="76874246"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[41]</w:t>
            </w:r>
          </w:p>
        </w:tc>
      </w:tr>
      <w:tr w:rsidR="00F34F33" w:rsidRPr="00F34F33" w14:paraId="4466BA04" w14:textId="77777777" w:rsidTr="00F34F33">
        <w:tc>
          <w:tcPr>
            <w:tcW w:w="0" w:type="auto"/>
            <w:vAlign w:val="center"/>
            <w:hideMark/>
          </w:tcPr>
          <w:p w14:paraId="17E0A258"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b/>
                <w:bCs/>
              </w:rPr>
              <w:t>Cytotoxic / Anticancer</w:t>
            </w:r>
          </w:p>
        </w:tc>
        <w:tc>
          <w:tcPr>
            <w:tcW w:w="0" w:type="auto"/>
            <w:vAlign w:val="center"/>
            <w:hideMark/>
          </w:tcPr>
          <w:p w14:paraId="1FC0CD68"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Selective cytotoxicity on breast and lung cancer cell lines; induces apoptosis and tumor inhibition</w:t>
            </w:r>
          </w:p>
        </w:tc>
        <w:tc>
          <w:tcPr>
            <w:tcW w:w="0" w:type="auto"/>
            <w:vAlign w:val="center"/>
            <w:hideMark/>
          </w:tcPr>
          <w:p w14:paraId="4294D48A"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In vitro MTT assays; in vivo tumor models</w:t>
            </w:r>
          </w:p>
        </w:tc>
        <w:tc>
          <w:tcPr>
            <w:tcW w:w="0" w:type="auto"/>
            <w:vAlign w:val="center"/>
            <w:hideMark/>
          </w:tcPr>
          <w:p w14:paraId="62AA9017"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[42]</w:t>
            </w:r>
          </w:p>
        </w:tc>
      </w:tr>
      <w:tr w:rsidR="00F34F33" w:rsidRPr="00F34F33" w14:paraId="76074C0E" w14:textId="77777777" w:rsidTr="00F34F33">
        <w:tc>
          <w:tcPr>
            <w:tcW w:w="0" w:type="auto"/>
            <w:vAlign w:val="center"/>
            <w:hideMark/>
          </w:tcPr>
          <w:p w14:paraId="33FB085E"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b/>
                <w:bCs/>
              </w:rPr>
              <w:t>Antidiabetic</w:t>
            </w:r>
          </w:p>
        </w:tc>
        <w:tc>
          <w:tcPr>
            <w:tcW w:w="0" w:type="auto"/>
            <w:vAlign w:val="center"/>
            <w:hideMark/>
          </w:tcPr>
          <w:p w14:paraId="407CBA9E"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Enhances insulin secretion and glucose uptake in diabetic animal models</w:t>
            </w:r>
          </w:p>
        </w:tc>
        <w:tc>
          <w:tcPr>
            <w:tcW w:w="0" w:type="auto"/>
            <w:vAlign w:val="center"/>
            <w:hideMark/>
          </w:tcPr>
          <w:p w14:paraId="0C100948"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In vivo streptozotocin-induced diabetic rats</w:t>
            </w:r>
          </w:p>
        </w:tc>
        <w:tc>
          <w:tcPr>
            <w:tcW w:w="0" w:type="auto"/>
            <w:vAlign w:val="center"/>
            <w:hideMark/>
          </w:tcPr>
          <w:p w14:paraId="5E40C660"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[43]</w:t>
            </w:r>
          </w:p>
        </w:tc>
      </w:tr>
      <w:tr w:rsidR="00F34F33" w:rsidRPr="00F34F33" w14:paraId="41D341BC" w14:textId="77777777" w:rsidTr="00F34F33">
        <w:tc>
          <w:tcPr>
            <w:tcW w:w="0" w:type="auto"/>
            <w:vAlign w:val="center"/>
            <w:hideMark/>
          </w:tcPr>
          <w:p w14:paraId="10FDA69B"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b/>
                <w:bCs/>
              </w:rPr>
              <w:t>Hepatoprotective</w:t>
            </w:r>
          </w:p>
        </w:tc>
        <w:tc>
          <w:tcPr>
            <w:tcW w:w="0" w:type="auto"/>
            <w:vAlign w:val="center"/>
            <w:hideMark/>
          </w:tcPr>
          <w:p w14:paraId="6DED42FA"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Reduces elevated liver enzymes and oxidative liver damage caused by toxins</w:t>
            </w:r>
          </w:p>
        </w:tc>
        <w:tc>
          <w:tcPr>
            <w:tcW w:w="0" w:type="auto"/>
            <w:vAlign w:val="center"/>
            <w:hideMark/>
          </w:tcPr>
          <w:p w14:paraId="422F5347"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In vivo CCl4-induced liver injury model</w:t>
            </w:r>
          </w:p>
        </w:tc>
        <w:tc>
          <w:tcPr>
            <w:tcW w:w="0" w:type="auto"/>
            <w:vAlign w:val="center"/>
            <w:hideMark/>
          </w:tcPr>
          <w:p w14:paraId="2C9A9858"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[44]</w:t>
            </w:r>
          </w:p>
        </w:tc>
      </w:tr>
    </w:tbl>
    <w:p w14:paraId="4F4FA1EB" w14:textId="77777777" w:rsidR="00D36869" w:rsidRDefault="00D36869" w:rsidP="00D36869">
      <w:pPr>
        <w:rPr>
          <w:rFonts w:ascii="Times New Roman" w:hAnsi="Times New Roman" w:cs="Times New Roman"/>
        </w:rPr>
      </w:pPr>
    </w:p>
    <w:p w14:paraId="48546BE8" w14:textId="2507870F" w:rsidR="00F34F33" w:rsidRDefault="00F34F33" w:rsidP="00F34F33">
      <w:pPr>
        <w:jc w:val="center"/>
        <w:rPr>
          <w:rFonts w:ascii="Times New Roman" w:hAnsi="Times New Roman" w:cs="Times New Roman"/>
        </w:rPr>
      </w:pPr>
      <w:r>
        <w:rPr>
          <w:rFonts w:ascii="Times New Roman" w:hAnsi="Times New Roman" w:cs="Times New Roman"/>
        </w:rPr>
        <w:t xml:space="preserve">Table No 04 - </w:t>
      </w:r>
      <w:r w:rsidRPr="00F34F33">
        <w:rPr>
          <w:rFonts w:ascii="Times New Roman" w:hAnsi="Times New Roman" w:cs="Times New Roman"/>
        </w:rPr>
        <w:t xml:space="preserve">Summary of Pharmacological Activities of </w:t>
      </w:r>
      <w:r w:rsidRPr="00F34F33">
        <w:rPr>
          <w:rFonts w:ascii="Times New Roman" w:hAnsi="Times New Roman" w:cs="Times New Roman"/>
          <w:i/>
          <w:iCs/>
        </w:rPr>
        <w:t xml:space="preserve">Crotalaria </w:t>
      </w:r>
      <w:proofErr w:type="spellStart"/>
      <w:r w:rsidRPr="00F34F33">
        <w:rPr>
          <w:rFonts w:ascii="Times New Roman" w:hAnsi="Times New Roman" w:cs="Times New Roman"/>
          <w:i/>
          <w:iCs/>
        </w:rPr>
        <w:t>multibracteata</w:t>
      </w:r>
      <w:proofErr w:type="spellEnd"/>
      <w:r w:rsidRPr="00F34F33">
        <w:rPr>
          <w:rFonts w:ascii="Times New Roman" w:hAnsi="Times New Roman" w:cs="Times New Roman"/>
        </w:rPr>
        <w:t xml:space="preserve"> with Experimental Models</w:t>
      </w:r>
    </w:p>
    <w:p w14:paraId="3CF291D9" w14:textId="77777777" w:rsidR="0034573E" w:rsidRPr="0034573E" w:rsidRDefault="0034573E" w:rsidP="0034573E">
      <w:pPr>
        <w:jc w:val="both"/>
        <w:rPr>
          <w:rFonts w:ascii="Times New Roman" w:hAnsi="Times New Roman" w:cs="Times New Roman"/>
          <w:b/>
          <w:bCs/>
        </w:rPr>
      </w:pPr>
      <w:r w:rsidRPr="0034573E">
        <w:rPr>
          <w:rFonts w:ascii="Times New Roman" w:hAnsi="Times New Roman" w:cs="Times New Roman"/>
          <w:b/>
          <w:bCs/>
        </w:rPr>
        <w:t xml:space="preserve">Toxicological Profile of </w:t>
      </w:r>
      <w:r w:rsidRPr="0034573E">
        <w:rPr>
          <w:rFonts w:ascii="Times New Roman" w:hAnsi="Times New Roman" w:cs="Times New Roman"/>
          <w:b/>
          <w:bCs/>
          <w:i/>
          <w:iCs/>
        </w:rPr>
        <w:t xml:space="preserve">Crotalaria </w:t>
      </w:r>
      <w:proofErr w:type="spellStart"/>
      <w:r w:rsidRPr="0034573E">
        <w:rPr>
          <w:rFonts w:ascii="Times New Roman" w:hAnsi="Times New Roman" w:cs="Times New Roman"/>
          <w:b/>
          <w:bCs/>
          <w:i/>
          <w:iCs/>
        </w:rPr>
        <w:t>multibracteata</w:t>
      </w:r>
      <w:proofErr w:type="spellEnd"/>
    </w:p>
    <w:p w14:paraId="40D212DD" w14:textId="77777777" w:rsidR="0034573E" w:rsidRPr="0034573E" w:rsidRDefault="0034573E" w:rsidP="0034573E">
      <w:pPr>
        <w:jc w:val="both"/>
        <w:rPr>
          <w:rFonts w:ascii="Times New Roman" w:hAnsi="Times New Roman" w:cs="Times New Roman"/>
        </w:rPr>
      </w:pPr>
      <w:r w:rsidRPr="0034573E">
        <w:rPr>
          <w:rFonts w:ascii="Times New Roman" w:hAnsi="Times New Roman" w:cs="Times New Roman"/>
        </w:rPr>
        <w:t xml:space="preserve">Certain species within the </w:t>
      </w:r>
      <w:r w:rsidRPr="0034573E">
        <w:rPr>
          <w:rFonts w:ascii="Times New Roman" w:hAnsi="Times New Roman" w:cs="Times New Roman"/>
          <w:i/>
          <w:iCs/>
        </w:rPr>
        <w:t>Crotalaria</w:t>
      </w:r>
      <w:r w:rsidRPr="0034573E">
        <w:rPr>
          <w:rFonts w:ascii="Times New Roman" w:hAnsi="Times New Roman" w:cs="Times New Roman"/>
        </w:rPr>
        <w:t xml:space="preserve"> genus are known to contain pyrrolizidine alkaloids (PAs), which have been associated with hepatotoxicity, genotoxicity, and potential carcinogenicity when consumed in high doses or over prolonged periods [45]. These alkaloids can cause </w:t>
      </w:r>
      <w:proofErr w:type="spellStart"/>
      <w:r w:rsidRPr="0034573E">
        <w:rPr>
          <w:rFonts w:ascii="Times New Roman" w:hAnsi="Times New Roman" w:cs="Times New Roman"/>
        </w:rPr>
        <w:t>veno</w:t>
      </w:r>
      <w:proofErr w:type="spellEnd"/>
      <w:r w:rsidRPr="0034573E">
        <w:rPr>
          <w:rFonts w:ascii="Times New Roman" w:hAnsi="Times New Roman" w:cs="Times New Roman"/>
        </w:rPr>
        <w:t>-occlusive disease, liver fibrosis, and other toxic effects primarily through metabolic activation in the liver, producing reactive intermediates that damage hepatic tissue [46].</w:t>
      </w:r>
    </w:p>
    <w:p w14:paraId="562A8ABD" w14:textId="77777777" w:rsidR="0034573E" w:rsidRPr="0034573E" w:rsidRDefault="0034573E" w:rsidP="0034573E">
      <w:pPr>
        <w:jc w:val="both"/>
        <w:rPr>
          <w:rFonts w:ascii="Times New Roman" w:hAnsi="Times New Roman" w:cs="Times New Roman"/>
        </w:rPr>
      </w:pPr>
      <w:r w:rsidRPr="0034573E">
        <w:rPr>
          <w:rFonts w:ascii="Times New Roman" w:hAnsi="Times New Roman" w:cs="Times New Roman"/>
        </w:rPr>
        <w:t xml:space="preserve">In the case of </w:t>
      </w:r>
      <w:r w:rsidRPr="0034573E">
        <w:rPr>
          <w:rFonts w:ascii="Times New Roman" w:hAnsi="Times New Roman" w:cs="Times New Roman"/>
          <w:i/>
          <w:iCs/>
        </w:rPr>
        <w:t xml:space="preserve">Crotalaria </w:t>
      </w:r>
      <w:proofErr w:type="spellStart"/>
      <w:r w:rsidRPr="0034573E">
        <w:rPr>
          <w:rFonts w:ascii="Times New Roman" w:hAnsi="Times New Roman" w:cs="Times New Roman"/>
          <w:i/>
          <w:iCs/>
        </w:rPr>
        <w:t>multibracteata</w:t>
      </w:r>
      <w:proofErr w:type="spellEnd"/>
      <w:r w:rsidRPr="0034573E">
        <w:rPr>
          <w:rFonts w:ascii="Times New Roman" w:hAnsi="Times New Roman" w:cs="Times New Roman"/>
        </w:rPr>
        <w:t>, phytochemical studies have confirmed the presence of some PAs, although their concentrations tend to vary based on geographic location, plant part, and harvesting time [47]. Toxicological evaluations using in vitro cytotoxicity assays and in vivo animal models have reported dose-dependent toxicity, with higher doses showing liver enzyme elevation and histopathological alterations [48].</w:t>
      </w:r>
    </w:p>
    <w:p w14:paraId="3919686D" w14:textId="77777777" w:rsidR="0034573E" w:rsidRPr="0034573E" w:rsidRDefault="0034573E" w:rsidP="0034573E">
      <w:pPr>
        <w:jc w:val="both"/>
        <w:rPr>
          <w:rFonts w:ascii="Times New Roman" w:hAnsi="Times New Roman" w:cs="Times New Roman"/>
        </w:rPr>
      </w:pPr>
      <w:r w:rsidRPr="0034573E">
        <w:rPr>
          <w:rFonts w:ascii="Times New Roman" w:hAnsi="Times New Roman" w:cs="Times New Roman"/>
        </w:rPr>
        <w:t>However, controlled administration of standardized extracts at recommended doses has shown an acceptable safety margin in acute and sub-chronic toxicity studies. For example, oral doses up to 500 mg/kg body weight in rodents did not produce significant adverse effects over 28 days of exposure, suggesting a relatively safe dosage range for therapeutic exploration [49].</w:t>
      </w:r>
    </w:p>
    <w:p w14:paraId="1EC7E96D" w14:textId="77777777" w:rsidR="0034573E" w:rsidRPr="0034573E" w:rsidRDefault="0034573E" w:rsidP="0034573E">
      <w:pPr>
        <w:jc w:val="both"/>
        <w:rPr>
          <w:rFonts w:ascii="Times New Roman" w:hAnsi="Times New Roman" w:cs="Times New Roman"/>
        </w:rPr>
      </w:pPr>
      <w:r w:rsidRPr="0034573E">
        <w:rPr>
          <w:rFonts w:ascii="Times New Roman" w:hAnsi="Times New Roman" w:cs="Times New Roman"/>
        </w:rPr>
        <w:lastRenderedPageBreak/>
        <w:t>Nonetheless, caution is advised when considering long-term use or high-dose therapies due to the potential risk of PA accumulation. It is recommended that future research focuses on detailed PA profiling, detoxification techniques, and establishing clear therapeutic indices to ensure safe clinical use [50].</w:t>
      </w:r>
    </w:p>
    <w:p w14:paraId="793FF6EB" w14:textId="77777777" w:rsidR="00AA5F3C" w:rsidRPr="00AA5F3C" w:rsidRDefault="00AA5F3C" w:rsidP="00AA5F3C">
      <w:pPr>
        <w:jc w:val="both"/>
        <w:rPr>
          <w:rFonts w:ascii="Times New Roman" w:hAnsi="Times New Roman" w:cs="Times New Roman"/>
          <w:b/>
          <w:bCs/>
        </w:rPr>
      </w:pPr>
      <w:r w:rsidRPr="00AA5F3C">
        <w:rPr>
          <w:rFonts w:ascii="Times New Roman" w:hAnsi="Times New Roman" w:cs="Times New Roman"/>
          <w:b/>
          <w:bCs/>
        </w:rPr>
        <w:t xml:space="preserve">Biotechnological and Agronomic Aspects of </w:t>
      </w:r>
      <w:r w:rsidRPr="00AA5F3C">
        <w:rPr>
          <w:rFonts w:ascii="Times New Roman" w:hAnsi="Times New Roman" w:cs="Times New Roman"/>
          <w:b/>
          <w:bCs/>
          <w:i/>
          <w:iCs/>
        </w:rPr>
        <w:t xml:space="preserve">Crotalaria </w:t>
      </w:r>
      <w:proofErr w:type="spellStart"/>
      <w:r w:rsidRPr="00AA5F3C">
        <w:rPr>
          <w:rFonts w:ascii="Times New Roman" w:hAnsi="Times New Roman" w:cs="Times New Roman"/>
          <w:b/>
          <w:bCs/>
          <w:i/>
          <w:iCs/>
        </w:rPr>
        <w:t>multibracteata</w:t>
      </w:r>
      <w:proofErr w:type="spellEnd"/>
    </w:p>
    <w:p w14:paraId="25F097C0" w14:textId="77777777" w:rsidR="00AA5F3C" w:rsidRPr="00AA5F3C" w:rsidRDefault="00AA5F3C" w:rsidP="00AA5F3C">
      <w:pPr>
        <w:jc w:val="both"/>
        <w:rPr>
          <w:rFonts w:ascii="Times New Roman" w:hAnsi="Times New Roman" w:cs="Times New Roman"/>
        </w:rPr>
      </w:pPr>
      <w:r w:rsidRPr="00AA5F3C">
        <w:rPr>
          <w:rFonts w:ascii="Times New Roman" w:hAnsi="Times New Roman" w:cs="Times New Roman"/>
        </w:rPr>
        <w:t xml:space="preserve">The propagation of </w:t>
      </w:r>
      <w:r w:rsidRPr="00AA5F3C">
        <w:rPr>
          <w:rFonts w:ascii="Times New Roman" w:hAnsi="Times New Roman" w:cs="Times New Roman"/>
          <w:i/>
          <w:iCs/>
        </w:rPr>
        <w:t xml:space="preserve">Crotalaria </w:t>
      </w:r>
      <w:proofErr w:type="spellStart"/>
      <w:r w:rsidRPr="00AA5F3C">
        <w:rPr>
          <w:rFonts w:ascii="Times New Roman" w:hAnsi="Times New Roman" w:cs="Times New Roman"/>
          <w:i/>
          <w:iCs/>
        </w:rPr>
        <w:t>multibracteata</w:t>
      </w:r>
      <w:proofErr w:type="spellEnd"/>
      <w:r w:rsidRPr="00AA5F3C">
        <w:rPr>
          <w:rFonts w:ascii="Times New Roman" w:hAnsi="Times New Roman" w:cs="Times New Roman"/>
        </w:rPr>
        <w:t xml:space="preserve"> primarily occurs through seeds, which exhibit varying germination rates depending on environmental conditions and seed treatment methods. Techniques such as scarification and soaking in gibberellic acid (GA3) have been employed to enhance germination percentage and speed, facilitating more reliable establishment of seedlings in cultivation systems [51]. Additionally, in vitro propagation via tissue culture methods including nodal explants and callus induction has been explored to produce disease-free plants and mass propagation of elite genotypes, although these studies remain limited and warrant further optimization [52].</w:t>
      </w:r>
    </w:p>
    <w:p w14:paraId="19FA5654" w14:textId="77777777" w:rsidR="00AA5F3C" w:rsidRPr="00AA5F3C" w:rsidRDefault="00AA5F3C" w:rsidP="00AA5F3C">
      <w:pPr>
        <w:jc w:val="both"/>
        <w:rPr>
          <w:rFonts w:ascii="Times New Roman" w:hAnsi="Times New Roman" w:cs="Times New Roman"/>
        </w:rPr>
      </w:pPr>
      <w:r w:rsidRPr="00AA5F3C">
        <w:rPr>
          <w:rFonts w:ascii="Times New Roman" w:hAnsi="Times New Roman" w:cs="Times New Roman"/>
        </w:rPr>
        <w:t xml:space="preserve">From an agronomic perspective, </w:t>
      </w:r>
      <w:r w:rsidRPr="00AA5F3C">
        <w:rPr>
          <w:rFonts w:ascii="Times New Roman" w:hAnsi="Times New Roman" w:cs="Times New Roman"/>
          <w:i/>
          <w:iCs/>
        </w:rPr>
        <w:t xml:space="preserve">Crotalaria </w:t>
      </w:r>
      <w:proofErr w:type="spellStart"/>
      <w:r w:rsidRPr="00AA5F3C">
        <w:rPr>
          <w:rFonts w:ascii="Times New Roman" w:hAnsi="Times New Roman" w:cs="Times New Roman"/>
          <w:i/>
          <w:iCs/>
        </w:rPr>
        <w:t>multibracteata</w:t>
      </w:r>
      <w:proofErr w:type="spellEnd"/>
      <w:r w:rsidRPr="00AA5F3C">
        <w:rPr>
          <w:rFonts w:ascii="Times New Roman" w:hAnsi="Times New Roman" w:cs="Times New Roman"/>
        </w:rPr>
        <w:t xml:space="preserve"> shows adaptability to a range of soil types but prefers well-drained, sandy loam soils with moderate moisture levels. It thrives under tropical and subtropical climates, with optimal growth reported under full sunlight exposure and temperatures between 20–30°C [53]. Due to its nitrogen-fixing ability, </w:t>
      </w:r>
      <w:r w:rsidRPr="00AA5F3C">
        <w:rPr>
          <w:rFonts w:ascii="Times New Roman" w:hAnsi="Times New Roman" w:cs="Times New Roman"/>
          <w:i/>
          <w:iCs/>
        </w:rPr>
        <w:t>Crotalaria</w:t>
      </w:r>
      <w:r w:rsidRPr="00AA5F3C">
        <w:rPr>
          <w:rFonts w:ascii="Times New Roman" w:hAnsi="Times New Roman" w:cs="Times New Roman"/>
        </w:rPr>
        <w:t xml:space="preserve"> species are often employed as green manure crops in sustainable agriculture, improving soil fertility and structure, thus reducing the need for synthetic fertilizers [54]. The cultivation potential of </w:t>
      </w:r>
      <w:r w:rsidRPr="00AA5F3C">
        <w:rPr>
          <w:rFonts w:ascii="Times New Roman" w:hAnsi="Times New Roman" w:cs="Times New Roman"/>
          <w:i/>
          <w:iCs/>
        </w:rPr>
        <w:t xml:space="preserve">C. </w:t>
      </w:r>
      <w:proofErr w:type="spellStart"/>
      <w:r w:rsidRPr="00AA5F3C">
        <w:rPr>
          <w:rFonts w:ascii="Times New Roman" w:hAnsi="Times New Roman" w:cs="Times New Roman"/>
          <w:i/>
          <w:iCs/>
        </w:rPr>
        <w:t>multibracteata</w:t>
      </w:r>
      <w:proofErr w:type="spellEnd"/>
      <w:r w:rsidRPr="00AA5F3C">
        <w:rPr>
          <w:rFonts w:ascii="Times New Roman" w:hAnsi="Times New Roman" w:cs="Times New Roman"/>
        </w:rPr>
        <w:t xml:space="preserve"> for medicinal purposes is promising, yet detailed agronomic studies on yield optimization and harvesting times are sparse, indicating a gap in research that needs addressing for commercial-scale production [55].</w:t>
      </w:r>
    </w:p>
    <w:p w14:paraId="33CE831F" w14:textId="77777777" w:rsidR="00AA5F3C" w:rsidRPr="00AA5F3C" w:rsidRDefault="00AA5F3C" w:rsidP="00AA5F3C">
      <w:pPr>
        <w:jc w:val="both"/>
        <w:rPr>
          <w:rFonts w:ascii="Times New Roman" w:hAnsi="Times New Roman" w:cs="Times New Roman"/>
        </w:rPr>
      </w:pPr>
      <w:r w:rsidRPr="00AA5F3C">
        <w:rPr>
          <w:rFonts w:ascii="Times New Roman" w:hAnsi="Times New Roman" w:cs="Times New Roman"/>
        </w:rPr>
        <w:t xml:space="preserve">In the realm of green synthesis, recent preliminary investigations have utilized </w:t>
      </w:r>
      <w:r w:rsidRPr="00AA5F3C">
        <w:rPr>
          <w:rFonts w:ascii="Times New Roman" w:hAnsi="Times New Roman" w:cs="Times New Roman"/>
          <w:i/>
          <w:iCs/>
        </w:rPr>
        <w:t>Crotalaria</w:t>
      </w:r>
      <w:r w:rsidRPr="00AA5F3C">
        <w:rPr>
          <w:rFonts w:ascii="Times New Roman" w:hAnsi="Times New Roman" w:cs="Times New Roman"/>
        </w:rPr>
        <w:t xml:space="preserve"> plant extracts, including </w:t>
      </w:r>
      <w:r w:rsidRPr="00AA5F3C">
        <w:rPr>
          <w:rFonts w:ascii="Times New Roman" w:hAnsi="Times New Roman" w:cs="Times New Roman"/>
          <w:i/>
          <w:iCs/>
        </w:rPr>
        <w:t xml:space="preserve">C. </w:t>
      </w:r>
      <w:proofErr w:type="spellStart"/>
      <w:r w:rsidRPr="00AA5F3C">
        <w:rPr>
          <w:rFonts w:ascii="Times New Roman" w:hAnsi="Times New Roman" w:cs="Times New Roman"/>
          <w:i/>
          <w:iCs/>
        </w:rPr>
        <w:t>multibracteata</w:t>
      </w:r>
      <w:proofErr w:type="spellEnd"/>
      <w:r w:rsidRPr="00AA5F3C">
        <w:rPr>
          <w:rFonts w:ascii="Times New Roman" w:hAnsi="Times New Roman" w:cs="Times New Roman"/>
        </w:rPr>
        <w:t xml:space="preserve">, as reducing and stabilizing agents in the biosynthesis of metal nanoparticles such as silver and gold nanoparticles. These biogenic nanoparticles exhibit potent antimicrobial and antioxidant properties, making the plant a valuable resource in nanotechnology applications aimed at environmentally friendly synthesis routes [56]. However, systematic studies focusing specifically on </w:t>
      </w:r>
      <w:r w:rsidRPr="00AA5F3C">
        <w:rPr>
          <w:rFonts w:ascii="Times New Roman" w:hAnsi="Times New Roman" w:cs="Times New Roman"/>
          <w:i/>
          <w:iCs/>
        </w:rPr>
        <w:t xml:space="preserve">C. </w:t>
      </w:r>
      <w:proofErr w:type="spellStart"/>
      <w:r w:rsidRPr="00AA5F3C">
        <w:rPr>
          <w:rFonts w:ascii="Times New Roman" w:hAnsi="Times New Roman" w:cs="Times New Roman"/>
          <w:i/>
          <w:iCs/>
        </w:rPr>
        <w:t>multibracteata</w:t>
      </w:r>
      <w:proofErr w:type="spellEnd"/>
      <w:r w:rsidRPr="00AA5F3C">
        <w:rPr>
          <w:rFonts w:ascii="Times New Roman" w:hAnsi="Times New Roman" w:cs="Times New Roman"/>
        </w:rPr>
        <w:t xml:space="preserve"> remain limited and should be expanded to fully harness its potential in this emerging field.</w:t>
      </w:r>
    </w:p>
    <w:p w14:paraId="4AC71634" w14:textId="77777777" w:rsidR="00942757" w:rsidRPr="00942757" w:rsidRDefault="00942757" w:rsidP="00942757">
      <w:pPr>
        <w:jc w:val="both"/>
        <w:rPr>
          <w:rFonts w:ascii="Times New Roman" w:hAnsi="Times New Roman" w:cs="Times New Roman"/>
        </w:rPr>
      </w:pPr>
      <w:r w:rsidRPr="00942757">
        <w:rPr>
          <w:rFonts w:ascii="Times New Roman" w:hAnsi="Times New Roman" w:cs="Times New Roman"/>
          <w:b/>
          <w:bCs/>
        </w:rPr>
        <w:t>Conclusion</w:t>
      </w:r>
    </w:p>
    <w:p w14:paraId="52ABB7B5" w14:textId="77777777" w:rsidR="00942757" w:rsidRPr="00942757" w:rsidRDefault="00942757" w:rsidP="00942757">
      <w:pPr>
        <w:jc w:val="both"/>
        <w:rPr>
          <w:rFonts w:ascii="Times New Roman" w:hAnsi="Times New Roman" w:cs="Times New Roman"/>
        </w:rPr>
      </w:pPr>
      <w:r w:rsidRPr="00942757">
        <w:rPr>
          <w:rFonts w:ascii="Times New Roman" w:hAnsi="Times New Roman" w:cs="Times New Roman"/>
          <w:i/>
          <w:iCs/>
        </w:rPr>
        <w:t xml:space="preserve">Crotalaria </w:t>
      </w:r>
      <w:proofErr w:type="spellStart"/>
      <w:r w:rsidRPr="00942757">
        <w:rPr>
          <w:rFonts w:ascii="Times New Roman" w:hAnsi="Times New Roman" w:cs="Times New Roman"/>
          <w:i/>
          <w:iCs/>
        </w:rPr>
        <w:t>multibracteata</w:t>
      </w:r>
      <w:proofErr w:type="spellEnd"/>
      <w:r w:rsidRPr="00942757">
        <w:rPr>
          <w:rFonts w:ascii="Times New Roman" w:hAnsi="Times New Roman" w:cs="Times New Roman"/>
        </w:rPr>
        <w:t xml:space="preserve"> represents a promising yet underexplored medicinal plant with a diverse range of bioactive compounds, including flavonoids, alkaloids, terpenoids, and phenolics, that contribute to its notable pharmacological activities such as antioxidant, anti-inflammatory, antimicrobial, and cytotoxic effects. Its traditional and ethnomedicinal uses underscore its therapeutic potential, while recent scientific studies have begun to validate these claims through both </w:t>
      </w:r>
      <w:r w:rsidRPr="00942757">
        <w:rPr>
          <w:rFonts w:ascii="Times New Roman" w:hAnsi="Times New Roman" w:cs="Times New Roman"/>
          <w:i/>
          <w:iCs/>
        </w:rPr>
        <w:t>in vitro</w:t>
      </w:r>
      <w:r w:rsidRPr="00942757">
        <w:rPr>
          <w:rFonts w:ascii="Times New Roman" w:hAnsi="Times New Roman" w:cs="Times New Roman"/>
        </w:rPr>
        <w:t xml:space="preserve"> and </w:t>
      </w:r>
      <w:r w:rsidRPr="00942757">
        <w:rPr>
          <w:rFonts w:ascii="Times New Roman" w:hAnsi="Times New Roman" w:cs="Times New Roman"/>
          <w:i/>
          <w:iCs/>
        </w:rPr>
        <w:t xml:space="preserve">in vivo </w:t>
      </w:r>
      <w:r w:rsidRPr="00942757">
        <w:rPr>
          <w:rFonts w:ascii="Times New Roman" w:hAnsi="Times New Roman" w:cs="Times New Roman"/>
        </w:rPr>
        <w:t xml:space="preserve">research. Despite this progress, significant gaps remain, particularly in detailed toxicological profiling, mechanism-based pharmacological investigations, and large-scale </w:t>
      </w:r>
      <w:r w:rsidRPr="00942757">
        <w:rPr>
          <w:rFonts w:ascii="Times New Roman" w:hAnsi="Times New Roman" w:cs="Times New Roman"/>
        </w:rPr>
        <w:lastRenderedPageBreak/>
        <w:t xml:space="preserve">cultivation strategies. Future interdisciplinary research integrating modern biotechnological tools and advanced extraction techniques will be critical to unlocking the full potential of </w:t>
      </w:r>
      <w:r w:rsidRPr="00942757">
        <w:rPr>
          <w:rFonts w:ascii="Times New Roman" w:hAnsi="Times New Roman" w:cs="Times New Roman"/>
          <w:i/>
          <w:iCs/>
        </w:rPr>
        <w:t xml:space="preserve">C. </w:t>
      </w:r>
      <w:proofErr w:type="spellStart"/>
      <w:r w:rsidRPr="00942757">
        <w:rPr>
          <w:rFonts w:ascii="Times New Roman" w:hAnsi="Times New Roman" w:cs="Times New Roman"/>
          <w:i/>
          <w:iCs/>
        </w:rPr>
        <w:t>multibracteata</w:t>
      </w:r>
      <w:proofErr w:type="spellEnd"/>
      <w:r w:rsidRPr="00942757">
        <w:rPr>
          <w:rFonts w:ascii="Times New Roman" w:hAnsi="Times New Roman" w:cs="Times New Roman"/>
        </w:rPr>
        <w:t xml:space="preserve">. Furthermore, the exploration of its applications in pharmaceutical, nutraceutical, and green synthesis fields could pave the way for novel therapies and sustainable agricultural practices. In summary, </w:t>
      </w:r>
      <w:r w:rsidRPr="00942757">
        <w:rPr>
          <w:rFonts w:ascii="Times New Roman" w:hAnsi="Times New Roman" w:cs="Times New Roman"/>
          <w:i/>
          <w:iCs/>
        </w:rPr>
        <w:t xml:space="preserve">Crotalaria </w:t>
      </w:r>
      <w:proofErr w:type="spellStart"/>
      <w:r w:rsidRPr="00942757">
        <w:rPr>
          <w:rFonts w:ascii="Times New Roman" w:hAnsi="Times New Roman" w:cs="Times New Roman"/>
          <w:i/>
          <w:iCs/>
        </w:rPr>
        <w:t>multibracteata</w:t>
      </w:r>
      <w:proofErr w:type="spellEnd"/>
      <w:r w:rsidRPr="00942757">
        <w:rPr>
          <w:rFonts w:ascii="Times New Roman" w:hAnsi="Times New Roman" w:cs="Times New Roman"/>
        </w:rPr>
        <w:t xml:space="preserve"> holds considerable promise as a source of new therapeutic agents, but comprehensive research efforts are essential to translate its traditional knowledge into safe and effective clinical applications.</w:t>
      </w:r>
    </w:p>
    <w:p w14:paraId="438BA5AA" w14:textId="77777777" w:rsidR="0034573E" w:rsidRDefault="0034573E" w:rsidP="0034573E">
      <w:pPr>
        <w:jc w:val="both"/>
        <w:rPr>
          <w:rFonts w:ascii="Times New Roman" w:hAnsi="Times New Roman" w:cs="Times New Roman"/>
        </w:rPr>
      </w:pPr>
    </w:p>
    <w:p w14:paraId="699E2F35" w14:textId="2B62F2E7" w:rsidR="00C50F6E" w:rsidRDefault="00C50F6E" w:rsidP="00C50F6E">
      <w:pPr>
        <w:jc w:val="both"/>
        <w:rPr>
          <w:rFonts w:ascii="Times New Roman" w:hAnsi="Times New Roman" w:cs="Times New Roman"/>
        </w:rPr>
      </w:pPr>
      <w:r>
        <w:rPr>
          <w:rFonts w:ascii="Times New Roman" w:hAnsi="Times New Roman" w:cs="Times New Roman"/>
        </w:rPr>
        <w:t>References</w:t>
      </w:r>
      <w:r w:rsidR="00D36869">
        <w:rPr>
          <w:rFonts w:ascii="Times New Roman" w:hAnsi="Times New Roman" w:cs="Times New Roman"/>
        </w:rPr>
        <w:t xml:space="preserve"> – </w:t>
      </w:r>
    </w:p>
    <w:p w14:paraId="1AE3D0A3" w14:textId="4A3D3D09"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World Health Organization. Traditional medicine: definitions. WHO; 2023.</w:t>
      </w:r>
    </w:p>
    <w:p w14:paraId="30C7AFCB" w14:textId="5F5AF53E"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Polhill RM. Crotalaria in Africa and Madagascar. Rotterdam: Balkema; 1982.</w:t>
      </w:r>
    </w:p>
    <w:p w14:paraId="77AFC985" w14:textId="3F7F443C"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Singh S, Sharma B, Gupta V. Phytochemical and pharmacological profile of genus Crotalaria: A review. Int J Pharm Sci Rev Res. 2015;32(1):112-120.</w:t>
      </w:r>
    </w:p>
    <w:p w14:paraId="2DD2FE29" w14:textId="10697D2E" w:rsidR="00C50F6E" w:rsidRPr="00C50F6E" w:rsidRDefault="00C50F6E" w:rsidP="00C50F6E">
      <w:pPr>
        <w:pStyle w:val="ListParagraph"/>
        <w:numPr>
          <w:ilvl w:val="1"/>
          <w:numId w:val="14"/>
        </w:numPr>
        <w:tabs>
          <w:tab w:val="left" w:pos="270"/>
        </w:tabs>
        <w:ind w:left="270"/>
        <w:rPr>
          <w:rFonts w:ascii="Times New Roman" w:hAnsi="Times New Roman" w:cs="Times New Roman"/>
        </w:rPr>
      </w:pPr>
      <w:proofErr w:type="spellStart"/>
      <w:r w:rsidRPr="00C50F6E">
        <w:rPr>
          <w:rFonts w:ascii="Times New Roman" w:hAnsi="Times New Roman" w:cs="Times New Roman"/>
        </w:rPr>
        <w:t>Ambasta</w:t>
      </w:r>
      <w:proofErr w:type="spellEnd"/>
      <w:r w:rsidRPr="00C50F6E">
        <w:rPr>
          <w:rFonts w:ascii="Times New Roman" w:hAnsi="Times New Roman" w:cs="Times New Roman"/>
        </w:rPr>
        <w:t xml:space="preserve"> SP. The Useful Plants of India. CSIR Publications, New Delhi; 2006.</w:t>
      </w:r>
    </w:p>
    <w:p w14:paraId="126D34B4" w14:textId="39F3F6D9"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Bhosale R, Mote SR. Pharmacological evaluation of Crotalaria species: A review. J Pharm Res. 2018;12(2):78–85.</w:t>
      </w:r>
    </w:p>
    <w:p w14:paraId="028B8DA6" w14:textId="5F51B1F4"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Reddy KRC, Rao SK. Ethnobotanical uses of some Fabaceae species in Eastern Ghats of Andhra Pradesh. Indian J </w:t>
      </w:r>
      <w:proofErr w:type="spellStart"/>
      <w:r w:rsidRPr="00C50F6E">
        <w:rPr>
          <w:rFonts w:ascii="Times New Roman" w:hAnsi="Times New Roman" w:cs="Times New Roman"/>
        </w:rPr>
        <w:t>Tradit</w:t>
      </w:r>
      <w:proofErr w:type="spellEnd"/>
      <w:r w:rsidRPr="00C50F6E">
        <w:rPr>
          <w:rFonts w:ascii="Times New Roman" w:hAnsi="Times New Roman" w:cs="Times New Roman"/>
        </w:rPr>
        <w:t xml:space="preserve"> </w:t>
      </w:r>
      <w:proofErr w:type="spellStart"/>
      <w:r w:rsidRPr="00C50F6E">
        <w:rPr>
          <w:rFonts w:ascii="Times New Roman" w:hAnsi="Times New Roman" w:cs="Times New Roman"/>
        </w:rPr>
        <w:t>Knowl</w:t>
      </w:r>
      <w:proofErr w:type="spellEnd"/>
      <w:r w:rsidRPr="00C50F6E">
        <w:rPr>
          <w:rFonts w:ascii="Times New Roman" w:hAnsi="Times New Roman" w:cs="Times New Roman"/>
        </w:rPr>
        <w:t>. 2011;10(3):521–525.</w:t>
      </w:r>
    </w:p>
    <w:p w14:paraId="3EC5CBE2" w14:textId="5C24D6A6"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Wight R, Arnott GN. </w:t>
      </w:r>
      <w:proofErr w:type="spellStart"/>
      <w:r w:rsidRPr="00C50F6E">
        <w:rPr>
          <w:rFonts w:ascii="Times New Roman" w:hAnsi="Times New Roman" w:cs="Times New Roman"/>
        </w:rPr>
        <w:t>Prodromus</w:t>
      </w:r>
      <w:proofErr w:type="spellEnd"/>
      <w:r w:rsidRPr="00C50F6E">
        <w:rPr>
          <w:rFonts w:ascii="Times New Roman" w:hAnsi="Times New Roman" w:cs="Times New Roman"/>
        </w:rPr>
        <w:t xml:space="preserve"> Florae </w:t>
      </w:r>
      <w:proofErr w:type="spellStart"/>
      <w:r w:rsidRPr="00C50F6E">
        <w:rPr>
          <w:rFonts w:ascii="Times New Roman" w:hAnsi="Times New Roman" w:cs="Times New Roman"/>
        </w:rPr>
        <w:t>Peninsulae</w:t>
      </w:r>
      <w:proofErr w:type="spellEnd"/>
      <w:r w:rsidRPr="00C50F6E">
        <w:rPr>
          <w:rFonts w:ascii="Times New Roman" w:hAnsi="Times New Roman" w:cs="Times New Roman"/>
        </w:rPr>
        <w:t xml:space="preserve"> </w:t>
      </w:r>
      <w:proofErr w:type="spellStart"/>
      <w:r w:rsidRPr="00C50F6E">
        <w:rPr>
          <w:rFonts w:ascii="Times New Roman" w:hAnsi="Times New Roman" w:cs="Times New Roman"/>
        </w:rPr>
        <w:t>Indiae</w:t>
      </w:r>
      <w:proofErr w:type="spellEnd"/>
      <w:r w:rsidRPr="00C50F6E">
        <w:rPr>
          <w:rFonts w:ascii="Times New Roman" w:hAnsi="Times New Roman" w:cs="Times New Roman"/>
        </w:rPr>
        <w:t xml:space="preserve"> </w:t>
      </w:r>
      <w:proofErr w:type="spellStart"/>
      <w:r w:rsidRPr="00C50F6E">
        <w:rPr>
          <w:rFonts w:ascii="Times New Roman" w:hAnsi="Times New Roman" w:cs="Times New Roman"/>
        </w:rPr>
        <w:t>Orientalis</w:t>
      </w:r>
      <w:proofErr w:type="spellEnd"/>
      <w:r w:rsidRPr="00C50F6E">
        <w:rPr>
          <w:rFonts w:ascii="Times New Roman" w:hAnsi="Times New Roman" w:cs="Times New Roman"/>
        </w:rPr>
        <w:t xml:space="preserve">. London: </w:t>
      </w:r>
      <w:proofErr w:type="spellStart"/>
      <w:r w:rsidRPr="00C50F6E">
        <w:rPr>
          <w:rFonts w:ascii="Times New Roman" w:hAnsi="Times New Roman" w:cs="Times New Roman"/>
        </w:rPr>
        <w:t>Parbury</w:t>
      </w:r>
      <w:proofErr w:type="spellEnd"/>
      <w:r w:rsidRPr="00C50F6E">
        <w:rPr>
          <w:rFonts w:ascii="Times New Roman" w:hAnsi="Times New Roman" w:cs="Times New Roman"/>
        </w:rPr>
        <w:t>, Allen, &amp; Co.; 1834.</w:t>
      </w:r>
    </w:p>
    <w:p w14:paraId="452B67E2" w14:textId="0C4B858F"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Gamble JS. Flora of the Presidency of Madras. Vol. 1–3. Calcutta: Botanical Survey of India; 1935.</w:t>
      </w:r>
    </w:p>
    <w:p w14:paraId="2D3D1E39" w14:textId="484F7DF7"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Kirtikar KR, Basu BD. Indian Medicinal Plants. Vol. 1. Allahabad: Lalit Mohan Basu Publications; 2001.</w:t>
      </w:r>
    </w:p>
    <w:p w14:paraId="1CBD315F" w14:textId="2CA03D5B" w:rsidR="00C50F6E" w:rsidRPr="00C50F6E" w:rsidRDefault="00C50F6E" w:rsidP="00C50F6E">
      <w:pPr>
        <w:pStyle w:val="ListParagraph"/>
        <w:numPr>
          <w:ilvl w:val="1"/>
          <w:numId w:val="14"/>
        </w:numPr>
        <w:tabs>
          <w:tab w:val="left" w:pos="270"/>
        </w:tabs>
        <w:ind w:left="270"/>
        <w:rPr>
          <w:rFonts w:ascii="Times New Roman" w:hAnsi="Times New Roman" w:cs="Times New Roman"/>
        </w:rPr>
      </w:pPr>
      <w:proofErr w:type="spellStart"/>
      <w:r w:rsidRPr="00C50F6E">
        <w:rPr>
          <w:rFonts w:ascii="Times New Roman" w:hAnsi="Times New Roman" w:cs="Times New Roman"/>
        </w:rPr>
        <w:t>Ignacimuthu</w:t>
      </w:r>
      <w:proofErr w:type="spellEnd"/>
      <w:r w:rsidRPr="00C50F6E">
        <w:rPr>
          <w:rFonts w:ascii="Times New Roman" w:hAnsi="Times New Roman" w:cs="Times New Roman"/>
        </w:rPr>
        <w:t xml:space="preserve"> S, </w:t>
      </w:r>
      <w:proofErr w:type="spellStart"/>
      <w:r w:rsidRPr="00C50F6E">
        <w:rPr>
          <w:rFonts w:ascii="Times New Roman" w:hAnsi="Times New Roman" w:cs="Times New Roman"/>
        </w:rPr>
        <w:t>Ayyanar</w:t>
      </w:r>
      <w:proofErr w:type="spellEnd"/>
      <w:r w:rsidRPr="00C50F6E">
        <w:rPr>
          <w:rFonts w:ascii="Times New Roman" w:hAnsi="Times New Roman" w:cs="Times New Roman"/>
        </w:rPr>
        <w:t xml:space="preserve"> M. Ethnobotanical survey of medicinal plants used by tribals in Theni district, Tamil Nadu, India. J </w:t>
      </w:r>
      <w:proofErr w:type="spellStart"/>
      <w:r w:rsidRPr="00C50F6E">
        <w:rPr>
          <w:rFonts w:ascii="Times New Roman" w:hAnsi="Times New Roman" w:cs="Times New Roman"/>
        </w:rPr>
        <w:t>Ethnopharmacol</w:t>
      </w:r>
      <w:proofErr w:type="spellEnd"/>
      <w:r w:rsidRPr="00C50F6E">
        <w:rPr>
          <w:rFonts w:ascii="Times New Roman" w:hAnsi="Times New Roman" w:cs="Times New Roman"/>
        </w:rPr>
        <w:t>. 2009;123(2):287–292.</w:t>
      </w:r>
    </w:p>
    <w:p w14:paraId="211BD9FD" w14:textId="1A5E909F"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Singh AG, Duggal S. Cultivation potential of some Indian medicinal legumes: A review. Indian J </w:t>
      </w:r>
      <w:proofErr w:type="spellStart"/>
      <w:r w:rsidRPr="00C50F6E">
        <w:rPr>
          <w:rFonts w:ascii="Times New Roman" w:hAnsi="Times New Roman" w:cs="Times New Roman"/>
        </w:rPr>
        <w:t>Tradit</w:t>
      </w:r>
      <w:proofErr w:type="spellEnd"/>
      <w:r w:rsidRPr="00C50F6E">
        <w:rPr>
          <w:rFonts w:ascii="Times New Roman" w:hAnsi="Times New Roman" w:cs="Times New Roman"/>
        </w:rPr>
        <w:t xml:space="preserve"> </w:t>
      </w:r>
      <w:proofErr w:type="spellStart"/>
      <w:r w:rsidRPr="00C50F6E">
        <w:rPr>
          <w:rFonts w:ascii="Times New Roman" w:hAnsi="Times New Roman" w:cs="Times New Roman"/>
        </w:rPr>
        <w:t>Knowl</w:t>
      </w:r>
      <w:proofErr w:type="spellEnd"/>
      <w:r w:rsidRPr="00C50F6E">
        <w:rPr>
          <w:rFonts w:ascii="Times New Roman" w:hAnsi="Times New Roman" w:cs="Times New Roman"/>
        </w:rPr>
        <w:t>. 2016;15(2):302–308.</w:t>
      </w:r>
    </w:p>
    <w:p w14:paraId="44867588" w14:textId="38DEDEF5"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Ved DK, Goraya GS. Demand and Supply of Medicinal Plants in India. New Delhi: NMPB &amp; FRLHT; 2008.</w:t>
      </w:r>
    </w:p>
    <w:p w14:paraId="7557CC34" w14:textId="591C2383"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Rao MR, Palanisamy A. Conservation strategies for wild medicinal plants: A case study on Crotalaria species in southern India. Int J </w:t>
      </w:r>
      <w:proofErr w:type="spellStart"/>
      <w:r w:rsidRPr="00C50F6E">
        <w:rPr>
          <w:rFonts w:ascii="Times New Roman" w:hAnsi="Times New Roman" w:cs="Times New Roman"/>
        </w:rPr>
        <w:t>Conserv</w:t>
      </w:r>
      <w:proofErr w:type="spellEnd"/>
      <w:r w:rsidRPr="00C50F6E">
        <w:rPr>
          <w:rFonts w:ascii="Times New Roman" w:hAnsi="Times New Roman" w:cs="Times New Roman"/>
        </w:rPr>
        <w:t xml:space="preserve"> Sci. 2020;11(3):917–924.</w:t>
      </w:r>
    </w:p>
    <w:p w14:paraId="4441D303" w14:textId="278B2F82"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Singh NP, </w:t>
      </w:r>
      <w:proofErr w:type="spellStart"/>
      <w:r w:rsidRPr="00C50F6E">
        <w:rPr>
          <w:rFonts w:ascii="Times New Roman" w:hAnsi="Times New Roman" w:cs="Times New Roman"/>
        </w:rPr>
        <w:t>Lakshminarasimhan</w:t>
      </w:r>
      <w:proofErr w:type="spellEnd"/>
      <w:r w:rsidRPr="00C50F6E">
        <w:rPr>
          <w:rFonts w:ascii="Times New Roman" w:hAnsi="Times New Roman" w:cs="Times New Roman"/>
        </w:rPr>
        <w:t xml:space="preserve"> P, Karthikeyan S, Prasanna PV. Flora of Tamil Nadu: Analysis. Botanical Survey of India; 2000.</w:t>
      </w:r>
    </w:p>
    <w:p w14:paraId="2C48F820" w14:textId="21AA5CAE" w:rsidR="00C50F6E" w:rsidRPr="00C50F6E" w:rsidRDefault="00C50F6E" w:rsidP="00C50F6E">
      <w:pPr>
        <w:pStyle w:val="ListParagraph"/>
        <w:numPr>
          <w:ilvl w:val="1"/>
          <w:numId w:val="14"/>
        </w:numPr>
        <w:tabs>
          <w:tab w:val="left" w:pos="270"/>
        </w:tabs>
        <w:ind w:left="270"/>
        <w:rPr>
          <w:rFonts w:ascii="Times New Roman" w:hAnsi="Times New Roman" w:cs="Times New Roman"/>
        </w:rPr>
      </w:pPr>
      <w:proofErr w:type="spellStart"/>
      <w:r w:rsidRPr="00C50F6E">
        <w:rPr>
          <w:rFonts w:ascii="Times New Roman" w:hAnsi="Times New Roman" w:cs="Times New Roman"/>
        </w:rPr>
        <w:t>Ramasubbu</w:t>
      </w:r>
      <w:proofErr w:type="spellEnd"/>
      <w:r w:rsidRPr="00C50F6E">
        <w:rPr>
          <w:rFonts w:ascii="Times New Roman" w:hAnsi="Times New Roman" w:cs="Times New Roman"/>
        </w:rPr>
        <w:t xml:space="preserve"> V, Arumugam S. Distribution and floristic diversity of Crotalaria species in Eastern Ghats of South India. Indian J Plant Sci. 2018;7(1):56–62.</w:t>
      </w:r>
    </w:p>
    <w:p w14:paraId="0663BBE5" w14:textId="1FB23982" w:rsidR="00C50F6E" w:rsidRPr="00C50F6E" w:rsidRDefault="00C50F6E" w:rsidP="00C50F6E">
      <w:pPr>
        <w:pStyle w:val="ListParagraph"/>
        <w:numPr>
          <w:ilvl w:val="1"/>
          <w:numId w:val="14"/>
        </w:numPr>
        <w:tabs>
          <w:tab w:val="left" w:pos="270"/>
        </w:tabs>
        <w:ind w:left="270"/>
        <w:rPr>
          <w:rFonts w:ascii="Times New Roman" w:hAnsi="Times New Roman" w:cs="Times New Roman"/>
        </w:rPr>
      </w:pPr>
      <w:proofErr w:type="spellStart"/>
      <w:r w:rsidRPr="00C50F6E">
        <w:rPr>
          <w:rFonts w:ascii="Times New Roman" w:hAnsi="Times New Roman" w:cs="Times New Roman"/>
        </w:rPr>
        <w:t>Yoganarasimhan</w:t>
      </w:r>
      <w:proofErr w:type="spellEnd"/>
      <w:r w:rsidRPr="00C50F6E">
        <w:rPr>
          <w:rFonts w:ascii="Times New Roman" w:hAnsi="Times New Roman" w:cs="Times New Roman"/>
        </w:rPr>
        <w:t xml:space="preserve"> SN. Medicinal Plants of India: Tamil Nadu. Vol. 2. Bangalore: </w:t>
      </w:r>
      <w:proofErr w:type="spellStart"/>
      <w:r w:rsidRPr="00C50F6E">
        <w:rPr>
          <w:rFonts w:ascii="Times New Roman" w:hAnsi="Times New Roman" w:cs="Times New Roman"/>
        </w:rPr>
        <w:t>CyberMedia</w:t>
      </w:r>
      <w:proofErr w:type="spellEnd"/>
      <w:r w:rsidRPr="00C50F6E">
        <w:rPr>
          <w:rFonts w:ascii="Times New Roman" w:hAnsi="Times New Roman" w:cs="Times New Roman"/>
        </w:rPr>
        <w:t>; 2000.</w:t>
      </w:r>
    </w:p>
    <w:p w14:paraId="3B2BF29E" w14:textId="1354EFD8"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lastRenderedPageBreak/>
        <w:t xml:space="preserve">Reddy CS, Raza SH, Jha CS, </w:t>
      </w:r>
      <w:proofErr w:type="spellStart"/>
      <w:r w:rsidRPr="00C50F6E">
        <w:rPr>
          <w:rFonts w:ascii="Times New Roman" w:hAnsi="Times New Roman" w:cs="Times New Roman"/>
        </w:rPr>
        <w:t>Dadhwal</w:t>
      </w:r>
      <w:proofErr w:type="spellEnd"/>
      <w:r w:rsidRPr="00C50F6E">
        <w:rPr>
          <w:rFonts w:ascii="Times New Roman" w:hAnsi="Times New Roman" w:cs="Times New Roman"/>
        </w:rPr>
        <w:t xml:space="preserve"> VK. Geospatial assessment of distribution and conservation status of endemic plants in India. Curr Sci. 2011;100(2):275–284.</w:t>
      </w:r>
    </w:p>
    <w:p w14:paraId="20077A9B" w14:textId="3C81ED1D" w:rsidR="00C50F6E" w:rsidRPr="00C50F6E" w:rsidRDefault="00C50F6E" w:rsidP="00C50F6E">
      <w:pPr>
        <w:pStyle w:val="ListParagraph"/>
        <w:numPr>
          <w:ilvl w:val="1"/>
          <w:numId w:val="14"/>
        </w:numPr>
        <w:tabs>
          <w:tab w:val="left" w:pos="270"/>
        </w:tabs>
        <w:ind w:left="270"/>
        <w:rPr>
          <w:rFonts w:ascii="Times New Roman" w:hAnsi="Times New Roman" w:cs="Times New Roman"/>
        </w:rPr>
      </w:pPr>
      <w:proofErr w:type="spellStart"/>
      <w:r w:rsidRPr="00C50F6E">
        <w:rPr>
          <w:rFonts w:ascii="Times New Roman" w:hAnsi="Times New Roman" w:cs="Times New Roman"/>
        </w:rPr>
        <w:t>Ayyanar</w:t>
      </w:r>
      <w:proofErr w:type="spellEnd"/>
      <w:r w:rsidRPr="00C50F6E">
        <w:rPr>
          <w:rFonts w:ascii="Times New Roman" w:hAnsi="Times New Roman" w:cs="Times New Roman"/>
        </w:rPr>
        <w:t xml:space="preserve"> M, </w:t>
      </w:r>
      <w:proofErr w:type="spellStart"/>
      <w:r w:rsidRPr="00C50F6E">
        <w:rPr>
          <w:rFonts w:ascii="Times New Roman" w:hAnsi="Times New Roman" w:cs="Times New Roman"/>
        </w:rPr>
        <w:t>Ignacimuthu</w:t>
      </w:r>
      <w:proofErr w:type="spellEnd"/>
      <w:r w:rsidRPr="00C50F6E">
        <w:rPr>
          <w:rFonts w:ascii="Times New Roman" w:hAnsi="Times New Roman" w:cs="Times New Roman"/>
        </w:rPr>
        <w:t xml:space="preserve"> S. Herbal medicines used by tribal people in Tirunelveli district of Tamil Nadu, India to treat poisonous bites and skin diseases. Indian J </w:t>
      </w:r>
      <w:proofErr w:type="spellStart"/>
      <w:r w:rsidRPr="00C50F6E">
        <w:rPr>
          <w:rFonts w:ascii="Times New Roman" w:hAnsi="Times New Roman" w:cs="Times New Roman"/>
        </w:rPr>
        <w:t>Tradit</w:t>
      </w:r>
      <w:proofErr w:type="spellEnd"/>
      <w:r w:rsidRPr="00C50F6E">
        <w:rPr>
          <w:rFonts w:ascii="Times New Roman" w:hAnsi="Times New Roman" w:cs="Times New Roman"/>
        </w:rPr>
        <w:t xml:space="preserve"> </w:t>
      </w:r>
      <w:proofErr w:type="spellStart"/>
      <w:r w:rsidRPr="00C50F6E">
        <w:rPr>
          <w:rFonts w:ascii="Times New Roman" w:hAnsi="Times New Roman" w:cs="Times New Roman"/>
        </w:rPr>
        <w:t>Knowl</w:t>
      </w:r>
      <w:proofErr w:type="spellEnd"/>
      <w:r w:rsidRPr="00C50F6E">
        <w:rPr>
          <w:rFonts w:ascii="Times New Roman" w:hAnsi="Times New Roman" w:cs="Times New Roman"/>
        </w:rPr>
        <w:t>. 2005;4(3):229–236.</w:t>
      </w:r>
    </w:p>
    <w:p w14:paraId="59F752AA" w14:textId="5F723B7D"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Rani SS, Rajalakshmi D. Ethnomedicinal plants used by the </w:t>
      </w:r>
      <w:proofErr w:type="spellStart"/>
      <w:r w:rsidRPr="00C50F6E">
        <w:rPr>
          <w:rFonts w:ascii="Times New Roman" w:hAnsi="Times New Roman" w:cs="Times New Roman"/>
        </w:rPr>
        <w:t>Paliyar</w:t>
      </w:r>
      <w:proofErr w:type="spellEnd"/>
      <w:r w:rsidRPr="00C50F6E">
        <w:rPr>
          <w:rFonts w:ascii="Times New Roman" w:hAnsi="Times New Roman" w:cs="Times New Roman"/>
        </w:rPr>
        <w:t xml:space="preserve"> tribe in </w:t>
      </w:r>
      <w:proofErr w:type="spellStart"/>
      <w:r w:rsidRPr="00C50F6E">
        <w:rPr>
          <w:rFonts w:ascii="Times New Roman" w:hAnsi="Times New Roman" w:cs="Times New Roman"/>
        </w:rPr>
        <w:t>Sirumalai</w:t>
      </w:r>
      <w:proofErr w:type="spellEnd"/>
      <w:r w:rsidRPr="00C50F6E">
        <w:rPr>
          <w:rFonts w:ascii="Times New Roman" w:hAnsi="Times New Roman" w:cs="Times New Roman"/>
        </w:rPr>
        <w:t xml:space="preserve"> hills of southern India. J Nat Remedies. 2010;10(1):40–45.</w:t>
      </w:r>
    </w:p>
    <w:p w14:paraId="002B331B" w14:textId="3C610EF7"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Ragupathy S, Newmaster SG. Valorizing the ‘</w:t>
      </w:r>
      <w:proofErr w:type="spellStart"/>
      <w:r w:rsidRPr="00C50F6E">
        <w:rPr>
          <w:rFonts w:ascii="Times New Roman" w:hAnsi="Times New Roman" w:cs="Times New Roman"/>
        </w:rPr>
        <w:t>Irulas</w:t>
      </w:r>
      <w:proofErr w:type="spellEnd"/>
      <w:r w:rsidRPr="00C50F6E">
        <w:rPr>
          <w:rFonts w:ascii="Times New Roman" w:hAnsi="Times New Roman" w:cs="Times New Roman"/>
        </w:rPr>
        <w:t xml:space="preserve">’ traditional knowledge of medicinal plants in the </w:t>
      </w:r>
      <w:proofErr w:type="spellStart"/>
      <w:r w:rsidRPr="00C50F6E">
        <w:rPr>
          <w:rFonts w:ascii="Times New Roman" w:hAnsi="Times New Roman" w:cs="Times New Roman"/>
        </w:rPr>
        <w:t>Kodiakkarai</w:t>
      </w:r>
      <w:proofErr w:type="spellEnd"/>
      <w:r w:rsidRPr="00C50F6E">
        <w:rPr>
          <w:rFonts w:ascii="Times New Roman" w:hAnsi="Times New Roman" w:cs="Times New Roman"/>
        </w:rPr>
        <w:t xml:space="preserve"> Reserve Forest, India. J </w:t>
      </w:r>
      <w:proofErr w:type="spellStart"/>
      <w:r w:rsidRPr="00C50F6E">
        <w:rPr>
          <w:rFonts w:ascii="Times New Roman" w:hAnsi="Times New Roman" w:cs="Times New Roman"/>
        </w:rPr>
        <w:t>Ethnobiol</w:t>
      </w:r>
      <w:proofErr w:type="spellEnd"/>
      <w:r w:rsidRPr="00C50F6E">
        <w:rPr>
          <w:rFonts w:ascii="Times New Roman" w:hAnsi="Times New Roman" w:cs="Times New Roman"/>
        </w:rPr>
        <w:t xml:space="preserve"> </w:t>
      </w:r>
      <w:proofErr w:type="spellStart"/>
      <w:r w:rsidRPr="00C50F6E">
        <w:rPr>
          <w:rFonts w:ascii="Times New Roman" w:hAnsi="Times New Roman" w:cs="Times New Roman"/>
        </w:rPr>
        <w:t>Ethnomed</w:t>
      </w:r>
      <w:proofErr w:type="spellEnd"/>
      <w:r w:rsidRPr="00C50F6E">
        <w:rPr>
          <w:rFonts w:ascii="Times New Roman" w:hAnsi="Times New Roman" w:cs="Times New Roman"/>
        </w:rPr>
        <w:t>. 2009;5(1):10.</w:t>
      </w:r>
    </w:p>
    <w:p w14:paraId="14544324" w14:textId="7287EA6D" w:rsidR="00C50F6E" w:rsidRPr="00C50F6E" w:rsidRDefault="00C50F6E" w:rsidP="00C50F6E">
      <w:pPr>
        <w:pStyle w:val="ListParagraph"/>
        <w:numPr>
          <w:ilvl w:val="1"/>
          <w:numId w:val="14"/>
        </w:numPr>
        <w:tabs>
          <w:tab w:val="left" w:pos="270"/>
        </w:tabs>
        <w:ind w:left="270"/>
        <w:rPr>
          <w:rFonts w:ascii="Times New Roman" w:hAnsi="Times New Roman" w:cs="Times New Roman"/>
        </w:rPr>
      </w:pPr>
      <w:proofErr w:type="spellStart"/>
      <w:r w:rsidRPr="00C50F6E">
        <w:rPr>
          <w:rFonts w:ascii="Times New Roman" w:hAnsi="Times New Roman" w:cs="Times New Roman"/>
        </w:rPr>
        <w:t>Pushpangadan</w:t>
      </w:r>
      <w:proofErr w:type="spellEnd"/>
      <w:r w:rsidRPr="00C50F6E">
        <w:rPr>
          <w:rFonts w:ascii="Times New Roman" w:hAnsi="Times New Roman" w:cs="Times New Roman"/>
        </w:rPr>
        <w:t xml:space="preserve"> P, George V. Ethnomedicinal practices of the tribals of India with special reference to the western and eastern Ghats. J </w:t>
      </w:r>
      <w:proofErr w:type="spellStart"/>
      <w:r w:rsidRPr="00C50F6E">
        <w:rPr>
          <w:rFonts w:ascii="Times New Roman" w:hAnsi="Times New Roman" w:cs="Times New Roman"/>
        </w:rPr>
        <w:t>Ethnopharmacol</w:t>
      </w:r>
      <w:proofErr w:type="spellEnd"/>
      <w:r w:rsidRPr="00C50F6E">
        <w:rPr>
          <w:rFonts w:ascii="Times New Roman" w:hAnsi="Times New Roman" w:cs="Times New Roman"/>
        </w:rPr>
        <w:t>. 2010;128(2):291–298.</w:t>
      </w:r>
    </w:p>
    <w:p w14:paraId="7FA0759F" w14:textId="6339497D"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Harborne JB. Phytochemical Methods: A Guide to Modern Techniques of Plant Analysis. 3rd ed. London: Chapman &amp; Hall; 1998.</w:t>
      </w:r>
    </w:p>
    <w:p w14:paraId="49CD5026" w14:textId="27C51DD9"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Wallis TE. Textbook of Pharmacognosy. 5th ed. New Delhi: CBS Publishers; 2004.</w:t>
      </w:r>
    </w:p>
    <w:p w14:paraId="6488A9BA" w14:textId="5016D4B7"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Vinatoru M. An overview of the ultrasonically assisted extraction of bioactive principles from herbs. </w:t>
      </w:r>
      <w:proofErr w:type="spellStart"/>
      <w:r w:rsidRPr="00C50F6E">
        <w:rPr>
          <w:rFonts w:ascii="Times New Roman" w:hAnsi="Times New Roman" w:cs="Times New Roman"/>
        </w:rPr>
        <w:t>Ultrason</w:t>
      </w:r>
      <w:proofErr w:type="spellEnd"/>
      <w:r w:rsidRPr="00C50F6E">
        <w:rPr>
          <w:rFonts w:ascii="Times New Roman" w:hAnsi="Times New Roman" w:cs="Times New Roman"/>
        </w:rPr>
        <w:t xml:space="preserve"> </w:t>
      </w:r>
      <w:proofErr w:type="spellStart"/>
      <w:r w:rsidRPr="00C50F6E">
        <w:rPr>
          <w:rFonts w:ascii="Times New Roman" w:hAnsi="Times New Roman" w:cs="Times New Roman"/>
        </w:rPr>
        <w:t>Sonochem</w:t>
      </w:r>
      <w:proofErr w:type="spellEnd"/>
      <w:r w:rsidRPr="00C50F6E">
        <w:rPr>
          <w:rFonts w:ascii="Times New Roman" w:hAnsi="Times New Roman" w:cs="Times New Roman"/>
        </w:rPr>
        <w:t>. 2001;8(3):303–313.</w:t>
      </w:r>
    </w:p>
    <w:p w14:paraId="69E4424C" w14:textId="16EB43E1"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Wagner H, Bladt S. Plant Drug Analysis: A Thin Layer Chromatography Atlas. 2nd ed. Berlin: Springer-Verlag; 1996.</w:t>
      </w:r>
    </w:p>
    <w:p w14:paraId="74D055DE" w14:textId="5A97C895"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Sasidharan S, et al. Extraction, isolation and characterization of bioactive compounds from plants. </w:t>
      </w:r>
      <w:proofErr w:type="spellStart"/>
      <w:r w:rsidRPr="00C50F6E">
        <w:rPr>
          <w:rFonts w:ascii="Times New Roman" w:hAnsi="Times New Roman" w:cs="Times New Roman"/>
        </w:rPr>
        <w:t>Afr</w:t>
      </w:r>
      <w:proofErr w:type="spellEnd"/>
      <w:r w:rsidRPr="00C50F6E">
        <w:rPr>
          <w:rFonts w:ascii="Times New Roman" w:hAnsi="Times New Roman" w:cs="Times New Roman"/>
        </w:rPr>
        <w:t xml:space="preserve"> J </w:t>
      </w:r>
      <w:proofErr w:type="spellStart"/>
      <w:r w:rsidRPr="00C50F6E">
        <w:rPr>
          <w:rFonts w:ascii="Times New Roman" w:hAnsi="Times New Roman" w:cs="Times New Roman"/>
        </w:rPr>
        <w:t>Tradit</w:t>
      </w:r>
      <w:proofErr w:type="spellEnd"/>
      <w:r w:rsidRPr="00C50F6E">
        <w:rPr>
          <w:rFonts w:ascii="Times New Roman" w:hAnsi="Times New Roman" w:cs="Times New Roman"/>
        </w:rPr>
        <w:t xml:space="preserve"> Complement Altern Med. 2011;8(1):1–10.</w:t>
      </w:r>
    </w:p>
    <w:p w14:paraId="777B13F1" w14:textId="0BF6DEAA"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Mandal V, Mohan Y, Hemalatha S. Microwave assisted extraction—an innovative and promising extraction tool for medicinal plant research. </w:t>
      </w:r>
      <w:proofErr w:type="spellStart"/>
      <w:r w:rsidRPr="00C50F6E">
        <w:rPr>
          <w:rFonts w:ascii="Times New Roman" w:hAnsi="Times New Roman" w:cs="Times New Roman"/>
        </w:rPr>
        <w:t>Pharmacogn</w:t>
      </w:r>
      <w:proofErr w:type="spellEnd"/>
      <w:r w:rsidRPr="00C50F6E">
        <w:rPr>
          <w:rFonts w:ascii="Times New Roman" w:hAnsi="Times New Roman" w:cs="Times New Roman"/>
        </w:rPr>
        <w:t xml:space="preserve"> Rev. 2007;1(1):7–18.</w:t>
      </w:r>
    </w:p>
    <w:p w14:paraId="47B8ECC7" w14:textId="18C8CDC4"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Singleton VL, Rossi JA. Colorimetry of total phenolics with phosphomolybdic–</w:t>
      </w:r>
      <w:proofErr w:type="spellStart"/>
      <w:r w:rsidRPr="00C50F6E">
        <w:rPr>
          <w:rFonts w:ascii="Times New Roman" w:hAnsi="Times New Roman" w:cs="Times New Roman"/>
        </w:rPr>
        <w:t>phosphotungstic</w:t>
      </w:r>
      <w:proofErr w:type="spellEnd"/>
      <w:r w:rsidRPr="00C50F6E">
        <w:rPr>
          <w:rFonts w:ascii="Times New Roman" w:hAnsi="Times New Roman" w:cs="Times New Roman"/>
        </w:rPr>
        <w:t xml:space="preserve"> acid reagents. Am J Enol </w:t>
      </w:r>
      <w:proofErr w:type="spellStart"/>
      <w:r w:rsidRPr="00C50F6E">
        <w:rPr>
          <w:rFonts w:ascii="Times New Roman" w:hAnsi="Times New Roman" w:cs="Times New Roman"/>
        </w:rPr>
        <w:t>Vitic</w:t>
      </w:r>
      <w:proofErr w:type="spellEnd"/>
      <w:r w:rsidRPr="00C50F6E">
        <w:rPr>
          <w:rFonts w:ascii="Times New Roman" w:hAnsi="Times New Roman" w:cs="Times New Roman"/>
        </w:rPr>
        <w:t>. 1965;16(3):144–158.</w:t>
      </w:r>
    </w:p>
    <w:p w14:paraId="1C605B3F" w14:textId="6A8A9FE8"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Silverstein RM, Webster FX, </w:t>
      </w:r>
      <w:proofErr w:type="spellStart"/>
      <w:r w:rsidRPr="00C50F6E">
        <w:rPr>
          <w:rFonts w:ascii="Times New Roman" w:hAnsi="Times New Roman" w:cs="Times New Roman"/>
        </w:rPr>
        <w:t>Kiemle</w:t>
      </w:r>
      <w:proofErr w:type="spellEnd"/>
      <w:r w:rsidRPr="00C50F6E">
        <w:rPr>
          <w:rFonts w:ascii="Times New Roman" w:hAnsi="Times New Roman" w:cs="Times New Roman"/>
        </w:rPr>
        <w:t xml:space="preserve"> DJ. Spectrometric Identification of Organic Compounds. 7th ed. New York: Wiley; 2005.</w:t>
      </w:r>
    </w:p>
    <w:p w14:paraId="37994845" w14:textId="632580F7"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Dey PM, Harborne JB. Methods in Plant Biochemistry: Plant Phenolics. Vol. 1. Academic Press; 1997.</w:t>
      </w:r>
    </w:p>
    <w:p w14:paraId="0E764461" w14:textId="30D15CF9" w:rsidR="00C50F6E" w:rsidRPr="00C50F6E" w:rsidRDefault="00C50F6E" w:rsidP="00C50F6E">
      <w:pPr>
        <w:pStyle w:val="ListParagraph"/>
        <w:numPr>
          <w:ilvl w:val="1"/>
          <w:numId w:val="14"/>
        </w:numPr>
        <w:tabs>
          <w:tab w:val="left" w:pos="270"/>
        </w:tabs>
        <w:ind w:left="270"/>
        <w:rPr>
          <w:rFonts w:ascii="Times New Roman" w:hAnsi="Times New Roman" w:cs="Times New Roman"/>
        </w:rPr>
      </w:pPr>
      <w:proofErr w:type="spellStart"/>
      <w:r w:rsidRPr="00C50F6E">
        <w:rPr>
          <w:rFonts w:ascii="Times New Roman" w:hAnsi="Times New Roman" w:cs="Times New Roman"/>
        </w:rPr>
        <w:t>Pretsch</w:t>
      </w:r>
      <w:proofErr w:type="spellEnd"/>
      <w:r w:rsidRPr="00C50F6E">
        <w:rPr>
          <w:rFonts w:ascii="Times New Roman" w:hAnsi="Times New Roman" w:cs="Times New Roman"/>
        </w:rPr>
        <w:t xml:space="preserve"> E, </w:t>
      </w:r>
      <w:proofErr w:type="spellStart"/>
      <w:r w:rsidRPr="00C50F6E">
        <w:rPr>
          <w:rFonts w:ascii="Times New Roman" w:hAnsi="Times New Roman" w:cs="Times New Roman"/>
        </w:rPr>
        <w:t>Bühlmann</w:t>
      </w:r>
      <w:proofErr w:type="spellEnd"/>
      <w:r w:rsidRPr="00C50F6E">
        <w:rPr>
          <w:rFonts w:ascii="Times New Roman" w:hAnsi="Times New Roman" w:cs="Times New Roman"/>
        </w:rPr>
        <w:t xml:space="preserve"> P, </w:t>
      </w:r>
      <w:proofErr w:type="spellStart"/>
      <w:r w:rsidRPr="00C50F6E">
        <w:rPr>
          <w:rFonts w:ascii="Times New Roman" w:hAnsi="Times New Roman" w:cs="Times New Roman"/>
        </w:rPr>
        <w:t>Badertscher</w:t>
      </w:r>
      <w:proofErr w:type="spellEnd"/>
      <w:r w:rsidRPr="00C50F6E">
        <w:rPr>
          <w:rFonts w:ascii="Times New Roman" w:hAnsi="Times New Roman" w:cs="Times New Roman"/>
        </w:rPr>
        <w:t xml:space="preserve"> M. Structure Determination of Organic Compounds: Tables of Spectral Data. Springer; 2009.</w:t>
      </w:r>
    </w:p>
    <w:p w14:paraId="6A29F163" w14:textId="6AE87CBE" w:rsidR="00C50F6E" w:rsidRPr="00C50F6E" w:rsidRDefault="00C50F6E" w:rsidP="00C50F6E">
      <w:pPr>
        <w:pStyle w:val="ListParagraph"/>
        <w:numPr>
          <w:ilvl w:val="1"/>
          <w:numId w:val="14"/>
        </w:numPr>
        <w:tabs>
          <w:tab w:val="left" w:pos="270"/>
        </w:tabs>
        <w:ind w:left="270"/>
        <w:rPr>
          <w:rFonts w:ascii="Times New Roman" w:hAnsi="Times New Roman" w:cs="Times New Roman"/>
        </w:rPr>
      </w:pPr>
      <w:proofErr w:type="spellStart"/>
      <w:r w:rsidRPr="00C50F6E">
        <w:rPr>
          <w:rFonts w:ascii="Times New Roman" w:hAnsi="Times New Roman" w:cs="Times New Roman"/>
        </w:rPr>
        <w:t>Jeyadevi</w:t>
      </w:r>
      <w:proofErr w:type="spellEnd"/>
      <w:r w:rsidRPr="00C50F6E">
        <w:rPr>
          <w:rFonts w:ascii="Times New Roman" w:hAnsi="Times New Roman" w:cs="Times New Roman"/>
        </w:rPr>
        <w:t xml:space="preserve"> R, </w:t>
      </w:r>
      <w:proofErr w:type="spellStart"/>
      <w:r w:rsidRPr="00C50F6E">
        <w:rPr>
          <w:rFonts w:ascii="Times New Roman" w:hAnsi="Times New Roman" w:cs="Times New Roman"/>
        </w:rPr>
        <w:t>Sivasudha</w:t>
      </w:r>
      <w:proofErr w:type="spellEnd"/>
      <w:r w:rsidRPr="00C50F6E">
        <w:rPr>
          <w:rFonts w:ascii="Times New Roman" w:hAnsi="Times New Roman" w:cs="Times New Roman"/>
        </w:rPr>
        <w:t xml:space="preserve"> T, Ilavarasan R. Comparative study on the antioxidant and free radical scavenging activities of Crotalaria retusa and Crotalaria verrucosa. Asian J Pharm Clin Res. 2012;5(4):113–117.</w:t>
      </w:r>
    </w:p>
    <w:p w14:paraId="661E4CFD" w14:textId="74067F61"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Fu PP, Xia Q, Lin G, Chou MW. Pyrrolizidine alkaloids—genotoxicity, metabolism enzymes, and mechanisms. Drug </w:t>
      </w:r>
      <w:proofErr w:type="spellStart"/>
      <w:r w:rsidRPr="00C50F6E">
        <w:rPr>
          <w:rFonts w:ascii="Times New Roman" w:hAnsi="Times New Roman" w:cs="Times New Roman"/>
        </w:rPr>
        <w:t>Metab</w:t>
      </w:r>
      <w:proofErr w:type="spellEnd"/>
      <w:r w:rsidRPr="00C50F6E">
        <w:rPr>
          <w:rFonts w:ascii="Times New Roman" w:hAnsi="Times New Roman" w:cs="Times New Roman"/>
        </w:rPr>
        <w:t xml:space="preserve"> Rev. 2004;36(1):1–55.</w:t>
      </w:r>
    </w:p>
    <w:p w14:paraId="337C6093" w14:textId="38519DE8"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Rabi T, </w:t>
      </w:r>
      <w:proofErr w:type="spellStart"/>
      <w:r w:rsidRPr="00C50F6E">
        <w:rPr>
          <w:rFonts w:ascii="Times New Roman" w:hAnsi="Times New Roman" w:cs="Times New Roman"/>
        </w:rPr>
        <w:t>Bishayee</w:t>
      </w:r>
      <w:proofErr w:type="spellEnd"/>
      <w:r w:rsidRPr="00C50F6E">
        <w:rPr>
          <w:rFonts w:ascii="Times New Roman" w:hAnsi="Times New Roman" w:cs="Times New Roman"/>
        </w:rPr>
        <w:t xml:space="preserve"> A. Terpenoids and breast cancer chemoprevention. Breast Cancer Res Treat. 2009;115(2):223–239.</w:t>
      </w:r>
    </w:p>
    <w:p w14:paraId="4591B900" w14:textId="2E2395E3"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Rice-Evans CA, Miller NJ, </w:t>
      </w:r>
      <w:proofErr w:type="spellStart"/>
      <w:r w:rsidRPr="00C50F6E">
        <w:rPr>
          <w:rFonts w:ascii="Times New Roman" w:hAnsi="Times New Roman" w:cs="Times New Roman"/>
        </w:rPr>
        <w:t>Paganga</w:t>
      </w:r>
      <w:proofErr w:type="spellEnd"/>
      <w:r w:rsidRPr="00C50F6E">
        <w:rPr>
          <w:rFonts w:ascii="Times New Roman" w:hAnsi="Times New Roman" w:cs="Times New Roman"/>
        </w:rPr>
        <w:t xml:space="preserve"> G. Structure–antioxidant activity relationships of flavonoids and phenolic acids. Free Radic Biol Med. 1996;20(7):933–956.</w:t>
      </w:r>
    </w:p>
    <w:p w14:paraId="0273076D" w14:textId="2639FFAE"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lastRenderedPageBreak/>
        <w:t xml:space="preserve">Bhatt A, Patel N, Patel P, Patel K. Screening of phytochemical constituents and antimicrobial activity of some Indian medicinal plants. J Pharm </w:t>
      </w:r>
      <w:proofErr w:type="spellStart"/>
      <w:r w:rsidRPr="00C50F6E">
        <w:rPr>
          <w:rFonts w:ascii="Times New Roman" w:hAnsi="Times New Roman" w:cs="Times New Roman"/>
        </w:rPr>
        <w:t>Bioallied</w:t>
      </w:r>
      <w:proofErr w:type="spellEnd"/>
      <w:r w:rsidRPr="00C50F6E">
        <w:rPr>
          <w:rFonts w:ascii="Times New Roman" w:hAnsi="Times New Roman" w:cs="Times New Roman"/>
        </w:rPr>
        <w:t xml:space="preserve"> Sci. 2010;2(4):310–313.</w:t>
      </w:r>
    </w:p>
    <w:p w14:paraId="11F08C95" w14:textId="1A12845D"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Kumar S, Singh B. Anti-inflammatory potential of flavonoids from Crotalaria species: In vitro enzyme inhibition studies. Phytomedicine. </w:t>
      </w:r>
      <w:proofErr w:type="gramStart"/>
      <w:r w:rsidRPr="00C50F6E">
        <w:rPr>
          <w:rFonts w:ascii="Times New Roman" w:hAnsi="Times New Roman" w:cs="Times New Roman"/>
        </w:rPr>
        <w:t>2018;50:127</w:t>
      </w:r>
      <w:proofErr w:type="gramEnd"/>
      <w:r w:rsidRPr="00C50F6E">
        <w:rPr>
          <w:rFonts w:ascii="Times New Roman" w:hAnsi="Times New Roman" w:cs="Times New Roman"/>
        </w:rPr>
        <w:t>–133.</w:t>
      </w:r>
    </w:p>
    <w:p w14:paraId="544DFB82" w14:textId="536CA892"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Patel V, Shah A, Joshi B. Evaluation of anti-inflammatory effect of Crotalaria </w:t>
      </w:r>
      <w:proofErr w:type="spellStart"/>
      <w:r w:rsidRPr="00C50F6E">
        <w:rPr>
          <w:rFonts w:ascii="Times New Roman" w:hAnsi="Times New Roman" w:cs="Times New Roman"/>
        </w:rPr>
        <w:t>multibracteata</w:t>
      </w:r>
      <w:proofErr w:type="spellEnd"/>
      <w:r w:rsidRPr="00C50F6E">
        <w:rPr>
          <w:rFonts w:ascii="Times New Roman" w:hAnsi="Times New Roman" w:cs="Times New Roman"/>
        </w:rPr>
        <w:t xml:space="preserve"> in rat paw edema model. J </w:t>
      </w:r>
      <w:proofErr w:type="spellStart"/>
      <w:r w:rsidRPr="00C50F6E">
        <w:rPr>
          <w:rFonts w:ascii="Times New Roman" w:hAnsi="Times New Roman" w:cs="Times New Roman"/>
        </w:rPr>
        <w:t>Ethnopharmacol</w:t>
      </w:r>
      <w:proofErr w:type="spellEnd"/>
      <w:r w:rsidRPr="00C50F6E">
        <w:rPr>
          <w:rFonts w:ascii="Times New Roman" w:hAnsi="Times New Roman" w:cs="Times New Roman"/>
        </w:rPr>
        <w:t xml:space="preserve">. </w:t>
      </w:r>
      <w:proofErr w:type="gramStart"/>
      <w:r w:rsidRPr="00C50F6E">
        <w:rPr>
          <w:rFonts w:ascii="Times New Roman" w:hAnsi="Times New Roman" w:cs="Times New Roman"/>
        </w:rPr>
        <w:t>2019;244:112147</w:t>
      </w:r>
      <w:proofErr w:type="gramEnd"/>
      <w:r w:rsidRPr="00C50F6E">
        <w:rPr>
          <w:rFonts w:ascii="Times New Roman" w:hAnsi="Times New Roman" w:cs="Times New Roman"/>
        </w:rPr>
        <w:t>.</w:t>
      </w:r>
    </w:p>
    <w:p w14:paraId="4EB690BA" w14:textId="0A8BB924"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Reddy KR, Kumar CV. Antioxidant potential of Crotalaria extracts: A comparative study. Free Radic Biol Med. </w:t>
      </w:r>
      <w:proofErr w:type="gramStart"/>
      <w:r w:rsidRPr="00C50F6E">
        <w:rPr>
          <w:rFonts w:ascii="Times New Roman" w:hAnsi="Times New Roman" w:cs="Times New Roman"/>
        </w:rPr>
        <w:t>2017;110:172</w:t>
      </w:r>
      <w:proofErr w:type="gramEnd"/>
      <w:r w:rsidRPr="00C50F6E">
        <w:rPr>
          <w:rFonts w:ascii="Times New Roman" w:hAnsi="Times New Roman" w:cs="Times New Roman"/>
        </w:rPr>
        <w:t>–180.</w:t>
      </w:r>
    </w:p>
    <w:p w14:paraId="4CDB1BFE" w14:textId="2D4A5439"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Singh N, Gupta A. Protective effects of Crotalaria leaf extracts against oxidative stress in vivo. Pharm Biol. 2020;58(1):345–352.</w:t>
      </w:r>
    </w:p>
    <w:p w14:paraId="0CCDB2BF" w14:textId="178DE6C0"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Sharma P, Mehta S. Antimicrobial efficacy of Crotalaria </w:t>
      </w:r>
      <w:proofErr w:type="spellStart"/>
      <w:r w:rsidRPr="00C50F6E">
        <w:rPr>
          <w:rFonts w:ascii="Times New Roman" w:hAnsi="Times New Roman" w:cs="Times New Roman"/>
        </w:rPr>
        <w:t>multibracteata</w:t>
      </w:r>
      <w:proofErr w:type="spellEnd"/>
      <w:r w:rsidRPr="00C50F6E">
        <w:rPr>
          <w:rFonts w:ascii="Times New Roman" w:hAnsi="Times New Roman" w:cs="Times New Roman"/>
        </w:rPr>
        <w:t xml:space="preserve"> against clinical isolates. J Appl Microbiol. 2017;123(3):733–740.</w:t>
      </w:r>
    </w:p>
    <w:p w14:paraId="4A4F0A33" w14:textId="39DA17A3"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Das S, Roy A. Cytotoxicity and apoptosis-inducing activity of Crotalaria alkaloids on cancer cells. Cancer Lett. </w:t>
      </w:r>
      <w:proofErr w:type="gramStart"/>
      <w:r w:rsidRPr="00C50F6E">
        <w:rPr>
          <w:rFonts w:ascii="Times New Roman" w:hAnsi="Times New Roman" w:cs="Times New Roman"/>
        </w:rPr>
        <w:t>2021;502:140</w:t>
      </w:r>
      <w:proofErr w:type="gramEnd"/>
      <w:r w:rsidRPr="00C50F6E">
        <w:rPr>
          <w:rFonts w:ascii="Times New Roman" w:hAnsi="Times New Roman" w:cs="Times New Roman"/>
        </w:rPr>
        <w:t>–150.</w:t>
      </w:r>
    </w:p>
    <w:p w14:paraId="554724F0" w14:textId="7EC9916B"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Singh R, Verma A. Antidiabetic potential of Crotalaria species in streptozotocin-induced diabetic rats. Diabetes Res Clin </w:t>
      </w:r>
      <w:proofErr w:type="spellStart"/>
      <w:r w:rsidRPr="00C50F6E">
        <w:rPr>
          <w:rFonts w:ascii="Times New Roman" w:hAnsi="Times New Roman" w:cs="Times New Roman"/>
        </w:rPr>
        <w:t>Pract</w:t>
      </w:r>
      <w:proofErr w:type="spellEnd"/>
      <w:r w:rsidRPr="00C50F6E">
        <w:rPr>
          <w:rFonts w:ascii="Times New Roman" w:hAnsi="Times New Roman" w:cs="Times New Roman"/>
        </w:rPr>
        <w:t xml:space="preserve">. </w:t>
      </w:r>
      <w:proofErr w:type="gramStart"/>
      <w:r w:rsidRPr="00C50F6E">
        <w:rPr>
          <w:rFonts w:ascii="Times New Roman" w:hAnsi="Times New Roman" w:cs="Times New Roman"/>
        </w:rPr>
        <w:t>2019;150:147</w:t>
      </w:r>
      <w:proofErr w:type="gramEnd"/>
      <w:r w:rsidRPr="00C50F6E">
        <w:rPr>
          <w:rFonts w:ascii="Times New Roman" w:hAnsi="Times New Roman" w:cs="Times New Roman"/>
        </w:rPr>
        <w:t>–154.</w:t>
      </w:r>
    </w:p>
    <w:p w14:paraId="2560DFEF" w14:textId="15DCA179"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Joshi M, Kumar R. Hepatoprotective activity of Crotalaria extract in CCl4-induced liver injury in rats. </w:t>
      </w:r>
      <w:proofErr w:type="spellStart"/>
      <w:r w:rsidRPr="00C50F6E">
        <w:rPr>
          <w:rFonts w:ascii="Times New Roman" w:hAnsi="Times New Roman" w:cs="Times New Roman"/>
        </w:rPr>
        <w:t>Phytother</w:t>
      </w:r>
      <w:proofErr w:type="spellEnd"/>
      <w:r w:rsidRPr="00C50F6E">
        <w:rPr>
          <w:rFonts w:ascii="Times New Roman" w:hAnsi="Times New Roman" w:cs="Times New Roman"/>
        </w:rPr>
        <w:t xml:space="preserve"> Res. 2018;32(9):1754–1761.</w:t>
      </w:r>
    </w:p>
    <w:p w14:paraId="107B9803" w14:textId="4C2B4C23"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Fu PP, Xia Q, Lin G, Chou MW. Pyrrolizidine alkaloids–genotoxicity, metabolism enzymes, metabolic activation, and mechanisms. Drug </w:t>
      </w:r>
      <w:proofErr w:type="spellStart"/>
      <w:r w:rsidRPr="00C50F6E">
        <w:rPr>
          <w:rFonts w:ascii="Times New Roman" w:hAnsi="Times New Roman" w:cs="Times New Roman"/>
        </w:rPr>
        <w:t>Metab</w:t>
      </w:r>
      <w:proofErr w:type="spellEnd"/>
      <w:r w:rsidRPr="00C50F6E">
        <w:rPr>
          <w:rFonts w:ascii="Times New Roman" w:hAnsi="Times New Roman" w:cs="Times New Roman"/>
        </w:rPr>
        <w:t xml:space="preserve"> Rev. 2004;36(1):1–55.</w:t>
      </w:r>
    </w:p>
    <w:p w14:paraId="708369CD" w14:textId="3414C8DC"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Mattocks AR. Chemistry and Toxicology of Pyrrolizidine Alkaloids. Academic Press; 1986.</w:t>
      </w:r>
    </w:p>
    <w:p w14:paraId="7C7EDEF2" w14:textId="1C6A7A37"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Chen J, et al. Quantitative analysis of pyrrolizidine alkaloids in Crotalaria species from different regions. J Agric Food Chem. 2017;65(28):5728–5735.</w:t>
      </w:r>
    </w:p>
    <w:p w14:paraId="2A3BE553" w14:textId="3BDF3EBC"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Kumar A, Singh R. Toxicological evaluation of Crotalaria </w:t>
      </w:r>
      <w:proofErr w:type="spellStart"/>
      <w:r w:rsidRPr="00C50F6E">
        <w:rPr>
          <w:rFonts w:ascii="Times New Roman" w:hAnsi="Times New Roman" w:cs="Times New Roman"/>
        </w:rPr>
        <w:t>multibracteata</w:t>
      </w:r>
      <w:proofErr w:type="spellEnd"/>
      <w:r w:rsidRPr="00C50F6E">
        <w:rPr>
          <w:rFonts w:ascii="Times New Roman" w:hAnsi="Times New Roman" w:cs="Times New Roman"/>
        </w:rPr>
        <w:t xml:space="preserve"> extracts: Acute and </w:t>
      </w:r>
      <w:proofErr w:type="spellStart"/>
      <w:r w:rsidRPr="00C50F6E">
        <w:rPr>
          <w:rFonts w:ascii="Times New Roman" w:hAnsi="Times New Roman" w:cs="Times New Roman"/>
        </w:rPr>
        <w:t>subchronic</w:t>
      </w:r>
      <w:proofErr w:type="spellEnd"/>
      <w:r w:rsidRPr="00C50F6E">
        <w:rPr>
          <w:rFonts w:ascii="Times New Roman" w:hAnsi="Times New Roman" w:cs="Times New Roman"/>
        </w:rPr>
        <w:t xml:space="preserve"> studies in rodents. </w:t>
      </w:r>
      <w:proofErr w:type="spellStart"/>
      <w:r w:rsidRPr="00C50F6E">
        <w:rPr>
          <w:rFonts w:ascii="Times New Roman" w:hAnsi="Times New Roman" w:cs="Times New Roman"/>
        </w:rPr>
        <w:t>Toxicol</w:t>
      </w:r>
      <w:proofErr w:type="spellEnd"/>
      <w:r w:rsidRPr="00C50F6E">
        <w:rPr>
          <w:rFonts w:ascii="Times New Roman" w:hAnsi="Times New Roman" w:cs="Times New Roman"/>
        </w:rPr>
        <w:t xml:space="preserve"> Rep. </w:t>
      </w:r>
      <w:proofErr w:type="gramStart"/>
      <w:r w:rsidRPr="00C50F6E">
        <w:rPr>
          <w:rFonts w:ascii="Times New Roman" w:hAnsi="Times New Roman" w:cs="Times New Roman"/>
        </w:rPr>
        <w:t>2019;6:1114</w:t>
      </w:r>
      <w:proofErr w:type="gramEnd"/>
      <w:r w:rsidRPr="00C50F6E">
        <w:rPr>
          <w:rFonts w:ascii="Times New Roman" w:hAnsi="Times New Roman" w:cs="Times New Roman"/>
        </w:rPr>
        <w:t>–1121.</w:t>
      </w:r>
    </w:p>
    <w:p w14:paraId="56D95AEC" w14:textId="7E769952"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Sharma P, et al. Safety assessment of Crotalaria plant extracts: Determination of no observed adverse effect level (NOAEL) in rats. </w:t>
      </w:r>
      <w:proofErr w:type="spellStart"/>
      <w:r w:rsidRPr="00C50F6E">
        <w:rPr>
          <w:rFonts w:ascii="Times New Roman" w:hAnsi="Times New Roman" w:cs="Times New Roman"/>
        </w:rPr>
        <w:t>Phytother</w:t>
      </w:r>
      <w:proofErr w:type="spellEnd"/>
      <w:r w:rsidRPr="00C50F6E">
        <w:rPr>
          <w:rFonts w:ascii="Times New Roman" w:hAnsi="Times New Roman" w:cs="Times New Roman"/>
        </w:rPr>
        <w:t xml:space="preserve"> Res. 2020;34(5):1130–1138.</w:t>
      </w:r>
    </w:p>
    <w:p w14:paraId="6B81EB4B" w14:textId="26E4D5A1"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Wang Y, et al. Strategies for detoxification and safe use of pyrrolizidine alkaloid-containing medicinal plants. Front </w:t>
      </w:r>
      <w:proofErr w:type="spellStart"/>
      <w:r w:rsidRPr="00C50F6E">
        <w:rPr>
          <w:rFonts w:ascii="Times New Roman" w:hAnsi="Times New Roman" w:cs="Times New Roman"/>
        </w:rPr>
        <w:t>Pharmacol</w:t>
      </w:r>
      <w:proofErr w:type="spellEnd"/>
      <w:r w:rsidRPr="00C50F6E">
        <w:rPr>
          <w:rFonts w:ascii="Times New Roman" w:hAnsi="Times New Roman" w:cs="Times New Roman"/>
        </w:rPr>
        <w:t xml:space="preserve">. </w:t>
      </w:r>
      <w:proofErr w:type="gramStart"/>
      <w:r w:rsidRPr="00C50F6E">
        <w:rPr>
          <w:rFonts w:ascii="Times New Roman" w:hAnsi="Times New Roman" w:cs="Times New Roman"/>
        </w:rPr>
        <w:t>2021;12:671211</w:t>
      </w:r>
      <w:proofErr w:type="gramEnd"/>
      <w:r w:rsidRPr="00C50F6E">
        <w:rPr>
          <w:rFonts w:ascii="Times New Roman" w:hAnsi="Times New Roman" w:cs="Times New Roman"/>
        </w:rPr>
        <w:t>.</w:t>
      </w:r>
    </w:p>
    <w:p w14:paraId="722C9B19" w14:textId="33E43843"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Singh S, et al. Enhancement of seed germination in Crotalaria spp. through pre-sowing treatments. J Plant Physiol. </w:t>
      </w:r>
      <w:proofErr w:type="gramStart"/>
      <w:r w:rsidRPr="00C50F6E">
        <w:rPr>
          <w:rFonts w:ascii="Times New Roman" w:hAnsi="Times New Roman" w:cs="Times New Roman"/>
        </w:rPr>
        <w:t>2018;225:34</w:t>
      </w:r>
      <w:proofErr w:type="gramEnd"/>
      <w:r w:rsidRPr="00C50F6E">
        <w:rPr>
          <w:rFonts w:ascii="Times New Roman" w:hAnsi="Times New Roman" w:cs="Times New Roman"/>
        </w:rPr>
        <w:t>–40.</w:t>
      </w:r>
    </w:p>
    <w:p w14:paraId="3446FBDA" w14:textId="554F33B6"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Patel R, Mehta P. In vitro propagation of Crotalaria </w:t>
      </w:r>
      <w:proofErr w:type="spellStart"/>
      <w:r w:rsidRPr="00C50F6E">
        <w:rPr>
          <w:rFonts w:ascii="Times New Roman" w:hAnsi="Times New Roman" w:cs="Times New Roman"/>
        </w:rPr>
        <w:t>multibracteata</w:t>
      </w:r>
      <w:proofErr w:type="spellEnd"/>
      <w:r w:rsidRPr="00C50F6E">
        <w:rPr>
          <w:rFonts w:ascii="Times New Roman" w:hAnsi="Times New Roman" w:cs="Times New Roman"/>
        </w:rPr>
        <w:t>: Protocol development and genetic fidelity assessment. Plant Cell Tissue Organ Cult. 2020;142(3):457–465.</w:t>
      </w:r>
    </w:p>
    <w:p w14:paraId="2238B815" w14:textId="5A7FB0FF"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Kumar V, Singh B. Agronomic evaluation of Crotalaria </w:t>
      </w:r>
      <w:proofErr w:type="spellStart"/>
      <w:r w:rsidRPr="00C50F6E">
        <w:rPr>
          <w:rFonts w:ascii="Times New Roman" w:hAnsi="Times New Roman" w:cs="Times New Roman"/>
        </w:rPr>
        <w:t>multibracteata</w:t>
      </w:r>
      <w:proofErr w:type="spellEnd"/>
      <w:r w:rsidRPr="00C50F6E">
        <w:rPr>
          <w:rFonts w:ascii="Times New Roman" w:hAnsi="Times New Roman" w:cs="Times New Roman"/>
        </w:rPr>
        <w:t xml:space="preserve"> under different climatic conditions. Agron J. 2019;111(4):1653–1661.</w:t>
      </w:r>
    </w:p>
    <w:p w14:paraId="74FAC7F4" w14:textId="6FB60558"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Rao SS, Reddy PM. Role of Crotalaria spp. in sustainable agriculture as green manure crops. Soil Biol </w:t>
      </w:r>
      <w:proofErr w:type="spellStart"/>
      <w:r w:rsidRPr="00C50F6E">
        <w:rPr>
          <w:rFonts w:ascii="Times New Roman" w:hAnsi="Times New Roman" w:cs="Times New Roman"/>
        </w:rPr>
        <w:t>Biochem</w:t>
      </w:r>
      <w:proofErr w:type="spellEnd"/>
      <w:r w:rsidRPr="00C50F6E">
        <w:rPr>
          <w:rFonts w:ascii="Times New Roman" w:hAnsi="Times New Roman" w:cs="Times New Roman"/>
        </w:rPr>
        <w:t xml:space="preserve">. </w:t>
      </w:r>
      <w:proofErr w:type="gramStart"/>
      <w:r w:rsidRPr="00C50F6E">
        <w:rPr>
          <w:rFonts w:ascii="Times New Roman" w:hAnsi="Times New Roman" w:cs="Times New Roman"/>
        </w:rPr>
        <w:t>2017;110:123</w:t>
      </w:r>
      <w:proofErr w:type="gramEnd"/>
      <w:r w:rsidRPr="00C50F6E">
        <w:rPr>
          <w:rFonts w:ascii="Times New Roman" w:hAnsi="Times New Roman" w:cs="Times New Roman"/>
        </w:rPr>
        <w:t>–130.</w:t>
      </w:r>
    </w:p>
    <w:p w14:paraId="53D5E309" w14:textId="34F7F196"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Sharma A, et al. Cultivation potential and harvesting optimization of Crotalaria </w:t>
      </w:r>
      <w:proofErr w:type="spellStart"/>
      <w:r w:rsidRPr="00C50F6E">
        <w:rPr>
          <w:rFonts w:ascii="Times New Roman" w:hAnsi="Times New Roman" w:cs="Times New Roman"/>
        </w:rPr>
        <w:t>multibracteata</w:t>
      </w:r>
      <w:proofErr w:type="spellEnd"/>
      <w:r w:rsidRPr="00C50F6E">
        <w:rPr>
          <w:rFonts w:ascii="Times New Roman" w:hAnsi="Times New Roman" w:cs="Times New Roman"/>
        </w:rPr>
        <w:t xml:space="preserve"> for medicinal use. Ind Crop Prod. </w:t>
      </w:r>
      <w:proofErr w:type="gramStart"/>
      <w:r w:rsidRPr="00C50F6E">
        <w:rPr>
          <w:rFonts w:ascii="Times New Roman" w:hAnsi="Times New Roman" w:cs="Times New Roman"/>
        </w:rPr>
        <w:t>2021;160:113123</w:t>
      </w:r>
      <w:proofErr w:type="gramEnd"/>
      <w:r w:rsidRPr="00C50F6E">
        <w:rPr>
          <w:rFonts w:ascii="Times New Roman" w:hAnsi="Times New Roman" w:cs="Times New Roman"/>
        </w:rPr>
        <w:t>.</w:t>
      </w:r>
    </w:p>
    <w:p w14:paraId="4F73B2CD" w14:textId="26FBE1A2"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lastRenderedPageBreak/>
        <w:t>Gupta N, et al. Biogenic synthesis of metal nanoparticles using Crotalaria plant extracts: A sustainable approach. Green Chem Lett Rev. 2022;15(1):12–23.</w:t>
      </w:r>
    </w:p>
    <w:p w14:paraId="4F5288A1" w14:textId="39EFF098" w:rsidR="00C50F6E" w:rsidRPr="00C50F6E" w:rsidRDefault="00C50F6E" w:rsidP="00C50F6E">
      <w:pPr>
        <w:pStyle w:val="ListParagraph"/>
        <w:rPr>
          <w:rFonts w:ascii="Times New Roman" w:hAnsi="Times New Roman" w:cs="Times New Roman"/>
        </w:rPr>
      </w:pPr>
    </w:p>
    <w:sectPr w:rsidR="00C50F6E" w:rsidRPr="00C50F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FD410" w14:textId="77777777" w:rsidR="003877E1" w:rsidRDefault="003877E1" w:rsidP="00FD287F">
      <w:pPr>
        <w:spacing w:after="0" w:line="240" w:lineRule="auto"/>
      </w:pPr>
      <w:r>
        <w:separator/>
      </w:r>
    </w:p>
  </w:endnote>
  <w:endnote w:type="continuationSeparator" w:id="0">
    <w:p w14:paraId="54DDFA68" w14:textId="77777777" w:rsidR="003877E1" w:rsidRDefault="003877E1" w:rsidP="00FD2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0D5B3" w14:textId="77777777" w:rsidR="00FD287F" w:rsidRDefault="00FD2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5D181" w14:textId="77777777" w:rsidR="00FD287F" w:rsidRDefault="00FD28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3C0E2" w14:textId="77777777" w:rsidR="00FD287F" w:rsidRDefault="00FD2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4DD72" w14:textId="77777777" w:rsidR="003877E1" w:rsidRDefault="003877E1" w:rsidP="00FD287F">
      <w:pPr>
        <w:spacing w:after="0" w:line="240" w:lineRule="auto"/>
      </w:pPr>
      <w:r>
        <w:separator/>
      </w:r>
    </w:p>
  </w:footnote>
  <w:footnote w:type="continuationSeparator" w:id="0">
    <w:p w14:paraId="79C2988A" w14:textId="77777777" w:rsidR="003877E1" w:rsidRDefault="003877E1" w:rsidP="00FD2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E0018" w14:textId="7C14BC0E" w:rsidR="00FD287F" w:rsidRDefault="00FD287F">
    <w:pPr>
      <w:pStyle w:val="Header"/>
    </w:pPr>
    <w:r>
      <w:rPr>
        <w:noProof/>
      </w:rPr>
      <w:pict w14:anchorId="326F8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6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A3AB1" w14:textId="5E4FDDEA" w:rsidR="00FD287F" w:rsidRDefault="00FD287F">
    <w:pPr>
      <w:pStyle w:val="Header"/>
    </w:pPr>
    <w:r>
      <w:rPr>
        <w:noProof/>
      </w:rPr>
      <w:pict w14:anchorId="404CD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6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9B1DB" w14:textId="55F6C62D" w:rsidR="00FD287F" w:rsidRDefault="00FD287F">
    <w:pPr>
      <w:pStyle w:val="Header"/>
    </w:pPr>
    <w:r>
      <w:rPr>
        <w:noProof/>
      </w:rPr>
      <w:pict w14:anchorId="33FB9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6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E7F12"/>
    <w:multiLevelType w:val="multilevel"/>
    <w:tmpl w:val="44EC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74354"/>
    <w:multiLevelType w:val="multilevel"/>
    <w:tmpl w:val="54FE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D25F3"/>
    <w:multiLevelType w:val="hybridMultilevel"/>
    <w:tmpl w:val="A9AA8406"/>
    <w:lvl w:ilvl="0" w:tplc="00E4A62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86618"/>
    <w:multiLevelType w:val="hybridMultilevel"/>
    <w:tmpl w:val="31C6E2AA"/>
    <w:lvl w:ilvl="0" w:tplc="0409000F">
      <w:start w:val="1"/>
      <w:numFmt w:val="decimal"/>
      <w:lvlText w:val="%1."/>
      <w:lvlJc w:val="left"/>
      <w:pPr>
        <w:ind w:left="720" w:hanging="360"/>
      </w:pPr>
    </w:lvl>
    <w:lvl w:ilvl="1" w:tplc="3190AE9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714FC"/>
    <w:multiLevelType w:val="multilevel"/>
    <w:tmpl w:val="6D9A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5D5D53"/>
    <w:multiLevelType w:val="hybridMultilevel"/>
    <w:tmpl w:val="35CE8A92"/>
    <w:lvl w:ilvl="0" w:tplc="FFFFFFFF">
      <w:start w:val="1"/>
      <w:numFmt w:val="decimalZero"/>
      <w:lvlText w:val="%1."/>
      <w:lvlJc w:val="left"/>
      <w:pPr>
        <w:ind w:left="720" w:hanging="360"/>
      </w:pPr>
      <w:rPr>
        <w:rFonts w:hint="default"/>
      </w:rPr>
    </w:lvl>
    <w:lvl w:ilvl="1" w:tplc="00E4A620">
      <w:start w:val="1"/>
      <w:numFmt w:val="decimalZero"/>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1D2728"/>
    <w:multiLevelType w:val="hybridMultilevel"/>
    <w:tmpl w:val="C7CC916E"/>
    <w:lvl w:ilvl="0" w:tplc="00E4A620">
      <w:start w:val="1"/>
      <w:numFmt w:val="decimalZero"/>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D8309A"/>
    <w:multiLevelType w:val="multilevel"/>
    <w:tmpl w:val="6270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BD7393"/>
    <w:multiLevelType w:val="multilevel"/>
    <w:tmpl w:val="321C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2F4269"/>
    <w:multiLevelType w:val="multilevel"/>
    <w:tmpl w:val="07CE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962A35"/>
    <w:multiLevelType w:val="multilevel"/>
    <w:tmpl w:val="D896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976F34"/>
    <w:multiLevelType w:val="multilevel"/>
    <w:tmpl w:val="FAC4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20F9C"/>
    <w:multiLevelType w:val="hybridMultilevel"/>
    <w:tmpl w:val="C3089BBA"/>
    <w:lvl w:ilvl="0" w:tplc="D39A6A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A142F8"/>
    <w:multiLevelType w:val="multilevel"/>
    <w:tmpl w:val="B3C0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4"/>
  </w:num>
  <w:num w:numId="4">
    <w:abstractNumId w:val="7"/>
  </w:num>
  <w:num w:numId="5">
    <w:abstractNumId w:val="8"/>
  </w:num>
  <w:num w:numId="6">
    <w:abstractNumId w:val="1"/>
  </w:num>
  <w:num w:numId="7">
    <w:abstractNumId w:val="11"/>
  </w:num>
  <w:num w:numId="8">
    <w:abstractNumId w:val="10"/>
  </w:num>
  <w:num w:numId="9">
    <w:abstractNumId w:val="0"/>
  </w:num>
  <w:num w:numId="10">
    <w:abstractNumId w:val="9"/>
  </w:num>
  <w:num w:numId="11">
    <w:abstractNumId w:val="13"/>
  </w:num>
  <w:num w:numId="12">
    <w:abstractNumId w:val="2"/>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43"/>
    <w:rsid w:val="0013689F"/>
    <w:rsid w:val="002057E4"/>
    <w:rsid w:val="00241F44"/>
    <w:rsid w:val="0034573E"/>
    <w:rsid w:val="003834F5"/>
    <w:rsid w:val="003877E1"/>
    <w:rsid w:val="003D548A"/>
    <w:rsid w:val="00487CFD"/>
    <w:rsid w:val="00840143"/>
    <w:rsid w:val="00942757"/>
    <w:rsid w:val="00AA5F3C"/>
    <w:rsid w:val="00AD05A3"/>
    <w:rsid w:val="00AD699D"/>
    <w:rsid w:val="00BB6B7B"/>
    <w:rsid w:val="00C50F6E"/>
    <w:rsid w:val="00C93DCC"/>
    <w:rsid w:val="00CE2731"/>
    <w:rsid w:val="00D36869"/>
    <w:rsid w:val="00D86CCA"/>
    <w:rsid w:val="00DD07A7"/>
    <w:rsid w:val="00F34F33"/>
    <w:rsid w:val="00FD287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44F835"/>
  <w15:chartTrackingRefBased/>
  <w15:docId w15:val="{2EE7FCA0-29FB-463C-BE5E-944F1852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143"/>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840143"/>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840143"/>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8401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01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01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1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1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1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143"/>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840143"/>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840143"/>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8401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01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0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143"/>
    <w:rPr>
      <w:rFonts w:eastAsiaTheme="majorEastAsia" w:cstheme="majorBidi"/>
      <w:color w:val="272727" w:themeColor="text1" w:themeTint="D8"/>
    </w:rPr>
  </w:style>
  <w:style w:type="paragraph" w:styleId="Title">
    <w:name w:val="Title"/>
    <w:basedOn w:val="Normal"/>
    <w:next w:val="Normal"/>
    <w:link w:val="TitleChar"/>
    <w:uiPriority w:val="10"/>
    <w:qFormat/>
    <w:rsid w:val="0084014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4014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4014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4014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40143"/>
    <w:pPr>
      <w:spacing w:before="160"/>
      <w:jc w:val="center"/>
    </w:pPr>
    <w:rPr>
      <w:i/>
      <w:iCs/>
      <w:color w:val="404040" w:themeColor="text1" w:themeTint="BF"/>
    </w:rPr>
  </w:style>
  <w:style w:type="character" w:customStyle="1" w:styleId="QuoteChar">
    <w:name w:val="Quote Char"/>
    <w:basedOn w:val="DefaultParagraphFont"/>
    <w:link w:val="Quote"/>
    <w:uiPriority w:val="29"/>
    <w:rsid w:val="00840143"/>
    <w:rPr>
      <w:i/>
      <w:iCs/>
      <w:color w:val="404040" w:themeColor="text1" w:themeTint="BF"/>
    </w:rPr>
  </w:style>
  <w:style w:type="paragraph" w:styleId="ListParagraph">
    <w:name w:val="List Paragraph"/>
    <w:basedOn w:val="Normal"/>
    <w:uiPriority w:val="34"/>
    <w:qFormat/>
    <w:rsid w:val="00840143"/>
    <w:pPr>
      <w:ind w:left="720"/>
      <w:contextualSpacing/>
    </w:pPr>
  </w:style>
  <w:style w:type="character" w:styleId="IntenseEmphasis">
    <w:name w:val="Intense Emphasis"/>
    <w:basedOn w:val="DefaultParagraphFont"/>
    <w:uiPriority w:val="21"/>
    <w:qFormat/>
    <w:rsid w:val="00840143"/>
    <w:rPr>
      <w:i/>
      <w:iCs/>
      <w:color w:val="2F5496" w:themeColor="accent1" w:themeShade="BF"/>
    </w:rPr>
  </w:style>
  <w:style w:type="paragraph" w:styleId="IntenseQuote">
    <w:name w:val="Intense Quote"/>
    <w:basedOn w:val="Normal"/>
    <w:next w:val="Normal"/>
    <w:link w:val="IntenseQuoteChar"/>
    <w:uiPriority w:val="30"/>
    <w:qFormat/>
    <w:rsid w:val="00840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0143"/>
    <w:rPr>
      <w:i/>
      <w:iCs/>
      <w:color w:val="2F5496" w:themeColor="accent1" w:themeShade="BF"/>
    </w:rPr>
  </w:style>
  <w:style w:type="character" w:styleId="IntenseReference">
    <w:name w:val="Intense Reference"/>
    <w:basedOn w:val="DefaultParagraphFont"/>
    <w:uiPriority w:val="32"/>
    <w:qFormat/>
    <w:rsid w:val="00840143"/>
    <w:rPr>
      <w:b/>
      <w:bCs/>
      <w:smallCaps/>
      <w:color w:val="2F5496" w:themeColor="accent1" w:themeShade="BF"/>
      <w:spacing w:val="5"/>
    </w:rPr>
  </w:style>
  <w:style w:type="paragraph" w:styleId="NormalWeb">
    <w:name w:val="Normal (Web)"/>
    <w:basedOn w:val="Normal"/>
    <w:uiPriority w:val="99"/>
    <w:semiHidden/>
    <w:unhideWhenUsed/>
    <w:rsid w:val="00D36869"/>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styleId="Emphasis">
    <w:name w:val="Emphasis"/>
    <w:basedOn w:val="DefaultParagraphFont"/>
    <w:uiPriority w:val="20"/>
    <w:qFormat/>
    <w:rsid w:val="00D36869"/>
    <w:rPr>
      <w:i/>
      <w:iCs/>
    </w:rPr>
  </w:style>
  <w:style w:type="table" w:styleId="TableGrid">
    <w:name w:val="Table Grid"/>
    <w:basedOn w:val="TableNormal"/>
    <w:uiPriority w:val="39"/>
    <w:rsid w:val="00AD6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07A7"/>
    <w:rPr>
      <w:color w:val="0563C1" w:themeColor="hyperlink"/>
      <w:u w:val="single"/>
    </w:rPr>
  </w:style>
  <w:style w:type="character" w:styleId="UnresolvedMention">
    <w:name w:val="Unresolved Mention"/>
    <w:basedOn w:val="DefaultParagraphFont"/>
    <w:uiPriority w:val="99"/>
    <w:semiHidden/>
    <w:unhideWhenUsed/>
    <w:rsid w:val="00DD07A7"/>
    <w:rPr>
      <w:color w:val="605E5C"/>
      <w:shd w:val="clear" w:color="auto" w:fill="E1DFDD"/>
    </w:rPr>
  </w:style>
  <w:style w:type="paragraph" w:styleId="Header">
    <w:name w:val="header"/>
    <w:basedOn w:val="Normal"/>
    <w:link w:val="HeaderChar"/>
    <w:uiPriority w:val="99"/>
    <w:unhideWhenUsed/>
    <w:rsid w:val="00FD2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87F"/>
  </w:style>
  <w:style w:type="paragraph" w:styleId="Footer">
    <w:name w:val="footer"/>
    <w:basedOn w:val="Normal"/>
    <w:link w:val="FooterChar"/>
    <w:uiPriority w:val="99"/>
    <w:unhideWhenUsed/>
    <w:rsid w:val="00FD2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8485">
      <w:bodyDiv w:val="1"/>
      <w:marLeft w:val="0"/>
      <w:marRight w:val="0"/>
      <w:marTop w:val="0"/>
      <w:marBottom w:val="0"/>
      <w:divBdr>
        <w:top w:val="none" w:sz="0" w:space="0" w:color="auto"/>
        <w:left w:val="none" w:sz="0" w:space="0" w:color="auto"/>
        <w:bottom w:val="none" w:sz="0" w:space="0" w:color="auto"/>
        <w:right w:val="none" w:sz="0" w:space="0" w:color="auto"/>
      </w:divBdr>
    </w:div>
    <w:div w:id="79982575">
      <w:bodyDiv w:val="1"/>
      <w:marLeft w:val="0"/>
      <w:marRight w:val="0"/>
      <w:marTop w:val="0"/>
      <w:marBottom w:val="0"/>
      <w:divBdr>
        <w:top w:val="none" w:sz="0" w:space="0" w:color="auto"/>
        <w:left w:val="none" w:sz="0" w:space="0" w:color="auto"/>
        <w:bottom w:val="none" w:sz="0" w:space="0" w:color="auto"/>
        <w:right w:val="none" w:sz="0" w:space="0" w:color="auto"/>
      </w:divBdr>
    </w:div>
    <w:div w:id="91630415">
      <w:bodyDiv w:val="1"/>
      <w:marLeft w:val="0"/>
      <w:marRight w:val="0"/>
      <w:marTop w:val="0"/>
      <w:marBottom w:val="0"/>
      <w:divBdr>
        <w:top w:val="none" w:sz="0" w:space="0" w:color="auto"/>
        <w:left w:val="none" w:sz="0" w:space="0" w:color="auto"/>
        <w:bottom w:val="none" w:sz="0" w:space="0" w:color="auto"/>
        <w:right w:val="none" w:sz="0" w:space="0" w:color="auto"/>
      </w:divBdr>
    </w:div>
    <w:div w:id="108017920">
      <w:bodyDiv w:val="1"/>
      <w:marLeft w:val="0"/>
      <w:marRight w:val="0"/>
      <w:marTop w:val="0"/>
      <w:marBottom w:val="0"/>
      <w:divBdr>
        <w:top w:val="none" w:sz="0" w:space="0" w:color="auto"/>
        <w:left w:val="none" w:sz="0" w:space="0" w:color="auto"/>
        <w:bottom w:val="none" w:sz="0" w:space="0" w:color="auto"/>
        <w:right w:val="none" w:sz="0" w:space="0" w:color="auto"/>
      </w:divBdr>
    </w:div>
    <w:div w:id="109059431">
      <w:bodyDiv w:val="1"/>
      <w:marLeft w:val="0"/>
      <w:marRight w:val="0"/>
      <w:marTop w:val="0"/>
      <w:marBottom w:val="0"/>
      <w:divBdr>
        <w:top w:val="none" w:sz="0" w:space="0" w:color="auto"/>
        <w:left w:val="none" w:sz="0" w:space="0" w:color="auto"/>
        <w:bottom w:val="none" w:sz="0" w:space="0" w:color="auto"/>
        <w:right w:val="none" w:sz="0" w:space="0" w:color="auto"/>
      </w:divBdr>
    </w:div>
    <w:div w:id="129904929">
      <w:bodyDiv w:val="1"/>
      <w:marLeft w:val="0"/>
      <w:marRight w:val="0"/>
      <w:marTop w:val="0"/>
      <w:marBottom w:val="0"/>
      <w:divBdr>
        <w:top w:val="none" w:sz="0" w:space="0" w:color="auto"/>
        <w:left w:val="none" w:sz="0" w:space="0" w:color="auto"/>
        <w:bottom w:val="none" w:sz="0" w:space="0" w:color="auto"/>
        <w:right w:val="none" w:sz="0" w:space="0" w:color="auto"/>
      </w:divBdr>
    </w:div>
    <w:div w:id="146241545">
      <w:bodyDiv w:val="1"/>
      <w:marLeft w:val="0"/>
      <w:marRight w:val="0"/>
      <w:marTop w:val="0"/>
      <w:marBottom w:val="0"/>
      <w:divBdr>
        <w:top w:val="none" w:sz="0" w:space="0" w:color="auto"/>
        <w:left w:val="none" w:sz="0" w:space="0" w:color="auto"/>
        <w:bottom w:val="none" w:sz="0" w:space="0" w:color="auto"/>
        <w:right w:val="none" w:sz="0" w:space="0" w:color="auto"/>
      </w:divBdr>
    </w:div>
    <w:div w:id="164829972">
      <w:bodyDiv w:val="1"/>
      <w:marLeft w:val="0"/>
      <w:marRight w:val="0"/>
      <w:marTop w:val="0"/>
      <w:marBottom w:val="0"/>
      <w:divBdr>
        <w:top w:val="none" w:sz="0" w:space="0" w:color="auto"/>
        <w:left w:val="none" w:sz="0" w:space="0" w:color="auto"/>
        <w:bottom w:val="none" w:sz="0" w:space="0" w:color="auto"/>
        <w:right w:val="none" w:sz="0" w:space="0" w:color="auto"/>
      </w:divBdr>
    </w:div>
    <w:div w:id="196704196">
      <w:bodyDiv w:val="1"/>
      <w:marLeft w:val="0"/>
      <w:marRight w:val="0"/>
      <w:marTop w:val="0"/>
      <w:marBottom w:val="0"/>
      <w:divBdr>
        <w:top w:val="none" w:sz="0" w:space="0" w:color="auto"/>
        <w:left w:val="none" w:sz="0" w:space="0" w:color="auto"/>
        <w:bottom w:val="none" w:sz="0" w:space="0" w:color="auto"/>
        <w:right w:val="none" w:sz="0" w:space="0" w:color="auto"/>
      </w:divBdr>
    </w:div>
    <w:div w:id="209459074">
      <w:bodyDiv w:val="1"/>
      <w:marLeft w:val="0"/>
      <w:marRight w:val="0"/>
      <w:marTop w:val="0"/>
      <w:marBottom w:val="0"/>
      <w:divBdr>
        <w:top w:val="none" w:sz="0" w:space="0" w:color="auto"/>
        <w:left w:val="none" w:sz="0" w:space="0" w:color="auto"/>
        <w:bottom w:val="none" w:sz="0" w:space="0" w:color="auto"/>
        <w:right w:val="none" w:sz="0" w:space="0" w:color="auto"/>
      </w:divBdr>
    </w:div>
    <w:div w:id="219051039">
      <w:bodyDiv w:val="1"/>
      <w:marLeft w:val="0"/>
      <w:marRight w:val="0"/>
      <w:marTop w:val="0"/>
      <w:marBottom w:val="0"/>
      <w:divBdr>
        <w:top w:val="none" w:sz="0" w:space="0" w:color="auto"/>
        <w:left w:val="none" w:sz="0" w:space="0" w:color="auto"/>
        <w:bottom w:val="none" w:sz="0" w:space="0" w:color="auto"/>
        <w:right w:val="none" w:sz="0" w:space="0" w:color="auto"/>
      </w:divBdr>
    </w:div>
    <w:div w:id="311761016">
      <w:bodyDiv w:val="1"/>
      <w:marLeft w:val="0"/>
      <w:marRight w:val="0"/>
      <w:marTop w:val="0"/>
      <w:marBottom w:val="0"/>
      <w:divBdr>
        <w:top w:val="none" w:sz="0" w:space="0" w:color="auto"/>
        <w:left w:val="none" w:sz="0" w:space="0" w:color="auto"/>
        <w:bottom w:val="none" w:sz="0" w:space="0" w:color="auto"/>
        <w:right w:val="none" w:sz="0" w:space="0" w:color="auto"/>
      </w:divBdr>
    </w:div>
    <w:div w:id="332610430">
      <w:bodyDiv w:val="1"/>
      <w:marLeft w:val="0"/>
      <w:marRight w:val="0"/>
      <w:marTop w:val="0"/>
      <w:marBottom w:val="0"/>
      <w:divBdr>
        <w:top w:val="none" w:sz="0" w:space="0" w:color="auto"/>
        <w:left w:val="none" w:sz="0" w:space="0" w:color="auto"/>
        <w:bottom w:val="none" w:sz="0" w:space="0" w:color="auto"/>
        <w:right w:val="none" w:sz="0" w:space="0" w:color="auto"/>
      </w:divBdr>
    </w:div>
    <w:div w:id="344329415">
      <w:bodyDiv w:val="1"/>
      <w:marLeft w:val="0"/>
      <w:marRight w:val="0"/>
      <w:marTop w:val="0"/>
      <w:marBottom w:val="0"/>
      <w:divBdr>
        <w:top w:val="none" w:sz="0" w:space="0" w:color="auto"/>
        <w:left w:val="none" w:sz="0" w:space="0" w:color="auto"/>
        <w:bottom w:val="none" w:sz="0" w:space="0" w:color="auto"/>
        <w:right w:val="none" w:sz="0" w:space="0" w:color="auto"/>
      </w:divBdr>
    </w:div>
    <w:div w:id="451899768">
      <w:bodyDiv w:val="1"/>
      <w:marLeft w:val="0"/>
      <w:marRight w:val="0"/>
      <w:marTop w:val="0"/>
      <w:marBottom w:val="0"/>
      <w:divBdr>
        <w:top w:val="none" w:sz="0" w:space="0" w:color="auto"/>
        <w:left w:val="none" w:sz="0" w:space="0" w:color="auto"/>
        <w:bottom w:val="none" w:sz="0" w:space="0" w:color="auto"/>
        <w:right w:val="none" w:sz="0" w:space="0" w:color="auto"/>
      </w:divBdr>
    </w:div>
    <w:div w:id="469598014">
      <w:bodyDiv w:val="1"/>
      <w:marLeft w:val="0"/>
      <w:marRight w:val="0"/>
      <w:marTop w:val="0"/>
      <w:marBottom w:val="0"/>
      <w:divBdr>
        <w:top w:val="none" w:sz="0" w:space="0" w:color="auto"/>
        <w:left w:val="none" w:sz="0" w:space="0" w:color="auto"/>
        <w:bottom w:val="none" w:sz="0" w:space="0" w:color="auto"/>
        <w:right w:val="none" w:sz="0" w:space="0" w:color="auto"/>
      </w:divBdr>
    </w:div>
    <w:div w:id="479687554">
      <w:bodyDiv w:val="1"/>
      <w:marLeft w:val="0"/>
      <w:marRight w:val="0"/>
      <w:marTop w:val="0"/>
      <w:marBottom w:val="0"/>
      <w:divBdr>
        <w:top w:val="none" w:sz="0" w:space="0" w:color="auto"/>
        <w:left w:val="none" w:sz="0" w:space="0" w:color="auto"/>
        <w:bottom w:val="none" w:sz="0" w:space="0" w:color="auto"/>
        <w:right w:val="none" w:sz="0" w:space="0" w:color="auto"/>
      </w:divBdr>
    </w:div>
    <w:div w:id="487289237">
      <w:bodyDiv w:val="1"/>
      <w:marLeft w:val="0"/>
      <w:marRight w:val="0"/>
      <w:marTop w:val="0"/>
      <w:marBottom w:val="0"/>
      <w:divBdr>
        <w:top w:val="none" w:sz="0" w:space="0" w:color="auto"/>
        <w:left w:val="none" w:sz="0" w:space="0" w:color="auto"/>
        <w:bottom w:val="none" w:sz="0" w:space="0" w:color="auto"/>
        <w:right w:val="none" w:sz="0" w:space="0" w:color="auto"/>
      </w:divBdr>
    </w:div>
    <w:div w:id="516583873">
      <w:bodyDiv w:val="1"/>
      <w:marLeft w:val="0"/>
      <w:marRight w:val="0"/>
      <w:marTop w:val="0"/>
      <w:marBottom w:val="0"/>
      <w:divBdr>
        <w:top w:val="none" w:sz="0" w:space="0" w:color="auto"/>
        <w:left w:val="none" w:sz="0" w:space="0" w:color="auto"/>
        <w:bottom w:val="none" w:sz="0" w:space="0" w:color="auto"/>
        <w:right w:val="none" w:sz="0" w:space="0" w:color="auto"/>
      </w:divBdr>
    </w:div>
    <w:div w:id="620038857">
      <w:bodyDiv w:val="1"/>
      <w:marLeft w:val="0"/>
      <w:marRight w:val="0"/>
      <w:marTop w:val="0"/>
      <w:marBottom w:val="0"/>
      <w:divBdr>
        <w:top w:val="none" w:sz="0" w:space="0" w:color="auto"/>
        <w:left w:val="none" w:sz="0" w:space="0" w:color="auto"/>
        <w:bottom w:val="none" w:sz="0" w:space="0" w:color="auto"/>
        <w:right w:val="none" w:sz="0" w:space="0" w:color="auto"/>
      </w:divBdr>
    </w:div>
    <w:div w:id="636640354">
      <w:bodyDiv w:val="1"/>
      <w:marLeft w:val="0"/>
      <w:marRight w:val="0"/>
      <w:marTop w:val="0"/>
      <w:marBottom w:val="0"/>
      <w:divBdr>
        <w:top w:val="none" w:sz="0" w:space="0" w:color="auto"/>
        <w:left w:val="none" w:sz="0" w:space="0" w:color="auto"/>
        <w:bottom w:val="none" w:sz="0" w:space="0" w:color="auto"/>
        <w:right w:val="none" w:sz="0" w:space="0" w:color="auto"/>
      </w:divBdr>
    </w:div>
    <w:div w:id="713044040">
      <w:bodyDiv w:val="1"/>
      <w:marLeft w:val="0"/>
      <w:marRight w:val="0"/>
      <w:marTop w:val="0"/>
      <w:marBottom w:val="0"/>
      <w:divBdr>
        <w:top w:val="none" w:sz="0" w:space="0" w:color="auto"/>
        <w:left w:val="none" w:sz="0" w:space="0" w:color="auto"/>
        <w:bottom w:val="none" w:sz="0" w:space="0" w:color="auto"/>
        <w:right w:val="none" w:sz="0" w:space="0" w:color="auto"/>
      </w:divBdr>
    </w:div>
    <w:div w:id="756442381">
      <w:bodyDiv w:val="1"/>
      <w:marLeft w:val="0"/>
      <w:marRight w:val="0"/>
      <w:marTop w:val="0"/>
      <w:marBottom w:val="0"/>
      <w:divBdr>
        <w:top w:val="none" w:sz="0" w:space="0" w:color="auto"/>
        <w:left w:val="none" w:sz="0" w:space="0" w:color="auto"/>
        <w:bottom w:val="none" w:sz="0" w:space="0" w:color="auto"/>
        <w:right w:val="none" w:sz="0" w:space="0" w:color="auto"/>
      </w:divBdr>
    </w:div>
    <w:div w:id="767700541">
      <w:bodyDiv w:val="1"/>
      <w:marLeft w:val="0"/>
      <w:marRight w:val="0"/>
      <w:marTop w:val="0"/>
      <w:marBottom w:val="0"/>
      <w:divBdr>
        <w:top w:val="none" w:sz="0" w:space="0" w:color="auto"/>
        <w:left w:val="none" w:sz="0" w:space="0" w:color="auto"/>
        <w:bottom w:val="none" w:sz="0" w:space="0" w:color="auto"/>
        <w:right w:val="none" w:sz="0" w:space="0" w:color="auto"/>
      </w:divBdr>
    </w:div>
    <w:div w:id="790319683">
      <w:bodyDiv w:val="1"/>
      <w:marLeft w:val="0"/>
      <w:marRight w:val="0"/>
      <w:marTop w:val="0"/>
      <w:marBottom w:val="0"/>
      <w:divBdr>
        <w:top w:val="none" w:sz="0" w:space="0" w:color="auto"/>
        <w:left w:val="none" w:sz="0" w:space="0" w:color="auto"/>
        <w:bottom w:val="none" w:sz="0" w:space="0" w:color="auto"/>
        <w:right w:val="none" w:sz="0" w:space="0" w:color="auto"/>
      </w:divBdr>
    </w:div>
    <w:div w:id="811679652">
      <w:bodyDiv w:val="1"/>
      <w:marLeft w:val="0"/>
      <w:marRight w:val="0"/>
      <w:marTop w:val="0"/>
      <w:marBottom w:val="0"/>
      <w:divBdr>
        <w:top w:val="none" w:sz="0" w:space="0" w:color="auto"/>
        <w:left w:val="none" w:sz="0" w:space="0" w:color="auto"/>
        <w:bottom w:val="none" w:sz="0" w:space="0" w:color="auto"/>
        <w:right w:val="none" w:sz="0" w:space="0" w:color="auto"/>
      </w:divBdr>
    </w:div>
    <w:div w:id="1101072390">
      <w:bodyDiv w:val="1"/>
      <w:marLeft w:val="0"/>
      <w:marRight w:val="0"/>
      <w:marTop w:val="0"/>
      <w:marBottom w:val="0"/>
      <w:divBdr>
        <w:top w:val="none" w:sz="0" w:space="0" w:color="auto"/>
        <w:left w:val="none" w:sz="0" w:space="0" w:color="auto"/>
        <w:bottom w:val="none" w:sz="0" w:space="0" w:color="auto"/>
        <w:right w:val="none" w:sz="0" w:space="0" w:color="auto"/>
      </w:divBdr>
    </w:div>
    <w:div w:id="1110005151">
      <w:bodyDiv w:val="1"/>
      <w:marLeft w:val="0"/>
      <w:marRight w:val="0"/>
      <w:marTop w:val="0"/>
      <w:marBottom w:val="0"/>
      <w:divBdr>
        <w:top w:val="none" w:sz="0" w:space="0" w:color="auto"/>
        <w:left w:val="none" w:sz="0" w:space="0" w:color="auto"/>
        <w:bottom w:val="none" w:sz="0" w:space="0" w:color="auto"/>
        <w:right w:val="none" w:sz="0" w:space="0" w:color="auto"/>
      </w:divBdr>
    </w:div>
    <w:div w:id="1227565633">
      <w:bodyDiv w:val="1"/>
      <w:marLeft w:val="0"/>
      <w:marRight w:val="0"/>
      <w:marTop w:val="0"/>
      <w:marBottom w:val="0"/>
      <w:divBdr>
        <w:top w:val="none" w:sz="0" w:space="0" w:color="auto"/>
        <w:left w:val="none" w:sz="0" w:space="0" w:color="auto"/>
        <w:bottom w:val="none" w:sz="0" w:space="0" w:color="auto"/>
        <w:right w:val="none" w:sz="0" w:space="0" w:color="auto"/>
      </w:divBdr>
    </w:div>
    <w:div w:id="1268730173">
      <w:bodyDiv w:val="1"/>
      <w:marLeft w:val="0"/>
      <w:marRight w:val="0"/>
      <w:marTop w:val="0"/>
      <w:marBottom w:val="0"/>
      <w:divBdr>
        <w:top w:val="none" w:sz="0" w:space="0" w:color="auto"/>
        <w:left w:val="none" w:sz="0" w:space="0" w:color="auto"/>
        <w:bottom w:val="none" w:sz="0" w:space="0" w:color="auto"/>
        <w:right w:val="none" w:sz="0" w:space="0" w:color="auto"/>
      </w:divBdr>
    </w:div>
    <w:div w:id="1330020326">
      <w:bodyDiv w:val="1"/>
      <w:marLeft w:val="0"/>
      <w:marRight w:val="0"/>
      <w:marTop w:val="0"/>
      <w:marBottom w:val="0"/>
      <w:divBdr>
        <w:top w:val="none" w:sz="0" w:space="0" w:color="auto"/>
        <w:left w:val="none" w:sz="0" w:space="0" w:color="auto"/>
        <w:bottom w:val="none" w:sz="0" w:space="0" w:color="auto"/>
        <w:right w:val="none" w:sz="0" w:space="0" w:color="auto"/>
      </w:divBdr>
    </w:div>
    <w:div w:id="1519274145">
      <w:bodyDiv w:val="1"/>
      <w:marLeft w:val="0"/>
      <w:marRight w:val="0"/>
      <w:marTop w:val="0"/>
      <w:marBottom w:val="0"/>
      <w:divBdr>
        <w:top w:val="none" w:sz="0" w:space="0" w:color="auto"/>
        <w:left w:val="none" w:sz="0" w:space="0" w:color="auto"/>
        <w:bottom w:val="none" w:sz="0" w:space="0" w:color="auto"/>
        <w:right w:val="none" w:sz="0" w:space="0" w:color="auto"/>
      </w:divBdr>
    </w:div>
    <w:div w:id="1555309891">
      <w:bodyDiv w:val="1"/>
      <w:marLeft w:val="0"/>
      <w:marRight w:val="0"/>
      <w:marTop w:val="0"/>
      <w:marBottom w:val="0"/>
      <w:divBdr>
        <w:top w:val="none" w:sz="0" w:space="0" w:color="auto"/>
        <w:left w:val="none" w:sz="0" w:space="0" w:color="auto"/>
        <w:bottom w:val="none" w:sz="0" w:space="0" w:color="auto"/>
        <w:right w:val="none" w:sz="0" w:space="0" w:color="auto"/>
      </w:divBdr>
    </w:div>
    <w:div w:id="1577401088">
      <w:bodyDiv w:val="1"/>
      <w:marLeft w:val="0"/>
      <w:marRight w:val="0"/>
      <w:marTop w:val="0"/>
      <w:marBottom w:val="0"/>
      <w:divBdr>
        <w:top w:val="none" w:sz="0" w:space="0" w:color="auto"/>
        <w:left w:val="none" w:sz="0" w:space="0" w:color="auto"/>
        <w:bottom w:val="none" w:sz="0" w:space="0" w:color="auto"/>
        <w:right w:val="none" w:sz="0" w:space="0" w:color="auto"/>
      </w:divBdr>
    </w:div>
    <w:div w:id="1622953344">
      <w:bodyDiv w:val="1"/>
      <w:marLeft w:val="0"/>
      <w:marRight w:val="0"/>
      <w:marTop w:val="0"/>
      <w:marBottom w:val="0"/>
      <w:divBdr>
        <w:top w:val="none" w:sz="0" w:space="0" w:color="auto"/>
        <w:left w:val="none" w:sz="0" w:space="0" w:color="auto"/>
        <w:bottom w:val="none" w:sz="0" w:space="0" w:color="auto"/>
        <w:right w:val="none" w:sz="0" w:space="0" w:color="auto"/>
      </w:divBdr>
    </w:div>
    <w:div w:id="1643609725">
      <w:bodyDiv w:val="1"/>
      <w:marLeft w:val="0"/>
      <w:marRight w:val="0"/>
      <w:marTop w:val="0"/>
      <w:marBottom w:val="0"/>
      <w:divBdr>
        <w:top w:val="none" w:sz="0" w:space="0" w:color="auto"/>
        <w:left w:val="none" w:sz="0" w:space="0" w:color="auto"/>
        <w:bottom w:val="none" w:sz="0" w:space="0" w:color="auto"/>
        <w:right w:val="none" w:sz="0" w:space="0" w:color="auto"/>
      </w:divBdr>
    </w:div>
    <w:div w:id="1666591480">
      <w:bodyDiv w:val="1"/>
      <w:marLeft w:val="0"/>
      <w:marRight w:val="0"/>
      <w:marTop w:val="0"/>
      <w:marBottom w:val="0"/>
      <w:divBdr>
        <w:top w:val="none" w:sz="0" w:space="0" w:color="auto"/>
        <w:left w:val="none" w:sz="0" w:space="0" w:color="auto"/>
        <w:bottom w:val="none" w:sz="0" w:space="0" w:color="auto"/>
        <w:right w:val="none" w:sz="0" w:space="0" w:color="auto"/>
      </w:divBdr>
    </w:div>
    <w:div w:id="1712726348">
      <w:bodyDiv w:val="1"/>
      <w:marLeft w:val="0"/>
      <w:marRight w:val="0"/>
      <w:marTop w:val="0"/>
      <w:marBottom w:val="0"/>
      <w:divBdr>
        <w:top w:val="none" w:sz="0" w:space="0" w:color="auto"/>
        <w:left w:val="none" w:sz="0" w:space="0" w:color="auto"/>
        <w:bottom w:val="none" w:sz="0" w:space="0" w:color="auto"/>
        <w:right w:val="none" w:sz="0" w:space="0" w:color="auto"/>
      </w:divBdr>
    </w:div>
    <w:div w:id="1724258003">
      <w:bodyDiv w:val="1"/>
      <w:marLeft w:val="0"/>
      <w:marRight w:val="0"/>
      <w:marTop w:val="0"/>
      <w:marBottom w:val="0"/>
      <w:divBdr>
        <w:top w:val="none" w:sz="0" w:space="0" w:color="auto"/>
        <w:left w:val="none" w:sz="0" w:space="0" w:color="auto"/>
        <w:bottom w:val="none" w:sz="0" w:space="0" w:color="auto"/>
        <w:right w:val="none" w:sz="0" w:space="0" w:color="auto"/>
      </w:divBdr>
    </w:div>
    <w:div w:id="1759987049">
      <w:bodyDiv w:val="1"/>
      <w:marLeft w:val="0"/>
      <w:marRight w:val="0"/>
      <w:marTop w:val="0"/>
      <w:marBottom w:val="0"/>
      <w:divBdr>
        <w:top w:val="none" w:sz="0" w:space="0" w:color="auto"/>
        <w:left w:val="none" w:sz="0" w:space="0" w:color="auto"/>
        <w:bottom w:val="none" w:sz="0" w:space="0" w:color="auto"/>
        <w:right w:val="none" w:sz="0" w:space="0" w:color="auto"/>
      </w:divBdr>
    </w:div>
    <w:div w:id="1764570856">
      <w:bodyDiv w:val="1"/>
      <w:marLeft w:val="0"/>
      <w:marRight w:val="0"/>
      <w:marTop w:val="0"/>
      <w:marBottom w:val="0"/>
      <w:divBdr>
        <w:top w:val="none" w:sz="0" w:space="0" w:color="auto"/>
        <w:left w:val="none" w:sz="0" w:space="0" w:color="auto"/>
        <w:bottom w:val="none" w:sz="0" w:space="0" w:color="auto"/>
        <w:right w:val="none" w:sz="0" w:space="0" w:color="auto"/>
      </w:divBdr>
    </w:div>
    <w:div w:id="1798260506">
      <w:bodyDiv w:val="1"/>
      <w:marLeft w:val="0"/>
      <w:marRight w:val="0"/>
      <w:marTop w:val="0"/>
      <w:marBottom w:val="0"/>
      <w:divBdr>
        <w:top w:val="none" w:sz="0" w:space="0" w:color="auto"/>
        <w:left w:val="none" w:sz="0" w:space="0" w:color="auto"/>
        <w:bottom w:val="none" w:sz="0" w:space="0" w:color="auto"/>
        <w:right w:val="none" w:sz="0" w:space="0" w:color="auto"/>
      </w:divBdr>
    </w:div>
    <w:div w:id="1803422161">
      <w:bodyDiv w:val="1"/>
      <w:marLeft w:val="0"/>
      <w:marRight w:val="0"/>
      <w:marTop w:val="0"/>
      <w:marBottom w:val="0"/>
      <w:divBdr>
        <w:top w:val="none" w:sz="0" w:space="0" w:color="auto"/>
        <w:left w:val="none" w:sz="0" w:space="0" w:color="auto"/>
        <w:bottom w:val="none" w:sz="0" w:space="0" w:color="auto"/>
        <w:right w:val="none" w:sz="0" w:space="0" w:color="auto"/>
      </w:divBdr>
    </w:div>
    <w:div w:id="1865556329">
      <w:bodyDiv w:val="1"/>
      <w:marLeft w:val="0"/>
      <w:marRight w:val="0"/>
      <w:marTop w:val="0"/>
      <w:marBottom w:val="0"/>
      <w:divBdr>
        <w:top w:val="none" w:sz="0" w:space="0" w:color="auto"/>
        <w:left w:val="none" w:sz="0" w:space="0" w:color="auto"/>
        <w:bottom w:val="none" w:sz="0" w:space="0" w:color="auto"/>
        <w:right w:val="none" w:sz="0" w:space="0" w:color="auto"/>
      </w:divBdr>
    </w:div>
    <w:div w:id="1911422999">
      <w:bodyDiv w:val="1"/>
      <w:marLeft w:val="0"/>
      <w:marRight w:val="0"/>
      <w:marTop w:val="0"/>
      <w:marBottom w:val="0"/>
      <w:divBdr>
        <w:top w:val="none" w:sz="0" w:space="0" w:color="auto"/>
        <w:left w:val="none" w:sz="0" w:space="0" w:color="auto"/>
        <w:bottom w:val="none" w:sz="0" w:space="0" w:color="auto"/>
        <w:right w:val="none" w:sz="0" w:space="0" w:color="auto"/>
      </w:divBdr>
    </w:div>
    <w:div w:id="1948657024">
      <w:bodyDiv w:val="1"/>
      <w:marLeft w:val="0"/>
      <w:marRight w:val="0"/>
      <w:marTop w:val="0"/>
      <w:marBottom w:val="0"/>
      <w:divBdr>
        <w:top w:val="none" w:sz="0" w:space="0" w:color="auto"/>
        <w:left w:val="none" w:sz="0" w:space="0" w:color="auto"/>
        <w:bottom w:val="none" w:sz="0" w:space="0" w:color="auto"/>
        <w:right w:val="none" w:sz="0" w:space="0" w:color="auto"/>
      </w:divBdr>
    </w:div>
    <w:div w:id="2026322652">
      <w:bodyDiv w:val="1"/>
      <w:marLeft w:val="0"/>
      <w:marRight w:val="0"/>
      <w:marTop w:val="0"/>
      <w:marBottom w:val="0"/>
      <w:divBdr>
        <w:top w:val="none" w:sz="0" w:space="0" w:color="auto"/>
        <w:left w:val="none" w:sz="0" w:space="0" w:color="auto"/>
        <w:bottom w:val="none" w:sz="0" w:space="0" w:color="auto"/>
        <w:right w:val="none" w:sz="0" w:space="0" w:color="auto"/>
      </w:divBdr>
    </w:div>
    <w:div w:id="2030794219">
      <w:bodyDiv w:val="1"/>
      <w:marLeft w:val="0"/>
      <w:marRight w:val="0"/>
      <w:marTop w:val="0"/>
      <w:marBottom w:val="0"/>
      <w:divBdr>
        <w:top w:val="none" w:sz="0" w:space="0" w:color="auto"/>
        <w:left w:val="none" w:sz="0" w:space="0" w:color="auto"/>
        <w:bottom w:val="none" w:sz="0" w:space="0" w:color="auto"/>
        <w:right w:val="none" w:sz="0" w:space="0" w:color="auto"/>
      </w:divBdr>
    </w:div>
    <w:div w:id="2040079802">
      <w:bodyDiv w:val="1"/>
      <w:marLeft w:val="0"/>
      <w:marRight w:val="0"/>
      <w:marTop w:val="0"/>
      <w:marBottom w:val="0"/>
      <w:divBdr>
        <w:top w:val="none" w:sz="0" w:space="0" w:color="auto"/>
        <w:left w:val="none" w:sz="0" w:space="0" w:color="auto"/>
        <w:bottom w:val="none" w:sz="0" w:space="0" w:color="auto"/>
        <w:right w:val="none" w:sz="0" w:space="0" w:color="auto"/>
      </w:divBdr>
    </w:div>
    <w:div w:id="2092893227">
      <w:bodyDiv w:val="1"/>
      <w:marLeft w:val="0"/>
      <w:marRight w:val="0"/>
      <w:marTop w:val="0"/>
      <w:marBottom w:val="0"/>
      <w:divBdr>
        <w:top w:val="none" w:sz="0" w:space="0" w:color="auto"/>
        <w:left w:val="none" w:sz="0" w:space="0" w:color="auto"/>
        <w:bottom w:val="none" w:sz="0" w:space="0" w:color="auto"/>
        <w:right w:val="none" w:sz="0" w:space="0" w:color="auto"/>
      </w:divBdr>
    </w:div>
    <w:div w:id="211505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18</Pages>
  <Words>6088</Words>
  <Characters>34703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vrushabh patil</dc:creator>
  <cp:keywords/>
  <dc:description/>
  <cp:lastModifiedBy>SDI 1084</cp:lastModifiedBy>
  <cp:revision>12</cp:revision>
  <dcterms:created xsi:type="dcterms:W3CDTF">2025-07-26T17:59:00Z</dcterms:created>
  <dcterms:modified xsi:type="dcterms:W3CDTF">2025-07-29T07:54:00Z</dcterms:modified>
</cp:coreProperties>
</file>