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41F21" w14:textId="77777777" w:rsidR="00874DD9" w:rsidRDefault="00F914F3">
      <w:pPr>
        <w:spacing w:before="100" w:beforeAutospacing="1" w:after="0" w:line="240" w:lineRule="auto"/>
        <w:jc w:val="both"/>
        <w:rPr>
          <w:rFonts w:ascii="Arial" w:eastAsia="Times New Roman" w:hAnsi="Arial" w:cs="Arial"/>
          <w:color w:val="1B1C1D"/>
        </w:rPr>
      </w:pPr>
      <w:r>
        <w:rPr>
          <w:rFonts w:ascii="Arial" w:eastAsia="Times New Roman" w:hAnsi="Arial" w:cs="Arial"/>
          <w:b/>
          <w:bCs/>
          <w:color w:val="1B1C1D"/>
          <w:bdr w:val="none" w:sz="0" w:space="0" w:color="auto" w:frame="1"/>
        </w:rPr>
        <w:t>Comparative Assessment of Plasma ATP and ADP Stored in EDTA and Lithium Heparin Bottles at Room Temperature</w:t>
      </w:r>
    </w:p>
    <w:p w14:paraId="0C9B4CEF" w14:textId="77777777" w:rsidR="00874DD9" w:rsidRDefault="00874DD9">
      <w:pPr>
        <w:spacing w:before="100" w:beforeAutospacing="1" w:after="0" w:line="240" w:lineRule="auto"/>
        <w:jc w:val="both"/>
        <w:rPr>
          <w:rFonts w:ascii="Arial" w:eastAsia="Times New Roman" w:hAnsi="Arial" w:cs="Arial"/>
          <w:color w:val="1B1C1D"/>
          <w:bdr w:val="none" w:sz="0" w:space="0" w:color="auto" w:frame="1"/>
          <w:vertAlign w:val="superscript"/>
        </w:rPr>
      </w:pPr>
    </w:p>
    <w:p w14:paraId="3CE32EB0" w14:textId="77777777" w:rsidR="00874DD9" w:rsidRDefault="00F914F3">
      <w:pPr>
        <w:spacing w:before="100" w:beforeAutospacing="1" w:after="0" w:line="240" w:lineRule="auto"/>
        <w:jc w:val="both"/>
        <w:rPr>
          <w:rFonts w:ascii="Arial" w:eastAsia="Times New Roman" w:hAnsi="Arial" w:cs="Arial"/>
          <w:color w:val="1B1C1D"/>
          <w:bdr w:val="none" w:sz="0" w:space="0" w:color="auto" w:frame="1"/>
        </w:rPr>
      </w:pPr>
      <w:r>
        <w:rPr>
          <w:rFonts w:ascii="Arial" w:eastAsia="Times New Roman" w:hAnsi="Arial" w:cs="Arial"/>
          <w:b/>
          <w:bCs/>
          <w:color w:val="1B1C1D"/>
          <w:bdr w:val="none" w:sz="0" w:space="0" w:color="auto" w:frame="1"/>
        </w:rPr>
        <w:t>ABSTRACT</w:t>
      </w:r>
    </w:p>
    <w:p w14:paraId="7282E2D0" w14:textId="77777777" w:rsidR="00874DD9" w:rsidRDefault="00874DD9">
      <w:pPr>
        <w:spacing w:before="100" w:beforeAutospacing="1" w:after="0" w:line="240" w:lineRule="auto"/>
        <w:jc w:val="both"/>
        <w:rPr>
          <w:rFonts w:ascii="Arial" w:eastAsia="Times New Roman" w:hAnsi="Arial" w:cs="Arial"/>
          <w:color w:val="1B1C1D"/>
        </w:rPr>
      </w:pPr>
    </w:p>
    <w:p w14:paraId="22442D57" w14:textId="77777777" w:rsidR="00874DD9" w:rsidRDefault="00F914F3">
      <w:pPr>
        <w:pStyle w:val="NoSpacing"/>
        <w:jc w:val="both"/>
        <w:rPr>
          <w:rFonts w:ascii="Arial" w:hAnsi="Arial" w:cs="Arial"/>
        </w:rPr>
      </w:pPr>
      <w:r>
        <w:rPr>
          <w:rFonts w:ascii="Arial" w:hAnsi="Arial" w:cs="Arial"/>
          <w:b/>
          <w:bCs/>
          <w:bdr w:val="none" w:sz="0" w:space="0" w:color="auto" w:frame="1"/>
        </w:rPr>
        <w:t>Aims</w:t>
      </w:r>
      <w:r>
        <w:rPr>
          <w:rFonts w:ascii="Arial" w:hAnsi="Arial" w:cs="Arial"/>
          <w:b/>
          <w:bCs/>
          <w:bdr w:val="none" w:sz="0" w:space="0" w:color="auto" w:frame="1"/>
        </w:rPr>
        <w:t>:</w:t>
      </w:r>
      <w:r>
        <w:rPr>
          <w:rFonts w:ascii="Arial" w:hAnsi="Arial" w:cs="Arial"/>
          <w:bdr w:val="none" w:sz="0" w:space="0" w:color="auto" w:frame="1"/>
        </w:rPr>
        <w:t xml:space="preserve"> This study aimed to compare the values of ATP and ADP in plasma stored in EDTA and lithium heparin specimen bottles at room temperature.</w:t>
      </w:r>
    </w:p>
    <w:p w14:paraId="2C8C2C1D" w14:textId="77777777" w:rsidR="00874DD9" w:rsidRDefault="00F914F3">
      <w:pPr>
        <w:pStyle w:val="NoSpacing"/>
        <w:jc w:val="both"/>
        <w:rPr>
          <w:rFonts w:ascii="Arial" w:hAnsi="Arial" w:cs="Arial"/>
        </w:rPr>
      </w:pPr>
      <w:r>
        <w:rPr>
          <w:rFonts w:ascii="Arial" w:hAnsi="Arial" w:cs="Arial"/>
          <w:b/>
          <w:bCs/>
          <w:bdr w:val="none" w:sz="0" w:space="0" w:color="auto" w:frame="1"/>
        </w:rPr>
        <w:t>Study design:</w:t>
      </w:r>
      <w:r>
        <w:rPr>
          <w:rFonts w:ascii="Arial" w:hAnsi="Arial" w:cs="Arial"/>
          <w:bdr w:val="none" w:sz="0" w:space="0" w:color="auto" w:frame="1"/>
        </w:rPr>
        <w:t xml:space="preserve"> This was a cross-sectional study. </w:t>
      </w:r>
    </w:p>
    <w:p w14:paraId="18850F48" w14:textId="77777777" w:rsidR="00874DD9" w:rsidRDefault="00F914F3">
      <w:pPr>
        <w:pStyle w:val="NoSpacing"/>
        <w:jc w:val="both"/>
        <w:rPr>
          <w:rFonts w:ascii="Arial" w:hAnsi="Arial" w:cs="Arial"/>
        </w:rPr>
      </w:pPr>
      <w:r>
        <w:rPr>
          <w:rFonts w:ascii="Arial" w:hAnsi="Arial" w:cs="Arial"/>
          <w:b/>
          <w:bCs/>
        </w:rPr>
        <w:t>Place and Duration of Study:</w:t>
      </w:r>
      <w:r>
        <w:rPr>
          <w:rFonts w:ascii="Arial" w:hAnsi="Arial" w:cs="Arial"/>
        </w:rPr>
        <w:t xml:space="preserve"> Not explicitly stated in the provided text.</w:t>
      </w:r>
    </w:p>
    <w:p w14:paraId="43A80038" w14:textId="77777777" w:rsidR="00874DD9" w:rsidRDefault="00F914F3">
      <w:pPr>
        <w:pStyle w:val="NoSpacing"/>
        <w:jc w:val="both"/>
        <w:rPr>
          <w:rFonts w:ascii="Arial" w:hAnsi="Arial" w:cs="Arial"/>
        </w:rPr>
      </w:pPr>
      <w:r>
        <w:rPr>
          <w:rFonts w:ascii="Arial" w:hAnsi="Arial" w:cs="Arial"/>
          <w:b/>
          <w:bCs/>
          <w:bdr w:val="none" w:sz="0" w:space="0" w:color="auto" w:frame="1"/>
        </w:rPr>
        <w:t>Methodology:</w:t>
      </w:r>
      <w:r>
        <w:rPr>
          <w:rFonts w:ascii="Arial" w:hAnsi="Arial" w:cs="Arial"/>
          <w:bdr w:val="none" w:sz="0" w:space="0" w:color="auto" w:frame="1"/>
        </w:rPr>
        <w:t xml:space="preserve"> Blood samples were collected from twenty apparently healthy individuals and divided into EDTA and lithium heparin tubes</w:t>
      </w:r>
      <w:r>
        <w:rPr>
          <w:rFonts w:ascii="Arial" w:hAnsi="Arial" w:cs="Arial"/>
        </w:rPr>
        <w:t xml:space="preserve">. </w:t>
      </w:r>
      <w:r>
        <w:rPr>
          <w:rFonts w:ascii="Arial" w:hAnsi="Arial" w:cs="Arial"/>
          <w:bdr w:val="none" w:sz="0" w:space="0" w:color="auto" w:frame="1"/>
        </w:rPr>
        <w:t>ATP and ADP concentration were measured using enzyme-linked immunosorbent ass</w:t>
      </w:r>
      <w:r>
        <w:rPr>
          <w:rFonts w:ascii="Arial" w:hAnsi="Arial" w:cs="Arial"/>
          <w:bdr w:val="none" w:sz="0" w:space="0" w:color="auto" w:frame="1"/>
        </w:rPr>
        <w:t>ays (ELISA)</w:t>
      </w:r>
      <w:r>
        <w:rPr>
          <w:rFonts w:ascii="Arial" w:hAnsi="Arial" w:cs="Arial"/>
        </w:rPr>
        <w:t xml:space="preserve">. </w:t>
      </w:r>
      <w:r>
        <w:rPr>
          <w:rFonts w:ascii="Arial" w:hAnsi="Arial" w:cs="Arial"/>
          <w:bdr w:val="none" w:sz="0" w:space="0" w:color="auto" w:frame="1"/>
        </w:rPr>
        <w:t>Statistical analysis was performed using an independent t-test to determine differences between the two mean values of ATP and ADP</w:t>
      </w:r>
      <w:r>
        <w:rPr>
          <w:rFonts w:ascii="Arial" w:hAnsi="Arial" w:cs="Arial"/>
        </w:rPr>
        <w:t>.</w:t>
      </w:r>
    </w:p>
    <w:p w14:paraId="1F1D2DA0" w14:textId="77777777" w:rsidR="00874DD9" w:rsidRDefault="00F914F3">
      <w:pPr>
        <w:pStyle w:val="NoSpacing"/>
        <w:jc w:val="both"/>
        <w:rPr>
          <w:rFonts w:ascii="Arial" w:hAnsi="Arial" w:cs="Arial"/>
        </w:rPr>
      </w:pPr>
      <w:r>
        <w:rPr>
          <w:rFonts w:ascii="Arial" w:hAnsi="Arial" w:cs="Arial"/>
          <w:b/>
          <w:bCs/>
          <w:bdr w:val="none" w:sz="0" w:space="0" w:color="auto" w:frame="1"/>
        </w:rPr>
        <w:t>Results:</w:t>
      </w:r>
      <w:r>
        <w:rPr>
          <w:rFonts w:ascii="Arial" w:hAnsi="Arial" w:cs="Arial"/>
          <w:bdr w:val="none" w:sz="0" w:space="0" w:color="auto" w:frame="1"/>
        </w:rPr>
        <w:t xml:space="preserve"> ATP and ADP levels were significantly higher in EDTA plasma compared to lithium heparin plasma (p = 0.</w:t>
      </w:r>
      <w:r>
        <w:rPr>
          <w:rFonts w:ascii="Arial" w:hAnsi="Arial" w:cs="Arial"/>
          <w:bdr w:val="none" w:sz="0" w:space="0" w:color="auto" w:frame="1"/>
        </w:rPr>
        <w:t>000)</w:t>
      </w:r>
      <w:r>
        <w:rPr>
          <w:rFonts w:ascii="Arial" w:hAnsi="Arial" w:cs="Arial"/>
        </w:rPr>
        <w:t xml:space="preserve">. </w:t>
      </w:r>
      <w:r>
        <w:rPr>
          <w:rFonts w:ascii="Arial" w:hAnsi="Arial" w:cs="Arial"/>
          <w:bdr w:val="none" w:sz="0" w:space="0" w:color="auto" w:frame="1"/>
        </w:rPr>
        <w:t xml:space="preserve">The mean ATP concentration in EDTA was </w:t>
      </w:r>
    </w:p>
    <w:p w14:paraId="3D6C1F54" w14:textId="77777777" w:rsidR="00874DD9" w:rsidRDefault="00F914F3">
      <w:pPr>
        <w:pStyle w:val="NoSpacing"/>
        <w:jc w:val="both"/>
        <w:rPr>
          <w:rFonts w:ascii="Arial" w:hAnsi="Arial" w:cs="Arial"/>
        </w:rPr>
      </w:pPr>
      <w:r>
        <w:rPr>
          <w:rFonts w:ascii="Arial" w:hAnsi="Arial" w:cs="Arial"/>
          <w:bdr w:val="none" w:sz="0" w:space="0" w:color="auto" w:frame="1"/>
        </w:rPr>
        <w:t>846.19±94.54 nmol/L, while lithium heparin samples had a significantly lower mean value of 589.61±61.93 nmol/L</w:t>
      </w:r>
      <w:r>
        <w:rPr>
          <w:rFonts w:ascii="Arial" w:hAnsi="Arial" w:cs="Arial"/>
        </w:rPr>
        <w:t xml:space="preserve">. </w:t>
      </w:r>
      <w:r>
        <w:rPr>
          <w:rFonts w:ascii="Arial" w:hAnsi="Arial" w:cs="Arial"/>
          <w:bdr w:val="none" w:sz="0" w:space="0" w:color="auto" w:frame="1"/>
        </w:rPr>
        <w:t>Similarly, ADP levels were higher in EDTA plasma (</w:t>
      </w:r>
    </w:p>
    <w:p w14:paraId="77FAA8F0" w14:textId="77777777" w:rsidR="00874DD9" w:rsidRDefault="00F914F3">
      <w:pPr>
        <w:pStyle w:val="NoSpacing"/>
        <w:jc w:val="both"/>
        <w:rPr>
          <w:rFonts w:ascii="Arial" w:hAnsi="Arial" w:cs="Arial"/>
        </w:rPr>
      </w:pPr>
      <w:r>
        <w:rPr>
          <w:rFonts w:ascii="Arial" w:hAnsi="Arial" w:cs="Arial"/>
          <w:bdr w:val="none" w:sz="0" w:space="0" w:color="auto" w:frame="1"/>
        </w:rPr>
        <w:t>804.00±164.11 nmol/L) than in lithium heparin p</w:t>
      </w:r>
      <w:r>
        <w:rPr>
          <w:rFonts w:ascii="Arial" w:hAnsi="Arial" w:cs="Arial"/>
          <w:bdr w:val="none" w:sz="0" w:space="0" w:color="auto" w:frame="1"/>
        </w:rPr>
        <w:t>lasma (610.00±145.60 nmol/L) where p = 0.000</w:t>
      </w:r>
      <w:r>
        <w:rPr>
          <w:rFonts w:ascii="Arial" w:hAnsi="Arial" w:cs="Arial"/>
        </w:rPr>
        <w:t>.</w:t>
      </w:r>
    </w:p>
    <w:p w14:paraId="662FEDB4" w14:textId="77777777" w:rsidR="00874DD9" w:rsidRDefault="00F914F3">
      <w:pPr>
        <w:pStyle w:val="NoSpacing"/>
        <w:jc w:val="both"/>
        <w:rPr>
          <w:rFonts w:ascii="Arial" w:hAnsi="Arial" w:cs="Arial"/>
        </w:rPr>
      </w:pPr>
      <w:r>
        <w:rPr>
          <w:rFonts w:ascii="Arial" w:hAnsi="Arial" w:cs="Arial"/>
          <w:b/>
          <w:bCs/>
          <w:bdr w:val="none" w:sz="0" w:space="0" w:color="auto" w:frame="1"/>
        </w:rPr>
        <w:t>Conclusion:</w:t>
      </w:r>
      <w:r>
        <w:rPr>
          <w:rFonts w:ascii="Arial" w:hAnsi="Arial" w:cs="Arial"/>
          <w:bdr w:val="none" w:sz="0" w:space="0" w:color="auto" w:frame="1"/>
        </w:rPr>
        <w:t xml:space="preserve"> EDTA is recommended for studies requiring nucleotide stability, particularly in platelet function assessments and metabolic evaluations</w:t>
      </w:r>
      <w:r>
        <w:rPr>
          <w:rFonts w:ascii="Arial" w:hAnsi="Arial" w:cs="Arial"/>
        </w:rPr>
        <w:t xml:space="preserve">. </w:t>
      </w:r>
      <w:r>
        <w:rPr>
          <w:rFonts w:ascii="Arial" w:hAnsi="Arial" w:cs="Arial"/>
          <w:bdr w:val="none" w:sz="0" w:space="0" w:color="auto" w:frame="1"/>
        </w:rPr>
        <w:t xml:space="preserve">These findings support the use of EDTA for studies requiring </w:t>
      </w:r>
      <w:r>
        <w:rPr>
          <w:rFonts w:ascii="Arial" w:hAnsi="Arial" w:cs="Arial"/>
          <w:bdr w:val="none" w:sz="0" w:space="0" w:color="auto" w:frame="1"/>
        </w:rPr>
        <w:t>stable ATP and ADP measurements</w:t>
      </w:r>
      <w:r>
        <w:rPr>
          <w:rFonts w:ascii="Arial" w:hAnsi="Arial" w:cs="Arial"/>
        </w:rPr>
        <w:t>.</w:t>
      </w:r>
    </w:p>
    <w:p w14:paraId="57BF0F98"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b/>
          <w:bCs/>
          <w:color w:val="1B1C1D"/>
          <w:bdr w:val="none" w:sz="0" w:space="0" w:color="auto" w:frame="1"/>
        </w:rPr>
        <w:t>Keywords</w:t>
      </w:r>
      <w:r>
        <w:rPr>
          <w:rFonts w:ascii="Arial" w:eastAsia="Times New Roman" w:hAnsi="Arial" w:cs="Arial"/>
          <w:color w:val="1B1C1D"/>
          <w:bdr w:val="none" w:sz="0" w:space="0" w:color="auto" w:frame="1"/>
        </w:rPr>
        <w:t xml:space="preserve">: </w:t>
      </w:r>
      <w:r>
        <w:rPr>
          <w:rFonts w:ascii="Arial" w:eastAsia="Times New Roman" w:hAnsi="Arial" w:cs="Arial"/>
          <w:color w:val="1B1C1D"/>
          <w:sz w:val="20"/>
          <w:szCs w:val="20"/>
          <w:bdr w:val="none" w:sz="0" w:space="0" w:color="auto" w:frame="1"/>
        </w:rPr>
        <w:t>ATP, ADP, EDTA, Lithium Heparin, Plasma Stability</w:t>
      </w:r>
    </w:p>
    <w:p w14:paraId="57C62810" w14:textId="77777777" w:rsidR="00874DD9" w:rsidRDefault="00874DD9">
      <w:pPr>
        <w:spacing w:before="100" w:beforeAutospacing="1" w:after="0" w:line="240" w:lineRule="auto"/>
        <w:jc w:val="both"/>
        <w:rPr>
          <w:rFonts w:ascii="Arial" w:eastAsia="Times New Roman" w:hAnsi="Arial" w:cs="Arial"/>
          <w:color w:val="1B1C1D"/>
        </w:rPr>
      </w:pPr>
    </w:p>
    <w:p w14:paraId="67FBD297" w14:textId="77777777" w:rsidR="00874DD9" w:rsidRDefault="00F914F3">
      <w:pPr>
        <w:spacing w:before="100" w:beforeAutospacing="1" w:after="0" w:line="240" w:lineRule="auto"/>
        <w:jc w:val="both"/>
        <w:rPr>
          <w:rFonts w:ascii="Arial" w:eastAsia="Times New Roman" w:hAnsi="Arial" w:cs="Arial"/>
          <w:b/>
          <w:bCs/>
          <w:color w:val="1B1C1D"/>
        </w:rPr>
      </w:pPr>
      <w:r>
        <w:rPr>
          <w:rFonts w:ascii="Arial" w:eastAsia="Times New Roman" w:hAnsi="Arial" w:cs="Arial"/>
          <w:b/>
          <w:bCs/>
          <w:color w:val="1B1C1D"/>
          <w:bdr w:val="none" w:sz="0" w:space="0" w:color="auto" w:frame="1"/>
        </w:rPr>
        <w:t>INTRODUCTION</w:t>
      </w:r>
    </w:p>
    <w:p w14:paraId="42CAD075"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 xml:space="preserve">Adenosine triphosphate (ATP) plays a critical role in role in intracellular energy transfer reactions because it provides energy that drives </w:t>
      </w:r>
      <w:r>
        <w:rPr>
          <w:rFonts w:ascii="Arial" w:eastAsia="Times New Roman" w:hAnsi="Arial" w:cs="Arial"/>
          <w:color w:val="1B1C1D"/>
          <w:sz w:val="20"/>
          <w:szCs w:val="20"/>
          <w:bdr w:val="none" w:sz="0" w:space="0" w:color="auto" w:frame="1"/>
        </w:rPr>
        <w:t>biochemical processes in cells [1]. Adenosine triphosphate is produced via the phosphorylation of adenosine diphosphate (ADP) and adenosine monophosphate (AMP) and in the course of metabolism ATP is repeatedly dephosphorylated to ADP and AMP and re-phospho</w:t>
      </w:r>
      <w:r>
        <w:rPr>
          <w:rFonts w:ascii="Arial" w:eastAsia="Times New Roman" w:hAnsi="Arial" w:cs="Arial"/>
          <w:color w:val="1B1C1D"/>
          <w:sz w:val="20"/>
          <w:szCs w:val="20"/>
          <w:bdr w:val="none" w:sz="0" w:space="0" w:color="auto" w:frame="1"/>
        </w:rPr>
        <w:t>rylated from ADP and AMP. [1]. Adenosine triphosphate (ATP) is a nucleotide that provides energy to drive and support many processes within living cells, including; muscle contraction, nerve impulse propagation, condensate dissolution, and chemical synthes</w:t>
      </w:r>
      <w:r>
        <w:rPr>
          <w:rFonts w:ascii="Arial" w:eastAsia="Times New Roman" w:hAnsi="Arial" w:cs="Arial"/>
          <w:color w:val="1B1C1D"/>
          <w:sz w:val="20"/>
          <w:szCs w:val="20"/>
          <w:bdr w:val="none" w:sz="0" w:space="0" w:color="auto" w:frame="1"/>
        </w:rPr>
        <w:t>is [2]. Present in all known life forms, ATP is often referred to as the “molecular currency” of intracellular energy transfer. The phosphate groups can be cleaved off, releasing energy that can be used to drive other biochemical reactions [3]. According t</w:t>
      </w:r>
      <w:r>
        <w:rPr>
          <w:rFonts w:ascii="Arial" w:eastAsia="Times New Roman" w:hAnsi="Arial" w:cs="Arial"/>
          <w:color w:val="1B1C1D"/>
          <w:sz w:val="20"/>
          <w:szCs w:val="20"/>
          <w:bdr w:val="none" w:sz="0" w:space="0" w:color="auto" w:frame="1"/>
        </w:rPr>
        <w:t xml:space="preserve">o Guyton and Hall [4], adenosine Diphosphate (ADP) is an important organic compound in metabolism and is essential to the flow of energy in living cells. It can be interconverted to adenosine triphosphate (ATP) and adenosine monophosphate (AMP). Adenosine </w:t>
      </w:r>
      <w:r>
        <w:rPr>
          <w:rFonts w:ascii="Arial" w:eastAsia="Times New Roman" w:hAnsi="Arial" w:cs="Arial"/>
          <w:color w:val="1B1C1D"/>
          <w:sz w:val="20"/>
          <w:szCs w:val="20"/>
          <w:bdr w:val="none" w:sz="0" w:space="0" w:color="auto" w:frame="1"/>
        </w:rPr>
        <w:t>triphosphate (ATP) and adenosine diphosphate (ADP) play critical roles in cellular energy metabolism and function, making their evaluation in blood samples important for understanding various metabolic conditions and pathophysiological states. The evaluati</w:t>
      </w:r>
      <w:r>
        <w:rPr>
          <w:rFonts w:ascii="Arial" w:eastAsia="Times New Roman" w:hAnsi="Arial" w:cs="Arial"/>
          <w:color w:val="1B1C1D"/>
          <w:sz w:val="20"/>
          <w:szCs w:val="20"/>
          <w:bdr w:val="none" w:sz="0" w:space="0" w:color="auto" w:frame="1"/>
        </w:rPr>
        <w:t>on of adenosine triphosphate (ATP) and adenosine diphosphate (ADP) in blood samples is crucial for assessing cellular energy states and understanding metabolic disorders. The evaluation of ATP and ADP levels is increasingly being used in disease monitoring</w:t>
      </w:r>
      <w:r>
        <w:rPr>
          <w:rFonts w:ascii="Arial" w:eastAsia="Times New Roman" w:hAnsi="Arial" w:cs="Arial"/>
          <w:color w:val="1B1C1D"/>
          <w:sz w:val="20"/>
          <w:szCs w:val="20"/>
          <w:bdr w:val="none" w:sz="0" w:space="0" w:color="auto" w:frame="1"/>
        </w:rPr>
        <w:t>, particularly for assessing platelet function and cardiovascular health [5]. Moreover, a stable and reliable method for evaluating these nucleotides is needed to ensure the accuracy of results in clinical and research settings, as variations in storage co</w:t>
      </w:r>
      <w:r>
        <w:rPr>
          <w:rFonts w:ascii="Arial" w:eastAsia="Times New Roman" w:hAnsi="Arial" w:cs="Arial"/>
          <w:color w:val="1B1C1D"/>
          <w:sz w:val="20"/>
          <w:szCs w:val="20"/>
          <w:bdr w:val="none" w:sz="0" w:space="0" w:color="auto" w:frame="1"/>
        </w:rPr>
        <w:t xml:space="preserve">nditions and container types could obscure true physiological changes [6]. Hence, this study aims to assess the suitability of various specimen </w:t>
      </w:r>
      <w:r>
        <w:rPr>
          <w:rFonts w:ascii="Arial" w:eastAsia="Times New Roman" w:hAnsi="Arial" w:cs="Arial"/>
          <w:color w:val="1B1C1D"/>
          <w:sz w:val="20"/>
          <w:szCs w:val="20"/>
          <w:bdr w:val="none" w:sz="0" w:space="0" w:color="auto" w:frame="1"/>
        </w:rPr>
        <w:lastRenderedPageBreak/>
        <w:t>containers in the context of ATP and ADP evaluation, considering their impact on sample integrity and analytical</w:t>
      </w:r>
      <w:r>
        <w:rPr>
          <w:rFonts w:ascii="Arial" w:eastAsia="Times New Roman" w:hAnsi="Arial" w:cs="Arial"/>
          <w:color w:val="1B1C1D"/>
          <w:sz w:val="20"/>
          <w:szCs w:val="20"/>
          <w:bdr w:val="none" w:sz="0" w:space="0" w:color="auto" w:frame="1"/>
        </w:rPr>
        <w:t xml:space="preserve"> outcomes.</w:t>
      </w:r>
    </w:p>
    <w:p w14:paraId="79ABFE07" w14:textId="77777777" w:rsidR="00874DD9" w:rsidRDefault="00F914F3">
      <w:pPr>
        <w:spacing w:before="100" w:beforeAutospacing="1" w:after="0" w:line="240" w:lineRule="auto"/>
        <w:jc w:val="both"/>
        <w:rPr>
          <w:rFonts w:ascii="Arial" w:eastAsia="Times New Roman" w:hAnsi="Arial" w:cs="Arial"/>
          <w:b/>
          <w:bCs/>
          <w:color w:val="1B1C1D"/>
        </w:rPr>
      </w:pPr>
      <w:r>
        <w:rPr>
          <w:rFonts w:ascii="Arial" w:eastAsia="Times New Roman" w:hAnsi="Arial" w:cs="Arial"/>
          <w:b/>
          <w:bCs/>
          <w:color w:val="1B1C1D"/>
          <w:bdr w:val="none" w:sz="0" w:space="0" w:color="auto" w:frame="1"/>
        </w:rPr>
        <w:t>MATERIAL AND METHODS</w:t>
      </w:r>
    </w:p>
    <w:p w14:paraId="563D5777"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This was a cross-sectional study that randomly recruited 20 apparently healthy individuals within a consistent age bracket f between 18 and 26 years to evaluate the impact of EDTA and lithium heparin containers on the stabil</w:t>
      </w:r>
      <w:r>
        <w:rPr>
          <w:rFonts w:ascii="Arial" w:eastAsia="Times New Roman" w:hAnsi="Arial" w:cs="Arial"/>
          <w:color w:val="1B1C1D"/>
          <w:sz w:val="20"/>
          <w:szCs w:val="20"/>
          <w:bdr w:val="none" w:sz="0" w:space="0" w:color="auto" w:frame="1"/>
        </w:rPr>
        <w:t>ity of ATP and ADP levels in blood samples at room temperature. Three milliliters of blood samples were collected from apparently healthy volunteers using a vacutainer system into EDTA and lithium heparin specimen bottles. Following collection, ATP and ADP</w:t>
      </w:r>
      <w:r>
        <w:rPr>
          <w:rFonts w:ascii="Arial" w:eastAsia="Times New Roman" w:hAnsi="Arial" w:cs="Arial"/>
          <w:color w:val="1B1C1D"/>
          <w:sz w:val="20"/>
          <w:szCs w:val="20"/>
          <w:bdr w:val="none" w:sz="0" w:space="0" w:color="auto" w:frame="1"/>
        </w:rPr>
        <w:t xml:space="preserve"> levels were measured using enzyme-linked immunosorbent assays (ELISA). SPSS (Statistical Package for Social Sciences) 25 was used to analyze the collected data. Independent’s t-test was used to compare the mean ± standard deviation of ATP and ADP values i</w:t>
      </w:r>
      <w:r>
        <w:rPr>
          <w:rFonts w:ascii="Arial" w:eastAsia="Times New Roman" w:hAnsi="Arial" w:cs="Arial"/>
          <w:color w:val="1B1C1D"/>
          <w:sz w:val="20"/>
          <w:szCs w:val="20"/>
          <w:bdr w:val="none" w:sz="0" w:space="0" w:color="auto" w:frame="1"/>
        </w:rPr>
        <w:t>n EDTA and in Lithium Heparin.</w:t>
      </w:r>
    </w:p>
    <w:p w14:paraId="0A515311" w14:textId="77777777" w:rsidR="00874DD9" w:rsidRDefault="00F914F3">
      <w:pPr>
        <w:spacing w:before="100" w:beforeAutospacing="1" w:after="0" w:line="240" w:lineRule="auto"/>
        <w:jc w:val="both"/>
        <w:rPr>
          <w:rFonts w:ascii="Arial" w:eastAsia="Times New Roman" w:hAnsi="Arial" w:cs="Arial"/>
          <w:b/>
          <w:bCs/>
          <w:color w:val="1B1C1D"/>
        </w:rPr>
      </w:pPr>
      <w:r>
        <w:rPr>
          <w:rFonts w:ascii="Arial" w:eastAsia="Times New Roman" w:hAnsi="Arial" w:cs="Arial"/>
          <w:b/>
          <w:bCs/>
          <w:color w:val="1B1C1D"/>
          <w:bdr w:val="none" w:sz="0" w:space="0" w:color="auto" w:frame="1"/>
        </w:rPr>
        <w:t>RESULTS AND DISCUSSION</w:t>
      </w:r>
    </w:p>
    <w:p w14:paraId="6CEC56B0" w14:textId="77777777" w:rsidR="00874DD9" w:rsidRDefault="00F914F3">
      <w:pPr>
        <w:spacing w:before="100" w:beforeAutospacing="1" w:after="0" w:line="240" w:lineRule="auto"/>
        <w:jc w:val="both"/>
        <w:rPr>
          <w:rFonts w:ascii="Arial" w:eastAsia="Times New Roman" w:hAnsi="Arial" w:cs="Arial"/>
          <w:color w:val="1B1C1D"/>
          <w:sz w:val="20"/>
          <w:szCs w:val="20"/>
        </w:rPr>
      </w:pPr>
      <w:r>
        <w:rPr>
          <w:rFonts w:ascii="Arial" w:eastAsia="Times New Roman" w:hAnsi="Arial" w:cs="Arial"/>
          <w:color w:val="1B1C1D"/>
          <w:sz w:val="20"/>
          <w:szCs w:val="20"/>
          <w:bdr w:val="none" w:sz="0" w:space="0" w:color="auto" w:frame="1"/>
        </w:rPr>
        <w:t>The mean ± SD of ADP values in EDTA and lithium heparin anticoagulant bottles were analyzed</w:t>
      </w:r>
      <w:r>
        <w:rPr>
          <w:rFonts w:ascii="Arial" w:eastAsia="Times New Roman" w:hAnsi="Arial" w:cs="Arial"/>
          <w:color w:val="1B1C1D"/>
          <w:sz w:val="20"/>
          <w:szCs w:val="20"/>
        </w:rPr>
        <w:t xml:space="preserve">. </w:t>
      </w:r>
      <w:r>
        <w:rPr>
          <w:rFonts w:ascii="Arial" w:eastAsia="Times New Roman" w:hAnsi="Arial" w:cs="Arial"/>
          <w:color w:val="1B1C1D"/>
          <w:sz w:val="20"/>
          <w:szCs w:val="20"/>
          <w:bdr w:val="none" w:sz="0" w:space="0" w:color="auto" w:frame="1"/>
        </w:rPr>
        <w:t>The mean ± SD ADP levels in EDTA (804.00±164.11 nmol/L) were significantly higher than ADP in lithium heparin</w:t>
      </w:r>
      <w:r>
        <w:rPr>
          <w:rFonts w:ascii="Arial" w:eastAsia="Times New Roman" w:hAnsi="Arial" w:cs="Arial"/>
          <w:color w:val="1B1C1D"/>
          <w:sz w:val="20"/>
          <w:szCs w:val="20"/>
          <w:bdr w:val="none" w:sz="0" w:space="0" w:color="auto" w:frame="1"/>
        </w:rPr>
        <w:t xml:space="preserve"> (610.00±145.60 nmol/L), P = .000 [Table 1]</w:t>
      </w:r>
      <w:r>
        <w:rPr>
          <w:rFonts w:ascii="Arial" w:eastAsia="Times New Roman" w:hAnsi="Arial" w:cs="Arial"/>
          <w:color w:val="1B1C1D"/>
          <w:sz w:val="20"/>
          <w:szCs w:val="20"/>
        </w:rPr>
        <w:t xml:space="preserve">. </w:t>
      </w:r>
      <w:r>
        <w:rPr>
          <w:rFonts w:ascii="Arial" w:eastAsia="Times New Roman" w:hAnsi="Arial" w:cs="Arial"/>
          <w:color w:val="1B1C1D"/>
          <w:sz w:val="20"/>
          <w:szCs w:val="20"/>
          <w:bdr w:val="none" w:sz="0" w:space="0" w:color="auto" w:frame="1"/>
        </w:rPr>
        <w:t>The mean ± SD of ATP values in EDTA and lithium heparin anticoagulant bottles were analyzed. The mean ± SD ATP levels in EDTA (846.19±94.54 nmol/L) were significantly higher than those in lithium heparin (589.61</w:t>
      </w:r>
      <w:r>
        <w:rPr>
          <w:rFonts w:ascii="Arial" w:eastAsia="Times New Roman" w:hAnsi="Arial" w:cs="Arial"/>
          <w:color w:val="1B1C1D"/>
          <w:sz w:val="20"/>
          <w:szCs w:val="20"/>
          <w:bdr w:val="none" w:sz="0" w:space="0" w:color="auto" w:frame="1"/>
        </w:rPr>
        <w:t>±61.93 nmol/L), P = .000</w:t>
      </w:r>
      <w:r>
        <w:rPr>
          <w:rFonts w:ascii="Arial" w:eastAsia="Times New Roman" w:hAnsi="Arial" w:cs="Arial"/>
          <w:color w:val="1B1C1D"/>
          <w:sz w:val="20"/>
          <w:szCs w:val="20"/>
        </w:rPr>
        <w:t>.</w:t>
      </w:r>
    </w:p>
    <w:p w14:paraId="41C6A1E3" w14:textId="77777777" w:rsidR="00874DD9" w:rsidRDefault="00874DD9">
      <w:pPr>
        <w:spacing w:before="100" w:beforeAutospacing="1" w:after="0" w:line="240" w:lineRule="auto"/>
        <w:jc w:val="both"/>
        <w:rPr>
          <w:rFonts w:ascii="Arial" w:eastAsia="Times New Roman" w:hAnsi="Arial" w:cs="Arial"/>
          <w:color w:val="1B1C1D"/>
          <w:sz w:val="20"/>
          <w:szCs w:val="20"/>
        </w:rPr>
      </w:pPr>
    </w:p>
    <w:p w14:paraId="7C3D565B" w14:textId="77777777" w:rsidR="00874DD9" w:rsidRDefault="00F914F3">
      <w:pPr>
        <w:shd w:val="clear" w:color="auto" w:fill="FFFFFF"/>
        <w:spacing w:line="480" w:lineRule="auto"/>
        <w:jc w:val="both"/>
        <w:rPr>
          <w:rFonts w:ascii="Arial" w:eastAsia="Times New Roman" w:hAnsi="Arial" w:cs="Arial"/>
          <w:b/>
        </w:rPr>
      </w:pPr>
      <w:r>
        <w:rPr>
          <w:rFonts w:ascii="Arial" w:eastAsia="Times New Roman" w:hAnsi="Arial" w:cs="Arial"/>
          <w:b/>
        </w:rPr>
        <w:t xml:space="preserve">Table </w:t>
      </w:r>
      <w:r>
        <w:rPr>
          <w:rFonts w:eastAsia="Times New Roman"/>
          <w:b/>
        </w:rPr>
        <w:t>1</w:t>
      </w:r>
      <w:r>
        <w:rPr>
          <w:rFonts w:ascii="Arial" w:eastAsia="Times New Roman" w:hAnsi="Arial" w:cs="Arial"/>
          <w:b/>
        </w:rPr>
        <w:t>: Mean ± Standard Deviation of ADP Levels in EDTA and Lithium Heparin Container.</w:t>
      </w:r>
    </w:p>
    <w:tbl>
      <w:tblPr>
        <w:tblW w:w="889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28"/>
        <w:gridCol w:w="2126"/>
        <w:gridCol w:w="2835"/>
        <w:gridCol w:w="1276"/>
        <w:gridCol w:w="1134"/>
      </w:tblGrid>
      <w:tr w:rsidR="00874DD9" w14:paraId="042CC8AC" w14:textId="77777777">
        <w:tc>
          <w:tcPr>
            <w:tcW w:w="1528" w:type="dxa"/>
            <w:tcBorders>
              <w:top w:val="single" w:sz="4" w:space="0" w:color="000000"/>
              <w:bottom w:val="single" w:sz="4" w:space="0" w:color="000000"/>
            </w:tcBorders>
          </w:tcPr>
          <w:p w14:paraId="5826D98B" w14:textId="77777777" w:rsidR="00874DD9" w:rsidRDefault="00F914F3">
            <w:pPr>
              <w:spacing w:line="600" w:lineRule="auto"/>
              <w:jc w:val="both"/>
              <w:rPr>
                <w:rFonts w:ascii="Arial" w:eastAsia="Times New Roman" w:hAnsi="Arial" w:cs="Arial"/>
                <w:b/>
                <w:bCs/>
                <w:sz w:val="20"/>
                <w:szCs w:val="20"/>
              </w:rPr>
            </w:pPr>
            <w:r>
              <w:rPr>
                <w:rFonts w:ascii="Arial" w:eastAsia="Times New Roman" w:hAnsi="Arial" w:cs="Arial"/>
                <w:b/>
                <w:bCs/>
                <w:sz w:val="20"/>
                <w:szCs w:val="20"/>
              </w:rPr>
              <w:t>Parameter</w:t>
            </w:r>
          </w:p>
        </w:tc>
        <w:tc>
          <w:tcPr>
            <w:tcW w:w="2126" w:type="dxa"/>
            <w:tcBorders>
              <w:top w:val="single" w:sz="4" w:space="0" w:color="000000"/>
              <w:bottom w:val="single" w:sz="4" w:space="0" w:color="000000"/>
            </w:tcBorders>
          </w:tcPr>
          <w:p w14:paraId="65748655" w14:textId="77777777" w:rsidR="00874DD9" w:rsidRDefault="00F914F3">
            <w:pPr>
              <w:spacing w:line="600" w:lineRule="auto"/>
              <w:jc w:val="both"/>
              <w:rPr>
                <w:rFonts w:ascii="Arial" w:eastAsia="Times New Roman" w:hAnsi="Arial" w:cs="Arial"/>
                <w:b/>
                <w:bCs/>
                <w:sz w:val="20"/>
                <w:szCs w:val="20"/>
              </w:rPr>
            </w:pPr>
            <w:r>
              <w:rPr>
                <w:rFonts w:ascii="Arial" w:eastAsia="Times New Roman" w:hAnsi="Arial" w:cs="Arial"/>
                <w:b/>
                <w:bCs/>
                <w:sz w:val="20"/>
                <w:szCs w:val="20"/>
              </w:rPr>
              <w:t xml:space="preserve">EDTA </w:t>
            </w:r>
          </w:p>
        </w:tc>
        <w:tc>
          <w:tcPr>
            <w:tcW w:w="2835" w:type="dxa"/>
            <w:tcBorders>
              <w:top w:val="single" w:sz="4" w:space="0" w:color="000000"/>
              <w:bottom w:val="single" w:sz="4" w:space="0" w:color="000000"/>
            </w:tcBorders>
          </w:tcPr>
          <w:p w14:paraId="425246BE" w14:textId="77777777" w:rsidR="00874DD9" w:rsidRDefault="00F914F3">
            <w:pPr>
              <w:spacing w:line="600" w:lineRule="auto"/>
              <w:jc w:val="both"/>
              <w:rPr>
                <w:rFonts w:ascii="Arial" w:eastAsia="Times New Roman" w:hAnsi="Arial" w:cs="Arial"/>
                <w:b/>
                <w:bCs/>
                <w:sz w:val="20"/>
                <w:szCs w:val="20"/>
              </w:rPr>
            </w:pPr>
            <w:r>
              <w:rPr>
                <w:rFonts w:ascii="Arial" w:eastAsia="Times New Roman" w:hAnsi="Arial" w:cs="Arial"/>
                <w:b/>
                <w:bCs/>
                <w:sz w:val="20"/>
                <w:szCs w:val="20"/>
              </w:rPr>
              <w:t xml:space="preserve"> Lithium Heparin     </w:t>
            </w:r>
          </w:p>
        </w:tc>
        <w:tc>
          <w:tcPr>
            <w:tcW w:w="1276" w:type="dxa"/>
            <w:tcBorders>
              <w:top w:val="single" w:sz="4" w:space="0" w:color="000000"/>
              <w:bottom w:val="single" w:sz="4" w:space="0" w:color="000000"/>
            </w:tcBorders>
          </w:tcPr>
          <w:p w14:paraId="6970B506" w14:textId="77777777" w:rsidR="00874DD9" w:rsidRDefault="00F914F3">
            <w:pPr>
              <w:spacing w:line="600" w:lineRule="auto"/>
              <w:jc w:val="both"/>
              <w:rPr>
                <w:rFonts w:ascii="Arial" w:eastAsia="Times New Roman" w:hAnsi="Arial" w:cs="Arial"/>
                <w:b/>
                <w:bCs/>
                <w:sz w:val="20"/>
                <w:szCs w:val="20"/>
              </w:rPr>
            </w:pPr>
            <w:r>
              <w:rPr>
                <w:rFonts w:ascii="Arial" w:eastAsia="Times New Roman" w:hAnsi="Arial" w:cs="Arial"/>
                <w:b/>
                <w:bCs/>
                <w:sz w:val="20"/>
                <w:szCs w:val="20"/>
              </w:rPr>
              <w:t xml:space="preserve">t-value         </w:t>
            </w:r>
          </w:p>
        </w:tc>
        <w:tc>
          <w:tcPr>
            <w:tcW w:w="1134" w:type="dxa"/>
            <w:tcBorders>
              <w:top w:val="single" w:sz="4" w:space="0" w:color="000000"/>
              <w:bottom w:val="single" w:sz="4" w:space="0" w:color="000000"/>
            </w:tcBorders>
          </w:tcPr>
          <w:p w14:paraId="23DD8464" w14:textId="77777777" w:rsidR="00874DD9" w:rsidRDefault="00F914F3">
            <w:pPr>
              <w:spacing w:line="600" w:lineRule="auto"/>
              <w:jc w:val="both"/>
              <w:rPr>
                <w:rFonts w:ascii="Arial" w:eastAsia="Times New Roman" w:hAnsi="Arial" w:cs="Arial"/>
                <w:b/>
                <w:bCs/>
                <w:sz w:val="20"/>
                <w:szCs w:val="20"/>
              </w:rPr>
            </w:pPr>
            <w:r>
              <w:rPr>
                <w:rFonts w:ascii="Arial" w:eastAsia="Times New Roman" w:hAnsi="Arial" w:cs="Arial"/>
                <w:b/>
                <w:bCs/>
                <w:sz w:val="20"/>
                <w:szCs w:val="20"/>
              </w:rPr>
              <w:t>p- value</w:t>
            </w:r>
          </w:p>
        </w:tc>
      </w:tr>
      <w:tr w:rsidR="00874DD9" w14:paraId="272DB382" w14:textId="77777777">
        <w:tc>
          <w:tcPr>
            <w:tcW w:w="1528" w:type="dxa"/>
            <w:tcBorders>
              <w:top w:val="single" w:sz="4" w:space="0" w:color="000000"/>
            </w:tcBorders>
          </w:tcPr>
          <w:p w14:paraId="451B27E1" w14:textId="77777777" w:rsidR="00874DD9" w:rsidRDefault="00F914F3">
            <w:pPr>
              <w:spacing w:line="600" w:lineRule="auto"/>
              <w:rPr>
                <w:rFonts w:ascii="Arial" w:eastAsia="Times New Roman" w:hAnsi="Arial" w:cs="Arial"/>
                <w:sz w:val="20"/>
                <w:szCs w:val="20"/>
              </w:rPr>
            </w:pPr>
            <w:r>
              <w:rPr>
                <w:rFonts w:ascii="Arial" w:eastAsia="Times New Roman" w:hAnsi="Arial" w:cs="Arial"/>
                <w:sz w:val="20"/>
                <w:szCs w:val="20"/>
              </w:rPr>
              <w:t>ADP (nmol/L)</w:t>
            </w:r>
          </w:p>
        </w:tc>
        <w:tc>
          <w:tcPr>
            <w:tcW w:w="2126" w:type="dxa"/>
            <w:tcBorders>
              <w:top w:val="single" w:sz="4" w:space="0" w:color="000000"/>
            </w:tcBorders>
          </w:tcPr>
          <w:p w14:paraId="3DD5C1D3" w14:textId="77777777" w:rsidR="00874DD9" w:rsidRDefault="00F914F3">
            <w:pPr>
              <w:spacing w:line="600" w:lineRule="auto"/>
              <w:rPr>
                <w:rFonts w:ascii="Arial" w:eastAsia="Times New Roman" w:hAnsi="Arial" w:cs="Arial"/>
                <w:sz w:val="20"/>
                <w:szCs w:val="20"/>
              </w:rPr>
            </w:pPr>
            <w:r>
              <w:rPr>
                <w:rFonts w:ascii="Arial" w:eastAsia="Times New Roman" w:hAnsi="Arial" w:cs="Arial"/>
                <w:sz w:val="20"/>
                <w:szCs w:val="20"/>
              </w:rPr>
              <w:t>804.00 ± 164.105</w:t>
            </w:r>
          </w:p>
        </w:tc>
        <w:tc>
          <w:tcPr>
            <w:tcW w:w="2835" w:type="dxa"/>
            <w:tcBorders>
              <w:top w:val="single" w:sz="4" w:space="0" w:color="000000"/>
            </w:tcBorders>
          </w:tcPr>
          <w:p w14:paraId="4C798262" w14:textId="77777777" w:rsidR="00874DD9" w:rsidRDefault="00F914F3">
            <w:pPr>
              <w:spacing w:line="600" w:lineRule="auto"/>
              <w:rPr>
                <w:rFonts w:ascii="Arial" w:eastAsia="Times New Roman" w:hAnsi="Arial" w:cs="Arial"/>
                <w:sz w:val="20"/>
                <w:szCs w:val="20"/>
              </w:rPr>
            </w:pPr>
            <w:r>
              <w:rPr>
                <w:rFonts w:ascii="Arial" w:eastAsia="Times New Roman" w:hAnsi="Arial" w:cs="Arial"/>
                <w:sz w:val="20"/>
                <w:szCs w:val="20"/>
              </w:rPr>
              <w:t>610.00 ± 145.602</w:t>
            </w:r>
          </w:p>
        </w:tc>
        <w:tc>
          <w:tcPr>
            <w:tcW w:w="1276" w:type="dxa"/>
            <w:tcBorders>
              <w:top w:val="single" w:sz="4" w:space="0" w:color="000000"/>
            </w:tcBorders>
          </w:tcPr>
          <w:p w14:paraId="6C8BD56C" w14:textId="77777777" w:rsidR="00874DD9" w:rsidRDefault="00F914F3">
            <w:pPr>
              <w:spacing w:line="600" w:lineRule="auto"/>
              <w:rPr>
                <w:rFonts w:ascii="Arial" w:eastAsia="Times New Roman" w:hAnsi="Arial" w:cs="Arial"/>
                <w:sz w:val="20"/>
                <w:szCs w:val="20"/>
              </w:rPr>
            </w:pPr>
            <w:r>
              <w:rPr>
                <w:rFonts w:ascii="Arial" w:eastAsia="Times New Roman" w:hAnsi="Arial" w:cs="Arial"/>
                <w:sz w:val="20"/>
                <w:szCs w:val="20"/>
              </w:rPr>
              <w:t>3.955</w:t>
            </w:r>
          </w:p>
        </w:tc>
        <w:tc>
          <w:tcPr>
            <w:tcW w:w="1134" w:type="dxa"/>
            <w:tcBorders>
              <w:top w:val="single" w:sz="4" w:space="0" w:color="000000"/>
            </w:tcBorders>
          </w:tcPr>
          <w:p w14:paraId="4B8778AF" w14:textId="77777777" w:rsidR="00874DD9" w:rsidRDefault="00F914F3">
            <w:pPr>
              <w:spacing w:line="600" w:lineRule="auto"/>
              <w:rPr>
                <w:rFonts w:ascii="Arial" w:eastAsia="Times New Roman" w:hAnsi="Arial" w:cs="Arial"/>
                <w:sz w:val="20"/>
                <w:szCs w:val="20"/>
              </w:rPr>
            </w:pPr>
            <w:r>
              <w:rPr>
                <w:rFonts w:ascii="Arial" w:hAnsi="Arial" w:cs="Arial"/>
                <w:sz w:val="20"/>
                <w:szCs w:val="20"/>
              </w:rPr>
              <w:t>0.000</w:t>
            </w:r>
            <w:r>
              <w:rPr>
                <w:sz w:val="20"/>
                <w:szCs w:val="20"/>
              </w:rPr>
              <w:t>*</w:t>
            </w:r>
          </w:p>
        </w:tc>
      </w:tr>
    </w:tbl>
    <w:p w14:paraId="1F4C4537" w14:textId="77777777" w:rsidR="00874DD9" w:rsidRDefault="00F914F3">
      <w:pPr>
        <w:shd w:val="clear" w:color="auto" w:fill="FFFFFF"/>
        <w:spacing w:line="480" w:lineRule="auto"/>
        <w:jc w:val="both"/>
        <w:rPr>
          <w:rFonts w:ascii="Arial" w:eastAsia="Times New Roman" w:hAnsi="Arial" w:cs="Arial"/>
          <w:i/>
          <w:iCs/>
          <w:sz w:val="18"/>
          <w:szCs w:val="18"/>
        </w:rPr>
      </w:pPr>
      <w:r>
        <w:rPr>
          <w:rFonts w:ascii="Arial" w:eastAsia="Times New Roman" w:hAnsi="Arial" w:cs="Arial"/>
          <w:i/>
          <w:iCs/>
          <w:sz w:val="18"/>
          <w:szCs w:val="18"/>
        </w:rPr>
        <w:t xml:space="preserve">*Statistically </w:t>
      </w:r>
      <w:r>
        <w:rPr>
          <w:rFonts w:ascii="Arial" w:eastAsia="Times New Roman" w:hAnsi="Arial" w:cs="Arial"/>
          <w:i/>
          <w:iCs/>
          <w:sz w:val="18"/>
          <w:szCs w:val="18"/>
        </w:rPr>
        <w:t>significant p&lt;0.05</w:t>
      </w:r>
      <w:r>
        <w:rPr>
          <w:rFonts w:eastAsia="Times New Roman"/>
          <w:i/>
          <w:iCs/>
          <w:sz w:val="18"/>
          <w:szCs w:val="18"/>
        </w:rPr>
        <w:t xml:space="preserve">; </w:t>
      </w:r>
      <w:r>
        <w:rPr>
          <w:rFonts w:ascii="Arial" w:eastAsia="Times New Roman" w:hAnsi="Arial" w:cs="Arial"/>
          <w:i/>
          <w:iCs/>
          <w:sz w:val="18"/>
          <w:szCs w:val="18"/>
        </w:rPr>
        <w:t>ADP: Adenosine diphosphate (nmol/L)</w:t>
      </w:r>
    </w:p>
    <w:p w14:paraId="4C08114B" w14:textId="77777777" w:rsidR="00874DD9" w:rsidRDefault="00874DD9">
      <w:pPr>
        <w:spacing w:before="100" w:beforeAutospacing="1" w:after="0" w:line="240" w:lineRule="auto"/>
        <w:jc w:val="both"/>
        <w:rPr>
          <w:rFonts w:ascii="Arial" w:eastAsia="Times New Roman" w:hAnsi="Arial" w:cs="Arial"/>
          <w:color w:val="1B1C1D"/>
          <w:sz w:val="20"/>
          <w:szCs w:val="20"/>
        </w:rPr>
      </w:pPr>
    </w:p>
    <w:p w14:paraId="6C8C3A91"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The findings of this study indicate that ATP remains more stable in EDTA compared to lithium heparin [Table 2]. This observation can be attributed to EDTA’s strong calcium-chelating properties, which</w:t>
      </w:r>
      <w:r>
        <w:rPr>
          <w:rFonts w:ascii="Arial" w:eastAsia="Times New Roman" w:hAnsi="Arial" w:cs="Arial"/>
          <w:color w:val="1B1C1D"/>
          <w:sz w:val="20"/>
          <w:szCs w:val="20"/>
          <w:bdr w:val="none" w:sz="0" w:space="0" w:color="auto" w:frame="1"/>
        </w:rPr>
        <w:t xml:space="preserve"> effectively inhibit platelet activation and metabolic enzyme activity. Calcium plays a vital role in various enzymatic reactions, including ATP hydrolysis, which leads to the breakdown of ATP into ADP and inorganic phosphate. By binding to calcium ions, E</w:t>
      </w:r>
      <w:r>
        <w:rPr>
          <w:rFonts w:ascii="Arial" w:eastAsia="Times New Roman" w:hAnsi="Arial" w:cs="Arial"/>
          <w:color w:val="1B1C1D"/>
          <w:sz w:val="20"/>
          <w:szCs w:val="20"/>
          <w:bdr w:val="none" w:sz="0" w:space="0" w:color="auto" w:frame="1"/>
        </w:rPr>
        <w:t xml:space="preserve">DTA prevents these calcium-dependent processes, thereby preserving ATP levels. ATP and ADP play pivotal roles in cellular metabolism and energy transfer, with ADP serving as a critical agonist in platelet activation and aggregation [7][8][9]. </w:t>
      </w:r>
    </w:p>
    <w:p w14:paraId="5AAFC216" w14:textId="77777777" w:rsidR="00874DD9" w:rsidRDefault="00874DD9">
      <w:pPr>
        <w:spacing w:before="100" w:beforeAutospacing="1" w:after="0" w:line="240" w:lineRule="auto"/>
        <w:jc w:val="both"/>
        <w:rPr>
          <w:rFonts w:ascii="Arial" w:eastAsia="Times New Roman" w:hAnsi="Arial" w:cs="Arial"/>
          <w:color w:val="1B1C1D"/>
          <w:sz w:val="20"/>
          <w:szCs w:val="20"/>
          <w:bdr w:val="none" w:sz="0" w:space="0" w:color="auto" w:frame="1"/>
        </w:rPr>
      </w:pPr>
    </w:p>
    <w:p w14:paraId="23B5B81C" w14:textId="77777777" w:rsidR="00874DD9" w:rsidRDefault="00F914F3">
      <w:pPr>
        <w:shd w:val="clear" w:color="auto" w:fill="FFFFFF"/>
        <w:spacing w:line="480" w:lineRule="auto"/>
        <w:jc w:val="both"/>
        <w:rPr>
          <w:rFonts w:ascii="Arial" w:eastAsia="Times New Roman" w:hAnsi="Arial" w:cs="Arial"/>
          <w:b/>
        </w:rPr>
      </w:pPr>
      <w:r>
        <w:rPr>
          <w:rFonts w:ascii="Arial" w:eastAsia="Times New Roman" w:hAnsi="Arial" w:cs="Arial"/>
          <w:b/>
        </w:rPr>
        <w:t xml:space="preserve">Table </w:t>
      </w:r>
      <w:r>
        <w:rPr>
          <w:rFonts w:eastAsia="Times New Roman"/>
          <w:b/>
        </w:rPr>
        <w:t>2</w:t>
      </w:r>
      <w:r>
        <w:rPr>
          <w:rFonts w:ascii="Arial" w:eastAsia="Times New Roman" w:hAnsi="Arial" w:cs="Arial"/>
          <w:b/>
        </w:rPr>
        <w:t xml:space="preserve">: </w:t>
      </w:r>
      <w:r>
        <w:rPr>
          <w:rFonts w:ascii="Arial" w:eastAsia="Times New Roman" w:hAnsi="Arial" w:cs="Arial"/>
          <w:b/>
        </w:rPr>
        <w:t>Mean ± Standard Deviation of ATP Levels in EDTA and Lithium Heparin Container.</w:t>
      </w:r>
    </w:p>
    <w:tbl>
      <w:tblPr>
        <w:tblW w:w="835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44"/>
        <w:gridCol w:w="2056"/>
        <w:gridCol w:w="2329"/>
        <w:gridCol w:w="1233"/>
        <w:gridCol w:w="1096"/>
      </w:tblGrid>
      <w:tr w:rsidR="00874DD9" w14:paraId="4658E617" w14:textId="77777777">
        <w:trPr>
          <w:trHeight w:val="935"/>
        </w:trPr>
        <w:tc>
          <w:tcPr>
            <w:tcW w:w="1644" w:type="dxa"/>
            <w:tcBorders>
              <w:top w:val="single" w:sz="4" w:space="0" w:color="000000"/>
              <w:bottom w:val="single" w:sz="4" w:space="0" w:color="000000"/>
            </w:tcBorders>
          </w:tcPr>
          <w:p w14:paraId="0D64D627"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Parameter</w:t>
            </w:r>
          </w:p>
        </w:tc>
        <w:tc>
          <w:tcPr>
            <w:tcW w:w="2056" w:type="dxa"/>
            <w:tcBorders>
              <w:top w:val="single" w:sz="4" w:space="0" w:color="000000"/>
              <w:bottom w:val="single" w:sz="4" w:space="0" w:color="000000"/>
            </w:tcBorders>
          </w:tcPr>
          <w:p w14:paraId="707850AF"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 xml:space="preserve">EDTA </w:t>
            </w:r>
          </w:p>
        </w:tc>
        <w:tc>
          <w:tcPr>
            <w:tcW w:w="2329" w:type="dxa"/>
            <w:tcBorders>
              <w:top w:val="single" w:sz="4" w:space="0" w:color="000000"/>
              <w:bottom w:val="single" w:sz="4" w:space="0" w:color="000000"/>
            </w:tcBorders>
          </w:tcPr>
          <w:p w14:paraId="52BC4475"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 xml:space="preserve"> Lithium Heparin    </w:t>
            </w:r>
          </w:p>
        </w:tc>
        <w:tc>
          <w:tcPr>
            <w:tcW w:w="1233" w:type="dxa"/>
            <w:tcBorders>
              <w:top w:val="single" w:sz="4" w:space="0" w:color="000000"/>
              <w:bottom w:val="single" w:sz="4" w:space="0" w:color="000000"/>
            </w:tcBorders>
          </w:tcPr>
          <w:p w14:paraId="1B9B1226"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 xml:space="preserve">t-value         </w:t>
            </w:r>
          </w:p>
        </w:tc>
        <w:tc>
          <w:tcPr>
            <w:tcW w:w="1096" w:type="dxa"/>
            <w:tcBorders>
              <w:top w:val="single" w:sz="4" w:space="0" w:color="000000"/>
              <w:bottom w:val="single" w:sz="4" w:space="0" w:color="000000"/>
            </w:tcBorders>
          </w:tcPr>
          <w:p w14:paraId="271406E2"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p- value</w:t>
            </w:r>
          </w:p>
        </w:tc>
      </w:tr>
      <w:tr w:rsidR="00874DD9" w14:paraId="3DB3E418" w14:textId="77777777">
        <w:trPr>
          <w:trHeight w:val="916"/>
        </w:trPr>
        <w:tc>
          <w:tcPr>
            <w:tcW w:w="1644" w:type="dxa"/>
            <w:tcBorders>
              <w:top w:val="single" w:sz="4" w:space="0" w:color="000000"/>
            </w:tcBorders>
          </w:tcPr>
          <w:p w14:paraId="5B7FDFF6"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lastRenderedPageBreak/>
              <w:t>ATP</w:t>
            </w:r>
            <w:r>
              <w:rPr>
                <w:rFonts w:eastAsia="Times New Roman"/>
                <w:sz w:val="20"/>
                <w:szCs w:val="20"/>
              </w:rPr>
              <w:t xml:space="preserve"> </w:t>
            </w:r>
            <w:r>
              <w:rPr>
                <w:rFonts w:ascii="Arial" w:eastAsia="Times New Roman" w:hAnsi="Arial" w:cs="Arial"/>
                <w:sz w:val="20"/>
                <w:szCs w:val="20"/>
              </w:rPr>
              <w:t>(nmol/L)</w:t>
            </w:r>
          </w:p>
        </w:tc>
        <w:tc>
          <w:tcPr>
            <w:tcW w:w="2056" w:type="dxa"/>
            <w:tcBorders>
              <w:top w:val="single" w:sz="4" w:space="0" w:color="000000"/>
            </w:tcBorders>
          </w:tcPr>
          <w:p w14:paraId="53BFD7E0"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846.19 ± 94.537</w:t>
            </w:r>
          </w:p>
        </w:tc>
        <w:tc>
          <w:tcPr>
            <w:tcW w:w="2329" w:type="dxa"/>
            <w:tcBorders>
              <w:top w:val="single" w:sz="4" w:space="0" w:color="000000"/>
            </w:tcBorders>
          </w:tcPr>
          <w:p w14:paraId="01C9A1B8"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 xml:space="preserve">589.612 ± 61.925       </w:t>
            </w:r>
          </w:p>
        </w:tc>
        <w:tc>
          <w:tcPr>
            <w:tcW w:w="1233" w:type="dxa"/>
            <w:tcBorders>
              <w:top w:val="single" w:sz="4" w:space="0" w:color="000000"/>
            </w:tcBorders>
          </w:tcPr>
          <w:p w14:paraId="2F4DAE31" w14:textId="77777777" w:rsidR="00874DD9" w:rsidRDefault="00F914F3">
            <w:pPr>
              <w:spacing w:line="600" w:lineRule="auto"/>
              <w:jc w:val="both"/>
              <w:rPr>
                <w:rFonts w:ascii="Arial" w:eastAsia="Times New Roman" w:hAnsi="Arial" w:cs="Arial"/>
                <w:sz w:val="20"/>
                <w:szCs w:val="20"/>
              </w:rPr>
            </w:pPr>
            <w:r>
              <w:rPr>
                <w:rFonts w:ascii="Arial" w:eastAsia="Times New Roman" w:hAnsi="Arial" w:cs="Arial"/>
                <w:sz w:val="20"/>
                <w:szCs w:val="20"/>
              </w:rPr>
              <w:t xml:space="preserve">10.153   </w:t>
            </w:r>
          </w:p>
        </w:tc>
        <w:tc>
          <w:tcPr>
            <w:tcW w:w="1096" w:type="dxa"/>
            <w:tcBorders>
              <w:top w:val="single" w:sz="4" w:space="0" w:color="000000"/>
            </w:tcBorders>
          </w:tcPr>
          <w:p w14:paraId="522056EF" w14:textId="77777777" w:rsidR="00874DD9" w:rsidRDefault="00F914F3">
            <w:pPr>
              <w:spacing w:line="600" w:lineRule="auto"/>
              <w:jc w:val="both"/>
              <w:rPr>
                <w:rFonts w:ascii="Arial" w:eastAsia="Times New Roman" w:hAnsi="Arial" w:cs="Arial"/>
                <w:sz w:val="20"/>
                <w:szCs w:val="20"/>
              </w:rPr>
            </w:pPr>
            <w:r>
              <w:rPr>
                <w:rFonts w:ascii="Arial" w:hAnsi="Arial" w:cs="Arial"/>
                <w:sz w:val="20"/>
                <w:szCs w:val="20"/>
              </w:rPr>
              <w:t>0.000</w:t>
            </w:r>
          </w:p>
        </w:tc>
      </w:tr>
    </w:tbl>
    <w:p w14:paraId="39423B52" w14:textId="77777777" w:rsidR="00874DD9" w:rsidRDefault="00F914F3">
      <w:pPr>
        <w:shd w:val="clear" w:color="auto" w:fill="FFFFFF"/>
        <w:spacing w:line="480" w:lineRule="auto"/>
        <w:jc w:val="both"/>
        <w:rPr>
          <w:rFonts w:ascii="Arial" w:eastAsia="Times New Roman" w:hAnsi="Arial" w:cs="Arial"/>
          <w:i/>
          <w:iCs/>
          <w:sz w:val="18"/>
          <w:szCs w:val="18"/>
        </w:rPr>
      </w:pPr>
      <w:r>
        <w:rPr>
          <w:rFonts w:ascii="Arial" w:eastAsia="Times New Roman" w:hAnsi="Arial" w:cs="Arial"/>
          <w:i/>
          <w:iCs/>
          <w:sz w:val="18"/>
          <w:szCs w:val="18"/>
        </w:rPr>
        <w:t>*Statistically significant p&lt;0.05</w:t>
      </w:r>
      <w:r>
        <w:rPr>
          <w:rFonts w:eastAsia="Times New Roman"/>
          <w:i/>
          <w:iCs/>
          <w:sz w:val="18"/>
          <w:szCs w:val="18"/>
        </w:rPr>
        <w:t xml:space="preserve">; </w:t>
      </w:r>
      <w:r>
        <w:rPr>
          <w:rFonts w:ascii="Arial" w:eastAsia="Times New Roman" w:hAnsi="Arial" w:cs="Arial"/>
          <w:i/>
          <w:iCs/>
          <w:sz w:val="18"/>
          <w:szCs w:val="18"/>
        </w:rPr>
        <w:t xml:space="preserve">ATP: </w:t>
      </w:r>
      <w:r>
        <w:rPr>
          <w:rFonts w:ascii="Arial" w:eastAsia="Times New Roman" w:hAnsi="Arial" w:cs="Arial"/>
          <w:i/>
          <w:iCs/>
          <w:sz w:val="18"/>
          <w:szCs w:val="18"/>
        </w:rPr>
        <w:t>Adenosine triphosphate (nmol/L)</w:t>
      </w:r>
      <w:r>
        <w:rPr>
          <w:rFonts w:eastAsia="Times New Roman"/>
          <w:i/>
          <w:iCs/>
          <w:sz w:val="18"/>
          <w:szCs w:val="18"/>
        </w:rPr>
        <w:t>; EDTA: Ethylene diamine tetra acetic acid</w:t>
      </w:r>
    </w:p>
    <w:p w14:paraId="3CEA8105" w14:textId="77777777" w:rsidR="00874DD9" w:rsidRDefault="00874DD9">
      <w:pPr>
        <w:spacing w:before="100" w:beforeAutospacing="1" w:after="0" w:line="240" w:lineRule="auto"/>
        <w:jc w:val="both"/>
        <w:rPr>
          <w:rFonts w:ascii="Arial" w:eastAsia="Times New Roman" w:hAnsi="Arial" w:cs="Arial"/>
          <w:color w:val="1B1C1D"/>
          <w:sz w:val="20"/>
          <w:szCs w:val="20"/>
          <w:bdr w:val="none" w:sz="0" w:space="0" w:color="auto" w:frame="1"/>
        </w:rPr>
      </w:pPr>
    </w:p>
    <w:p w14:paraId="0B647A8E"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Their accurate measurement in blood samples is essential for various diagnostic and research applications. In contrast, lithium heparin primarily inhibits thrombin but does not chel</w:t>
      </w:r>
      <w:r>
        <w:rPr>
          <w:rFonts w:ascii="Arial" w:eastAsia="Times New Roman" w:hAnsi="Arial" w:cs="Arial"/>
          <w:color w:val="1B1C1D"/>
          <w:sz w:val="20"/>
          <w:szCs w:val="20"/>
          <w:bdr w:val="none" w:sz="0" w:space="0" w:color="auto" w:frame="1"/>
        </w:rPr>
        <w:t>ate calcium, allowing some degree of platelet activation, which may lead to nucleotide consumption or degradation over time [10]. Hence, the lower levels of ATP observed in the samples preserved in lithium heparin are due to the continuous occurrence of ca</w:t>
      </w:r>
      <w:r>
        <w:rPr>
          <w:rFonts w:ascii="Arial" w:eastAsia="Times New Roman" w:hAnsi="Arial" w:cs="Arial"/>
          <w:color w:val="1B1C1D"/>
          <w:sz w:val="20"/>
          <w:szCs w:val="20"/>
          <w:bdr w:val="none" w:sz="0" w:space="0" w:color="auto" w:frame="1"/>
        </w:rPr>
        <w:t>lcium-dependent processes which result in the breakdown of ATP. Since it does not fully prevent calcium-dependent metabolic reactions, residual enzymatic activity may continue, leading to ATP hydrolysis. This explains why ATP levels were lower in lithium h</w:t>
      </w:r>
      <w:r>
        <w:rPr>
          <w:rFonts w:ascii="Arial" w:eastAsia="Times New Roman" w:hAnsi="Arial" w:cs="Arial"/>
          <w:color w:val="1B1C1D"/>
          <w:sz w:val="20"/>
          <w:szCs w:val="20"/>
          <w:bdr w:val="none" w:sz="0" w:space="0" w:color="auto" w:frame="1"/>
        </w:rPr>
        <w:t>eparin samples compared to EDTA-stabilized samples. The presence of active platelets in lithium heparin samples can also contribute to ATP depletion, as activated platelets consume ATP during aggregation and secretion processes. The mechanism of ATP hydrol</w:t>
      </w:r>
      <w:r>
        <w:rPr>
          <w:rFonts w:ascii="Arial" w:eastAsia="Times New Roman" w:hAnsi="Arial" w:cs="Arial"/>
          <w:color w:val="1B1C1D"/>
          <w:sz w:val="20"/>
          <w:szCs w:val="20"/>
          <w:bdr w:val="none" w:sz="0" w:space="0" w:color="auto" w:frame="1"/>
        </w:rPr>
        <w:t>ysis further explains these differences. According to Dittrich [11], ATP breakdown is facilitated by ATPases, which hydrolyze ATP into ADP and inorganic phosphate. This process is essential for various physiological functions but can lead to unwanted ATP d</w:t>
      </w:r>
      <w:r>
        <w:rPr>
          <w:rFonts w:ascii="Arial" w:eastAsia="Times New Roman" w:hAnsi="Arial" w:cs="Arial"/>
          <w:color w:val="1B1C1D"/>
          <w:sz w:val="20"/>
          <w:szCs w:val="20"/>
          <w:bdr w:val="none" w:sz="0" w:space="0" w:color="auto" w:frame="1"/>
        </w:rPr>
        <w:t xml:space="preserve">egradation in stored blood samples. Since calcium is a key regulator of ATPase activity, the presence of free calcium in lithium heparin samples likely accelerates ATP breakdown, whereas EDTA inhibits this process by chelating calcium. </w:t>
      </w:r>
    </w:p>
    <w:p w14:paraId="28BE55FB"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This study also sug</w:t>
      </w:r>
      <w:r>
        <w:rPr>
          <w:rFonts w:ascii="Arial" w:eastAsia="Times New Roman" w:hAnsi="Arial" w:cs="Arial"/>
          <w:color w:val="1B1C1D"/>
          <w:sz w:val="20"/>
          <w:szCs w:val="20"/>
          <w:bdr w:val="none" w:sz="0" w:space="0" w:color="auto" w:frame="1"/>
        </w:rPr>
        <w:t>gests that ADP as a byproduct of ATP, also exhibited greater stability in EDTA compared to lithium heparin. Adenosine diphosphate (ADP) plays a crucial role in platelet activation and aggregation, which are essential steps in blood clot formation (hemostas</w:t>
      </w:r>
      <w:r>
        <w:rPr>
          <w:rFonts w:ascii="Arial" w:eastAsia="Times New Roman" w:hAnsi="Arial" w:cs="Arial"/>
          <w:color w:val="1B1C1D"/>
          <w:sz w:val="20"/>
          <w:szCs w:val="20"/>
          <w:bdr w:val="none" w:sz="0" w:space="0" w:color="auto" w:frame="1"/>
        </w:rPr>
        <w:t>is). When blood vessels are damaged, subendothelial collagen and tissue factor are exposed, triggering platelet adhesion and activation. Upon activation, platelets undergo a shape change and release their stored contents, including ADP, from their dense gr</w:t>
      </w:r>
      <w:r>
        <w:rPr>
          <w:rFonts w:ascii="Arial" w:eastAsia="Times New Roman" w:hAnsi="Arial" w:cs="Arial"/>
          <w:color w:val="1B1C1D"/>
          <w:sz w:val="20"/>
          <w:szCs w:val="20"/>
          <w:bdr w:val="none" w:sz="0" w:space="0" w:color="auto" w:frame="1"/>
        </w:rPr>
        <w:t>anules into the surrounding plasma. This released ADP acts as a potent signaling molecule that further amplifies platelet activation by binding to specific ADP receptors on the platelet surface. Since ADP plays a crucial role in platelet activation and agg</w:t>
      </w:r>
      <w:r>
        <w:rPr>
          <w:rFonts w:ascii="Arial" w:eastAsia="Times New Roman" w:hAnsi="Arial" w:cs="Arial"/>
          <w:color w:val="1B1C1D"/>
          <w:sz w:val="20"/>
          <w:szCs w:val="20"/>
          <w:bdr w:val="none" w:sz="0" w:space="0" w:color="auto" w:frame="1"/>
        </w:rPr>
        <w:t>regation, its levels in blood samples are highly dependent on platelet integrity and activation status. The inhibition of platelet activation by EDTA likely prevents unnecessary ADP release, maintaining higher ADP stability in these samples. Conversely, li</w:t>
      </w:r>
      <w:r>
        <w:rPr>
          <w:rFonts w:ascii="Arial" w:eastAsia="Times New Roman" w:hAnsi="Arial" w:cs="Arial"/>
          <w:color w:val="1B1C1D"/>
          <w:sz w:val="20"/>
          <w:szCs w:val="20"/>
          <w:bdr w:val="none" w:sz="0" w:space="0" w:color="auto" w:frame="1"/>
        </w:rPr>
        <w:t>thium heparin allows some degree of platelet activation due to the presence of unchelated calcium. Platelet activation triggers the secretion of dense granules containing ADP, which subsequently amplifies the activation process and promotes further ADP con</w:t>
      </w:r>
      <w:r>
        <w:rPr>
          <w:rFonts w:ascii="Arial" w:eastAsia="Times New Roman" w:hAnsi="Arial" w:cs="Arial"/>
          <w:color w:val="1B1C1D"/>
          <w:sz w:val="20"/>
          <w:szCs w:val="20"/>
          <w:bdr w:val="none" w:sz="0" w:space="0" w:color="auto" w:frame="1"/>
        </w:rPr>
        <w:t xml:space="preserve">sumption [12]. This may explain why ADP levels were lower in lithium heparin samples compared to EDTA-stabilized samples. Additionally, ADP breakdown is facilitated by ectonucleotidases such as CD39, which convert ADP to AMP and adenosine. The activity of </w:t>
      </w:r>
      <w:r>
        <w:rPr>
          <w:rFonts w:ascii="Arial" w:eastAsia="Times New Roman" w:hAnsi="Arial" w:cs="Arial"/>
          <w:color w:val="1B1C1D"/>
          <w:sz w:val="20"/>
          <w:szCs w:val="20"/>
          <w:bdr w:val="none" w:sz="0" w:space="0" w:color="auto" w:frame="1"/>
        </w:rPr>
        <w:t>these enzymes is influenced by calcium availability, meaning that their action is likely more pronounced in lithium heparin samples than in EDTA-treated samples [13][14]. This enzymatic degradation contributes to the lower ADP levels observed in lithium he</w:t>
      </w:r>
      <w:r>
        <w:rPr>
          <w:rFonts w:ascii="Arial" w:eastAsia="Times New Roman" w:hAnsi="Arial" w:cs="Arial"/>
          <w:color w:val="1B1C1D"/>
          <w:sz w:val="20"/>
          <w:szCs w:val="20"/>
          <w:bdr w:val="none" w:sz="0" w:space="0" w:color="auto" w:frame="1"/>
        </w:rPr>
        <w:t xml:space="preserve">parin samples. </w:t>
      </w:r>
    </w:p>
    <w:p w14:paraId="28F54119"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The choice of anticoagulant can significantly affect platelet activation status, thus impacting ATP and ADP levels. The results of this study reveal that EDTA prevents platelet activation more effectively than lithium heparin, leading to hi</w:t>
      </w:r>
      <w:r>
        <w:rPr>
          <w:rFonts w:ascii="Arial" w:eastAsia="Times New Roman" w:hAnsi="Arial" w:cs="Arial"/>
          <w:color w:val="1B1C1D"/>
          <w:sz w:val="20"/>
          <w:szCs w:val="20"/>
          <w:bdr w:val="none" w:sz="0" w:space="0" w:color="auto" w:frame="1"/>
        </w:rPr>
        <w:t>gher ATP and ADP stability. EDTA functions by chelating calcium ions, which are necessary for platelet aggregation and activation. Without calcium, platelet activation pathways are inhibited, reducing the release and subsequent breakdown of ATP and ADP. On</w:t>
      </w:r>
      <w:r>
        <w:rPr>
          <w:rFonts w:ascii="Arial" w:eastAsia="Times New Roman" w:hAnsi="Arial" w:cs="Arial"/>
          <w:color w:val="1B1C1D"/>
          <w:sz w:val="20"/>
          <w:szCs w:val="20"/>
          <w:bdr w:val="none" w:sz="0" w:space="0" w:color="auto" w:frame="1"/>
        </w:rPr>
        <w:t xml:space="preserve"> the other hand, lithium heparin, while effective in preventing clot formation by inhibiting thrombin and factor Xa as suggested by [15], does not completely prevent platelet activation [10]. The residual platelet activity in heparinized blood samples coul</w:t>
      </w:r>
      <w:r>
        <w:rPr>
          <w:rFonts w:ascii="Arial" w:eastAsia="Times New Roman" w:hAnsi="Arial" w:cs="Arial"/>
          <w:color w:val="1B1C1D"/>
          <w:sz w:val="20"/>
          <w:szCs w:val="20"/>
          <w:bdr w:val="none" w:sz="0" w:space="0" w:color="auto" w:frame="1"/>
        </w:rPr>
        <w:t xml:space="preserve">d explain the lower ATP and ADP concentrations observed in this study. Lithium heparinized samples may undergo ongoing metabolic processes due to the presence of functional calcium ions, leading to continued ATP hydrolysis [16]. </w:t>
      </w:r>
    </w:p>
    <w:p w14:paraId="63CF176C" w14:textId="77777777" w:rsidR="00874DD9" w:rsidRDefault="00F914F3">
      <w:pPr>
        <w:spacing w:before="100" w:beforeAutospacing="1" w:after="0" w:line="240" w:lineRule="auto"/>
        <w:jc w:val="both"/>
        <w:rPr>
          <w:rFonts w:ascii="Arial" w:eastAsia="Times New Roman" w:hAnsi="Arial" w:cs="Arial"/>
          <w:color w:val="1B1C1D"/>
          <w:sz w:val="20"/>
          <w:szCs w:val="20"/>
        </w:rPr>
      </w:pPr>
      <w:r>
        <w:rPr>
          <w:rFonts w:ascii="Arial" w:eastAsia="Times New Roman" w:hAnsi="Arial" w:cs="Arial"/>
          <w:color w:val="1B1C1D"/>
          <w:sz w:val="20"/>
          <w:szCs w:val="20"/>
          <w:bdr w:val="none" w:sz="0" w:space="0" w:color="auto" w:frame="1"/>
        </w:rPr>
        <w:lastRenderedPageBreak/>
        <w:t>This suggests that blood s</w:t>
      </w:r>
      <w:r>
        <w:rPr>
          <w:rFonts w:ascii="Arial" w:eastAsia="Times New Roman" w:hAnsi="Arial" w:cs="Arial"/>
          <w:color w:val="1B1C1D"/>
          <w:sz w:val="20"/>
          <w:szCs w:val="20"/>
          <w:bdr w:val="none" w:sz="0" w:space="0" w:color="auto" w:frame="1"/>
        </w:rPr>
        <w:t>amples collected in lithium heparin tubes may be less suitable for studies requiring stable ATP and ADP measurements, particularly those focused on platelet function or energy metabolism. The results of this study emphasizes that EDTA provides a more contr</w:t>
      </w:r>
      <w:r>
        <w:rPr>
          <w:rFonts w:ascii="Arial" w:eastAsia="Times New Roman" w:hAnsi="Arial" w:cs="Arial"/>
          <w:color w:val="1B1C1D"/>
          <w:sz w:val="20"/>
          <w:szCs w:val="20"/>
          <w:bdr w:val="none" w:sz="0" w:space="0" w:color="auto" w:frame="1"/>
        </w:rPr>
        <w:t>olled environment for ATP and ADP analysis. However, the rapid processing of blood samples is also essential to minimize degradation, as enzymatic activity continues even in the presence of anticoagulants. The differences in ATP and ADP levels between EDTA</w:t>
      </w:r>
      <w:r>
        <w:rPr>
          <w:rFonts w:ascii="Arial" w:eastAsia="Times New Roman" w:hAnsi="Arial" w:cs="Arial"/>
          <w:color w:val="1B1C1D"/>
          <w:sz w:val="20"/>
          <w:szCs w:val="20"/>
          <w:bdr w:val="none" w:sz="0" w:space="0" w:color="auto" w:frame="1"/>
        </w:rPr>
        <w:t xml:space="preserve"> and lithium heparin tubes have important implications for clinical and research applications. In clinical diagnostics, ATP and ADP measurements are essential for evaluating platelet function, especially in disorders of platelet dense granule secretion [17</w:t>
      </w:r>
      <w:r>
        <w:rPr>
          <w:rFonts w:ascii="Arial" w:eastAsia="Times New Roman" w:hAnsi="Arial" w:cs="Arial"/>
          <w:color w:val="1B1C1D"/>
          <w:sz w:val="20"/>
          <w:szCs w:val="20"/>
          <w:bdr w:val="none" w:sz="0" w:space="0" w:color="auto" w:frame="1"/>
        </w:rPr>
        <w:t>]. The findings of this study suggest that EDTA is preferred over lithium heparin for assays requiring stable ATP and ADP levels, particularly in platelet function tests and biochemical studies involving nucleotide analysis.</w:t>
      </w:r>
    </w:p>
    <w:p w14:paraId="1AC2850B" w14:textId="77777777" w:rsidR="00874DD9" w:rsidRDefault="00F914F3">
      <w:pPr>
        <w:spacing w:before="100" w:beforeAutospacing="1" w:after="0" w:line="240" w:lineRule="auto"/>
        <w:jc w:val="both"/>
        <w:rPr>
          <w:rFonts w:ascii="Arial" w:eastAsia="Times New Roman" w:hAnsi="Arial" w:cs="Arial"/>
          <w:b/>
          <w:bCs/>
          <w:color w:val="1B1C1D"/>
          <w:bdr w:val="none" w:sz="0" w:space="0" w:color="auto" w:frame="1"/>
        </w:rPr>
      </w:pPr>
      <w:r>
        <w:rPr>
          <w:rFonts w:ascii="Arial" w:eastAsia="Times New Roman" w:hAnsi="Arial" w:cs="Arial"/>
          <w:b/>
          <w:bCs/>
          <w:color w:val="1B1C1D"/>
          <w:bdr w:val="none" w:sz="0" w:space="0" w:color="auto" w:frame="1"/>
        </w:rPr>
        <w:t>CONCLUSION</w:t>
      </w:r>
    </w:p>
    <w:p w14:paraId="3376C5AC" w14:textId="77777777" w:rsidR="00874DD9" w:rsidRDefault="00F914F3">
      <w:pPr>
        <w:spacing w:before="100" w:beforeAutospacing="1" w:after="0" w:line="240" w:lineRule="auto"/>
        <w:jc w:val="both"/>
        <w:rPr>
          <w:rFonts w:ascii="Arial" w:eastAsia="Times New Roman" w:hAnsi="Arial" w:cs="Arial"/>
          <w:color w:val="1B1C1D"/>
          <w:sz w:val="20"/>
          <w:szCs w:val="20"/>
          <w:bdr w:val="none" w:sz="0" w:space="0" w:color="auto" w:frame="1"/>
        </w:rPr>
      </w:pPr>
      <w:r>
        <w:rPr>
          <w:rFonts w:ascii="Arial" w:eastAsia="Times New Roman" w:hAnsi="Arial" w:cs="Arial"/>
          <w:color w:val="1B1C1D"/>
          <w:sz w:val="20"/>
          <w:szCs w:val="20"/>
          <w:bdr w:val="none" w:sz="0" w:space="0" w:color="auto" w:frame="1"/>
        </w:rPr>
        <w:t>This study demonstra</w:t>
      </w:r>
      <w:r>
        <w:rPr>
          <w:rFonts w:ascii="Arial" w:eastAsia="Times New Roman" w:hAnsi="Arial" w:cs="Arial"/>
          <w:color w:val="1B1C1D"/>
          <w:sz w:val="20"/>
          <w:szCs w:val="20"/>
          <w:bdr w:val="none" w:sz="0" w:space="0" w:color="auto" w:frame="1"/>
        </w:rPr>
        <w:t>ted that EDTA provides superior preservation of ATP and ADP levels in blood samples compared to lithium heparin, likely due to its calcium-chelating properties that inhibit platelet activation and nucleotide degradation. The significant differences observe</w:t>
      </w:r>
      <w:r>
        <w:rPr>
          <w:rFonts w:ascii="Arial" w:eastAsia="Times New Roman" w:hAnsi="Arial" w:cs="Arial"/>
          <w:color w:val="1B1C1D"/>
          <w:sz w:val="20"/>
          <w:szCs w:val="20"/>
          <w:bdr w:val="none" w:sz="0" w:space="0" w:color="auto" w:frame="1"/>
        </w:rPr>
        <w:t xml:space="preserve">d highlight the importance of anticoagulant selection in biochemical and clinical analyses. These findings support the use of EDTA for studies requiring stable ATP and ADP measurements. </w:t>
      </w:r>
    </w:p>
    <w:p w14:paraId="4627D53A" w14:textId="77777777" w:rsidR="003A3DA4" w:rsidRDefault="003A3DA4">
      <w:pPr>
        <w:spacing w:before="100" w:beforeAutospacing="1" w:after="0" w:line="240" w:lineRule="auto"/>
        <w:jc w:val="both"/>
        <w:rPr>
          <w:rFonts w:ascii="Arial" w:eastAsia="Times New Roman" w:hAnsi="Arial" w:cs="Arial"/>
          <w:b/>
          <w:bCs/>
          <w:color w:val="1B1C1D"/>
          <w:bdr w:val="none" w:sz="0" w:space="0" w:color="auto" w:frame="1"/>
        </w:rPr>
      </w:pPr>
    </w:p>
    <w:p w14:paraId="3E01B36B" w14:textId="043A2847" w:rsidR="00874DD9" w:rsidRDefault="00F914F3">
      <w:pPr>
        <w:spacing w:before="100" w:beforeAutospacing="1" w:after="0" w:line="240" w:lineRule="auto"/>
        <w:jc w:val="both"/>
        <w:rPr>
          <w:rFonts w:ascii="Arial" w:eastAsia="Times New Roman" w:hAnsi="Arial" w:cs="Arial"/>
          <w:color w:val="1B1C1D"/>
        </w:rPr>
      </w:pPr>
      <w:bookmarkStart w:id="0" w:name="_GoBack"/>
      <w:bookmarkEnd w:id="0"/>
      <w:r>
        <w:rPr>
          <w:rFonts w:ascii="Arial" w:eastAsia="Times New Roman" w:hAnsi="Arial" w:cs="Arial"/>
          <w:b/>
          <w:bCs/>
          <w:color w:val="1B1C1D"/>
          <w:bdr w:val="none" w:sz="0" w:space="0" w:color="auto" w:frame="1"/>
        </w:rPr>
        <w:t>CONSENT</w:t>
      </w:r>
    </w:p>
    <w:p w14:paraId="624CEB22" w14:textId="77777777" w:rsidR="00874DD9" w:rsidRDefault="00F914F3">
      <w:p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All authors declare that written informed consent was obtained from the participants for publication of this case report and accompanying images. </w:t>
      </w:r>
      <w:r>
        <w:rPr>
          <w:rFonts w:ascii="Arial" w:eastAsia="Times New Roman" w:hAnsi="Arial" w:cs="Arial"/>
          <w:color w:val="1B1C1D"/>
          <w:bdr w:val="none" w:sz="0" w:space="0" w:color="auto" w:frame="1"/>
        </w:rPr>
        <w:t xml:space="preserve">A copy of the written consent is available for review by the Editorial office/Chief </w:t>
      </w:r>
      <w:r>
        <w:rPr>
          <w:rFonts w:ascii="Arial" w:eastAsia="Times New Roman" w:hAnsi="Arial" w:cs="Arial"/>
          <w:color w:val="1B1C1D"/>
          <w:bdr w:val="none" w:sz="0" w:space="0" w:color="auto" w:frame="1"/>
        </w:rPr>
        <w:t>Editor/Editorial Board members of this journal.</w:t>
      </w:r>
    </w:p>
    <w:p w14:paraId="3BE55A55" w14:textId="77777777" w:rsidR="00874DD9" w:rsidRDefault="00F914F3">
      <w:pPr>
        <w:spacing w:before="100" w:beforeAutospacing="1" w:after="0" w:line="240" w:lineRule="auto"/>
        <w:jc w:val="both"/>
        <w:rPr>
          <w:rFonts w:ascii="Arial" w:eastAsia="Times New Roman" w:hAnsi="Arial" w:cs="Arial"/>
          <w:color w:val="1B1C1D"/>
        </w:rPr>
      </w:pPr>
      <w:r>
        <w:rPr>
          <w:rFonts w:ascii="Arial" w:eastAsia="Times New Roman" w:hAnsi="Arial" w:cs="Arial"/>
          <w:b/>
          <w:bCs/>
          <w:color w:val="1B1C1D"/>
          <w:bdr w:val="none" w:sz="0" w:space="0" w:color="auto" w:frame="1"/>
        </w:rPr>
        <w:t>ETHICAL APPROVAL (wherever applicable)</w:t>
      </w:r>
    </w:p>
    <w:p w14:paraId="68C746B1" w14:textId="77777777" w:rsidR="00874DD9" w:rsidRDefault="00F914F3">
      <w:pPr>
        <w:spacing w:before="100" w:beforeAutospacing="1" w:after="0" w:line="240" w:lineRule="auto"/>
        <w:jc w:val="both"/>
        <w:rPr>
          <w:rFonts w:ascii="Arial" w:eastAsia="Times New Roman" w:hAnsi="Arial" w:cs="Arial"/>
          <w:color w:val="1B1C1D"/>
        </w:rPr>
      </w:pPr>
      <w:r>
        <w:rPr>
          <w:rFonts w:ascii="Arial" w:eastAsia="Times New Roman" w:hAnsi="Arial" w:cs="Arial"/>
          <w:color w:val="1B1C1D"/>
          <w:bdr w:val="none" w:sz="0" w:space="0" w:color="auto" w:frame="1"/>
        </w:rPr>
        <w:t xml:space="preserve">All authors hereby declare that all experiments have been examined and approved by the appropriate ethics committee and have therefore been performed in accordance with </w:t>
      </w:r>
      <w:r>
        <w:rPr>
          <w:rFonts w:ascii="Arial" w:eastAsia="Times New Roman" w:hAnsi="Arial" w:cs="Arial"/>
          <w:color w:val="1B1C1D"/>
          <w:bdr w:val="none" w:sz="0" w:space="0" w:color="auto" w:frame="1"/>
        </w:rPr>
        <w:t>the ethical standards laid down in the 1964 Declaration of Helsinki.</w:t>
      </w:r>
    </w:p>
    <w:p w14:paraId="3FEFF002" w14:textId="77777777" w:rsidR="00874DD9" w:rsidRDefault="00F914F3">
      <w:pPr>
        <w:spacing w:before="100" w:beforeAutospacing="1" w:after="0" w:line="240" w:lineRule="auto"/>
        <w:jc w:val="both"/>
        <w:rPr>
          <w:rFonts w:ascii="Arial" w:eastAsia="Times New Roman" w:hAnsi="Arial" w:cs="Arial"/>
          <w:color w:val="1B1C1D"/>
        </w:rPr>
      </w:pPr>
      <w:r>
        <w:rPr>
          <w:rFonts w:ascii="Arial" w:eastAsia="Times New Roman" w:hAnsi="Arial" w:cs="Arial"/>
          <w:b/>
          <w:bCs/>
          <w:color w:val="1B1C1D"/>
          <w:bdr w:val="none" w:sz="0" w:space="0" w:color="auto" w:frame="1"/>
        </w:rPr>
        <w:t>REFERENCES</w:t>
      </w:r>
    </w:p>
    <w:p w14:paraId="72D7524B"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bookmarkStart w:id="1" w:name="_Hlk204580887"/>
      <w:r>
        <w:rPr>
          <w:rFonts w:ascii="Arial" w:eastAsia="Times New Roman" w:hAnsi="Arial" w:cs="Arial"/>
          <w:color w:val="1B1C1D"/>
        </w:rPr>
        <w:t xml:space="preserve">Orsi, W. D. (2023). A rapid method for measuring ATP + ADP + AMP in marine sediment. </w:t>
      </w:r>
      <w:r>
        <w:rPr>
          <w:rFonts w:ascii="Arial" w:eastAsia="Times New Roman" w:hAnsi="Arial" w:cs="Arial"/>
          <w:i/>
          <w:iCs/>
          <w:color w:val="1B1C1D"/>
          <w:bdr w:val="none" w:sz="0" w:space="0" w:color="auto" w:frame="1"/>
        </w:rPr>
        <w:t>Environmental Microbiology</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25</w:t>
      </w:r>
      <w:r>
        <w:rPr>
          <w:rFonts w:ascii="Arial" w:eastAsia="Times New Roman" w:hAnsi="Arial" w:cs="Arial"/>
          <w:color w:val="1B1C1D"/>
          <w:bdr w:val="none" w:sz="0" w:space="0" w:color="auto" w:frame="1"/>
        </w:rPr>
        <w:t>(8), 1549–1558</w:t>
      </w:r>
      <w:r>
        <w:rPr>
          <w:rFonts w:ascii="Arial" w:eastAsia="Times New Roman" w:hAnsi="Arial" w:cs="Arial"/>
          <w:color w:val="1B1C1D"/>
        </w:rPr>
        <w:t>.</w:t>
      </w:r>
    </w:p>
    <w:p w14:paraId="497CF1B8"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Dunn, J., &amp; Grider, M. H. (2023). Physiology,</w:t>
      </w:r>
      <w:r>
        <w:rPr>
          <w:rFonts w:ascii="Arial" w:eastAsia="Times New Roman" w:hAnsi="Arial" w:cs="Arial"/>
          <w:color w:val="1B1C1D"/>
        </w:rPr>
        <w:t xml:space="preserve"> Adenosine Triphosphate. PubMed; StatPearlsPublishing. https://www.ncbi.nlm.nih.gov/books/NBK553175/. Accessed January 18, 2025102.</w:t>
      </w:r>
    </w:p>
    <w:p w14:paraId="5951FE07"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Alberts, B., Johnson, A., Lewis, J., Raff, M., Roberts, K., &amp; Walter, P. (2014). </w:t>
      </w:r>
      <w:r>
        <w:rPr>
          <w:rFonts w:ascii="Arial" w:eastAsia="Times New Roman" w:hAnsi="Arial" w:cs="Arial"/>
          <w:i/>
          <w:iCs/>
          <w:color w:val="1B1C1D"/>
          <w:bdr w:val="none" w:sz="0" w:space="0" w:color="auto" w:frame="1"/>
        </w:rPr>
        <w:t>Molecular biology of the cell</w:t>
      </w:r>
      <w:r>
        <w:rPr>
          <w:rFonts w:ascii="Arial" w:eastAsia="Times New Roman" w:hAnsi="Arial" w:cs="Arial"/>
          <w:color w:val="1B1C1D"/>
        </w:rPr>
        <w:t xml:space="preserve"> (6th ed.). </w:t>
      </w:r>
      <w:r>
        <w:rPr>
          <w:rFonts w:ascii="Arial" w:eastAsia="Times New Roman" w:hAnsi="Arial" w:cs="Arial"/>
          <w:color w:val="1B1C1D"/>
          <w:bdr w:val="none" w:sz="0" w:space="0" w:color="auto" w:frame="1"/>
        </w:rPr>
        <w:t>Ga</w:t>
      </w:r>
      <w:r>
        <w:rPr>
          <w:rFonts w:ascii="Arial" w:eastAsia="Times New Roman" w:hAnsi="Arial" w:cs="Arial"/>
          <w:color w:val="1B1C1D"/>
          <w:bdr w:val="none" w:sz="0" w:space="0" w:color="auto" w:frame="1"/>
        </w:rPr>
        <w:t>rland Science</w:t>
      </w:r>
      <w:r>
        <w:rPr>
          <w:rFonts w:ascii="Arial" w:eastAsia="Times New Roman" w:hAnsi="Arial" w:cs="Arial"/>
          <w:color w:val="1B1C1D"/>
        </w:rPr>
        <w:t>.</w:t>
      </w:r>
    </w:p>
    <w:p w14:paraId="398B38BF" w14:textId="77777777" w:rsidR="00874DD9" w:rsidRDefault="00F914F3">
      <w:pPr>
        <w:pStyle w:val="ListParagraph"/>
        <w:numPr>
          <w:ilvl w:val="0"/>
          <w:numId w:val="1"/>
        </w:numPr>
        <w:spacing w:before="100" w:beforeAutospacing="1" w:after="100" w:afterAutospacing="1" w:line="240" w:lineRule="auto"/>
        <w:jc w:val="both"/>
        <w:rPr>
          <w:rFonts w:ascii="Arial" w:eastAsia="Times New Roman" w:hAnsi="Arial" w:cs="Arial"/>
          <w:color w:val="1B1C1D"/>
        </w:rPr>
      </w:pPr>
      <w:r>
        <w:rPr>
          <w:rFonts w:ascii="Arial" w:eastAsia="Times New Roman" w:hAnsi="Arial" w:cs="Arial"/>
          <w:color w:val="1B1C1D"/>
        </w:rPr>
        <w:t>Guyton, A. C., &amp; Hall, J. E. (2011). Textbook of medical physiology (12th ed.). Elsevier.</w:t>
      </w:r>
    </w:p>
    <w:p w14:paraId="2D0CC7F0" w14:textId="77777777" w:rsidR="00874DD9" w:rsidRDefault="00F914F3">
      <w:pPr>
        <w:pStyle w:val="ListParagraph"/>
        <w:numPr>
          <w:ilvl w:val="0"/>
          <w:numId w:val="1"/>
        </w:numPr>
        <w:spacing w:before="100" w:beforeAutospacing="1" w:after="100" w:afterAutospacing="1" w:line="240" w:lineRule="auto"/>
        <w:jc w:val="both"/>
        <w:rPr>
          <w:rFonts w:ascii="Arial" w:eastAsia="Times New Roman" w:hAnsi="Arial" w:cs="Arial"/>
          <w:color w:val="1B1C1D"/>
        </w:rPr>
      </w:pPr>
      <w:r>
        <w:rPr>
          <w:rFonts w:ascii="Arial" w:eastAsia="Times New Roman" w:hAnsi="Arial" w:cs="Arial"/>
          <w:color w:val="1B1C1D"/>
        </w:rPr>
        <w:t>Buskandar, F., &amp; Moran, N. (2015). Quantification of ATP and ADP levels in platelets from healthy human donors: A potential novel indicator of cardiova</w:t>
      </w:r>
      <w:r>
        <w:rPr>
          <w:rFonts w:ascii="Arial" w:eastAsia="Times New Roman" w:hAnsi="Arial" w:cs="Arial"/>
          <w:color w:val="1B1C1D"/>
        </w:rPr>
        <w:t>scular risk. BMC Proceedings, 9(S1). https://doi.org/10.1186/1753-6561-9-s1-a34. Accessed February 1, 2025100.</w:t>
      </w:r>
    </w:p>
    <w:p w14:paraId="5E5EFFC7"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Juarez-Facio, A. T., de Lagarde, V. M. de, Monteil, C., Vaugeois, J.-M., Corbiere, C., &amp; Rogez-Florent, T. (2021). Validation of a Fast and Simpl</w:t>
      </w:r>
      <w:r>
        <w:rPr>
          <w:rFonts w:ascii="Arial" w:eastAsia="Times New Roman" w:hAnsi="Arial" w:cs="Arial"/>
          <w:color w:val="1B1C1D"/>
        </w:rPr>
        <w:t xml:space="preserve">e HPLC-UV Method for the Quantification of Adenosine Phosphates in Human Bronchial Epithelial Cells. </w:t>
      </w:r>
      <w:r>
        <w:rPr>
          <w:rFonts w:ascii="Arial" w:eastAsia="Times New Roman" w:hAnsi="Arial" w:cs="Arial"/>
          <w:i/>
          <w:iCs/>
          <w:color w:val="1B1C1D"/>
          <w:bdr w:val="none" w:sz="0" w:space="0" w:color="auto" w:frame="1"/>
        </w:rPr>
        <w:t>Molecules</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26</w:t>
      </w:r>
      <w:r>
        <w:rPr>
          <w:rFonts w:ascii="Arial" w:eastAsia="Times New Roman" w:hAnsi="Arial" w:cs="Arial"/>
          <w:color w:val="1B1C1D"/>
          <w:bdr w:val="none" w:sz="0" w:space="0" w:color="auto" w:frame="1"/>
        </w:rPr>
        <w:t>(20), 6324</w:t>
      </w:r>
      <w:r>
        <w:rPr>
          <w:rFonts w:ascii="Arial" w:eastAsia="Times New Roman" w:hAnsi="Arial" w:cs="Arial"/>
          <w:color w:val="1B1C1D"/>
        </w:rPr>
        <w:t>.</w:t>
      </w:r>
    </w:p>
    <w:p w14:paraId="7D875AF8"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lastRenderedPageBreak/>
        <w:t xml:space="preserve">Kozenova, M., &amp; Ravid, A. (2013). Biology of platelet purinergic receptors and implications for platelet heterogeneity. </w:t>
      </w:r>
      <w:r>
        <w:rPr>
          <w:rFonts w:ascii="Arial" w:eastAsia="Times New Roman" w:hAnsi="Arial" w:cs="Arial"/>
          <w:i/>
          <w:iCs/>
          <w:color w:val="1B1C1D"/>
          <w:bdr w:val="none" w:sz="0" w:space="0" w:color="auto" w:frame="1"/>
        </w:rPr>
        <w:t xml:space="preserve">Frontiers </w:t>
      </w:r>
      <w:r>
        <w:rPr>
          <w:rFonts w:ascii="Arial" w:eastAsia="Times New Roman" w:hAnsi="Arial" w:cs="Arial"/>
          <w:i/>
          <w:iCs/>
          <w:color w:val="1B1C1D"/>
          <w:bdr w:val="none" w:sz="0" w:space="0" w:color="auto" w:frame="1"/>
        </w:rPr>
        <w:t>in Pharmacology</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4</w:t>
      </w:r>
      <w:r>
        <w:rPr>
          <w:rFonts w:ascii="Arial" w:eastAsia="Times New Roman" w:hAnsi="Arial" w:cs="Arial"/>
          <w:color w:val="1B1C1D"/>
          <w:bdr w:val="none" w:sz="0" w:space="0" w:color="auto" w:frame="1"/>
        </w:rPr>
        <w:t>, 37</w:t>
      </w:r>
      <w:r>
        <w:rPr>
          <w:rFonts w:ascii="Arial" w:eastAsia="Times New Roman" w:hAnsi="Arial" w:cs="Arial"/>
          <w:color w:val="1B1C1D"/>
        </w:rPr>
        <w:t>.</w:t>
      </w:r>
    </w:p>
    <w:p w14:paraId="4CB9C897"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McNicol, A., &amp; Israels, S. J. (1999). Extracellular ATP metabolism on vascular endothelial cells. </w:t>
      </w:r>
      <w:r>
        <w:rPr>
          <w:rFonts w:ascii="Arial" w:eastAsia="Times New Roman" w:hAnsi="Arial" w:cs="Arial"/>
          <w:i/>
          <w:iCs/>
          <w:color w:val="1B1C1D"/>
          <w:bdr w:val="none" w:sz="0" w:space="0" w:color="auto" w:frame="1"/>
        </w:rPr>
        <w:t>Molecular and Cellular Biochemistry</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198</w:t>
      </w:r>
      <w:r>
        <w:rPr>
          <w:rFonts w:ascii="Arial" w:eastAsia="Times New Roman" w:hAnsi="Arial" w:cs="Arial"/>
          <w:color w:val="1B1C1D"/>
          <w:bdr w:val="none" w:sz="0" w:space="0" w:color="auto" w:frame="1"/>
        </w:rPr>
        <w:t>(1–2), 75–81</w:t>
      </w:r>
      <w:r>
        <w:rPr>
          <w:rFonts w:ascii="Arial" w:eastAsia="Times New Roman" w:hAnsi="Arial" w:cs="Arial"/>
          <w:color w:val="1B1C1D"/>
        </w:rPr>
        <w:t>.</w:t>
      </w:r>
    </w:p>
    <w:p w14:paraId="0E51234C"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bdr w:val="none" w:sz="0" w:space="0" w:color="auto" w:frame="1"/>
        </w:rPr>
      </w:pPr>
      <w:r>
        <w:rPr>
          <w:rFonts w:ascii="Arial" w:eastAsia="Times New Roman" w:hAnsi="Arial" w:cs="Arial"/>
          <w:color w:val="1B1C1D"/>
        </w:rPr>
        <w:t xml:space="preserve">Woulfe, D., Yang, J., &amp; Brass, L. (2001). ADP and platelets: the end of the beginning. </w:t>
      </w:r>
      <w:r>
        <w:rPr>
          <w:rFonts w:ascii="Arial" w:eastAsia="Times New Roman" w:hAnsi="Arial" w:cs="Arial"/>
          <w:i/>
          <w:iCs/>
          <w:color w:val="1B1C1D"/>
          <w:bdr w:val="none" w:sz="0" w:space="0" w:color="auto" w:frame="1"/>
        </w:rPr>
        <w:t>Journal of Clinical Investigation</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107</w:t>
      </w:r>
      <w:r>
        <w:rPr>
          <w:rFonts w:ascii="Arial" w:eastAsia="Times New Roman" w:hAnsi="Arial" w:cs="Arial"/>
          <w:color w:val="1B1C1D"/>
          <w:bdr w:val="none" w:sz="0" w:space="0" w:color="auto" w:frame="1"/>
        </w:rPr>
        <w:t>(12), 1503–1505</w:t>
      </w:r>
    </w:p>
    <w:p w14:paraId="59C3D74D"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Greinacher, A. (2011). Platelet activation by heparin. </w:t>
      </w:r>
      <w:r>
        <w:rPr>
          <w:rFonts w:ascii="Arial" w:eastAsia="Times New Roman" w:hAnsi="Arial" w:cs="Arial"/>
          <w:i/>
          <w:iCs/>
          <w:color w:val="1B1C1D"/>
          <w:bdr w:val="none" w:sz="0" w:space="0" w:color="auto" w:frame="1"/>
        </w:rPr>
        <w:t>Blood</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117</w:t>
      </w:r>
      <w:r>
        <w:rPr>
          <w:rFonts w:ascii="Arial" w:eastAsia="Times New Roman" w:hAnsi="Arial" w:cs="Arial"/>
          <w:color w:val="1B1C1D"/>
          <w:bdr w:val="none" w:sz="0" w:space="0" w:color="auto" w:frame="1"/>
        </w:rPr>
        <w:t xml:space="preserve">(18), 4686–4687. </w:t>
      </w:r>
      <w:hyperlink r:id="rId8" w:tgtFrame="_blank" w:history="1">
        <w:r w:rsidR="00874DD9">
          <w:rPr>
            <w:rFonts w:ascii="Arial" w:eastAsia="Times New Roman" w:hAnsi="Arial" w:cs="Arial"/>
            <w:color w:val="0B57D0"/>
            <w:u w:val="single"/>
            <w:bdr w:val="none" w:sz="0" w:space="0" w:color="auto" w:frame="1"/>
          </w:rPr>
          <w:t>https://doi.org/10.1182/blood-2011-03-341677</w:t>
        </w:r>
      </w:hyperlink>
      <w:r>
        <w:rPr>
          <w:rFonts w:ascii="Arial" w:eastAsia="Times New Roman" w:hAnsi="Arial" w:cs="Arial"/>
          <w:color w:val="1B1C1D"/>
        </w:rPr>
        <w:t>.</w:t>
      </w:r>
    </w:p>
    <w:p w14:paraId="492783C2"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Dittrich, M., Hayashi, S., &amp; Schulten, K. (2003). On the Mechanism of ATP Hydrolysis in F1-ATPase. </w:t>
      </w:r>
      <w:r>
        <w:rPr>
          <w:rFonts w:ascii="Arial" w:eastAsia="Times New Roman" w:hAnsi="Arial" w:cs="Arial"/>
          <w:i/>
          <w:iCs/>
          <w:color w:val="1B1C1D"/>
          <w:bdr w:val="none" w:sz="0" w:space="0" w:color="auto" w:frame="1"/>
        </w:rPr>
        <w:t>Biophysical Journal</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85</w:t>
      </w:r>
      <w:r>
        <w:rPr>
          <w:rFonts w:ascii="Arial" w:eastAsia="Times New Roman" w:hAnsi="Arial" w:cs="Arial"/>
          <w:color w:val="1B1C1D"/>
          <w:bdr w:val="none" w:sz="0" w:space="0" w:color="auto" w:frame="1"/>
        </w:rPr>
        <w:t xml:space="preserve">(4), 2253–2266. </w:t>
      </w:r>
      <w:hyperlink r:id="rId9" w:tgtFrame="_blank" w:history="1">
        <w:r w:rsidR="00874DD9">
          <w:rPr>
            <w:rFonts w:ascii="Arial" w:eastAsia="Times New Roman" w:hAnsi="Arial" w:cs="Arial"/>
            <w:color w:val="0B57D0"/>
            <w:u w:val="single"/>
            <w:bdr w:val="none" w:sz="0" w:space="0" w:color="auto" w:frame="1"/>
          </w:rPr>
          <w:t>https://doi.org/10.1016/s0006-3495(03)74650-5</w:t>
        </w:r>
      </w:hyperlink>
      <w:r>
        <w:rPr>
          <w:rFonts w:ascii="Arial" w:eastAsia="Times New Roman" w:hAnsi="Arial" w:cs="Arial"/>
          <w:color w:val="1B1C1D"/>
        </w:rPr>
        <w:t>.</w:t>
      </w:r>
    </w:p>
    <w:p w14:paraId="0BF67AB4"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bdr w:val="none" w:sz="0" w:space="0" w:color="auto" w:frame="1"/>
        </w:rPr>
      </w:pPr>
      <w:r>
        <w:rPr>
          <w:rFonts w:ascii="Arial" w:eastAsia="Times New Roman" w:hAnsi="Arial" w:cs="Arial"/>
          <w:color w:val="1B1C1D"/>
        </w:rPr>
        <w:t xml:space="preserve">Golebiewska, E. M., &amp; Poole, A. W. (2015). Platelet secretion: From haemostasis to wound healing and beyond. </w:t>
      </w:r>
      <w:r>
        <w:rPr>
          <w:rFonts w:ascii="Arial" w:eastAsia="Times New Roman" w:hAnsi="Arial" w:cs="Arial"/>
          <w:i/>
          <w:iCs/>
          <w:color w:val="1B1C1D"/>
          <w:bdr w:val="none" w:sz="0" w:space="0" w:color="auto" w:frame="1"/>
        </w:rPr>
        <w:t>Blood Reviews</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29</w:t>
      </w:r>
      <w:r>
        <w:rPr>
          <w:rFonts w:ascii="Arial" w:eastAsia="Times New Roman" w:hAnsi="Arial" w:cs="Arial"/>
          <w:color w:val="1B1C1D"/>
          <w:bdr w:val="none" w:sz="0" w:space="0" w:color="auto" w:frame="1"/>
        </w:rPr>
        <w:t>(3), 153–162</w:t>
      </w:r>
    </w:p>
    <w:p w14:paraId="09CDFAF9"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Marcus, A. J., Broekman, M. </w:t>
      </w:r>
      <w:r>
        <w:rPr>
          <w:rFonts w:ascii="Arial" w:eastAsia="Times New Roman" w:hAnsi="Arial" w:cs="Arial"/>
          <w:color w:val="1B1C1D"/>
        </w:rPr>
        <w:t xml:space="preserve">J., Drosopoulos, J. H., Islam, N., Alyonycheva, T. N., Safier, L. B., </w:t>
      </w:r>
      <w:r>
        <w:rPr>
          <w:rFonts w:ascii="Arial" w:eastAsia="Times New Roman" w:hAnsi="Arial" w:cs="Arial"/>
          <w:i/>
          <w:iCs/>
          <w:color w:val="1B1C1D"/>
        </w:rPr>
        <w:t>et al.</w:t>
      </w:r>
      <w:r>
        <w:rPr>
          <w:rFonts w:ascii="Arial" w:eastAsia="Times New Roman" w:hAnsi="Arial" w:cs="Arial"/>
          <w:color w:val="1B1C1D"/>
        </w:rPr>
        <w:t xml:space="preserve"> (1997). The endothelial cell ecto-ADPase responsible for inhibition of platelet function is CD39. </w:t>
      </w:r>
      <w:r>
        <w:rPr>
          <w:rFonts w:ascii="Arial" w:eastAsia="Times New Roman" w:hAnsi="Arial" w:cs="Arial"/>
          <w:i/>
          <w:iCs/>
          <w:color w:val="1B1C1D"/>
          <w:bdr w:val="none" w:sz="0" w:space="0" w:color="auto" w:frame="1"/>
        </w:rPr>
        <w:t>The Journal of Clinical Investigation</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99</w:t>
      </w:r>
      <w:r>
        <w:rPr>
          <w:rFonts w:ascii="Arial" w:eastAsia="Times New Roman" w:hAnsi="Arial" w:cs="Arial"/>
          <w:color w:val="1B1C1D"/>
          <w:bdr w:val="none" w:sz="0" w:space="0" w:color="auto" w:frame="1"/>
        </w:rPr>
        <w:t>(6), 1351–1360</w:t>
      </w:r>
      <w:r>
        <w:rPr>
          <w:rFonts w:ascii="Arial" w:eastAsia="Times New Roman" w:hAnsi="Arial" w:cs="Arial"/>
          <w:color w:val="1B1C1D"/>
        </w:rPr>
        <w:t>.</w:t>
      </w:r>
    </w:p>
    <w:p w14:paraId="3E21E30C"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Nishioka, T., Yokota, M.</w:t>
      </w:r>
      <w:r>
        <w:rPr>
          <w:rFonts w:ascii="Arial" w:eastAsia="Times New Roman" w:hAnsi="Arial" w:cs="Arial"/>
          <w:color w:val="1B1C1D"/>
        </w:rPr>
        <w:t xml:space="preserve">, Tsuda, I., &amp; Tatsumi, N. (2002). Flow cytometric analysis of platelet activation under calcium ion-chelating conditions. </w:t>
      </w:r>
      <w:r>
        <w:rPr>
          <w:rFonts w:ascii="Arial" w:eastAsia="Times New Roman" w:hAnsi="Arial" w:cs="Arial"/>
          <w:i/>
          <w:iCs/>
          <w:color w:val="1B1C1D"/>
          <w:bdr w:val="none" w:sz="0" w:space="0" w:color="auto" w:frame="1"/>
        </w:rPr>
        <w:t>Clinical &amp; Laboratory Haematology</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24</w:t>
      </w:r>
      <w:r>
        <w:rPr>
          <w:rFonts w:ascii="Arial" w:eastAsia="Times New Roman" w:hAnsi="Arial" w:cs="Arial"/>
          <w:color w:val="1B1C1D"/>
          <w:bdr w:val="none" w:sz="0" w:space="0" w:color="auto" w:frame="1"/>
        </w:rPr>
        <w:t>(2), 115–119</w:t>
      </w:r>
      <w:r>
        <w:rPr>
          <w:rFonts w:ascii="Arial" w:eastAsia="Times New Roman" w:hAnsi="Arial" w:cs="Arial"/>
          <w:color w:val="1B1C1D"/>
        </w:rPr>
        <w:t>.</w:t>
      </w:r>
    </w:p>
    <w:p w14:paraId="35100CDD"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rPr>
      </w:pPr>
      <w:r>
        <w:rPr>
          <w:rFonts w:ascii="Arial" w:eastAsia="Times New Roman" w:hAnsi="Arial" w:cs="Arial"/>
          <w:color w:val="1B1C1D"/>
        </w:rPr>
        <w:t xml:space="preserve">Alquwaizani, M., Buckley, L., Adams, C., &amp; Fanikos, J. (2013). Anticoagulants: A Review of the Pharmacology, Dosing, and Complications. </w:t>
      </w:r>
      <w:r>
        <w:rPr>
          <w:rFonts w:ascii="Arial" w:eastAsia="Times New Roman" w:hAnsi="Arial" w:cs="Arial"/>
          <w:i/>
          <w:iCs/>
          <w:color w:val="1B1C1D"/>
          <w:bdr w:val="none" w:sz="0" w:space="0" w:color="auto" w:frame="1"/>
        </w:rPr>
        <w:t>Current Emergency and Hospital Medicine Reports</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1</w:t>
      </w:r>
      <w:r>
        <w:rPr>
          <w:rFonts w:ascii="Arial" w:eastAsia="Times New Roman" w:hAnsi="Arial" w:cs="Arial"/>
          <w:color w:val="1B1C1D"/>
          <w:bdr w:val="none" w:sz="0" w:space="0" w:color="auto" w:frame="1"/>
        </w:rPr>
        <w:t>(2), 83–97</w:t>
      </w:r>
      <w:r>
        <w:rPr>
          <w:rFonts w:ascii="Arial" w:eastAsia="Times New Roman" w:hAnsi="Arial" w:cs="Arial"/>
          <w:color w:val="1B1C1D"/>
        </w:rPr>
        <w:t>.</w:t>
      </w:r>
    </w:p>
    <w:p w14:paraId="43CA5B64"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bdr w:val="none" w:sz="0" w:space="0" w:color="auto" w:frame="1"/>
        </w:rPr>
      </w:pPr>
      <w:r>
        <w:rPr>
          <w:rFonts w:ascii="Arial" w:eastAsia="Times New Roman" w:hAnsi="Arial" w:cs="Arial"/>
          <w:color w:val="1B1C1D"/>
        </w:rPr>
        <w:t>Ledderose, C., Eleftheria-Angeliki Valsami, &amp; Junger, W. G</w:t>
      </w:r>
      <w:r>
        <w:rPr>
          <w:rFonts w:ascii="Arial" w:eastAsia="Times New Roman" w:hAnsi="Arial" w:cs="Arial"/>
          <w:color w:val="1B1C1D"/>
        </w:rPr>
        <w:t xml:space="preserve">. (2022). Optimized HPLC method to elucidate the complex purinergic signaling dynamics that regulate ATP, ADP, AMP, and adenosine levels in human blood. </w:t>
      </w:r>
      <w:r>
        <w:rPr>
          <w:rFonts w:ascii="Arial" w:eastAsia="Times New Roman" w:hAnsi="Arial" w:cs="Arial"/>
          <w:i/>
          <w:iCs/>
          <w:color w:val="1B1C1D"/>
          <w:bdr w:val="none" w:sz="0" w:space="0" w:color="auto" w:frame="1"/>
        </w:rPr>
        <w:t>Purinergic Signalling</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18</w:t>
      </w:r>
      <w:r>
        <w:rPr>
          <w:rFonts w:ascii="Arial" w:eastAsia="Times New Roman" w:hAnsi="Arial" w:cs="Arial"/>
          <w:color w:val="1B1C1D"/>
          <w:bdr w:val="none" w:sz="0" w:space="0" w:color="auto" w:frame="1"/>
        </w:rPr>
        <w:t>(2), 223–239</w:t>
      </w:r>
      <w:r>
        <w:rPr>
          <w:rFonts w:ascii="Arial" w:eastAsia="Times New Roman" w:hAnsi="Arial" w:cs="Arial"/>
          <w:color w:val="1B1C1D"/>
        </w:rPr>
        <w:t>.</w:t>
      </w:r>
    </w:p>
    <w:p w14:paraId="4520F4C1" w14:textId="77777777" w:rsidR="00874DD9" w:rsidRDefault="00F914F3">
      <w:pPr>
        <w:pStyle w:val="ListParagraph"/>
        <w:numPr>
          <w:ilvl w:val="0"/>
          <w:numId w:val="1"/>
        </w:numPr>
        <w:spacing w:before="100" w:beforeAutospacing="1" w:after="0" w:line="240" w:lineRule="auto"/>
        <w:jc w:val="both"/>
        <w:rPr>
          <w:rFonts w:ascii="Arial" w:eastAsia="Times New Roman" w:hAnsi="Arial" w:cs="Arial"/>
          <w:color w:val="1B1C1D"/>
          <w:bdr w:val="none" w:sz="0" w:space="0" w:color="auto" w:frame="1"/>
        </w:rPr>
      </w:pPr>
      <w:r>
        <w:rPr>
          <w:rFonts w:ascii="Arial" w:eastAsia="Times New Roman" w:hAnsi="Arial" w:cs="Arial"/>
          <w:color w:val="1B1C1D"/>
        </w:rPr>
        <w:t>von Papen, M., Gambaryan, S., Schütz, C., &amp; Geiger, J. (2013). D</w:t>
      </w:r>
      <w:r>
        <w:rPr>
          <w:rFonts w:ascii="Arial" w:eastAsia="Times New Roman" w:hAnsi="Arial" w:cs="Arial"/>
          <w:color w:val="1B1C1D"/>
        </w:rPr>
        <w:t xml:space="preserve">etermination of ATP and ADP Secretion from Human and Mouse Platelets by an HPLC Assay. </w:t>
      </w:r>
      <w:r>
        <w:rPr>
          <w:rFonts w:ascii="Arial" w:eastAsia="Times New Roman" w:hAnsi="Arial" w:cs="Arial"/>
          <w:i/>
          <w:iCs/>
          <w:color w:val="1B1C1D"/>
          <w:bdr w:val="none" w:sz="0" w:space="0" w:color="auto" w:frame="1"/>
        </w:rPr>
        <w:t>Transfusion Medicine and Hemotherapy</w:t>
      </w:r>
      <w:r>
        <w:rPr>
          <w:rFonts w:ascii="Arial" w:eastAsia="Times New Roman" w:hAnsi="Arial" w:cs="Arial"/>
          <w:color w:val="1B1C1D"/>
          <w:bdr w:val="none" w:sz="0" w:space="0" w:color="auto" w:frame="1"/>
        </w:rPr>
        <w:t xml:space="preserve">, </w:t>
      </w:r>
      <w:r>
        <w:rPr>
          <w:rFonts w:ascii="Arial" w:eastAsia="Times New Roman" w:hAnsi="Arial" w:cs="Arial"/>
          <w:i/>
          <w:iCs/>
          <w:color w:val="1B1C1D"/>
          <w:bdr w:val="none" w:sz="0" w:space="0" w:color="auto" w:frame="1"/>
        </w:rPr>
        <w:t>40</w:t>
      </w:r>
      <w:r>
        <w:rPr>
          <w:rFonts w:ascii="Arial" w:eastAsia="Times New Roman" w:hAnsi="Arial" w:cs="Arial"/>
          <w:color w:val="1B1C1D"/>
          <w:bdr w:val="none" w:sz="0" w:space="0" w:color="auto" w:frame="1"/>
        </w:rPr>
        <w:t>(2), 109–116</w:t>
      </w:r>
      <w:r>
        <w:rPr>
          <w:rFonts w:ascii="Arial" w:eastAsia="Times New Roman" w:hAnsi="Arial" w:cs="Arial"/>
          <w:color w:val="1B1C1D"/>
        </w:rPr>
        <w:t>.</w:t>
      </w:r>
      <w:bookmarkEnd w:id="1"/>
    </w:p>
    <w:sectPr w:rsidR="00874D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97EE9" w14:textId="77777777" w:rsidR="00F914F3" w:rsidRDefault="00F914F3">
      <w:pPr>
        <w:spacing w:after="0" w:line="240" w:lineRule="auto"/>
      </w:pPr>
      <w:r>
        <w:separator/>
      </w:r>
    </w:p>
  </w:endnote>
  <w:endnote w:type="continuationSeparator" w:id="0">
    <w:p w14:paraId="291F8CDC" w14:textId="77777777" w:rsidR="00F914F3" w:rsidRDefault="00F9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385F" w14:textId="77777777" w:rsidR="003A3DA4" w:rsidRDefault="003A3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8EEA" w14:textId="77777777" w:rsidR="003A3DA4" w:rsidRDefault="003A3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5119" w14:textId="77777777" w:rsidR="003A3DA4" w:rsidRDefault="003A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ECE19" w14:textId="77777777" w:rsidR="00F914F3" w:rsidRDefault="00F914F3">
      <w:pPr>
        <w:spacing w:after="0" w:line="240" w:lineRule="auto"/>
      </w:pPr>
      <w:r>
        <w:separator/>
      </w:r>
    </w:p>
  </w:footnote>
  <w:footnote w:type="continuationSeparator" w:id="0">
    <w:p w14:paraId="2E55AA10" w14:textId="77777777" w:rsidR="00F914F3" w:rsidRDefault="00F9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F550" w14:textId="7CBEC735" w:rsidR="003A3DA4" w:rsidRDefault="003A3DA4">
    <w:pPr>
      <w:pStyle w:val="Header"/>
    </w:pPr>
    <w:r>
      <w:rPr>
        <w:noProof/>
      </w:rPr>
      <w:pict w14:anchorId="0B093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9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1ACB" w14:textId="6CB4EECB" w:rsidR="003A3DA4" w:rsidRDefault="003A3DA4">
    <w:pPr>
      <w:pStyle w:val="Header"/>
    </w:pPr>
    <w:r>
      <w:rPr>
        <w:noProof/>
      </w:rPr>
      <w:pict w14:anchorId="1522A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9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A0A7" w14:textId="4ABB5073" w:rsidR="003A3DA4" w:rsidRDefault="003A3DA4">
    <w:pPr>
      <w:pStyle w:val="Header"/>
    </w:pPr>
    <w:r>
      <w:rPr>
        <w:noProof/>
      </w:rPr>
      <w:pict w14:anchorId="2C3A1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9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E84B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2735F"/>
    <w:multiLevelType w:val="multilevel"/>
    <w:tmpl w:val="3F2E12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D9"/>
    <w:rsid w:val="001720B2"/>
    <w:rsid w:val="003A3DA4"/>
    <w:rsid w:val="0053382A"/>
    <w:rsid w:val="00674654"/>
    <w:rsid w:val="006E6BCE"/>
    <w:rsid w:val="00874DD9"/>
    <w:rsid w:val="00AA1DFE"/>
    <w:rsid w:val="00C04933"/>
    <w:rsid w:val="00F9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FA6AB"/>
  <w15:docId w15:val="{06AA2CB4-D5B0-4A02-94E5-38039F51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65">
    <w:name w:val="citation-365"/>
    <w:basedOn w:val="DefaultParagraphFont"/>
  </w:style>
  <w:style w:type="character" w:customStyle="1" w:styleId="citation-364">
    <w:name w:val="citation-364"/>
    <w:basedOn w:val="DefaultParagraphFont"/>
  </w:style>
  <w:style w:type="character" w:customStyle="1" w:styleId="citation-363">
    <w:name w:val="citation-363"/>
    <w:basedOn w:val="DefaultParagraphFont"/>
  </w:style>
  <w:style w:type="character" w:customStyle="1" w:styleId="citation-362">
    <w:name w:val="citation-362"/>
    <w:basedOn w:val="DefaultParagraphFont"/>
  </w:style>
  <w:style w:type="character" w:customStyle="1" w:styleId="citation-361">
    <w:name w:val="citation-361"/>
    <w:basedOn w:val="DefaultParagraphFont"/>
  </w:style>
  <w:style w:type="character" w:customStyle="1" w:styleId="citation-360">
    <w:name w:val="citation-360"/>
    <w:basedOn w:val="DefaultParagraphFont"/>
  </w:style>
  <w:style w:type="character" w:customStyle="1" w:styleId="citation-359">
    <w:name w:val="citation-359"/>
    <w:basedOn w:val="DefaultParagraphFont"/>
  </w:style>
  <w:style w:type="character" w:customStyle="1" w:styleId="citation-358">
    <w:name w:val="citation-358"/>
    <w:basedOn w:val="DefaultParagraphFont"/>
  </w:style>
  <w:style w:type="character" w:customStyle="1" w:styleId="citation-357">
    <w:name w:val="citation-357"/>
    <w:basedOn w:val="DefaultParagraphFont"/>
  </w:style>
  <w:style w:type="character" w:customStyle="1" w:styleId="citation-356">
    <w:name w:val="citation-356"/>
    <w:basedOn w:val="DefaultParagraphFont"/>
  </w:style>
  <w:style w:type="character" w:customStyle="1" w:styleId="citation-355">
    <w:name w:val="citation-355"/>
    <w:basedOn w:val="DefaultParagraphFont"/>
  </w:style>
  <w:style w:type="character" w:customStyle="1" w:styleId="citation-354">
    <w:name w:val="citation-354"/>
    <w:basedOn w:val="DefaultParagraphFont"/>
  </w:style>
  <w:style w:type="character" w:customStyle="1" w:styleId="citation-353">
    <w:name w:val="citation-353"/>
    <w:basedOn w:val="DefaultParagraphFont"/>
  </w:style>
  <w:style w:type="character" w:customStyle="1" w:styleId="mord">
    <w:name w:val="mord"/>
    <w:basedOn w:val="DefaultParagraphFont"/>
  </w:style>
  <w:style w:type="character" w:customStyle="1" w:styleId="citation-352">
    <w:name w:val="citation-352"/>
    <w:basedOn w:val="DefaultParagraphFont"/>
  </w:style>
  <w:style w:type="character" w:customStyle="1" w:styleId="citation-351">
    <w:name w:val="citation-351"/>
    <w:basedOn w:val="DefaultParagraphFont"/>
  </w:style>
  <w:style w:type="character" w:customStyle="1" w:styleId="citation-350">
    <w:name w:val="citation-350"/>
    <w:basedOn w:val="DefaultParagraphFont"/>
  </w:style>
  <w:style w:type="character" w:customStyle="1" w:styleId="citation-349">
    <w:name w:val="citation-349"/>
    <w:basedOn w:val="DefaultParagraphFont"/>
  </w:style>
  <w:style w:type="character" w:customStyle="1" w:styleId="citation-348">
    <w:name w:val="citation-348"/>
    <w:basedOn w:val="DefaultParagraphFont"/>
  </w:style>
  <w:style w:type="character" w:customStyle="1" w:styleId="citation-347">
    <w:name w:val="citation-347"/>
    <w:basedOn w:val="DefaultParagraphFont"/>
  </w:style>
  <w:style w:type="character" w:customStyle="1" w:styleId="citation-346">
    <w:name w:val="citation-346"/>
    <w:basedOn w:val="DefaultParagraphFont"/>
  </w:style>
  <w:style w:type="character" w:customStyle="1" w:styleId="citation-345">
    <w:name w:val="citation-345"/>
    <w:basedOn w:val="DefaultParagraphFont"/>
  </w:style>
  <w:style w:type="character" w:customStyle="1" w:styleId="citation-344">
    <w:name w:val="citation-344"/>
    <w:basedOn w:val="DefaultParagraphFont"/>
  </w:style>
  <w:style w:type="character" w:customStyle="1" w:styleId="citation-343">
    <w:name w:val="citation-343"/>
    <w:basedOn w:val="DefaultParagraphFont"/>
  </w:style>
  <w:style w:type="character" w:customStyle="1" w:styleId="citation-342">
    <w:name w:val="citation-342"/>
    <w:basedOn w:val="DefaultParagraphFont"/>
  </w:style>
  <w:style w:type="character" w:customStyle="1" w:styleId="citation-341">
    <w:name w:val="citation-341"/>
    <w:basedOn w:val="DefaultParagraphFont"/>
  </w:style>
  <w:style w:type="character" w:customStyle="1" w:styleId="citation-340">
    <w:name w:val="citation-340"/>
    <w:basedOn w:val="DefaultParagraphFont"/>
  </w:style>
  <w:style w:type="character" w:customStyle="1" w:styleId="citation-339">
    <w:name w:val="citation-339"/>
    <w:basedOn w:val="DefaultParagraphFont"/>
  </w:style>
  <w:style w:type="character" w:customStyle="1" w:styleId="citation-338">
    <w:name w:val="citation-338"/>
    <w:basedOn w:val="DefaultParagraphFont"/>
  </w:style>
  <w:style w:type="character" w:customStyle="1" w:styleId="citation-337">
    <w:name w:val="citation-337"/>
    <w:basedOn w:val="DefaultParagraphFont"/>
  </w:style>
  <w:style w:type="character" w:customStyle="1" w:styleId="citation-336">
    <w:name w:val="citation-336"/>
    <w:basedOn w:val="DefaultParagraphFont"/>
  </w:style>
  <w:style w:type="character" w:customStyle="1" w:styleId="citation-335">
    <w:name w:val="citation-335"/>
    <w:basedOn w:val="DefaultParagraphFont"/>
  </w:style>
  <w:style w:type="character" w:customStyle="1" w:styleId="citation-334">
    <w:name w:val="citation-334"/>
    <w:basedOn w:val="DefaultParagraphFont"/>
  </w:style>
  <w:style w:type="character" w:customStyle="1" w:styleId="citation-333">
    <w:name w:val="citation-333"/>
    <w:basedOn w:val="DefaultParagraphFont"/>
  </w:style>
  <w:style w:type="character" w:customStyle="1" w:styleId="citation-332">
    <w:name w:val="citation-332"/>
    <w:basedOn w:val="DefaultParagraphFont"/>
  </w:style>
  <w:style w:type="character" w:customStyle="1" w:styleId="citation-331">
    <w:name w:val="citation-331"/>
    <w:basedOn w:val="DefaultParagraphFont"/>
  </w:style>
  <w:style w:type="character" w:customStyle="1" w:styleId="citation-330">
    <w:name w:val="citation-330"/>
    <w:basedOn w:val="DefaultParagraphFont"/>
  </w:style>
  <w:style w:type="character" w:customStyle="1" w:styleId="citation-329">
    <w:name w:val="citation-329"/>
    <w:basedOn w:val="DefaultParagraphFont"/>
  </w:style>
  <w:style w:type="character" w:customStyle="1" w:styleId="citation-328">
    <w:name w:val="citation-328"/>
    <w:basedOn w:val="DefaultParagraphFont"/>
  </w:style>
  <w:style w:type="character" w:customStyle="1" w:styleId="citation-327">
    <w:name w:val="citation-327"/>
    <w:basedOn w:val="DefaultParagraphFont"/>
  </w:style>
  <w:style w:type="character" w:customStyle="1" w:styleId="citation-326">
    <w:name w:val="citation-326"/>
    <w:basedOn w:val="DefaultParagraphFont"/>
  </w:style>
  <w:style w:type="character" w:customStyle="1" w:styleId="citation-325">
    <w:name w:val="citation-325"/>
    <w:basedOn w:val="DefaultParagraphFont"/>
  </w:style>
  <w:style w:type="character" w:customStyle="1" w:styleId="citation-324">
    <w:name w:val="citation-324"/>
    <w:basedOn w:val="DefaultParagraphFont"/>
  </w:style>
  <w:style w:type="character" w:customStyle="1" w:styleId="citation-323">
    <w:name w:val="citation-323"/>
    <w:basedOn w:val="DefaultParagraphFont"/>
  </w:style>
  <w:style w:type="character" w:customStyle="1" w:styleId="citation-322">
    <w:name w:val="citation-322"/>
    <w:basedOn w:val="DefaultParagraphFont"/>
  </w:style>
  <w:style w:type="character" w:customStyle="1" w:styleId="citation-321">
    <w:name w:val="citation-321"/>
    <w:basedOn w:val="DefaultParagraphFont"/>
  </w:style>
  <w:style w:type="character" w:customStyle="1" w:styleId="citation-320">
    <w:name w:val="citation-320"/>
    <w:basedOn w:val="DefaultParagraphFont"/>
  </w:style>
  <w:style w:type="character" w:customStyle="1" w:styleId="citation-319">
    <w:name w:val="citation-319"/>
    <w:basedOn w:val="DefaultParagraphFont"/>
  </w:style>
  <w:style w:type="character" w:customStyle="1" w:styleId="citation-318">
    <w:name w:val="citation-318"/>
    <w:basedOn w:val="DefaultParagraphFont"/>
  </w:style>
  <w:style w:type="character" w:customStyle="1" w:styleId="citation-317">
    <w:name w:val="citation-317"/>
    <w:basedOn w:val="DefaultParagraphFont"/>
  </w:style>
  <w:style w:type="character" w:customStyle="1" w:styleId="citation-316">
    <w:name w:val="citation-316"/>
    <w:basedOn w:val="DefaultParagraphFont"/>
  </w:style>
  <w:style w:type="character" w:customStyle="1" w:styleId="citation-315">
    <w:name w:val="citation-315"/>
    <w:basedOn w:val="DefaultParagraphFont"/>
  </w:style>
  <w:style w:type="character" w:customStyle="1" w:styleId="citation-314">
    <w:name w:val="citation-314"/>
    <w:basedOn w:val="DefaultParagraphFont"/>
  </w:style>
  <w:style w:type="character" w:customStyle="1" w:styleId="citation-313">
    <w:name w:val="citation-313"/>
    <w:basedOn w:val="DefaultParagraphFont"/>
  </w:style>
  <w:style w:type="character" w:customStyle="1" w:styleId="citation-312">
    <w:name w:val="citation-312"/>
    <w:basedOn w:val="DefaultParagraphFont"/>
  </w:style>
  <w:style w:type="character" w:customStyle="1" w:styleId="citation-311">
    <w:name w:val="citation-311"/>
    <w:basedOn w:val="DefaultParagraphFont"/>
  </w:style>
  <w:style w:type="character" w:customStyle="1" w:styleId="citation-310">
    <w:name w:val="citation-310"/>
    <w:basedOn w:val="DefaultParagraphFont"/>
  </w:style>
  <w:style w:type="character" w:customStyle="1" w:styleId="citation-309">
    <w:name w:val="citation-309"/>
    <w:basedOn w:val="DefaultParagraphFont"/>
  </w:style>
  <w:style w:type="character" w:customStyle="1" w:styleId="citation-308">
    <w:name w:val="citation-308"/>
    <w:basedOn w:val="DefaultParagraphFont"/>
  </w:style>
  <w:style w:type="character" w:customStyle="1" w:styleId="citation-307">
    <w:name w:val="citation-307"/>
    <w:basedOn w:val="DefaultParagraphFont"/>
  </w:style>
  <w:style w:type="character" w:customStyle="1" w:styleId="citation-306">
    <w:name w:val="citation-306"/>
    <w:basedOn w:val="DefaultParagraphFont"/>
  </w:style>
  <w:style w:type="character" w:customStyle="1" w:styleId="citation-305">
    <w:name w:val="citation-305"/>
    <w:basedOn w:val="DefaultParagraphFont"/>
  </w:style>
  <w:style w:type="character" w:customStyle="1" w:styleId="citation-304">
    <w:name w:val="citation-304"/>
    <w:basedOn w:val="DefaultParagraphFont"/>
  </w:style>
  <w:style w:type="character" w:customStyle="1" w:styleId="citation-303">
    <w:name w:val="citation-303"/>
    <w:basedOn w:val="DefaultParagraphFont"/>
  </w:style>
  <w:style w:type="character" w:customStyle="1" w:styleId="citation-302">
    <w:name w:val="citation-302"/>
    <w:basedOn w:val="DefaultParagraphFont"/>
  </w:style>
  <w:style w:type="character" w:customStyle="1" w:styleId="citation-301">
    <w:name w:val="citation-301"/>
    <w:basedOn w:val="DefaultParagraphFont"/>
  </w:style>
  <w:style w:type="character" w:customStyle="1" w:styleId="citation-300">
    <w:name w:val="citation-300"/>
    <w:basedOn w:val="DefaultParagraphFont"/>
  </w:style>
  <w:style w:type="character" w:customStyle="1" w:styleId="citation-299">
    <w:name w:val="citation-299"/>
    <w:basedOn w:val="DefaultParagraphFont"/>
  </w:style>
  <w:style w:type="character" w:customStyle="1" w:styleId="citation-298">
    <w:name w:val="citation-298"/>
    <w:basedOn w:val="DefaultParagraphFont"/>
  </w:style>
  <w:style w:type="character" w:customStyle="1" w:styleId="citation-297">
    <w:name w:val="citation-297"/>
    <w:basedOn w:val="DefaultParagraphFont"/>
  </w:style>
  <w:style w:type="character" w:customStyle="1" w:styleId="citation-296">
    <w:name w:val="citation-296"/>
    <w:basedOn w:val="DefaultParagraphFont"/>
  </w:style>
  <w:style w:type="character" w:customStyle="1" w:styleId="citation-295">
    <w:name w:val="citation-295"/>
    <w:basedOn w:val="DefaultParagraphFont"/>
  </w:style>
  <w:style w:type="character" w:customStyle="1" w:styleId="citation-294">
    <w:name w:val="citation-294"/>
    <w:basedOn w:val="DefaultParagraphFont"/>
  </w:style>
  <w:style w:type="character" w:customStyle="1" w:styleId="citation-293">
    <w:name w:val="citation-293"/>
    <w:basedOn w:val="DefaultParagraphFont"/>
  </w:style>
  <w:style w:type="character" w:customStyle="1" w:styleId="citation-292">
    <w:name w:val="citation-292"/>
    <w:basedOn w:val="DefaultParagraphFont"/>
  </w:style>
  <w:style w:type="character" w:customStyle="1" w:styleId="citation-291">
    <w:name w:val="citation-291"/>
    <w:basedOn w:val="DefaultParagraphFont"/>
  </w:style>
  <w:style w:type="character" w:customStyle="1" w:styleId="citation-290">
    <w:name w:val="citation-290"/>
    <w:basedOn w:val="DefaultParagraphFont"/>
  </w:style>
  <w:style w:type="character" w:customStyle="1" w:styleId="citation-289">
    <w:name w:val="citation-289"/>
    <w:basedOn w:val="DefaultParagraphFont"/>
  </w:style>
  <w:style w:type="character" w:customStyle="1" w:styleId="citation-288">
    <w:name w:val="citation-288"/>
    <w:basedOn w:val="DefaultParagraphFont"/>
  </w:style>
  <w:style w:type="character" w:customStyle="1" w:styleId="citation-287">
    <w:name w:val="citation-287"/>
    <w:basedOn w:val="DefaultParagraphFont"/>
  </w:style>
  <w:style w:type="character" w:customStyle="1" w:styleId="citation-286">
    <w:name w:val="citation-286"/>
    <w:basedOn w:val="DefaultParagraphFont"/>
  </w:style>
  <w:style w:type="character" w:customStyle="1" w:styleId="citation-285">
    <w:name w:val="citation-285"/>
    <w:basedOn w:val="DefaultParagraphFont"/>
  </w:style>
  <w:style w:type="character" w:customStyle="1" w:styleId="citation-284">
    <w:name w:val="citation-284"/>
    <w:basedOn w:val="DefaultParagraphFont"/>
  </w:style>
  <w:style w:type="character" w:customStyle="1" w:styleId="citation-283">
    <w:name w:val="citation-283"/>
    <w:basedOn w:val="DefaultParagraphFont"/>
  </w:style>
  <w:style w:type="character" w:customStyle="1" w:styleId="citation-282">
    <w:name w:val="citation-282"/>
    <w:basedOn w:val="DefaultParagraphFont"/>
  </w:style>
  <w:style w:type="character" w:customStyle="1" w:styleId="citation-281">
    <w:name w:val="citation-281"/>
    <w:basedOn w:val="DefaultParagraphFont"/>
  </w:style>
  <w:style w:type="character" w:customStyle="1" w:styleId="citation-280">
    <w:name w:val="citation-280"/>
    <w:basedOn w:val="DefaultParagraphFont"/>
  </w:style>
  <w:style w:type="character" w:customStyle="1" w:styleId="citation-279">
    <w:name w:val="citation-279"/>
    <w:basedOn w:val="DefaultParagraphFont"/>
  </w:style>
  <w:style w:type="character" w:customStyle="1" w:styleId="citation-278">
    <w:name w:val="citation-278"/>
    <w:basedOn w:val="DefaultParagraphFont"/>
  </w:style>
  <w:style w:type="character" w:customStyle="1" w:styleId="citation-277">
    <w:name w:val="citation-277"/>
    <w:basedOn w:val="DefaultParagraphFont"/>
  </w:style>
  <w:style w:type="character" w:customStyle="1" w:styleId="citation-276">
    <w:name w:val="citation-276"/>
    <w:basedOn w:val="DefaultParagraphFont"/>
  </w:style>
  <w:style w:type="character" w:customStyle="1" w:styleId="citation-275">
    <w:name w:val="citation-275"/>
    <w:basedOn w:val="DefaultParagraphFont"/>
  </w:style>
  <w:style w:type="character" w:customStyle="1" w:styleId="citation-274">
    <w:name w:val="citation-274"/>
    <w:basedOn w:val="DefaultParagraphFont"/>
  </w:style>
  <w:style w:type="character" w:customStyle="1" w:styleId="citation-273">
    <w:name w:val="citation-273"/>
    <w:basedOn w:val="DefaultParagraphFont"/>
  </w:style>
  <w:style w:type="character" w:customStyle="1" w:styleId="citation-272">
    <w:name w:val="citation-272"/>
    <w:basedOn w:val="DefaultParagraphFont"/>
  </w:style>
  <w:style w:type="character" w:customStyle="1" w:styleId="citation-271">
    <w:name w:val="citation-271"/>
    <w:basedOn w:val="DefaultParagraphFont"/>
  </w:style>
  <w:style w:type="character" w:customStyle="1" w:styleId="citation-270">
    <w:name w:val="citation-270"/>
    <w:basedOn w:val="DefaultParagraphFont"/>
  </w:style>
  <w:style w:type="character" w:customStyle="1" w:styleId="citation-269">
    <w:name w:val="citation-269"/>
    <w:basedOn w:val="DefaultParagraphFont"/>
  </w:style>
  <w:style w:type="character" w:customStyle="1" w:styleId="citation-268">
    <w:name w:val="citation-268"/>
    <w:basedOn w:val="DefaultParagraphFont"/>
  </w:style>
  <w:style w:type="character" w:customStyle="1" w:styleId="citation-267">
    <w:name w:val="citation-267"/>
    <w:basedOn w:val="DefaultParagraphFont"/>
  </w:style>
  <w:style w:type="character" w:customStyle="1" w:styleId="citation-265">
    <w:name w:val="citation-265"/>
    <w:basedOn w:val="DefaultParagraphFont"/>
  </w:style>
  <w:style w:type="character" w:customStyle="1" w:styleId="citation-263">
    <w:name w:val="citation-263"/>
    <w:basedOn w:val="DefaultParagraphFont"/>
  </w:style>
  <w:style w:type="character" w:customStyle="1" w:styleId="citation-262">
    <w:name w:val="citation-262"/>
    <w:basedOn w:val="DefaultParagraphFont"/>
  </w:style>
  <w:style w:type="character" w:customStyle="1" w:styleId="citation-260">
    <w:name w:val="citation-260"/>
    <w:basedOn w:val="DefaultParagraphFont"/>
  </w:style>
  <w:style w:type="character" w:customStyle="1" w:styleId="citation-259">
    <w:name w:val="citation-259"/>
    <w:basedOn w:val="DefaultParagraphFont"/>
  </w:style>
  <w:style w:type="character" w:customStyle="1" w:styleId="citation-258">
    <w:name w:val="citation-258"/>
    <w:basedOn w:val="DefaultParagraphFont"/>
  </w:style>
  <w:style w:type="character" w:customStyle="1" w:styleId="citation-257">
    <w:name w:val="citation-257"/>
    <w:basedOn w:val="DefaultParagraphFont"/>
  </w:style>
  <w:style w:type="character" w:customStyle="1" w:styleId="citation-256">
    <w:name w:val="citation-256"/>
    <w:basedOn w:val="DefaultParagraphFont"/>
  </w:style>
  <w:style w:type="character" w:customStyle="1" w:styleId="citation-255">
    <w:name w:val="citation-255"/>
    <w:basedOn w:val="DefaultParagraphFont"/>
  </w:style>
  <w:style w:type="character" w:customStyle="1" w:styleId="citation-254">
    <w:name w:val="citation-254"/>
    <w:basedOn w:val="DefaultParagraphFont"/>
  </w:style>
  <w:style w:type="character" w:customStyle="1" w:styleId="citation-253">
    <w:name w:val="citation-253"/>
    <w:basedOn w:val="DefaultParagraphFont"/>
  </w:style>
  <w:style w:type="character" w:customStyle="1" w:styleId="citation-252">
    <w:name w:val="citation-252"/>
    <w:basedOn w:val="DefaultParagraphFont"/>
  </w:style>
  <w:style w:type="character" w:customStyle="1" w:styleId="citation-251">
    <w:name w:val="citation-251"/>
    <w:basedOn w:val="DefaultParagraphFont"/>
  </w:style>
  <w:style w:type="character" w:customStyle="1" w:styleId="citation-250">
    <w:name w:val="citation-250"/>
    <w:basedOn w:val="DefaultParagraphFont"/>
  </w:style>
  <w:style w:type="character" w:customStyle="1" w:styleId="citation-249">
    <w:name w:val="citation-249"/>
    <w:basedOn w:val="DefaultParagraphFont"/>
  </w:style>
  <w:style w:type="character" w:customStyle="1" w:styleId="citation-248">
    <w:name w:val="citation-248"/>
    <w:basedOn w:val="DefaultParagraphFont"/>
  </w:style>
  <w:style w:type="character" w:customStyle="1" w:styleId="citation-247">
    <w:name w:val="citation-247"/>
    <w:basedOn w:val="DefaultParagraphFont"/>
  </w:style>
  <w:style w:type="character" w:customStyle="1" w:styleId="citation-246">
    <w:name w:val="citation-246"/>
    <w:basedOn w:val="DefaultParagraphFont"/>
  </w:style>
  <w:style w:type="character" w:customStyle="1" w:styleId="citation-245">
    <w:name w:val="citation-245"/>
    <w:basedOn w:val="DefaultParagraphFont"/>
  </w:style>
  <w:style w:type="character" w:customStyle="1" w:styleId="citation-244">
    <w:name w:val="citation-244"/>
    <w:basedOn w:val="DefaultParagraphFont"/>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unhideWhenUsed/>
    <w:rsid w:val="00AA1DFE"/>
    <w:rPr>
      <w:color w:val="0000FF" w:themeColor="hyperlink"/>
      <w:u w:val="single"/>
    </w:rPr>
  </w:style>
  <w:style w:type="character" w:styleId="UnresolvedMention">
    <w:name w:val="Unresolved Mention"/>
    <w:basedOn w:val="DefaultParagraphFont"/>
    <w:uiPriority w:val="99"/>
    <w:semiHidden/>
    <w:unhideWhenUsed/>
    <w:rsid w:val="00AA1DFE"/>
    <w:rPr>
      <w:color w:val="605E5C"/>
      <w:shd w:val="clear" w:color="auto" w:fill="E1DFDD"/>
    </w:rPr>
  </w:style>
  <w:style w:type="paragraph" w:styleId="Header">
    <w:name w:val="header"/>
    <w:basedOn w:val="Normal"/>
    <w:link w:val="HeaderChar"/>
    <w:uiPriority w:val="99"/>
    <w:unhideWhenUsed/>
    <w:rsid w:val="003A3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DA4"/>
  </w:style>
  <w:style w:type="paragraph" w:styleId="Footer">
    <w:name w:val="footer"/>
    <w:basedOn w:val="Normal"/>
    <w:link w:val="FooterChar"/>
    <w:uiPriority w:val="99"/>
    <w:unhideWhenUsed/>
    <w:rsid w:val="003A3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82/blood-2011-03-34167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s0006-3495(03)7465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8318-BB7E-4EF0-934A-401AC354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2363</Words>
  <Characters>13472</Characters>
  <Application>Microsoft Office Word</Application>
  <DocSecurity>0</DocSecurity>
  <Lines>112</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Ezenwalie Somto</dc:creator>
  <cp:lastModifiedBy>SDI 1084</cp:lastModifiedBy>
  <cp:revision>15</cp:revision>
  <dcterms:created xsi:type="dcterms:W3CDTF">2025-08-11T14:52:00Z</dcterms:created>
  <dcterms:modified xsi:type="dcterms:W3CDTF">2025-08-12T12:49:00Z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cd561d07797740ad836a1ca240ca4db6</vt:lpwstr>
  </property>
</Properties>
</file>